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1303" w:rsidR="00E77CB3" w:rsidP="003B1303" w:rsidRDefault="00E77CB3">
      <w:pPr>
        <w:jc w:val="center"/>
        <w:rPr>
          <w:lang w:val="fr-FR"/>
        </w:rPr>
      </w:pPr>
      <w:bookmarkStart w:name="_GoBack" w:id="0"/>
      <w:bookmarkEnd w:id="0"/>
    </w:p>
    <w:p w:rsidRPr="003B1303" w:rsidR="0085148A" w:rsidP="003B1303" w:rsidRDefault="0085148A">
      <w:pPr>
        <w:jc w:val="center"/>
        <w:rPr>
          <w:lang w:val="fr-FR"/>
        </w:rPr>
      </w:pPr>
    </w:p>
    <w:p w:rsidRPr="003B1303" w:rsidR="0085148A" w:rsidP="003B1303" w:rsidRDefault="0085148A">
      <w:pPr>
        <w:jc w:val="center"/>
        <w:rPr>
          <w:lang w:val="fr-FR"/>
        </w:rPr>
      </w:pPr>
    </w:p>
    <w:p w:rsidRPr="003B1303" w:rsidR="00E77CB3" w:rsidP="003B1303" w:rsidRDefault="00687C74">
      <w:pPr>
        <w:jc w:val="center"/>
        <w:rPr>
          <w:lang w:val="fr-FR"/>
        </w:rPr>
      </w:pPr>
      <w:r w:rsidRPr="003B1303">
        <w:rPr>
          <w:lang w:val="fr-FR"/>
        </w:rPr>
        <w:t>TROISIÈME SECTION</w:t>
      </w:r>
    </w:p>
    <w:p w:rsidRPr="003B1303" w:rsidR="00E77CB3" w:rsidP="003B1303" w:rsidRDefault="00E77CB3">
      <w:pPr>
        <w:jc w:val="center"/>
        <w:rPr>
          <w:lang w:val="fr-FR"/>
        </w:rPr>
      </w:pPr>
    </w:p>
    <w:p w:rsidRPr="003B1303" w:rsidR="0085148A" w:rsidP="003B1303" w:rsidRDefault="0085148A">
      <w:pPr>
        <w:jc w:val="center"/>
        <w:rPr>
          <w:lang w:val="fr-FR"/>
        </w:rPr>
      </w:pPr>
    </w:p>
    <w:p w:rsidRPr="003B1303" w:rsidR="0085148A" w:rsidP="003B1303" w:rsidRDefault="0085148A">
      <w:pPr>
        <w:jc w:val="center"/>
        <w:rPr>
          <w:lang w:val="fr-FR"/>
        </w:rPr>
      </w:pPr>
    </w:p>
    <w:p w:rsidRPr="003B1303" w:rsidR="0085148A" w:rsidP="003B1303" w:rsidRDefault="0085148A">
      <w:pPr>
        <w:jc w:val="center"/>
        <w:rPr>
          <w:lang w:val="fr-FR"/>
        </w:rPr>
      </w:pPr>
    </w:p>
    <w:p w:rsidRPr="003B1303" w:rsidR="0085148A" w:rsidP="003B1303" w:rsidRDefault="0085148A">
      <w:pPr>
        <w:jc w:val="center"/>
        <w:rPr>
          <w:lang w:val="fr-FR"/>
        </w:rPr>
      </w:pPr>
    </w:p>
    <w:p w:rsidRPr="003B1303" w:rsidR="0085148A" w:rsidP="003B1303" w:rsidRDefault="0085148A">
      <w:pPr>
        <w:jc w:val="center"/>
        <w:rPr>
          <w:lang w:val="fr-FR"/>
        </w:rPr>
      </w:pPr>
    </w:p>
    <w:p w:rsidRPr="003B1303" w:rsidR="00867AE9" w:rsidP="003B1303" w:rsidRDefault="00867AE9">
      <w:pPr>
        <w:jc w:val="center"/>
        <w:rPr>
          <w:lang w:val="fr-FR"/>
        </w:rPr>
      </w:pPr>
    </w:p>
    <w:p w:rsidRPr="003B1303" w:rsidR="00867AE9" w:rsidP="003B1303" w:rsidRDefault="00867AE9">
      <w:pPr>
        <w:jc w:val="center"/>
        <w:rPr>
          <w:lang w:val="fr-FR"/>
        </w:rPr>
      </w:pPr>
    </w:p>
    <w:p w:rsidRPr="003B1303" w:rsidR="00867AE9" w:rsidP="003B1303" w:rsidRDefault="00867AE9">
      <w:pPr>
        <w:jc w:val="center"/>
        <w:rPr>
          <w:lang w:val="fr-FR"/>
        </w:rPr>
      </w:pPr>
    </w:p>
    <w:p w:rsidRPr="003B1303" w:rsidR="00E77CB3" w:rsidP="003B1303" w:rsidRDefault="00E77CB3">
      <w:pPr>
        <w:jc w:val="center"/>
        <w:rPr>
          <w:b/>
          <w:lang w:val="fr-FR"/>
        </w:rPr>
      </w:pPr>
      <w:r w:rsidRPr="003B1303">
        <w:rPr>
          <w:b/>
          <w:lang w:val="fr-FR"/>
        </w:rPr>
        <w:t xml:space="preserve">AFFAIRE </w:t>
      </w:r>
      <w:r w:rsidRPr="003B1303" w:rsidR="00687C74">
        <w:rPr>
          <w:b/>
          <w:lang w:val="fr-FR"/>
        </w:rPr>
        <w:t xml:space="preserve">UTVENKO </w:t>
      </w:r>
      <w:r w:rsidRPr="003B1303" w:rsidR="00610A29">
        <w:rPr>
          <w:b/>
          <w:lang w:val="fr-FR"/>
        </w:rPr>
        <w:t xml:space="preserve">ET </w:t>
      </w:r>
      <w:r w:rsidRPr="003B1303" w:rsidR="00687C74">
        <w:rPr>
          <w:b/>
          <w:lang w:val="fr-FR"/>
        </w:rPr>
        <w:t>BORISOV c. RUSSIE</w:t>
      </w:r>
    </w:p>
    <w:p w:rsidRPr="003B1303" w:rsidR="00E77CB3" w:rsidP="003B1303" w:rsidRDefault="00E77CB3">
      <w:pPr>
        <w:jc w:val="center"/>
        <w:rPr>
          <w:lang w:val="fr-FR"/>
        </w:rPr>
      </w:pPr>
    </w:p>
    <w:p w:rsidRPr="003B1303" w:rsidR="0085148A" w:rsidP="003B1303" w:rsidRDefault="00E77CB3">
      <w:pPr>
        <w:jc w:val="center"/>
        <w:rPr>
          <w:szCs w:val="24"/>
          <w:lang w:val="fr-FR"/>
        </w:rPr>
      </w:pPr>
      <w:r w:rsidRPr="003B1303">
        <w:rPr>
          <w:i/>
          <w:lang w:val="fr-FR"/>
        </w:rPr>
        <w:t>(</w:t>
      </w:r>
      <w:r w:rsidRPr="003B1303" w:rsidR="00687C74">
        <w:rPr>
          <w:i/>
          <w:lang w:val="fr-FR"/>
        </w:rPr>
        <w:t>Requêtes n</w:t>
      </w:r>
      <w:r w:rsidRPr="003B1303" w:rsidR="00687C74">
        <w:rPr>
          <w:i/>
          <w:vertAlign w:val="superscript"/>
          <w:lang w:val="fr-FR"/>
        </w:rPr>
        <w:t>os</w:t>
      </w:r>
      <w:r w:rsidRPr="003B1303" w:rsidR="00687C74">
        <w:rPr>
          <w:i/>
          <w:lang w:val="fr-FR"/>
        </w:rPr>
        <w:t xml:space="preserve"> 45767/09 et 40452/10</w:t>
      </w:r>
      <w:r w:rsidRPr="003B1303">
        <w:rPr>
          <w:i/>
          <w:lang w:val="fr-FR"/>
        </w:rPr>
        <w:t>)</w:t>
      </w:r>
    </w:p>
    <w:p w:rsidRPr="003B1303" w:rsidR="0085148A" w:rsidP="003B1303" w:rsidRDefault="0085148A">
      <w:pPr>
        <w:jc w:val="center"/>
        <w:rPr>
          <w:szCs w:val="24"/>
          <w:lang w:val="fr-FR"/>
        </w:rPr>
      </w:pPr>
    </w:p>
    <w:p w:rsidRPr="003B1303" w:rsidR="0085148A" w:rsidP="003B1303" w:rsidRDefault="0085148A">
      <w:pPr>
        <w:jc w:val="center"/>
        <w:rPr>
          <w:szCs w:val="24"/>
          <w:lang w:val="fr-FR"/>
        </w:rPr>
      </w:pPr>
    </w:p>
    <w:p w:rsidRPr="003B1303" w:rsidR="0085148A" w:rsidP="003B1303" w:rsidRDefault="0085148A">
      <w:pPr>
        <w:jc w:val="center"/>
        <w:rPr>
          <w:szCs w:val="24"/>
          <w:lang w:val="fr-FR"/>
        </w:rPr>
      </w:pPr>
    </w:p>
    <w:p w:rsidRPr="003B1303" w:rsidR="0085148A" w:rsidP="003B1303" w:rsidRDefault="0085148A">
      <w:pPr>
        <w:jc w:val="center"/>
        <w:rPr>
          <w:szCs w:val="24"/>
          <w:lang w:val="fr-FR"/>
        </w:rPr>
      </w:pPr>
    </w:p>
    <w:p w:rsidRPr="003B1303" w:rsidR="0085148A" w:rsidP="003B1303" w:rsidRDefault="0085148A">
      <w:pPr>
        <w:jc w:val="center"/>
        <w:rPr>
          <w:szCs w:val="24"/>
          <w:lang w:val="fr-FR"/>
        </w:rPr>
      </w:pPr>
    </w:p>
    <w:p w:rsidRPr="003B1303" w:rsidR="0085148A" w:rsidP="003B1303" w:rsidRDefault="0085148A">
      <w:pPr>
        <w:jc w:val="center"/>
        <w:rPr>
          <w:szCs w:val="24"/>
          <w:lang w:val="fr-FR"/>
        </w:rPr>
      </w:pPr>
    </w:p>
    <w:p w:rsidRPr="003B1303" w:rsidR="0085148A" w:rsidP="003B1303" w:rsidRDefault="0085148A">
      <w:pPr>
        <w:jc w:val="center"/>
        <w:rPr>
          <w:szCs w:val="24"/>
          <w:lang w:val="fr-FR"/>
        </w:rPr>
      </w:pPr>
    </w:p>
    <w:p w:rsidRPr="003B1303" w:rsidR="0085148A" w:rsidP="003B1303" w:rsidRDefault="0085148A">
      <w:pPr>
        <w:jc w:val="center"/>
        <w:rPr>
          <w:szCs w:val="24"/>
          <w:lang w:val="fr-FR"/>
        </w:rPr>
      </w:pPr>
    </w:p>
    <w:p w:rsidRPr="003B1303" w:rsidR="0085148A" w:rsidP="003B1303" w:rsidRDefault="0085148A">
      <w:pPr>
        <w:jc w:val="center"/>
        <w:rPr>
          <w:szCs w:val="24"/>
          <w:lang w:val="fr-FR"/>
        </w:rPr>
      </w:pPr>
    </w:p>
    <w:p w:rsidRPr="003B1303" w:rsidR="00867AE9" w:rsidP="003B1303" w:rsidRDefault="00867AE9">
      <w:pPr>
        <w:jc w:val="center"/>
        <w:rPr>
          <w:szCs w:val="24"/>
          <w:lang w:val="fr-FR"/>
        </w:rPr>
      </w:pPr>
    </w:p>
    <w:p w:rsidRPr="003B1303" w:rsidR="0085148A" w:rsidP="003B1303" w:rsidRDefault="0085148A">
      <w:pPr>
        <w:jc w:val="center"/>
        <w:rPr>
          <w:szCs w:val="24"/>
          <w:lang w:val="fr-FR"/>
        </w:rPr>
      </w:pPr>
      <w:r w:rsidRPr="003B1303">
        <w:rPr>
          <w:szCs w:val="24"/>
          <w:lang w:val="fr-FR"/>
        </w:rPr>
        <w:t>ARRÊT</w:t>
      </w:r>
    </w:p>
    <w:p w:rsidRPr="003B1303" w:rsidR="0085148A" w:rsidP="003B1303" w:rsidRDefault="0085148A">
      <w:pPr>
        <w:ind w:firstLine="284"/>
        <w:jc w:val="center"/>
        <w:rPr>
          <w:szCs w:val="24"/>
          <w:lang w:val="fr-FR"/>
        </w:rPr>
      </w:pPr>
    </w:p>
    <w:p w:rsidRPr="003B1303" w:rsidR="00867AE9" w:rsidP="003B1303" w:rsidRDefault="00867AE9">
      <w:pPr>
        <w:ind w:firstLine="284"/>
        <w:jc w:val="center"/>
        <w:rPr>
          <w:szCs w:val="24"/>
          <w:lang w:val="fr-FR"/>
        </w:rPr>
      </w:pPr>
    </w:p>
    <w:p w:rsidRPr="003B1303" w:rsidR="0085148A" w:rsidP="003B1303" w:rsidRDefault="0085148A">
      <w:pPr>
        <w:ind w:firstLine="284"/>
        <w:jc w:val="center"/>
        <w:rPr>
          <w:szCs w:val="24"/>
          <w:lang w:val="fr-FR"/>
        </w:rPr>
      </w:pPr>
    </w:p>
    <w:p w:rsidRPr="003B1303" w:rsidR="0085148A" w:rsidP="003B1303" w:rsidRDefault="0085148A">
      <w:pPr>
        <w:ind w:firstLine="284"/>
        <w:jc w:val="center"/>
        <w:rPr>
          <w:szCs w:val="24"/>
          <w:lang w:val="fr-FR"/>
        </w:rPr>
      </w:pPr>
    </w:p>
    <w:p w:rsidRPr="003B1303" w:rsidR="0085148A" w:rsidP="003B1303" w:rsidRDefault="0085148A">
      <w:pPr>
        <w:pStyle w:val="JuCase"/>
        <w:jc w:val="center"/>
        <w:rPr>
          <w:lang w:val="fr-FR"/>
        </w:rPr>
      </w:pPr>
      <w:r w:rsidRPr="003B1303">
        <w:rPr>
          <w:b w:val="0"/>
          <w:lang w:val="fr-FR"/>
        </w:rPr>
        <w:t>STRASBOURG</w:t>
      </w:r>
    </w:p>
    <w:p w:rsidRPr="003B1303" w:rsidR="0085148A" w:rsidP="003B1303" w:rsidRDefault="0085148A">
      <w:pPr>
        <w:pStyle w:val="JuCase"/>
        <w:jc w:val="center"/>
        <w:rPr>
          <w:szCs w:val="24"/>
          <w:lang w:val="fr-FR"/>
        </w:rPr>
      </w:pPr>
    </w:p>
    <w:p w:rsidRPr="003B1303" w:rsidR="0085148A" w:rsidP="003B1303" w:rsidRDefault="0085148A">
      <w:pPr>
        <w:pStyle w:val="JuCase"/>
        <w:jc w:val="center"/>
        <w:rPr>
          <w:b w:val="0"/>
          <w:szCs w:val="24"/>
          <w:lang w:val="fr-FR"/>
        </w:rPr>
      </w:pPr>
      <w:r w:rsidRPr="003B1303">
        <w:rPr>
          <w:b w:val="0"/>
          <w:szCs w:val="24"/>
          <w:lang w:val="fr-FR"/>
        </w:rPr>
        <w:t>5 février 2019</w:t>
      </w:r>
    </w:p>
    <w:p w:rsidRPr="003B1303" w:rsidR="0085148A" w:rsidP="003B1303" w:rsidRDefault="0085148A">
      <w:pPr>
        <w:pStyle w:val="JuCase"/>
        <w:jc w:val="center"/>
        <w:rPr>
          <w:szCs w:val="24"/>
          <w:lang w:val="fr-FR"/>
        </w:rPr>
      </w:pPr>
    </w:p>
    <w:p w:rsidRPr="003B1303" w:rsidR="00BE4C83" w:rsidP="003B1303" w:rsidRDefault="0085148A">
      <w:pPr>
        <w:pStyle w:val="JuCase"/>
        <w:ind w:firstLine="0"/>
        <w:jc w:val="left"/>
        <w:rPr>
          <w:b w:val="0"/>
          <w:szCs w:val="24"/>
          <w:lang w:val="fr-FR"/>
        </w:rPr>
      </w:pPr>
      <w:r w:rsidRPr="003B1303">
        <w:rPr>
          <w:b w:val="0"/>
          <w:i/>
          <w:sz w:val="22"/>
          <w:szCs w:val="24"/>
          <w:lang w:val="fr-FR"/>
        </w:rPr>
        <w:t>Cet arrêt deviendra définitif dans les conditions définies à l</w:t>
      </w:r>
      <w:r w:rsidRPr="003B1303" w:rsidR="003B1303">
        <w:rPr>
          <w:b w:val="0"/>
          <w:i/>
          <w:sz w:val="22"/>
          <w:szCs w:val="24"/>
          <w:lang w:val="fr-FR"/>
        </w:rPr>
        <w:t>’</w:t>
      </w:r>
      <w:r w:rsidRPr="003B1303">
        <w:rPr>
          <w:b w:val="0"/>
          <w:i/>
          <w:sz w:val="22"/>
          <w:szCs w:val="24"/>
          <w:lang w:val="fr-FR"/>
        </w:rPr>
        <w:t>article 44 § 2 de la Convention. Il peut subir des retouches de forme</w:t>
      </w:r>
      <w:r w:rsidRPr="003B1303" w:rsidR="00867AE9">
        <w:rPr>
          <w:b w:val="0"/>
          <w:i/>
          <w:sz w:val="22"/>
          <w:szCs w:val="24"/>
          <w:lang w:val="fr-FR"/>
        </w:rPr>
        <w:t>.</w:t>
      </w:r>
    </w:p>
    <w:p w:rsidRPr="003B1303" w:rsidR="0085148A" w:rsidP="003B1303" w:rsidRDefault="0085148A">
      <w:pPr>
        <w:pStyle w:val="JuCase"/>
        <w:jc w:val="left"/>
        <w:rPr>
          <w:lang w:val="fr-FR"/>
        </w:rPr>
        <w:sectPr w:rsidRPr="003B1303" w:rsidR="0085148A" w:rsidSect="00D871A7">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3B1303" w:rsidR="00E77CB3" w:rsidP="003B1303" w:rsidRDefault="00E77CB3">
      <w:pPr>
        <w:pStyle w:val="JuCase"/>
        <w:rPr>
          <w:lang w:val="fr-FR"/>
        </w:rPr>
      </w:pPr>
      <w:r w:rsidRPr="003B1303">
        <w:rPr>
          <w:lang w:val="fr-FR"/>
        </w:rPr>
        <w:t>En l</w:t>
      </w:r>
      <w:r w:rsidRPr="003B1303" w:rsidR="003B1303">
        <w:rPr>
          <w:lang w:val="fr-FR"/>
        </w:rPr>
        <w:t>’</w:t>
      </w:r>
      <w:r w:rsidRPr="003B1303">
        <w:rPr>
          <w:lang w:val="fr-FR"/>
        </w:rPr>
        <w:t xml:space="preserve">affaire </w:t>
      </w:r>
      <w:proofErr w:type="spellStart"/>
      <w:r w:rsidRPr="003B1303" w:rsidR="00687C74">
        <w:rPr>
          <w:lang w:val="fr-FR"/>
        </w:rPr>
        <w:t>Utvenko</w:t>
      </w:r>
      <w:proofErr w:type="spellEnd"/>
      <w:r w:rsidRPr="003B1303" w:rsidR="00687C74">
        <w:rPr>
          <w:lang w:val="fr-FR"/>
        </w:rPr>
        <w:t xml:space="preserve"> </w:t>
      </w:r>
      <w:r w:rsidRPr="003B1303" w:rsidR="009B7909">
        <w:rPr>
          <w:lang w:val="fr-FR"/>
        </w:rPr>
        <w:t xml:space="preserve">et Borisov </w:t>
      </w:r>
      <w:r w:rsidRPr="003B1303" w:rsidR="00687C74">
        <w:rPr>
          <w:lang w:val="fr-FR"/>
        </w:rPr>
        <w:t>c. Russie</w:t>
      </w:r>
      <w:r w:rsidRPr="003B1303">
        <w:rPr>
          <w:lang w:val="fr-FR"/>
        </w:rPr>
        <w:t>,</w:t>
      </w:r>
    </w:p>
    <w:p w:rsidRPr="003B1303" w:rsidR="00E77CB3" w:rsidP="003B1303" w:rsidRDefault="00E77CB3">
      <w:pPr>
        <w:pStyle w:val="ECHRPara"/>
        <w:rPr>
          <w:lang w:val="fr-FR"/>
        </w:rPr>
      </w:pPr>
      <w:r w:rsidRPr="003B1303">
        <w:rPr>
          <w:lang w:val="fr-FR"/>
        </w:rPr>
        <w:t>La Cour européenne des droits de l</w:t>
      </w:r>
      <w:r w:rsidRPr="003B1303" w:rsidR="003B1303">
        <w:rPr>
          <w:lang w:val="fr-FR"/>
        </w:rPr>
        <w:t>’</w:t>
      </w:r>
      <w:r w:rsidRPr="003B1303">
        <w:rPr>
          <w:lang w:val="fr-FR"/>
        </w:rPr>
        <w:t>homme (</w:t>
      </w:r>
      <w:r w:rsidRPr="003B1303" w:rsidR="00687C74">
        <w:rPr>
          <w:lang w:val="fr-FR"/>
        </w:rPr>
        <w:t>troisième section</w:t>
      </w:r>
      <w:r w:rsidRPr="003B1303">
        <w:rPr>
          <w:lang w:val="fr-FR"/>
        </w:rPr>
        <w:t xml:space="preserve">), siégeant en </w:t>
      </w:r>
      <w:r w:rsidRPr="003B1303" w:rsidR="00687C74">
        <w:rPr>
          <w:lang w:val="fr-FR"/>
        </w:rPr>
        <w:t>une chambre composée</w:t>
      </w:r>
      <w:r w:rsidRPr="003B1303">
        <w:rPr>
          <w:lang w:val="fr-FR"/>
        </w:rPr>
        <w:t xml:space="preserve"> de :</w:t>
      </w:r>
    </w:p>
    <w:p w:rsidRPr="003B1303" w:rsidR="00E77CB3" w:rsidP="003B1303" w:rsidRDefault="0085148A">
      <w:pPr>
        <w:pStyle w:val="ECHRDecisionBody"/>
        <w:rPr>
          <w:lang w:val="fr-FR"/>
        </w:rPr>
      </w:pPr>
      <w:r w:rsidRPr="003B1303">
        <w:rPr>
          <w:lang w:val="fr-FR"/>
        </w:rPr>
        <w:tab/>
        <w:t>Vincent A. De Gaetano,</w:t>
      </w:r>
      <w:r w:rsidRPr="003B1303">
        <w:rPr>
          <w:i/>
          <w:lang w:val="fr-FR"/>
        </w:rPr>
        <w:t xml:space="preserve"> président,</w:t>
      </w:r>
      <w:r w:rsidRPr="003B1303">
        <w:rPr>
          <w:i/>
          <w:lang w:val="fr-FR"/>
        </w:rPr>
        <w:br/>
      </w:r>
      <w:r w:rsidRPr="003B1303">
        <w:rPr>
          <w:lang w:val="fr-FR"/>
        </w:rPr>
        <w:tab/>
      </w:r>
      <w:proofErr w:type="spellStart"/>
      <w:r w:rsidRPr="003B1303">
        <w:rPr>
          <w:lang w:val="fr-FR"/>
        </w:rPr>
        <w:t>Branko</w:t>
      </w:r>
      <w:proofErr w:type="spellEnd"/>
      <w:r w:rsidRPr="003B1303">
        <w:rPr>
          <w:lang w:val="fr-FR"/>
        </w:rPr>
        <w:t xml:space="preserve"> </w:t>
      </w:r>
      <w:proofErr w:type="spellStart"/>
      <w:r w:rsidRPr="003B1303">
        <w:rPr>
          <w:lang w:val="fr-FR"/>
        </w:rPr>
        <w:t>Lubarda</w:t>
      </w:r>
      <w:proofErr w:type="spellEnd"/>
      <w:r w:rsidRPr="003B1303">
        <w:rPr>
          <w:lang w:val="fr-FR"/>
        </w:rPr>
        <w:t>,</w:t>
      </w:r>
      <w:r w:rsidRPr="003B1303">
        <w:rPr>
          <w:i/>
          <w:lang w:val="fr-FR"/>
        </w:rPr>
        <w:br/>
      </w:r>
      <w:r w:rsidRPr="003B1303">
        <w:rPr>
          <w:lang w:val="fr-FR"/>
        </w:rPr>
        <w:tab/>
      </w:r>
      <w:proofErr w:type="spellStart"/>
      <w:r w:rsidRPr="003B1303">
        <w:rPr>
          <w:lang w:val="fr-FR"/>
        </w:rPr>
        <w:t>Dmitry</w:t>
      </w:r>
      <w:proofErr w:type="spellEnd"/>
      <w:r w:rsidRPr="003B1303">
        <w:rPr>
          <w:lang w:val="fr-FR"/>
        </w:rPr>
        <w:t xml:space="preserve"> </w:t>
      </w:r>
      <w:proofErr w:type="spellStart"/>
      <w:r w:rsidRPr="003B1303">
        <w:rPr>
          <w:lang w:val="fr-FR"/>
        </w:rPr>
        <w:t>Dedov</w:t>
      </w:r>
      <w:proofErr w:type="spellEnd"/>
      <w:r w:rsidRPr="003B1303">
        <w:rPr>
          <w:lang w:val="fr-FR"/>
        </w:rPr>
        <w:t>,</w:t>
      </w:r>
      <w:r w:rsidRPr="003B1303">
        <w:rPr>
          <w:i/>
          <w:lang w:val="fr-FR"/>
        </w:rPr>
        <w:br/>
      </w:r>
      <w:r w:rsidRPr="003B1303">
        <w:rPr>
          <w:lang w:val="fr-FR"/>
        </w:rPr>
        <w:tab/>
      </w:r>
      <w:proofErr w:type="spellStart"/>
      <w:r w:rsidRPr="003B1303">
        <w:rPr>
          <w:lang w:val="fr-FR"/>
        </w:rPr>
        <w:t>Pere</w:t>
      </w:r>
      <w:proofErr w:type="spellEnd"/>
      <w:r w:rsidRPr="003B1303">
        <w:rPr>
          <w:lang w:val="fr-FR"/>
        </w:rPr>
        <w:t xml:space="preserve"> </w:t>
      </w:r>
      <w:proofErr w:type="spellStart"/>
      <w:r w:rsidRPr="003B1303">
        <w:rPr>
          <w:lang w:val="fr-FR"/>
        </w:rPr>
        <w:t>Pastor</w:t>
      </w:r>
      <w:proofErr w:type="spellEnd"/>
      <w:r w:rsidRPr="003B1303">
        <w:rPr>
          <w:lang w:val="fr-FR"/>
        </w:rPr>
        <w:t xml:space="preserve"> </w:t>
      </w:r>
      <w:proofErr w:type="spellStart"/>
      <w:r w:rsidRPr="003B1303">
        <w:rPr>
          <w:lang w:val="fr-FR"/>
        </w:rPr>
        <w:t>Vilanova</w:t>
      </w:r>
      <w:proofErr w:type="spellEnd"/>
      <w:r w:rsidRPr="003B1303">
        <w:rPr>
          <w:lang w:val="fr-FR"/>
        </w:rPr>
        <w:t>,</w:t>
      </w:r>
      <w:r w:rsidRPr="003B1303">
        <w:rPr>
          <w:i/>
          <w:lang w:val="fr-FR"/>
        </w:rPr>
        <w:br/>
      </w:r>
      <w:r w:rsidRPr="003B1303">
        <w:rPr>
          <w:lang w:val="fr-FR"/>
        </w:rPr>
        <w:tab/>
        <w:t xml:space="preserve">Alena </w:t>
      </w:r>
      <w:proofErr w:type="spellStart"/>
      <w:r w:rsidRPr="003B1303">
        <w:rPr>
          <w:lang w:val="fr-FR"/>
        </w:rPr>
        <w:t>Poláčková</w:t>
      </w:r>
      <w:proofErr w:type="spellEnd"/>
      <w:r w:rsidRPr="003B1303">
        <w:rPr>
          <w:lang w:val="fr-FR"/>
        </w:rPr>
        <w:t>,</w:t>
      </w:r>
      <w:r w:rsidRPr="003B1303">
        <w:rPr>
          <w:i/>
          <w:lang w:val="fr-FR"/>
        </w:rPr>
        <w:br/>
      </w:r>
      <w:r w:rsidRPr="003B1303">
        <w:rPr>
          <w:lang w:val="fr-FR"/>
        </w:rPr>
        <w:tab/>
      </w:r>
      <w:proofErr w:type="spellStart"/>
      <w:r w:rsidRPr="003B1303">
        <w:rPr>
          <w:lang w:val="fr-FR"/>
        </w:rPr>
        <w:t>Jolien</w:t>
      </w:r>
      <w:proofErr w:type="spellEnd"/>
      <w:r w:rsidRPr="003B1303">
        <w:rPr>
          <w:lang w:val="fr-FR"/>
        </w:rPr>
        <w:t xml:space="preserve"> </w:t>
      </w:r>
      <w:proofErr w:type="spellStart"/>
      <w:r w:rsidRPr="003B1303">
        <w:rPr>
          <w:lang w:val="fr-FR"/>
        </w:rPr>
        <w:t>Schukking</w:t>
      </w:r>
      <w:proofErr w:type="spellEnd"/>
      <w:r w:rsidRPr="003B1303">
        <w:rPr>
          <w:lang w:val="fr-FR"/>
        </w:rPr>
        <w:t>,</w:t>
      </w:r>
      <w:r w:rsidRPr="003B1303">
        <w:rPr>
          <w:i/>
          <w:lang w:val="fr-FR"/>
        </w:rPr>
        <w:br/>
      </w:r>
      <w:r w:rsidRPr="003B1303">
        <w:rPr>
          <w:lang w:val="fr-FR"/>
        </w:rPr>
        <w:tab/>
        <w:t xml:space="preserve">María </w:t>
      </w:r>
      <w:proofErr w:type="spellStart"/>
      <w:r w:rsidRPr="003B1303">
        <w:rPr>
          <w:lang w:val="fr-FR"/>
        </w:rPr>
        <w:t>Elósegui</w:t>
      </w:r>
      <w:proofErr w:type="spellEnd"/>
      <w:r w:rsidRPr="003B1303">
        <w:rPr>
          <w:lang w:val="fr-FR"/>
        </w:rPr>
        <w:t>,</w:t>
      </w:r>
      <w:r w:rsidRPr="003B1303">
        <w:rPr>
          <w:i/>
          <w:lang w:val="fr-FR"/>
        </w:rPr>
        <w:t xml:space="preserve"> juges</w:t>
      </w:r>
      <w:proofErr w:type="gramStart"/>
      <w:r w:rsidRPr="003B1303">
        <w:rPr>
          <w:i/>
          <w:lang w:val="fr-FR"/>
        </w:rPr>
        <w:t>,</w:t>
      </w:r>
      <w:proofErr w:type="gramEnd"/>
      <w:r w:rsidRPr="003B1303" w:rsidR="00E77CB3">
        <w:rPr>
          <w:lang w:val="fr-FR"/>
        </w:rPr>
        <w:br/>
        <w:t xml:space="preserve">et de </w:t>
      </w:r>
      <w:r w:rsidRPr="003B1303" w:rsidR="00687C74">
        <w:rPr>
          <w:lang w:val="fr-FR"/>
        </w:rPr>
        <w:t>Stephen Phillips</w:t>
      </w:r>
      <w:r w:rsidRPr="003B1303" w:rsidR="00E77CB3">
        <w:rPr>
          <w:lang w:val="fr-FR"/>
        </w:rPr>
        <w:t xml:space="preserve">, </w:t>
      </w:r>
      <w:r w:rsidRPr="003B1303" w:rsidR="00687C74">
        <w:rPr>
          <w:i/>
          <w:lang w:val="fr-FR"/>
        </w:rPr>
        <w:t>greffier</w:t>
      </w:r>
      <w:r w:rsidRPr="003B1303" w:rsidR="00687C74">
        <w:rPr>
          <w:iCs/>
          <w:lang w:val="fr-FR"/>
        </w:rPr>
        <w:t xml:space="preserve"> </w:t>
      </w:r>
      <w:r w:rsidRPr="003B1303" w:rsidR="00687C74">
        <w:rPr>
          <w:i/>
          <w:iCs/>
          <w:lang w:val="fr-FR"/>
        </w:rPr>
        <w:t>d</w:t>
      </w:r>
      <w:r w:rsidRPr="003B1303" w:rsidR="00687C74">
        <w:rPr>
          <w:i/>
          <w:lang w:val="fr-FR"/>
        </w:rPr>
        <w:t>e section</w:t>
      </w:r>
      <w:r w:rsidRPr="003B1303" w:rsidR="00E77CB3">
        <w:rPr>
          <w:lang w:val="fr-FR"/>
        </w:rPr>
        <w:t>,</w:t>
      </w:r>
    </w:p>
    <w:p w:rsidRPr="003B1303" w:rsidR="00E77CB3" w:rsidP="003B1303" w:rsidRDefault="00E77CB3">
      <w:pPr>
        <w:pStyle w:val="ECHRPara"/>
        <w:rPr>
          <w:lang w:val="fr-FR"/>
        </w:rPr>
      </w:pPr>
      <w:r w:rsidRPr="003B1303">
        <w:rPr>
          <w:lang w:val="fr-FR"/>
        </w:rPr>
        <w:t xml:space="preserve">Après en avoir délibéré en chambre du conseil le </w:t>
      </w:r>
      <w:r w:rsidRPr="003B1303" w:rsidR="0085148A">
        <w:rPr>
          <w:lang w:val="fr-FR"/>
        </w:rPr>
        <w:t>15 janvier 2019</w:t>
      </w:r>
      <w:r w:rsidRPr="003B1303">
        <w:rPr>
          <w:lang w:val="fr-FR"/>
        </w:rPr>
        <w:t>,</w:t>
      </w:r>
    </w:p>
    <w:p w:rsidRPr="003B1303" w:rsidR="00E77CB3" w:rsidP="003B1303" w:rsidRDefault="00E77CB3">
      <w:pPr>
        <w:pStyle w:val="ECHRPara"/>
        <w:rPr>
          <w:lang w:val="fr-FR"/>
        </w:rPr>
      </w:pPr>
      <w:r w:rsidRPr="003B1303">
        <w:rPr>
          <w:lang w:val="fr-FR"/>
        </w:rPr>
        <w:t>Rend l</w:t>
      </w:r>
      <w:r w:rsidRPr="003B1303" w:rsidR="003B1303">
        <w:rPr>
          <w:lang w:val="fr-FR"/>
        </w:rPr>
        <w:t>’</w:t>
      </w:r>
      <w:r w:rsidRPr="003B1303">
        <w:rPr>
          <w:lang w:val="fr-FR"/>
        </w:rPr>
        <w:t>arrêt que voici, adopté à cette date :</w:t>
      </w:r>
    </w:p>
    <w:p w:rsidRPr="003B1303" w:rsidR="00E77CB3" w:rsidP="003B1303" w:rsidRDefault="00E77CB3">
      <w:pPr>
        <w:pStyle w:val="ECHRTitle1"/>
        <w:rPr>
          <w:lang w:val="fr-FR"/>
        </w:rPr>
      </w:pPr>
      <w:r w:rsidRPr="003B1303">
        <w:rPr>
          <w:lang w:val="fr-FR"/>
        </w:rPr>
        <w:t>PROCÉDURE</w:t>
      </w:r>
    </w:p>
    <w:p w:rsidRPr="003B1303" w:rsidR="00E77CB3" w:rsidP="003B1303" w:rsidRDefault="00371C8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w:t>
      </w:r>
      <w:r w:rsidRPr="003B1303">
        <w:rPr>
          <w:lang w:val="fr-FR"/>
        </w:rPr>
        <w:fldChar w:fldCharType="end"/>
      </w:r>
      <w:r w:rsidRPr="003B1303">
        <w:rPr>
          <w:lang w:val="fr-FR"/>
        </w:rPr>
        <w:t>.  </w:t>
      </w:r>
      <w:r w:rsidRPr="003B1303" w:rsidR="00E77CB3">
        <w:rPr>
          <w:lang w:val="fr-FR"/>
        </w:rPr>
        <w:t>À l</w:t>
      </w:r>
      <w:r w:rsidRPr="003B1303" w:rsidR="003B1303">
        <w:rPr>
          <w:lang w:val="fr-FR"/>
        </w:rPr>
        <w:t>’</w:t>
      </w:r>
      <w:r w:rsidRPr="003B1303" w:rsidR="00E77CB3">
        <w:rPr>
          <w:lang w:val="fr-FR"/>
        </w:rPr>
        <w:t>origine de l</w:t>
      </w:r>
      <w:r w:rsidRPr="003B1303" w:rsidR="003B1303">
        <w:rPr>
          <w:lang w:val="fr-FR"/>
        </w:rPr>
        <w:t>’</w:t>
      </w:r>
      <w:r w:rsidRPr="003B1303" w:rsidR="00E77CB3">
        <w:rPr>
          <w:lang w:val="fr-FR"/>
        </w:rPr>
        <w:t xml:space="preserve">affaire </w:t>
      </w:r>
      <w:r w:rsidRPr="003B1303" w:rsidR="00687C74">
        <w:rPr>
          <w:lang w:val="fr-FR"/>
        </w:rPr>
        <w:t xml:space="preserve">se trouvent </w:t>
      </w:r>
      <w:r w:rsidRPr="003B1303" w:rsidR="00A96ECE">
        <w:rPr>
          <w:lang w:val="fr-FR"/>
        </w:rPr>
        <w:t>deux</w:t>
      </w:r>
      <w:r w:rsidRPr="003B1303" w:rsidR="00687C74">
        <w:rPr>
          <w:lang w:val="fr-FR"/>
        </w:rPr>
        <w:t xml:space="preserve"> requêtes (n</w:t>
      </w:r>
      <w:r w:rsidRPr="003B1303" w:rsidR="00687C74">
        <w:rPr>
          <w:vertAlign w:val="superscript"/>
          <w:lang w:val="fr-FR"/>
        </w:rPr>
        <w:t>os</w:t>
      </w:r>
      <w:r w:rsidRPr="003B1303">
        <w:rPr>
          <w:lang w:val="fr-FR"/>
        </w:rPr>
        <w:t> </w:t>
      </w:r>
      <w:r w:rsidRPr="003B1303" w:rsidR="00687C74">
        <w:rPr>
          <w:lang w:val="fr-FR"/>
        </w:rPr>
        <w:t xml:space="preserve">45767/09 et </w:t>
      </w:r>
      <w:r w:rsidRPr="003B1303" w:rsidR="00A96ECE">
        <w:rPr>
          <w:lang w:val="fr-FR"/>
        </w:rPr>
        <w:t>40452/10</w:t>
      </w:r>
      <w:r w:rsidRPr="003B1303" w:rsidR="00687C74">
        <w:rPr>
          <w:lang w:val="fr-FR"/>
        </w:rPr>
        <w:t>) dirigées</w:t>
      </w:r>
      <w:r w:rsidRPr="003B1303" w:rsidR="00E77CB3">
        <w:rPr>
          <w:lang w:val="fr-FR"/>
        </w:rPr>
        <w:t xml:space="preserve"> contre </w:t>
      </w:r>
      <w:r w:rsidRPr="003B1303" w:rsidR="00687C74">
        <w:rPr>
          <w:lang w:val="fr-FR"/>
        </w:rPr>
        <w:t>la Fédération de Russie</w:t>
      </w:r>
      <w:r w:rsidRPr="003B1303" w:rsidR="00E77CB3">
        <w:rPr>
          <w:lang w:val="fr-FR"/>
        </w:rPr>
        <w:t xml:space="preserve"> et dont </w:t>
      </w:r>
      <w:r w:rsidRPr="003B1303" w:rsidR="00A96ECE">
        <w:rPr>
          <w:lang w:val="fr-FR"/>
        </w:rPr>
        <w:t>deux</w:t>
      </w:r>
      <w:r w:rsidRPr="003B1303" w:rsidR="00687C74">
        <w:rPr>
          <w:lang w:val="fr-FR"/>
        </w:rPr>
        <w:t xml:space="preserve"> ressortissants russe</w:t>
      </w:r>
      <w:r w:rsidRPr="003B1303" w:rsidR="0008242B">
        <w:rPr>
          <w:lang w:val="fr-FR"/>
        </w:rPr>
        <w:t>s</w:t>
      </w:r>
      <w:r w:rsidRPr="003B1303" w:rsidR="009B7909">
        <w:rPr>
          <w:lang w:val="fr-FR"/>
        </w:rPr>
        <w:t>, MM</w:t>
      </w:r>
      <w:r w:rsidRPr="003B1303" w:rsidR="00687C74">
        <w:rPr>
          <w:lang w:val="fr-FR"/>
        </w:rPr>
        <w:t xml:space="preserve">. Vladimir </w:t>
      </w:r>
      <w:proofErr w:type="spellStart"/>
      <w:r w:rsidRPr="003B1303" w:rsidR="00687C74">
        <w:rPr>
          <w:lang w:val="fr-FR"/>
        </w:rPr>
        <w:t>Aleksandrovich</w:t>
      </w:r>
      <w:proofErr w:type="spellEnd"/>
      <w:r w:rsidRPr="003B1303" w:rsidR="00687C74">
        <w:rPr>
          <w:lang w:val="fr-FR"/>
        </w:rPr>
        <w:t xml:space="preserve"> </w:t>
      </w:r>
      <w:proofErr w:type="spellStart"/>
      <w:r w:rsidRPr="003B1303" w:rsidR="00687C74">
        <w:rPr>
          <w:lang w:val="fr-FR"/>
        </w:rPr>
        <w:t>Utvenko</w:t>
      </w:r>
      <w:proofErr w:type="spellEnd"/>
      <w:r w:rsidRPr="003B1303" w:rsidR="00A96ECE">
        <w:rPr>
          <w:lang w:val="fr-FR"/>
        </w:rPr>
        <w:t xml:space="preserve"> (« le premier requérant »</w:t>
      </w:r>
      <w:r w:rsidRPr="003B1303" w:rsidR="0008242B">
        <w:rPr>
          <w:lang w:val="fr-FR"/>
        </w:rPr>
        <w:t>)</w:t>
      </w:r>
      <w:r w:rsidRPr="003B1303" w:rsidR="00687C74">
        <w:rPr>
          <w:lang w:val="fr-FR"/>
        </w:rPr>
        <w:t xml:space="preserve"> et </w:t>
      </w:r>
      <w:r w:rsidRPr="003B1303" w:rsidR="00A96ECE">
        <w:rPr>
          <w:lang w:val="fr-FR"/>
        </w:rPr>
        <w:t xml:space="preserve">Oleg </w:t>
      </w:r>
      <w:proofErr w:type="spellStart"/>
      <w:r w:rsidRPr="003B1303" w:rsidR="00A96ECE">
        <w:rPr>
          <w:lang w:val="fr-FR"/>
        </w:rPr>
        <w:t>Anatolyevitch</w:t>
      </w:r>
      <w:proofErr w:type="spellEnd"/>
      <w:r w:rsidRPr="003B1303" w:rsidR="00A96ECE">
        <w:rPr>
          <w:lang w:val="fr-FR"/>
        </w:rPr>
        <w:t xml:space="preserve"> Borisov (« le </w:t>
      </w:r>
      <w:r w:rsidRPr="003B1303" w:rsidR="00AB64C9">
        <w:rPr>
          <w:lang w:val="fr-FR"/>
        </w:rPr>
        <w:t>second</w:t>
      </w:r>
      <w:r w:rsidRPr="003B1303" w:rsidR="00687C74">
        <w:rPr>
          <w:lang w:val="fr-FR"/>
        </w:rPr>
        <w:t xml:space="preserve"> requérant »), ont saisi la Cour le 17 juillet 2009 et </w:t>
      </w:r>
      <w:r w:rsidRPr="003B1303" w:rsidR="00A96ECE">
        <w:rPr>
          <w:lang w:val="fr-FR"/>
        </w:rPr>
        <w:t xml:space="preserve">le 21 juin 2010 </w:t>
      </w:r>
      <w:r w:rsidRPr="003B1303" w:rsidR="00687C74">
        <w:rPr>
          <w:lang w:val="fr-FR"/>
        </w:rPr>
        <w:t>respectivement</w:t>
      </w:r>
      <w:r w:rsidRPr="003B1303" w:rsidR="00E77CB3">
        <w:rPr>
          <w:lang w:val="fr-FR"/>
        </w:rPr>
        <w:t xml:space="preserve"> en vertu de </w:t>
      </w:r>
      <w:r w:rsidRPr="003B1303" w:rsidR="00687C74">
        <w:rPr>
          <w:lang w:val="fr-FR"/>
        </w:rPr>
        <w:t>l</w:t>
      </w:r>
      <w:r w:rsidRPr="003B1303" w:rsidR="003B1303">
        <w:rPr>
          <w:lang w:val="fr-FR"/>
        </w:rPr>
        <w:t>’</w:t>
      </w:r>
      <w:r w:rsidRPr="003B1303" w:rsidR="00687C74">
        <w:rPr>
          <w:lang w:val="fr-FR"/>
        </w:rPr>
        <w:t>article 34</w:t>
      </w:r>
      <w:r w:rsidRPr="003B1303" w:rsidR="00E77CB3">
        <w:rPr>
          <w:lang w:val="fr-FR"/>
        </w:rPr>
        <w:t xml:space="preserve"> de la Convention de sauvegarde des droits de l</w:t>
      </w:r>
      <w:r w:rsidRPr="003B1303" w:rsidR="003B1303">
        <w:rPr>
          <w:lang w:val="fr-FR"/>
        </w:rPr>
        <w:t>’</w:t>
      </w:r>
      <w:r w:rsidRPr="003B1303" w:rsidR="00E77CB3">
        <w:rPr>
          <w:lang w:val="fr-FR"/>
        </w:rPr>
        <w:t>homme et des libertés fondamentales (« la Convention »).</w:t>
      </w:r>
    </w:p>
    <w:p w:rsidRPr="003B1303" w:rsidR="00687C74"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w:t>
      </w:r>
      <w:r w:rsidRPr="003B1303">
        <w:rPr>
          <w:lang w:val="fr-FR"/>
        </w:rPr>
        <w:fldChar w:fldCharType="end"/>
      </w:r>
      <w:r w:rsidRPr="003B1303" w:rsidR="00E77CB3">
        <w:rPr>
          <w:lang w:val="fr-FR"/>
        </w:rPr>
        <w:t>.  </w:t>
      </w:r>
      <w:r w:rsidRPr="003B1303">
        <w:rPr>
          <w:lang w:val="fr-FR"/>
        </w:rPr>
        <w:t>Les requérants, qui ont été admis au bénéfice de l</w:t>
      </w:r>
      <w:r w:rsidRPr="003B1303" w:rsidR="003B1303">
        <w:rPr>
          <w:lang w:val="fr-FR"/>
        </w:rPr>
        <w:t>’</w:t>
      </w:r>
      <w:r w:rsidRPr="003B1303">
        <w:rPr>
          <w:lang w:val="fr-FR"/>
        </w:rPr>
        <w:t xml:space="preserve">assistance judiciaire, ont été représentés par </w:t>
      </w:r>
      <w:r w:rsidRPr="003B1303" w:rsidR="007E73C4">
        <w:rPr>
          <w:lang w:val="fr-FR"/>
        </w:rPr>
        <w:t>M</w:t>
      </w:r>
      <w:r w:rsidRPr="003B1303" w:rsidR="007E73C4">
        <w:rPr>
          <w:vertAlign w:val="superscript"/>
          <w:lang w:val="fr-FR"/>
        </w:rPr>
        <w:t>me</w:t>
      </w:r>
      <w:r w:rsidRPr="003B1303" w:rsidR="007E73C4">
        <w:rPr>
          <w:lang w:val="fr-FR"/>
        </w:rPr>
        <w:t> Y.V. Yefremova, juriste à Moscou</w:t>
      </w:r>
      <w:r w:rsidRPr="003B1303">
        <w:rPr>
          <w:lang w:val="fr-FR"/>
        </w:rPr>
        <w:t>.</w:t>
      </w:r>
      <w:r w:rsidRPr="003B1303" w:rsidR="00A96ECE">
        <w:rPr>
          <w:lang w:val="fr-FR"/>
        </w:rPr>
        <w:t xml:space="preserve"> </w:t>
      </w:r>
      <w:r w:rsidRPr="003B1303" w:rsidR="00E77CB3">
        <w:rPr>
          <w:lang w:val="fr-FR"/>
        </w:rPr>
        <w:t xml:space="preserve">Le gouvernement </w:t>
      </w:r>
      <w:r w:rsidRPr="003B1303">
        <w:rPr>
          <w:lang w:val="fr-FR"/>
        </w:rPr>
        <w:t>russe</w:t>
      </w:r>
      <w:r w:rsidRPr="003B1303" w:rsidR="00E77CB3">
        <w:rPr>
          <w:lang w:val="fr-FR"/>
        </w:rPr>
        <w:t xml:space="preserve"> (« le Gouvernement ») a été représenté par s</w:t>
      </w:r>
      <w:r w:rsidRPr="003B1303" w:rsidR="00C64E83">
        <w:rPr>
          <w:lang w:val="fr-FR"/>
        </w:rPr>
        <w:t>es</w:t>
      </w:r>
      <w:r w:rsidRPr="003B1303" w:rsidR="00E77CB3">
        <w:rPr>
          <w:lang w:val="fr-FR"/>
        </w:rPr>
        <w:t xml:space="preserve"> agent</w:t>
      </w:r>
      <w:r w:rsidRPr="003B1303" w:rsidR="00C64E83">
        <w:rPr>
          <w:lang w:val="fr-FR"/>
        </w:rPr>
        <w:t>s</w:t>
      </w:r>
      <w:r w:rsidRPr="003B1303" w:rsidR="00E77CB3">
        <w:rPr>
          <w:lang w:val="fr-FR"/>
        </w:rPr>
        <w:t xml:space="preserve">, </w:t>
      </w:r>
      <w:r w:rsidRPr="003B1303" w:rsidR="00A96ECE">
        <w:rPr>
          <w:lang w:val="fr-FR"/>
        </w:rPr>
        <w:t>MM. G. </w:t>
      </w:r>
      <w:proofErr w:type="spellStart"/>
      <w:r w:rsidRPr="003B1303" w:rsidR="00A96ECE">
        <w:rPr>
          <w:lang w:val="fr-FR"/>
        </w:rPr>
        <w:t>Matiouchkine</w:t>
      </w:r>
      <w:proofErr w:type="spellEnd"/>
      <w:r w:rsidRPr="003B1303" w:rsidR="00A96ECE">
        <w:rPr>
          <w:lang w:val="fr-FR"/>
        </w:rPr>
        <w:t xml:space="preserve"> et </w:t>
      </w:r>
      <w:r w:rsidRPr="003B1303" w:rsidR="00371C85">
        <w:rPr>
          <w:lang w:val="fr-FR"/>
        </w:rPr>
        <w:t>A. </w:t>
      </w:r>
      <w:r w:rsidRPr="003B1303" w:rsidR="00A96ECE">
        <w:rPr>
          <w:lang w:val="fr-FR"/>
        </w:rPr>
        <w:t>Fedorov, anciens représentants de la Fédération de Russie auprès de la Cour européenne des droits de l</w:t>
      </w:r>
      <w:r w:rsidRPr="003B1303" w:rsidR="003B1303">
        <w:rPr>
          <w:lang w:val="fr-FR"/>
        </w:rPr>
        <w:t>’</w:t>
      </w:r>
      <w:r w:rsidRPr="003B1303" w:rsidR="00A96ECE">
        <w:rPr>
          <w:lang w:val="fr-FR"/>
        </w:rPr>
        <w:t>homme, puis par M. M. </w:t>
      </w:r>
      <w:proofErr w:type="spellStart"/>
      <w:r w:rsidRPr="003B1303" w:rsidR="00A96ECE">
        <w:rPr>
          <w:lang w:val="fr-FR"/>
        </w:rPr>
        <w:t>Galperine</w:t>
      </w:r>
      <w:proofErr w:type="spellEnd"/>
      <w:r w:rsidRPr="003B1303" w:rsidR="00A96ECE">
        <w:rPr>
          <w:lang w:val="fr-FR"/>
        </w:rPr>
        <w:t>, son représentant actuel.</w:t>
      </w:r>
    </w:p>
    <w:p w:rsidRPr="003B1303" w:rsidR="00E77CB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w:t>
      </w:r>
      <w:r w:rsidRPr="003B1303">
        <w:rPr>
          <w:lang w:val="fr-FR"/>
        </w:rPr>
        <w:fldChar w:fldCharType="end"/>
      </w:r>
      <w:r w:rsidRPr="003B1303" w:rsidR="00A96ECE">
        <w:rPr>
          <w:lang w:val="fr-FR"/>
        </w:rPr>
        <w:t xml:space="preserve">.  Le premier </w:t>
      </w:r>
      <w:r w:rsidRPr="003B1303" w:rsidR="00AB64C9">
        <w:rPr>
          <w:lang w:val="fr-FR"/>
        </w:rPr>
        <w:t xml:space="preserve">requérant </w:t>
      </w:r>
      <w:r w:rsidRPr="003B1303" w:rsidR="005917B1">
        <w:rPr>
          <w:lang w:val="fr-FR"/>
        </w:rPr>
        <w:t xml:space="preserve">alléguait </w:t>
      </w:r>
      <w:r w:rsidRPr="003B1303">
        <w:rPr>
          <w:lang w:val="fr-FR"/>
        </w:rPr>
        <w:t>en particulier</w:t>
      </w:r>
      <w:r w:rsidRPr="003B1303" w:rsidR="00A96ECE">
        <w:rPr>
          <w:lang w:val="fr-FR"/>
        </w:rPr>
        <w:t xml:space="preserve"> </w:t>
      </w:r>
      <w:r w:rsidRPr="003B1303" w:rsidR="005917B1">
        <w:rPr>
          <w:lang w:val="fr-FR"/>
        </w:rPr>
        <w:t xml:space="preserve">avoir </w:t>
      </w:r>
      <w:r w:rsidRPr="003B1303" w:rsidR="00A96ECE">
        <w:rPr>
          <w:lang w:val="fr-FR"/>
        </w:rPr>
        <w:t xml:space="preserve">été détenu dans de mauvaises conditions, </w:t>
      </w:r>
      <w:r w:rsidRPr="003B1303" w:rsidR="00AB64C9">
        <w:rPr>
          <w:lang w:val="fr-FR"/>
        </w:rPr>
        <w:t>qu</w:t>
      </w:r>
      <w:r w:rsidRPr="003B1303" w:rsidR="003B1303">
        <w:rPr>
          <w:lang w:val="fr-FR"/>
        </w:rPr>
        <w:t>’</w:t>
      </w:r>
      <w:r w:rsidRPr="003B1303" w:rsidR="00AB64C9">
        <w:rPr>
          <w:lang w:val="fr-FR"/>
        </w:rPr>
        <w:t xml:space="preserve">une période de sa </w:t>
      </w:r>
      <w:r w:rsidRPr="003B1303" w:rsidR="00A96ECE">
        <w:rPr>
          <w:lang w:val="fr-FR"/>
        </w:rPr>
        <w:t xml:space="preserve">détention provisoire </w:t>
      </w:r>
      <w:r w:rsidRPr="003B1303" w:rsidR="005917B1">
        <w:rPr>
          <w:lang w:val="fr-FR"/>
        </w:rPr>
        <w:t>avait été</w:t>
      </w:r>
      <w:r w:rsidRPr="003B1303" w:rsidR="00AB64C9">
        <w:rPr>
          <w:lang w:val="fr-FR"/>
        </w:rPr>
        <w:t xml:space="preserve"> illégale, </w:t>
      </w:r>
      <w:r w:rsidRPr="003B1303" w:rsidR="00A96ECE">
        <w:rPr>
          <w:lang w:val="fr-FR"/>
        </w:rPr>
        <w:t>que la durée de sa déten</w:t>
      </w:r>
      <w:r w:rsidRPr="003B1303" w:rsidR="00AB64C9">
        <w:rPr>
          <w:lang w:val="fr-FR"/>
        </w:rPr>
        <w:t xml:space="preserve">tion provisoire </w:t>
      </w:r>
      <w:r w:rsidRPr="003B1303" w:rsidR="005917B1">
        <w:rPr>
          <w:lang w:val="fr-FR"/>
        </w:rPr>
        <w:t xml:space="preserve">avait été </w:t>
      </w:r>
      <w:r w:rsidRPr="003B1303" w:rsidR="00AB64C9">
        <w:rPr>
          <w:lang w:val="fr-FR"/>
        </w:rPr>
        <w:t xml:space="preserve">excessive, </w:t>
      </w:r>
      <w:r w:rsidRPr="003B1303" w:rsidR="00A96ECE">
        <w:rPr>
          <w:lang w:val="fr-FR"/>
        </w:rPr>
        <w:t>que la régularité de celle-ci n</w:t>
      </w:r>
      <w:r w:rsidRPr="003B1303" w:rsidR="003B1303">
        <w:rPr>
          <w:lang w:val="fr-FR"/>
        </w:rPr>
        <w:t>’</w:t>
      </w:r>
      <w:r w:rsidRPr="003B1303" w:rsidR="00A96ECE">
        <w:rPr>
          <w:lang w:val="fr-FR"/>
        </w:rPr>
        <w:t>a</w:t>
      </w:r>
      <w:r w:rsidRPr="003B1303" w:rsidR="005917B1">
        <w:rPr>
          <w:lang w:val="fr-FR"/>
        </w:rPr>
        <w:t>vait</w:t>
      </w:r>
      <w:r w:rsidRPr="003B1303" w:rsidR="00A96ECE">
        <w:rPr>
          <w:lang w:val="fr-FR"/>
        </w:rPr>
        <w:t xml:space="preserve"> pas été examiné</w:t>
      </w:r>
      <w:r w:rsidRPr="003B1303" w:rsidR="005917B1">
        <w:rPr>
          <w:lang w:val="fr-FR"/>
        </w:rPr>
        <w:t>e</w:t>
      </w:r>
      <w:r w:rsidRPr="003B1303" w:rsidR="00A96ECE">
        <w:rPr>
          <w:lang w:val="fr-FR"/>
        </w:rPr>
        <w:t xml:space="preserve"> « à bref délai »</w:t>
      </w:r>
      <w:r w:rsidRPr="003B1303" w:rsidR="00AB64C9">
        <w:rPr>
          <w:lang w:val="fr-FR"/>
        </w:rPr>
        <w:t xml:space="preserve"> et que son droit à </w:t>
      </w:r>
      <w:r w:rsidRPr="003B1303" w:rsidR="005917B1">
        <w:rPr>
          <w:lang w:val="fr-FR"/>
        </w:rPr>
        <w:t xml:space="preserve">bénéficier de </w:t>
      </w:r>
      <w:r w:rsidRPr="003B1303" w:rsidR="00AB64C9">
        <w:rPr>
          <w:lang w:val="fr-FR"/>
        </w:rPr>
        <w:t>l</w:t>
      </w:r>
      <w:r w:rsidRPr="003B1303" w:rsidR="003B1303">
        <w:rPr>
          <w:lang w:val="fr-FR"/>
        </w:rPr>
        <w:t>’</w:t>
      </w:r>
      <w:r w:rsidRPr="003B1303" w:rsidR="00AB64C9">
        <w:rPr>
          <w:lang w:val="fr-FR"/>
        </w:rPr>
        <w:t>assistance d</w:t>
      </w:r>
      <w:r w:rsidRPr="003B1303" w:rsidR="003B1303">
        <w:rPr>
          <w:lang w:val="fr-FR"/>
        </w:rPr>
        <w:t>’</w:t>
      </w:r>
      <w:r w:rsidRPr="003B1303" w:rsidR="00AB64C9">
        <w:rPr>
          <w:lang w:val="fr-FR"/>
        </w:rPr>
        <w:t>un défenseur de son choix n</w:t>
      </w:r>
      <w:r w:rsidRPr="003B1303" w:rsidR="003B1303">
        <w:rPr>
          <w:lang w:val="fr-FR"/>
        </w:rPr>
        <w:t>’</w:t>
      </w:r>
      <w:r w:rsidRPr="003B1303" w:rsidR="00AB64C9">
        <w:rPr>
          <w:lang w:val="fr-FR"/>
        </w:rPr>
        <w:t>a</w:t>
      </w:r>
      <w:r w:rsidRPr="003B1303" w:rsidR="005917B1">
        <w:rPr>
          <w:lang w:val="fr-FR"/>
        </w:rPr>
        <w:t>vait</w:t>
      </w:r>
      <w:r w:rsidRPr="003B1303" w:rsidR="00AB64C9">
        <w:rPr>
          <w:lang w:val="fr-FR"/>
        </w:rPr>
        <w:t xml:space="preserve"> pas été respecté. Il invoqu</w:t>
      </w:r>
      <w:r w:rsidRPr="003B1303" w:rsidR="0008242B">
        <w:rPr>
          <w:lang w:val="fr-FR"/>
        </w:rPr>
        <w:t>ait</w:t>
      </w:r>
      <w:r w:rsidRPr="003B1303" w:rsidR="00AB64C9">
        <w:rPr>
          <w:lang w:val="fr-FR"/>
        </w:rPr>
        <w:t xml:space="preserve"> les articles 3, 5 §§ 1, 3 et 4 et 6 §§ 1 et 3 c) </w:t>
      </w:r>
      <w:r w:rsidRPr="003B1303" w:rsidR="0038670E">
        <w:rPr>
          <w:lang w:val="fr-FR"/>
        </w:rPr>
        <w:t xml:space="preserve">de la Convention </w:t>
      </w:r>
      <w:r w:rsidRPr="003B1303" w:rsidR="00AB64C9">
        <w:rPr>
          <w:lang w:val="fr-FR"/>
        </w:rPr>
        <w:t xml:space="preserve">à cet égard. </w:t>
      </w:r>
      <w:r w:rsidRPr="003B1303" w:rsidR="005917B1">
        <w:rPr>
          <w:lang w:val="fr-FR"/>
        </w:rPr>
        <w:t>Les</w:t>
      </w:r>
      <w:r w:rsidRPr="003B1303" w:rsidR="00AB64C9">
        <w:rPr>
          <w:lang w:val="fr-FR"/>
        </w:rPr>
        <w:t xml:space="preserve"> requérant</w:t>
      </w:r>
      <w:r w:rsidRPr="003B1303" w:rsidR="005917B1">
        <w:rPr>
          <w:lang w:val="fr-FR"/>
        </w:rPr>
        <w:t>s</w:t>
      </w:r>
      <w:r w:rsidRPr="003B1303" w:rsidR="00AB64C9">
        <w:rPr>
          <w:lang w:val="fr-FR"/>
        </w:rPr>
        <w:t xml:space="preserve"> </w:t>
      </w:r>
      <w:r w:rsidRPr="003B1303" w:rsidR="005917B1">
        <w:rPr>
          <w:lang w:val="fr-FR"/>
        </w:rPr>
        <w:t xml:space="preserve">alléguaient </w:t>
      </w:r>
      <w:r w:rsidRPr="003B1303" w:rsidR="00AB64C9">
        <w:rPr>
          <w:lang w:val="fr-FR"/>
        </w:rPr>
        <w:t xml:space="preserve">en outre </w:t>
      </w:r>
      <w:r w:rsidRPr="003B1303" w:rsidR="005917B1">
        <w:rPr>
          <w:lang w:val="fr-FR"/>
        </w:rPr>
        <w:t>avoir</w:t>
      </w:r>
      <w:r w:rsidRPr="003B1303" w:rsidR="00AB64C9">
        <w:rPr>
          <w:lang w:val="fr-FR"/>
        </w:rPr>
        <w:t xml:space="preserve"> été soumis à de</w:t>
      </w:r>
      <w:r w:rsidRPr="003B1303" w:rsidR="0038670E">
        <w:rPr>
          <w:lang w:val="fr-FR"/>
        </w:rPr>
        <w:t>s mauvais</w:t>
      </w:r>
      <w:r w:rsidRPr="003B1303" w:rsidR="00AB64C9">
        <w:rPr>
          <w:lang w:val="fr-FR"/>
        </w:rPr>
        <w:t xml:space="preserve"> traitements en vue de leur extorquer des aveux</w:t>
      </w:r>
      <w:r w:rsidRPr="003B1303" w:rsidR="00985413">
        <w:rPr>
          <w:lang w:val="fr-FR"/>
        </w:rPr>
        <w:t xml:space="preserve">, que les enquêtes sur leurs allégations respectives </w:t>
      </w:r>
      <w:r w:rsidRPr="003B1303" w:rsidR="00623D2D">
        <w:rPr>
          <w:lang w:val="fr-FR"/>
        </w:rPr>
        <w:t>n</w:t>
      </w:r>
      <w:r w:rsidRPr="003B1303" w:rsidR="003B1303">
        <w:rPr>
          <w:lang w:val="fr-FR"/>
        </w:rPr>
        <w:t>’</w:t>
      </w:r>
      <w:r w:rsidRPr="003B1303" w:rsidR="00623D2D">
        <w:rPr>
          <w:lang w:val="fr-FR"/>
        </w:rPr>
        <w:t xml:space="preserve">avaient </w:t>
      </w:r>
      <w:r w:rsidRPr="003B1303" w:rsidR="00985413">
        <w:rPr>
          <w:lang w:val="fr-FR"/>
        </w:rPr>
        <w:t>pas été effectives</w:t>
      </w:r>
      <w:r w:rsidRPr="003B1303" w:rsidR="00AB64C9">
        <w:rPr>
          <w:lang w:val="fr-FR"/>
        </w:rPr>
        <w:t xml:space="preserve"> et que </w:t>
      </w:r>
      <w:r w:rsidRPr="003B1303" w:rsidR="00985413">
        <w:rPr>
          <w:lang w:val="fr-FR"/>
        </w:rPr>
        <w:t xml:space="preserve">leurs </w:t>
      </w:r>
      <w:r w:rsidRPr="003B1303" w:rsidR="00AB64C9">
        <w:rPr>
          <w:lang w:val="fr-FR"/>
        </w:rPr>
        <w:t xml:space="preserve">aveux </w:t>
      </w:r>
      <w:r w:rsidRPr="003B1303" w:rsidR="005917B1">
        <w:rPr>
          <w:lang w:val="fr-FR"/>
        </w:rPr>
        <w:t>avaient</w:t>
      </w:r>
      <w:r w:rsidRPr="003B1303" w:rsidR="00AB64C9">
        <w:rPr>
          <w:lang w:val="fr-FR"/>
        </w:rPr>
        <w:t xml:space="preserve"> par la suite </w:t>
      </w:r>
      <w:r w:rsidRPr="003B1303" w:rsidR="005917B1">
        <w:rPr>
          <w:lang w:val="fr-FR"/>
        </w:rPr>
        <w:t xml:space="preserve">été </w:t>
      </w:r>
      <w:r w:rsidRPr="003B1303" w:rsidR="00AB64C9">
        <w:rPr>
          <w:lang w:val="fr-FR"/>
        </w:rPr>
        <w:t>utilisé</w:t>
      </w:r>
      <w:r w:rsidRPr="003B1303" w:rsidR="00371C85">
        <w:rPr>
          <w:lang w:val="fr-FR"/>
        </w:rPr>
        <w:t>s</w:t>
      </w:r>
      <w:r w:rsidRPr="003B1303" w:rsidR="00AB64C9">
        <w:rPr>
          <w:lang w:val="fr-FR"/>
        </w:rPr>
        <w:t xml:space="preserve"> dans le procès pénal dirigé à leur encontre. Ils invoqu</w:t>
      </w:r>
      <w:r w:rsidRPr="003B1303" w:rsidR="0008242B">
        <w:rPr>
          <w:lang w:val="fr-FR"/>
        </w:rPr>
        <w:t>ai</w:t>
      </w:r>
      <w:r w:rsidRPr="003B1303" w:rsidR="00AB64C9">
        <w:rPr>
          <w:lang w:val="fr-FR"/>
        </w:rPr>
        <w:t>ent les articles 3 et 6 § 1 de la Con</w:t>
      </w:r>
      <w:r w:rsidRPr="003B1303" w:rsidR="00595E52">
        <w:rPr>
          <w:lang w:val="fr-FR"/>
        </w:rPr>
        <w:t>vention en ce qui concerne cet</w:t>
      </w:r>
      <w:r w:rsidRPr="003B1303" w:rsidR="00AB64C9">
        <w:rPr>
          <w:lang w:val="fr-FR"/>
        </w:rPr>
        <w:t xml:space="preserve"> aspect de leurs requêtes.</w:t>
      </w:r>
    </w:p>
    <w:p w:rsidRPr="003B1303" w:rsidR="00E77CB3" w:rsidP="003B1303" w:rsidRDefault="00687C74">
      <w:pPr>
        <w:pStyle w:val="ECHRPara"/>
        <w:rPr>
          <w:szCs w:val="24"/>
          <w:lang w:val="fr-FR" w:eastAsia="en-GB"/>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w:t>
      </w:r>
      <w:r w:rsidRPr="003B1303">
        <w:rPr>
          <w:lang w:val="fr-FR"/>
        </w:rPr>
        <w:fldChar w:fldCharType="end"/>
      </w:r>
      <w:r w:rsidRPr="003B1303" w:rsidR="00E77CB3">
        <w:rPr>
          <w:lang w:val="fr-FR"/>
        </w:rPr>
        <w:t>.  </w:t>
      </w:r>
      <w:r w:rsidRPr="003B1303">
        <w:rPr>
          <w:lang w:val="fr-FR"/>
        </w:rPr>
        <w:t xml:space="preserve">Le </w:t>
      </w:r>
      <w:r w:rsidRPr="003B1303" w:rsidR="00AB64C9">
        <w:rPr>
          <w:lang w:val="fr-FR"/>
        </w:rPr>
        <w:t>1</w:t>
      </w:r>
      <w:r w:rsidRPr="003B1303" w:rsidR="00C64E83">
        <w:rPr>
          <w:vertAlign w:val="superscript"/>
          <w:lang w:val="fr-FR"/>
        </w:rPr>
        <w:t>er</w:t>
      </w:r>
      <w:r w:rsidRPr="003B1303" w:rsidR="00C64E83">
        <w:rPr>
          <w:lang w:val="fr-FR"/>
        </w:rPr>
        <w:t xml:space="preserve"> </w:t>
      </w:r>
      <w:r w:rsidRPr="003B1303" w:rsidR="00AB64C9">
        <w:rPr>
          <w:lang w:val="fr-FR"/>
        </w:rPr>
        <w:t>décembre 2016</w:t>
      </w:r>
      <w:r w:rsidRPr="003B1303" w:rsidR="00E77CB3">
        <w:rPr>
          <w:lang w:val="fr-FR"/>
        </w:rPr>
        <w:t xml:space="preserve">, </w:t>
      </w:r>
      <w:r w:rsidRPr="003B1303">
        <w:rPr>
          <w:lang w:val="fr-FR"/>
        </w:rPr>
        <w:t xml:space="preserve">les </w:t>
      </w:r>
      <w:r w:rsidRPr="003B1303" w:rsidR="00595E52">
        <w:rPr>
          <w:lang w:val="fr-FR"/>
        </w:rPr>
        <w:t>griefs énumérés ci</w:t>
      </w:r>
      <w:r w:rsidRPr="003B1303" w:rsidR="00595E52">
        <w:rPr>
          <w:lang w:val="fr-FR"/>
        </w:rPr>
        <w:noBreakHyphen/>
        <w:t xml:space="preserve">dessus </w:t>
      </w:r>
      <w:r w:rsidRPr="003B1303">
        <w:rPr>
          <w:lang w:val="fr-FR"/>
        </w:rPr>
        <w:t xml:space="preserve">ont été communiqués au Gouvernement </w:t>
      </w:r>
      <w:r w:rsidRPr="003B1303">
        <w:rPr>
          <w:rFonts w:ascii="Times New Roman" w:hAnsi="Times New Roman" w:eastAsia="Times New Roman" w:cs="Times New Roman"/>
          <w:lang w:val="fr-FR"/>
        </w:rPr>
        <w:t>et les requêtes n</w:t>
      </w:r>
      <w:r w:rsidRPr="003B1303">
        <w:rPr>
          <w:rFonts w:ascii="Times New Roman" w:hAnsi="Times New Roman" w:eastAsia="Times New Roman" w:cs="Times New Roman"/>
          <w:vertAlign w:val="superscript"/>
          <w:lang w:val="fr-FR"/>
        </w:rPr>
        <w:t>os</w:t>
      </w:r>
      <w:r w:rsidRPr="003B1303" w:rsidR="00595E52">
        <w:rPr>
          <w:rFonts w:ascii="Times New Roman" w:hAnsi="Times New Roman" w:eastAsia="Times New Roman" w:cs="Times New Roman"/>
          <w:vertAlign w:val="superscript"/>
          <w:lang w:val="fr-FR"/>
        </w:rPr>
        <w:t> </w:t>
      </w:r>
      <w:r w:rsidRPr="003B1303" w:rsidR="00595E52">
        <w:rPr>
          <w:rFonts w:ascii="Times New Roman" w:hAnsi="Times New Roman" w:eastAsia="Times New Roman" w:cs="Times New Roman"/>
          <w:lang w:val="fr-FR"/>
        </w:rPr>
        <w:t>45767/09 et 40452/10</w:t>
      </w:r>
      <w:r w:rsidRPr="003B1303">
        <w:rPr>
          <w:rFonts w:ascii="Times New Roman" w:hAnsi="Times New Roman" w:eastAsia="Times New Roman" w:cs="Times New Roman"/>
          <w:lang w:val="fr-FR"/>
        </w:rPr>
        <w:t xml:space="preserve"> ont été déclarées irrecevables pour le surplus</w:t>
      </w:r>
      <w:r w:rsidRPr="003B1303">
        <w:rPr>
          <w:lang w:val="fr-FR"/>
        </w:rPr>
        <w:t xml:space="preserve"> conformément à l</w:t>
      </w:r>
      <w:r w:rsidRPr="003B1303" w:rsidR="003B1303">
        <w:rPr>
          <w:lang w:val="fr-FR"/>
        </w:rPr>
        <w:t>’</w:t>
      </w:r>
      <w:r w:rsidRPr="003B1303" w:rsidR="00595E52">
        <w:rPr>
          <w:lang w:val="fr-FR"/>
        </w:rPr>
        <w:t>article</w:t>
      </w:r>
      <w:r w:rsidRPr="003B1303" w:rsidR="00BE4C83">
        <w:rPr>
          <w:lang w:val="fr-FR"/>
        </w:rPr>
        <w:t> </w:t>
      </w:r>
      <w:r w:rsidRPr="003B1303" w:rsidR="00595E52">
        <w:rPr>
          <w:lang w:val="fr-FR"/>
        </w:rPr>
        <w:t>54 § </w:t>
      </w:r>
      <w:r w:rsidRPr="003B1303">
        <w:rPr>
          <w:lang w:val="fr-FR"/>
        </w:rPr>
        <w:t>3 du règlement de la Cour</w:t>
      </w:r>
      <w:r w:rsidRPr="003B1303" w:rsidR="00646454">
        <w:rPr>
          <w:lang w:val="fr-FR"/>
        </w:rPr>
        <w:t>.</w:t>
      </w:r>
    </w:p>
    <w:p w:rsidRPr="003B1303" w:rsidR="00E77CB3" w:rsidP="003B1303" w:rsidRDefault="00E77CB3">
      <w:pPr>
        <w:pStyle w:val="ECHRTitle1"/>
        <w:rPr>
          <w:lang w:val="fr-FR"/>
        </w:rPr>
      </w:pPr>
      <w:r w:rsidRPr="003B1303">
        <w:rPr>
          <w:lang w:val="fr-FR"/>
        </w:rPr>
        <w:t>EN FAIT</w:t>
      </w:r>
    </w:p>
    <w:p w:rsidRPr="003B1303" w:rsidR="00E77CB3" w:rsidP="003B1303" w:rsidRDefault="00E77CB3">
      <w:pPr>
        <w:pStyle w:val="ECHRHeading1"/>
        <w:rPr>
          <w:lang w:val="fr-FR"/>
        </w:rPr>
      </w:pPr>
      <w:r w:rsidRPr="003B1303">
        <w:rPr>
          <w:lang w:val="fr-FR"/>
        </w:rPr>
        <w:t>I.  LES CIRCONSTANCES DE L</w:t>
      </w:r>
      <w:r w:rsidRPr="003B1303" w:rsidR="003B1303">
        <w:rPr>
          <w:lang w:val="fr-FR"/>
        </w:rPr>
        <w:t>’</w:t>
      </w:r>
      <w:r w:rsidRPr="003B1303">
        <w:rPr>
          <w:lang w:val="fr-FR"/>
        </w:rPr>
        <w:t>ESPÈCE</w:t>
      </w:r>
    </w:p>
    <w:p w:rsidRPr="003B1303" w:rsidR="00E77CB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w:t>
      </w:r>
      <w:r w:rsidRPr="003B1303">
        <w:rPr>
          <w:lang w:val="fr-FR"/>
        </w:rPr>
        <w:fldChar w:fldCharType="end"/>
      </w:r>
      <w:r w:rsidRPr="003B1303" w:rsidR="00E77CB3">
        <w:rPr>
          <w:lang w:val="fr-FR"/>
        </w:rPr>
        <w:t>.  </w:t>
      </w:r>
      <w:r w:rsidRPr="003B1303">
        <w:rPr>
          <w:lang w:val="fr-FR"/>
        </w:rPr>
        <w:t>Le</w:t>
      </w:r>
      <w:r w:rsidRPr="003B1303" w:rsidR="00636801">
        <w:rPr>
          <w:lang w:val="fr-FR"/>
        </w:rPr>
        <w:t xml:space="preserve"> premier requérant</w:t>
      </w:r>
      <w:r w:rsidRPr="003B1303">
        <w:rPr>
          <w:lang w:val="fr-FR"/>
        </w:rPr>
        <w:t xml:space="preserve"> </w:t>
      </w:r>
      <w:r w:rsidRPr="003B1303" w:rsidR="00636801">
        <w:rPr>
          <w:lang w:val="fr-FR"/>
        </w:rPr>
        <w:t>est né</w:t>
      </w:r>
      <w:r w:rsidRPr="003B1303">
        <w:rPr>
          <w:lang w:val="fr-FR"/>
        </w:rPr>
        <w:t xml:space="preserve"> en 1950 et </w:t>
      </w:r>
      <w:r w:rsidRPr="003B1303" w:rsidR="005917B1">
        <w:rPr>
          <w:lang w:val="fr-FR"/>
        </w:rPr>
        <w:t xml:space="preserve">est </w:t>
      </w:r>
      <w:r w:rsidRPr="003B1303" w:rsidR="00636801">
        <w:rPr>
          <w:lang w:val="fr-FR"/>
        </w:rPr>
        <w:t>détenu</w:t>
      </w:r>
      <w:r w:rsidRPr="003B1303">
        <w:rPr>
          <w:lang w:val="fr-FR"/>
        </w:rPr>
        <w:t xml:space="preserve"> à </w:t>
      </w:r>
      <w:r w:rsidRPr="003B1303" w:rsidR="00C044E0">
        <w:rPr>
          <w:lang w:val="fr-FR"/>
        </w:rPr>
        <w:t>Irkoutsk</w:t>
      </w:r>
      <w:r w:rsidRPr="003B1303" w:rsidR="00E77CB3">
        <w:rPr>
          <w:lang w:val="fr-FR"/>
        </w:rPr>
        <w:t>.</w:t>
      </w:r>
      <w:r w:rsidRPr="003B1303" w:rsidR="00636801">
        <w:rPr>
          <w:lang w:val="fr-FR"/>
        </w:rPr>
        <w:t xml:space="preserve"> Le second requérant est né en 1968 et </w:t>
      </w:r>
      <w:r w:rsidRPr="003B1303" w:rsidR="005917B1">
        <w:rPr>
          <w:lang w:val="fr-FR"/>
        </w:rPr>
        <w:t xml:space="preserve">est </w:t>
      </w:r>
      <w:r w:rsidRPr="003B1303" w:rsidR="00636801">
        <w:rPr>
          <w:lang w:val="fr-FR"/>
        </w:rPr>
        <w:t xml:space="preserve">détenu à </w:t>
      </w:r>
      <w:proofErr w:type="spellStart"/>
      <w:r w:rsidRPr="003B1303" w:rsidR="00371C85">
        <w:rPr>
          <w:lang w:val="fr-FR"/>
        </w:rPr>
        <w:t>Verkhnéouralsk</w:t>
      </w:r>
      <w:proofErr w:type="spellEnd"/>
      <w:r w:rsidRPr="003B1303" w:rsidR="00636801">
        <w:rPr>
          <w:lang w:val="fr-FR"/>
        </w:rPr>
        <w:t>.</w:t>
      </w:r>
    </w:p>
    <w:p w:rsidRPr="003B1303" w:rsidR="003420DE" w:rsidP="003B1303" w:rsidRDefault="00C044E0">
      <w:pPr>
        <w:pStyle w:val="ECHRHeading2"/>
        <w:rPr>
          <w:lang w:val="fr-FR"/>
        </w:rPr>
      </w:pPr>
      <w:r w:rsidRPr="003B1303">
        <w:rPr>
          <w:lang w:val="fr-FR"/>
        </w:rPr>
        <w:t>A.  Le contexte de l</w:t>
      </w:r>
      <w:r w:rsidRPr="003B1303" w:rsidR="003B1303">
        <w:rPr>
          <w:lang w:val="fr-FR"/>
        </w:rPr>
        <w:t>’</w:t>
      </w:r>
      <w:r w:rsidRPr="003B1303" w:rsidR="00951E47">
        <w:rPr>
          <w:lang w:val="fr-FR"/>
        </w:rPr>
        <w:t>affaire</w:t>
      </w:r>
    </w:p>
    <w:p w:rsidRPr="003B1303" w:rsidR="0084206D"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w:t>
      </w:r>
      <w:r w:rsidRPr="003B1303">
        <w:rPr>
          <w:lang w:val="fr-FR"/>
        </w:rPr>
        <w:fldChar w:fldCharType="end"/>
      </w:r>
      <w:r w:rsidRPr="003B1303" w:rsidR="00E77CB3">
        <w:rPr>
          <w:lang w:val="fr-FR"/>
        </w:rPr>
        <w:t>.  </w:t>
      </w:r>
      <w:r w:rsidRPr="003B1303" w:rsidR="008B3B02">
        <w:rPr>
          <w:lang w:val="fr-FR"/>
        </w:rPr>
        <w:t xml:space="preserve">Le 5 </w:t>
      </w:r>
      <w:r w:rsidRPr="003B1303" w:rsidR="003420DE">
        <w:rPr>
          <w:lang w:val="fr-FR"/>
        </w:rPr>
        <w:t xml:space="preserve">janvier 1999, </w:t>
      </w:r>
      <w:r w:rsidRPr="003B1303" w:rsidR="008B3B02">
        <w:rPr>
          <w:lang w:val="fr-FR"/>
        </w:rPr>
        <w:t xml:space="preserve">S., procureur adjoint de la ville de Bratsk, fut </w:t>
      </w:r>
      <w:r w:rsidRPr="003B1303" w:rsidR="00951E47">
        <w:rPr>
          <w:lang w:val="fr-FR"/>
        </w:rPr>
        <w:t>assassiné</w:t>
      </w:r>
      <w:r w:rsidRPr="003B1303" w:rsidR="008B3B02">
        <w:rPr>
          <w:lang w:val="fr-FR"/>
        </w:rPr>
        <w:t>. Le même jour</w:t>
      </w:r>
      <w:r w:rsidRPr="003B1303" w:rsidR="005917B1">
        <w:rPr>
          <w:lang w:val="fr-FR"/>
        </w:rPr>
        <w:t>,</w:t>
      </w:r>
      <w:r w:rsidRPr="003B1303" w:rsidR="008B3B02">
        <w:rPr>
          <w:lang w:val="fr-FR"/>
        </w:rPr>
        <w:t xml:space="preserve"> une enquête pénale</w:t>
      </w:r>
      <w:r w:rsidRPr="003B1303" w:rsidR="00C044E0">
        <w:rPr>
          <w:lang w:val="fr-FR"/>
        </w:rPr>
        <w:t xml:space="preserve"> </w:t>
      </w:r>
      <w:r w:rsidRPr="003B1303" w:rsidR="0084206D">
        <w:rPr>
          <w:lang w:val="fr-FR"/>
        </w:rPr>
        <w:t xml:space="preserve">pour meurtre </w:t>
      </w:r>
      <w:r w:rsidRPr="003B1303" w:rsidR="008B3B02">
        <w:rPr>
          <w:lang w:val="fr-FR"/>
        </w:rPr>
        <w:t xml:space="preserve">fut ouverte </w:t>
      </w:r>
      <w:r w:rsidRPr="003B1303" w:rsidR="00C044E0">
        <w:rPr>
          <w:lang w:val="fr-FR"/>
        </w:rPr>
        <w:t>et enregistrée sous le numéro 16029.</w:t>
      </w:r>
    </w:p>
    <w:p w:rsidRPr="003B1303" w:rsidR="00BE4C83"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w:t>
      </w:r>
      <w:r w:rsidRPr="003B1303">
        <w:rPr>
          <w:lang w:val="fr-FR"/>
        </w:rPr>
        <w:fldChar w:fldCharType="end"/>
      </w:r>
      <w:r w:rsidRPr="003B1303">
        <w:rPr>
          <w:lang w:val="fr-FR"/>
        </w:rPr>
        <w:t>.  </w:t>
      </w:r>
      <w:r w:rsidRPr="003B1303" w:rsidR="00C044E0">
        <w:rPr>
          <w:lang w:val="fr-FR"/>
        </w:rPr>
        <w:t>L</w:t>
      </w:r>
      <w:r w:rsidRPr="003B1303" w:rsidR="008B3B02">
        <w:rPr>
          <w:lang w:val="fr-FR"/>
        </w:rPr>
        <w:t>e 24 mai 2001</w:t>
      </w:r>
      <w:r w:rsidRPr="003B1303" w:rsidR="00C044E0">
        <w:rPr>
          <w:lang w:val="fr-FR"/>
        </w:rPr>
        <w:t xml:space="preserve">, </w:t>
      </w:r>
      <w:r w:rsidRPr="003B1303" w:rsidR="005917B1">
        <w:rPr>
          <w:lang w:val="fr-FR"/>
        </w:rPr>
        <w:t>cette enquête</w:t>
      </w:r>
      <w:r w:rsidRPr="003B1303" w:rsidR="00C044E0">
        <w:rPr>
          <w:lang w:val="fr-FR"/>
        </w:rPr>
        <w:t xml:space="preserve"> fut suspendue </w:t>
      </w:r>
      <w:r w:rsidRPr="003B1303" w:rsidR="008B3B02">
        <w:rPr>
          <w:lang w:val="fr-FR"/>
        </w:rPr>
        <w:t xml:space="preserve">pour </w:t>
      </w:r>
      <w:r w:rsidRPr="003B1303">
        <w:rPr>
          <w:lang w:val="fr-FR"/>
        </w:rPr>
        <w:t>non</w:t>
      </w:r>
      <w:r w:rsidRPr="003B1303">
        <w:rPr>
          <w:lang w:val="fr-FR"/>
        </w:rPr>
        <w:noBreakHyphen/>
      </w:r>
      <w:r w:rsidRPr="003B1303" w:rsidR="005917B1">
        <w:rPr>
          <w:lang w:val="fr-FR"/>
        </w:rPr>
        <w:t xml:space="preserve">identification </w:t>
      </w:r>
      <w:r w:rsidRPr="003B1303">
        <w:rPr>
          <w:lang w:val="fr-FR"/>
        </w:rPr>
        <w:t>du</w:t>
      </w:r>
      <w:r w:rsidRPr="003B1303" w:rsidR="008B3B02">
        <w:rPr>
          <w:lang w:val="fr-FR"/>
        </w:rPr>
        <w:t xml:space="preserve"> coupable.</w:t>
      </w:r>
    </w:p>
    <w:bookmarkStart w:name="reouven" w:id="1"/>
    <w:p w:rsidRPr="003B1303" w:rsidR="008B3B02" w:rsidP="003B1303" w:rsidRDefault="008B3B02">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w:t>
      </w:r>
      <w:r w:rsidRPr="003B1303">
        <w:rPr>
          <w:lang w:val="fr-FR"/>
        </w:rPr>
        <w:fldChar w:fldCharType="end"/>
      </w:r>
      <w:bookmarkEnd w:id="1"/>
      <w:r w:rsidRPr="003B1303">
        <w:rPr>
          <w:lang w:val="fr-FR"/>
        </w:rPr>
        <w:t>.  Le 2 avril 2008, l</w:t>
      </w:r>
      <w:r w:rsidRPr="003B1303" w:rsidR="003B1303">
        <w:rPr>
          <w:lang w:val="fr-FR"/>
        </w:rPr>
        <w:t>’</w:t>
      </w:r>
      <w:r w:rsidRPr="003B1303">
        <w:rPr>
          <w:lang w:val="fr-FR"/>
        </w:rPr>
        <w:t>enquêteur M.</w:t>
      </w:r>
      <w:r w:rsidRPr="003B1303" w:rsidR="005917B1">
        <w:rPr>
          <w:lang w:val="fr-FR"/>
        </w:rPr>
        <w:t>,</w:t>
      </w:r>
      <w:r w:rsidRPr="003B1303">
        <w:rPr>
          <w:lang w:val="fr-FR"/>
        </w:rPr>
        <w:t xml:space="preserve"> du comité d</w:t>
      </w:r>
      <w:r w:rsidRPr="003B1303" w:rsidR="003B1303">
        <w:rPr>
          <w:lang w:val="fr-FR"/>
        </w:rPr>
        <w:t>’</w:t>
      </w:r>
      <w:r w:rsidRPr="003B1303">
        <w:rPr>
          <w:lang w:val="fr-FR"/>
        </w:rPr>
        <w:t>instruction rattaché au service du procureur de la région d</w:t>
      </w:r>
      <w:r w:rsidRPr="003B1303" w:rsidR="003B1303">
        <w:rPr>
          <w:lang w:val="fr-FR"/>
        </w:rPr>
        <w:t>’</w:t>
      </w:r>
      <w:r w:rsidRPr="003B1303">
        <w:rPr>
          <w:lang w:val="fr-FR"/>
        </w:rPr>
        <w:t xml:space="preserve">Irkoutsk </w:t>
      </w:r>
      <w:r w:rsidRPr="003B1303" w:rsidR="00B15E0B">
        <w:rPr>
          <w:lang w:val="fr-FR"/>
        </w:rPr>
        <w:t>(</w:t>
      </w:r>
      <w:proofErr w:type="spellStart"/>
      <w:r w:rsidRPr="003B1303" w:rsidR="00B15E0B">
        <w:rPr>
          <w:i/>
          <w:iCs/>
          <w:lang w:val="fr-FR"/>
        </w:rPr>
        <w:t>следственный</w:t>
      </w:r>
      <w:proofErr w:type="spellEnd"/>
      <w:r w:rsidRPr="003B1303" w:rsidR="00B15E0B">
        <w:rPr>
          <w:i/>
          <w:iCs/>
          <w:lang w:val="fr-FR"/>
        </w:rPr>
        <w:t xml:space="preserve"> </w:t>
      </w:r>
      <w:proofErr w:type="spellStart"/>
      <w:r w:rsidRPr="003B1303" w:rsidR="00B15E0B">
        <w:rPr>
          <w:i/>
          <w:iCs/>
          <w:lang w:val="fr-FR"/>
        </w:rPr>
        <w:t>комитет</w:t>
      </w:r>
      <w:proofErr w:type="spellEnd"/>
      <w:r w:rsidRPr="003B1303" w:rsidR="00B15E0B">
        <w:rPr>
          <w:lang w:val="fr-FR"/>
        </w:rPr>
        <w:t xml:space="preserve">) </w:t>
      </w:r>
      <w:r w:rsidRPr="003B1303" w:rsidR="00E30B4B">
        <w:rPr>
          <w:lang w:val="fr-FR"/>
        </w:rPr>
        <w:t>rouvrit</w:t>
      </w:r>
      <w:r w:rsidRPr="003B1303">
        <w:rPr>
          <w:lang w:val="fr-FR"/>
        </w:rPr>
        <w:t xml:space="preserve"> l</w:t>
      </w:r>
      <w:r w:rsidRPr="003B1303" w:rsidR="003B1303">
        <w:rPr>
          <w:lang w:val="fr-FR"/>
        </w:rPr>
        <w:t>’</w:t>
      </w:r>
      <w:r w:rsidRPr="003B1303">
        <w:rPr>
          <w:lang w:val="fr-FR"/>
        </w:rPr>
        <w:t>enquête pénale n</w:t>
      </w:r>
      <w:r w:rsidRPr="003B1303">
        <w:rPr>
          <w:vertAlign w:val="superscript"/>
          <w:lang w:val="fr-FR"/>
        </w:rPr>
        <w:t>o</w:t>
      </w:r>
      <w:r w:rsidRPr="003B1303">
        <w:rPr>
          <w:lang w:val="fr-FR"/>
        </w:rPr>
        <w:t xml:space="preserve"> 16029 au motif </w:t>
      </w:r>
      <w:r w:rsidRPr="003B1303" w:rsidR="005917B1">
        <w:rPr>
          <w:lang w:val="fr-FR"/>
        </w:rPr>
        <w:t xml:space="preserve">que </w:t>
      </w:r>
      <w:r w:rsidRPr="003B1303" w:rsidR="0084206D">
        <w:rPr>
          <w:lang w:val="fr-FR"/>
        </w:rPr>
        <w:t xml:space="preserve">de </w:t>
      </w:r>
      <w:r w:rsidRPr="003B1303" w:rsidR="00951E47">
        <w:rPr>
          <w:lang w:val="fr-FR"/>
        </w:rPr>
        <w:t xml:space="preserve">nouveaux éléments </w:t>
      </w:r>
      <w:r w:rsidRPr="003B1303" w:rsidR="005917B1">
        <w:rPr>
          <w:lang w:val="fr-FR"/>
        </w:rPr>
        <w:t xml:space="preserve">concernant </w:t>
      </w:r>
      <w:r w:rsidRPr="003B1303" w:rsidR="00951E47">
        <w:rPr>
          <w:lang w:val="fr-FR"/>
        </w:rPr>
        <w:t>d</w:t>
      </w:r>
      <w:r w:rsidRPr="003B1303">
        <w:rPr>
          <w:lang w:val="fr-FR"/>
        </w:rPr>
        <w:t>es personnes qui pouvaient être impliquées dans l</w:t>
      </w:r>
      <w:r w:rsidRPr="003B1303" w:rsidR="0084206D">
        <w:rPr>
          <w:lang w:val="fr-FR"/>
        </w:rPr>
        <w:t>e meurtre</w:t>
      </w:r>
      <w:r w:rsidRPr="003B1303">
        <w:rPr>
          <w:lang w:val="fr-FR"/>
        </w:rPr>
        <w:t xml:space="preserve"> de S.</w:t>
      </w:r>
      <w:r w:rsidRPr="003B1303" w:rsidR="005917B1">
        <w:rPr>
          <w:lang w:val="fr-FR"/>
        </w:rPr>
        <w:t xml:space="preserve"> avaient été identifiés.</w:t>
      </w:r>
      <w:r w:rsidRPr="003B1303">
        <w:rPr>
          <w:lang w:val="fr-FR"/>
        </w:rPr>
        <w:t xml:space="preserve"> </w:t>
      </w:r>
      <w:r w:rsidRPr="003B1303" w:rsidR="005023C2">
        <w:rPr>
          <w:lang w:val="fr-FR"/>
        </w:rPr>
        <w:t>L</w:t>
      </w:r>
      <w:r w:rsidRPr="003B1303" w:rsidR="003B1303">
        <w:rPr>
          <w:lang w:val="fr-FR"/>
        </w:rPr>
        <w:t>’</w:t>
      </w:r>
      <w:r w:rsidRPr="003B1303" w:rsidR="005023C2">
        <w:rPr>
          <w:lang w:val="fr-FR"/>
        </w:rPr>
        <w:t xml:space="preserve">affaire fut </w:t>
      </w:r>
      <w:r w:rsidRPr="003B1303" w:rsidR="003E0C93">
        <w:rPr>
          <w:lang w:val="fr-FR"/>
        </w:rPr>
        <w:t>attribuée à un groupe d</w:t>
      </w:r>
      <w:r w:rsidRPr="003B1303" w:rsidR="003B1303">
        <w:rPr>
          <w:lang w:val="fr-FR"/>
        </w:rPr>
        <w:t>’</w:t>
      </w:r>
      <w:r w:rsidRPr="003B1303" w:rsidR="003E0C93">
        <w:rPr>
          <w:lang w:val="fr-FR"/>
        </w:rPr>
        <w:t xml:space="preserve">enquêteurs dont </w:t>
      </w:r>
      <w:r w:rsidRPr="003B1303" w:rsidR="005917B1">
        <w:rPr>
          <w:lang w:val="fr-FR"/>
        </w:rPr>
        <w:t xml:space="preserve">faisaient partie </w:t>
      </w:r>
      <w:r w:rsidRPr="003B1303" w:rsidR="003E0C93">
        <w:rPr>
          <w:lang w:val="fr-FR"/>
        </w:rPr>
        <w:t>M.</w:t>
      </w:r>
      <w:r w:rsidRPr="003B1303" w:rsidR="00E26B99">
        <w:rPr>
          <w:lang w:val="fr-FR"/>
        </w:rPr>
        <w:t xml:space="preserve">, </w:t>
      </w:r>
      <w:r w:rsidRPr="003B1303" w:rsidR="003E0C93">
        <w:rPr>
          <w:lang w:val="fr-FR"/>
        </w:rPr>
        <w:t>B.</w:t>
      </w:r>
      <w:r w:rsidRPr="003B1303" w:rsidR="0034578A">
        <w:rPr>
          <w:lang w:val="fr-FR"/>
        </w:rPr>
        <w:t>, Se.</w:t>
      </w:r>
      <w:r w:rsidRPr="003B1303" w:rsidR="00E30B4B">
        <w:rPr>
          <w:lang w:val="fr-FR"/>
        </w:rPr>
        <w:t xml:space="preserve"> </w:t>
      </w:r>
      <w:proofErr w:type="gramStart"/>
      <w:r w:rsidRPr="003B1303" w:rsidR="00E30B4B">
        <w:rPr>
          <w:lang w:val="fr-FR"/>
        </w:rPr>
        <w:t>et</w:t>
      </w:r>
      <w:proofErr w:type="gramEnd"/>
      <w:r w:rsidRPr="003B1303" w:rsidR="00E30B4B">
        <w:rPr>
          <w:lang w:val="fr-FR"/>
        </w:rPr>
        <w:t xml:space="preserve"> </w:t>
      </w:r>
      <w:r w:rsidRPr="003B1303" w:rsidR="00E26B99">
        <w:rPr>
          <w:lang w:val="fr-FR"/>
        </w:rPr>
        <w:t>Bu</w:t>
      </w:r>
      <w:r w:rsidRPr="003B1303" w:rsidR="006F40A2">
        <w:rPr>
          <w:lang w:val="fr-FR"/>
        </w:rPr>
        <w:t>.</w:t>
      </w:r>
    </w:p>
    <w:p w:rsidRPr="003B1303" w:rsidR="00DD6941" w:rsidP="003B1303" w:rsidRDefault="009E2D7C">
      <w:pPr>
        <w:pStyle w:val="ECHRHeading2"/>
        <w:rPr>
          <w:lang w:val="fr-FR"/>
        </w:rPr>
      </w:pPr>
      <w:r w:rsidRPr="003B1303">
        <w:rPr>
          <w:lang w:val="fr-FR"/>
        </w:rPr>
        <w:t>B.  </w:t>
      </w:r>
      <w:r w:rsidRPr="003B1303" w:rsidR="00DD6941">
        <w:rPr>
          <w:lang w:val="fr-FR"/>
        </w:rPr>
        <w:t>L</w:t>
      </w:r>
      <w:r w:rsidRPr="003B1303" w:rsidR="003B1303">
        <w:rPr>
          <w:lang w:val="fr-FR"/>
        </w:rPr>
        <w:t>’</w:t>
      </w:r>
      <w:r w:rsidRPr="003B1303" w:rsidR="00DD6941">
        <w:rPr>
          <w:lang w:val="fr-FR"/>
        </w:rPr>
        <w:t>enquête pénale</w:t>
      </w:r>
    </w:p>
    <w:p w:rsidRPr="003B1303" w:rsidR="007823F8" w:rsidP="003B1303" w:rsidRDefault="00DD6941">
      <w:pPr>
        <w:pStyle w:val="ECHRHeading3"/>
        <w:rPr>
          <w:lang w:val="fr-FR"/>
        </w:rPr>
      </w:pPr>
      <w:r w:rsidRPr="003B1303">
        <w:rPr>
          <w:lang w:val="fr-FR"/>
        </w:rPr>
        <w:t>1</w:t>
      </w:r>
      <w:r w:rsidRPr="003B1303" w:rsidR="007823F8">
        <w:rPr>
          <w:lang w:val="fr-FR"/>
        </w:rPr>
        <w:t>.  </w:t>
      </w:r>
      <w:r w:rsidRPr="003B1303" w:rsidR="00951E47">
        <w:rPr>
          <w:lang w:val="fr-FR"/>
        </w:rPr>
        <w:t>Les c</w:t>
      </w:r>
      <w:r w:rsidRPr="003B1303" w:rsidR="007823F8">
        <w:rPr>
          <w:lang w:val="fr-FR"/>
        </w:rPr>
        <w:t>irconstances relatives au premier requérant</w:t>
      </w:r>
    </w:p>
    <w:p w:rsidRPr="003B1303" w:rsidR="00BE4C83" w:rsidP="003B1303" w:rsidRDefault="00DD6941">
      <w:pPr>
        <w:pStyle w:val="ECHRHeading4"/>
        <w:rPr>
          <w:lang w:val="fr-FR"/>
        </w:rPr>
      </w:pPr>
      <w:r w:rsidRPr="003B1303">
        <w:rPr>
          <w:lang w:val="fr-FR"/>
        </w:rPr>
        <w:t>a)</w:t>
      </w:r>
      <w:r w:rsidRPr="003B1303" w:rsidR="00C044E0">
        <w:rPr>
          <w:lang w:val="fr-FR"/>
        </w:rPr>
        <w:t>  L</w:t>
      </w:r>
      <w:r w:rsidRPr="003B1303" w:rsidR="003B1303">
        <w:rPr>
          <w:lang w:val="fr-FR"/>
        </w:rPr>
        <w:t>’</w:t>
      </w:r>
      <w:r w:rsidRPr="003B1303" w:rsidR="00C044E0">
        <w:rPr>
          <w:lang w:val="fr-FR"/>
        </w:rPr>
        <w:t>arrestation du premier requérant</w:t>
      </w:r>
      <w:r w:rsidRPr="003B1303" w:rsidR="00536EF6">
        <w:rPr>
          <w:lang w:val="fr-FR"/>
        </w:rPr>
        <w:t xml:space="preserve"> </w:t>
      </w:r>
      <w:r w:rsidRPr="003B1303" w:rsidR="00951E47">
        <w:rPr>
          <w:lang w:val="fr-FR"/>
        </w:rPr>
        <w:t xml:space="preserve">et </w:t>
      </w:r>
      <w:r w:rsidRPr="003B1303" w:rsidR="0084206D">
        <w:rPr>
          <w:lang w:val="fr-FR"/>
        </w:rPr>
        <w:t>sa mise en examen</w:t>
      </w:r>
    </w:p>
    <w:bookmarkStart w:name="arresR11" w:id="2"/>
    <w:p w:rsidRPr="003B1303" w:rsidR="00C044E0"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w:t>
      </w:r>
      <w:r w:rsidRPr="003B1303">
        <w:rPr>
          <w:lang w:val="fr-FR"/>
        </w:rPr>
        <w:fldChar w:fldCharType="end"/>
      </w:r>
      <w:bookmarkEnd w:id="2"/>
      <w:r w:rsidRPr="003B1303">
        <w:rPr>
          <w:lang w:val="fr-FR"/>
        </w:rPr>
        <w:t>.  </w:t>
      </w:r>
      <w:r w:rsidRPr="003B1303" w:rsidR="00C044E0">
        <w:rPr>
          <w:lang w:val="fr-FR"/>
        </w:rPr>
        <w:t>Le 10 avril 2008, le</w:t>
      </w:r>
      <w:r w:rsidRPr="003B1303" w:rsidR="00AF1DF6">
        <w:rPr>
          <w:lang w:val="fr-FR"/>
        </w:rPr>
        <w:t xml:space="preserve"> premier</w:t>
      </w:r>
      <w:r w:rsidRPr="003B1303" w:rsidR="00C044E0">
        <w:rPr>
          <w:lang w:val="fr-FR"/>
        </w:rPr>
        <w:t xml:space="preserve"> requérant</w:t>
      </w:r>
      <w:r w:rsidRPr="003B1303" w:rsidR="00951E47">
        <w:rPr>
          <w:lang w:val="fr-FR"/>
        </w:rPr>
        <w:t>, soupçonné d</w:t>
      </w:r>
      <w:r w:rsidRPr="003B1303" w:rsidR="003B1303">
        <w:rPr>
          <w:lang w:val="fr-FR"/>
        </w:rPr>
        <w:t>’</w:t>
      </w:r>
      <w:r w:rsidRPr="003B1303" w:rsidR="00951E47">
        <w:rPr>
          <w:lang w:val="fr-FR"/>
        </w:rPr>
        <w:t>avoir été l</w:t>
      </w:r>
      <w:r w:rsidRPr="003B1303" w:rsidR="003B1303">
        <w:rPr>
          <w:lang w:val="fr-FR"/>
        </w:rPr>
        <w:t>’</w:t>
      </w:r>
      <w:r w:rsidRPr="003B1303" w:rsidR="00951E47">
        <w:rPr>
          <w:lang w:val="fr-FR"/>
        </w:rPr>
        <w:t>instigateur du meurtre de S.,</w:t>
      </w:r>
      <w:r w:rsidRPr="003B1303">
        <w:rPr>
          <w:lang w:val="fr-FR"/>
        </w:rPr>
        <w:t xml:space="preserve"> </w:t>
      </w:r>
      <w:r w:rsidRPr="003B1303" w:rsidR="00C044E0">
        <w:rPr>
          <w:lang w:val="fr-FR"/>
        </w:rPr>
        <w:t>fut arrêté. Il fut interrogé le même jour en tant que suspect en présence de deux avocates de son choix, M</w:t>
      </w:r>
      <w:r w:rsidRPr="003B1303" w:rsidR="00C044E0">
        <w:rPr>
          <w:vertAlign w:val="superscript"/>
          <w:lang w:val="fr-FR"/>
        </w:rPr>
        <w:t>es</w:t>
      </w:r>
      <w:r w:rsidRPr="003B1303" w:rsidR="00C044E0">
        <w:rPr>
          <w:lang w:val="fr-FR"/>
        </w:rPr>
        <w:t xml:space="preserve"> </w:t>
      </w:r>
      <w:proofErr w:type="spellStart"/>
      <w:r w:rsidRPr="003B1303" w:rsidR="00C044E0">
        <w:rPr>
          <w:lang w:val="fr-FR"/>
        </w:rPr>
        <w:t>Ye</w:t>
      </w:r>
      <w:proofErr w:type="spellEnd"/>
      <w:r w:rsidRPr="003B1303" w:rsidR="00C044E0">
        <w:rPr>
          <w:lang w:val="fr-FR"/>
        </w:rPr>
        <w:t xml:space="preserve">. </w:t>
      </w:r>
      <w:proofErr w:type="gramStart"/>
      <w:r w:rsidRPr="003B1303" w:rsidR="00C044E0">
        <w:rPr>
          <w:lang w:val="fr-FR"/>
        </w:rPr>
        <w:t>et</w:t>
      </w:r>
      <w:proofErr w:type="gramEnd"/>
      <w:r w:rsidRPr="003B1303" w:rsidR="00C044E0">
        <w:rPr>
          <w:lang w:val="fr-FR"/>
        </w:rPr>
        <w:t xml:space="preserve"> P., et nia toute implication dans le </w:t>
      </w:r>
      <w:r w:rsidRPr="003B1303" w:rsidR="00D939A2">
        <w:rPr>
          <w:lang w:val="fr-FR"/>
        </w:rPr>
        <w:t>meurtre en question</w:t>
      </w:r>
      <w:r w:rsidRPr="003B1303" w:rsidR="00C044E0">
        <w:rPr>
          <w:lang w:val="fr-FR"/>
        </w:rPr>
        <w:t>.</w:t>
      </w:r>
    </w:p>
    <w:bookmarkStart w:name="arresR1" w:id="3"/>
    <w:p w:rsidRPr="003B1303" w:rsidR="0085148A"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w:t>
      </w:r>
      <w:r w:rsidRPr="003B1303">
        <w:rPr>
          <w:lang w:val="fr-FR"/>
        </w:rPr>
        <w:fldChar w:fldCharType="end"/>
      </w:r>
      <w:bookmarkEnd w:id="3"/>
      <w:r w:rsidRPr="003B1303">
        <w:rPr>
          <w:lang w:val="fr-FR"/>
        </w:rPr>
        <w:t>.  </w:t>
      </w:r>
      <w:r w:rsidRPr="003B1303" w:rsidR="00C044E0">
        <w:rPr>
          <w:lang w:val="fr-FR"/>
        </w:rPr>
        <w:t>Le 11 avril 2008, le</w:t>
      </w:r>
      <w:r w:rsidRPr="003B1303" w:rsidR="00AF1DF6">
        <w:rPr>
          <w:lang w:val="fr-FR"/>
        </w:rPr>
        <w:t xml:space="preserve"> premier</w:t>
      </w:r>
      <w:r w:rsidRPr="003B1303" w:rsidR="00C044E0">
        <w:rPr>
          <w:lang w:val="fr-FR"/>
        </w:rPr>
        <w:t xml:space="preserve"> requérant fut accusé d</w:t>
      </w:r>
      <w:r w:rsidRPr="003B1303" w:rsidR="003B1303">
        <w:rPr>
          <w:lang w:val="fr-FR"/>
        </w:rPr>
        <w:t>’</w:t>
      </w:r>
      <w:r w:rsidRPr="003B1303" w:rsidR="00C044E0">
        <w:rPr>
          <w:lang w:val="fr-FR"/>
        </w:rPr>
        <w:t>être l</w:t>
      </w:r>
      <w:r w:rsidRPr="003B1303" w:rsidR="003B1303">
        <w:rPr>
          <w:lang w:val="fr-FR"/>
        </w:rPr>
        <w:t>’</w:t>
      </w:r>
      <w:r w:rsidRPr="003B1303" w:rsidR="00C044E0">
        <w:rPr>
          <w:lang w:val="fr-FR"/>
        </w:rPr>
        <w:t xml:space="preserve">instigateur et le complice </w:t>
      </w:r>
      <w:r w:rsidRPr="003B1303">
        <w:rPr>
          <w:lang w:val="fr-FR"/>
        </w:rPr>
        <w:t>du</w:t>
      </w:r>
      <w:r w:rsidRPr="003B1303" w:rsidR="00C044E0">
        <w:rPr>
          <w:lang w:val="fr-FR"/>
        </w:rPr>
        <w:t xml:space="preserve"> meurtre </w:t>
      </w:r>
      <w:r w:rsidRPr="003B1303">
        <w:rPr>
          <w:lang w:val="fr-FR"/>
        </w:rPr>
        <w:t xml:space="preserve">de S. avec circonstances </w:t>
      </w:r>
      <w:r w:rsidRPr="003B1303" w:rsidR="00C044E0">
        <w:rPr>
          <w:lang w:val="fr-FR"/>
        </w:rPr>
        <w:t>aggrav</w:t>
      </w:r>
      <w:r w:rsidRPr="003B1303">
        <w:rPr>
          <w:lang w:val="fr-FR"/>
        </w:rPr>
        <w:t>antes</w:t>
      </w:r>
      <w:r w:rsidRPr="003B1303" w:rsidR="00C044E0">
        <w:rPr>
          <w:lang w:val="fr-FR"/>
        </w:rPr>
        <w:t>. Il signa le même jour l</w:t>
      </w:r>
      <w:r w:rsidRPr="003B1303" w:rsidR="003B1303">
        <w:rPr>
          <w:lang w:val="fr-FR"/>
        </w:rPr>
        <w:t>’</w:t>
      </w:r>
      <w:r w:rsidRPr="003B1303" w:rsidR="00047B44">
        <w:rPr>
          <w:lang w:val="fr-FR"/>
        </w:rPr>
        <w:t xml:space="preserve">acte </w:t>
      </w:r>
      <w:r w:rsidRPr="003B1303" w:rsidR="00856222">
        <w:rPr>
          <w:lang w:val="fr-FR"/>
        </w:rPr>
        <w:t xml:space="preserve">de </w:t>
      </w:r>
      <w:r w:rsidRPr="003B1303" w:rsidR="00047B44">
        <w:rPr>
          <w:lang w:val="fr-FR"/>
        </w:rPr>
        <w:t xml:space="preserve">sa mise en examen </w:t>
      </w:r>
      <w:r w:rsidRPr="003B1303" w:rsidR="00C044E0">
        <w:rPr>
          <w:lang w:val="fr-FR"/>
        </w:rPr>
        <w:t>en présence de</w:t>
      </w:r>
      <w:r w:rsidRPr="003B1303" w:rsidR="00536EF6">
        <w:rPr>
          <w:lang w:val="fr-FR"/>
        </w:rPr>
        <w:t xml:space="preserve">s </w:t>
      </w:r>
      <w:r w:rsidRPr="003B1303" w:rsidR="00C044E0">
        <w:rPr>
          <w:lang w:val="fr-FR"/>
        </w:rPr>
        <w:t>avocate</w:t>
      </w:r>
      <w:r w:rsidRPr="003B1303" w:rsidR="00536EF6">
        <w:rPr>
          <w:lang w:val="fr-FR"/>
        </w:rPr>
        <w:t>s</w:t>
      </w:r>
      <w:r w:rsidRPr="003B1303" w:rsidR="00C044E0">
        <w:rPr>
          <w:lang w:val="fr-FR"/>
        </w:rPr>
        <w:t xml:space="preserve"> </w:t>
      </w:r>
      <w:proofErr w:type="spellStart"/>
      <w:r w:rsidRPr="003B1303" w:rsidR="00C044E0">
        <w:rPr>
          <w:lang w:val="fr-FR"/>
        </w:rPr>
        <w:t>Ye</w:t>
      </w:r>
      <w:proofErr w:type="spellEnd"/>
      <w:r w:rsidRPr="003B1303" w:rsidR="00C044E0">
        <w:rPr>
          <w:lang w:val="fr-FR"/>
        </w:rPr>
        <w:t>.</w:t>
      </w:r>
      <w:r w:rsidRPr="003B1303" w:rsidR="00681402">
        <w:rPr>
          <w:lang w:val="fr-FR"/>
        </w:rPr>
        <w:t xml:space="preserve"> </w:t>
      </w:r>
      <w:proofErr w:type="gramStart"/>
      <w:r w:rsidRPr="003B1303" w:rsidR="00681402">
        <w:rPr>
          <w:lang w:val="fr-FR"/>
        </w:rPr>
        <w:t>et</w:t>
      </w:r>
      <w:proofErr w:type="gramEnd"/>
      <w:r w:rsidRPr="003B1303" w:rsidR="00681402">
        <w:rPr>
          <w:lang w:val="fr-FR"/>
        </w:rPr>
        <w:t xml:space="preserve"> </w:t>
      </w:r>
      <w:r w:rsidRPr="003B1303" w:rsidR="00536EF6">
        <w:rPr>
          <w:lang w:val="fr-FR"/>
        </w:rPr>
        <w:t xml:space="preserve">P. </w:t>
      </w:r>
      <w:r w:rsidRPr="003B1303" w:rsidR="00C044E0">
        <w:rPr>
          <w:lang w:val="fr-FR"/>
        </w:rPr>
        <w:t>et fut informé de son droit de garder le silence.</w:t>
      </w:r>
      <w:r w:rsidRPr="003B1303" w:rsidR="00967BB9">
        <w:rPr>
          <w:lang w:val="fr-FR"/>
        </w:rPr>
        <w:t xml:space="preserve"> Il </w:t>
      </w:r>
      <w:r w:rsidRPr="003B1303" w:rsidR="001043BD">
        <w:rPr>
          <w:lang w:val="fr-FR"/>
        </w:rPr>
        <w:t xml:space="preserve">fut </w:t>
      </w:r>
      <w:r w:rsidRPr="003B1303" w:rsidR="00967BB9">
        <w:rPr>
          <w:lang w:val="fr-FR"/>
        </w:rPr>
        <w:t>informé que toutes ses dépositions pouvaient être utilisées en tant que preuves dans le cadre d</w:t>
      </w:r>
      <w:r w:rsidRPr="003B1303" w:rsidR="003B1303">
        <w:rPr>
          <w:lang w:val="fr-FR"/>
        </w:rPr>
        <w:t>’</w:t>
      </w:r>
      <w:r w:rsidRPr="003B1303" w:rsidR="00967BB9">
        <w:rPr>
          <w:lang w:val="fr-FR"/>
        </w:rPr>
        <w:t>une affaire pénale, y compris s</w:t>
      </w:r>
      <w:r w:rsidRPr="003B1303" w:rsidR="003B1303">
        <w:rPr>
          <w:lang w:val="fr-FR"/>
        </w:rPr>
        <w:t>’</w:t>
      </w:r>
      <w:r w:rsidRPr="003B1303" w:rsidR="00967BB9">
        <w:rPr>
          <w:lang w:val="fr-FR"/>
        </w:rPr>
        <w:t>il se rétractait ultérieurement, sauf dans le cas prévu par l</w:t>
      </w:r>
      <w:r w:rsidRPr="003B1303" w:rsidR="003B1303">
        <w:rPr>
          <w:lang w:val="fr-FR"/>
        </w:rPr>
        <w:t>’</w:t>
      </w:r>
      <w:r w:rsidRPr="003B1303" w:rsidR="00967BB9">
        <w:rPr>
          <w:lang w:val="fr-FR"/>
        </w:rPr>
        <w:t>article 75 § 2 point 1 du code de procédure pénale (CPP).</w:t>
      </w:r>
    </w:p>
    <w:bookmarkStart w:name="actac11avr" w:id="4"/>
    <w:p w:rsidRPr="003B1303" w:rsidR="00BE4C83" w:rsidP="003B1303" w:rsidRDefault="00F4308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w:t>
      </w:r>
      <w:r w:rsidRPr="003B1303">
        <w:rPr>
          <w:lang w:val="fr-FR"/>
        </w:rPr>
        <w:fldChar w:fldCharType="end"/>
      </w:r>
      <w:bookmarkEnd w:id="4"/>
      <w:r w:rsidRPr="003B1303">
        <w:rPr>
          <w:lang w:val="fr-FR"/>
        </w:rPr>
        <w:t>.  </w:t>
      </w:r>
      <w:r w:rsidRPr="003B1303" w:rsidR="00047B44">
        <w:rPr>
          <w:lang w:val="fr-FR"/>
        </w:rPr>
        <w:t>Selon l</w:t>
      </w:r>
      <w:r w:rsidRPr="003B1303" w:rsidR="003B1303">
        <w:rPr>
          <w:lang w:val="fr-FR"/>
        </w:rPr>
        <w:t>’</w:t>
      </w:r>
      <w:r w:rsidRPr="003B1303" w:rsidR="00047B44">
        <w:rPr>
          <w:lang w:val="fr-FR"/>
        </w:rPr>
        <w:t xml:space="preserve">acte </w:t>
      </w:r>
      <w:r w:rsidRPr="003B1303" w:rsidR="001255DB">
        <w:rPr>
          <w:lang w:val="fr-FR"/>
        </w:rPr>
        <w:t xml:space="preserve">de mise en examen </w:t>
      </w:r>
      <w:r w:rsidRPr="003B1303" w:rsidR="00047B44">
        <w:rPr>
          <w:lang w:val="fr-FR"/>
        </w:rPr>
        <w:t xml:space="preserve">en question, en novembre 1998, le premier requérant avait proposé à </w:t>
      </w:r>
      <w:r w:rsidRPr="003B1303" w:rsidR="00817002">
        <w:rPr>
          <w:lang w:val="fr-FR"/>
        </w:rPr>
        <w:t>V. Mol.</w:t>
      </w:r>
      <w:r w:rsidRPr="003B1303" w:rsidR="00047B44">
        <w:rPr>
          <w:lang w:val="fr-FR"/>
        </w:rPr>
        <w:t xml:space="preserve"> </w:t>
      </w:r>
      <w:proofErr w:type="gramStart"/>
      <w:r w:rsidRPr="003B1303" w:rsidR="00047B44">
        <w:rPr>
          <w:lang w:val="fr-FR"/>
        </w:rPr>
        <w:t>d</w:t>
      </w:r>
      <w:r w:rsidRPr="003B1303" w:rsidR="003B1303">
        <w:rPr>
          <w:lang w:val="fr-FR"/>
        </w:rPr>
        <w:t>’</w:t>
      </w:r>
      <w:r w:rsidRPr="003B1303" w:rsidR="00047B44">
        <w:rPr>
          <w:lang w:val="fr-FR"/>
        </w:rPr>
        <w:t>organiser</w:t>
      </w:r>
      <w:proofErr w:type="gramEnd"/>
      <w:r w:rsidRPr="003B1303" w:rsidR="00047B44">
        <w:rPr>
          <w:lang w:val="fr-FR"/>
        </w:rPr>
        <w:t xml:space="preserve"> l</w:t>
      </w:r>
      <w:r w:rsidRPr="003B1303" w:rsidR="003B1303">
        <w:rPr>
          <w:lang w:val="fr-FR"/>
        </w:rPr>
        <w:t>’</w:t>
      </w:r>
      <w:r w:rsidRPr="003B1303" w:rsidR="00047B44">
        <w:rPr>
          <w:lang w:val="fr-FR"/>
        </w:rPr>
        <w:t xml:space="preserve">assassinat de S. </w:t>
      </w:r>
      <w:r w:rsidRPr="003B1303" w:rsidR="001255DB">
        <w:rPr>
          <w:lang w:val="fr-FR"/>
        </w:rPr>
        <w:t xml:space="preserve">en raison </w:t>
      </w:r>
      <w:r w:rsidRPr="003B1303" w:rsidR="00047B44">
        <w:rPr>
          <w:lang w:val="fr-FR"/>
        </w:rPr>
        <w:t>d</w:t>
      </w:r>
      <w:r w:rsidRPr="003B1303" w:rsidR="005428E5">
        <w:rPr>
          <w:lang w:val="fr-FR"/>
        </w:rPr>
        <w:t>e l</w:t>
      </w:r>
      <w:r w:rsidRPr="003B1303" w:rsidR="003B1303">
        <w:rPr>
          <w:lang w:val="fr-FR"/>
        </w:rPr>
        <w:t>’</w:t>
      </w:r>
      <w:r w:rsidRPr="003B1303" w:rsidR="00047B44">
        <w:rPr>
          <w:lang w:val="fr-FR"/>
        </w:rPr>
        <w:t>animosité que l</w:t>
      </w:r>
      <w:r w:rsidRPr="003B1303" w:rsidR="003B1303">
        <w:rPr>
          <w:lang w:val="fr-FR"/>
        </w:rPr>
        <w:t>’</w:t>
      </w:r>
      <w:r w:rsidRPr="003B1303" w:rsidR="00047B44">
        <w:rPr>
          <w:lang w:val="fr-FR"/>
        </w:rPr>
        <w:t>intéressé aurait éprouvé à l</w:t>
      </w:r>
      <w:r w:rsidRPr="003B1303" w:rsidR="003B1303">
        <w:rPr>
          <w:lang w:val="fr-FR"/>
        </w:rPr>
        <w:t>’</w:t>
      </w:r>
      <w:r w:rsidRPr="003B1303" w:rsidR="00047B44">
        <w:rPr>
          <w:lang w:val="fr-FR"/>
        </w:rPr>
        <w:t xml:space="preserve">égard de ce dernier. Le rôle de </w:t>
      </w:r>
      <w:r w:rsidRPr="003B1303" w:rsidR="00B75C63">
        <w:rPr>
          <w:lang w:val="fr-FR"/>
        </w:rPr>
        <w:t>V</w:t>
      </w:r>
      <w:r w:rsidRPr="003B1303" w:rsidR="00047B44">
        <w:rPr>
          <w:lang w:val="fr-FR"/>
        </w:rPr>
        <w:t>. Mol</w:t>
      </w:r>
      <w:r w:rsidRPr="003B1303" w:rsidR="00B75C63">
        <w:rPr>
          <w:lang w:val="fr-FR"/>
        </w:rPr>
        <w:t>.</w:t>
      </w:r>
      <w:r w:rsidRPr="003B1303" w:rsidR="00047B44">
        <w:rPr>
          <w:lang w:val="fr-FR"/>
        </w:rPr>
        <w:t xml:space="preserve"> </w:t>
      </w:r>
      <w:proofErr w:type="gramStart"/>
      <w:r w:rsidRPr="003B1303" w:rsidR="001255DB">
        <w:rPr>
          <w:lang w:val="fr-FR"/>
        </w:rPr>
        <w:t>était</w:t>
      </w:r>
      <w:proofErr w:type="gramEnd"/>
      <w:r w:rsidRPr="003B1303" w:rsidR="00744EAE">
        <w:rPr>
          <w:lang w:val="fr-FR"/>
        </w:rPr>
        <w:t xml:space="preserve"> de</w:t>
      </w:r>
      <w:r w:rsidRPr="003B1303" w:rsidR="00047B44">
        <w:rPr>
          <w:lang w:val="fr-FR"/>
        </w:rPr>
        <w:t xml:space="preserve"> trouver </w:t>
      </w:r>
      <w:r w:rsidRPr="003B1303" w:rsidR="001C2E3F">
        <w:rPr>
          <w:lang w:val="fr-FR"/>
        </w:rPr>
        <w:t>d</w:t>
      </w:r>
      <w:r w:rsidRPr="003B1303" w:rsidR="00047B44">
        <w:rPr>
          <w:lang w:val="fr-FR"/>
        </w:rPr>
        <w:t>es personnes chargées de perpétrer l</w:t>
      </w:r>
      <w:r w:rsidRPr="003B1303" w:rsidR="003B1303">
        <w:rPr>
          <w:lang w:val="fr-FR"/>
        </w:rPr>
        <w:t>’</w:t>
      </w:r>
      <w:r w:rsidRPr="003B1303" w:rsidR="00047B44">
        <w:rPr>
          <w:lang w:val="fr-FR"/>
        </w:rPr>
        <w:t xml:space="preserve">assassinat, et celui du premier requérant </w:t>
      </w:r>
      <w:r w:rsidRPr="003B1303" w:rsidR="00744EAE">
        <w:rPr>
          <w:lang w:val="fr-FR"/>
        </w:rPr>
        <w:t>de</w:t>
      </w:r>
      <w:r w:rsidRPr="003B1303" w:rsidR="00047B44">
        <w:rPr>
          <w:lang w:val="fr-FR"/>
        </w:rPr>
        <w:t xml:space="preserve"> payer leurs services et </w:t>
      </w:r>
      <w:r w:rsidRPr="003B1303" w:rsidR="00744EAE">
        <w:rPr>
          <w:lang w:val="fr-FR"/>
        </w:rPr>
        <w:t>d</w:t>
      </w:r>
      <w:r w:rsidRPr="003B1303" w:rsidR="003B1303">
        <w:rPr>
          <w:lang w:val="fr-FR"/>
        </w:rPr>
        <w:t>’</w:t>
      </w:r>
      <w:r w:rsidRPr="003B1303" w:rsidR="00047B44">
        <w:rPr>
          <w:lang w:val="fr-FR"/>
        </w:rPr>
        <w:t xml:space="preserve">assurer leur « protection » </w:t>
      </w:r>
      <w:r w:rsidRPr="003B1303" w:rsidR="00744EAE">
        <w:rPr>
          <w:lang w:val="fr-FR"/>
        </w:rPr>
        <w:t xml:space="preserve">contre </w:t>
      </w:r>
      <w:r w:rsidRPr="003B1303" w:rsidR="00047B44">
        <w:rPr>
          <w:lang w:val="fr-FR"/>
        </w:rPr>
        <w:t>d</w:t>
      </w:r>
      <w:r w:rsidRPr="003B1303" w:rsidR="003B1303">
        <w:rPr>
          <w:lang w:val="fr-FR"/>
        </w:rPr>
        <w:t>’</w:t>
      </w:r>
      <w:r w:rsidRPr="003B1303" w:rsidR="008460ED">
        <w:rPr>
          <w:lang w:val="fr-FR"/>
        </w:rPr>
        <w:t xml:space="preserve">éventuelles </w:t>
      </w:r>
      <w:r w:rsidRPr="003B1303" w:rsidR="00047B44">
        <w:rPr>
          <w:lang w:val="fr-FR"/>
        </w:rPr>
        <w:t>poursuites pénales</w:t>
      </w:r>
      <w:r w:rsidRPr="003B1303" w:rsidR="008460ED">
        <w:rPr>
          <w:lang w:val="fr-FR"/>
        </w:rPr>
        <w:t xml:space="preserve">. </w:t>
      </w:r>
      <w:r w:rsidRPr="003B1303" w:rsidR="00817002">
        <w:rPr>
          <w:lang w:val="fr-FR"/>
        </w:rPr>
        <w:t>V. Mol.</w:t>
      </w:r>
      <w:r w:rsidRPr="003B1303" w:rsidR="008460ED">
        <w:rPr>
          <w:lang w:val="fr-FR"/>
        </w:rPr>
        <w:t xml:space="preserve"> </w:t>
      </w:r>
      <w:proofErr w:type="gramStart"/>
      <w:r w:rsidRPr="003B1303" w:rsidR="001255DB">
        <w:rPr>
          <w:lang w:val="fr-FR"/>
        </w:rPr>
        <w:t>avait</w:t>
      </w:r>
      <w:proofErr w:type="gramEnd"/>
      <w:r w:rsidRPr="003B1303" w:rsidR="001255DB">
        <w:rPr>
          <w:lang w:val="fr-FR"/>
        </w:rPr>
        <w:t xml:space="preserve"> </w:t>
      </w:r>
      <w:r w:rsidRPr="003B1303" w:rsidR="008460ED">
        <w:rPr>
          <w:lang w:val="fr-FR"/>
        </w:rPr>
        <w:t>ensuite contacté A. </w:t>
      </w:r>
      <w:proofErr w:type="spellStart"/>
      <w:r w:rsidRPr="003B1303" w:rsidR="008460ED">
        <w:rPr>
          <w:lang w:val="fr-FR"/>
        </w:rPr>
        <w:t>Kur</w:t>
      </w:r>
      <w:proofErr w:type="spellEnd"/>
      <w:r w:rsidRPr="003B1303" w:rsidR="008460ED">
        <w:rPr>
          <w:lang w:val="fr-FR"/>
        </w:rPr>
        <w:t xml:space="preserve">. </w:t>
      </w:r>
      <w:proofErr w:type="gramStart"/>
      <w:r w:rsidRPr="003B1303" w:rsidR="008460ED">
        <w:rPr>
          <w:lang w:val="fr-FR"/>
        </w:rPr>
        <w:t>afin</w:t>
      </w:r>
      <w:proofErr w:type="gramEnd"/>
      <w:r w:rsidRPr="003B1303" w:rsidR="008460ED">
        <w:rPr>
          <w:lang w:val="fr-FR"/>
        </w:rPr>
        <w:t xml:space="preserve"> que celui</w:t>
      </w:r>
      <w:r w:rsidRPr="003B1303" w:rsidR="008460ED">
        <w:rPr>
          <w:lang w:val="fr-FR"/>
        </w:rPr>
        <w:noBreakHyphen/>
        <w:t xml:space="preserve">ci se chargeât </w:t>
      </w:r>
      <w:r w:rsidRPr="003B1303" w:rsidR="001255DB">
        <w:rPr>
          <w:lang w:val="fr-FR"/>
        </w:rPr>
        <w:t>d</w:t>
      </w:r>
      <w:r w:rsidRPr="003B1303" w:rsidR="003B1303">
        <w:rPr>
          <w:lang w:val="fr-FR"/>
        </w:rPr>
        <w:t>’</w:t>
      </w:r>
      <w:r w:rsidRPr="003B1303" w:rsidR="001255DB">
        <w:rPr>
          <w:lang w:val="fr-FR"/>
        </w:rPr>
        <w:t xml:space="preserve">organiser </w:t>
      </w:r>
      <w:r w:rsidRPr="003B1303" w:rsidR="008460ED">
        <w:rPr>
          <w:lang w:val="fr-FR"/>
        </w:rPr>
        <w:t>l</w:t>
      </w:r>
      <w:r w:rsidRPr="003B1303" w:rsidR="003B1303">
        <w:rPr>
          <w:lang w:val="fr-FR"/>
        </w:rPr>
        <w:t>’</w:t>
      </w:r>
      <w:r w:rsidRPr="003B1303" w:rsidR="008460ED">
        <w:rPr>
          <w:lang w:val="fr-FR"/>
        </w:rPr>
        <w:t xml:space="preserve">assassinat contre 1 500 000 roubles russes (RUB) et </w:t>
      </w:r>
      <w:r w:rsidRPr="003B1303" w:rsidR="001255DB">
        <w:rPr>
          <w:lang w:val="fr-FR"/>
        </w:rPr>
        <w:t xml:space="preserve">avait </w:t>
      </w:r>
      <w:r w:rsidRPr="003B1303" w:rsidR="008460ED">
        <w:rPr>
          <w:lang w:val="fr-FR"/>
        </w:rPr>
        <w:t>proposé d</w:t>
      </w:r>
      <w:r w:rsidRPr="003B1303" w:rsidR="003B1303">
        <w:rPr>
          <w:lang w:val="fr-FR"/>
        </w:rPr>
        <w:t>’</w:t>
      </w:r>
      <w:r w:rsidRPr="003B1303" w:rsidR="008460ED">
        <w:rPr>
          <w:lang w:val="fr-FR"/>
        </w:rPr>
        <w:t xml:space="preserve">y impliquer </w:t>
      </w:r>
      <w:r w:rsidRPr="003B1303" w:rsidR="00817002">
        <w:rPr>
          <w:lang w:val="fr-FR"/>
        </w:rPr>
        <w:t>V. </w:t>
      </w:r>
      <w:proofErr w:type="spellStart"/>
      <w:r w:rsidRPr="003B1303" w:rsidR="00817002">
        <w:rPr>
          <w:lang w:val="fr-FR"/>
        </w:rPr>
        <w:t>Zag</w:t>
      </w:r>
      <w:proofErr w:type="spellEnd"/>
      <w:r w:rsidRPr="003B1303" w:rsidR="00817002">
        <w:rPr>
          <w:lang w:val="fr-FR"/>
        </w:rPr>
        <w:t>.</w:t>
      </w:r>
      <w:r w:rsidRPr="003B1303" w:rsidR="008460ED">
        <w:rPr>
          <w:lang w:val="fr-FR"/>
        </w:rPr>
        <w:t xml:space="preserve"> </w:t>
      </w:r>
      <w:proofErr w:type="gramStart"/>
      <w:r w:rsidRPr="003B1303" w:rsidR="00744EAE">
        <w:rPr>
          <w:lang w:val="fr-FR"/>
        </w:rPr>
        <w:t>en</w:t>
      </w:r>
      <w:proofErr w:type="gramEnd"/>
      <w:r w:rsidRPr="003B1303" w:rsidR="00744EAE">
        <w:rPr>
          <w:lang w:val="fr-FR"/>
        </w:rPr>
        <w:t xml:space="preserve"> tant que personne de contact. </w:t>
      </w:r>
      <w:r w:rsidRPr="003B1303" w:rsidR="00817002">
        <w:rPr>
          <w:lang w:val="fr-FR"/>
        </w:rPr>
        <w:t>V. </w:t>
      </w:r>
      <w:proofErr w:type="spellStart"/>
      <w:r w:rsidRPr="003B1303" w:rsidR="00817002">
        <w:rPr>
          <w:lang w:val="fr-FR"/>
        </w:rPr>
        <w:t>Zag</w:t>
      </w:r>
      <w:proofErr w:type="spellEnd"/>
      <w:r w:rsidRPr="003B1303" w:rsidR="00817002">
        <w:rPr>
          <w:lang w:val="fr-FR"/>
        </w:rPr>
        <w:t>.</w:t>
      </w:r>
      <w:r w:rsidRPr="003B1303" w:rsidR="00744EAE">
        <w:rPr>
          <w:lang w:val="fr-FR"/>
        </w:rPr>
        <w:t xml:space="preserve"> </w:t>
      </w:r>
      <w:proofErr w:type="gramStart"/>
      <w:r w:rsidRPr="003B1303" w:rsidR="001255DB">
        <w:rPr>
          <w:lang w:val="fr-FR"/>
        </w:rPr>
        <w:t>avait</w:t>
      </w:r>
      <w:proofErr w:type="gramEnd"/>
      <w:r w:rsidRPr="003B1303" w:rsidR="001255DB">
        <w:rPr>
          <w:lang w:val="fr-FR"/>
        </w:rPr>
        <w:t xml:space="preserve"> </w:t>
      </w:r>
      <w:r w:rsidRPr="003B1303" w:rsidR="00744EAE">
        <w:rPr>
          <w:lang w:val="fr-FR"/>
        </w:rPr>
        <w:t>rencontré A. </w:t>
      </w:r>
      <w:proofErr w:type="spellStart"/>
      <w:r w:rsidRPr="003B1303" w:rsidR="00744EAE">
        <w:rPr>
          <w:lang w:val="fr-FR"/>
        </w:rPr>
        <w:t>Kur</w:t>
      </w:r>
      <w:proofErr w:type="spellEnd"/>
      <w:r w:rsidRPr="003B1303" w:rsidR="00744EAE">
        <w:rPr>
          <w:lang w:val="fr-FR"/>
        </w:rPr>
        <w:t xml:space="preserve">. </w:t>
      </w:r>
      <w:proofErr w:type="gramStart"/>
      <w:r w:rsidRPr="003B1303" w:rsidR="00744EAE">
        <w:rPr>
          <w:lang w:val="fr-FR"/>
        </w:rPr>
        <w:t>et</w:t>
      </w:r>
      <w:proofErr w:type="gramEnd"/>
      <w:r w:rsidRPr="003B1303" w:rsidR="00744EAE">
        <w:rPr>
          <w:lang w:val="fr-FR"/>
        </w:rPr>
        <w:t xml:space="preserve"> </w:t>
      </w:r>
      <w:r w:rsidRPr="003B1303" w:rsidR="001255DB">
        <w:rPr>
          <w:lang w:val="fr-FR"/>
        </w:rPr>
        <w:t>l</w:t>
      </w:r>
      <w:r w:rsidRPr="003B1303" w:rsidR="003B1303">
        <w:rPr>
          <w:lang w:val="fr-FR"/>
        </w:rPr>
        <w:t>’</w:t>
      </w:r>
      <w:r w:rsidRPr="003B1303" w:rsidR="001255DB">
        <w:rPr>
          <w:lang w:val="fr-FR"/>
        </w:rPr>
        <w:t xml:space="preserve">avait </w:t>
      </w:r>
      <w:r w:rsidRPr="003B1303" w:rsidR="00744EAE">
        <w:rPr>
          <w:lang w:val="fr-FR"/>
        </w:rPr>
        <w:t xml:space="preserve">informé que le premier requérant lui paierait 500 000 </w:t>
      </w:r>
      <w:r w:rsidRPr="003B1303" w:rsidR="00657375">
        <w:rPr>
          <w:lang w:val="fr-FR"/>
        </w:rPr>
        <w:t>RUB</w:t>
      </w:r>
      <w:r w:rsidRPr="003B1303" w:rsidR="00744EAE">
        <w:rPr>
          <w:lang w:val="fr-FR"/>
        </w:rPr>
        <w:t xml:space="preserve"> avant la commission de l</w:t>
      </w:r>
      <w:r w:rsidRPr="003B1303" w:rsidR="003B1303">
        <w:rPr>
          <w:lang w:val="fr-FR"/>
        </w:rPr>
        <w:t>’</w:t>
      </w:r>
      <w:r w:rsidRPr="003B1303" w:rsidR="00744EAE">
        <w:rPr>
          <w:lang w:val="fr-FR"/>
        </w:rPr>
        <w:t xml:space="preserve">assassinat et que le reste de la somme lui serait transmis ultérieurement. En novembre 1998, </w:t>
      </w:r>
      <w:r w:rsidRPr="003B1303" w:rsidR="00817002">
        <w:rPr>
          <w:lang w:val="fr-FR"/>
        </w:rPr>
        <w:t>V. </w:t>
      </w:r>
      <w:proofErr w:type="spellStart"/>
      <w:r w:rsidRPr="003B1303" w:rsidR="00817002">
        <w:rPr>
          <w:lang w:val="fr-FR"/>
        </w:rPr>
        <w:t>Zag</w:t>
      </w:r>
      <w:proofErr w:type="spellEnd"/>
      <w:r w:rsidRPr="003B1303" w:rsidR="00817002">
        <w:rPr>
          <w:lang w:val="fr-FR"/>
        </w:rPr>
        <w:t>.</w:t>
      </w:r>
      <w:r w:rsidRPr="003B1303" w:rsidR="00744EAE">
        <w:rPr>
          <w:lang w:val="fr-FR"/>
        </w:rPr>
        <w:t xml:space="preserve"> </w:t>
      </w:r>
      <w:proofErr w:type="gramStart"/>
      <w:r w:rsidRPr="003B1303" w:rsidR="001255DB">
        <w:rPr>
          <w:lang w:val="fr-FR"/>
        </w:rPr>
        <w:t>avait</w:t>
      </w:r>
      <w:proofErr w:type="gramEnd"/>
      <w:r w:rsidRPr="003B1303" w:rsidR="001255DB">
        <w:rPr>
          <w:lang w:val="fr-FR"/>
        </w:rPr>
        <w:t xml:space="preserve"> </w:t>
      </w:r>
      <w:r w:rsidRPr="003B1303" w:rsidR="00744EAE">
        <w:rPr>
          <w:lang w:val="fr-FR"/>
        </w:rPr>
        <w:t>informé le premier requérant que l</w:t>
      </w:r>
      <w:r w:rsidRPr="003B1303" w:rsidR="003B1303">
        <w:rPr>
          <w:lang w:val="fr-FR"/>
        </w:rPr>
        <w:t>’</w:t>
      </w:r>
      <w:r w:rsidRPr="003B1303" w:rsidR="00744EAE">
        <w:rPr>
          <w:lang w:val="fr-FR"/>
        </w:rPr>
        <w:t xml:space="preserve">assassinat serait organisé par </w:t>
      </w:r>
      <w:r w:rsidRPr="003B1303" w:rsidR="008460ED">
        <w:rPr>
          <w:lang w:val="fr-FR"/>
        </w:rPr>
        <w:t>A. </w:t>
      </w:r>
      <w:proofErr w:type="spellStart"/>
      <w:r w:rsidRPr="003B1303" w:rsidR="008460ED">
        <w:rPr>
          <w:lang w:val="fr-FR"/>
        </w:rPr>
        <w:t>Kur</w:t>
      </w:r>
      <w:proofErr w:type="spellEnd"/>
      <w:r w:rsidRPr="003B1303" w:rsidR="00744EAE">
        <w:rPr>
          <w:lang w:val="fr-FR"/>
        </w:rPr>
        <w:t xml:space="preserve">. </w:t>
      </w:r>
      <w:proofErr w:type="gramStart"/>
      <w:r w:rsidRPr="003B1303" w:rsidR="00744EAE">
        <w:rPr>
          <w:lang w:val="fr-FR"/>
        </w:rPr>
        <w:t>avec</w:t>
      </w:r>
      <w:proofErr w:type="gramEnd"/>
      <w:r w:rsidRPr="003B1303" w:rsidR="00744EAE">
        <w:rPr>
          <w:lang w:val="fr-FR"/>
        </w:rPr>
        <w:t xml:space="preserve"> le concours de </w:t>
      </w:r>
      <w:r w:rsidRPr="003B1303" w:rsidR="00817002">
        <w:rPr>
          <w:lang w:val="fr-FR"/>
        </w:rPr>
        <w:t>D. Che.</w:t>
      </w:r>
      <w:r w:rsidRPr="003B1303" w:rsidR="00744EAE">
        <w:rPr>
          <w:lang w:val="fr-FR"/>
        </w:rPr>
        <w:t xml:space="preserve">, </w:t>
      </w:r>
      <w:r w:rsidRPr="003B1303" w:rsidR="001255DB">
        <w:rPr>
          <w:lang w:val="fr-FR"/>
        </w:rPr>
        <w:t xml:space="preserve">de </w:t>
      </w:r>
      <w:r w:rsidRPr="003B1303" w:rsidR="00817002">
        <w:rPr>
          <w:lang w:val="fr-FR"/>
        </w:rPr>
        <w:t>E. Mas.</w:t>
      </w:r>
      <w:r w:rsidRPr="003B1303" w:rsidR="00744EAE">
        <w:rPr>
          <w:lang w:val="fr-FR"/>
        </w:rPr>
        <w:t xml:space="preserve"> </w:t>
      </w:r>
      <w:proofErr w:type="gramStart"/>
      <w:r w:rsidRPr="003B1303" w:rsidR="00744EAE">
        <w:rPr>
          <w:lang w:val="fr-FR"/>
        </w:rPr>
        <w:t>et</w:t>
      </w:r>
      <w:proofErr w:type="gramEnd"/>
      <w:r w:rsidRPr="003B1303" w:rsidR="00744EAE">
        <w:rPr>
          <w:lang w:val="fr-FR"/>
        </w:rPr>
        <w:t xml:space="preserve"> d</w:t>
      </w:r>
      <w:r w:rsidRPr="003B1303" w:rsidR="003B1303">
        <w:rPr>
          <w:lang w:val="fr-FR"/>
        </w:rPr>
        <w:t>’</w:t>
      </w:r>
      <w:r w:rsidRPr="003B1303" w:rsidR="00744EAE">
        <w:rPr>
          <w:lang w:val="fr-FR"/>
        </w:rPr>
        <w:t xml:space="preserve">autres personnes non </w:t>
      </w:r>
      <w:r w:rsidRPr="003B1303" w:rsidR="001255DB">
        <w:rPr>
          <w:lang w:val="fr-FR"/>
        </w:rPr>
        <w:t>identifiées</w:t>
      </w:r>
      <w:r w:rsidRPr="003B1303" w:rsidR="00744EAE">
        <w:rPr>
          <w:lang w:val="fr-FR"/>
        </w:rPr>
        <w:t xml:space="preserve">. En novembre ou décembre 1998, le premier requérant </w:t>
      </w:r>
      <w:r w:rsidRPr="003B1303" w:rsidR="001255DB">
        <w:rPr>
          <w:lang w:val="fr-FR"/>
        </w:rPr>
        <w:t xml:space="preserve">avait </w:t>
      </w:r>
      <w:r w:rsidRPr="003B1303" w:rsidR="00744EAE">
        <w:rPr>
          <w:lang w:val="fr-FR"/>
        </w:rPr>
        <w:t>rencontré A. </w:t>
      </w:r>
      <w:proofErr w:type="spellStart"/>
      <w:r w:rsidRPr="003B1303" w:rsidR="00744EAE">
        <w:rPr>
          <w:lang w:val="fr-FR"/>
        </w:rPr>
        <w:t>Kur</w:t>
      </w:r>
      <w:proofErr w:type="spellEnd"/>
      <w:r w:rsidRPr="003B1303" w:rsidR="00744EAE">
        <w:rPr>
          <w:lang w:val="fr-FR"/>
        </w:rPr>
        <w:t xml:space="preserve">. </w:t>
      </w:r>
      <w:proofErr w:type="gramStart"/>
      <w:r w:rsidRPr="003B1303" w:rsidR="00744EAE">
        <w:rPr>
          <w:lang w:val="fr-FR"/>
        </w:rPr>
        <w:t>et</w:t>
      </w:r>
      <w:proofErr w:type="gramEnd"/>
      <w:r w:rsidRPr="003B1303" w:rsidR="00744EAE">
        <w:rPr>
          <w:lang w:val="fr-FR"/>
        </w:rPr>
        <w:t xml:space="preserve"> lui aurait transmis la somme </w:t>
      </w:r>
      <w:r w:rsidRPr="003B1303" w:rsidR="001255DB">
        <w:rPr>
          <w:lang w:val="fr-FR"/>
        </w:rPr>
        <w:t>susmentionnée</w:t>
      </w:r>
      <w:r w:rsidRPr="003B1303" w:rsidR="00744EAE">
        <w:rPr>
          <w:lang w:val="fr-FR"/>
        </w:rPr>
        <w:t>.</w:t>
      </w:r>
    </w:p>
    <w:bookmarkStart w:name="rempavR1" w:id="5"/>
    <w:p w:rsidRPr="003B1303" w:rsidR="00BE4C83" w:rsidP="003B1303" w:rsidRDefault="00681402">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w:t>
      </w:r>
      <w:r w:rsidRPr="003B1303">
        <w:rPr>
          <w:lang w:val="fr-FR"/>
        </w:rPr>
        <w:fldChar w:fldCharType="end"/>
      </w:r>
      <w:bookmarkEnd w:id="5"/>
      <w:r w:rsidRPr="003B1303">
        <w:rPr>
          <w:lang w:val="fr-FR"/>
        </w:rPr>
        <w:t xml:space="preserve">.  Toujours le 11 avril 2008, le </w:t>
      </w:r>
      <w:r w:rsidRPr="003B1303" w:rsidR="00AF1DF6">
        <w:rPr>
          <w:lang w:val="fr-FR"/>
        </w:rPr>
        <w:t xml:space="preserve">premier </w:t>
      </w:r>
      <w:r w:rsidRPr="003B1303">
        <w:rPr>
          <w:lang w:val="fr-FR"/>
        </w:rPr>
        <w:t>requérant informa les autorités de la révocation de l</w:t>
      </w:r>
      <w:r w:rsidRPr="003B1303" w:rsidR="003B1303">
        <w:rPr>
          <w:lang w:val="fr-FR"/>
        </w:rPr>
        <w:t>’</w:t>
      </w:r>
      <w:r w:rsidRPr="003B1303">
        <w:rPr>
          <w:lang w:val="fr-FR"/>
        </w:rPr>
        <w:t>avocate P. et de son intention de la remplacer par l</w:t>
      </w:r>
      <w:r w:rsidRPr="003B1303" w:rsidR="003B1303">
        <w:rPr>
          <w:lang w:val="fr-FR"/>
        </w:rPr>
        <w:t>’</w:t>
      </w:r>
      <w:r w:rsidRPr="003B1303">
        <w:rPr>
          <w:lang w:val="fr-FR"/>
        </w:rPr>
        <w:t xml:space="preserve">avocate Ch. (paragraphe </w:t>
      </w:r>
      <w:r w:rsidRPr="003B1303" w:rsidR="00AA5216">
        <w:rPr>
          <w:lang w:val="fr-FR"/>
        </w:rPr>
        <w:fldChar w:fldCharType="begin"/>
      </w:r>
      <w:r w:rsidRPr="003B1303" w:rsidR="00AA5216">
        <w:rPr>
          <w:lang w:val="fr-FR"/>
        </w:rPr>
        <w:instrText xml:space="preserve"> REF decdet11av \h </w:instrText>
      </w:r>
      <w:r w:rsidRPr="003B1303" w:rsidR="006C36C2">
        <w:rPr>
          <w:lang w:val="fr-FR"/>
        </w:rPr>
        <w:instrText xml:space="preserve"> \* MERGEFORMAT </w:instrText>
      </w:r>
      <w:r w:rsidRPr="003B1303" w:rsidR="00AA5216">
        <w:rPr>
          <w:lang w:val="fr-FR"/>
        </w:rPr>
      </w:r>
      <w:r w:rsidRPr="003B1303" w:rsidR="00AA5216">
        <w:rPr>
          <w:lang w:val="fr-FR"/>
        </w:rPr>
        <w:fldChar w:fldCharType="separate"/>
      </w:r>
      <w:r w:rsidR="003B1303">
        <w:rPr>
          <w:noProof/>
          <w:lang w:val="fr-FR"/>
        </w:rPr>
        <w:t>34</w:t>
      </w:r>
      <w:r w:rsidRPr="003B1303" w:rsidR="00AA5216">
        <w:rPr>
          <w:lang w:val="fr-FR"/>
        </w:rPr>
        <w:fldChar w:fldCharType="end"/>
      </w:r>
      <w:r w:rsidRPr="003B1303" w:rsidR="00AA5216">
        <w:rPr>
          <w:lang w:val="fr-FR"/>
        </w:rPr>
        <w:t xml:space="preserve"> </w:t>
      </w:r>
      <w:r w:rsidRPr="003B1303">
        <w:rPr>
          <w:lang w:val="fr-FR"/>
        </w:rPr>
        <w:t>ci</w:t>
      </w:r>
      <w:r w:rsidRPr="003B1303">
        <w:rPr>
          <w:lang w:val="fr-FR"/>
        </w:rPr>
        <w:noBreakHyphen/>
        <w:t>dessous).</w:t>
      </w:r>
    </w:p>
    <w:p w:rsidRPr="003B1303" w:rsidR="00BE4C83" w:rsidP="003B1303" w:rsidRDefault="00DD6941">
      <w:pPr>
        <w:pStyle w:val="ECHRHeading4"/>
        <w:rPr>
          <w:lang w:val="fr-FR"/>
        </w:rPr>
      </w:pPr>
      <w:r w:rsidRPr="003B1303">
        <w:rPr>
          <w:lang w:val="fr-FR"/>
        </w:rPr>
        <w:t>b)</w:t>
      </w:r>
      <w:r w:rsidRPr="003B1303" w:rsidR="007823F8">
        <w:rPr>
          <w:lang w:val="fr-FR"/>
        </w:rPr>
        <w:t>  Les allégations de mauvais traitements</w:t>
      </w:r>
      <w:r w:rsidRPr="003B1303" w:rsidR="00E30B4B">
        <w:rPr>
          <w:lang w:val="fr-FR"/>
        </w:rPr>
        <w:t xml:space="preserve"> du premier requérant</w:t>
      </w:r>
      <w:r w:rsidRPr="003B1303" w:rsidR="007823F8">
        <w:rPr>
          <w:lang w:val="fr-FR"/>
        </w:rPr>
        <w:t xml:space="preserve"> </w:t>
      </w:r>
      <w:r w:rsidRPr="003B1303" w:rsidR="00882149">
        <w:rPr>
          <w:lang w:val="fr-FR"/>
        </w:rPr>
        <w:t xml:space="preserve">et </w:t>
      </w:r>
      <w:r w:rsidRPr="003B1303" w:rsidR="00E30B4B">
        <w:rPr>
          <w:lang w:val="fr-FR"/>
        </w:rPr>
        <w:t>s</w:t>
      </w:r>
      <w:r w:rsidRPr="003B1303" w:rsidR="00882149">
        <w:rPr>
          <w:lang w:val="fr-FR"/>
        </w:rPr>
        <w:t>es aveux</w:t>
      </w:r>
    </w:p>
    <w:p w:rsidRPr="003B1303" w:rsidR="007823F8" w:rsidP="003B1303" w:rsidRDefault="007823F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w:t>
      </w:r>
      <w:r w:rsidRPr="003B1303">
        <w:rPr>
          <w:lang w:val="fr-FR"/>
        </w:rPr>
        <w:fldChar w:fldCharType="end"/>
      </w:r>
      <w:r w:rsidRPr="003B1303">
        <w:rPr>
          <w:lang w:val="fr-FR"/>
        </w:rPr>
        <w:t>.  Le 11 avril 2008, le premier requérant fut incarcéré à la maison d</w:t>
      </w:r>
      <w:r w:rsidRPr="003B1303" w:rsidR="003B1303">
        <w:rPr>
          <w:lang w:val="fr-FR"/>
        </w:rPr>
        <w:t>’</w:t>
      </w:r>
      <w:r w:rsidRPr="003B1303">
        <w:rPr>
          <w:lang w:val="fr-FR"/>
        </w:rPr>
        <w:t>arrêt n</w:t>
      </w:r>
      <w:r w:rsidRPr="003B1303">
        <w:rPr>
          <w:vertAlign w:val="superscript"/>
          <w:lang w:val="fr-FR"/>
        </w:rPr>
        <w:t>o</w:t>
      </w:r>
      <w:r w:rsidRPr="003B1303">
        <w:rPr>
          <w:lang w:val="fr-FR"/>
        </w:rPr>
        <w:t> IZ</w:t>
      </w:r>
      <w:r w:rsidRPr="003B1303">
        <w:rPr>
          <w:lang w:val="fr-FR"/>
        </w:rPr>
        <w:noBreakHyphen/>
        <w:t>38/1 d</w:t>
      </w:r>
      <w:r w:rsidRPr="003B1303" w:rsidR="003B1303">
        <w:rPr>
          <w:lang w:val="fr-FR"/>
        </w:rPr>
        <w:t>’</w:t>
      </w:r>
      <w:r w:rsidRPr="003B1303">
        <w:rPr>
          <w:lang w:val="fr-FR"/>
        </w:rPr>
        <w:t xml:space="preserve">Irkoutsk </w:t>
      </w:r>
      <w:r w:rsidRPr="003B1303" w:rsidR="005023C2">
        <w:rPr>
          <w:lang w:val="fr-FR"/>
        </w:rPr>
        <w:t>(</w:t>
      </w:r>
      <w:r w:rsidRPr="003B1303" w:rsidR="00E66466">
        <w:rPr>
          <w:lang w:val="fr-FR"/>
        </w:rPr>
        <w:t>« </w:t>
      </w:r>
      <w:r w:rsidRPr="003B1303" w:rsidR="005023C2">
        <w:rPr>
          <w:lang w:val="fr-FR"/>
        </w:rPr>
        <w:t>la maison d</w:t>
      </w:r>
      <w:r w:rsidRPr="003B1303" w:rsidR="003B1303">
        <w:rPr>
          <w:lang w:val="fr-FR"/>
        </w:rPr>
        <w:t>’</w:t>
      </w:r>
      <w:r w:rsidRPr="003B1303" w:rsidR="005023C2">
        <w:rPr>
          <w:lang w:val="fr-FR"/>
        </w:rPr>
        <w:t>arrêt</w:t>
      </w:r>
      <w:r w:rsidRPr="003B1303" w:rsidR="00E66466">
        <w:rPr>
          <w:lang w:val="fr-FR"/>
        </w:rPr>
        <w:t> »</w:t>
      </w:r>
      <w:r w:rsidRPr="003B1303" w:rsidR="005023C2">
        <w:rPr>
          <w:lang w:val="fr-FR"/>
        </w:rPr>
        <w:t xml:space="preserve">) </w:t>
      </w:r>
      <w:r w:rsidRPr="003B1303">
        <w:rPr>
          <w:lang w:val="fr-FR"/>
        </w:rPr>
        <w:t>et placé dans la cellule n</w:t>
      </w:r>
      <w:r w:rsidRPr="003B1303">
        <w:rPr>
          <w:vertAlign w:val="superscript"/>
          <w:lang w:val="fr-FR"/>
        </w:rPr>
        <w:t>o</w:t>
      </w:r>
      <w:r w:rsidRPr="003B1303">
        <w:rPr>
          <w:lang w:val="fr-FR"/>
        </w:rPr>
        <w:t> 239. Il allègue y avoir été détenu avec trois autres personnes, G</w:t>
      </w:r>
      <w:r w:rsidRPr="003B1303" w:rsidR="00A159A1">
        <w:rPr>
          <w:lang w:val="fr-FR"/>
        </w:rPr>
        <w:t>o</w:t>
      </w:r>
      <w:r w:rsidRPr="003B1303">
        <w:rPr>
          <w:lang w:val="fr-FR"/>
        </w:rPr>
        <w:t>., M</w:t>
      </w:r>
      <w:r w:rsidRPr="003B1303" w:rsidR="00A159A1">
        <w:rPr>
          <w:lang w:val="fr-FR"/>
        </w:rPr>
        <w:t>a</w:t>
      </w:r>
      <w:r w:rsidRPr="003B1303">
        <w:rPr>
          <w:lang w:val="fr-FR"/>
        </w:rPr>
        <w:t xml:space="preserve">. </w:t>
      </w:r>
      <w:proofErr w:type="gramStart"/>
      <w:r w:rsidRPr="003B1303">
        <w:rPr>
          <w:lang w:val="fr-FR"/>
        </w:rPr>
        <w:t>et</w:t>
      </w:r>
      <w:proofErr w:type="gramEnd"/>
      <w:r w:rsidRPr="003B1303">
        <w:rPr>
          <w:lang w:val="fr-FR"/>
        </w:rPr>
        <w:t xml:space="preserve"> </w:t>
      </w:r>
      <w:proofErr w:type="spellStart"/>
      <w:r w:rsidRPr="003B1303">
        <w:rPr>
          <w:lang w:val="fr-FR"/>
        </w:rPr>
        <w:t>R</w:t>
      </w:r>
      <w:r w:rsidRPr="003B1303" w:rsidR="001507AB">
        <w:rPr>
          <w:lang w:val="fr-FR"/>
        </w:rPr>
        <w:t>o</w:t>
      </w:r>
      <w:proofErr w:type="spellEnd"/>
      <w:r w:rsidRPr="003B1303">
        <w:rPr>
          <w:lang w:val="fr-FR"/>
        </w:rPr>
        <w:t>., jusqu</w:t>
      </w:r>
      <w:r w:rsidRPr="003B1303" w:rsidR="003B1303">
        <w:rPr>
          <w:lang w:val="fr-FR"/>
        </w:rPr>
        <w:t>’</w:t>
      </w:r>
      <w:r w:rsidRPr="003B1303">
        <w:rPr>
          <w:lang w:val="fr-FR"/>
        </w:rPr>
        <w:t xml:space="preserve">au 24 avril 2008, </w:t>
      </w:r>
      <w:r w:rsidRPr="003B1303" w:rsidR="00E66466">
        <w:rPr>
          <w:lang w:val="fr-FR"/>
        </w:rPr>
        <w:t>date de son transfert</w:t>
      </w:r>
      <w:r w:rsidRPr="003B1303">
        <w:rPr>
          <w:lang w:val="fr-FR"/>
        </w:rPr>
        <w:t xml:space="preserve"> dans la cellule n</w:t>
      </w:r>
      <w:r w:rsidRPr="003B1303">
        <w:rPr>
          <w:vertAlign w:val="superscript"/>
          <w:lang w:val="fr-FR"/>
        </w:rPr>
        <w:t>o</w:t>
      </w:r>
      <w:r w:rsidRPr="003B1303">
        <w:rPr>
          <w:lang w:val="fr-FR"/>
        </w:rPr>
        <w:t> 439.</w:t>
      </w:r>
    </w:p>
    <w:bookmarkStart w:name="allmauvr13" w:id="6"/>
    <w:p w:rsidRPr="003B1303" w:rsidR="00BE4C83" w:rsidP="003B1303" w:rsidRDefault="007823F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w:t>
      </w:r>
      <w:r w:rsidRPr="003B1303">
        <w:rPr>
          <w:lang w:val="fr-FR"/>
        </w:rPr>
        <w:fldChar w:fldCharType="end"/>
      </w:r>
      <w:bookmarkEnd w:id="6"/>
      <w:r w:rsidRPr="003B1303">
        <w:rPr>
          <w:lang w:val="fr-FR"/>
        </w:rPr>
        <w:t>.  </w:t>
      </w:r>
      <w:r w:rsidRPr="003B1303" w:rsidR="00E66466">
        <w:rPr>
          <w:lang w:val="fr-FR"/>
        </w:rPr>
        <w:t>Selon lui</w:t>
      </w:r>
      <w:r w:rsidRPr="003B1303">
        <w:rPr>
          <w:lang w:val="fr-FR"/>
        </w:rPr>
        <w:t xml:space="preserve">, le soir du 13 avril 2008, il </w:t>
      </w:r>
      <w:r w:rsidRPr="003B1303" w:rsidR="00E66466">
        <w:rPr>
          <w:lang w:val="fr-FR"/>
        </w:rPr>
        <w:t>fut</w:t>
      </w:r>
      <w:r w:rsidRPr="003B1303">
        <w:rPr>
          <w:lang w:val="fr-FR"/>
        </w:rPr>
        <w:t xml:space="preserve"> passé à tabac par G</w:t>
      </w:r>
      <w:r w:rsidRPr="003B1303" w:rsidR="00497C2C">
        <w:rPr>
          <w:lang w:val="fr-FR"/>
        </w:rPr>
        <w:t>o</w:t>
      </w:r>
      <w:r w:rsidRPr="003B1303">
        <w:rPr>
          <w:lang w:val="fr-FR"/>
        </w:rPr>
        <w:t xml:space="preserve">. </w:t>
      </w:r>
      <w:proofErr w:type="gramStart"/>
      <w:r w:rsidRPr="003B1303">
        <w:rPr>
          <w:lang w:val="fr-FR"/>
        </w:rPr>
        <w:t>et</w:t>
      </w:r>
      <w:proofErr w:type="gramEnd"/>
      <w:r w:rsidRPr="003B1303">
        <w:rPr>
          <w:lang w:val="fr-FR"/>
        </w:rPr>
        <w:t xml:space="preserve"> M</w:t>
      </w:r>
      <w:r w:rsidRPr="003B1303" w:rsidR="00497C2C">
        <w:rPr>
          <w:lang w:val="fr-FR"/>
        </w:rPr>
        <w:t>a</w:t>
      </w:r>
      <w:r w:rsidRPr="003B1303" w:rsidR="001507AB">
        <w:rPr>
          <w:lang w:val="fr-FR"/>
        </w:rPr>
        <w:t xml:space="preserve">. : </w:t>
      </w:r>
      <w:proofErr w:type="gramStart"/>
      <w:r w:rsidRPr="003B1303" w:rsidR="001507AB">
        <w:rPr>
          <w:lang w:val="fr-FR"/>
        </w:rPr>
        <w:t>ces</w:t>
      </w:r>
      <w:proofErr w:type="gramEnd"/>
      <w:r w:rsidRPr="003B1303" w:rsidR="001507AB">
        <w:rPr>
          <w:lang w:val="fr-FR"/>
        </w:rPr>
        <w:t xml:space="preserve"> derniers </w:t>
      </w:r>
      <w:r w:rsidRPr="003B1303" w:rsidR="00E66466">
        <w:rPr>
          <w:lang w:val="fr-FR"/>
        </w:rPr>
        <w:t xml:space="preserve">lui </w:t>
      </w:r>
      <w:r w:rsidRPr="003B1303" w:rsidR="001507AB">
        <w:rPr>
          <w:lang w:val="fr-FR"/>
        </w:rPr>
        <w:t xml:space="preserve">auraient </w:t>
      </w:r>
      <w:r w:rsidRPr="003B1303" w:rsidR="00E66466">
        <w:rPr>
          <w:lang w:val="fr-FR"/>
        </w:rPr>
        <w:t xml:space="preserve">donné </w:t>
      </w:r>
      <w:r w:rsidRPr="003B1303" w:rsidR="001507AB">
        <w:rPr>
          <w:lang w:val="fr-FR"/>
        </w:rPr>
        <w:t xml:space="preserve">des coups de poing sur </w:t>
      </w:r>
      <w:r w:rsidRPr="003B1303" w:rsidR="00E66466">
        <w:rPr>
          <w:lang w:val="fr-FR"/>
        </w:rPr>
        <w:t xml:space="preserve">le </w:t>
      </w:r>
      <w:r w:rsidRPr="003B1303" w:rsidR="001507AB">
        <w:rPr>
          <w:lang w:val="fr-FR"/>
        </w:rPr>
        <w:t>corps</w:t>
      </w:r>
      <w:r w:rsidRPr="003B1303" w:rsidR="00F55E68">
        <w:rPr>
          <w:lang w:val="fr-FR"/>
        </w:rPr>
        <w:t xml:space="preserve"> et </w:t>
      </w:r>
      <w:r w:rsidRPr="003B1303" w:rsidR="0008242B">
        <w:rPr>
          <w:lang w:val="fr-FR"/>
        </w:rPr>
        <w:t>à</w:t>
      </w:r>
      <w:r w:rsidRPr="003B1303" w:rsidR="00E66466">
        <w:rPr>
          <w:lang w:val="fr-FR"/>
        </w:rPr>
        <w:t xml:space="preserve"> l</w:t>
      </w:r>
      <w:r w:rsidRPr="003B1303" w:rsidR="00F55E68">
        <w:rPr>
          <w:lang w:val="fr-FR"/>
        </w:rPr>
        <w:t>a tête</w:t>
      </w:r>
      <w:r w:rsidRPr="003B1303" w:rsidR="00E66466">
        <w:rPr>
          <w:lang w:val="fr-FR"/>
        </w:rPr>
        <w:t xml:space="preserve"> et</w:t>
      </w:r>
      <w:r w:rsidRPr="003B1303" w:rsidR="001507AB">
        <w:rPr>
          <w:lang w:val="fr-FR"/>
        </w:rPr>
        <w:t xml:space="preserve"> Ma. </w:t>
      </w:r>
      <w:proofErr w:type="gramStart"/>
      <w:r w:rsidRPr="003B1303" w:rsidR="00E66466">
        <w:rPr>
          <w:lang w:val="fr-FR"/>
        </w:rPr>
        <w:t>lui</w:t>
      </w:r>
      <w:proofErr w:type="gramEnd"/>
      <w:r w:rsidRPr="003B1303" w:rsidR="00E66466">
        <w:rPr>
          <w:lang w:val="fr-FR"/>
        </w:rPr>
        <w:t xml:space="preserve"> </w:t>
      </w:r>
      <w:r w:rsidRPr="003B1303" w:rsidR="001507AB">
        <w:rPr>
          <w:lang w:val="fr-FR"/>
        </w:rPr>
        <w:t xml:space="preserve">aurait asséné un coup de pied dans le thorax. </w:t>
      </w:r>
      <w:r w:rsidRPr="003B1303" w:rsidR="00E66466">
        <w:rPr>
          <w:lang w:val="fr-FR"/>
        </w:rPr>
        <w:t>Le</w:t>
      </w:r>
      <w:r w:rsidRPr="003B1303">
        <w:rPr>
          <w:lang w:val="fr-FR"/>
        </w:rPr>
        <w:t xml:space="preserve"> </w:t>
      </w:r>
      <w:r w:rsidRPr="003B1303" w:rsidR="00AF1DF6">
        <w:rPr>
          <w:lang w:val="fr-FR"/>
        </w:rPr>
        <w:t xml:space="preserve">premier </w:t>
      </w:r>
      <w:r w:rsidRPr="003B1303">
        <w:rPr>
          <w:lang w:val="fr-FR"/>
        </w:rPr>
        <w:t>requérant</w:t>
      </w:r>
      <w:r w:rsidRPr="003B1303" w:rsidR="00E66466">
        <w:rPr>
          <w:lang w:val="fr-FR"/>
        </w:rPr>
        <w:t xml:space="preserve"> allègue que</w:t>
      </w:r>
      <w:r w:rsidRPr="003B1303">
        <w:rPr>
          <w:lang w:val="fr-FR"/>
        </w:rPr>
        <w:t xml:space="preserve"> ces derniers avaient agi sur </w:t>
      </w:r>
      <w:r w:rsidRPr="003B1303" w:rsidR="00E66466">
        <w:rPr>
          <w:lang w:val="fr-FR"/>
        </w:rPr>
        <w:t>instruction</w:t>
      </w:r>
      <w:r w:rsidRPr="003B1303">
        <w:rPr>
          <w:lang w:val="fr-FR"/>
        </w:rPr>
        <w:t xml:space="preserve"> de T</w:t>
      </w:r>
      <w:r w:rsidRPr="003B1303" w:rsidR="00C11C2F">
        <w:rPr>
          <w:lang w:val="fr-FR"/>
        </w:rPr>
        <w:t>i</w:t>
      </w:r>
      <w:r w:rsidRPr="003B1303">
        <w:rPr>
          <w:lang w:val="fr-FR"/>
        </w:rPr>
        <w:t>., un officier de police de la maison d</w:t>
      </w:r>
      <w:r w:rsidRPr="003B1303" w:rsidR="003B1303">
        <w:rPr>
          <w:lang w:val="fr-FR"/>
        </w:rPr>
        <w:t>’</w:t>
      </w:r>
      <w:r w:rsidRPr="003B1303">
        <w:rPr>
          <w:lang w:val="fr-FR"/>
        </w:rPr>
        <w:t xml:space="preserve">arrêt, et de M. et B., </w:t>
      </w:r>
      <w:r w:rsidRPr="003B1303" w:rsidR="00951E47">
        <w:rPr>
          <w:lang w:val="fr-FR"/>
        </w:rPr>
        <w:t>les</w:t>
      </w:r>
      <w:r w:rsidRPr="003B1303">
        <w:rPr>
          <w:lang w:val="fr-FR"/>
        </w:rPr>
        <w:t xml:space="preserve"> enquêteurs chargés de </w:t>
      </w:r>
      <w:r w:rsidRPr="003B1303" w:rsidR="00E66466">
        <w:rPr>
          <w:lang w:val="fr-FR"/>
        </w:rPr>
        <w:t>l</w:t>
      </w:r>
      <w:r w:rsidRPr="003B1303" w:rsidR="003B1303">
        <w:rPr>
          <w:lang w:val="fr-FR"/>
        </w:rPr>
        <w:t>’</w:t>
      </w:r>
      <w:r w:rsidRPr="003B1303" w:rsidR="00E66466">
        <w:rPr>
          <w:lang w:val="fr-FR"/>
        </w:rPr>
        <w:t xml:space="preserve">enquête </w:t>
      </w:r>
      <w:r w:rsidRPr="003B1303">
        <w:rPr>
          <w:lang w:val="fr-FR"/>
        </w:rPr>
        <w:t>pénale</w:t>
      </w:r>
      <w:r w:rsidRPr="003B1303" w:rsidR="00D939A2">
        <w:rPr>
          <w:lang w:val="fr-FR"/>
        </w:rPr>
        <w:t xml:space="preserve"> n</w:t>
      </w:r>
      <w:r w:rsidRPr="003B1303" w:rsidR="00D939A2">
        <w:rPr>
          <w:vertAlign w:val="superscript"/>
          <w:lang w:val="fr-FR"/>
        </w:rPr>
        <w:t>o</w:t>
      </w:r>
      <w:r w:rsidRPr="003B1303" w:rsidR="00D939A2">
        <w:rPr>
          <w:lang w:val="fr-FR"/>
        </w:rPr>
        <w:t> 16029</w:t>
      </w:r>
      <w:r w:rsidRPr="003B1303">
        <w:rPr>
          <w:lang w:val="fr-FR"/>
        </w:rPr>
        <w:t>, dans le but de lui extorquer des aveux.</w:t>
      </w:r>
    </w:p>
    <w:bookmarkStart w:name="aveu14r1" w:id="7"/>
    <w:p w:rsidRPr="003B1303" w:rsidR="0085148A" w:rsidP="003B1303" w:rsidRDefault="00951E4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15</w:t>
      </w:r>
      <w:r w:rsidRPr="003B1303">
        <w:rPr>
          <w:lang w:val="fr-FR"/>
        </w:rPr>
        <w:fldChar w:fldCharType="end"/>
      </w:r>
      <w:bookmarkEnd w:id="7"/>
      <w:r w:rsidRPr="003B1303">
        <w:rPr>
          <w:lang w:val="fr-FR"/>
        </w:rPr>
        <w:t xml:space="preserve">.  Le 14 avril 2008, le requérant </w:t>
      </w:r>
      <w:r w:rsidRPr="003B1303" w:rsidR="004A45DC">
        <w:rPr>
          <w:lang w:val="fr-FR"/>
        </w:rPr>
        <w:t xml:space="preserve">rédigea </w:t>
      </w:r>
      <w:r w:rsidRPr="003B1303">
        <w:rPr>
          <w:lang w:val="fr-FR"/>
        </w:rPr>
        <w:t>une « déclaration d</w:t>
      </w:r>
      <w:r w:rsidRPr="003B1303" w:rsidR="003B1303">
        <w:rPr>
          <w:lang w:val="fr-FR"/>
        </w:rPr>
        <w:t>’</w:t>
      </w:r>
      <w:r w:rsidRPr="003B1303">
        <w:rPr>
          <w:lang w:val="fr-FR"/>
        </w:rPr>
        <w:t>aveux » (« </w:t>
      </w:r>
      <w:proofErr w:type="spellStart"/>
      <w:r w:rsidRPr="003B1303">
        <w:rPr>
          <w:i/>
          <w:lang w:val="fr-FR"/>
        </w:rPr>
        <w:t>явка</w:t>
      </w:r>
      <w:proofErr w:type="spellEnd"/>
      <w:r w:rsidRPr="003B1303">
        <w:rPr>
          <w:i/>
          <w:lang w:val="fr-FR"/>
        </w:rPr>
        <w:t xml:space="preserve"> с </w:t>
      </w:r>
      <w:proofErr w:type="spellStart"/>
      <w:r w:rsidRPr="003B1303">
        <w:rPr>
          <w:i/>
          <w:lang w:val="fr-FR"/>
        </w:rPr>
        <w:t>повинной</w:t>
      </w:r>
      <w:proofErr w:type="spellEnd"/>
      <w:r w:rsidRPr="003B1303">
        <w:rPr>
          <w:lang w:val="fr-FR"/>
        </w:rPr>
        <w:t> »)</w:t>
      </w:r>
      <w:r w:rsidRPr="003B1303" w:rsidR="007823F8">
        <w:rPr>
          <w:lang w:val="fr-FR"/>
        </w:rPr>
        <w:t xml:space="preserve">, </w:t>
      </w:r>
      <w:r w:rsidRPr="003B1303">
        <w:rPr>
          <w:lang w:val="fr-FR"/>
        </w:rPr>
        <w:t>dans laquelle</w:t>
      </w:r>
      <w:r w:rsidRPr="003B1303" w:rsidR="007823F8">
        <w:rPr>
          <w:lang w:val="fr-FR"/>
        </w:rPr>
        <w:t xml:space="preserve"> </w:t>
      </w:r>
      <w:r w:rsidRPr="003B1303" w:rsidR="003E0C93">
        <w:rPr>
          <w:lang w:val="fr-FR"/>
        </w:rPr>
        <w:t xml:space="preserve">il </w:t>
      </w:r>
      <w:r w:rsidRPr="003B1303" w:rsidR="007823F8">
        <w:rPr>
          <w:lang w:val="fr-FR"/>
        </w:rPr>
        <w:t>avoua</w:t>
      </w:r>
      <w:r w:rsidRPr="003B1303" w:rsidR="003E0C93">
        <w:rPr>
          <w:lang w:val="fr-FR"/>
        </w:rPr>
        <w:t>it</w:t>
      </w:r>
      <w:r w:rsidRPr="003B1303" w:rsidR="007823F8">
        <w:rPr>
          <w:lang w:val="fr-FR"/>
        </w:rPr>
        <w:t xml:space="preserve"> avoir commandité le meurtre de S. </w:t>
      </w:r>
      <w:r w:rsidRPr="003B1303" w:rsidR="00A93943">
        <w:rPr>
          <w:lang w:val="fr-FR"/>
        </w:rPr>
        <w:t>Il</w:t>
      </w:r>
      <w:r w:rsidRPr="003B1303" w:rsidR="00EF1F97">
        <w:rPr>
          <w:lang w:val="fr-FR"/>
        </w:rPr>
        <w:t xml:space="preserve"> déclara </w:t>
      </w:r>
      <w:r w:rsidRPr="003B1303" w:rsidR="00A93943">
        <w:rPr>
          <w:lang w:val="fr-FR"/>
        </w:rPr>
        <w:t xml:space="preserve">notamment que, </w:t>
      </w:r>
      <w:r w:rsidRPr="003B1303" w:rsidR="00EF1F97">
        <w:rPr>
          <w:lang w:val="fr-FR"/>
        </w:rPr>
        <w:t>en novembre 1998</w:t>
      </w:r>
      <w:r w:rsidRPr="003B1303" w:rsidR="00A93943">
        <w:rPr>
          <w:lang w:val="fr-FR"/>
        </w:rPr>
        <w:t>,</w:t>
      </w:r>
      <w:r w:rsidRPr="003B1303" w:rsidR="00EF1F97">
        <w:rPr>
          <w:lang w:val="fr-FR"/>
        </w:rPr>
        <w:t xml:space="preserve"> son ami </w:t>
      </w:r>
      <w:proofErr w:type="spellStart"/>
      <w:r w:rsidRPr="003B1303" w:rsidR="00EF1F97">
        <w:rPr>
          <w:lang w:val="fr-FR"/>
        </w:rPr>
        <w:t>Kh</w:t>
      </w:r>
      <w:proofErr w:type="spellEnd"/>
      <w:r w:rsidRPr="003B1303" w:rsidR="00EF1F97">
        <w:rPr>
          <w:lang w:val="fr-FR"/>
        </w:rPr>
        <w:t>. et lui avaient décidé d</w:t>
      </w:r>
      <w:r w:rsidRPr="003B1303" w:rsidR="003B1303">
        <w:rPr>
          <w:lang w:val="fr-FR"/>
        </w:rPr>
        <w:t>’</w:t>
      </w:r>
      <w:r w:rsidRPr="003B1303" w:rsidR="00EF1F97">
        <w:rPr>
          <w:lang w:val="fr-FR"/>
        </w:rPr>
        <w:t xml:space="preserve">assassiner S. </w:t>
      </w:r>
      <w:r w:rsidRPr="003B1303" w:rsidR="00D235C6">
        <w:rPr>
          <w:lang w:val="fr-FR"/>
        </w:rPr>
        <w:t>à cause de l</w:t>
      </w:r>
      <w:r w:rsidRPr="003B1303" w:rsidR="003B1303">
        <w:rPr>
          <w:lang w:val="fr-FR"/>
        </w:rPr>
        <w:t>’</w:t>
      </w:r>
      <w:r w:rsidRPr="003B1303" w:rsidR="00D235C6">
        <w:rPr>
          <w:lang w:val="fr-FR"/>
        </w:rPr>
        <w:t xml:space="preserve">animosité </w:t>
      </w:r>
      <w:r w:rsidRPr="003B1303" w:rsidR="00A93943">
        <w:rPr>
          <w:lang w:val="fr-FR"/>
        </w:rPr>
        <w:t>qu</w:t>
      </w:r>
      <w:r w:rsidRPr="003B1303" w:rsidR="003B1303">
        <w:rPr>
          <w:lang w:val="fr-FR"/>
        </w:rPr>
        <w:t>’</w:t>
      </w:r>
      <w:r w:rsidRPr="003B1303" w:rsidR="00A93943">
        <w:rPr>
          <w:lang w:val="fr-FR"/>
        </w:rPr>
        <w:t>ils</w:t>
      </w:r>
      <w:r w:rsidRPr="003B1303" w:rsidR="00D235C6">
        <w:rPr>
          <w:lang w:val="fr-FR"/>
        </w:rPr>
        <w:t xml:space="preserve"> éprouvaient </w:t>
      </w:r>
      <w:r w:rsidRPr="003B1303" w:rsidR="00A93943">
        <w:rPr>
          <w:lang w:val="fr-FR"/>
        </w:rPr>
        <w:t xml:space="preserve">tous les deux </w:t>
      </w:r>
      <w:r w:rsidRPr="003B1303" w:rsidR="00D235C6">
        <w:rPr>
          <w:lang w:val="fr-FR"/>
        </w:rPr>
        <w:t xml:space="preserve">à son égard. </w:t>
      </w:r>
      <w:r w:rsidRPr="003B1303" w:rsidR="00154F30">
        <w:rPr>
          <w:lang w:val="fr-FR"/>
        </w:rPr>
        <w:t>Selon l</w:t>
      </w:r>
      <w:r w:rsidRPr="003B1303" w:rsidR="00D235C6">
        <w:rPr>
          <w:lang w:val="fr-FR"/>
        </w:rPr>
        <w:t xml:space="preserve">a déclaration </w:t>
      </w:r>
      <w:r w:rsidRPr="003B1303" w:rsidR="00A93943">
        <w:rPr>
          <w:lang w:val="fr-FR"/>
        </w:rPr>
        <w:t>d</w:t>
      </w:r>
      <w:r w:rsidRPr="003B1303" w:rsidR="003B1303">
        <w:rPr>
          <w:lang w:val="fr-FR"/>
        </w:rPr>
        <w:t>’</w:t>
      </w:r>
      <w:r w:rsidRPr="003B1303" w:rsidR="00A93943">
        <w:rPr>
          <w:lang w:val="fr-FR"/>
        </w:rPr>
        <w:t xml:space="preserve">aveux </w:t>
      </w:r>
      <w:r w:rsidRPr="003B1303" w:rsidR="00D235C6">
        <w:rPr>
          <w:lang w:val="fr-FR"/>
        </w:rPr>
        <w:t>du</w:t>
      </w:r>
      <w:r w:rsidRPr="003B1303" w:rsidR="00154F30">
        <w:rPr>
          <w:lang w:val="fr-FR"/>
        </w:rPr>
        <w:t xml:space="preserve"> requérant, </w:t>
      </w:r>
      <w:proofErr w:type="spellStart"/>
      <w:r w:rsidRPr="003B1303" w:rsidR="00154F30">
        <w:rPr>
          <w:lang w:val="fr-FR"/>
        </w:rPr>
        <w:t>Kh</w:t>
      </w:r>
      <w:proofErr w:type="spellEnd"/>
      <w:r w:rsidRPr="003B1303" w:rsidR="00154F30">
        <w:rPr>
          <w:lang w:val="fr-FR"/>
        </w:rPr>
        <w:t xml:space="preserve">. </w:t>
      </w:r>
      <w:r w:rsidRPr="003B1303" w:rsidR="00A93943">
        <w:rPr>
          <w:lang w:val="fr-FR"/>
        </w:rPr>
        <w:t xml:space="preserve">avait </w:t>
      </w:r>
      <w:r w:rsidRPr="003B1303" w:rsidR="00154F30">
        <w:rPr>
          <w:lang w:val="fr-FR"/>
        </w:rPr>
        <w:t xml:space="preserve">contacté </w:t>
      </w:r>
      <w:r w:rsidRPr="003B1303" w:rsidR="00817002">
        <w:rPr>
          <w:lang w:val="fr-FR"/>
        </w:rPr>
        <w:t>V. Mol.</w:t>
      </w:r>
      <w:r w:rsidRPr="003B1303" w:rsidR="00154F30">
        <w:rPr>
          <w:lang w:val="fr-FR"/>
        </w:rPr>
        <w:t xml:space="preserve">, </w:t>
      </w:r>
      <w:r w:rsidRPr="003B1303" w:rsidR="004B6DA7">
        <w:rPr>
          <w:lang w:val="fr-FR"/>
        </w:rPr>
        <w:t xml:space="preserve">qui, à son tour, </w:t>
      </w:r>
      <w:r w:rsidRPr="003B1303" w:rsidR="00A93943">
        <w:rPr>
          <w:lang w:val="fr-FR"/>
        </w:rPr>
        <w:t>s</w:t>
      </w:r>
      <w:r w:rsidRPr="003B1303" w:rsidR="003B1303">
        <w:rPr>
          <w:lang w:val="fr-FR"/>
        </w:rPr>
        <w:t>’</w:t>
      </w:r>
      <w:r w:rsidRPr="003B1303" w:rsidR="00A93943">
        <w:rPr>
          <w:lang w:val="fr-FR"/>
        </w:rPr>
        <w:t xml:space="preserve">était adressé </w:t>
      </w:r>
      <w:r w:rsidRPr="003B1303" w:rsidR="004B6DA7">
        <w:rPr>
          <w:lang w:val="fr-FR"/>
        </w:rPr>
        <w:t>à A. </w:t>
      </w:r>
      <w:proofErr w:type="spellStart"/>
      <w:r w:rsidRPr="003B1303" w:rsidR="004B6DA7">
        <w:rPr>
          <w:lang w:val="fr-FR"/>
        </w:rPr>
        <w:t>Kur</w:t>
      </w:r>
      <w:proofErr w:type="spellEnd"/>
      <w:r w:rsidRPr="003B1303" w:rsidR="00105730">
        <w:rPr>
          <w:lang w:val="fr-FR"/>
        </w:rPr>
        <w:t>.</w:t>
      </w:r>
      <w:r w:rsidRPr="003B1303" w:rsidR="004B6DA7">
        <w:rPr>
          <w:lang w:val="fr-FR"/>
        </w:rPr>
        <w:t xml:space="preserve"> </w:t>
      </w:r>
      <w:proofErr w:type="gramStart"/>
      <w:r w:rsidRPr="003B1303" w:rsidR="004B6DA7">
        <w:rPr>
          <w:lang w:val="fr-FR"/>
        </w:rPr>
        <w:t>pour</w:t>
      </w:r>
      <w:proofErr w:type="gramEnd"/>
      <w:r w:rsidRPr="003B1303" w:rsidR="004B6DA7">
        <w:rPr>
          <w:lang w:val="fr-FR"/>
        </w:rPr>
        <w:t xml:space="preserve"> que ce dernier trouv</w:t>
      </w:r>
      <w:r w:rsidRPr="003B1303" w:rsidR="00D235C6">
        <w:rPr>
          <w:lang w:val="fr-FR"/>
        </w:rPr>
        <w:t>ât</w:t>
      </w:r>
      <w:r w:rsidRPr="003B1303" w:rsidR="004B6DA7">
        <w:rPr>
          <w:lang w:val="fr-FR"/>
        </w:rPr>
        <w:t xml:space="preserve"> des tueurs à gage. </w:t>
      </w:r>
      <w:proofErr w:type="spellStart"/>
      <w:r w:rsidRPr="003B1303" w:rsidR="004B6DA7">
        <w:rPr>
          <w:lang w:val="fr-FR"/>
        </w:rPr>
        <w:t>Kh</w:t>
      </w:r>
      <w:proofErr w:type="spellEnd"/>
      <w:r w:rsidRPr="003B1303" w:rsidR="004B6DA7">
        <w:rPr>
          <w:lang w:val="fr-FR"/>
        </w:rPr>
        <w:t xml:space="preserve">. aurait ensuite informé le requérant </w:t>
      </w:r>
      <w:proofErr w:type="gramStart"/>
      <w:r w:rsidRPr="003B1303" w:rsidR="004B6DA7">
        <w:rPr>
          <w:lang w:val="fr-FR"/>
        </w:rPr>
        <w:t>qu</w:t>
      </w:r>
      <w:r w:rsidRPr="003B1303" w:rsidR="0052506A">
        <w:rPr>
          <w:lang w:val="fr-FR"/>
        </w:rPr>
        <w:t xml:space="preserve">e </w:t>
      </w:r>
      <w:r w:rsidRPr="003B1303" w:rsidR="004B6DA7">
        <w:rPr>
          <w:lang w:val="fr-FR"/>
        </w:rPr>
        <w:t>A</w:t>
      </w:r>
      <w:proofErr w:type="gramEnd"/>
      <w:r w:rsidRPr="003B1303" w:rsidR="004B6DA7">
        <w:rPr>
          <w:lang w:val="fr-FR"/>
        </w:rPr>
        <w:t>. </w:t>
      </w:r>
      <w:proofErr w:type="spellStart"/>
      <w:r w:rsidRPr="003B1303" w:rsidR="004B6DA7">
        <w:rPr>
          <w:lang w:val="fr-FR"/>
        </w:rPr>
        <w:t>Kur</w:t>
      </w:r>
      <w:proofErr w:type="spellEnd"/>
      <w:r w:rsidRPr="003B1303" w:rsidR="004B6DA7">
        <w:rPr>
          <w:lang w:val="fr-FR"/>
        </w:rPr>
        <w:t xml:space="preserve">. </w:t>
      </w:r>
      <w:proofErr w:type="gramStart"/>
      <w:r w:rsidRPr="003B1303" w:rsidR="004B6DA7">
        <w:rPr>
          <w:lang w:val="fr-FR"/>
        </w:rPr>
        <w:t>avait</w:t>
      </w:r>
      <w:proofErr w:type="gramEnd"/>
      <w:r w:rsidRPr="003B1303" w:rsidR="004B6DA7">
        <w:rPr>
          <w:lang w:val="fr-FR"/>
        </w:rPr>
        <w:t xml:space="preserve"> engagé </w:t>
      </w:r>
      <w:r w:rsidRPr="003B1303" w:rsidR="00817002">
        <w:rPr>
          <w:lang w:val="fr-FR"/>
        </w:rPr>
        <w:t>E. Mas.</w:t>
      </w:r>
      <w:r w:rsidRPr="003B1303" w:rsidR="00EF1F97">
        <w:rPr>
          <w:lang w:val="fr-FR"/>
        </w:rPr>
        <w:t xml:space="preserve"> </w:t>
      </w:r>
      <w:proofErr w:type="gramStart"/>
      <w:r w:rsidRPr="003B1303" w:rsidR="004B6DA7">
        <w:rPr>
          <w:lang w:val="fr-FR"/>
        </w:rPr>
        <w:t>et</w:t>
      </w:r>
      <w:proofErr w:type="gramEnd"/>
      <w:r w:rsidRPr="003B1303" w:rsidR="004B6DA7">
        <w:rPr>
          <w:lang w:val="fr-FR"/>
        </w:rPr>
        <w:t xml:space="preserve"> une autre personne que l</w:t>
      </w:r>
      <w:r w:rsidRPr="003B1303" w:rsidR="003B1303">
        <w:rPr>
          <w:lang w:val="fr-FR"/>
        </w:rPr>
        <w:t>’</w:t>
      </w:r>
      <w:r w:rsidRPr="003B1303" w:rsidR="004B6DA7">
        <w:rPr>
          <w:lang w:val="fr-FR"/>
        </w:rPr>
        <w:t>intéressé ne connaissait pas</w:t>
      </w:r>
      <w:r w:rsidRPr="003B1303" w:rsidR="00D235C6">
        <w:rPr>
          <w:lang w:val="fr-FR"/>
        </w:rPr>
        <w:t xml:space="preserve"> en tant que tueurs à gage</w:t>
      </w:r>
      <w:r w:rsidRPr="003B1303" w:rsidR="004B6DA7">
        <w:rPr>
          <w:lang w:val="fr-FR"/>
        </w:rPr>
        <w:t xml:space="preserve">. Le requérant déclara </w:t>
      </w:r>
      <w:r w:rsidRPr="003B1303" w:rsidR="00105730">
        <w:rPr>
          <w:lang w:val="fr-FR"/>
        </w:rPr>
        <w:t xml:space="preserve">en outre </w:t>
      </w:r>
      <w:r w:rsidRPr="003B1303" w:rsidR="004B6DA7">
        <w:rPr>
          <w:lang w:val="fr-FR"/>
        </w:rPr>
        <w:t>qu</w:t>
      </w:r>
      <w:r w:rsidRPr="003B1303" w:rsidR="003B1303">
        <w:rPr>
          <w:lang w:val="fr-FR"/>
        </w:rPr>
        <w:t>’</w:t>
      </w:r>
      <w:r w:rsidRPr="003B1303" w:rsidR="004B6DA7">
        <w:rPr>
          <w:lang w:val="fr-FR"/>
        </w:rPr>
        <w:t xml:space="preserve">il avait transmis </w:t>
      </w:r>
      <w:r w:rsidRPr="003B1303" w:rsidR="008460ED">
        <w:rPr>
          <w:lang w:val="fr-FR"/>
        </w:rPr>
        <w:t>500 000 RUB</w:t>
      </w:r>
      <w:r w:rsidRPr="003B1303" w:rsidR="004B6DA7">
        <w:rPr>
          <w:lang w:val="fr-FR"/>
        </w:rPr>
        <w:t xml:space="preserve"> de la somme promise pour l</w:t>
      </w:r>
      <w:r w:rsidRPr="003B1303" w:rsidR="003B1303">
        <w:rPr>
          <w:lang w:val="fr-FR"/>
        </w:rPr>
        <w:t>’</w:t>
      </w:r>
      <w:r w:rsidRPr="003B1303" w:rsidR="004B6DA7">
        <w:rPr>
          <w:lang w:val="fr-FR"/>
        </w:rPr>
        <w:t>assassinat directement à A. </w:t>
      </w:r>
      <w:proofErr w:type="spellStart"/>
      <w:r w:rsidRPr="003B1303" w:rsidR="004B6DA7">
        <w:rPr>
          <w:lang w:val="fr-FR"/>
        </w:rPr>
        <w:t>Kur</w:t>
      </w:r>
      <w:proofErr w:type="spellEnd"/>
      <w:r w:rsidRPr="003B1303" w:rsidR="00105730">
        <w:rPr>
          <w:lang w:val="fr-FR"/>
        </w:rPr>
        <w:t>.</w:t>
      </w:r>
      <w:r w:rsidRPr="003B1303" w:rsidR="004B6DA7">
        <w:rPr>
          <w:lang w:val="fr-FR"/>
        </w:rPr>
        <w:t xml:space="preserve"> </w:t>
      </w:r>
      <w:proofErr w:type="gramStart"/>
      <w:r w:rsidRPr="003B1303" w:rsidR="004B6DA7">
        <w:rPr>
          <w:lang w:val="fr-FR"/>
        </w:rPr>
        <w:t>et</w:t>
      </w:r>
      <w:proofErr w:type="gramEnd"/>
      <w:r w:rsidRPr="003B1303" w:rsidR="004B6DA7">
        <w:rPr>
          <w:lang w:val="fr-FR"/>
        </w:rPr>
        <w:t xml:space="preserve"> que le reste de la somme</w:t>
      </w:r>
      <w:r w:rsidRPr="003B1303" w:rsidR="008460ED">
        <w:rPr>
          <w:lang w:val="fr-FR"/>
        </w:rPr>
        <w:t>, 1 000 000 RUB,</w:t>
      </w:r>
      <w:r w:rsidRPr="003B1303" w:rsidR="004B6DA7">
        <w:rPr>
          <w:lang w:val="fr-FR"/>
        </w:rPr>
        <w:t xml:space="preserve"> </w:t>
      </w:r>
      <w:r w:rsidRPr="003B1303" w:rsidR="00A93943">
        <w:rPr>
          <w:lang w:val="fr-FR"/>
        </w:rPr>
        <w:t xml:space="preserve">avait été </w:t>
      </w:r>
      <w:r w:rsidRPr="003B1303" w:rsidR="00105730">
        <w:rPr>
          <w:lang w:val="fr-FR"/>
        </w:rPr>
        <w:t>payé</w:t>
      </w:r>
      <w:r w:rsidRPr="003B1303" w:rsidR="004B6DA7">
        <w:rPr>
          <w:lang w:val="fr-FR"/>
        </w:rPr>
        <w:t xml:space="preserve"> par </w:t>
      </w:r>
      <w:proofErr w:type="spellStart"/>
      <w:r w:rsidRPr="003B1303" w:rsidR="004B6DA7">
        <w:rPr>
          <w:lang w:val="fr-FR"/>
        </w:rPr>
        <w:t>K</w:t>
      </w:r>
      <w:r w:rsidRPr="003B1303" w:rsidR="00105730">
        <w:rPr>
          <w:lang w:val="fr-FR"/>
        </w:rPr>
        <w:t>h</w:t>
      </w:r>
      <w:proofErr w:type="spellEnd"/>
      <w:r w:rsidRPr="003B1303" w:rsidR="00105730">
        <w:rPr>
          <w:lang w:val="fr-FR"/>
        </w:rPr>
        <w:t xml:space="preserve">. sans </w:t>
      </w:r>
      <w:r w:rsidRPr="003B1303" w:rsidR="00A93943">
        <w:rPr>
          <w:lang w:val="fr-FR"/>
        </w:rPr>
        <w:t>qu</w:t>
      </w:r>
      <w:r w:rsidRPr="003B1303" w:rsidR="003B1303">
        <w:rPr>
          <w:lang w:val="fr-FR"/>
        </w:rPr>
        <w:t>’</w:t>
      </w:r>
      <w:r w:rsidRPr="003B1303" w:rsidR="00A93943">
        <w:rPr>
          <w:lang w:val="fr-FR"/>
        </w:rPr>
        <w:t>il ne</w:t>
      </w:r>
      <w:r w:rsidRPr="003B1303" w:rsidR="00D67C22">
        <w:rPr>
          <w:lang w:val="fr-FR"/>
        </w:rPr>
        <w:t xml:space="preserve"> sût </w:t>
      </w:r>
      <w:r w:rsidRPr="003B1303" w:rsidR="00105730">
        <w:rPr>
          <w:lang w:val="fr-FR"/>
        </w:rPr>
        <w:t>à qui ce dernier avait transmis l</w:t>
      </w:r>
      <w:r w:rsidRPr="003B1303" w:rsidR="003B1303">
        <w:rPr>
          <w:lang w:val="fr-FR"/>
        </w:rPr>
        <w:t>’</w:t>
      </w:r>
      <w:r w:rsidRPr="003B1303" w:rsidR="00105730">
        <w:rPr>
          <w:lang w:val="fr-FR"/>
        </w:rPr>
        <w:t>argent ni à quel moment il l</w:t>
      </w:r>
      <w:r w:rsidRPr="003B1303" w:rsidR="003B1303">
        <w:rPr>
          <w:lang w:val="fr-FR"/>
        </w:rPr>
        <w:t>’</w:t>
      </w:r>
      <w:r w:rsidRPr="003B1303" w:rsidR="00105730">
        <w:rPr>
          <w:lang w:val="fr-FR"/>
        </w:rPr>
        <w:t>avait fait.</w:t>
      </w:r>
      <w:r w:rsidRPr="003B1303" w:rsidR="00EF1F97">
        <w:rPr>
          <w:lang w:val="fr-FR"/>
        </w:rPr>
        <w:t xml:space="preserve"> </w:t>
      </w:r>
      <w:r w:rsidRPr="003B1303" w:rsidR="007823F8">
        <w:rPr>
          <w:lang w:val="fr-FR"/>
        </w:rPr>
        <w:t xml:space="preserve">Le même jour, </w:t>
      </w:r>
      <w:r w:rsidRPr="003B1303" w:rsidR="00A93943">
        <w:rPr>
          <w:lang w:val="fr-FR"/>
        </w:rPr>
        <w:t xml:space="preserve">la </w:t>
      </w:r>
      <w:r w:rsidRPr="003B1303" w:rsidR="007823F8">
        <w:rPr>
          <w:lang w:val="fr-FR"/>
        </w:rPr>
        <w:t>déclaration</w:t>
      </w:r>
      <w:r w:rsidRPr="003B1303" w:rsidR="00A93943">
        <w:rPr>
          <w:lang w:val="fr-FR"/>
        </w:rPr>
        <w:t xml:space="preserve"> d</w:t>
      </w:r>
      <w:r w:rsidRPr="003B1303" w:rsidR="003B1303">
        <w:rPr>
          <w:lang w:val="fr-FR"/>
        </w:rPr>
        <w:t>’</w:t>
      </w:r>
      <w:r w:rsidRPr="003B1303" w:rsidR="00A93943">
        <w:rPr>
          <w:lang w:val="fr-FR"/>
        </w:rPr>
        <w:t>aveux du requérant</w:t>
      </w:r>
      <w:r w:rsidRPr="003B1303" w:rsidR="007823F8">
        <w:rPr>
          <w:lang w:val="fr-FR"/>
        </w:rPr>
        <w:t xml:space="preserve"> </w:t>
      </w:r>
      <w:r w:rsidRPr="003B1303" w:rsidR="008A3E4F">
        <w:rPr>
          <w:lang w:val="fr-FR"/>
        </w:rPr>
        <w:t>fut retranscrite dans un procès</w:t>
      </w:r>
      <w:r w:rsidRPr="003B1303" w:rsidR="008A3E4F">
        <w:rPr>
          <w:lang w:val="fr-FR"/>
        </w:rPr>
        <w:noBreakHyphen/>
      </w:r>
      <w:r w:rsidRPr="003B1303" w:rsidR="007823F8">
        <w:rPr>
          <w:lang w:val="fr-FR"/>
        </w:rPr>
        <w:t>verbal rédigé par Te., un officier de police de la maison d</w:t>
      </w:r>
      <w:r w:rsidRPr="003B1303" w:rsidR="003B1303">
        <w:rPr>
          <w:lang w:val="fr-FR"/>
        </w:rPr>
        <w:t>’</w:t>
      </w:r>
      <w:r w:rsidRPr="003B1303" w:rsidR="007823F8">
        <w:rPr>
          <w:lang w:val="fr-FR"/>
        </w:rPr>
        <w:t>arrêt</w:t>
      </w:r>
      <w:r w:rsidRPr="003B1303" w:rsidR="00A93943">
        <w:rPr>
          <w:lang w:val="fr-FR"/>
        </w:rPr>
        <w:t>, et l</w:t>
      </w:r>
      <w:r w:rsidRPr="003B1303" w:rsidR="003B1303">
        <w:rPr>
          <w:lang w:val="fr-FR"/>
        </w:rPr>
        <w:t>’</w:t>
      </w:r>
      <w:r w:rsidRPr="003B1303" w:rsidR="00A93943">
        <w:rPr>
          <w:lang w:val="fr-FR"/>
        </w:rPr>
        <w:t>intéressé signa</w:t>
      </w:r>
      <w:r w:rsidRPr="003B1303" w:rsidR="007823F8">
        <w:rPr>
          <w:lang w:val="fr-FR"/>
        </w:rPr>
        <w:t xml:space="preserve"> </w:t>
      </w:r>
      <w:r w:rsidRPr="003B1303" w:rsidR="00A93943">
        <w:rPr>
          <w:lang w:val="fr-FR"/>
        </w:rPr>
        <w:t>cette déclaration</w:t>
      </w:r>
      <w:r w:rsidRPr="003B1303" w:rsidR="007823F8">
        <w:rPr>
          <w:lang w:val="fr-FR"/>
        </w:rPr>
        <w:t>.</w:t>
      </w:r>
    </w:p>
    <w:bookmarkStart w:name="allmauvr1" w:id="8"/>
    <w:p w:rsidRPr="003B1303" w:rsidR="00BE4C83" w:rsidP="003B1303" w:rsidRDefault="00951E4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w:t>
      </w:r>
      <w:r w:rsidRPr="003B1303">
        <w:rPr>
          <w:lang w:val="fr-FR"/>
        </w:rPr>
        <w:fldChar w:fldCharType="end"/>
      </w:r>
      <w:bookmarkEnd w:id="8"/>
      <w:r w:rsidRPr="003B1303">
        <w:rPr>
          <w:lang w:val="fr-FR"/>
        </w:rPr>
        <w:t>.  </w:t>
      </w:r>
      <w:r w:rsidRPr="003B1303" w:rsidR="007823F8">
        <w:rPr>
          <w:lang w:val="fr-FR"/>
        </w:rPr>
        <w:t>Le</w:t>
      </w:r>
      <w:r w:rsidRPr="003B1303" w:rsidR="00AF1DF6">
        <w:rPr>
          <w:lang w:val="fr-FR"/>
        </w:rPr>
        <w:t xml:space="preserve"> premier</w:t>
      </w:r>
      <w:r w:rsidRPr="003B1303" w:rsidR="007823F8">
        <w:rPr>
          <w:lang w:val="fr-FR"/>
        </w:rPr>
        <w:t xml:space="preserve"> requérant </w:t>
      </w:r>
      <w:r w:rsidRPr="003B1303" w:rsidR="00037C1C">
        <w:rPr>
          <w:lang w:val="fr-FR"/>
        </w:rPr>
        <w:t>allègue</w:t>
      </w:r>
      <w:r w:rsidRPr="003B1303" w:rsidR="007823F8">
        <w:rPr>
          <w:lang w:val="fr-FR"/>
        </w:rPr>
        <w:t xml:space="preserve"> que, au cours de la nuit du 14 au 15</w:t>
      </w:r>
      <w:r w:rsidRPr="003B1303" w:rsidR="00037C1C">
        <w:rPr>
          <w:lang w:val="fr-FR"/>
        </w:rPr>
        <w:t> </w:t>
      </w:r>
      <w:r w:rsidRPr="003B1303" w:rsidR="007823F8">
        <w:rPr>
          <w:lang w:val="fr-FR"/>
        </w:rPr>
        <w:t>avril 2008, G</w:t>
      </w:r>
      <w:r w:rsidRPr="003B1303" w:rsidR="00154F7B">
        <w:rPr>
          <w:lang w:val="fr-FR"/>
        </w:rPr>
        <w:t>o</w:t>
      </w:r>
      <w:r w:rsidRPr="003B1303" w:rsidR="007823F8">
        <w:rPr>
          <w:lang w:val="fr-FR"/>
        </w:rPr>
        <w:t xml:space="preserve">. </w:t>
      </w:r>
      <w:proofErr w:type="gramStart"/>
      <w:r w:rsidRPr="003B1303" w:rsidR="007823F8">
        <w:rPr>
          <w:lang w:val="fr-FR"/>
        </w:rPr>
        <w:t>et</w:t>
      </w:r>
      <w:proofErr w:type="gramEnd"/>
      <w:r w:rsidRPr="003B1303" w:rsidR="007823F8">
        <w:rPr>
          <w:lang w:val="fr-FR"/>
        </w:rPr>
        <w:t xml:space="preserve"> M</w:t>
      </w:r>
      <w:r w:rsidRPr="003B1303" w:rsidR="00154F7B">
        <w:rPr>
          <w:lang w:val="fr-FR"/>
        </w:rPr>
        <w:t>a</w:t>
      </w:r>
      <w:r w:rsidRPr="003B1303" w:rsidR="008A3E4F">
        <w:rPr>
          <w:lang w:val="fr-FR"/>
        </w:rPr>
        <w:t>. l</w:t>
      </w:r>
      <w:r w:rsidRPr="003B1303" w:rsidR="003B1303">
        <w:rPr>
          <w:lang w:val="fr-FR"/>
        </w:rPr>
        <w:t>’</w:t>
      </w:r>
      <w:r w:rsidRPr="003B1303" w:rsidR="008A3E4F">
        <w:rPr>
          <w:lang w:val="fr-FR"/>
        </w:rPr>
        <w:t xml:space="preserve">ont </w:t>
      </w:r>
      <w:r w:rsidRPr="003B1303" w:rsidR="007823F8">
        <w:rPr>
          <w:lang w:val="fr-FR"/>
        </w:rPr>
        <w:t>menacé de passage à tabac et soumis à des mauvais traitements sous forme d</w:t>
      </w:r>
      <w:r w:rsidRPr="003B1303" w:rsidR="003B1303">
        <w:rPr>
          <w:lang w:val="fr-FR"/>
        </w:rPr>
        <w:t>’</w:t>
      </w:r>
      <w:r w:rsidRPr="003B1303" w:rsidR="007823F8">
        <w:rPr>
          <w:lang w:val="fr-FR"/>
        </w:rPr>
        <w:t>exercices physiques intenses durant toute la nuit, de privation de sommeil et d</w:t>
      </w:r>
      <w:r w:rsidRPr="003B1303" w:rsidR="003B1303">
        <w:rPr>
          <w:lang w:val="fr-FR"/>
        </w:rPr>
        <w:t>’</w:t>
      </w:r>
      <w:r w:rsidRPr="003B1303" w:rsidR="007823F8">
        <w:rPr>
          <w:lang w:val="fr-FR"/>
        </w:rPr>
        <w:t>humiliations</w:t>
      </w:r>
      <w:r w:rsidRPr="003B1303" w:rsidR="00E66466">
        <w:rPr>
          <w:lang w:val="fr-FR"/>
        </w:rPr>
        <w:t xml:space="preserve">, comme le </w:t>
      </w:r>
      <w:r w:rsidRPr="003B1303" w:rsidR="001507AB">
        <w:rPr>
          <w:lang w:val="fr-FR"/>
        </w:rPr>
        <w:t>nettoyage de</w:t>
      </w:r>
      <w:r w:rsidRPr="003B1303" w:rsidR="00E66466">
        <w:rPr>
          <w:lang w:val="fr-FR"/>
        </w:rPr>
        <w:t>s</w:t>
      </w:r>
      <w:r w:rsidRPr="003B1303" w:rsidR="001507AB">
        <w:rPr>
          <w:lang w:val="fr-FR"/>
        </w:rPr>
        <w:t xml:space="preserve"> WC à l</w:t>
      </w:r>
      <w:r w:rsidRPr="003B1303" w:rsidR="003B1303">
        <w:rPr>
          <w:lang w:val="fr-FR"/>
        </w:rPr>
        <w:t>’</w:t>
      </w:r>
      <w:r w:rsidRPr="003B1303" w:rsidR="001507AB">
        <w:rPr>
          <w:lang w:val="fr-FR"/>
        </w:rPr>
        <w:t xml:space="preserve">aide de </w:t>
      </w:r>
      <w:r w:rsidRPr="003B1303" w:rsidR="00E66466">
        <w:rPr>
          <w:lang w:val="fr-FR"/>
        </w:rPr>
        <w:t xml:space="preserve">sa </w:t>
      </w:r>
      <w:r w:rsidRPr="003B1303" w:rsidR="001507AB">
        <w:rPr>
          <w:lang w:val="fr-FR"/>
        </w:rPr>
        <w:t>brosse à dents</w:t>
      </w:r>
      <w:r w:rsidRPr="003B1303" w:rsidR="00E66466">
        <w:rPr>
          <w:lang w:val="fr-FR"/>
        </w:rPr>
        <w:t>,</w:t>
      </w:r>
      <w:r w:rsidRPr="003B1303" w:rsidR="001507AB">
        <w:rPr>
          <w:lang w:val="fr-FR"/>
        </w:rPr>
        <w:t xml:space="preserve"> </w:t>
      </w:r>
      <w:r w:rsidRPr="003B1303" w:rsidR="007823F8">
        <w:rPr>
          <w:lang w:val="fr-FR"/>
        </w:rPr>
        <w:t xml:space="preserve">pour le forcer à maintenir ses aveux </w:t>
      </w:r>
      <w:r w:rsidRPr="003B1303" w:rsidR="00E30B4B">
        <w:rPr>
          <w:lang w:val="fr-FR"/>
        </w:rPr>
        <w:t>lors de son interrogatoire officiel en tant qu</w:t>
      </w:r>
      <w:r w:rsidRPr="003B1303" w:rsidR="003B1303">
        <w:rPr>
          <w:lang w:val="fr-FR"/>
        </w:rPr>
        <w:t>’</w:t>
      </w:r>
      <w:r w:rsidRPr="003B1303" w:rsidR="00E30B4B">
        <w:rPr>
          <w:lang w:val="fr-FR"/>
        </w:rPr>
        <w:t>accusé</w:t>
      </w:r>
      <w:r w:rsidRPr="003B1303" w:rsidR="007823F8">
        <w:rPr>
          <w:lang w:val="fr-FR"/>
        </w:rPr>
        <w:t>.</w:t>
      </w:r>
    </w:p>
    <w:bookmarkStart w:name="interR115av" w:id="9"/>
    <w:p w:rsidRPr="003B1303" w:rsidR="00882149" w:rsidP="003B1303" w:rsidRDefault="0088214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w:t>
      </w:r>
      <w:r w:rsidRPr="003B1303">
        <w:rPr>
          <w:lang w:val="fr-FR"/>
        </w:rPr>
        <w:fldChar w:fldCharType="end"/>
      </w:r>
      <w:bookmarkEnd w:id="9"/>
      <w:r w:rsidRPr="003B1303">
        <w:rPr>
          <w:lang w:val="fr-FR"/>
        </w:rPr>
        <w:t xml:space="preserve">.  Le 15 avril 2008, le </w:t>
      </w:r>
      <w:r w:rsidRPr="003B1303" w:rsidR="00AF1DF6">
        <w:rPr>
          <w:lang w:val="fr-FR"/>
        </w:rPr>
        <w:t xml:space="preserve">premier </w:t>
      </w:r>
      <w:r w:rsidRPr="003B1303">
        <w:rPr>
          <w:lang w:val="fr-FR"/>
        </w:rPr>
        <w:t>requérant, interrogé en tant qu</w:t>
      </w:r>
      <w:r w:rsidRPr="003B1303" w:rsidR="003B1303">
        <w:rPr>
          <w:lang w:val="fr-FR"/>
        </w:rPr>
        <w:t>’</w:t>
      </w:r>
      <w:r w:rsidRPr="003B1303">
        <w:rPr>
          <w:lang w:val="fr-FR"/>
        </w:rPr>
        <w:t>accusé par l</w:t>
      </w:r>
      <w:r w:rsidRPr="003B1303" w:rsidR="003B1303">
        <w:rPr>
          <w:lang w:val="fr-FR"/>
        </w:rPr>
        <w:t>’</w:t>
      </w:r>
      <w:r w:rsidRPr="003B1303">
        <w:rPr>
          <w:lang w:val="fr-FR"/>
        </w:rPr>
        <w:t>enquêteur B. dans les locaux de la maison d</w:t>
      </w:r>
      <w:r w:rsidRPr="003B1303" w:rsidR="003B1303">
        <w:rPr>
          <w:lang w:val="fr-FR"/>
        </w:rPr>
        <w:t>’</w:t>
      </w:r>
      <w:r w:rsidRPr="003B1303">
        <w:rPr>
          <w:lang w:val="fr-FR"/>
        </w:rPr>
        <w:t>arrêt</w:t>
      </w:r>
      <w:r w:rsidRPr="003B1303" w:rsidR="00E66466">
        <w:rPr>
          <w:lang w:val="fr-FR"/>
        </w:rPr>
        <w:t>,</w:t>
      </w:r>
      <w:r w:rsidRPr="003B1303">
        <w:rPr>
          <w:lang w:val="fr-FR"/>
        </w:rPr>
        <w:t xml:space="preserve"> confirma ses aveux. L</w:t>
      </w:r>
      <w:r w:rsidRPr="003B1303" w:rsidR="003B1303">
        <w:rPr>
          <w:lang w:val="fr-FR"/>
        </w:rPr>
        <w:t>’</w:t>
      </w:r>
      <w:r w:rsidRPr="003B1303">
        <w:rPr>
          <w:lang w:val="fr-FR"/>
        </w:rPr>
        <w:t>interrogatoire, filmé, eut lieu en l</w:t>
      </w:r>
      <w:r w:rsidRPr="003B1303" w:rsidR="003B1303">
        <w:rPr>
          <w:lang w:val="fr-FR"/>
        </w:rPr>
        <w:t>’</w:t>
      </w:r>
      <w:r w:rsidRPr="003B1303">
        <w:rPr>
          <w:lang w:val="fr-FR"/>
        </w:rPr>
        <w:t>absence de l</w:t>
      </w:r>
      <w:r w:rsidRPr="003B1303" w:rsidR="003B1303">
        <w:rPr>
          <w:lang w:val="fr-FR"/>
        </w:rPr>
        <w:t>’</w:t>
      </w:r>
      <w:r w:rsidRPr="003B1303">
        <w:rPr>
          <w:lang w:val="fr-FR"/>
        </w:rPr>
        <w:t xml:space="preserve">avocate </w:t>
      </w:r>
      <w:proofErr w:type="spellStart"/>
      <w:r w:rsidRPr="003B1303">
        <w:rPr>
          <w:lang w:val="fr-FR"/>
        </w:rPr>
        <w:t>Ye</w:t>
      </w:r>
      <w:proofErr w:type="spellEnd"/>
      <w:r w:rsidRPr="003B1303">
        <w:rPr>
          <w:lang w:val="fr-FR"/>
        </w:rPr>
        <w:t>.</w:t>
      </w:r>
      <w:r w:rsidRPr="003B1303" w:rsidR="0008242B">
        <w:rPr>
          <w:lang w:val="fr-FR"/>
        </w:rPr>
        <w:t>,</w:t>
      </w:r>
      <w:r w:rsidRPr="003B1303">
        <w:rPr>
          <w:lang w:val="fr-FR"/>
        </w:rPr>
        <w:t xml:space="preserve"> au motif que le </w:t>
      </w:r>
      <w:r w:rsidRPr="003B1303" w:rsidR="00AF1DF6">
        <w:rPr>
          <w:lang w:val="fr-FR"/>
        </w:rPr>
        <w:t xml:space="preserve">premier </w:t>
      </w:r>
      <w:r w:rsidRPr="003B1303">
        <w:rPr>
          <w:lang w:val="fr-FR"/>
        </w:rPr>
        <w:t xml:space="preserve">requérant avait donné </w:t>
      </w:r>
      <w:r w:rsidRPr="003B1303" w:rsidR="00AD457B">
        <w:rPr>
          <w:lang w:val="fr-FR"/>
        </w:rPr>
        <w:t xml:space="preserve">par écrit </w:t>
      </w:r>
      <w:r w:rsidRPr="003B1303">
        <w:rPr>
          <w:lang w:val="fr-FR"/>
        </w:rPr>
        <w:t xml:space="preserve">son accord pour être interrogé en présence </w:t>
      </w:r>
      <w:r w:rsidRPr="003B1303" w:rsidR="00037C1C">
        <w:rPr>
          <w:lang w:val="fr-FR"/>
        </w:rPr>
        <w:t>de M</w:t>
      </w:r>
      <w:r w:rsidRPr="003B1303" w:rsidR="00037C1C">
        <w:rPr>
          <w:vertAlign w:val="superscript"/>
          <w:lang w:val="fr-FR"/>
        </w:rPr>
        <w:t>e</w:t>
      </w:r>
      <w:r w:rsidRPr="003B1303" w:rsidR="00037C1C">
        <w:rPr>
          <w:lang w:val="fr-FR"/>
        </w:rPr>
        <w:t xml:space="preserve"> Ku., </w:t>
      </w:r>
      <w:r w:rsidRPr="003B1303">
        <w:rPr>
          <w:lang w:val="fr-FR"/>
        </w:rPr>
        <w:t>une avocate commise d</w:t>
      </w:r>
      <w:r w:rsidRPr="003B1303" w:rsidR="003B1303">
        <w:rPr>
          <w:lang w:val="fr-FR"/>
        </w:rPr>
        <w:t>’</w:t>
      </w:r>
      <w:r w:rsidRPr="003B1303">
        <w:rPr>
          <w:lang w:val="fr-FR"/>
        </w:rPr>
        <w:t>office.</w:t>
      </w:r>
    </w:p>
    <w:bookmarkStart w:name="interR115av1" w:id="10"/>
    <w:p w:rsidRPr="003B1303" w:rsidR="00BE4C83" w:rsidP="003B1303" w:rsidRDefault="0088214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w:t>
      </w:r>
      <w:r w:rsidRPr="003B1303">
        <w:rPr>
          <w:lang w:val="fr-FR"/>
        </w:rPr>
        <w:fldChar w:fldCharType="end"/>
      </w:r>
      <w:bookmarkEnd w:id="10"/>
      <w:r w:rsidRPr="003B1303">
        <w:rPr>
          <w:lang w:val="fr-FR"/>
        </w:rPr>
        <w:t xml:space="preserve">.  Selon le </w:t>
      </w:r>
      <w:r w:rsidRPr="003B1303" w:rsidR="00AF1DF6">
        <w:rPr>
          <w:lang w:val="fr-FR"/>
        </w:rPr>
        <w:t xml:space="preserve">premier </w:t>
      </w:r>
      <w:r w:rsidRPr="003B1303">
        <w:rPr>
          <w:lang w:val="fr-FR"/>
        </w:rPr>
        <w:t>requérant, le procès-verbal de l</w:t>
      </w:r>
      <w:r w:rsidRPr="003B1303" w:rsidR="003B1303">
        <w:rPr>
          <w:lang w:val="fr-FR"/>
        </w:rPr>
        <w:t>’</w:t>
      </w:r>
      <w:r w:rsidRPr="003B1303">
        <w:rPr>
          <w:lang w:val="fr-FR"/>
        </w:rPr>
        <w:t xml:space="preserve">interrogatoire ne lui </w:t>
      </w:r>
      <w:r w:rsidRPr="003B1303" w:rsidR="00E66466">
        <w:rPr>
          <w:lang w:val="fr-FR"/>
        </w:rPr>
        <w:t>fut</w:t>
      </w:r>
      <w:r w:rsidRPr="003B1303">
        <w:rPr>
          <w:lang w:val="fr-FR"/>
        </w:rPr>
        <w:t xml:space="preserve"> soumis pour signature par l</w:t>
      </w:r>
      <w:r w:rsidRPr="003B1303" w:rsidR="003B1303">
        <w:rPr>
          <w:lang w:val="fr-FR"/>
        </w:rPr>
        <w:t>’</w:t>
      </w:r>
      <w:r w:rsidRPr="003B1303">
        <w:rPr>
          <w:lang w:val="fr-FR"/>
        </w:rPr>
        <w:t>enquêteur B. que le 17 avril 2008, en l</w:t>
      </w:r>
      <w:r w:rsidRPr="003B1303" w:rsidR="003B1303">
        <w:rPr>
          <w:lang w:val="fr-FR"/>
        </w:rPr>
        <w:t>’</w:t>
      </w:r>
      <w:r w:rsidRPr="003B1303">
        <w:rPr>
          <w:lang w:val="fr-FR"/>
        </w:rPr>
        <w:t>absence des avocates de son choix</w:t>
      </w:r>
      <w:r w:rsidRPr="003B1303" w:rsidR="00E66466">
        <w:rPr>
          <w:lang w:val="fr-FR"/>
        </w:rPr>
        <w:t>,</w:t>
      </w:r>
      <w:r w:rsidRPr="003B1303">
        <w:rPr>
          <w:lang w:val="fr-FR"/>
        </w:rPr>
        <w:t xml:space="preserve"> </w:t>
      </w:r>
      <w:proofErr w:type="spellStart"/>
      <w:r w:rsidRPr="003B1303">
        <w:rPr>
          <w:lang w:val="fr-FR"/>
        </w:rPr>
        <w:t>Ye</w:t>
      </w:r>
      <w:proofErr w:type="spellEnd"/>
      <w:r w:rsidRPr="003B1303">
        <w:rPr>
          <w:lang w:val="fr-FR"/>
        </w:rPr>
        <w:t xml:space="preserve">. </w:t>
      </w:r>
      <w:proofErr w:type="gramStart"/>
      <w:r w:rsidRPr="003B1303">
        <w:rPr>
          <w:lang w:val="fr-FR"/>
        </w:rPr>
        <w:t>et</w:t>
      </w:r>
      <w:proofErr w:type="gramEnd"/>
      <w:r w:rsidRPr="003B1303">
        <w:rPr>
          <w:lang w:val="fr-FR"/>
        </w:rPr>
        <w:t xml:space="preserve"> Ch.</w:t>
      </w:r>
      <w:r w:rsidRPr="003B1303" w:rsidR="00E66466">
        <w:rPr>
          <w:lang w:val="fr-FR"/>
        </w:rPr>
        <w:t>,</w:t>
      </w:r>
      <w:r w:rsidRPr="003B1303">
        <w:rPr>
          <w:lang w:val="fr-FR"/>
        </w:rPr>
        <w:t xml:space="preserve"> </w:t>
      </w:r>
      <w:r w:rsidRPr="003B1303" w:rsidR="00E66466">
        <w:rPr>
          <w:lang w:val="fr-FR"/>
        </w:rPr>
        <w:t xml:space="preserve">et </w:t>
      </w:r>
      <w:r w:rsidRPr="003B1303">
        <w:rPr>
          <w:lang w:val="fr-FR"/>
        </w:rPr>
        <w:t>de l</w:t>
      </w:r>
      <w:r w:rsidRPr="003B1303" w:rsidR="003B1303">
        <w:rPr>
          <w:lang w:val="fr-FR"/>
        </w:rPr>
        <w:t>’</w:t>
      </w:r>
      <w:r w:rsidRPr="003B1303">
        <w:rPr>
          <w:lang w:val="fr-FR"/>
        </w:rPr>
        <w:t>avocate commise d</w:t>
      </w:r>
      <w:r w:rsidRPr="003B1303" w:rsidR="003B1303">
        <w:rPr>
          <w:lang w:val="fr-FR"/>
        </w:rPr>
        <w:t>’</w:t>
      </w:r>
      <w:r w:rsidRPr="003B1303">
        <w:rPr>
          <w:lang w:val="fr-FR"/>
        </w:rPr>
        <w:t>office Ku.</w:t>
      </w:r>
      <w:r w:rsidRPr="003B1303" w:rsidR="00D367F9">
        <w:rPr>
          <w:lang w:val="fr-FR"/>
        </w:rPr>
        <w:t xml:space="preserve"> </w:t>
      </w:r>
      <w:r w:rsidRPr="003B1303">
        <w:rPr>
          <w:lang w:val="fr-FR"/>
        </w:rPr>
        <w:t xml:space="preserve">Le </w:t>
      </w:r>
      <w:r w:rsidRPr="003B1303" w:rsidR="00AF1DF6">
        <w:rPr>
          <w:lang w:val="fr-FR"/>
        </w:rPr>
        <w:t xml:space="preserve">premier </w:t>
      </w:r>
      <w:r w:rsidRPr="003B1303">
        <w:rPr>
          <w:lang w:val="fr-FR"/>
        </w:rPr>
        <w:t>requérant signa ce procès</w:t>
      </w:r>
      <w:r w:rsidRPr="003B1303">
        <w:rPr>
          <w:lang w:val="fr-FR"/>
        </w:rPr>
        <w:noBreakHyphen/>
        <w:t xml:space="preserve">verbal en apposant une mention selon laquelle il demandait à être assisté par les avocates de son choix, </w:t>
      </w:r>
      <w:proofErr w:type="spellStart"/>
      <w:r w:rsidRPr="003B1303">
        <w:rPr>
          <w:lang w:val="fr-FR"/>
        </w:rPr>
        <w:t>Ye</w:t>
      </w:r>
      <w:proofErr w:type="spellEnd"/>
      <w:r w:rsidRPr="003B1303">
        <w:rPr>
          <w:lang w:val="fr-FR"/>
        </w:rPr>
        <w:t xml:space="preserve">. </w:t>
      </w:r>
      <w:proofErr w:type="gramStart"/>
      <w:r w:rsidRPr="003B1303">
        <w:rPr>
          <w:lang w:val="fr-FR"/>
        </w:rPr>
        <w:t>et</w:t>
      </w:r>
      <w:proofErr w:type="gramEnd"/>
      <w:r w:rsidRPr="003B1303">
        <w:rPr>
          <w:lang w:val="fr-FR"/>
        </w:rPr>
        <w:t xml:space="preserve"> Ch., lors de toute mesure d</w:t>
      </w:r>
      <w:r w:rsidRPr="003B1303" w:rsidR="003B1303">
        <w:rPr>
          <w:lang w:val="fr-FR"/>
        </w:rPr>
        <w:t>’</w:t>
      </w:r>
      <w:r w:rsidRPr="003B1303">
        <w:rPr>
          <w:lang w:val="fr-FR"/>
        </w:rPr>
        <w:t>instruction ultérieure.</w:t>
      </w:r>
    </w:p>
    <w:bookmarkStart w:name="accav1" w:id="11"/>
    <w:p w:rsidRPr="003B1303" w:rsidR="00A644BB" w:rsidP="003B1303" w:rsidRDefault="00A644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w:t>
      </w:r>
      <w:r w:rsidRPr="003B1303">
        <w:rPr>
          <w:lang w:val="fr-FR"/>
        </w:rPr>
        <w:fldChar w:fldCharType="end"/>
      </w:r>
      <w:bookmarkEnd w:id="11"/>
      <w:r w:rsidRPr="003B1303">
        <w:rPr>
          <w:lang w:val="fr-FR"/>
        </w:rPr>
        <w:t>.  Il ressort d</w:t>
      </w:r>
      <w:r w:rsidRPr="003B1303" w:rsidR="003B1303">
        <w:rPr>
          <w:lang w:val="fr-FR"/>
        </w:rPr>
        <w:t>’</w:t>
      </w:r>
      <w:r w:rsidRPr="003B1303">
        <w:rPr>
          <w:lang w:val="fr-FR"/>
        </w:rPr>
        <w:t>une attestation du 11 janvier 2010 délivrée par l</w:t>
      </w:r>
      <w:r w:rsidRPr="003B1303" w:rsidR="003B1303">
        <w:rPr>
          <w:lang w:val="fr-FR"/>
        </w:rPr>
        <w:t>’</w:t>
      </w:r>
      <w:r w:rsidRPr="003B1303">
        <w:rPr>
          <w:lang w:val="fr-FR"/>
        </w:rPr>
        <w:t>administration de la maison d</w:t>
      </w:r>
      <w:r w:rsidRPr="003B1303" w:rsidR="003B1303">
        <w:rPr>
          <w:lang w:val="fr-FR"/>
        </w:rPr>
        <w:t>’</w:t>
      </w:r>
      <w:r w:rsidRPr="003B1303">
        <w:rPr>
          <w:lang w:val="fr-FR"/>
        </w:rPr>
        <w:t>arrêt à l</w:t>
      </w:r>
      <w:r w:rsidRPr="003B1303" w:rsidR="003B1303">
        <w:rPr>
          <w:lang w:val="fr-FR"/>
        </w:rPr>
        <w:t>’</w:t>
      </w:r>
      <w:r w:rsidRPr="003B1303">
        <w:rPr>
          <w:lang w:val="fr-FR"/>
        </w:rPr>
        <w:t xml:space="preserve">avocate </w:t>
      </w:r>
      <w:proofErr w:type="spellStart"/>
      <w:r w:rsidRPr="003B1303">
        <w:rPr>
          <w:lang w:val="fr-FR"/>
        </w:rPr>
        <w:t>Ye</w:t>
      </w:r>
      <w:proofErr w:type="spellEnd"/>
      <w:r w:rsidRPr="003B1303">
        <w:rPr>
          <w:lang w:val="fr-FR"/>
        </w:rPr>
        <w:t>. que les 14, 16, 17 et 18 avril 2008, celle-ci s</w:t>
      </w:r>
      <w:r w:rsidRPr="003B1303" w:rsidR="003B1303">
        <w:rPr>
          <w:lang w:val="fr-FR"/>
        </w:rPr>
        <w:t>’</w:t>
      </w:r>
      <w:r w:rsidRPr="003B1303">
        <w:rPr>
          <w:lang w:val="fr-FR"/>
        </w:rPr>
        <w:t>était rendue à la maison d</w:t>
      </w:r>
      <w:r w:rsidRPr="003B1303" w:rsidR="003B1303">
        <w:rPr>
          <w:lang w:val="fr-FR"/>
        </w:rPr>
        <w:t>’</w:t>
      </w:r>
      <w:r w:rsidRPr="003B1303">
        <w:rPr>
          <w:lang w:val="fr-FR"/>
        </w:rPr>
        <w:t>arrêt pour pouvoir rencontrer le</w:t>
      </w:r>
      <w:r w:rsidRPr="003B1303" w:rsidR="003B12EC">
        <w:rPr>
          <w:lang w:val="fr-FR"/>
        </w:rPr>
        <w:t xml:space="preserve"> premier</w:t>
      </w:r>
      <w:r w:rsidRPr="003B1303">
        <w:rPr>
          <w:lang w:val="fr-FR"/>
        </w:rPr>
        <w:t xml:space="preserve"> requérant mais qu</w:t>
      </w:r>
      <w:r w:rsidRPr="003B1303" w:rsidR="003B1303">
        <w:rPr>
          <w:lang w:val="fr-FR"/>
        </w:rPr>
        <w:t>’</w:t>
      </w:r>
      <w:r w:rsidRPr="003B1303">
        <w:rPr>
          <w:lang w:val="fr-FR"/>
        </w:rPr>
        <w:t>elle n</w:t>
      </w:r>
      <w:r w:rsidRPr="003B1303" w:rsidR="003B1303">
        <w:rPr>
          <w:lang w:val="fr-FR"/>
        </w:rPr>
        <w:t>’</w:t>
      </w:r>
      <w:r w:rsidRPr="003B1303">
        <w:rPr>
          <w:lang w:val="fr-FR"/>
        </w:rPr>
        <w:t>avait pas été autorisée à le voir au motif que, sur réquisition de</w:t>
      </w:r>
      <w:r w:rsidRPr="003B1303" w:rsidR="0034578A">
        <w:rPr>
          <w:lang w:val="fr-FR"/>
        </w:rPr>
        <w:t>s</w:t>
      </w:r>
      <w:r w:rsidRPr="003B1303">
        <w:rPr>
          <w:lang w:val="fr-FR"/>
        </w:rPr>
        <w:t xml:space="preserve"> enquêteur</w:t>
      </w:r>
      <w:r w:rsidRPr="003B1303" w:rsidR="0034578A">
        <w:rPr>
          <w:lang w:val="fr-FR"/>
        </w:rPr>
        <w:t>s</w:t>
      </w:r>
      <w:r w:rsidRPr="003B1303">
        <w:rPr>
          <w:lang w:val="fr-FR"/>
        </w:rPr>
        <w:t xml:space="preserve"> M.</w:t>
      </w:r>
      <w:r w:rsidRPr="003B1303" w:rsidR="0034578A">
        <w:rPr>
          <w:lang w:val="fr-FR"/>
        </w:rPr>
        <w:t xml:space="preserve"> et Se.</w:t>
      </w:r>
      <w:r w:rsidRPr="003B1303">
        <w:rPr>
          <w:lang w:val="fr-FR"/>
        </w:rPr>
        <w:t>, l</w:t>
      </w:r>
      <w:r w:rsidRPr="003B1303" w:rsidR="003B1303">
        <w:rPr>
          <w:lang w:val="fr-FR"/>
        </w:rPr>
        <w:t>’</w:t>
      </w:r>
      <w:r w:rsidRPr="003B1303">
        <w:rPr>
          <w:lang w:val="fr-FR"/>
        </w:rPr>
        <w:t>intéressé avait été mis en attente de transfert au service de police de la région d</w:t>
      </w:r>
      <w:r w:rsidRPr="003B1303" w:rsidR="003B1303">
        <w:rPr>
          <w:lang w:val="fr-FR"/>
        </w:rPr>
        <w:t>’</w:t>
      </w:r>
      <w:r w:rsidRPr="003B1303">
        <w:rPr>
          <w:lang w:val="fr-FR"/>
        </w:rPr>
        <w:t>Irkoutsk. Il ressort de la même attestation que, pendant la période du 14 au 18 avril 2008, aucun autre avocat n</w:t>
      </w:r>
      <w:r w:rsidRPr="003B1303" w:rsidR="003B1303">
        <w:rPr>
          <w:lang w:val="fr-FR"/>
        </w:rPr>
        <w:t>’</w:t>
      </w:r>
      <w:r w:rsidRPr="003B1303">
        <w:rPr>
          <w:lang w:val="fr-FR"/>
        </w:rPr>
        <w:t>avait adressé à l</w:t>
      </w:r>
      <w:r w:rsidRPr="003B1303" w:rsidR="003B1303">
        <w:rPr>
          <w:lang w:val="fr-FR"/>
        </w:rPr>
        <w:t>’</w:t>
      </w:r>
      <w:r w:rsidRPr="003B1303">
        <w:rPr>
          <w:lang w:val="fr-FR"/>
        </w:rPr>
        <w:t>administration de la maison d</w:t>
      </w:r>
      <w:r w:rsidRPr="003B1303" w:rsidR="003B1303">
        <w:rPr>
          <w:lang w:val="fr-FR"/>
        </w:rPr>
        <w:t>’</w:t>
      </w:r>
      <w:r w:rsidRPr="003B1303">
        <w:rPr>
          <w:lang w:val="fr-FR"/>
        </w:rPr>
        <w:t>arrêt de demande de visite du premier requérant.</w:t>
      </w:r>
    </w:p>
    <w:p w:rsidRPr="003B1303" w:rsidR="0085148A" w:rsidP="003B1303" w:rsidRDefault="00A644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20</w:t>
      </w:r>
      <w:r w:rsidRPr="003B1303">
        <w:rPr>
          <w:lang w:val="fr-FR"/>
        </w:rPr>
        <w:fldChar w:fldCharType="end"/>
      </w:r>
      <w:r w:rsidRPr="003B1303">
        <w:rPr>
          <w:lang w:val="fr-FR"/>
        </w:rPr>
        <w:t xml:space="preserve">.  Le 21 avril 2008, le premier requérant rencontra les avocates </w:t>
      </w:r>
      <w:proofErr w:type="spellStart"/>
      <w:r w:rsidRPr="003B1303">
        <w:rPr>
          <w:lang w:val="fr-FR"/>
        </w:rPr>
        <w:t>Ye</w:t>
      </w:r>
      <w:proofErr w:type="spellEnd"/>
      <w:r w:rsidRPr="003B1303">
        <w:rPr>
          <w:lang w:val="fr-FR"/>
        </w:rPr>
        <w:t xml:space="preserve">. </w:t>
      </w:r>
      <w:proofErr w:type="gramStart"/>
      <w:r w:rsidRPr="003B1303">
        <w:rPr>
          <w:lang w:val="fr-FR"/>
        </w:rPr>
        <w:t>et</w:t>
      </w:r>
      <w:proofErr w:type="gramEnd"/>
      <w:r w:rsidRPr="003B1303">
        <w:rPr>
          <w:lang w:val="fr-FR"/>
        </w:rPr>
        <w:t xml:space="preserve"> Ch. et les informa de la tenue de l</w:t>
      </w:r>
      <w:r w:rsidRPr="003B1303" w:rsidR="003B1303">
        <w:rPr>
          <w:lang w:val="fr-FR"/>
        </w:rPr>
        <w:t>’</w:t>
      </w:r>
      <w:r w:rsidRPr="003B1303">
        <w:rPr>
          <w:lang w:val="fr-FR"/>
        </w:rPr>
        <w:t xml:space="preserve">interrogatoire du 15 avril 2008. Il ne put les informer </w:t>
      </w:r>
      <w:r w:rsidRPr="003B1303" w:rsidR="0026259A">
        <w:rPr>
          <w:lang w:val="fr-FR"/>
        </w:rPr>
        <w:t>du</w:t>
      </w:r>
      <w:r w:rsidRPr="003B1303">
        <w:rPr>
          <w:lang w:val="fr-FR"/>
        </w:rPr>
        <w:t xml:space="preserve"> nom de l</w:t>
      </w:r>
      <w:r w:rsidRPr="003B1303" w:rsidR="003B1303">
        <w:rPr>
          <w:lang w:val="fr-FR"/>
        </w:rPr>
        <w:t>’</w:t>
      </w:r>
      <w:r w:rsidRPr="003B1303">
        <w:rPr>
          <w:lang w:val="fr-FR"/>
        </w:rPr>
        <w:t>avocate qui l</w:t>
      </w:r>
      <w:r w:rsidRPr="003B1303" w:rsidR="003B1303">
        <w:rPr>
          <w:lang w:val="fr-FR"/>
        </w:rPr>
        <w:t>’</w:t>
      </w:r>
      <w:r w:rsidRPr="003B1303">
        <w:rPr>
          <w:lang w:val="fr-FR"/>
        </w:rPr>
        <w:t xml:space="preserve">avait assisté </w:t>
      </w:r>
      <w:r w:rsidRPr="003B1303" w:rsidR="0026259A">
        <w:rPr>
          <w:lang w:val="fr-FR"/>
        </w:rPr>
        <w:t>ce jour-là</w:t>
      </w:r>
      <w:r w:rsidRPr="003B1303">
        <w:rPr>
          <w:lang w:val="fr-FR"/>
        </w:rPr>
        <w:t>.</w:t>
      </w:r>
    </w:p>
    <w:bookmarkStart w:name="accav2" w:id="12"/>
    <w:p w:rsidRPr="003B1303" w:rsidR="00A644BB" w:rsidP="003B1303" w:rsidRDefault="00A644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w:t>
      </w:r>
      <w:r w:rsidRPr="003B1303">
        <w:rPr>
          <w:lang w:val="fr-FR"/>
        </w:rPr>
        <w:fldChar w:fldCharType="end"/>
      </w:r>
      <w:bookmarkEnd w:id="12"/>
      <w:r w:rsidRPr="003B1303">
        <w:rPr>
          <w:lang w:val="fr-FR"/>
        </w:rPr>
        <w:t>.  Par une ordonnance du 25 avril 2008, les autorités chargées de l</w:t>
      </w:r>
      <w:r w:rsidRPr="003B1303" w:rsidR="003B1303">
        <w:rPr>
          <w:lang w:val="fr-FR"/>
        </w:rPr>
        <w:t>’</w:t>
      </w:r>
      <w:r w:rsidRPr="003B1303">
        <w:rPr>
          <w:lang w:val="fr-FR"/>
        </w:rPr>
        <w:t>enquête rendirent secret le nom de l</w:t>
      </w:r>
      <w:r w:rsidRPr="003B1303" w:rsidR="003B1303">
        <w:rPr>
          <w:lang w:val="fr-FR"/>
        </w:rPr>
        <w:t>’</w:t>
      </w:r>
      <w:r w:rsidRPr="003B1303">
        <w:rPr>
          <w:lang w:val="fr-FR"/>
        </w:rPr>
        <w:t>avocate Ku., qui avait participé à l</w:t>
      </w:r>
      <w:r w:rsidRPr="003B1303" w:rsidR="003B1303">
        <w:rPr>
          <w:lang w:val="fr-FR"/>
        </w:rPr>
        <w:t>’</w:t>
      </w:r>
      <w:r w:rsidRPr="003B1303">
        <w:rPr>
          <w:lang w:val="fr-FR"/>
        </w:rPr>
        <w:t>interrogatoire du 15 avril 2008. La demande de l</w:t>
      </w:r>
      <w:r w:rsidRPr="003B1303" w:rsidR="003B1303">
        <w:rPr>
          <w:lang w:val="fr-FR"/>
        </w:rPr>
        <w:t>’</w:t>
      </w:r>
      <w:r w:rsidRPr="003B1303">
        <w:rPr>
          <w:lang w:val="fr-FR"/>
        </w:rPr>
        <w:t xml:space="preserve">avocate </w:t>
      </w:r>
      <w:proofErr w:type="spellStart"/>
      <w:r w:rsidRPr="003B1303">
        <w:rPr>
          <w:lang w:val="fr-FR"/>
        </w:rPr>
        <w:t>Ye</w:t>
      </w:r>
      <w:proofErr w:type="spellEnd"/>
      <w:r w:rsidRPr="003B1303">
        <w:rPr>
          <w:lang w:val="fr-FR"/>
        </w:rPr>
        <w:t xml:space="preserve">. </w:t>
      </w:r>
      <w:proofErr w:type="gramStart"/>
      <w:r w:rsidRPr="003B1303">
        <w:rPr>
          <w:lang w:val="fr-FR"/>
        </w:rPr>
        <w:t>tendant</w:t>
      </w:r>
      <w:proofErr w:type="gramEnd"/>
      <w:r w:rsidRPr="003B1303">
        <w:rPr>
          <w:lang w:val="fr-FR"/>
        </w:rPr>
        <w:t xml:space="preserve"> à visionner l</w:t>
      </w:r>
      <w:r w:rsidRPr="003B1303" w:rsidR="003B1303">
        <w:rPr>
          <w:lang w:val="fr-FR"/>
        </w:rPr>
        <w:t>’</w:t>
      </w:r>
      <w:r w:rsidRPr="003B1303">
        <w:rPr>
          <w:lang w:val="fr-FR"/>
        </w:rPr>
        <w:t>enregistrement de cet interrogatoire fut rejetée le 30 mai 2008 au motif qu</w:t>
      </w:r>
      <w:r w:rsidRPr="003B1303" w:rsidR="003B1303">
        <w:rPr>
          <w:lang w:val="fr-FR"/>
        </w:rPr>
        <w:t>’</w:t>
      </w:r>
      <w:r w:rsidRPr="003B1303">
        <w:rPr>
          <w:lang w:val="fr-FR"/>
        </w:rPr>
        <w:t>un tel visionnage aurait dévoilé l</w:t>
      </w:r>
      <w:r w:rsidRPr="003B1303" w:rsidR="003B1303">
        <w:rPr>
          <w:lang w:val="fr-FR"/>
        </w:rPr>
        <w:t>’</w:t>
      </w:r>
      <w:r w:rsidRPr="003B1303">
        <w:rPr>
          <w:lang w:val="fr-FR"/>
        </w:rPr>
        <w:t>identité de l</w:t>
      </w:r>
      <w:r w:rsidRPr="003B1303" w:rsidR="003B1303">
        <w:rPr>
          <w:lang w:val="fr-FR"/>
        </w:rPr>
        <w:t>’</w:t>
      </w:r>
      <w:r w:rsidRPr="003B1303">
        <w:rPr>
          <w:lang w:val="fr-FR"/>
        </w:rPr>
        <w:t>avocate commise d</w:t>
      </w:r>
      <w:r w:rsidRPr="003B1303" w:rsidR="003B1303">
        <w:rPr>
          <w:lang w:val="fr-FR"/>
        </w:rPr>
        <w:t>’</w:t>
      </w:r>
      <w:r w:rsidRPr="003B1303">
        <w:rPr>
          <w:lang w:val="fr-FR"/>
        </w:rPr>
        <w:t>office.</w:t>
      </w:r>
    </w:p>
    <w:bookmarkStart w:name="dectrib14mai" w:id="13"/>
    <w:p w:rsidRPr="003B1303" w:rsidR="0085148A" w:rsidP="003B1303" w:rsidRDefault="00A644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22</w:t>
      </w:r>
      <w:r w:rsidRPr="003B1303">
        <w:rPr>
          <w:lang w:val="fr-FR"/>
        </w:rPr>
        <w:fldChar w:fldCharType="end"/>
      </w:r>
      <w:bookmarkEnd w:id="13"/>
      <w:r w:rsidRPr="003B1303">
        <w:rPr>
          <w:lang w:val="fr-FR"/>
        </w:rPr>
        <w:t>.  Il ressort du dossier dont dispose la Cour que le premier requérant a saisi le tribunal de l</w:t>
      </w:r>
      <w:r w:rsidRPr="003B1303" w:rsidR="003B1303">
        <w:rPr>
          <w:lang w:val="fr-FR"/>
        </w:rPr>
        <w:t>’</w:t>
      </w:r>
      <w:r w:rsidRPr="003B1303">
        <w:rPr>
          <w:lang w:val="fr-FR"/>
        </w:rPr>
        <w:t>arrondissement Oktiabrski de la ville d</w:t>
      </w:r>
      <w:r w:rsidRPr="003B1303" w:rsidR="003B1303">
        <w:rPr>
          <w:lang w:val="fr-FR"/>
        </w:rPr>
        <w:t>’</w:t>
      </w:r>
      <w:r w:rsidRPr="003B1303">
        <w:rPr>
          <w:lang w:val="fr-FR"/>
        </w:rPr>
        <w:t>Irkoutsk d</w:t>
      </w:r>
      <w:r w:rsidRPr="003B1303" w:rsidR="003B1303">
        <w:rPr>
          <w:lang w:val="fr-FR"/>
        </w:rPr>
        <w:t>’</w:t>
      </w:r>
      <w:r w:rsidRPr="003B1303">
        <w:rPr>
          <w:lang w:val="fr-FR"/>
        </w:rPr>
        <w:t>une contestation de certaines ordonnances des autorités d</w:t>
      </w:r>
      <w:r w:rsidRPr="003B1303" w:rsidR="003B1303">
        <w:rPr>
          <w:lang w:val="fr-FR"/>
        </w:rPr>
        <w:t>’</w:t>
      </w:r>
      <w:r w:rsidRPr="003B1303">
        <w:rPr>
          <w:lang w:val="fr-FR"/>
        </w:rPr>
        <w:t xml:space="preserve">enquête, dont celle du 25 avril 2008, mais </w:t>
      </w:r>
      <w:r w:rsidRPr="003B1303" w:rsidR="00297E20">
        <w:rPr>
          <w:lang w:val="fr-FR"/>
        </w:rPr>
        <w:t>qu</w:t>
      </w:r>
      <w:r w:rsidRPr="003B1303" w:rsidR="003B1303">
        <w:rPr>
          <w:lang w:val="fr-FR"/>
        </w:rPr>
        <w:t>’</w:t>
      </w:r>
      <w:r w:rsidRPr="003B1303" w:rsidR="00297E20">
        <w:rPr>
          <w:lang w:val="fr-FR"/>
        </w:rPr>
        <w:t xml:space="preserve">il </w:t>
      </w:r>
      <w:r w:rsidRPr="003B1303">
        <w:rPr>
          <w:lang w:val="fr-FR"/>
        </w:rPr>
        <w:t>a abandonné ce grief pendant l</w:t>
      </w:r>
      <w:r w:rsidRPr="003B1303" w:rsidR="003B1303">
        <w:rPr>
          <w:lang w:val="fr-FR"/>
        </w:rPr>
        <w:t>’</w:t>
      </w:r>
      <w:r w:rsidRPr="003B1303">
        <w:rPr>
          <w:lang w:val="fr-FR"/>
        </w:rPr>
        <w:t>examen judiciaire de sa contestation</w:t>
      </w:r>
      <w:r w:rsidRPr="003B1303" w:rsidR="00297E20">
        <w:rPr>
          <w:lang w:val="fr-FR"/>
        </w:rPr>
        <w:t xml:space="preserve">, </w:t>
      </w:r>
      <w:r w:rsidRPr="003B1303">
        <w:rPr>
          <w:lang w:val="fr-FR"/>
        </w:rPr>
        <w:t>en échange</w:t>
      </w:r>
      <w:r w:rsidRPr="003B1303" w:rsidR="00297E20">
        <w:rPr>
          <w:lang w:val="fr-FR"/>
        </w:rPr>
        <w:t>, selon lui,</w:t>
      </w:r>
      <w:r w:rsidRPr="003B1303">
        <w:rPr>
          <w:lang w:val="fr-FR"/>
        </w:rPr>
        <w:t xml:space="preserve"> de la permission des enquêteurs de lui accorder une visite familiale. Par une décision </w:t>
      </w:r>
      <w:r w:rsidRPr="003B1303" w:rsidR="0075239D">
        <w:rPr>
          <w:lang w:val="fr-FR"/>
        </w:rPr>
        <w:t xml:space="preserve">du </w:t>
      </w:r>
      <w:r w:rsidRPr="003B1303">
        <w:rPr>
          <w:lang w:val="fr-FR"/>
        </w:rPr>
        <w:t>14 mai 2008, dont la Cour ne dispose pas de copie, ledit tribunal rejeta le recours du premier requérant.</w:t>
      </w:r>
    </w:p>
    <w:bookmarkStart w:name="interr26mai" w:id="14"/>
    <w:p w:rsidRPr="003B1303" w:rsidR="0085148A" w:rsidP="003B1303" w:rsidRDefault="00E03372">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23</w:t>
      </w:r>
      <w:r w:rsidRPr="003B1303">
        <w:rPr>
          <w:lang w:val="fr-FR"/>
        </w:rPr>
        <w:fldChar w:fldCharType="end"/>
      </w:r>
      <w:bookmarkEnd w:id="14"/>
      <w:r w:rsidRPr="003B1303">
        <w:rPr>
          <w:lang w:val="fr-FR"/>
        </w:rPr>
        <w:t xml:space="preserve">.  Le 26 mai 2008, à la demande du premier requérant, </w:t>
      </w:r>
      <w:r w:rsidRPr="003B1303" w:rsidR="00297E20">
        <w:rPr>
          <w:lang w:val="fr-FR"/>
        </w:rPr>
        <w:t xml:space="preserve">celui-ci </w:t>
      </w:r>
      <w:r w:rsidRPr="003B1303">
        <w:rPr>
          <w:lang w:val="fr-FR"/>
        </w:rPr>
        <w:t>fut interrogé en présence de l</w:t>
      </w:r>
      <w:r w:rsidRPr="003B1303" w:rsidR="003B1303">
        <w:rPr>
          <w:lang w:val="fr-FR"/>
        </w:rPr>
        <w:t>’</w:t>
      </w:r>
      <w:r w:rsidRPr="003B1303">
        <w:rPr>
          <w:lang w:val="fr-FR"/>
        </w:rPr>
        <w:t xml:space="preserve">avocate </w:t>
      </w:r>
      <w:proofErr w:type="spellStart"/>
      <w:r w:rsidRPr="003B1303">
        <w:rPr>
          <w:lang w:val="fr-FR"/>
        </w:rPr>
        <w:t>Ye</w:t>
      </w:r>
      <w:proofErr w:type="spellEnd"/>
      <w:r w:rsidRPr="003B1303">
        <w:rPr>
          <w:lang w:val="fr-FR"/>
        </w:rPr>
        <w:t>. Il rétracta ses aveux faits lors de l</w:t>
      </w:r>
      <w:r w:rsidRPr="003B1303" w:rsidR="003B1303">
        <w:rPr>
          <w:lang w:val="fr-FR"/>
        </w:rPr>
        <w:t>’</w:t>
      </w:r>
      <w:r w:rsidRPr="003B1303">
        <w:rPr>
          <w:lang w:val="fr-FR"/>
        </w:rPr>
        <w:t xml:space="preserve">interrogatoire du 15 avril 2008 ainsi que dans la déclaration du 14 avril 2008 au motif </w:t>
      </w:r>
      <w:r w:rsidRPr="003B1303" w:rsidR="00EF6D98">
        <w:rPr>
          <w:lang w:val="fr-FR"/>
        </w:rPr>
        <w:t>qu</w:t>
      </w:r>
      <w:r w:rsidRPr="003B1303" w:rsidR="003B1303">
        <w:rPr>
          <w:lang w:val="fr-FR"/>
        </w:rPr>
        <w:t>’</w:t>
      </w:r>
      <w:r w:rsidRPr="003B1303" w:rsidR="00EF6D98">
        <w:rPr>
          <w:lang w:val="fr-FR"/>
        </w:rPr>
        <w:t xml:space="preserve">ils </w:t>
      </w:r>
      <w:r w:rsidRPr="003B1303">
        <w:rPr>
          <w:lang w:val="fr-FR"/>
        </w:rPr>
        <w:t>auraient été obtenus par la coercition</w:t>
      </w:r>
      <w:r w:rsidRPr="003B1303" w:rsidR="00877FD5">
        <w:rPr>
          <w:lang w:val="fr-FR"/>
        </w:rPr>
        <w:t xml:space="preserve"> dans les circonstances décrites aux paragraphes </w:t>
      </w:r>
      <w:r w:rsidRPr="003B1303" w:rsidR="00877FD5">
        <w:rPr>
          <w:lang w:val="fr-FR"/>
        </w:rPr>
        <w:fldChar w:fldCharType="begin"/>
      </w:r>
      <w:r w:rsidRPr="003B1303" w:rsidR="00877FD5">
        <w:rPr>
          <w:lang w:val="fr-FR"/>
        </w:rPr>
        <w:instrText xml:space="preserve"> REF allmauvr13 \h </w:instrText>
      </w:r>
      <w:r w:rsidRPr="003B1303" w:rsidR="00C47AAA">
        <w:rPr>
          <w:lang w:val="fr-FR"/>
        </w:rPr>
        <w:instrText xml:space="preserve"> \* MERGEFORMAT </w:instrText>
      </w:r>
      <w:r w:rsidRPr="003B1303" w:rsidR="00877FD5">
        <w:rPr>
          <w:lang w:val="fr-FR"/>
        </w:rPr>
      </w:r>
      <w:r w:rsidRPr="003B1303" w:rsidR="00877FD5">
        <w:rPr>
          <w:lang w:val="fr-FR"/>
        </w:rPr>
        <w:fldChar w:fldCharType="separate"/>
      </w:r>
      <w:r w:rsidR="003B1303">
        <w:rPr>
          <w:noProof/>
          <w:lang w:val="fr-FR"/>
        </w:rPr>
        <w:t>14</w:t>
      </w:r>
      <w:r w:rsidRPr="003B1303" w:rsidR="00877FD5">
        <w:rPr>
          <w:lang w:val="fr-FR"/>
        </w:rPr>
        <w:fldChar w:fldCharType="end"/>
      </w:r>
      <w:r w:rsidRPr="003B1303" w:rsidR="00877FD5">
        <w:rPr>
          <w:lang w:val="fr-FR"/>
        </w:rPr>
        <w:t xml:space="preserve"> et </w:t>
      </w:r>
      <w:r w:rsidRPr="003B1303" w:rsidR="00877FD5">
        <w:rPr>
          <w:lang w:val="fr-FR"/>
        </w:rPr>
        <w:fldChar w:fldCharType="begin"/>
      </w:r>
      <w:r w:rsidRPr="003B1303" w:rsidR="00877FD5">
        <w:rPr>
          <w:lang w:val="fr-FR"/>
        </w:rPr>
        <w:instrText xml:space="preserve"> REF allmauvr1 \h </w:instrText>
      </w:r>
      <w:r w:rsidRPr="003B1303" w:rsidR="00C47AAA">
        <w:rPr>
          <w:lang w:val="fr-FR"/>
        </w:rPr>
        <w:instrText xml:space="preserve"> \* MERGEFORMAT </w:instrText>
      </w:r>
      <w:r w:rsidRPr="003B1303" w:rsidR="00877FD5">
        <w:rPr>
          <w:lang w:val="fr-FR"/>
        </w:rPr>
      </w:r>
      <w:r w:rsidRPr="003B1303" w:rsidR="00877FD5">
        <w:rPr>
          <w:lang w:val="fr-FR"/>
        </w:rPr>
        <w:fldChar w:fldCharType="separate"/>
      </w:r>
      <w:r w:rsidR="003B1303">
        <w:rPr>
          <w:noProof/>
          <w:lang w:val="fr-FR"/>
        </w:rPr>
        <w:t>16</w:t>
      </w:r>
      <w:r w:rsidRPr="003B1303" w:rsidR="00877FD5">
        <w:rPr>
          <w:lang w:val="fr-FR"/>
        </w:rPr>
        <w:fldChar w:fldCharType="end"/>
      </w:r>
      <w:r w:rsidRPr="003B1303" w:rsidR="00877FD5">
        <w:rPr>
          <w:lang w:val="fr-FR"/>
        </w:rPr>
        <w:t xml:space="preserve"> ci-dessus.</w:t>
      </w:r>
    </w:p>
    <w:p w:rsidRPr="003B1303" w:rsidR="0085148A" w:rsidP="003B1303" w:rsidRDefault="00877FD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24</w:t>
      </w:r>
      <w:r w:rsidRPr="003B1303">
        <w:rPr>
          <w:lang w:val="fr-FR"/>
        </w:rPr>
        <w:fldChar w:fldCharType="end"/>
      </w:r>
      <w:r w:rsidRPr="003B1303">
        <w:rPr>
          <w:lang w:val="fr-FR"/>
        </w:rPr>
        <w:t>.  Le 30 mai 2008, lors d</w:t>
      </w:r>
      <w:r w:rsidRPr="003B1303" w:rsidR="003B1303">
        <w:rPr>
          <w:lang w:val="fr-FR"/>
        </w:rPr>
        <w:t>’</w:t>
      </w:r>
      <w:r w:rsidRPr="003B1303">
        <w:rPr>
          <w:lang w:val="fr-FR"/>
        </w:rPr>
        <w:t xml:space="preserve">un interrogatoire additionnel, le </w:t>
      </w:r>
      <w:r w:rsidRPr="003B1303" w:rsidR="00EF6D98">
        <w:rPr>
          <w:lang w:val="fr-FR"/>
        </w:rPr>
        <w:t xml:space="preserve">premier </w:t>
      </w:r>
      <w:r w:rsidRPr="003B1303">
        <w:rPr>
          <w:lang w:val="fr-FR"/>
        </w:rPr>
        <w:t>requérant</w:t>
      </w:r>
      <w:r w:rsidRPr="003B1303" w:rsidR="00EF6D98">
        <w:rPr>
          <w:lang w:val="fr-FR"/>
        </w:rPr>
        <w:t>,</w:t>
      </w:r>
      <w:r w:rsidRPr="003B1303">
        <w:rPr>
          <w:lang w:val="fr-FR"/>
        </w:rPr>
        <w:t xml:space="preserve"> assisté de l</w:t>
      </w:r>
      <w:r w:rsidRPr="003B1303" w:rsidR="003B1303">
        <w:rPr>
          <w:lang w:val="fr-FR"/>
        </w:rPr>
        <w:t>’</w:t>
      </w:r>
      <w:r w:rsidRPr="003B1303">
        <w:rPr>
          <w:lang w:val="fr-FR"/>
        </w:rPr>
        <w:t xml:space="preserve">avocate </w:t>
      </w:r>
      <w:proofErr w:type="spellStart"/>
      <w:r w:rsidRPr="003B1303">
        <w:rPr>
          <w:lang w:val="fr-FR"/>
        </w:rPr>
        <w:t>Ye</w:t>
      </w:r>
      <w:proofErr w:type="spellEnd"/>
      <w:r w:rsidRPr="003B1303">
        <w:rPr>
          <w:lang w:val="fr-FR"/>
        </w:rPr>
        <w:t>.</w:t>
      </w:r>
      <w:r w:rsidRPr="003B1303" w:rsidR="00A644BB">
        <w:rPr>
          <w:lang w:val="fr-FR"/>
        </w:rPr>
        <w:t>,</w:t>
      </w:r>
      <w:r w:rsidRPr="003B1303">
        <w:rPr>
          <w:lang w:val="fr-FR"/>
        </w:rPr>
        <w:t xml:space="preserve"> réitéra ses allégations de mauvais traitements et indiqua, entre autres, qu</w:t>
      </w:r>
      <w:r w:rsidRPr="003B1303" w:rsidR="003B1303">
        <w:rPr>
          <w:lang w:val="fr-FR"/>
        </w:rPr>
        <w:t>’</w:t>
      </w:r>
      <w:r w:rsidRPr="003B1303">
        <w:rPr>
          <w:lang w:val="fr-FR"/>
        </w:rPr>
        <w:t>il n</w:t>
      </w:r>
      <w:r w:rsidRPr="003B1303" w:rsidR="003B1303">
        <w:rPr>
          <w:lang w:val="fr-FR"/>
        </w:rPr>
        <w:t>’</w:t>
      </w:r>
      <w:r w:rsidRPr="003B1303">
        <w:rPr>
          <w:lang w:val="fr-FR"/>
        </w:rPr>
        <w:t>avait pas officiellement déposé plainte à cet égard au motif que le dépôt d</w:t>
      </w:r>
      <w:r w:rsidRPr="003B1303" w:rsidR="003B1303">
        <w:rPr>
          <w:lang w:val="fr-FR"/>
        </w:rPr>
        <w:t>’</w:t>
      </w:r>
      <w:r w:rsidRPr="003B1303">
        <w:rPr>
          <w:lang w:val="fr-FR"/>
        </w:rPr>
        <w:t>une telle plainte n</w:t>
      </w:r>
      <w:r w:rsidRPr="003B1303" w:rsidR="003B1303">
        <w:rPr>
          <w:lang w:val="fr-FR"/>
        </w:rPr>
        <w:t>’</w:t>
      </w:r>
      <w:r w:rsidRPr="003B1303">
        <w:rPr>
          <w:lang w:val="fr-FR"/>
        </w:rPr>
        <w:t>aurait pas abouti à un résultat tangible et que, de surcroît, cela aurait pu aggraver sa situation.</w:t>
      </w:r>
    </w:p>
    <w:p w:rsidRPr="003B1303" w:rsidR="00A91879" w:rsidP="003B1303" w:rsidRDefault="00310E5A">
      <w:pPr>
        <w:pStyle w:val="ECHRHeading4"/>
        <w:rPr>
          <w:lang w:val="fr-FR"/>
        </w:rPr>
      </w:pPr>
      <w:r w:rsidRPr="003B1303">
        <w:rPr>
          <w:lang w:val="fr-FR"/>
        </w:rPr>
        <w:t>c</w:t>
      </w:r>
      <w:r w:rsidRPr="003B1303" w:rsidR="00DD6941">
        <w:rPr>
          <w:lang w:val="fr-FR"/>
        </w:rPr>
        <w:t>)</w:t>
      </w:r>
      <w:r w:rsidRPr="003B1303" w:rsidR="00381BEE">
        <w:rPr>
          <w:lang w:val="fr-FR"/>
        </w:rPr>
        <w:t>  </w:t>
      </w:r>
      <w:r w:rsidRPr="003B1303" w:rsidR="008121A7">
        <w:rPr>
          <w:lang w:val="fr-FR"/>
        </w:rPr>
        <w:t>Les vérifications menées sur les allégations de mauvais traitements du premier requérant</w:t>
      </w:r>
    </w:p>
    <w:p w:rsidRPr="003B1303" w:rsidR="00BE4C83" w:rsidP="003B1303" w:rsidRDefault="00AA5216">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25</w:t>
      </w:r>
      <w:r w:rsidRPr="003B1303">
        <w:rPr>
          <w:lang w:val="fr-FR"/>
        </w:rPr>
        <w:fldChar w:fldCharType="end"/>
      </w:r>
      <w:r w:rsidRPr="003B1303">
        <w:rPr>
          <w:lang w:val="fr-FR"/>
        </w:rPr>
        <w:t>.  </w:t>
      </w:r>
      <w:r w:rsidRPr="003B1303" w:rsidR="00C64E83">
        <w:rPr>
          <w:lang w:val="fr-FR"/>
        </w:rPr>
        <w:t>Au mois de juin 2008, l</w:t>
      </w:r>
      <w:r w:rsidRPr="003B1303" w:rsidR="003B1303">
        <w:rPr>
          <w:lang w:val="fr-FR"/>
        </w:rPr>
        <w:t>’</w:t>
      </w:r>
      <w:r w:rsidRPr="003B1303" w:rsidR="00C64E83">
        <w:rPr>
          <w:lang w:val="fr-FR"/>
        </w:rPr>
        <w:t xml:space="preserve">avocate </w:t>
      </w:r>
      <w:proofErr w:type="spellStart"/>
      <w:r w:rsidRPr="003B1303" w:rsidR="00C64E83">
        <w:rPr>
          <w:lang w:val="fr-FR"/>
        </w:rPr>
        <w:t>Ye</w:t>
      </w:r>
      <w:proofErr w:type="spellEnd"/>
      <w:r w:rsidRPr="003B1303" w:rsidR="00C64E83">
        <w:rPr>
          <w:lang w:val="fr-FR"/>
        </w:rPr>
        <w:t xml:space="preserve">. </w:t>
      </w:r>
      <w:proofErr w:type="gramStart"/>
      <w:r w:rsidRPr="003B1303" w:rsidR="00C64E83">
        <w:rPr>
          <w:lang w:val="fr-FR"/>
        </w:rPr>
        <w:t>adressa</w:t>
      </w:r>
      <w:proofErr w:type="gramEnd"/>
      <w:r w:rsidRPr="003B1303" w:rsidR="00C64E83">
        <w:rPr>
          <w:lang w:val="fr-FR"/>
        </w:rPr>
        <w:t xml:space="preserve"> une plainte au procureur dans laquelle elle dénonçait les mauvais traitements que le premier requérant </w:t>
      </w:r>
      <w:r w:rsidRPr="003B1303" w:rsidR="00A91879">
        <w:rPr>
          <w:lang w:val="fr-FR"/>
        </w:rPr>
        <w:t>aurait subis entre le 13 et le 15 avril 2008.</w:t>
      </w:r>
    </w:p>
    <w:bookmarkStart w:name="ref144r1" w:id="15"/>
    <w:p w:rsidRPr="003B1303" w:rsidR="001B53E5" w:rsidP="003B1303" w:rsidRDefault="001B53E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26</w:t>
      </w:r>
      <w:r w:rsidRPr="003B1303">
        <w:rPr>
          <w:lang w:val="fr-FR"/>
        </w:rPr>
        <w:fldChar w:fldCharType="end"/>
      </w:r>
      <w:bookmarkEnd w:id="15"/>
      <w:r w:rsidRPr="003B1303">
        <w:rPr>
          <w:lang w:val="fr-FR"/>
        </w:rPr>
        <w:t>.  </w:t>
      </w:r>
      <w:r w:rsidRPr="003B1303" w:rsidR="00A91879">
        <w:rPr>
          <w:lang w:val="fr-FR"/>
        </w:rPr>
        <w:t>Par une décision du 28 juin 2008, le comité d</w:t>
      </w:r>
      <w:r w:rsidRPr="003B1303" w:rsidR="003B1303">
        <w:rPr>
          <w:lang w:val="fr-FR"/>
        </w:rPr>
        <w:t>’</w:t>
      </w:r>
      <w:r w:rsidRPr="003B1303" w:rsidR="00A91879">
        <w:rPr>
          <w:lang w:val="fr-FR"/>
        </w:rPr>
        <w:t>instruction</w:t>
      </w:r>
      <w:r w:rsidRPr="003B1303" w:rsidR="00381BEE">
        <w:rPr>
          <w:lang w:val="fr-FR"/>
        </w:rPr>
        <w:t>, après avoir effectué une vérification préliminaire conformément à l</w:t>
      </w:r>
      <w:r w:rsidRPr="003B1303" w:rsidR="003B1303">
        <w:rPr>
          <w:lang w:val="fr-FR"/>
        </w:rPr>
        <w:t>’</w:t>
      </w:r>
      <w:r w:rsidRPr="003B1303" w:rsidR="00381BEE">
        <w:rPr>
          <w:lang w:val="fr-FR"/>
        </w:rPr>
        <w:t xml:space="preserve">article 144 du CPP, </w:t>
      </w:r>
      <w:r w:rsidRPr="003B1303" w:rsidR="00A91879">
        <w:rPr>
          <w:lang w:val="fr-FR"/>
        </w:rPr>
        <w:t>refusa d</w:t>
      </w:r>
      <w:r w:rsidRPr="003B1303" w:rsidR="003B1303">
        <w:rPr>
          <w:lang w:val="fr-FR"/>
        </w:rPr>
        <w:t>’</w:t>
      </w:r>
      <w:r w:rsidRPr="003B1303" w:rsidR="00A91879">
        <w:rPr>
          <w:lang w:val="fr-FR"/>
        </w:rPr>
        <w:t xml:space="preserve">ouvrir une enquête pénale sur les allégations de mauvais traitements du </w:t>
      </w:r>
      <w:r w:rsidRPr="003B1303" w:rsidR="005D50A0">
        <w:rPr>
          <w:lang w:val="fr-FR"/>
        </w:rPr>
        <w:t xml:space="preserve">premier </w:t>
      </w:r>
      <w:r w:rsidRPr="003B1303" w:rsidR="00A91879">
        <w:rPr>
          <w:lang w:val="fr-FR"/>
        </w:rPr>
        <w:t xml:space="preserve">requérant. </w:t>
      </w:r>
      <w:r w:rsidRPr="003B1303" w:rsidR="00E24BF8">
        <w:rPr>
          <w:lang w:val="fr-FR"/>
        </w:rPr>
        <w:t xml:space="preserve">Ayant </w:t>
      </w:r>
      <w:r w:rsidRPr="003B1303">
        <w:rPr>
          <w:lang w:val="fr-FR"/>
        </w:rPr>
        <w:t>recueilli d</w:t>
      </w:r>
      <w:r w:rsidRPr="003B1303" w:rsidR="00E24BF8">
        <w:rPr>
          <w:lang w:val="fr-FR"/>
        </w:rPr>
        <w:t xml:space="preserve">es explications </w:t>
      </w:r>
      <w:r w:rsidRPr="003B1303" w:rsidR="005D50A0">
        <w:rPr>
          <w:lang w:val="fr-FR"/>
        </w:rPr>
        <w:t xml:space="preserve">de la part </w:t>
      </w:r>
      <w:r w:rsidRPr="003B1303" w:rsidR="00E24BF8">
        <w:rPr>
          <w:lang w:val="fr-FR"/>
        </w:rPr>
        <w:t>d</w:t>
      </w:r>
      <w:r w:rsidRPr="003B1303" w:rsidR="003B1303">
        <w:rPr>
          <w:lang w:val="fr-FR"/>
        </w:rPr>
        <w:t>’</w:t>
      </w:r>
      <w:r w:rsidRPr="003B1303" w:rsidR="00E24BF8">
        <w:rPr>
          <w:lang w:val="fr-FR"/>
        </w:rPr>
        <w:t xml:space="preserve">un </w:t>
      </w:r>
      <w:r w:rsidRPr="003B1303" w:rsidR="005D50A0">
        <w:rPr>
          <w:lang w:val="fr-FR"/>
        </w:rPr>
        <w:t xml:space="preserve">certain </w:t>
      </w:r>
      <w:r w:rsidRPr="003B1303" w:rsidR="00E24BF8">
        <w:rPr>
          <w:lang w:val="fr-FR"/>
        </w:rPr>
        <w:t xml:space="preserve">nombre de </w:t>
      </w:r>
      <w:r w:rsidRPr="003B1303">
        <w:rPr>
          <w:lang w:val="fr-FR"/>
        </w:rPr>
        <w:t>personnes</w:t>
      </w:r>
      <w:r w:rsidRPr="003B1303" w:rsidR="00E24BF8">
        <w:rPr>
          <w:lang w:val="fr-FR"/>
        </w:rPr>
        <w:t xml:space="preserve">, y compris celles qui </w:t>
      </w:r>
      <w:r w:rsidRPr="003B1303" w:rsidR="005D50A0">
        <w:rPr>
          <w:lang w:val="fr-FR"/>
        </w:rPr>
        <w:t xml:space="preserve">auraient </w:t>
      </w:r>
      <w:r w:rsidRPr="003B1303" w:rsidR="00E24BF8">
        <w:rPr>
          <w:lang w:val="fr-FR"/>
        </w:rPr>
        <w:t>ét</w:t>
      </w:r>
      <w:r w:rsidRPr="003B1303" w:rsidR="005D50A0">
        <w:rPr>
          <w:lang w:val="fr-FR"/>
        </w:rPr>
        <w:t>é</w:t>
      </w:r>
      <w:r w:rsidRPr="003B1303">
        <w:rPr>
          <w:lang w:val="fr-FR"/>
        </w:rPr>
        <w:t xml:space="preserve"> impliquées dans le</w:t>
      </w:r>
      <w:r w:rsidRPr="003B1303" w:rsidR="00E24BF8">
        <w:rPr>
          <w:lang w:val="fr-FR"/>
        </w:rPr>
        <w:t>s</w:t>
      </w:r>
      <w:r w:rsidRPr="003B1303">
        <w:rPr>
          <w:lang w:val="fr-FR"/>
        </w:rPr>
        <w:t xml:space="preserve"> mauvais traitements</w:t>
      </w:r>
      <w:r w:rsidRPr="003B1303" w:rsidR="00E24BF8">
        <w:rPr>
          <w:lang w:val="fr-FR"/>
        </w:rPr>
        <w:t xml:space="preserve"> </w:t>
      </w:r>
      <w:r w:rsidRPr="003B1303" w:rsidR="005D50A0">
        <w:rPr>
          <w:lang w:val="fr-FR"/>
        </w:rPr>
        <w:t xml:space="preserve">infligés au premier </w:t>
      </w:r>
      <w:r w:rsidRPr="003B1303" w:rsidR="00E24BF8">
        <w:rPr>
          <w:lang w:val="fr-FR"/>
        </w:rPr>
        <w:t xml:space="preserve">requérant et qui avaient toutes </w:t>
      </w:r>
      <w:r w:rsidRPr="003B1303" w:rsidR="005D50A0">
        <w:rPr>
          <w:lang w:val="fr-FR"/>
        </w:rPr>
        <w:t xml:space="preserve">contesté </w:t>
      </w:r>
      <w:r w:rsidRPr="003B1303" w:rsidR="00E24BF8">
        <w:rPr>
          <w:lang w:val="fr-FR"/>
        </w:rPr>
        <w:t>les allégations de ce dernier, l</w:t>
      </w:r>
      <w:r w:rsidRPr="003B1303" w:rsidR="003B1303">
        <w:rPr>
          <w:lang w:val="fr-FR"/>
        </w:rPr>
        <w:t>’</w:t>
      </w:r>
      <w:r w:rsidRPr="003B1303" w:rsidR="00E24BF8">
        <w:rPr>
          <w:lang w:val="fr-FR"/>
        </w:rPr>
        <w:t>enquêteur</w:t>
      </w:r>
      <w:r w:rsidRPr="003B1303">
        <w:rPr>
          <w:lang w:val="fr-FR"/>
        </w:rPr>
        <w:t xml:space="preserve"> </w:t>
      </w:r>
      <w:r w:rsidRPr="003B1303" w:rsidR="00AA5216">
        <w:rPr>
          <w:lang w:val="fr-FR"/>
        </w:rPr>
        <w:t xml:space="preserve">chargé de la vérification </w:t>
      </w:r>
      <w:r w:rsidRPr="003B1303" w:rsidR="00E24BF8">
        <w:rPr>
          <w:lang w:val="fr-FR"/>
        </w:rPr>
        <w:t>estima qu</w:t>
      </w:r>
      <w:r w:rsidRPr="003B1303" w:rsidR="003B1303">
        <w:rPr>
          <w:lang w:val="fr-FR"/>
        </w:rPr>
        <w:t>’</w:t>
      </w:r>
      <w:r w:rsidRPr="003B1303" w:rsidR="00E24BF8">
        <w:rPr>
          <w:lang w:val="fr-FR"/>
        </w:rPr>
        <w:t>il n</w:t>
      </w:r>
      <w:r w:rsidRPr="003B1303" w:rsidR="003B1303">
        <w:rPr>
          <w:lang w:val="fr-FR"/>
        </w:rPr>
        <w:t>’</w:t>
      </w:r>
      <w:r w:rsidRPr="003B1303" w:rsidR="00E24BF8">
        <w:rPr>
          <w:lang w:val="fr-FR"/>
        </w:rPr>
        <w:t>y avait pas de preuves de maltraitance de l</w:t>
      </w:r>
      <w:r w:rsidRPr="003B1303" w:rsidR="003B1303">
        <w:rPr>
          <w:lang w:val="fr-FR"/>
        </w:rPr>
        <w:t>’</w:t>
      </w:r>
      <w:r w:rsidRPr="003B1303" w:rsidR="00E24BF8">
        <w:rPr>
          <w:lang w:val="fr-FR"/>
        </w:rPr>
        <w:t>intéressé.</w:t>
      </w:r>
    </w:p>
    <w:bookmarkStart w:name="mauvtrec" w:id="16"/>
    <w:p w:rsidRPr="003B1303" w:rsidR="00BE4C83" w:rsidP="003B1303" w:rsidRDefault="00E24BF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27</w:t>
      </w:r>
      <w:r w:rsidRPr="003B1303">
        <w:rPr>
          <w:lang w:val="fr-FR"/>
        </w:rPr>
        <w:fldChar w:fldCharType="end"/>
      </w:r>
      <w:bookmarkEnd w:id="16"/>
      <w:r w:rsidRPr="003B1303">
        <w:rPr>
          <w:lang w:val="fr-FR"/>
        </w:rPr>
        <w:t>.  </w:t>
      </w:r>
      <w:r w:rsidRPr="003B1303" w:rsidR="00A91879">
        <w:rPr>
          <w:lang w:val="fr-FR"/>
        </w:rPr>
        <w:t>Le</w:t>
      </w:r>
      <w:r w:rsidRPr="003B1303">
        <w:rPr>
          <w:lang w:val="fr-FR"/>
        </w:rPr>
        <w:t xml:space="preserve"> premier</w:t>
      </w:r>
      <w:r w:rsidRPr="003B1303" w:rsidR="00A91879">
        <w:rPr>
          <w:lang w:val="fr-FR"/>
        </w:rPr>
        <w:t xml:space="preserve"> requérant </w:t>
      </w:r>
      <w:r w:rsidRPr="003B1303" w:rsidR="00B15E0B">
        <w:rPr>
          <w:lang w:val="fr-FR"/>
        </w:rPr>
        <w:t>contesta</w:t>
      </w:r>
      <w:r w:rsidRPr="003B1303" w:rsidR="00A91879">
        <w:rPr>
          <w:lang w:val="fr-FR"/>
        </w:rPr>
        <w:t xml:space="preserve"> cette décision</w:t>
      </w:r>
      <w:r w:rsidRPr="003B1303" w:rsidR="00B15E0B">
        <w:rPr>
          <w:lang w:val="fr-FR"/>
        </w:rPr>
        <w:t xml:space="preserve"> en justice</w:t>
      </w:r>
      <w:r w:rsidRPr="003B1303" w:rsidR="00A91879">
        <w:rPr>
          <w:lang w:val="fr-FR"/>
        </w:rPr>
        <w:t>. Il indiquait, entre autres, que l</w:t>
      </w:r>
      <w:r w:rsidRPr="003B1303" w:rsidR="003B1303">
        <w:rPr>
          <w:lang w:val="fr-FR"/>
        </w:rPr>
        <w:t>’</w:t>
      </w:r>
      <w:r w:rsidRPr="003B1303" w:rsidR="00A91879">
        <w:rPr>
          <w:lang w:val="fr-FR"/>
        </w:rPr>
        <w:t>enquêteur avait transféré la charge de l</w:t>
      </w:r>
      <w:r w:rsidRPr="003B1303" w:rsidR="003B1303">
        <w:rPr>
          <w:lang w:val="fr-FR"/>
        </w:rPr>
        <w:t>’</w:t>
      </w:r>
      <w:r w:rsidRPr="003B1303" w:rsidR="00A91879">
        <w:rPr>
          <w:lang w:val="fr-FR"/>
        </w:rPr>
        <w:t>enquête à l</w:t>
      </w:r>
      <w:r w:rsidRPr="003B1303" w:rsidR="003B1303">
        <w:rPr>
          <w:lang w:val="fr-FR"/>
        </w:rPr>
        <w:t>’</w:t>
      </w:r>
      <w:r w:rsidRPr="003B1303" w:rsidR="00A91879">
        <w:rPr>
          <w:lang w:val="fr-FR"/>
        </w:rPr>
        <w:t>administration de la maison d</w:t>
      </w:r>
      <w:r w:rsidRPr="003B1303" w:rsidR="003B1303">
        <w:rPr>
          <w:lang w:val="fr-FR"/>
        </w:rPr>
        <w:t>’</w:t>
      </w:r>
      <w:r w:rsidRPr="003B1303" w:rsidR="00A91879">
        <w:rPr>
          <w:lang w:val="fr-FR"/>
        </w:rPr>
        <w:t>arrêt, ce qui, d</w:t>
      </w:r>
      <w:r w:rsidRPr="003B1303" w:rsidR="003B1303">
        <w:rPr>
          <w:lang w:val="fr-FR"/>
        </w:rPr>
        <w:t>’</w:t>
      </w:r>
      <w:r w:rsidRPr="003B1303" w:rsidR="00A91879">
        <w:rPr>
          <w:lang w:val="fr-FR"/>
        </w:rPr>
        <w:t xml:space="preserve">après </w:t>
      </w:r>
      <w:r w:rsidRPr="003B1303" w:rsidR="00546E1F">
        <w:rPr>
          <w:lang w:val="fr-FR"/>
        </w:rPr>
        <w:t>lui</w:t>
      </w:r>
      <w:r w:rsidRPr="003B1303" w:rsidR="00A91879">
        <w:rPr>
          <w:lang w:val="fr-FR"/>
        </w:rPr>
        <w:t>, remettait en cause l</w:t>
      </w:r>
      <w:r w:rsidRPr="003B1303" w:rsidR="003B1303">
        <w:rPr>
          <w:lang w:val="fr-FR"/>
        </w:rPr>
        <w:t>’</w:t>
      </w:r>
      <w:r w:rsidRPr="003B1303" w:rsidR="00A91879">
        <w:rPr>
          <w:lang w:val="fr-FR"/>
        </w:rPr>
        <w:t>indépendance et l</w:t>
      </w:r>
      <w:r w:rsidRPr="003B1303" w:rsidR="003B1303">
        <w:rPr>
          <w:lang w:val="fr-FR"/>
        </w:rPr>
        <w:t>’</w:t>
      </w:r>
      <w:r w:rsidRPr="003B1303" w:rsidR="00A91879">
        <w:rPr>
          <w:lang w:val="fr-FR"/>
        </w:rPr>
        <w:t>impartialité de l</w:t>
      </w:r>
      <w:r w:rsidRPr="003B1303" w:rsidR="003B1303">
        <w:rPr>
          <w:lang w:val="fr-FR"/>
        </w:rPr>
        <w:t>’</w:t>
      </w:r>
      <w:r w:rsidRPr="003B1303" w:rsidR="00A91879">
        <w:rPr>
          <w:lang w:val="fr-FR"/>
        </w:rPr>
        <w:t>enquêteur, et que celui-ci n</w:t>
      </w:r>
      <w:r w:rsidRPr="003B1303" w:rsidR="003B1303">
        <w:rPr>
          <w:lang w:val="fr-FR"/>
        </w:rPr>
        <w:t>’</w:t>
      </w:r>
      <w:r w:rsidRPr="003B1303" w:rsidR="00A91879">
        <w:rPr>
          <w:lang w:val="fr-FR"/>
        </w:rPr>
        <w:t>avait pas</w:t>
      </w:r>
      <w:r w:rsidRPr="003B1303" w:rsidR="0008242B">
        <w:rPr>
          <w:lang w:val="fr-FR"/>
        </w:rPr>
        <w:t>, selon lui,</w:t>
      </w:r>
      <w:r w:rsidRPr="003B1303" w:rsidR="00A91879">
        <w:rPr>
          <w:lang w:val="fr-FR"/>
        </w:rPr>
        <w:t xml:space="preserve"> procédé à des confrontations avec les personnes qui lui auraient fait subir des mauvais traitements.</w:t>
      </w:r>
    </w:p>
    <w:p w:rsidRPr="003B1303" w:rsidR="00BE4C83" w:rsidP="003B1303" w:rsidRDefault="00A9187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28</w:t>
      </w:r>
      <w:r w:rsidRPr="003B1303">
        <w:rPr>
          <w:lang w:val="fr-FR"/>
        </w:rPr>
        <w:fldChar w:fldCharType="end"/>
      </w:r>
      <w:r w:rsidRPr="003B1303">
        <w:rPr>
          <w:lang w:val="fr-FR"/>
        </w:rPr>
        <w:t xml:space="preserve">.  Le 12 février 2009, le tribunal du district </w:t>
      </w:r>
      <w:proofErr w:type="spellStart"/>
      <w:r w:rsidRPr="003B1303">
        <w:rPr>
          <w:lang w:val="fr-FR"/>
        </w:rPr>
        <w:t>Kouïbychevski</w:t>
      </w:r>
      <w:proofErr w:type="spellEnd"/>
      <w:r w:rsidRPr="003B1303">
        <w:rPr>
          <w:lang w:val="fr-FR"/>
        </w:rPr>
        <w:t xml:space="preserve"> de la ville d</w:t>
      </w:r>
      <w:r w:rsidRPr="003B1303" w:rsidR="003B1303">
        <w:rPr>
          <w:lang w:val="fr-FR"/>
        </w:rPr>
        <w:t>’</w:t>
      </w:r>
      <w:r w:rsidRPr="003B1303">
        <w:rPr>
          <w:lang w:val="fr-FR"/>
        </w:rPr>
        <w:t>Irkoutsk rejeta l</w:t>
      </w:r>
      <w:r w:rsidRPr="003B1303" w:rsidR="00B15E0B">
        <w:rPr>
          <w:lang w:val="fr-FR"/>
        </w:rPr>
        <w:t>e recours</w:t>
      </w:r>
      <w:r w:rsidRPr="003B1303">
        <w:rPr>
          <w:lang w:val="fr-FR"/>
        </w:rPr>
        <w:t xml:space="preserve"> du </w:t>
      </w:r>
      <w:r w:rsidRPr="003B1303" w:rsidR="00546E1F">
        <w:rPr>
          <w:lang w:val="fr-FR"/>
        </w:rPr>
        <w:t xml:space="preserve">premier </w:t>
      </w:r>
      <w:r w:rsidRPr="003B1303">
        <w:rPr>
          <w:lang w:val="fr-FR"/>
        </w:rPr>
        <w:t>requérant.</w:t>
      </w:r>
    </w:p>
    <w:bookmarkStart w:name="mauvtrec1" w:id="17"/>
    <w:p w:rsidRPr="003B1303" w:rsidR="00A91879" w:rsidP="003B1303" w:rsidRDefault="00A9187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29</w:t>
      </w:r>
      <w:r w:rsidRPr="003B1303">
        <w:rPr>
          <w:lang w:val="fr-FR"/>
        </w:rPr>
        <w:fldChar w:fldCharType="end"/>
      </w:r>
      <w:bookmarkEnd w:id="17"/>
      <w:r w:rsidRPr="003B1303">
        <w:rPr>
          <w:lang w:val="fr-FR"/>
        </w:rPr>
        <w:t>.  Le 1</w:t>
      </w:r>
      <w:r w:rsidRPr="003B1303">
        <w:rPr>
          <w:vertAlign w:val="superscript"/>
          <w:lang w:val="fr-FR"/>
        </w:rPr>
        <w:t>er</w:t>
      </w:r>
      <w:r w:rsidRPr="003B1303">
        <w:rPr>
          <w:lang w:val="fr-FR"/>
        </w:rPr>
        <w:t xml:space="preserve"> avril 2009, la cour régionale </w:t>
      </w:r>
      <w:r w:rsidRPr="003B1303" w:rsidR="00784749">
        <w:rPr>
          <w:lang w:val="fr-FR"/>
        </w:rPr>
        <w:t>d</w:t>
      </w:r>
      <w:r w:rsidRPr="003B1303" w:rsidR="003B1303">
        <w:rPr>
          <w:lang w:val="fr-FR"/>
        </w:rPr>
        <w:t>’</w:t>
      </w:r>
      <w:r w:rsidRPr="003B1303" w:rsidR="00784749">
        <w:rPr>
          <w:lang w:val="fr-FR"/>
        </w:rPr>
        <w:t xml:space="preserve">Irkoutsk (« la cour régionale ») </w:t>
      </w:r>
      <w:r w:rsidRPr="003B1303">
        <w:rPr>
          <w:lang w:val="fr-FR"/>
        </w:rPr>
        <w:t>confirma cette décision en appel.</w:t>
      </w:r>
    </w:p>
    <w:p w:rsidRPr="003B1303" w:rsidR="00A644BB" w:rsidP="003B1303" w:rsidRDefault="00A644BB">
      <w:pPr>
        <w:pStyle w:val="ECHRHeading4"/>
        <w:rPr>
          <w:lang w:val="fr-FR"/>
        </w:rPr>
      </w:pPr>
      <w:r w:rsidRPr="003B1303">
        <w:rPr>
          <w:lang w:val="fr-FR"/>
        </w:rPr>
        <w:t>d)  La plainte du premier requérant auprès du conseil disciplinaire du barreau de la région d</w:t>
      </w:r>
      <w:r w:rsidRPr="003B1303" w:rsidR="003B1303">
        <w:rPr>
          <w:lang w:val="fr-FR"/>
        </w:rPr>
        <w:t>’</w:t>
      </w:r>
      <w:r w:rsidRPr="003B1303">
        <w:rPr>
          <w:lang w:val="fr-FR"/>
        </w:rPr>
        <w:t>Irkoutsk</w:t>
      </w:r>
    </w:p>
    <w:bookmarkStart w:name="consdis1" w:id="18"/>
    <w:p w:rsidRPr="003B1303" w:rsidR="00A644BB" w:rsidP="003B1303" w:rsidRDefault="00A644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30</w:t>
      </w:r>
      <w:r w:rsidRPr="003B1303">
        <w:rPr>
          <w:lang w:val="fr-FR"/>
        </w:rPr>
        <w:fldChar w:fldCharType="end"/>
      </w:r>
      <w:bookmarkEnd w:id="18"/>
      <w:r w:rsidRPr="003B1303">
        <w:rPr>
          <w:lang w:val="fr-FR"/>
        </w:rPr>
        <w:t>.  Le 8 octobre 2008, le premier requérant déposa une plainte auprès du conseil disciplinaire du barreau de la région d</w:t>
      </w:r>
      <w:r w:rsidRPr="003B1303" w:rsidR="003B1303">
        <w:rPr>
          <w:lang w:val="fr-FR"/>
        </w:rPr>
        <w:t>’</w:t>
      </w:r>
      <w:r w:rsidRPr="003B1303">
        <w:rPr>
          <w:lang w:val="fr-FR"/>
        </w:rPr>
        <w:t xml:space="preserve">Irkoutsk (« le conseil disciplinaire ») dans laquelle il dénonçait le caractère selon lui irrégulier de la nomination de Ku. </w:t>
      </w:r>
      <w:proofErr w:type="gramStart"/>
      <w:r w:rsidRPr="003B1303">
        <w:rPr>
          <w:lang w:val="fr-FR"/>
        </w:rPr>
        <w:t>en</w:t>
      </w:r>
      <w:proofErr w:type="gramEnd"/>
      <w:r w:rsidRPr="003B1303">
        <w:rPr>
          <w:lang w:val="fr-FR"/>
        </w:rPr>
        <w:t xml:space="preserve"> tant que son défenseur lors de l</w:t>
      </w:r>
      <w:r w:rsidRPr="003B1303" w:rsidR="003B1303">
        <w:rPr>
          <w:lang w:val="fr-FR"/>
        </w:rPr>
        <w:t>’</w:t>
      </w:r>
      <w:r w:rsidRPr="003B1303">
        <w:rPr>
          <w:lang w:val="fr-FR"/>
        </w:rPr>
        <w:t>interrogatoire du 15 avril 2008 ainsi que le caractère à ses yeux purement formel de la présence de cette avocate lors dudit interrogatoire.</w:t>
      </w:r>
    </w:p>
    <w:bookmarkStart w:name="consdis2" w:id="19"/>
    <w:p w:rsidRPr="003B1303" w:rsidR="00A644BB" w:rsidP="003B1303" w:rsidRDefault="00A644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31</w:t>
      </w:r>
      <w:r w:rsidRPr="003B1303">
        <w:rPr>
          <w:lang w:val="fr-FR"/>
        </w:rPr>
        <w:fldChar w:fldCharType="end"/>
      </w:r>
      <w:bookmarkEnd w:id="19"/>
      <w:r w:rsidRPr="003B1303">
        <w:rPr>
          <w:lang w:val="fr-FR"/>
        </w:rPr>
        <w:t>.  Le 18 février 2009, le conseil disciplinaire rendit une décision par laquelle il reconnut l</w:t>
      </w:r>
      <w:r w:rsidRPr="003B1303" w:rsidR="003B1303">
        <w:rPr>
          <w:lang w:val="fr-FR"/>
        </w:rPr>
        <w:t>’</w:t>
      </w:r>
      <w:r w:rsidRPr="003B1303">
        <w:rPr>
          <w:lang w:val="fr-FR"/>
        </w:rPr>
        <w:t xml:space="preserve">avocate Ku. </w:t>
      </w:r>
      <w:proofErr w:type="gramStart"/>
      <w:r w:rsidRPr="003B1303">
        <w:rPr>
          <w:lang w:val="fr-FR"/>
        </w:rPr>
        <w:t>coupable</w:t>
      </w:r>
      <w:proofErr w:type="gramEnd"/>
      <w:r w:rsidRPr="003B1303">
        <w:rPr>
          <w:lang w:val="fr-FR"/>
        </w:rPr>
        <w:t xml:space="preserve"> d</w:t>
      </w:r>
      <w:r w:rsidRPr="003B1303" w:rsidR="003B1303">
        <w:rPr>
          <w:lang w:val="fr-FR"/>
        </w:rPr>
        <w:t>’</w:t>
      </w:r>
      <w:r w:rsidRPr="003B1303">
        <w:rPr>
          <w:lang w:val="fr-FR"/>
        </w:rPr>
        <w:t>une faute grave dans l</w:t>
      </w:r>
      <w:r w:rsidRPr="003B1303" w:rsidR="003B1303">
        <w:rPr>
          <w:lang w:val="fr-FR"/>
        </w:rPr>
        <w:t>’</w:t>
      </w:r>
      <w:r w:rsidRPr="003B1303">
        <w:rPr>
          <w:lang w:val="fr-FR"/>
        </w:rPr>
        <w:t>exercice de la profession d</w:t>
      </w:r>
      <w:r w:rsidRPr="003B1303" w:rsidR="003B1303">
        <w:rPr>
          <w:lang w:val="fr-FR"/>
        </w:rPr>
        <w:t>’</w:t>
      </w:r>
      <w:r w:rsidRPr="003B1303">
        <w:rPr>
          <w:lang w:val="fr-FR"/>
        </w:rPr>
        <w:t>avocat et la sanctionna par l</w:t>
      </w:r>
      <w:r w:rsidRPr="003B1303" w:rsidR="003B1303">
        <w:rPr>
          <w:lang w:val="fr-FR"/>
        </w:rPr>
        <w:t>’</w:t>
      </w:r>
      <w:r w:rsidRPr="003B1303">
        <w:rPr>
          <w:lang w:val="fr-FR"/>
        </w:rPr>
        <w:t>exclusion du barreau.</w:t>
      </w:r>
    </w:p>
    <w:bookmarkStart w:name="consdis3" w:id="20"/>
    <w:p w:rsidRPr="003B1303" w:rsidR="00A644BB" w:rsidP="003B1303" w:rsidRDefault="00A644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32</w:t>
      </w:r>
      <w:r w:rsidRPr="003B1303">
        <w:rPr>
          <w:lang w:val="fr-FR"/>
        </w:rPr>
        <w:fldChar w:fldCharType="end"/>
      </w:r>
      <w:bookmarkEnd w:id="20"/>
      <w:r w:rsidRPr="003B1303">
        <w:rPr>
          <w:lang w:val="fr-FR"/>
        </w:rPr>
        <w:t>.  Le conseil disciplinaire établit que, le 15 avril 2008, l</w:t>
      </w:r>
      <w:r w:rsidRPr="003B1303" w:rsidR="003B1303">
        <w:rPr>
          <w:lang w:val="fr-FR"/>
        </w:rPr>
        <w:t>’</w:t>
      </w:r>
      <w:r w:rsidRPr="003B1303">
        <w:rPr>
          <w:lang w:val="fr-FR"/>
        </w:rPr>
        <w:t xml:space="preserve">avocate Ku. </w:t>
      </w:r>
      <w:proofErr w:type="gramStart"/>
      <w:r w:rsidRPr="003B1303">
        <w:rPr>
          <w:lang w:val="fr-FR"/>
        </w:rPr>
        <w:t>avait</w:t>
      </w:r>
      <w:proofErr w:type="gramEnd"/>
      <w:r w:rsidRPr="003B1303">
        <w:rPr>
          <w:lang w:val="fr-FR"/>
        </w:rPr>
        <w:t xml:space="preserve"> été directement contactée par l</w:t>
      </w:r>
      <w:r w:rsidRPr="003B1303" w:rsidR="003B1303">
        <w:rPr>
          <w:lang w:val="fr-FR"/>
        </w:rPr>
        <w:t>’</w:t>
      </w:r>
      <w:r w:rsidRPr="003B1303">
        <w:rPr>
          <w:lang w:val="fr-FR"/>
        </w:rPr>
        <w:t>enquêteur B. et qu</w:t>
      </w:r>
      <w:r w:rsidRPr="003B1303" w:rsidR="003B1303">
        <w:rPr>
          <w:lang w:val="fr-FR"/>
        </w:rPr>
        <w:t>’</w:t>
      </w:r>
      <w:r w:rsidRPr="003B1303">
        <w:rPr>
          <w:lang w:val="fr-FR"/>
        </w:rPr>
        <w:t>elle avait accepté de se rendre dans la maison d</w:t>
      </w:r>
      <w:r w:rsidRPr="003B1303" w:rsidR="003B1303">
        <w:rPr>
          <w:lang w:val="fr-FR"/>
        </w:rPr>
        <w:t>’</w:t>
      </w:r>
      <w:r w:rsidRPr="003B1303">
        <w:rPr>
          <w:lang w:val="fr-FR"/>
        </w:rPr>
        <w:t>arrêt alors que, conformément au règlement du barreau relatif à l</w:t>
      </w:r>
      <w:r w:rsidRPr="003B1303" w:rsidR="003B1303">
        <w:rPr>
          <w:lang w:val="fr-FR"/>
        </w:rPr>
        <w:t>’</w:t>
      </w:r>
      <w:r w:rsidRPr="003B1303">
        <w:rPr>
          <w:lang w:val="fr-FR"/>
        </w:rPr>
        <w:t>octroi de l</w:t>
      </w:r>
      <w:r w:rsidRPr="003B1303" w:rsidR="003B1303">
        <w:rPr>
          <w:lang w:val="fr-FR"/>
        </w:rPr>
        <w:t>’</w:t>
      </w:r>
      <w:r w:rsidRPr="003B1303">
        <w:rPr>
          <w:lang w:val="fr-FR"/>
        </w:rPr>
        <w:t>assistance juridique gratuite, une telle demande ne pouvait être adressée et acceptée que par un coordinateur du barreau. Le conseil disciplinaire indiqua que l</w:t>
      </w:r>
      <w:r w:rsidRPr="003B1303" w:rsidR="003B1303">
        <w:rPr>
          <w:lang w:val="fr-FR"/>
        </w:rPr>
        <w:t>’</w:t>
      </w:r>
      <w:r w:rsidRPr="003B1303">
        <w:rPr>
          <w:lang w:val="fr-FR"/>
        </w:rPr>
        <w:t>avocate Ku. n</w:t>
      </w:r>
      <w:r w:rsidRPr="003B1303" w:rsidR="003B1303">
        <w:rPr>
          <w:lang w:val="fr-FR"/>
        </w:rPr>
        <w:t>’</w:t>
      </w:r>
      <w:r w:rsidRPr="003B1303">
        <w:rPr>
          <w:lang w:val="fr-FR"/>
        </w:rPr>
        <w:t>avait signé le mandat de représentation juridique du premier requérant qu</w:t>
      </w:r>
      <w:r w:rsidRPr="003B1303" w:rsidR="003B1303">
        <w:rPr>
          <w:lang w:val="fr-FR"/>
        </w:rPr>
        <w:t>’</w:t>
      </w:r>
      <w:r w:rsidRPr="003B1303">
        <w:rPr>
          <w:lang w:val="fr-FR"/>
        </w:rPr>
        <w:t>une fois à l</w:t>
      </w:r>
      <w:r w:rsidRPr="003B1303" w:rsidR="003B1303">
        <w:rPr>
          <w:lang w:val="fr-FR"/>
        </w:rPr>
        <w:t>’</w:t>
      </w:r>
      <w:r w:rsidRPr="003B1303">
        <w:rPr>
          <w:lang w:val="fr-FR"/>
        </w:rPr>
        <w:t>intérieur du bâtiment de la maison d</w:t>
      </w:r>
      <w:r w:rsidRPr="003B1303" w:rsidR="003B1303">
        <w:rPr>
          <w:lang w:val="fr-FR"/>
        </w:rPr>
        <w:t>’</w:t>
      </w:r>
      <w:r w:rsidRPr="003B1303">
        <w:rPr>
          <w:lang w:val="fr-FR"/>
        </w:rPr>
        <w:t>arrêt alors que, conformément au point 155 du règlement intérieur des maisons d</w:t>
      </w:r>
      <w:r w:rsidRPr="003B1303" w:rsidR="003B1303">
        <w:rPr>
          <w:lang w:val="fr-FR"/>
        </w:rPr>
        <w:t>’</w:t>
      </w:r>
      <w:r w:rsidRPr="003B1303">
        <w:rPr>
          <w:lang w:val="fr-FR"/>
        </w:rPr>
        <w:t>arrêt (adopté par l</w:t>
      </w:r>
      <w:r w:rsidRPr="003B1303" w:rsidR="003B1303">
        <w:rPr>
          <w:lang w:val="fr-FR"/>
        </w:rPr>
        <w:t>’</w:t>
      </w:r>
      <w:r w:rsidRPr="003B1303">
        <w:rPr>
          <w:lang w:val="fr-FR"/>
        </w:rPr>
        <w:t>arrêté n</w:t>
      </w:r>
      <w:r w:rsidRPr="003B1303">
        <w:rPr>
          <w:vertAlign w:val="superscript"/>
          <w:lang w:val="fr-FR"/>
        </w:rPr>
        <w:t>o </w:t>
      </w:r>
      <w:r w:rsidRPr="003B1303">
        <w:rPr>
          <w:lang w:val="fr-FR"/>
        </w:rPr>
        <w:t>189 du 14 octobre 2005 du ministère de la Justice), un avocat ne peut être autorisé à entrer dans la maison d</w:t>
      </w:r>
      <w:r w:rsidRPr="003B1303" w:rsidR="003B1303">
        <w:rPr>
          <w:lang w:val="fr-FR"/>
        </w:rPr>
        <w:t>’</w:t>
      </w:r>
      <w:r w:rsidRPr="003B1303">
        <w:rPr>
          <w:lang w:val="fr-FR"/>
        </w:rPr>
        <w:t>arrêt pour rencontrer son client que sur présentation d</w:t>
      </w:r>
      <w:r w:rsidRPr="003B1303" w:rsidR="003B1303">
        <w:rPr>
          <w:lang w:val="fr-FR"/>
        </w:rPr>
        <w:t>’</w:t>
      </w:r>
      <w:r w:rsidRPr="003B1303">
        <w:rPr>
          <w:lang w:val="fr-FR"/>
        </w:rPr>
        <w:t>un mandat de représentation dûment signé. Le conseil disciplinaire estima que ces éléments permettaient de conclure que l</w:t>
      </w:r>
      <w:r w:rsidRPr="003B1303" w:rsidR="003B1303">
        <w:rPr>
          <w:lang w:val="fr-FR"/>
        </w:rPr>
        <w:t>’</w:t>
      </w:r>
      <w:r w:rsidRPr="003B1303">
        <w:rPr>
          <w:lang w:val="fr-FR"/>
        </w:rPr>
        <w:t xml:space="preserve">avocate Ku. </w:t>
      </w:r>
      <w:proofErr w:type="gramStart"/>
      <w:r w:rsidRPr="003B1303">
        <w:rPr>
          <w:lang w:val="fr-FR"/>
        </w:rPr>
        <w:t>avait</w:t>
      </w:r>
      <w:proofErr w:type="gramEnd"/>
      <w:r w:rsidRPr="003B1303">
        <w:rPr>
          <w:lang w:val="fr-FR"/>
        </w:rPr>
        <w:t xml:space="preserve"> imposé sa représentation au premier requérant en raison de ses relations personnelles avec l</w:t>
      </w:r>
      <w:r w:rsidRPr="003B1303" w:rsidR="003B1303">
        <w:rPr>
          <w:lang w:val="fr-FR"/>
        </w:rPr>
        <w:t>’</w:t>
      </w:r>
      <w:r w:rsidRPr="003B1303">
        <w:rPr>
          <w:lang w:val="fr-FR"/>
        </w:rPr>
        <w:t>enquêteur B., ce qui était contraire à l</w:t>
      </w:r>
      <w:r w:rsidRPr="003B1303" w:rsidR="003B1303">
        <w:rPr>
          <w:lang w:val="fr-FR"/>
        </w:rPr>
        <w:t>’</w:t>
      </w:r>
      <w:r w:rsidRPr="003B1303">
        <w:rPr>
          <w:lang w:val="fr-FR"/>
        </w:rPr>
        <w:t>article 7 § 1 alinéa 4 de la loi sur l</w:t>
      </w:r>
      <w:r w:rsidRPr="003B1303" w:rsidR="003B1303">
        <w:rPr>
          <w:lang w:val="fr-FR"/>
        </w:rPr>
        <w:t>’</w:t>
      </w:r>
      <w:r w:rsidRPr="003B1303">
        <w:rPr>
          <w:lang w:val="fr-FR"/>
        </w:rPr>
        <w:t>exercice de la profession d</w:t>
      </w:r>
      <w:r w:rsidRPr="003B1303" w:rsidR="003B1303">
        <w:rPr>
          <w:lang w:val="fr-FR"/>
        </w:rPr>
        <w:t>’</w:t>
      </w:r>
      <w:r w:rsidRPr="003B1303">
        <w:rPr>
          <w:lang w:val="fr-FR"/>
        </w:rPr>
        <w:t>avocat et à l</w:t>
      </w:r>
      <w:r w:rsidRPr="003B1303" w:rsidR="003B1303">
        <w:rPr>
          <w:lang w:val="fr-FR"/>
        </w:rPr>
        <w:t>’</w:t>
      </w:r>
      <w:r w:rsidRPr="003B1303">
        <w:rPr>
          <w:lang w:val="fr-FR"/>
        </w:rPr>
        <w:t>article 9 du code de déontologie de l</w:t>
      </w:r>
      <w:r w:rsidRPr="003B1303" w:rsidR="003B1303">
        <w:rPr>
          <w:lang w:val="fr-FR"/>
        </w:rPr>
        <w:t>’</w:t>
      </w:r>
      <w:r w:rsidRPr="003B1303">
        <w:rPr>
          <w:lang w:val="fr-FR"/>
        </w:rPr>
        <w:t>avocat.</w:t>
      </w:r>
    </w:p>
    <w:bookmarkStart w:name="consdis4" w:id="21"/>
    <w:p w:rsidRPr="003B1303" w:rsidR="00A644BB" w:rsidP="003B1303" w:rsidRDefault="00A644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33</w:t>
      </w:r>
      <w:r w:rsidRPr="003B1303">
        <w:rPr>
          <w:lang w:val="fr-FR"/>
        </w:rPr>
        <w:fldChar w:fldCharType="end"/>
      </w:r>
      <w:bookmarkEnd w:id="21"/>
      <w:r w:rsidRPr="003B1303">
        <w:rPr>
          <w:lang w:val="fr-FR"/>
        </w:rPr>
        <w:t>.  S</w:t>
      </w:r>
      <w:r w:rsidRPr="003B1303" w:rsidR="003B1303">
        <w:rPr>
          <w:lang w:val="fr-FR"/>
        </w:rPr>
        <w:t>’</w:t>
      </w:r>
      <w:r w:rsidRPr="003B1303">
        <w:rPr>
          <w:lang w:val="fr-FR"/>
        </w:rPr>
        <w:t>agissant du déroulement de l</w:t>
      </w:r>
      <w:r w:rsidRPr="003B1303" w:rsidR="003B1303">
        <w:rPr>
          <w:lang w:val="fr-FR"/>
        </w:rPr>
        <w:t>’</w:t>
      </w:r>
      <w:r w:rsidRPr="003B1303">
        <w:rPr>
          <w:lang w:val="fr-FR"/>
        </w:rPr>
        <w:t xml:space="preserve">interrogatoire du 15 avril 2008, le conseil disciplinaire établit que Ku. </w:t>
      </w:r>
      <w:proofErr w:type="gramStart"/>
      <w:r w:rsidRPr="003B1303">
        <w:rPr>
          <w:lang w:val="fr-FR"/>
        </w:rPr>
        <w:t>n</w:t>
      </w:r>
      <w:r w:rsidRPr="003B1303" w:rsidR="003B1303">
        <w:rPr>
          <w:lang w:val="fr-FR"/>
        </w:rPr>
        <w:t>’</w:t>
      </w:r>
      <w:r w:rsidRPr="003B1303">
        <w:rPr>
          <w:lang w:val="fr-FR"/>
        </w:rPr>
        <w:t>avait</w:t>
      </w:r>
      <w:proofErr w:type="gramEnd"/>
      <w:r w:rsidRPr="003B1303">
        <w:rPr>
          <w:lang w:val="fr-FR"/>
        </w:rPr>
        <w:t xml:space="preserve"> fourni aucune assistance juridique au premier requérant et qu</w:t>
      </w:r>
      <w:r w:rsidRPr="003B1303" w:rsidR="003B1303">
        <w:rPr>
          <w:lang w:val="fr-FR"/>
        </w:rPr>
        <w:t>’</w:t>
      </w:r>
      <w:r w:rsidRPr="003B1303">
        <w:rPr>
          <w:lang w:val="fr-FR"/>
        </w:rPr>
        <w:t>elle n</w:t>
      </w:r>
      <w:r w:rsidRPr="003B1303" w:rsidR="003B1303">
        <w:rPr>
          <w:lang w:val="fr-FR"/>
        </w:rPr>
        <w:t>’</w:t>
      </w:r>
      <w:r w:rsidRPr="003B1303">
        <w:rPr>
          <w:lang w:val="fr-FR"/>
        </w:rPr>
        <w:t>avait pas signé le procès-verbal dudit interrogatoire immédiatement après son établissement, contrairement aux exigences de l</w:t>
      </w:r>
      <w:r w:rsidRPr="003B1303" w:rsidR="003B1303">
        <w:rPr>
          <w:lang w:val="fr-FR"/>
        </w:rPr>
        <w:t>’</w:t>
      </w:r>
      <w:r w:rsidRPr="003B1303">
        <w:rPr>
          <w:lang w:val="fr-FR"/>
        </w:rPr>
        <w:t xml:space="preserve">article 166 §§ 1 et 6 du CPP. Il indiqua que Ku., tout en sachant que le premier requérant avait désigné des avocates de son choix, </w:t>
      </w:r>
      <w:proofErr w:type="spellStart"/>
      <w:r w:rsidRPr="003B1303">
        <w:rPr>
          <w:lang w:val="fr-FR"/>
        </w:rPr>
        <w:t>Ye</w:t>
      </w:r>
      <w:proofErr w:type="spellEnd"/>
      <w:r w:rsidRPr="003B1303">
        <w:rPr>
          <w:lang w:val="fr-FR"/>
        </w:rPr>
        <w:t xml:space="preserve">. </w:t>
      </w:r>
      <w:proofErr w:type="gramStart"/>
      <w:r w:rsidRPr="003B1303">
        <w:rPr>
          <w:lang w:val="fr-FR"/>
        </w:rPr>
        <w:t>et</w:t>
      </w:r>
      <w:proofErr w:type="gramEnd"/>
      <w:r w:rsidRPr="003B1303">
        <w:rPr>
          <w:lang w:val="fr-FR"/>
        </w:rPr>
        <w:t xml:space="preserve"> Ch., s</w:t>
      </w:r>
      <w:r w:rsidRPr="003B1303" w:rsidR="003B1303">
        <w:rPr>
          <w:lang w:val="fr-FR"/>
        </w:rPr>
        <w:t>’</w:t>
      </w:r>
      <w:r w:rsidRPr="003B1303">
        <w:rPr>
          <w:lang w:val="fr-FR"/>
        </w:rPr>
        <w:t>était immiscée dans la représentation juridique de l</w:t>
      </w:r>
      <w:r w:rsidRPr="003B1303" w:rsidR="003B1303">
        <w:rPr>
          <w:lang w:val="fr-FR"/>
        </w:rPr>
        <w:t>’</w:t>
      </w:r>
      <w:r w:rsidRPr="003B1303">
        <w:rPr>
          <w:lang w:val="fr-FR"/>
        </w:rPr>
        <w:t>intéressé assurée par ces dernières, et avait contribué à formaliser les déclarations auto-incriminantes de celui-ci lors de l</w:t>
      </w:r>
      <w:r w:rsidRPr="003B1303" w:rsidR="003B1303">
        <w:rPr>
          <w:lang w:val="fr-FR"/>
        </w:rPr>
        <w:t>’</w:t>
      </w:r>
      <w:r w:rsidRPr="003B1303">
        <w:rPr>
          <w:lang w:val="fr-FR"/>
        </w:rPr>
        <w:t>interrogatoire du 15 avril 2008, ce qui avait nui à sa défense.</w:t>
      </w:r>
    </w:p>
    <w:p w:rsidRPr="003B1303" w:rsidR="00BE4C83" w:rsidP="003B1303" w:rsidRDefault="00A644BB">
      <w:pPr>
        <w:pStyle w:val="ECHRHeading4"/>
        <w:rPr>
          <w:lang w:val="fr-FR"/>
        </w:rPr>
      </w:pPr>
      <w:r w:rsidRPr="003B1303">
        <w:rPr>
          <w:lang w:val="fr-FR"/>
        </w:rPr>
        <w:t>e</w:t>
      </w:r>
      <w:r w:rsidRPr="003B1303" w:rsidR="00DD6941">
        <w:rPr>
          <w:lang w:val="fr-FR"/>
        </w:rPr>
        <w:t>)</w:t>
      </w:r>
      <w:r w:rsidRPr="003B1303" w:rsidR="001B4719">
        <w:rPr>
          <w:lang w:val="fr-FR"/>
        </w:rPr>
        <w:t>  </w:t>
      </w:r>
      <w:r w:rsidRPr="003B1303" w:rsidR="00C044E0">
        <w:rPr>
          <w:lang w:val="fr-FR"/>
        </w:rPr>
        <w:t>Le placement et le maintien du premier re</w:t>
      </w:r>
      <w:r w:rsidRPr="003B1303" w:rsidR="0084206D">
        <w:rPr>
          <w:lang w:val="fr-FR"/>
        </w:rPr>
        <w:t>quérant en détention provisoire</w:t>
      </w:r>
    </w:p>
    <w:bookmarkStart w:name="decdet11av" w:id="22"/>
    <w:p w:rsidRPr="003B1303" w:rsidR="00BE4C83"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34</w:t>
      </w:r>
      <w:r w:rsidRPr="003B1303">
        <w:rPr>
          <w:lang w:val="fr-FR"/>
        </w:rPr>
        <w:fldChar w:fldCharType="end"/>
      </w:r>
      <w:bookmarkEnd w:id="22"/>
      <w:r w:rsidRPr="003B1303">
        <w:rPr>
          <w:lang w:val="fr-FR"/>
        </w:rPr>
        <w:t>.  Par une décision du 11 avril 2008, le tribunal du district Oktiabrski de la ville d</w:t>
      </w:r>
      <w:r w:rsidRPr="003B1303" w:rsidR="003B1303">
        <w:rPr>
          <w:lang w:val="fr-FR"/>
        </w:rPr>
        <w:t>’</w:t>
      </w:r>
      <w:r w:rsidRPr="003B1303">
        <w:rPr>
          <w:lang w:val="fr-FR"/>
        </w:rPr>
        <w:t xml:space="preserve">Irkoutsk autorisa le placement du </w:t>
      </w:r>
      <w:r w:rsidRPr="003B1303" w:rsidR="00FC5363">
        <w:rPr>
          <w:lang w:val="fr-FR"/>
        </w:rPr>
        <w:t xml:space="preserve">premier </w:t>
      </w:r>
      <w:r w:rsidRPr="003B1303">
        <w:rPr>
          <w:lang w:val="fr-FR"/>
        </w:rPr>
        <w:t>requérant en détention provisoire au motif que l</w:t>
      </w:r>
      <w:r w:rsidRPr="003B1303" w:rsidR="003B1303">
        <w:rPr>
          <w:lang w:val="fr-FR"/>
        </w:rPr>
        <w:t>’</w:t>
      </w:r>
      <w:r w:rsidRPr="003B1303">
        <w:rPr>
          <w:lang w:val="fr-FR"/>
        </w:rPr>
        <w:t>intéressé était accusé d</w:t>
      </w:r>
      <w:r w:rsidRPr="003B1303" w:rsidR="003B1303">
        <w:rPr>
          <w:lang w:val="fr-FR"/>
        </w:rPr>
        <w:t>’</w:t>
      </w:r>
      <w:r w:rsidRPr="003B1303">
        <w:rPr>
          <w:lang w:val="fr-FR"/>
        </w:rPr>
        <w:t>une infraction particulièrement grave et qu</w:t>
      </w:r>
      <w:r w:rsidRPr="003B1303" w:rsidR="003B1303">
        <w:rPr>
          <w:lang w:val="fr-FR"/>
        </w:rPr>
        <w:t>’</w:t>
      </w:r>
      <w:r w:rsidRPr="003B1303">
        <w:rPr>
          <w:lang w:val="fr-FR"/>
        </w:rPr>
        <w:t>il pouvait, en tant qu</w:t>
      </w:r>
      <w:r w:rsidRPr="003B1303" w:rsidR="003B1303">
        <w:rPr>
          <w:lang w:val="fr-FR"/>
        </w:rPr>
        <w:t>’</w:t>
      </w:r>
      <w:r w:rsidRPr="003B1303">
        <w:rPr>
          <w:lang w:val="fr-FR"/>
        </w:rPr>
        <w:t xml:space="preserve">ancien membre de la police, entraver le cours de la justice en exerçant des pressions sur les témoins ou sur les autres participants à la procédure pénale. Le tribunal se référa à cet égard à des dépositions </w:t>
      </w:r>
      <w:proofErr w:type="gramStart"/>
      <w:r w:rsidRPr="003B1303">
        <w:rPr>
          <w:lang w:val="fr-FR"/>
        </w:rPr>
        <w:t xml:space="preserve">de </w:t>
      </w:r>
      <w:r w:rsidRPr="003B1303" w:rsidR="00037C1C">
        <w:rPr>
          <w:lang w:val="fr-FR"/>
        </w:rPr>
        <w:t>A</w:t>
      </w:r>
      <w:proofErr w:type="gramEnd"/>
      <w:r w:rsidRPr="003B1303" w:rsidR="00037C1C">
        <w:rPr>
          <w:lang w:val="fr-FR"/>
        </w:rPr>
        <w:t>. </w:t>
      </w:r>
      <w:proofErr w:type="spellStart"/>
      <w:r w:rsidRPr="003B1303">
        <w:rPr>
          <w:lang w:val="fr-FR"/>
        </w:rPr>
        <w:t>K</w:t>
      </w:r>
      <w:r w:rsidRPr="003B1303" w:rsidR="00037C1C">
        <w:rPr>
          <w:lang w:val="fr-FR"/>
        </w:rPr>
        <w:t>ur</w:t>
      </w:r>
      <w:proofErr w:type="spellEnd"/>
      <w:r w:rsidRPr="003B1303">
        <w:rPr>
          <w:lang w:val="fr-FR"/>
        </w:rPr>
        <w:t>., également mis en examen dans le cadre de l</w:t>
      </w:r>
      <w:r w:rsidRPr="003B1303" w:rsidR="003B1303">
        <w:rPr>
          <w:lang w:val="fr-FR"/>
        </w:rPr>
        <w:t>’</w:t>
      </w:r>
      <w:r w:rsidRPr="003B1303">
        <w:rPr>
          <w:lang w:val="fr-FR"/>
        </w:rPr>
        <w:t>affaire pénale n</w:t>
      </w:r>
      <w:r w:rsidRPr="003B1303">
        <w:rPr>
          <w:vertAlign w:val="superscript"/>
          <w:lang w:val="fr-FR"/>
        </w:rPr>
        <w:t>o</w:t>
      </w:r>
      <w:r w:rsidRPr="003B1303">
        <w:rPr>
          <w:lang w:val="fr-FR"/>
        </w:rPr>
        <w:t xml:space="preserve"> 16029, </w:t>
      </w:r>
      <w:r w:rsidRPr="003B1303" w:rsidR="00FC5363">
        <w:rPr>
          <w:lang w:val="fr-FR"/>
        </w:rPr>
        <w:t>selon lesquelles il avait</w:t>
      </w:r>
      <w:r w:rsidRPr="003B1303">
        <w:rPr>
          <w:lang w:val="fr-FR"/>
        </w:rPr>
        <w:t xml:space="preserve"> peur pour sa vie et celle de sa famille. Le </w:t>
      </w:r>
      <w:r w:rsidRPr="003B1303" w:rsidR="00FC5363">
        <w:rPr>
          <w:lang w:val="fr-FR"/>
        </w:rPr>
        <w:t xml:space="preserve">premier </w:t>
      </w:r>
      <w:r w:rsidRPr="003B1303">
        <w:rPr>
          <w:lang w:val="fr-FR"/>
        </w:rPr>
        <w:t>requérant</w:t>
      </w:r>
      <w:r w:rsidRPr="003B1303" w:rsidR="00FC5363">
        <w:rPr>
          <w:lang w:val="fr-FR"/>
        </w:rPr>
        <w:t xml:space="preserve">, </w:t>
      </w:r>
      <w:r w:rsidRPr="003B1303">
        <w:rPr>
          <w:lang w:val="fr-FR"/>
        </w:rPr>
        <w:t>assisté par l</w:t>
      </w:r>
      <w:r w:rsidRPr="003B1303" w:rsidR="003B1303">
        <w:rPr>
          <w:lang w:val="fr-FR"/>
        </w:rPr>
        <w:t>’</w:t>
      </w:r>
      <w:r w:rsidRPr="003B1303">
        <w:rPr>
          <w:lang w:val="fr-FR"/>
        </w:rPr>
        <w:t xml:space="preserve">avocate </w:t>
      </w:r>
      <w:proofErr w:type="spellStart"/>
      <w:r w:rsidRPr="003B1303">
        <w:rPr>
          <w:lang w:val="fr-FR"/>
        </w:rPr>
        <w:t>Ye</w:t>
      </w:r>
      <w:proofErr w:type="spellEnd"/>
      <w:r w:rsidRPr="003B1303">
        <w:rPr>
          <w:lang w:val="fr-FR"/>
        </w:rPr>
        <w:t>., notifia au tribunal la révocation de l</w:t>
      </w:r>
      <w:r w:rsidRPr="003B1303" w:rsidR="003B1303">
        <w:rPr>
          <w:lang w:val="fr-FR"/>
        </w:rPr>
        <w:t>’</w:t>
      </w:r>
      <w:r w:rsidRPr="003B1303">
        <w:rPr>
          <w:lang w:val="fr-FR"/>
        </w:rPr>
        <w:t>avocate P. et son intention de la remplacer par l</w:t>
      </w:r>
      <w:r w:rsidRPr="003B1303" w:rsidR="003B1303">
        <w:rPr>
          <w:lang w:val="fr-FR"/>
        </w:rPr>
        <w:t>’</w:t>
      </w:r>
      <w:r w:rsidRPr="003B1303">
        <w:rPr>
          <w:lang w:val="fr-FR"/>
        </w:rPr>
        <w:t>avocate Ch.</w:t>
      </w:r>
    </w:p>
    <w:p w:rsidRPr="003B1303" w:rsidR="00EF2A0C"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35</w:t>
      </w:r>
      <w:r w:rsidRPr="003B1303">
        <w:rPr>
          <w:lang w:val="fr-FR"/>
        </w:rPr>
        <w:fldChar w:fldCharType="end"/>
      </w:r>
      <w:r w:rsidRPr="003B1303">
        <w:rPr>
          <w:lang w:val="fr-FR"/>
        </w:rPr>
        <w:t>.  Le 5 mai 2008, la cour régionale rejeta l</w:t>
      </w:r>
      <w:r w:rsidRPr="003B1303" w:rsidR="003B1303">
        <w:rPr>
          <w:lang w:val="fr-FR"/>
        </w:rPr>
        <w:t>’</w:t>
      </w:r>
      <w:r w:rsidRPr="003B1303">
        <w:rPr>
          <w:lang w:val="fr-FR"/>
        </w:rPr>
        <w:t xml:space="preserve">appel du requérant </w:t>
      </w:r>
      <w:r w:rsidRPr="003B1303" w:rsidR="00FC5363">
        <w:rPr>
          <w:lang w:val="fr-FR"/>
        </w:rPr>
        <w:t xml:space="preserve">formé </w:t>
      </w:r>
      <w:r w:rsidRPr="003B1303">
        <w:rPr>
          <w:lang w:val="fr-FR"/>
        </w:rPr>
        <w:t>contre la décision du 11 avril 2008.</w:t>
      </w:r>
    </w:p>
    <w:p w:rsidRPr="003B1303" w:rsidR="00E33981" w:rsidP="003B1303" w:rsidRDefault="00EF2A0C">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36</w:t>
      </w:r>
      <w:r w:rsidRPr="003B1303">
        <w:rPr>
          <w:lang w:val="fr-FR"/>
        </w:rPr>
        <w:fldChar w:fldCharType="end"/>
      </w:r>
      <w:r w:rsidRPr="003B1303">
        <w:rPr>
          <w:lang w:val="fr-FR"/>
        </w:rPr>
        <w:t>.  </w:t>
      </w:r>
      <w:r w:rsidRPr="003B1303" w:rsidR="0084206D">
        <w:rPr>
          <w:lang w:val="fr-FR"/>
        </w:rPr>
        <w:t xml:space="preserve">La détention provisoire du </w:t>
      </w:r>
      <w:r w:rsidRPr="003B1303" w:rsidR="00FC5363">
        <w:rPr>
          <w:lang w:val="fr-FR"/>
        </w:rPr>
        <w:t xml:space="preserve">premier </w:t>
      </w:r>
      <w:r w:rsidRPr="003B1303" w:rsidR="0084206D">
        <w:rPr>
          <w:lang w:val="fr-FR"/>
        </w:rPr>
        <w:t xml:space="preserve">requérant fut ultérieurement prolongée par des décisions de justice des 4 juin, 26 août et 24 décembre 2008 et 26 février, </w:t>
      </w:r>
      <w:r w:rsidRPr="003B1303" w:rsidR="00E86D88">
        <w:rPr>
          <w:lang w:val="fr-FR"/>
        </w:rPr>
        <w:t xml:space="preserve">9 avril, </w:t>
      </w:r>
      <w:r w:rsidRPr="003B1303" w:rsidR="0084206D">
        <w:rPr>
          <w:lang w:val="fr-FR"/>
        </w:rPr>
        <w:t xml:space="preserve">26 juin et 7 octobre 2009. </w:t>
      </w:r>
      <w:r w:rsidRPr="003B1303">
        <w:rPr>
          <w:lang w:val="fr-FR"/>
        </w:rPr>
        <w:t xml:space="preserve">Toutes ces décisions justifièrent la nécessité du maintien en détention du </w:t>
      </w:r>
      <w:r w:rsidRPr="003B1303" w:rsidR="00FC5363">
        <w:rPr>
          <w:lang w:val="fr-FR"/>
        </w:rPr>
        <w:t xml:space="preserve">premier </w:t>
      </w:r>
      <w:r w:rsidRPr="003B1303">
        <w:rPr>
          <w:lang w:val="fr-FR"/>
        </w:rPr>
        <w:t xml:space="preserve">requérant essentiellement par la gravité des charges portées contre </w:t>
      </w:r>
      <w:r w:rsidRPr="003B1303" w:rsidR="0008242B">
        <w:rPr>
          <w:lang w:val="fr-FR"/>
        </w:rPr>
        <w:t>lui</w:t>
      </w:r>
      <w:r w:rsidRPr="003B1303" w:rsidR="00AA5216">
        <w:rPr>
          <w:lang w:val="fr-FR"/>
        </w:rPr>
        <w:t xml:space="preserve"> ainsi que </w:t>
      </w:r>
      <w:r w:rsidRPr="003B1303" w:rsidR="00F05C73">
        <w:rPr>
          <w:lang w:val="fr-FR"/>
        </w:rPr>
        <w:t>par les besoins des autorités d</w:t>
      </w:r>
      <w:r w:rsidRPr="003B1303" w:rsidR="003B1303">
        <w:rPr>
          <w:lang w:val="fr-FR"/>
        </w:rPr>
        <w:t>’</w:t>
      </w:r>
      <w:r w:rsidRPr="003B1303" w:rsidR="00F05C73">
        <w:rPr>
          <w:lang w:val="fr-FR"/>
        </w:rPr>
        <w:t>enquête d</w:t>
      </w:r>
      <w:r w:rsidRPr="003B1303" w:rsidR="003B1303">
        <w:rPr>
          <w:lang w:val="fr-FR"/>
        </w:rPr>
        <w:t>’</w:t>
      </w:r>
      <w:r w:rsidRPr="003B1303" w:rsidR="00F05C73">
        <w:rPr>
          <w:lang w:val="fr-FR"/>
        </w:rPr>
        <w:t>accomplir certains actes d</w:t>
      </w:r>
      <w:r w:rsidRPr="003B1303" w:rsidR="003B1303">
        <w:rPr>
          <w:lang w:val="fr-FR"/>
        </w:rPr>
        <w:t>’</w:t>
      </w:r>
      <w:r w:rsidRPr="003B1303" w:rsidR="00F05C73">
        <w:rPr>
          <w:lang w:val="fr-FR"/>
        </w:rPr>
        <w:t>instruction</w:t>
      </w:r>
      <w:r w:rsidRPr="003B1303" w:rsidR="00E33981">
        <w:rPr>
          <w:lang w:val="fr-FR"/>
        </w:rPr>
        <w:t>.</w:t>
      </w:r>
    </w:p>
    <w:bookmarkStart w:name="appdec26j" w:id="23"/>
    <w:p w:rsidRPr="003B1303" w:rsidR="00BE4C83" w:rsidP="003B1303" w:rsidRDefault="00F05C7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37</w:t>
      </w:r>
      <w:r w:rsidRPr="003B1303">
        <w:rPr>
          <w:lang w:val="fr-FR"/>
        </w:rPr>
        <w:fldChar w:fldCharType="end"/>
      </w:r>
      <w:bookmarkEnd w:id="23"/>
      <w:r w:rsidRPr="003B1303">
        <w:rPr>
          <w:lang w:val="fr-FR"/>
        </w:rPr>
        <w:t>.  </w:t>
      </w:r>
      <w:r w:rsidRPr="003B1303" w:rsidR="0084206D">
        <w:rPr>
          <w:lang w:val="fr-FR"/>
        </w:rPr>
        <w:t>L</w:t>
      </w:r>
      <w:r w:rsidRPr="003B1303" w:rsidR="003B1303">
        <w:rPr>
          <w:lang w:val="fr-FR"/>
        </w:rPr>
        <w:t>’</w:t>
      </w:r>
      <w:r w:rsidRPr="003B1303" w:rsidR="0084206D">
        <w:rPr>
          <w:lang w:val="fr-FR"/>
        </w:rPr>
        <w:t xml:space="preserve">appel formé par le </w:t>
      </w:r>
      <w:r w:rsidRPr="003B1303" w:rsidR="00FC5363">
        <w:rPr>
          <w:lang w:val="fr-FR"/>
        </w:rPr>
        <w:t xml:space="preserve">premier </w:t>
      </w:r>
      <w:r w:rsidRPr="003B1303" w:rsidR="0084206D">
        <w:rPr>
          <w:lang w:val="fr-FR"/>
        </w:rPr>
        <w:t>requérant contre la décision du 26 juin 2009 fut rejeté le 6 octobre 2009.</w:t>
      </w:r>
    </w:p>
    <w:p w:rsidRPr="003B1303" w:rsidR="00BE4C83"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38</w:t>
      </w:r>
      <w:r w:rsidRPr="003B1303">
        <w:rPr>
          <w:lang w:val="fr-FR"/>
        </w:rPr>
        <w:fldChar w:fldCharType="end"/>
      </w:r>
      <w:r w:rsidRPr="003B1303">
        <w:rPr>
          <w:lang w:val="fr-FR"/>
        </w:rPr>
        <w:t>.  Par une décision du 30 octobre 2009, la cour régionale prolongea la détention du</w:t>
      </w:r>
      <w:r w:rsidRPr="003B1303" w:rsidR="0080497B">
        <w:rPr>
          <w:lang w:val="fr-FR"/>
        </w:rPr>
        <w:t xml:space="preserve"> premier</w:t>
      </w:r>
      <w:r w:rsidRPr="003B1303">
        <w:rPr>
          <w:lang w:val="fr-FR"/>
        </w:rPr>
        <w:t xml:space="preserve"> requérant jusqu</w:t>
      </w:r>
      <w:r w:rsidRPr="003B1303" w:rsidR="003B1303">
        <w:rPr>
          <w:lang w:val="fr-FR"/>
        </w:rPr>
        <w:t>’</w:t>
      </w:r>
      <w:r w:rsidRPr="003B1303">
        <w:rPr>
          <w:lang w:val="fr-FR"/>
        </w:rPr>
        <w:t>au 2 janvier 2010.</w:t>
      </w:r>
    </w:p>
    <w:p w:rsidRPr="003B1303" w:rsidR="00BE4C83" w:rsidP="003B1303" w:rsidRDefault="004348EE">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39</w:t>
      </w:r>
      <w:r w:rsidRPr="003B1303">
        <w:rPr>
          <w:lang w:val="fr-FR"/>
        </w:rPr>
        <w:fldChar w:fldCharType="end"/>
      </w:r>
      <w:r w:rsidRPr="003B1303">
        <w:rPr>
          <w:lang w:val="fr-FR"/>
        </w:rPr>
        <w:t>.  Le 18 décembre 2009, l</w:t>
      </w:r>
      <w:r w:rsidRPr="003B1303" w:rsidR="003B1303">
        <w:rPr>
          <w:lang w:val="fr-FR"/>
        </w:rPr>
        <w:t>’</w:t>
      </w:r>
      <w:r w:rsidRPr="003B1303">
        <w:rPr>
          <w:lang w:val="fr-FR"/>
        </w:rPr>
        <w:t xml:space="preserve">affaire pénale </w:t>
      </w:r>
      <w:r w:rsidRPr="003B1303" w:rsidR="00B04EAB">
        <w:rPr>
          <w:lang w:val="fr-FR"/>
        </w:rPr>
        <w:t>fut renvoyée à la cour régionale pour examen</w:t>
      </w:r>
      <w:r w:rsidRPr="003B1303" w:rsidR="00F22746">
        <w:rPr>
          <w:lang w:val="fr-FR"/>
        </w:rPr>
        <w:t xml:space="preserve"> au fond</w:t>
      </w:r>
      <w:r w:rsidRPr="003B1303" w:rsidR="00B04EAB">
        <w:rPr>
          <w:lang w:val="fr-FR"/>
        </w:rPr>
        <w:t>.</w:t>
      </w:r>
    </w:p>
    <w:bookmarkStart w:name="decdet31d" w:id="24"/>
    <w:p w:rsidRPr="003B1303" w:rsidR="0084206D"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40</w:t>
      </w:r>
      <w:r w:rsidRPr="003B1303">
        <w:rPr>
          <w:lang w:val="fr-FR"/>
        </w:rPr>
        <w:fldChar w:fldCharType="end"/>
      </w:r>
      <w:bookmarkEnd w:id="24"/>
      <w:r w:rsidRPr="003B1303">
        <w:rPr>
          <w:lang w:val="fr-FR"/>
        </w:rPr>
        <w:t>.  Le 31 décembre 2009, la cour régionale renvoya l</w:t>
      </w:r>
      <w:r w:rsidRPr="003B1303" w:rsidR="003B1303">
        <w:rPr>
          <w:lang w:val="fr-FR"/>
        </w:rPr>
        <w:t>’</w:t>
      </w:r>
      <w:r w:rsidRPr="003B1303">
        <w:rPr>
          <w:lang w:val="fr-FR"/>
        </w:rPr>
        <w:t xml:space="preserve">affaire pénale au procureur pour défaut de procédure et prolongea en même temps la détention provisoire du </w:t>
      </w:r>
      <w:r w:rsidRPr="003B1303" w:rsidR="0080497B">
        <w:rPr>
          <w:lang w:val="fr-FR"/>
        </w:rPr>
        <w:t xml:space="preserve">premier </w:t>
      </w:r>
      <w:r w:rsidRPr="003B1303">
        <w:rPr>
          <w:lang w:val="fr-FR"/>
        </w:rPr>
        <w:t xml:space="preserve">requérant </w:t>
      </w:r>
      <w:r w:rsidRPr="003B1303" w:rsidR="000706AA">
        <w:rPr>
          <w:lang w:val="fr-FR"/>
        </w:rPr>
        <w:t>« </w:t>
      </w:r>
      <w:r w:rsidRPr="003B1303">
        <w:rPr>
          <w:lang w:val="fr-FR"/>
        </w:rPr>
        <w:t>pour un mois à compter de la réception du dossier par le procureur</w:t>
      </w:r>
      <w:r w:rsidRPr="003B1303" w:rsidR="000706AA">
        <w:rPr>
          <w:lang w:val="fr-FR"/>
        </w:rPr>
        <w:t> »</w:t>
      </w:r>
      <w:r w:rsidRPr="003B1303">
        <w:rPr>
          <w:lang w:val="fr-FR"/>
        </w:rPr>
        <w:t>.</w:t>
      </w:r>
    </w:p>
    <w:p w:rsidRPr="003B1303" w:rsidR="00BE4C83"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41</w:t>
      </w:r>
      <w:r w:rsidRPr="003B1303">
        <w:rPr>
          <w:lang w:val="fr-FR"/>
        </w:rPr>
        <w:fldChar w:fldCharType="end"/>
      </w:r>
      <w:r w:rsidRPr="003B1303">
        <w:rPr>
          <w:lang w:val="fr-FR"/>
        </w:rPr>
        <w:t xml:space="preserve">.  Par une lettre du 22 janvier 2010, la cour régionale informa le </w:t>
      </w:r>
      <w:r w:rsidRPr="003B1303" w:rsidR="0080497B">
        <w:rPr>
          <w:lang w:val="fr-FR"/>
        </w:rPr>
        <w:t xml:space="preserve">premier </w:t>
      </w:r>
      <w:r w:rsidRPr="003B1303">
        <w:rPr>
          <w:lang w:val="fr-FR"/>
        </w:rPr>
        <w:t>requérant qu</w:t>
      </w:r>
      <w:r w:rsidRPr="003B1303" w:rsidR="003B1303">
        <w:rPr>
          <w:lang w:val="fr-FR"/>
        </w:rPr>
        <w:t>’</w:t>
      </w:r>
      <w:r w:rsidRPr="003B1303">
        <w:rPr>
          <w:lang w:val="fr-FR"/>
        </w:rPr>
        <w:t>il n</w:t>
      </w:r>
      <w:r w:rsidRPr="003B1303" w:rsidR="003B1303">
        <w:rPr>
          <w:lang w:val="fr-FR"/>
        </w:rPr>
        <w:t>’</w:t>
      </w:r>
      <w:r w:rsidRPr="003B1303">
        <w:rPr>
          <w:lang w:val="fr-FR"/>
        </w:rPr>
        <w:t xml:space="preserve">était pas nécessaire </w:t>
      </w:r>
      <w:r w:rsidRPr="003B1303" w:rsidR="0008242B">
        <w:rPr>
          <w:lang w:val="fr-FR"/>
        </w:rPr>
        <w:t>qu</w:t>
      </w:r>
      <w:r w:rsidRPr="003B1303" w:rsidR="003B1303">
        <w:rPr>
          <w:lang w:val="fr-FR"/>
        </w:rPr>
        <w:t>’</w:t>
      </w:r>
      <w:r w:rsidRPr="003B1303" w:rsidR="0008242B">
        <w:rPr>
          <w:lang w:val="fr-FR"/>
        </w:rPr>
        <w:t xml:space="preserve">elle adoptât </w:t>
      </w:r>
      <w:r w:rsidRPr="003B1303">
        <w:rPr>
          <w:lang w:val="fr-FR"/>
        </w:rPr>
        <w:t>une décision supplémentaire sur son maintien en détention au motif que, selon l</w:t>
      </w:r>
      <w:r w:rsidRPr="003B1303" w:rsidR="003B1303">
        <w:rPr>
          <w:lang w:val="fr-FR"/>
        </w:rPr>
        <w:t>’</w:t>
      </w:r>
      <w:r w:rsidRPr="003B1303">
        <w:rPr>
          <w:lang w:val="fr-FR"/>
        </w:rPr>
        <w:t>article 255 du CPP, celle-ci était permise pendant six mois à partir de la date du renvoi de l</w:t>
      </w:r>
      <w:r w:rsidRPr="003B1303" w:rsidR="003B1303">
        <w:rPr>
          <w:lang w:val="fr-FR"/>
        </w:rPr>
        <w:t>’</w:t>
      </w:r>
      <w:r w:rsidRPr="003B1303">
        <w:rPr>
          <w:lang w:val="fr-FR"/>
        </w:rPr>
        <w:t>affaire pénale en jugement</w:t>
      </w:r>
      <w:r w:rsidRPr="003B1303" w:rsidR="004348EE">
        <w:rPr>
          <w:lang w:val="fr-FR"/>
        </w:rPr>
        <w:t xml:space="preserve">, </w:t>
      </w:r>
      <w:r w:rsidRPr="003B1303">
        <w:rPr>
          <w:lang w:val="fr-FR"/>
        </w:rPr>
        <w:t xml:space="preserve">soit </w:t>
      </w:r>
      <w:r w:rsidRPr="003B1303" w:rsidR="00F22746">
        <w:rPr>
          <w:lang w:val="fr-FR"/>
        </w:rPr>
        <w:t xml:space="preserve">du 18 décembre </w:t>
      </w:r>
      <w:r w:rsidRPr="003B1303" w:rsidR="000706AA">
        <w:rPr>
          <w:lang w:val="fr-FR"/>
        </w:rPr>
        <w:t xml:space="preserve">2009 </w:t>
      </w:r>
      <w:r w:rsidRPr="003B1303" w:rsidR="00F22746">
        <w:rPr>
          <w:lang w:val="fr-FR"/>
        </w:rPr>
        <w:t>jusqu</w:t>
      </w:r>
      <w:r w:rsidRPr="003B1303" w:rsidR="003B1303">
        <w:rPr>
          <w:lang w:val="fr-FR"/>
        </w:rPr>
        <w:t>’</w:t>
      </w:r>
      <w:r w:rsidRPr="003B1303" w:rsidR="00F22746">
        <w:rPr>
          <w:lang w:val="fr-FR"/>
        </w:rPr>
        <w:t xml:space="preserve">au </w:t>
      </w:r>
      <w:r w:rsidRPr="003B1303">
        <w:rPr>
          <w:lang w:val="fr-FR"/>
        </w:rPr>
        <w:t>18 juin 2010.</w:t>
      </w:r>
    </w:p>
    <w:bookmarkStart w:name="decdet18m" w:id="25"/>
    <w:p w:rsidRPr="003B1303" w:rsidR="00BE4C83"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42</w:t>
      </w:r>
      <w:r w:rsidRPr="003B1303">
        <w:rPr>
          <w:lang w:val="fr-FR"/>
        </w:rPr>
        <w:fldChar w:fldCharType="end"/>
      </w:r>
      <w:bookmarkEnd w:id="25"/>
      <w:r w:rsidRPr="003B1303">
        <w:rPr>
          <w:lang w:val="fr-FR"/>
        </w:rPr>
        <w:t xml:space="preserve">.  Le </w:t>
      </w:r>
      <w:r w:rsidRPr="003B1303" w:rsidR="002E766F">
        <w:rPr>
          <w:lang w:val="fr-FR"/>
        </w:rPr>
        <w:t>18</w:t>
      </w:r>
      <w:r w:rsidRPr="003B1303">
        <w:rPr>
          <w:lang w:val="fr-FR"/>
        </w:rPr>
        <w:t xml:space="preserve"> mars 2010, la Cour suprême examina l</w:t>
      </w:r>
      <w:r w:rsidRPr="003B1303" w:rsidR="003B1303">
        <w:rPr>
          <w:lang w:val="fr-FR"/>
        </w:rPr>
        <w:t>’</w:t>
      </w:r>
      <w:r w:rsidRPr="003B1303">
        <w:rPr>
          <w:lang w:val="fr-FR"/>
        </w:rPr>
        <w:t>appel du</w:t>
      </w:r>
      <w:r w:rsidRPr="003B1303" w:rsidR="0080497B">
        <w:rPr>
          <w:lang w:val="fr-FR"/>
        </w:rPr>
        <w:t xml:space="preserve"> premier</w:t>
      </w:r>
      <w:r w:rsidRPr="003B1303">
        <w:rPr>
          <w:lang w:val="fr-FR"/>
        </w:rPr>
        <w:t xml:space="preserve"> requérant contre la décision du 31 décembre 2009 et modifia celle-ci en excluant la mention de la durée d</w:t>
      </w:r>
      <w:r w:rsidRPr="003B1303" w:rsidR="003B1303">
        <w:rPr>
          <w:lang w:val="fr-FR"/>
        </w:rPr>
        <w:t>’</w:t>
      </w:r>
      <w:r w:rsidRPr="003B1303">
        <w:rPr>
          <w:lang w:val="fr-FR"/>
        </w:rPr>
        <w:t>un mois pour laquelle la détention de l</w:t>
      </w:r>
      <w:r w:rsidRPr="003B1303" w:rsidR="003B1303">
        <w:rPr>
          <w:lang w:val="fr-FR"/>
        </w:rPr>
        <w:t>’</w:t>
      </w:r>
      <w:r w:rsidRPr="003B1303">
        <w:rPr>
          <w:lang w:val="fr-FR"/>
        </w:rPr>
        <w:t>intéressé avait été prolongée</w:t>
      </w:r>
      <w:r w:rsidRPr="003B1303" w:rsidR="00043B6E">
        <w:rPr>
          <w:lang w:val="fr-FR"/>
        </w:rPr>
        <w:t xml:space="preserve">. </w:t>
      </w:r>
      <w:r w:rsidRPr="003B1303" w:rsidR="002E766F">
        <w:rPr>
          <w:lang w:val="fr-FR"/>
        </w:rPr>
        <w:t>Elle indiqua que</w:t>
      </w:r>
      <w:r w:rsidRPr="003B1303" w:rsidR="006842CD">
        <w:rPr>
          <w:lang w:val="fr-FR"/>
        </w:rPr>
        <w:t>,</w:t>
      </w:r>
      <w:r w:rsidRPr="003B1303" w:rsidR="002E766F">
        <w:rPr>
          <w:lang w:val="fr-FR"/>
        </w:rPr>
        <w:t xml:space="preserve"> lors du renvoi de l</w:t>
      </w:r>
      <w:r w:rsidRPr="003B1303" w:rsidR="003B1303">
        <w:rPr>
          <w:lang w:val="fr-FR"/>
        </w:rPr>
        <w:t>’</w:t>
      </w:r>
      <w:r w:rsidRPr="003B1303" w:rsidR="002E766F">
        <w:rPr>
          <w:lang w:val="fr-FR"/>
        </w:rPr>
        <w:t>affaire pénale au procureur pour défaut de procédure</w:t>
      </w:r>
      <w:r w:rsidRPr="003B1303" w:rsidR="00043B6E">
        <w:rPr>
          <w:lang w:val="fr-FR"/>
        </w:rPr>
        <w:t xml:space="preserve"> conformément à l</w:t>
      </w:r>
      <w:r w:rsidRPr="003B1303" w:rsidR="003B1303">
        <w:rPr>
          <w:lang w:val="fr-FR"/>
        </w:rPr>
        <w:t>’</w:t>
      </w:r>
      <w:r w:rsidRPr="003B1303" w:rsidR="00043B6E">
        <w:rPr>
          <w:lang w:val="fr-FR"/>
        </w:rPr>
        <w:t>article 237 § 3 du CPP</w:t>
      </w:r>
      <w:r w:rsidRPr="003B1303" w:rsidR="002E766F">
        <w:rPr>
          <w:lang w:val="fr-FR"/>
        </w:rPr>
        <w:t xml:space="preserve">, la </w:t>
      </w:r>
      <w:r w:rsidRPr="003B1303" w:rsidR="00043B6E">
        <w:rPr>
          <w:lang w:val="fr-FR"/>
        </w:rPr>
        <w:t xml:space="preserve">cour régionale devait se prononcer sur la nécessité du maintien du </w:t>
      </w:r>
      <w:r w:rsidRPr="003B1303" w:rsidR="0080497B">
        <w:rPr>
          <w:lang w:val="fr-FR"/>
        </w:rPr>
        <w:t xml:space="preserve">premier </w:t>
      </w:r>
      <w:r w:rsidRPr="003B1303" w:rsidR="00043B6E">
        <w:rPr>
          <w:lang w:val="fr-FR"/>
        </w:rPr>
        <w:t>requérant en détention provisoire en tenant compte des délais prévus par l</w:t>
      </w:r>
      <w:r w:rsidRPr="003B1303" w:rsidR="003B1303">
        <w:rPr>
          <w:lang w:val="fr-FR"/>
        </w:rPr>
        <w:t>’</w:t>
      </w:r>
      <w:r w:rsidRPr="003B1303" w:rsidR="00043B6E">
        <w:rPr>
          <w:lang w:val="fr-FR"/>
        </w:rPr>
        <w:t xml:space="preserve">article 109 du CPP. Cependant, </w:t>
      </w:r>
      <w:r w:rsidRPr="003B1303" w:rsidR="0008242B">
        <w:rPr>
          <w:lang w:val="fr-FR"/>
        </w:rPr>
        <w:t>elle</w:t>
      </w:r>
      <w:r w:rsidRPr="003B1303" w:rsidR="00043B6E">
        <w:rPr>
          <w:lang w:val="fr-FR"/>
        </w:rPr>
        <w:t xml:space="preserve"> estima qu</w:t>
      </w:r>
      <w:r w:rsidRPr="003B1303" w:rsidR="003B1303">
        <w:rPr>
          <w:lang w:val="fr-FR"/>
        </w:rPr>
        <w:t>’</w:t>
      </w:r>
      <w:r w:rsidRPr="003B1303" w:rsidR="00043B6E">
        <w:rPr>
          <w:lang w:val="fr-FR"/>
        </w:rPr>
        <w:t>il n</w:t>
      </w:r>
      <w:r w:rsidRPr="003B1303" w:rsidR="003B1303">
        <w:rPr>
          <w:lang w:val="fr-FR"/>
        </w:rPr>
        <w:t>’</w:t>
      </w:r>
      <w:r w:rsidRPr="003B1303" w:rsidR="00043B6E">
        <w:rPr>
          <w:lang w:val="fr-FR"/>
        </w:rPr>
        <w:t>était pas nécessaire d</w:t>
      </w:r>
      <w:r w:rsidRPr="003B1303" w:rsidR="003B1303">
        <w:rPr>
          <w:lang w:val="fr-FR"/>
        </w:rPr>
        <w:t>’</w:t>
      </w:r>
      <w:r w:rsidRPr="003B1303" w:rsidR="00043B6E">
        <w:rPr>
          <w:lang w:val="fr-FR"/>
        </w:rPr>
        <w:t>indiquer la date limite de la détention dans la décision du 31 décembre 2009 au motif que le délai de six mois prévu par l</w:t>
      </w:r>
      <w:r w:rsidRPr="003B1303" w:rsidR="003B1303">
        <w:rPr>
          <w:lang w:val="fr-FR"/>
        </w:rPr>
        <w:t>’</w:t>
      </w:r>
      <w:r w:rsidRPr="003B1303" w:rsidR="00043B6E">
        <w:rPr>
          <w:lang w:val="fr-FR"/>
        </w:rPr>
        <w:t xml:space="preserve">article 255 du CPP </w:t>
      </w:r>
      <w:r w:rsidRPr="003B1303" w:rsidR="0008242B">
        <w:rPr>
          <w:lang w:val="fr-FR"/>
        </w:rPr>
        <w:t>n</w:t>
      </w:r>
      <w:r w:rsidRPr="003B1303" w:rsidR="003B1303">
        <w:rPr>
          <w:lang w:val="fr-FR"/>
        </w:rPr>
        <w:t>’</w:t>
      </w:r>
      <w:r w:rsidRPr="003B1303" w:rsidR="0008242B">
        <w:rPr>
          <w:lang w:val="fr-FR"/>
        </w:rPr>
        <w:t xml:space="preserve">avait </w:t>
      </w:r>
      <w:r w:rsidRPr="003B1303" w:rsidR="00043B6E">
        <w:rPr>
          <w:lang w:val="fr-FR"/>
        </w:rPr>
        <w:t>pas expiré au moment de son adoption.</w:t>
      </w:r>
    </w:p>
    <w:p w:rsidRPr="003B1303" w:rsidR="00BE4C83"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43</w:t>
      </w:r>
      <w:r w:rsidRPr="003B1303">
        <w:rPr>
          <w:lang w:val="fr-FR"/>
        </w:rPr>
        <w:fldChar w:fldCharType="end"/>
      </w:r>
      <w:r w:rsidRPr="003B1303">
        <w:rPr>
          <w:lang w:val="fr-FR"/>
        </w:rPr>
        <w:t>.  Dans l</w:t>
      </w:r>
      <w:r w:rsidRPr="003B1303" w:rsidR="003B1303">
        <w:rPr>
          <w:lang w:val="fr-FR"/>
        </w:rPr>
        <w:t>’</w:t>
      </w:r>
      <w:r w:rsidRPr="003B1303">
        <w:rPr>
          <w:lang w:val="fr-FR"/>
        </w:rPr>
        <w:t xml:space="preserve">intervalle, par des décisions des 15 février et 10 mars 2010, la cour régionale avait ordonné le maintien du </w:t>
      </w:r>
      <w:r w:rsidRPr="003B1303" w:rsidR="0080497B">
        <w:rPr>
          <w:lang w:val="fr-FR"/>
        </w:rPr>
        <w:t xml:space="preserve">premier </w:t>
      </w:r>
      <w:r w:rsidRPr="003B1303">
        <w:rPr>
          <w:lang w:val="fr-FR"/>
        </w:rPr>
        <w:t>requérant en détention provisoire jusqu</w:t>
      </w:r>
      <w:r w:rsidRPr="003B1303" w:rsidR="003B1303">
        <w:rPr>
          <w:lang w:val="fr-FR"/>
        </w:rPr>
        <w:t>’</w:t>
      </w:r>
      <w:r w:rsidRPr="003B1303">
        <w:rPr>
          <w:lang w:val="fr-FR"/>
        </w:rPr>
        <w:t>au 22 juin 2010.</w:t>
      </w:r>
    </w:p>
    <w:p w:rsidRPr="003B1303" w:rsidR="0084206D"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44</w:t>
      </w:r>
      <w:r w:rsidRPr="003B1303">
        <w:rPr>
          <w:lang w:val="fr-FR"/>
        </w:rPr>
        <w:fldChar w:fldCharType="end"/>
      </w:r>
      <w:r w:rsidRPr="003B1303">
        <w:rPr>
          <w:lang w:val="fr-FR"/>
        </w:rPr>
        <w:t>.  Le 27 avril 2010, la Cour suprême modifia en appel la décision du 15 février 2010 en ce qui concernait la durée de la détention provisoire et fixa la fin de celle-ci au 18 juin 2010.</w:t>
      </w:r>
    </w:p>
    <w:p w:rsidRPr="003B1303" w:rsidR="00BE4C83"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45</w:t>
      </w:r>
      <w:r w:rsidRPr="003B1303">
        <w:rPr>
          <w:lang w:val="fr-FR"/>
        </w:rPr>
        <w:fldChar w:fldCharType="end"/>
      </w:r>
      <w:r w:rsidRPr="003B1303">
        <w:rPr>
          <w:lang w:val="fr-FR"/>
        </w:rPr>
        <w:t xml:space="preserve">.  Le 15 septembre 2010, </w:t>
      </w:r>
      <w:r w:rsidRPr="003B1303" w:rsidR="0008242B">
        <w:rPr>
          <w:lang w:val="fr-FR"/>
        </w:rPr>
        <w:t>elle</w:t>
      </w:r>
      <w:r w:rsidRPr="003B1303">
        <w:rPr>
          <w:lang w:val="fr-FR"/>
        </w:rPr>
        <w:t xml:space="preserve"> rejeta l</w:t>
      </w:r>
      <w:r w:rsidRPr="003B1303" w:rsidR="003B1303">
        <w:rPr>
          <w:lang w:val="fr-FR"/>
        </w:rPr>
        <w:t>’</w:t>
      </w:r>
      <w:r w:rsidRPr="003B1303">
        <w:rPr>
          <w:lang w:val="fr-FR"/>
        </w:rPr>
        <w:t>appel formé par le</w:t>
      </w:r>
      <w:r w:rsidRPr="003B1303" w:rsidR="0080497B">
        <w:rPr>
          <w:lang w:val="fr-FR"/>
        </w:rPr>
        <w:t xml:space="preserve"> premier </w:t>
      </w:r>
      <w:r w:rsidRPr="003B1303">
        <w:rPr>
          <w:lang w:val="fr-FR"/>
        </w:rPr>
        <w:t>requérant contre la décision de la cour régionale du 10 mars 2010.</w:t>
      </w:r>
    </w:p>
    <w:p w:rsidRPr="003B1303" w:rsidR="00BE4C83"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46</w:t>
      </w:r>
      <w:r w:rsidRPr="003B1303">
        <w:rPr>
          <w:lang w:val="fr-FR"/>
        </w:rPr>
        <w:fldChar w:fldCharType="end"/>
      </w:r>
      <w:r w:rsidRPr="003B1303">
        <w:rPr>
          <w:lang w:val="fr-FR"/>
        </w:rPr>
        <w:t xml:space="preserve">.  Par des décisions de la cour régionale des 17 juin, 13 septembre et 13 décembre 2010 et du 14 mars 2011, la détention provisoire du </w:t>
      </w:r>
      <w:r w:rsidRPr="003B1303" w:rsidR="0080497B">
        <w:rPr>
          <w:lang w:val="fr-FR"/>
        </w:rPr>
        <w:t xml:space="preserve">premier </w:t>
      </w:r>
      <w:r w:rsidRPr="003B1303">
        <w:rPr>
          <w:lang w:val="fr-FR"/>
        </w:rPr>
        <w:t>requérant fut prolongée à chaque fois p</w:t>
      </w:r>
      <w:r w:rsidRPr="003B1303" w:rsidR="00C377BC">
        <w:rPr>
          <w:lang w:val="fr-FR"/>
        </w:rPr>
        <w:t xml:space="preserve">our trois mois supplémentaires </w:t>
      </w:r>
      <w:r w:rsidRPr="003B1303" w:rsidR="0008242B">
        <w:rPr>
          <w:lang w:val="fr-FR"/>
        </w:rPr>
        <w:t>en raison</w:t>
      </w:r>
      <w:r w:rsidRPr="003B1303" w:rsidR="00C377BC">
        <w:rPr>
          <w:lang w:val="fr-FR"/>
        </w:rPr>
        <w:t xml:space="preserve"> de la gravité des charges dirigées à son encontre. Lesdites décisions furent adoptées à l</w:t>
      </w:r>
      <w:r w:rsidRPr="003B1303" w:rsidR="003B1303">
        <w:rPr>
          <w:lang w:val="fr-FR"/>
        </w:rPr>
        <w:t>’</w:t>
      </w:r>
      <w:r w:rsidRPr="003B1303" w:rsidR="00C377BC">
        <w:rPr>
          <w:lang w:val="fr-FR"/>
        </w:rPr>
        <w:t xml:space="preserve">égard de sept </w:t>
      </w:r>
      <w:r w:rsidRPr="003B1303" w:rsidR="00FB1EC5">
        <w:rPr>
          <w:lang w:val="fr-FR"/>
        </w:rPr>
        <w:t>co</w:t>
      </w:r>
      <w:r w:rsidRPr="003B1303" w:rsidR="00C377BC">
        <w:rPr>
          <w:lang w:val="fr-FR"/>
        </w:rPr>
        <w:t>accusés à la fois.</w:t>
      </w:r>
    </w:p>
    <w:p w:rsidRPr="003B1303" w:rsidR="00BE4C83" w:rsidP="003B1303" w:rsidRDefault="0084206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47</w:t>
      </w:r>
      <w:r w:rsidRPr="003B1303">
        <w:rPr>
          <w:lang w:val="fr-FR"/>
        </w:rPr>
        <w:fldChar w:fldCharType="end"/>
      </w:r>
      <w:r w:rsidRPr="003B1303">
        <w:rPr>
          <w:lang w:val="fr-FR"/>
        </w:rPr>
        <w:t xml:space="preserve">.  Par une ordonnance de procédure du 21 mars 2011, la cour régionale rejeta plusieurs demandes du </w:t>
      </w:r>
      <w:r w:rsidRPr="003B1303" w:rsidR="0080497B">
        <w:rPr>
          <w:lang w:val="fr-FR"/>
        </w:rPr>
        <w:t xml:space="preserve">premier </w:t>
      </w:r>
      <w:r w:rsidRPr="003B1303">
        <w:rPr>
          <w:lang w:val="fr-FR"/>
        </w:rPr>
        <w:t>requérant formulées lors du procès pénal, y compris sa demande d</w:t>
      </w:r>
      <w:r w:rsidRPr="003B1303" w:rsidR="003B1303">
        <w:rPr>
          <w:lang w:val="fr-FR"/>
        </w:rPr>
        <w:t>’</w:t>
      </w:r>
      <w:r w:rsidRPr="003B1303">
        <w:rPr>
          <w:lang w:val="fr-FR"/>
        </w:rPr>
        <w:t>élargissement.</w:t>
      </w:r>
    </w:p>
    <w:p w:rsidRPr="003B1303" w:rsidR="0085148A" w:rsidP="003B1303" w:rsidRDefault="00A644BB">
      <w:pPr>
        <w:pStyle w:val="ECHRHeading4"/>
        <w:rPr>
          <w:lang w:val="fr-FR"/>
        </w:rPr>
      </w:pPr>
      <w:r w:rsidRPr="003B1303">
        <w:rPr>
          <w:lang w:val="fr-FR"/>
        </w:rPr>
        <w:t>f</w:t>
      </w:r>
      <w:r w:rsidRPr="003B1303" w:rsidR="00DD6941">
        <w:rPr>
          <w:lang w:val="fr-FR"/>
        </w:rPr>
        <w:t>)</w:t>
      </w:r>
      <w:r w:rsidRPr="003B1303" w:rsidR="001F72B2">
        <w:rPr>
          <w:lang w:val="fr-FR"/>
        </w:rPr>
        <w:t>  Les conditions de détention du premier requérant dans la maison d</w:t>
      </w:r>
      <w:r w:rsidRPr="003B1303" w:rsidR="003B1303">
        <w:rPr>
          <w:lang w:val="fr-FR"/>
        </w:rPr>
        <w:t>’</w:t>
      </w:r>
      <w:r w:rsidRPr="003B1303" w:rsidR="001F72B2">
        <w:rPr>
          <w:lang w:val="fr-FR"/>
        </w:rPr>
        <w:t>arrêt</w:t>
      </w:r>
    </w:p>
    <w:p w:rsidRPr="003B1303" w:rsidR="00BE4C83" w:rsidP="003B1303" w:rsidRDefault="001F72B2">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48</w:t>
      </w:r>
      <w:r w:rsidRPr="003B1303">
        <w:rPr>
          <w:lang w:val="fr-FR"/>
        </w:rPr>
        <w:fldChar w:fldCharType="end"/>
      </w:r>
      <w:r w:rsidRPr="003B1303">
        <w:rPr>
          <w:lang w:val="fr-FR"/>
        </w:rPr>
        <w:t>.  Le premier requérant allègue que les différentes cellules dans lesquelles il a été détenu étaient toutes surpeuplées et qu</w:t>
      </w:r>
      <w:r w:rsidRPr="003B1303" w:rsidR="003B1303">
        <w:rPr>
          <w:lang w:val="fr-FR"/>
        </w:rPr>
        <w:t>’</w:t>
      </w:r>
      <w:r w:rsidRPr="003B1303">
        <w:rPr>
          <w:lang w:val="fr-FR"/>
        </w:rPr>
        <w:t>elles offraient un espace de vie d</w:t>
      </w:r>
      <w:r w:rsidRPr="003B1303" w:rsidR="003B1303">
        <w:rPr>
          <w:lang w:val="fr-FR"/>
        </w:rPr>
        <w:t>’</w:t>
      </w:r>
      <w:r w:rsidRPr="003B1303">
        <w:rPr>
          <w:lang w:val="fr-FR"/>
        </w:rPr>
        <w:t>environ 2 m² par détenu. Selon lui, les cellules étaient délabrées, des grillages posés sur les fenêtres, à l</w:t>
      </w:r>
      <w:r w:rsidRPr="003B1303" w:rsidR="003B1303">
        <w:rPr>
          <w:lang w:val="fr-FR"/>
        </w:rPr>
        <w:t>’</w:t>
      </w:r>
      <w:r w:rsidRPr="003B1303">
        <w:rPr>
          <w:lang w:val="fr-FR"/>
        </w:rPr>
        <w:t>extérieur et à l</w:t>
      </w:r>
      <w:r w:rsidRPr="003B1303" w:rsidR="003B1303">
        <w:rPr>
          <w:lang w:val="fr-FR"/>
        </w:rPr>
        <w:t>’</w:t>
      </w:r>
      <w:r w:rsidRPr="003B1303">
        <w:rPr>
          <w:lang w:val="fr-FR"/>
        </w:rPr>
        <w:t>intérieur, réduisaient l</w:t>
      </w:r>
      <w:r w:rsidRPr="003B1303" w:rsidR="003B1303">
        <w:rPr>
          <w:lang w:val="fr-FR"/>
        </w:rPr>
        <w:t>’</w:t>
      </w:r>
      <w:r w:rsidRPr="003B1303">
        <w:rPr>
          <w:lang w:val="fr-FR"/>
        </w:rPr>
        <w:t>apport de lumière naturelle, les toilettes n</w:t>
      </w:r>
      <w:r w:rsidRPr="003B1303" w:rsidR="003B1303">
        <w:rPr>
          <w:lang w:val="fr-FR"/>
        </w:rPr>
        <w:t>’</w:t>
      </w:r>
      <w:r w:rsidRPr="003B1303">
        <w:rPr>
          <w:lang w:val="fr-FR"/>
        </w:rPr>
        <w:t>étaient séparées du reste de la cellule par aucune cloison et le chauffage était insuffisant. À l</w:t>
      </w:r>
      <w:r w:rsidRPr="003B1303" w:rsidR="003B1303">
        <w:rPr>
          <w:lang w:val="fr-FR"/>
        </w:rPr>
        <w:t>’</w:t>
      </w:r>
      <w:r w:rsidRPr="003B1303">
        <w:rPr>
          <w:lang w:val="fr-FR"/>
        </w:rPr>
        <w:t>appui de ses allégations, il soumet des déclarations de trois de ses codétenus, Gr., B. et G.</w:t>
      </w:r>
    </w:p>
    <w:p w:rsidRPr="003B1303" w:rsidR="00BE4C83" w:rsidP="003B1303" w:rsidRDefault="00DD6941">
      <w:pPr>
        <w:pStyle w:val="ECHRHeading3"/>
        <w:rPr>
          <w:lang w:val="fr-FR"/>
        </w:rPr>
      </w:pPr>
      <w:r w:rsidRPr="003B1303">
        <w:rPr>
          <w:lang w:val="fr-FR"/>
        </w:rPr>
        <w:t>2</w:t>
      </w:r>
      <w:r w:rsidRPr="003B1303" w:rsidR="001F72B2">
        <w:rPr>
          <w:lang w:val="fr-FR"/>
        </w:rPr>
        <w:t>.  Les circonstances relatives au second requérant</w:t>
      </w:r>
    </w:p>
    <w:p w:rsidRPr="003B1303" w:rsidR="0085148A" w:rsidP="003B1303" w:rsidRDefault="00DD6941">
      <w:pPr>
        <w:pStyle w:val="ECHRHeading4"/>
        <w:rPr>
          <w:lang w:val="fr-FR"/>
        </w:rPr>
      </w:pPr>
      <w:r w:rsidRPr="003B1303">
        <w:rPr>
          <w:lang w:val="fr-FR"/>
        </w:rPr>
        <w:t>a)</w:t>
      </w:r>
      <w:r w:rsidRPr="003B1303" w:rsidR="001F72B2">
        <w:rPr>
          <w:lang w:val="fr-FR"/>
        </w:rPr>
        <w:t>  L</w:t>
      </w:r>
      <w:r w:rsidRPr="003B1303" w:rsidR="00381BEE">
        <w:rPr>
          <w:lang w:val="fr-FR"/>
        </w:rPr>
        <w:t>e transfert du second requérant dans la maison d</w:t>
      </w:r>
      <w:r w:rsidRPr="003B1303" w:rsidR="003B1303">
        <w:rPr>
          <w:lang w:val="fr-FR"/>
        </w:rPr>
        <w:t>’</w:t>
      </w:r>
      <w:r w:rsidRPr="003B1303" w:rsidR="00381BEE">
        <w:rPr>
          <w:lang w:val="fr-FR"/>
        </w:rPr>
        <w:t>arrêt</w:t>
      </w:r>
    </w:p>
    <w:p w:rsidRPr="003B1303" w:rsidR="00BE4C83" w:rsidP="003B1303" w:rsidRDefault="001F72B2">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49</w:t>
      </w:r>
      <w:r w:rsidRPr="003B1303">
        <w:rPr>
          <w:lang w:val="fr-FR"/>
        </w:rPr>
        <w:fldChar w:fldCharType="end"/>
      </w:r>
      <w:r w:rsidRPr="003B1303">
        <w:rPr>
          <w:lang w:val="fr-FR"/>
        </w:rPr>
        <w:t>.  Au moment de la réouverture de l</w:t>
      </w:r>
      <w:r w:rsidRPr="003B1303" w:rsidR="003B1303">
        <w:rPr>
          <w:lang w:val="fr-FR"/>
        </w:rPr>
        <w:t>’</w:t>
      </w:r>
      <w:r w:rsidRPr="003B1303">
        <w:rPr>
          <w:lang w:val="fr-FR"/>
        </w:rPr>
        <w:t>enquête pénale n</w:t>
      </w:r>
      <w:r w:rsidRPr="003B1303">
        <w:rPr>
          <w:vertAlign w:val="superscript"/>
          <w:lang w:val="fr-FR"/>
        </w:rPr>
        <w:t>o</w:t>
      </w:r>
      <w:r w:rsidRPr="003B1303">
        <w:rPr>
          <w:lang w:val="fr-FR"/>
        </w:rPr>
        <w:t> 16029</w:t>
      </w:r>
      <w:r w:rsidRPr="003B1303" w:rsidR="002C13C4">
        <w:rPr>
          <w:lang w:val="fr-FR"/>
        </w:rPr>
        <w:t xml:space="preserve"> (paragraphe </w:t>
      </w:r>
      <w:r w:rsidRPr="003B1303" w:rsidR="00AA5216">
        <w:rPr>
          <w:lang w:val="fr-FR"/>
        </w:rPr>
        <w:fldChar w:fldCharType="begin"/>
      </w:r>
      <w:r w:rsidRPr="003B1303" w:rsidR="00AA5216">
        <w:rPr>
          <w:lang w:val="fr-FR"/>
        </w:rPr>
        <w:instrText xml:space="preserve"> REF reouven \h </w:instrText>
      </w:r>
      <w:r w:rsidRPr="003B1303" w:rsidR="006C36C2">
        <w:rPr>
          <w:lang w:val="fr-FR"/>
        </w:rPr>
        <w:instrText xml:space="preserve"> \* MERGEFORMAT </w:instrText>
      </w:r>
      <w:r w:rsidRPr="003B1303" w:rsidR="00AA5216">
        <w:rPr>
          <w:lang w:val="fr-FR"/>
        </w:rPr>
      </w:r>
      <w:r w:rsidRPr="003B1303" w:rsidR="00AA5216">
        <w:rPr>
          <w:lang w:val="fr-FR"/>
        </w:rPr>
        <w:fldChar w:fldCharType="separate"/>
      </w:r>
      <w:r w:rsidR="003B1303">
        <w:rPr>
          <w:noProof/>
          <w:lang w:val="fr-FR"/>
        </w:rPr>
        <w:t>8</w:t>
      </w:r>
      <w:r w:rsidRPr="003B1303" w:rsidR="00AA5216">
        <w:rPr>
          <w:lang w:val="fr-FR"/>
        </w:rPr>
        <w:fldChar w:fldCharType="end"/>
      </w:r>
      <w:r w:rsidRPr="003B1303" w:rsidR="00AA5216">
        <w:rPr>
          <w:lang w:val="fr-FR"/>
        </w:rPr>
        <w:t xml:space="preserve"> </w:t>
      </w:r>
      <w:r w:rsidRPr="003B1303" w:rsidR="002C13C4">
        <w:rPr>
          <w:lang w:val="fr-FR"/>
        </w:rPr>
        <w:t>ci</w:t>
      </w:r>
      <w:r w:rsidRPr="003B1303" w:rsidR="002C13C4">
        <w:rPr>
          <w:lang w:val="fr-FR"/>
        </w:rPr>
        <w:noBreakHyphen/>
        <w:t>dessus)</w:t>
      </w:r>
      <w:r w:rsidRPr="003B1303">
        <w:rPr>
          <w:lang w:val="fr-FR"/>
        </w:rPr>
        <w:t>, le second requérant, un détenu condamné dans le cadre d</w:t>
      </w:r>
      <w:r w:rsidRPr="003B1303" w:rsidR="003B1303">
        <w:rPr>
          <w:lang w:val="fr-FR"/>
        </w:rPr>
        <w:t>’</w:t>
      </w:r>
      <w:r w:rsidRPr="003B1303">
        <w:rPr>
          <w:lang w:val="fr-FR"/>
        </w:rPr>
        <w:t>une autre affaire pénale en 2007, purgeait une peine d</w:t>
      </w:r>
      <w:r w:rsidRPr="003B1303" w:rsidR="003B1303">
        <w:rPr>
          <w:lang w:val="fr-FR"/>
        </w:rPr>
        <w:t>’</w:t>
      </w:r>
      <w:r w:rsidRPr="003B1303">
        <w:rPr>
          <w:lang w:val="fr-FR"/>
        </w:rPr>
        <w:t>emprisonnement dans une colonie correctionnelle.</w:t>
      </w:r>
    </w:p>
    <w:bookmarkStart w:name="ord19avr2" w:id="26"/>
    <w:p w:rsidRPr="003B1303" w:rsidR="00BE4C83" w:rsidP="003B1303" w:rsidRDefault="001F72B2">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50</w:t>
      </w:r>
      <w:r w:rsidRPr="003B1303">
        <w:rPr>
          <w:lang w:val="fr-FR"/>
        </w:rPr>
        <w:fldChar w:fldCharType="end"/>
      </w:r>
      <w:bookmarkEnd w:id="26"/>
      <w:r w:rsidRPr="003B1303">
        <w:rPr>
          <w:lang w:val="fr-FR"/>
        </w:rPr>
        <w:t>.  Le 10 avril 2008, l</w:t>
      </w:r>
      <w:r w:rsidRPr="003B1303" w:rsidR="003B1303">
        <w:rPr>
          <w:lang w:val="fr-FR"/>
        </w:rPr>
        <w:t>’</w:t>
      </w:r>
      <w:r w:rsidRPr="003B1303">
        <w:rPr>
          <w:lang w:val="fr-FR"/>
        </w:rPr>
        <w:t>enquêteur M. ordonna le trans</w:t>
      </w:r>
      <w:r w:rsidRPr="003B1303" w:rsidR="008121A7">
        <w:rPr>
          <w:lang w:val="fr-FR"/>
        </w:rPr>
        <w:t>fert e</w:t>
      </w:r>
      <w:r w:rsidRPr="003B1303">
        <w:rPr>
          <w:lang w:val="fr-FR"/>
        </w:rPr>
        <w:t xml:space="preserve">t le placement du </w:t>
      </w:r>
      <w:r w:rsidRPr="003B1303" w:rsidR="004E6333">
        <w:rPr>
          <w:lang w:val="fr-FR"/>
        </w:rPr>
        <w:t xml:space="preserve">second </w:t>
      </w:r>
      <w:r w:rsidRPr="003B1303">
        <w:rPr>
          <w:lang w:val="fr-FR"/>
        </w:rPr>
        <w:t>requérant dans la maison d</w:t>
      </w:r>
      <w:r w:rsidRPr="003B1303" w:rsidR="003B1303">
        <w:rPr>
          <w:lang w:val="fr-FR"/>
        </w:rPr>
        <w:t>’</w:t>
      </w:r>
      <w:r w:rsidRPr="003B1303">
        <w:rPr>
          <w:lang w:val="fr-FR"/>
        </w:rPr>
        <w:t>arrêt au motif que ce dernier était soupçonné d</w:t>
      </w:r>
      <w:r w:rsidRPr="003B1303" w:rsidR="003B1303">
        <w:rPr>
          <w:lang w:val="fr-FR"/>
        </w:rPr>
        <w:t>’</w:t>
      </w:r>
      <w:r w:rsidRPr="003B1303">
        <w:rPr>
          <w:lang w:val="fr-FR"/>
        </w:rPr>
        <w:t>avoir participé au meurtre de S.</w:t>
      </w:r>
    </w:p>
    <w:p w:rsidRPr="003B1303" w:rsidR="00BE4C83" w:rsidP="003B1303" w:rsidRDefault="001F72B2">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51</w:t>
      </w:r>
      <w:r w:rsidRPr="003B1303">
        <w:rPr>
          <w:lang w:val="fr-FR"/>
        </w:rPr>
        <w:fldChar w:fldCharType="end"/>
      </w:r>
      <w:r w:rsidRPr="003B1303">
        <w:rPr>
          <w:lang w:val="fr-FR"/>
        </w:rPr>
        <w:t>.  Le 12 avril 2008, le</w:t>
      </w:r>
      <w:r w:rsidRPr="003B1303" w:rsidR="004E6333">
        <w:rPr>
          <w:lang w:val="fr-FR"/>
        </w:rPr>
        <w:t xml:space="preserve"> second</w:t>
      </w:r>
      <w:r w:rsidRPr="003B1303">
        <w:rPr>
          <w:lang w:val="fr-FR"/>
        </w:rPr>
        <w:t xml:space="preserve"> requérant fut </w:t>
      </w:r>
      <w:r w:rsidRPr="003B1303" w:rsidR="008121A7">
        <w:rPr>
          <w:lang w:val="fr-FR"/>
        </w:rPr>
        <w:t xml:space="preserve">transféré </w:t>
      </w:r>
      <w:r w:rsidRPr="003B1303">
        <w:rPr>
          <w:lang w:val="fr-FR"/>
        </w:rPr>
        <w:t>à la maison d</w:t>
      </w:r>
      <w:r w:rsidRPr="003B1303" w:rsidR="003B1303">
        <w:rPr>
          <w:lang w:val="fr-FR"/>
        </w:rPr>
        <w:t>’</w:t>
      </w:r>
      <w:r w:rsidRPr="003B1303">
        <w:rPr>
          <w:lang w:val="fr-FR"/>
        </w:rPr>
        <w:t>arrêt.</w:t>
      </w:r>
    </w:p>
    <w:p w:rsidRPr="003B1303" w:rsidR="00BE4C83" w:rsidP="003B1303" w:rsidRDefault="00DD6941">
      <w:pPr>
        <w:pStyle w:val="ECHRHeading4"/>
        <w:rPr>
          <w:lang w:val="fr-FR"/>
        </w:rPr>
      </w:pPr>
      <w:r w:rsidRPr="003B1303">
        <w:rPr>
          <w:lang w:val="fr-FR"/>
        </w:rPr>
        <w:t>b)</w:t>
      </w:r>
      <w:r w:rsidRPr="003B1303" w:rsidR="00381BEE">
        <w:rPr>
          <w:lang w:val="fr-FR"/>
        </w:rPr>
        <w:t>  Les allégations de mauvais traitements du second requérant et ses aveux</w:t>
      </w:r>
    </w:p>
    <w:bookmarkStart w:name="allmauvR2" w:id="27"/>
    <w:p w:rsidRPr="003B1303" w:rsidR="00BE4C83" w:rsidP="003B1303" w:rsidRDefault="001F72B2">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52</w:t>
      </w:r>
      <w:r w:rsidRPr="003B1303">
        <w:rPr>
          <w:lang w:val="fr-FR"/>
        </w:rPr>
        <w:fldChar w:fldCharType="end"/>
      </w:r>
      <w:bookmarkEnd w:id="27"/>
      <w:r w:rsidRPr="003B1303">
        <w:rPr>
          <w:lang w:val="fr-FR"/>
        </w:rPr>
        <w:t>.  Le second r</w:t>
      </w:r>
      <w:r w:rsidRPr="003B1303" w:rsidR="00381BEE">
        <w:rPr>
          <w:lang w:val="fr-FR"/>
        </w:rPr>
        <w:t>equérant allègue qu</w:t>
      </w:r>
      <w:r w:rsidRPr="003B1303" w:rsidR="004E6333">
        <w:rPr>
          <w:lang w:val="fr-FR"/>
        </w:rPr>
        <w:t xml:space="preserve">e, </w:t>
      </w:r>
      <w:r w:rsidRPr="003B1303" w:rsidR="00381BEE">
        <w:rPr>
          <w:lang w:val="fr-FR"/>
        </w:rPr>
        <w:t>à partir du 12 avril 2008</w:t>
      </w:r>
      <w:r w:rsidRPr="003B1303">
        <w:rPr>
          <w:lang w:val="fr-FR"/>
        </w:rPr>
        <w:t xml:space="preserve">, il a subi diverses formes de mauvais traitements de la part de </w:t>
      </w:r>
      <w:r w:rsidRPr="003B1303" w:rsidR="00AA5216">
        <w:rPr>
          <w:lang w:val="fr-FR"/>
        </w:rPr>
        <w:t xml:space="preserve">ses </w:t>
      </w:r>
      <w:r w:rsidRPr="003B1303">
        <w:rPr>
          <w:lang w:val="fr-FR"/>
        </w:rPr>
        <w:t xml:space="preserve">codétenus. Selon </w:t>
      </w:r>
      <w:r w:rsidRPr="003B1303" w:rsidR="00F21E51">
        <w:rPr>
          <w:lang w:val="fr-FR"/>
        </w:rPr>
        <w:t>lui</w:t>
      </w:r>
      <w:r w:rsidRPr="003B1303">
        <w:rPr>
          <w:lang w:val="fr-FR"/>
        </w:rPr>
        <w:t xml:space="preserve">, </w:t>
      </w:r>
      <w:r w:rsidRPr="003B1303" w:rsidR="00AA5216">
        <w:rPr>
          <w:lang w:val="fr-FR"/>
        </w:rPr>
        <w:t>ces derniers</w:t>
      </w:r>
      <w:r w:rsidRPr="003B1303">
        <w:rPr>
          <w:lang w:val="fr-FR"/>
        </w:rPr>
        <w:t xml:space="preserve"> agissaient sur instruction des enquêteurs </w:t>
      </w:r>
      <w:r w:rsidRPr="003B1303" w:rsidR="00AA5216">
        <w:rPr>
          <w:lang w:val="fr-FR"/>
        </w:rPr>
        <w:t xml:space="preserve">chargés de </w:t>
      </w:r>
      <w:r w:rsidRPr="003B1303" w:rsidR="004E6333">
        <w:rPr>
          <w:lang w:val="fr-FR"/>
        </w:rPr>
        <w:t>l</w:t>
      </w:r>
      <w:r w:rsidRPr="003B1303" w:rsidR="003B1303">
        <w:rPr>
          <w:lang w:val="fr-FR"/>
        </w:rPr>
        <w:t>’</w:t>
      </w:r>
      <w:r w:rsidRPr="003B1303" w:rsidR="004E6333">
        <w:rPr>
          <w:lang w:val="fr-FR"/>
        </w:rPr>
        <w:t xml:space="preserve">enquête </w:t>
      </w:r>
      <w:r w:rsidRPr="003B1303" w:rsidR="00AA5216">
        <w:rPr>
          <w:lang w:val="fr-FR"/>
        </w:rPr>
        <w:t xml:space="preserve">pénale et </w:t>
      </w:r>
      <w:r w:rsidRPr="003B1303">
        <w:rPr>
          <w:lang w:val="fr-FR"/>
        </w:rPr>
        <w:t>de l</w:t>
      </w:r>
      <w:r w:rsidRPr="003B1303" w:rsidR="003B1303">
        <w:rPr>
          <w:lang w:val="fr-FR"/>
        </w:rPr>
        <w:t>’</w:t>
      </w:r>
      <w:r w:rsidRPr="003B1303">
        <w:rPr>
          <w:lang w:val="fr-FR"/>
        </w:rPr>
        <w:t>administration de la maison d</w:t>
      </w:r>
      <w:r w:rsidRPr="003B1303" w:rsidR="003B1303">
        <w:rPr>
          <w:lang w:val="fr-FR"/>
        </w:rPr>
        <w:t>’</w:t>
      </w:r>
      <w:r w:rsidRPr="003B1303">
        <w:rPr>
          <w:lang w:val="fr-FR"/>
        </w:rPr>
        <w:t xml:space="preserve">arrêt, dans le but de lui extorquer des aveux et, entre autres, de lui faire avouer le meurtre de S. Le </w:t>
      </w:r>
      <w:r w:rsidRPr="003B1303" w:rsidR="00F21E51">
        <w:rPr>
          <w:lang w:val="fr-FR"/>
        </w:rPr>
        <w:t xml:space="preserve">second </w:t>
      </w:r>
      <w:r w:rsidRPr="003B1303">
        <w:rPr>
          <w:lang w:val="fr-FR"/>
        </w:rPr>
        <w:t>requérant déclare notamment avoir subi :</w:t>
      </w:r>
    </w:p>
    <w:p w:rsidRPr="003B1303" w:rsidR="001F72B2" w:rsidP="003B1303" w:rsidRDefault="001F72B2">
      <w:pPr>
        <w:pStyle w:val="ECHRPara"/>
        <w:rPr>
          <w:lang w:val="fr-FR"/>
        </w:rPr>
      </w:pPr>
      <w:r w:rsidRPr="003B1303">
        <w:rPr>
          <w:lang w:val="fr-FR"/>
        </w:rPr>
        <w:t>– le 13 avril 2008</w:t>
      </w:r>
      <w:r w:rsidRPr="003B1303" w:rsidR="00F21E51">
        <w:rPr>
          <w:lang w:val="fr-FR"/>
        </w:rPr>
        <w:t>,</w:t>
      </w:r>
      <w:r w:rsidRPr="003B1303">
        <w:rPr>
          <w:lang w:val="fr-FR"/>
        </w:rPr>
        <w:t xml:space="preserve"> des coups à l</w:t>
      </w:r>
      <w:r w:rsidRPr="003B1303" w:rsidR="003B1303">
        <w:rPr>
          <w:lang w:val="fr-FR"/>
        </w:rPr>
        <w:t>’</w:t>
      </w:r>
      <w:r w:rsidRPr="003B1303">
        <w:rPr>
          <w:lang w:val="fr-FR"/>
        </w:rPr>
        <w:t xml:space="preserve">œil droit et au flanc droit </w:t>
      </w:r>
      <w:r w:rsidRPr="003B1303" w:rsidR="0008242B">
        <w:rPr>
          <w:lang w:val="fr-FR"/>
        </w:rPr>
        <w:t xml:space="preserve">de la part de </w:t>
      </w:r>
      <w:r w:rsidRPr="003B1303" w:rsidR="00F21E51">
        <w:rPr>
          <w:lang w:val="fr-FR"/>
        </w:rPr>
        <w:t>s</w:t>
      </w:r>
      <w:r w:rsidRPr="003B1303">
        <w:rPr>
          <w:lang w:val="fr-FR"/>
        </w:rPr>
        <w:t>es codétenus F</w:t>
      </w:r>
      <w:r w:rsidRPr="003B1303" w:rsidR="00154F7B">
        <w:rPr>
          <w:lang w:val="fr-FR"/>
        </w:rPr>
        <w:t>o</w:t>
      </w:r>
      <w:r w:rsidRPr="003B1303">
        <w:rPr>
          <w:lang w:val="fr-FR"/>
        </w:rPr>
        <w:t xml:space="preserve">. </w:t>
      </w:r>
      <w:proofErr w:type="gramStart"/>
      <w:r w:rsidRPr="003B1303">
        <w:rPr>
          <w:lang w:val="fr-FR"/>
        </w:rPr>
        <w:t>et</w:t>
      </w:r>
      <w:proofErr w:type="gramEnd"/>
      <w:r w:rsidRPr="003B1303">
        <w:rPr>
          <w:lang w:val="fr-FR"/>
        </w:rPr>
        <w:t xml:space="preserve"> M</w:t>
      </w:r>
      <w:r w:rsidRPr="003B1303" w:rsidR="00154F7B">
        <w:rPr>
          <w:lang w:val="fr-FR"/>
        </w:rPr>
        <w:t>a</w:t>
      </w:r>
      <w:r w:rsidRPr="003B1303">
        <w:rPr>
          <w:lang w:val="fr-FR"/>
        </w:rPr>
        <w:t>., dans la cellule n</w:t>
      </w:r>
      <w:r w:rsidRPr="003B1303">
        <w:rPr>
          <w:vertAlign w:val="superscript"/>
          <w:lang w:val="fr-FR"/>
        </w:rPr>
        <w:t>o</w:t>
      </w:r>
      <w:r w:rsidRPr="003B1303">
        <w:rPr>
          <w:lang w:val="fr-FR"/>
        </w:rPr>
        <w:t> 440 ;</w:t>
      </w:r>
    </w:p>
    <w:p w:rsidRPr="003B1303" w:rsidR="00BE4C83" w:rsidP="003B1303" w:rsidRDefault="001F72B2">
      <w:pPr>
        <w:pStyle w:val="ECHRPara"/>
        <w:rPr>
          <w:lang w:val="fr-FR"/>
        </w:rPr>
      </w:pPr>
      <w:r w:rsidRPr="003B1303">
        <w:rPr>
          <w:lang w:val="fr-FR"/>
        </w:rPr>
        <w:t>– les 14 et 15 avril 2008</w:t>
      </w:r>
      <w:r w:rsidRPr="003B1303" w:rsidR="00F21E51">
        <w:rPr>
          <w:lang w:val="fr-FR"/>
        </w:rPr>
        <w:t>,</w:t>
      </w:r>
      <w:r w:rsidRPr="003B1303">
        <w:rPr>
          <w:lang w:val="fr-FR"/>
        </w:rPr>
        <w:t xml:space="preserve"> </w:t>
      </w:r>
      <w:r w:rsidRPr="003B1303" w:rsidR="00F21E51">
        <w:rPr>
          <w:lang w:val="fr-FR"/>
        </w:rPr>
        <w:t xml:space="preserve">des </w:t>
      </w:r>
      <w:r w:rsidRPr="003B1303">
        <w:rPr>
          <w:lang w:val="fr-FR"/>
        </w:rPr>
        <w:t>menaces de violences physiques à l</w:t>
      </w:r>
      <w:r w:rsidRPr="003B1303" w:rsidR="003B1303">
        <w:rPr>
          <w:lang w:val="fr-FR"/>
        </w:rPr>
        <w:t>’</w:t>
      </w:r>
      <w:r w:rsidRPr="003B1303">
        <w:rPr>
          <w:lang w:val="fr-FR"/>
        </w:rPr>
        <w:t xml:space="preserve">égard </w:t>
      </w:r>
      <w:r w:rsidRPr="003B1303" w:rsidR="00F21E51">
        <w:rPr>
          <w:lang w:val="fr-FR"/>
        </w:rPr>
        <w:t xml:space="preserve">de son </w:t>
      </w:r>
      <w:r w:rsidRPr="003B1303">
        <w:rPr>
          <w:lang w:val="fr-FR"/>
        </w:rPr>
        <w:t xml:space="preserve">fils et de </w:t>
      </w:r>
      <w:r w:rsidRPr="003B1303" w:rsidR="00F21E51">
        <w:rPr>
          <w:lang w:val="fr-FR"/>
        </w:rPr>
        <w:t>s</w:t>
      </w:r>
      <w:r w:rsidRPr="003B1303">
        <w:rPr>
          <w:lang w:val="fr-FR"/>
        </w:rPr>
        <w:t xml:space="preserve">a femme émanant du détenu </w:t>
      </w:r>
      <w:proofErr w:type="spellStart"/>
      <w:r w:rsidRPr="003B1303">
        <w:rPr>
          <w:lang w:val="fr-FR"/>
        </w:rPr>
        <w:t>R</w:t>
      </w:r>
      <w:r w:rsidRPr="003B1303" w:rsidR="00070C86">
        <w:rPr>
          <w:lang w:val="fr-FR"/>
        </w:rPr>
        <w:t>y</w:t>
      </w:r>
      <w:proofErr w:type="spellEnd"/>
      <w:r w:rsidRPr="003B1303">
        <w:rPr>
          <w:lang w:val="fr-FR"/>
        </w:rPr>
        <w:t>., dans la cellule n</w:t>
      </w:r>
      <w:r w:rsidRPr="003B1303">
        <w:rPr>
          <w:vertAlign w:val="superscript"/>
          <w:lang w:val="fr-FR"/>
        </w:rPr>
        <w:t>o</w:t>
      </w:r>
      <w:r w:rsidRPr="003B1303">
        <w:rPr>
          <w:lang w:val="fr-FR"/>
        </w:rPr>
        <w:t> 624 ;</w:t>
      </w:r>
    </w:p>
    <w:p w:rsidRPr="003B1303" w:rsidR="00BE4C83" w:rsidP="003B1303" w:rsidRDefault="001F72B2">
      <w:pPr>
        <w:pStyle w:val="ECHRPara"/>
        <w:rPr>
          <w:lang w:val="fr-FR"/>
        </w:rPr>
      </w:pPr>
      <w:r w:rsidRPr="003B1303">
        <w:rPr>
          <w:lang w:val="fr-FR"/>
        </w:rPr>
        <w:t>– la nuit du 24 au 25 avril 2008</w:t>
      </w:r>
      <w:r w:rsidRPr="003B1303" w:rsidR="00F21E51">
        <w:rPr>
          <w:lang w:val="fr-FR"/>
        </w:rPr>
        <w:t>, un</w:t>
      </w:r>
      <w:r w:rsidRPr="003B1303">
        <w:rPr>
          <w:lang w:val="fr-FR"/>
        </w:rPr>
        <w:t xml:space="preserve"> passage à tabac et </w:t>
      </w:r>
      <w:r w:rsidRPr="003B1303" w:rsidR="00F21E51">
        <w:rPr>
          <w:lang w:val="fr-FR"/>
        </w:rPr>
        <w:t xml:space="preserve">une </w:t>
      </w:r>
      <w:r w:rsidRPr="003B1303">
        <w:rPr>
          <w:lang w:val="fr-FR"/>
        </w:rPr>
        <w:t xml:space="preserve">tentative de viol par les codétenus </w:t>
      </w:r>
      <w:proofErr w:type="spellStart"/>
      <w:r w:rsidRPr="003B1303">
        <w:rPr>
          <w:lang w:val="fr-FR"/>
        </w:rPr>
        <w:t>R</w:t>
      </w:r>
      <w:r w:rsidRPr="003B1303" w:rsidR="00070C86">
        <w:rPr>
          <w:lang w:val="fr-FR"/>
        </w:rPr>
        <w:t>y</w:t>
      </w:r>
      <w:proofErr w:type="spellEnd"/>
      <w:r w:rsidRPr="003B1303">
        <w:rPr>
          <w:lang w:val="fr-FR"/>
        </w:rPr>
        <w:t>.</w:t>
      </w:r>
      <w:r w:rsidRPr="003B1303" w:rsidR="000466E9">
        <w:rPr>
          <w:lang w:val="fr-FR"/>
        </w:rPr>
        <w:t>, S</w:t>
      </w:r>
      <w:r w:rsidRPr="003B1303" w:rsidR="00070C86">
        <w:rPr>
          <w:lang w:val="fr-FR"/>
        </w:rPr>
        <w:t>e</w:t>
      </w:r>
      <w:r w:rsidRPr="003B1303" w:rsidR="000466E9">
        <w:rPr>
          <w:lang w:val="fr-FR"/>
        </w:rPr>
        <w:t>., et D</w:t>
      </w:r>
      <w:r w:rsidRPr="003B1303" w:rsidR="00070C86">
        <w:rPr>
          <w:lang w:val="fr-FR"/>
        </w:rPr>
        <w:t>o</w:t>
      </w:r>
      <w:r w:rsidRPr="003B1303" w:rsidR="000466E9">
        <w:rPr>
          <w:lang w:val="fr-FR"/>
        </w:rPr>
        <w:t xml:space="preserve">. </w:t>
      </w:r>
      <w:proofErr w:type="gramStart"/>
      <w:r w:rsidRPr="003B1303" w:rsidR="000466E9">
        <w:rPr>
          <w:lang w:val="fr-FR"/>
        </w:rPr>
        <w:t>dans</w:t>
      </w:r>
      <w:proofErr w:type="gramEnd"/>
      <w:r w:rsidRPr="003B1303" w:rsidR="000466E9">
        <w:rPr>
          <w:lang w:val="fr-FR"/>
        </w:rPr>
        <w:t xml:space="preserve"> la cellule n</w:t>
      </w:r>
      <w:r w:rsidRPr="003B1303" w:rsidR="00BE4C83">
        <w:rPr>
          <w:vertAlign w:val="superscript"/>
          <w:lang w:val="fr-FR"/>
        </w:rPr>
        <w:t>o</w:t>
      </w:r>
      <w:r w:rsidRPr="003B1303" w:rsidR="000466E9">
        <w:rPr>
          <w:lang w:val="fr-FR"/>
        </w:rPr>
        <w:t> </w:t>
      </w:r>
      <w:r w:rsidRPr="003B1303">
        <w:rPr>
          <w:lang w:val="fr-FR"/>
        </w:rPr>
        <w:t xml:space="preserve">643 ; </w:t>
      </w:r>
      <w:r w:rsidRPr="003B1303" w:rsidR="0008242B">
        <w:rPr>
          <w:lang w:val="fr-FR"/>
        </w:rPr>
        <w:t>il</w:t>
      </w:r>
      <w:r w:rsidRPr="003B1303">
        <w:rPr>
          <w:lang w:val="fr-FR"/>
        </w:rPr>
        <w:t xml:space="preserve"> soutient que</w:t>
      </w:r>
      <w:r w:rsidRPr="003B1303" w:rsidR="00F21E51">
        <w:rPr>
          <w:lang w:val="fr-FR"/>
        </w:rPr>
        <w:t>,</w:t>
      </w:r>
      <w:r w:rsidRPr="003B1303">
        <w:rPr>
          <w:lang w:val="fr-FR"/>
        </w:rPr>
        <w:t xml:space="preserve"> pour stopper l</w:t>
      </w:r>
      <w:r w:rsidRPr="003B1303" w:rsidR="003B1303">
        <w:rPr>
          <w:lang w:val="fr-FR"/>
        </w:rPr>
        <w:t>’</w:t>
      </w:r>
      <w:r w:rsidRPr="003B1303">
        <w:rPr>
          <w:lang w:val="fr-FR"/>
        </w:rPr>
        <w:t>agression, il a dû se couper au rasoir le cou et la joue droite ;</w:t>
      </w:r>
    </w:p>
    <w:p w:rsidRPr="003B1303" w:rsidR="00BE4C83" w:rsidP="003B1303" w:rsidRDefault="001F72B2">
      <w:pPr>
        <w:pStyle w:val="ECHRPara"/>
        <w:rPr>
          <w:lang w:val="fr-FR"/>
        </w:rPr>
      </w:pPr>
      <w:r w:rsidRPr="003B1303">
        <w:rPr>
          <w:lang w:val="fr-FR"/>
        </w:rPr>
        <w:t xml:space="preserve">– </w:t>
      </w:r>
      <w:r w:rsidRPr="003B1303" w:rsidR="00F21E51">
        <w:rPr>
          <w:lang w:val="fr-FR"/>
        </w:rPr>
        <w:t xml:space="preserve">une </w:t>
      </w:r>
      <w:r w:rsidRPr="003B1303">
        <w:rPr>
          <w:lang w:val="fr-FR"/>
        </w:rPr>
        <w:t xml:space="preserve">pression psychologique et </w:t>
      </w:r>
      <w:r w:rsidRPr="003B1303" w:rsidR="00F21E51">
        <w:rPr>
          <w:lang w:val="fr-FR"/>
        </w:rPr>
        <w:t xml:space="preserve">des </w:t>
      </w:r>
      <w:r w:rsidRPr="003B1303">
        <w:rPr>
          <w:lang w:val="fr-FR"/>
        </w:rPr>
        <w:t>menaces de violence</w:t>
      </w:r>
      <w:r w:rsidRPr="003B1303" w:rsidR="002C13C4">
        <w:rPr>
          <w:lang w:val="fr-FR"/>
        </w:rPr>
        <w:t>s</w:t>
      </w:r>
      <w:r w:rsidRPr="003B1303">
        <w:rPr>
          <w:lang w:val="fr-FR"/>
        </w:rPr>
        <w:t>, y compris à l</w:t>
      </w:r>
      <w:r w:rsidRPr="003B1303" w:rsidR="003B1303">
        <w:rPr>
          <w:lang w:val="fr-FR"/>
        </w:rPr>
        <w:t>’</w:t>
      </w:r>
      <w:r w:rsidRPr="003B1303">
        <w:rPr>
          <w:lang w:val="fr-FR"/>
        </w:rPr>
        <w:t xml:space="preserve">égard de </w:t>
      </w:r>
      <w:r w:rsidRPr="003B1303" w:rsidR="00F21E51">
        <w:rPr>
          <w:lang w:val="fr-FR"/>
        </w:rPr>
        <w:t>s</w:t>
      </w:r>
      <w:r w:rsidRPr="003B1303">
        <w:rPr>
          <w:lang w:val="fr-FR"/>
        </w:rPr>
        <w:t xml:space="preserve">a femme et </w:t>
      </w:r>
      <w:r w:rsidRPr="003B1303" w:rsidR="00F21E51">
        <w:rPr>
          <w:lang w:val="fr-FR"/>
        </w:rPr>
        <w:t xml:space="preserve">de son </w:t>
      </w:r>
      <w:r w:rsidRPr="003B1303">
        <w:rPr>
          <w:lang w:val="fr-FR"/>
        </w:rPr>
        <w:t>fils</w:t>
      </w:r>
      <w:r w:rsidRPr="003B1303" w:rsidR="00AA5216">
        <w:rPr>
          <w:lang w:val="fr-FR"/>
        </w:rPr>
        <w:t>,</w:t>
      </w:r>
      <w:r w:rsidRPr="003B1303">
        <w:rPr>
          <w:lang w:val="fr-FR"/>
        </w:rPr>
        <w:t xml:space="preserve"> de la part de </w:t>
      </w:r>
      <w:proofErr w:type="spellStart"/>
      <w:r w:rsidRPr="003B1303">
        <w:rPr>
          <w:lang w:val="fr-FR"/>
        </w:rPr>
        <w:t>R</w:t>
      </w:r>
      <w:r w:rsidRPr="003B1303" w:rsidR="00154F7B">
        <w:rPr>
          <w:lang w:val="fr-FR"/>
        </w:rPr>
        <w:t>y</w:t>
      </w:r>
      <w:proofErr w:type="spellEnd"/>
      <w:r w:rsidRPr="003B1303">
        <w:rPr>
          <w:lang w:val="fr-FR"/>
        </w:rPr>
        <w:t xml:space="preserve">. </w:t>
      </w:r>
      <w:proofErr w:type="gramStart"/>
      <w:r w:rsidRPr="003B1303">
        <w:rPr>
          <w:lang w:val="fr-FR"/>
        </w:rPr>
        <w:t>tout</w:t>
      </w:r>
      <w:proofErr w:type="gramEnd"/>
      <w:r w:rsidRPr="003B1303">
        <w:rPr>
          <w:lang w:val="fr-FR"/>
        </w:rPr>
        <w:t xml:space="preserve"> au long de sa détention commune avec </w:t>
      </w:r>
      <w:r w:rsidRPr="003B1303" w:rsidR="00F21E51">
        <w:rPr>
          <w:lang w:val="fr-FR"/>
        </w:rPr>
        <w:t>lui</w:t>
      </w:r>
      <w:r w:rsidRPr="003B1303">
        <w:rPr>
          <w:lang w:val="fr-FR"/>
        </w:rPr>
        <w:t>.</w:t>
      </w:r>
    </w:p>
    <w:bookmarkStart w:name="aveuR216av" w:id="28"/>
    <w:p w:rsidRPr="003B1303" w:rsidR="001F72B2" w:rsidP="003B1303" w:rsidRDefault="0088214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53</w:t>
      </w:r>
      <w:r w:rsidRPr="003B1303">
        <w:rPr>
          <w:lang w:val="fr-FR"/>
        </w:rPr>
        <w:fldChar w:fldCharType="end"/>
      </w:r>
      <w:bookmarkEnd w:id="28"/>
      <w:r w:rsidRPr="003B1303">
        <w:rPr>
          <w:lang w:val="fr-FR"/>
        </w:rPr>
        <w:t>.  </w:t>
      </w:r>
      <w:r w:rsidRPr="003B1303" w:rsidR="00381BEE">
        <w:rPr>
          <w:lang w:val="fr-FR"/>
        </w:rPr>
        <w:t>Le</w:t>
      </w:r>
      <w:r w:rsidRPr="003B1303" w:rsidR="001F72B2">
        <w:rPr>
          <w:lang w:val="fr-FR"/>
        </w:rPr>
        <w:t xml:space="preserve"> 16 avril 2008, le </w:t>
      </w:r>
      <w:r w:rsidRPr="003B1303" w:rsidR="00F21E51">
        <w:rPr>
          <w:lang w:val="fr-FR"/>
        </w:rPr>
        <w:t xml:space="preserve">second </w:t>
      </w:r>
      <w:r w:rsidRPr="003B1303" w:rsidR="001F72B2">
        <w:rPr>
          <w:lang w:val="fr-FR"/>
        </w:rPr>
        <w:t xml:space="preserve">requérant </w:t>
      </w:r>
      <w:r w:rsidRPr="003B1303" w:rsidR="00381BEE">
        <w:rPr>
          <w:lang w:val="fr-FR"/>
        </w:rPr>
        <w:t>rédigea une déclaration d</w:t>
      </w:r>
      <w:r w:rsidRPr="003B1303" w:rsidR="003B1303">
        <w:rPr>
          <w:lang w:val="fr-FR"/>
        </w:rPr>
        <w:t>’</w:t>
      </w:r>
      <w:r w:rsidRPr="003B1303" w:rsidR="00381BEE">
        <w:rPr>
          <w:lang w:val="fr-FR"/>
        </w:rPr>
        <w:t xml:space="preserve">aveux dans laquelle il </w:t>
      </w:r>
      <w:r w:rsidRPr="003B1303" w:rsidR="001F72B2">
        <w:rPr>
          <w:lang w:val="fr-FR"/>
        </w:rPr>
        <w:t>avou</w:t>
      </w:r>
      <w:r w:rsidRPr="003B1303" w:rsidR="00381BEE">
        <w:rPr>
          <w:lang w:val="fr-FR"/>
        </w:rPr>
        <w:t>a</w:t>
      </w:r>
      <w:r w:rsidRPr="003B1303" w:rsidR="00E30B4B">
        <w:rPr>
          <w:lang w:val="fr-FR"/>
        </w:rPr>
        <w:t>it</w:t>
      </w:r>
      <w:r w:rsidRPr="003B1303" w:rsidR="001F72B2">
        <w:rPr>
          <w:lang w:val="fr-FR"/>
        </w:rPr>
        <w:t xml:space="preserve"> avoir commis le meurtre de S. en bande organisée. </w:t>
      </w:r>
      <w:r w:rsidRPr="003B1303" w:rsidR="00AE72CF">
        <w:rPr>
          <w:lang w:val="fr-FR"/>
        </w:rPr>
        <w:t>Il</w:t>
      </w:r>
      <w:r w:rsidRPr="003B1303" w:rsidR="008872C7">
        <w:rPr>
          <w:lang w:val="fr-FR"/>
        </w:rPr>
        <w:t xml:space="preserve"> déclara </w:t>
      </w:r>
      <w:r w:rsidRPr="003B1303" w:rsidR="00AE72CF">
        <w:rPr>
          <w:lang w:val="fr-FR"/>
        </w:rPr>
        <w:t xml:space="preserve">notamment </w:t>
      </w:r>
      <w:r w:rsidRPr="003B1303" w:rsidR="008872C7">
        <w:rPr>
          <w:lang w:val="fr-FR"/>
        </w:rPr>
        <w:t>qu</w:t>
      </w:r>
      <w:r w:rsidRPr="003B1303" w:rsidR="003B1303">
        <w:rPr>
          <w:lang w:val="fr-FR"/>
        </w:rPr>
        <w:t>’</w:t>
      </w:r>
      <w:r w:rsidRPr="003B1303" w:rsidR="008872C7">
        <w:rPr>
          <w:lang w:val="fr-FR"/>
        </w:rPr>
        <w:t xml:space="preserve">il avait </w:t>
      </w:r>
      <w:r w:rsidRPr="003B1303" w:rsidR="00AE72CF">
        <w:rPr>
          <w:lang w:val="fr-FR"/>
        </w:rPr>
        <w:t xml:space="preserve">commis </w:t>
      </w:r>
      <w:r w:rsidRPr="003B1303" w:rsidR="008872C7">
        <w:rPr>
          <w:lang w:val="fr-FR"/>
        </w:rPr>
        <w:t>l</w:t>
      </w:r>
      <w:r w:rsidRPr="003B1303" w:rsidR="003B1303">
        <w:rPr>
          <w:lang w:val="fr-FR"/>
        </w:rPr>
        <w:t>’</w:t>
      </w:r>
      <w:r w:rsidRPr="003B1303" w:rsidR="00E21E32">
        <w:rPr>
          <w:lang w:val="fr-FR"/>
        </w:rPr>
        <w:t>assassinat de S. le 5 </w:t>
      </w:r>
      <w:r w:rsidRPr="003B1303" w:rsidR="008872C7">
        <w:rPr>
          <w:lang w:val="fr-FR"/>
        </w:rPr>
        <w:t xml:space="preserve">janvier 1998 avec le concours de ses complices </w:t>
      </w:r>
      <w:r w:rsidRPr="003B1303" w:rsidR="00817002">
        <w:rPr>
          <w:lang w:val="fr-FR"/>
        </w:rPr>
        <w:t>E. Mas.</w:t>
      </w:r>
      <w:r w:rsidRPr="003B1303" w:rsidR="008872C7">
        <w:rPr>
          <w:lang w:val="fr-FR"/>
        </w:rPr>
        <w:t xml:space="preserve">, </w:t>
      </w:r>
      <w:r w:rsidRPr="003B1303" w:rsidR="00817002">
        <w:rPr>
          <w:lang w:val="fr-FR"/>
        </w:rPr>
        <w:t>D. Che.</w:t>
      </w:r>
      <w:r w:rsidRPr="003B1303" w:rsidR="008872C7">
        <w:rPr>
          <w:lang w:val="fr-FR"/>
        </w:rPr>
        <w:t>, A. </w:t>
      </w:r>
      <w:proofErr w:type="spellStart"/>
      <w:r w:rsidRPr="003B1303" w:rsidR="008872C7">
        <w:rPr>
          <w:lang w:val="fr-FR"/>
        </w:rPr>
        <w:t>Kur</w:t>
      </w:r>
      <w:proofErr w:type="spellEnd"/>
      <w:r w:rsidRPr="003B1303" w:rsidR="008872C7">
        <w:rPr>
          <w:lang w:val="fr-FR"/>
        </w:rPr>
        <w:t xml:space="preserve">. </w:t>
      </w:r>
      <w:proofErr w:type="gramStart"/>
      <w:r w:rsidRPr="003B1303" w:rsidR="008872C7">
        <w:rPr>
          <w:lang w:val="fr-FR"/>
        </w:rPr>
        <w:t>et</w:t>
      </w:r>
      <w:proofErr w:type="gramEnd"/>
      <w:r w:rsidRPr="003B1303" w:rsidR="008872C7">
        <w:rPr>
          <w:lang w:val="fr-FR"/>
        </w:rPr>
        <w:t xml:space="preserve">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sidR="008872C7">
        <w:rPr>
          <w:lang w:val="fr-FR"/>
        </w:rPr>
        <w:t xml:space="preserve"> </w:t>
      </w:r>
      <w:proofErr w:type="gramStart"/>
      <w:r w:rsidRPr="003B1303" w:rsidR="008872C7">
        <w:rPr>
          <w:lang w:val="fr-FR"/>
        </w:rPr>
        <w:t>sur</w:t>
      </w:r>
      <w:proofErr w:type="gramEnd"/>
      <w:r w:rsidRPr="003B1303" w:rsidR="008872C7">
        <w:rPr>
          <w:lang w:val="fr-FR"/>
        </w:rPr>
        <w:t xml:space="preserve"> demande de </w:t>
      </w:r>
      <w:r w:rsidRPr="003B1303" w:rsidR="00817002">
        <w:rPr>
          <w:lang w:val="fr-FR"/>
        </w:rPr>
        <w:t>V. </w:t>
      </w:r>
      <w:proofErr w:type="spellStart"/>
      <w:r w:rsidRPr="003B1303" w:rsidR="00817002">
        <w:rPr>
          <w:lang w:val="fr-FR"/>
        </w:rPr>
        <w:t>Zag</w:t>
      </w:r>
      <w:proofErr w:type="spellEnd"/>
      <w:r w:rsidRPr="003B1303" w:rsidR="00817002">
        <w:rPr>
          <w:lang w:val="fr-FR"/>
        </w:rPr>
        <w:t>.</w:t>
      </w:r>
      <w:r w:rsidRPr="003B1303" w:rsidR="00332B30">
        <w:rPr>
          <w:lang w:val="fr-FR"/>
        </w:rPr>
        <w:t xml:space="preserve"> </w:t>
      </w:r>
      <w:proofErr w:type="gramStart"/>
      <w:r w:rsidRPr="003B1303" w:rsidR="00332B30">
        <w:rPr>
          <w:lang w:val="fr-FR"/>
        </w:rPr>
        <w:t>et</w:t>
      </w:r>
      <w:proofErr w:type="gramEnd"/>
      <w:r w:rsidRPr="003B1303" w:rsidR="00332B30">
        <w:rPr>
          <w:lang w:val="fr-FR"/>
        </w:rPr>
        <w:t xml:space="preserve"> de</w:t>
      </w:r>
      <w:r w:rsidRPr="003B1303" w:rsidR="008872C7">
        <w:rPr>
          <w:lang w:val="fr-FR"/>
        </w:rPr>
        <w:t xml:space="preserve"> V. Mol. Il déclara en outre savoir que l</w:t>
      </w:r>
      <w:r w:rsidRPr="003B1303" w:rsidR="003B1303">
        <w:rPr>
          <w:lang w:val="fr-FR"/>
        </w:rPr>
        <w:t>’</w:t>
      </w:r>
      <w:r w:rsidRPr="003B1303" w:rsidR="008872C7">
        <w:rPr>
          <w:lang w:val="fr-FR"/>
        </w:rPr>
        <w:t xml:space="preserve">assassinat </w:t>
      </w:r>
      <w:r w:rsidRPr="003B1303" w:rsidR="00AE72CF">
        <w:rPr>
          <w:lang w:val="fr-FR"/>
        </w:rPr>
        <w:t xml:space="preserve">avait été </w:t>
      </w:r>
      <w:r w:rsidRPr="003B1303" w:rsidR="008872C7">
        <w:rPr>
          <w:lang w:val="fr-FR"/>
        </w:rPr>
        <w:t>command</w:t>
      </w:r>
      <w:r w:rsidRPr="003B1303" w:rsidR="00332B30">
        <w:rPr>
          <w:lang w:val="fr-FR"/>
        </w:rPr>
        <w:t>it</w:t>
      </w:r>
      <w:r w:rsidRPr="003B1303" w:rsidR="008872C7">
        <w:rPr>
          <w:lang w:val="fr-FR"/>
        </w:rPr>
        <w:t xml:space="preserve">é par le premier requérant et par </w:t>
      </w:r>
      <w:proofErr w:type="spellStart"/>
      <w:r w:rsidRPr="003B1303" w:rsidR="008872C7">
        <w:rPr>
          <w:lang w:val="fr-FR"/>
        </w:rPr>
        <w:t>Kh</w:t>
      </w:r>
      <w:proofErr w:type="spellEnd"/>
      <w:r w:rsidRPr="003B1303" w:rsidR="00332B30">
        <w:rPr>
          <w:lang w:val="fr-FR"/>
        </w:rPr>
        <w:t xml:space="preserve">. </w:t>
      </w:r>
      <w:r w:rsidRPr="003B1303" w:rsidR="001F72B2">
        <w:rPr>
          <w:lang w:val="fr-FR"/>
        </w:rPr>
        <w:t xml:space="preserve">Ses aveux furent retranscrits dans un procès-verbal par </w:t>
      </w:r>
      <w:r w:rsidRPr="003B1303" w:rsidR="008121A7">
        <w:rPr>
          <w:lang w:val="fr-FR"/>
        </w:rPr>
        <w:t>l</w:t>
      </w:r>
      <w:r w:rsidRPr="003B1303" w:rsidR="003B1303">
        <w:rPr>
          <w:lang w:val="fr-FR"/>
        </w:rPr>
        <w:t>’</w:t>
      </w:r>
      <w:r w:rsidRPr="003B1303" w:rsidR="008121A7">
        <w:rPr>
          <w:lang w:val="fr-FR"/>
        </w:rPr>
        <w:t xml:space="preserve">officier de police </w:t>
      </w:r>
      <w:r w:rsidRPr="003B1303" w:rsidR="001F72B2">
        <w:rPr>
          <w:lang w:val="fr-FR"/>
        </w:rPr>
        <w:t xml:space="preserve">Te. </w:t>
      </w:r>
      <w:proofErr w:type="gramStart"/>
      <w:r w:rsidRPr="003B1303" w:rsidR="001F72B2">
        <w:rPr>
          <w:lang w:val="fr-FR"/>
        </w:rPr>
        <w:t>et</w:t>
      </w:r>
      <w:proofErr w:type="gramEnd"/>
      <w:r w:rsidRPr="003B1303" w:rsidR="001F72B2">
        <w:rPr>
          <w:lang w:val="fr-FR"/>
        </w:rPr>
        <w:t xml:space="preserve"> transmis aux enquêteurs chargés de </w:t>
      </w:r>
      <w:r w:rsidRPr="003B1303" w:rsidR="00F21E51">
        <w:rPr>
          <w:lang w:val="fr-FR"/>
        </w:rPr>
        <w:t>l</w:t>
      </w:r>
      <w:r w:rsidRPr="003B1303" w:rsidR="003B1303">
        <w:rPr>
          <w:lang w:val="fr-FR"/>
        </w:rPr>
        <w:t>’</w:t>
      </w:r>
      <w:r w:rsidRPr="003B1303" w:rsidR="00F21E51">
        <w:rPr>
          <w:lang w:val="fr-FR"/>
        </w:rPr>
        <w:t xml:space="preserve">enquête </w:t>
      </w:r>
      <w:r w:rsidRPr="003B1303" w:rsidR="001F72B2">
        <w:rPr>
          <w:lang w:val="fr-FR"/>
        </w:rPr>
        <w:t>pénale</w:t>
      </w:r>
      <w:r w:rsidRPr="003B1303" w:rsidR="008121A7">
        <w:rPr>
          <w:lang w:val="fr-FR"/>
        </w:rPr>
        <w:t xml:space="preserve"> n</w:t>
      </w:r>
      <w:r w:rsidRPr="003B1303" w:rsidR="008121A7">
        <w:rPr>
          <w:vertAlign w:val="superscript"/>
          <w:lang w:val="fr-FR"/>
        </w:rPr>
        <w:t>o</w:t>
      </w:r>
      <w:r w:rsidRPr="003B1303" w:rsidR="008121A7">
        <w:rPr>
          <w:lang w:val="fr-FR"/>
        </w:rPr>
        <w:t> 16029</w:t>
      </w:r>
      <w:r w:rsidRPr="003B1303" w:rsidR="001F72B2">
        <w:rPr>
          <w:lang w:val="fr-FR"/>
        </w:rPr>
        <w:t>.</w:t>
      </w:r>
    </w:p>
    <w:bookmarkStart w:name="certmedr2" w:id="29"/>
    <w:p w:rsidRPr="003B1303" w:rsidR="00381BEE" w:rsidP="003B1303" w:rsidRDefault="00381BEE">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54</w:t>
      </w:r>
      <w:r w:rsidRPr="003B1303">
        <w:rPr>
          <w:lang w:val="fr-FR"/>
        </w:rPr>
        <w:fldChar w:fldCharType="end"/>
      </w:r>
      <w:bookmarkEnd w:id="29"/>
      <w:r w:rsidRPr="003B1303">
        <w:rPr>
          <w:lang w:val="fr-FR"/>
        </w:rPr>
        <w:t>.  Le 25 avril 2008, le médecin de la maison d</w:t>
      </w:r>
      <w:r w:rsidRPr="003B1303" w:rsidR="003B1303">
        <w:rPr>
          <w:lang w:val="fr-FR"/>
        </w:rPr>
        <w:t>’</w:t>
      </w:r>
      <w:r w:rsidRPr="003B1303">
        <w:rPr>
          <w:lang w:val="fr-FR"/>
        </w:rPr>
        <w:t xml:space="preserve">arrêt constata la présence de trois coupures sur le cou et le visage du </w:t>
      </w:r>
      <w:r w:rsidRPr="003B1303" w:rsidR="00F21E51">
        <w:rPr>
          <w:lang w:val="fr-FR"/>
        </w:rPr>
        <w:t xml:space="preserve">second </w:t>
      </w:r>
      <w:r w:rsidRPr="003B1303">
        <w:rPr>
          <w:lang w:val="fr-FR"/>
        </w:rPr>
        <w:t>requérant et en informa l</w:t>
      </w:r>
      <w:r w:rsidRPr="003B1303" w:rsidR="003B1303">
        <w:rPr>
          <w:lang w:val="fr-FR"/>
        </w:rPr>
        <w:t>’</w:t>
      </w:r>
      <w:r w:rsidRPr="003B1303">
        <w:rPr>
          <w:lang w:val="fr-FR"/>
        </w:rPr>
        <w:t>administration.</w:t>
      </w:r>
    </w:p>
    <w:bookmarkStart w:name="ord30avr2" w:id="30"/>
    <w:p w:rsidRPr="003B1303" w:rsidR="001F72B2" w:rsidP="003B1303" w:rsidRDefault="0088214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55</w:t>
      </w:r>
      <w:r w:rsidRPr="003B1303">
        <w:rPr>
          <w:lang w:val="fr-FR"/>
        </w:rPr>
        <w:fldChar w:fldCharType="end"/>
      </w:r>
      <w:bookmarkEnd w:id="30"/>
      <w:r w:rsidRPr="003B1303">
        <w:rPr>
          <w:lang w:val="fr-FR"/>
        </w:rPr>
        <w:t>.  </w:t>
      </w:r>
      <w:r w:rsidRPr="003B1303" w:rsidR="001F72B2">
        <w:rPr>
          <w:lang w:val="fr-FR"/>
        </w:rPr>
        <w:t>Le 30 avril 2008, la décision de l</w:t>
      </w:r>
      <w:r w:rsidRPr="003B1303" w:rsidR="003B1303">
        <w:rPr>
          <w:lang w:val="fr-FR"/>
        </w:rPr>
        <w:t>’</w:t>
      </w:r>
      <w:r w:rsidRPr="003B1303" w:rsidR="001F72B2">
        <w:rPr>
          <w:lang w:val="fr-FR"/>
        </w:rPr>
        <w:t xml:space="preserve">enquêteur B. de mettre le </w:t>
      </w:r>
      <w:r w:rsidRPr="003B1303" w:rsidR="00F21E51">
        <w:rPr>
          <w:lang w:val="fr-FR"/>
        </w:rPr>
        <w:t xml:space="preserve">second </w:t>
      </w:r>
      <w:r w:rsidRPr="003B1303" w:rsidR="001F72B2">
        <w:rPr>
          <w:lang w:val="fr-FR"/>
        </w:rPr>
        <w:t>requérant en examen, sur le fondement des articles 91 et 92 du CPP, en tant que personne soupçonnée d</w:t>
      </w:r>
      <w:r w:rsidRPr="003B1303" w:rsidR="003B1303">
        <w:rPr>
          <w:lang w:val="fr-FR"/>
        </w:rPr>
        <w:t>’</w:t>
      </w:r>
      <w:r w:rsidRPr="003B1303" w:rsidR="001F72B2">
        <w:rPr>
          <w:lang w:val="fr-FR"/>
        </w:rPr>
        <w:t>avoir commis une infraction pénale,</w:t>
      </w:r>
      <w:r w:rsidRPr="003B1303" w:rsidDel="00AD10FE" w:rsidR="001F72B2">
        <w:rPr>
          <w:lang w:val="fr-FR"/>
        </w:rPr>
        <w:t xml:space="preserve"> </w:t>
      </w:r>
      <w:r w:rsidRPr="003B1303" w:rsidR="001F72B2">
        <w:rPr>
          <w:lang w:val="fr-FR"/>
        </w:rPr>
        <w:t>fut notifiée à l</w:t>
      </w:r>
      <w:r w:rsidRPr="003B1303" w:rsidR="003B1303">
        <w:rPr>
          <w:lang w:val="fr-FR"/>
        </w:rPr>
        <w:t>’</w:t>
      </w:r>
      <w:r w:rsidRPr="003B1303" w:rsidR="001F72B2">
        <w:rPr>
          <w:lang w:val="fr-FR"/>
        </w:rPr>
        <w:t>intéressé. Ce dernier signa, en présence d</w:t>
      </w:r>
      <w:r w:rsidRPr="003B1303" w:rsidR="003B1303">
        <w:rPr>
          <w:lang w:val="fr-FR"/>
        </w:rPr>
        <w:t>’</w:t>
      </w:r>
      <w:r w:rsidRPr="003B1303" w:rsidR="001F72B2">
        <w:rPr>
          <w:lang w:val="fr-FR"/>
        </w:rPr>
        <w:t>une avocate commise d</w:t>
      </w:r>
      <w:r w:rsidRPr="003B1303" w:rsidR="003B1303">
        <w:rPr>
          <w:lang w:val="fr-FR"/>
        </w:rPr>
        <w:t>’</w:t>
      </w:r>
      <w:r w:rsidRPr="003B1303" w:rsidR="001F72B2">
        <w:rPr>
          <w:lang w:val="fr-FR"/>
        </w:rPr>
        <w:t>office, P., un procès-verbal de mise en examen par lequel il fut informé de son droit de garder le silence et de son droit à bénéficier de l</w:t>
      </w:r>
      <w:r w:rsidRPr="003B1303" w:rsidR="003B1303">
        <w:rPr>
          <w:lang w:val="fr-FR"/>
        </w:rPr>
        <w:t>’</w:t>
      </w:r>
      <w:r w:rsidRPr="003B1303" w:rsidR="001F72B2">
        <w:rPr>
          <w:lang w:val="fr-FR"/>
        </w:rPr>
        <w:t>assistance d</w:t>
      </w:r>
      <w:r w:rsidRPr="003B1303" w:rsidR="003B1303">
        <w:rPr>
          <w:lang w:val="fr-FR"/>
        </w:rPr>
        <w:t>’</w:t>
      </w:r>
      <w:r w:rsidRPr="003B1303" w:rsidR="001F72B2">
        <w:rPr>
          <w:lang w:val="fr-FR"/>
        </w:rPr>
        <w:t>un défenseur, et averti que toutes ses dépositions pourraient être utilisées en tant que preuves dans le cadre de l</w:t>
      </w:r>
      <w:r w:rsidRPr="003B1303" w:rsidR="003B1303">
        <w:rPr>
          <w:lang w:val="fr-FR"/>
        </w:rPr>
        <w:t>’</w:t>
      </w:r>
      <w:r w:rsidRPr="003B1303" w:rsidR="001F72B2">
        <w:rPr>
          <w:lang w:val="fr-FR"/>
        </w:rPr>
        <w:t>affaire pénale même s</w:t>
      </w:r>
      <w:r w:rsidRPr="003B1303" w:rsidR="003B1303">
        <w:rPr>
          <w:lang w:val="fr-FR"/>
        </w:rPr>
        <w:t>’</w:t>
      </w:r>
      <w:r w:rsidRPr="003B1303" w:rsidR="001F72B2">
        <w:rPr>
          <w:lang w:val="fr-FR"/>
        </w:rPr>
        <w:t>il rétractait ultérieurement ses dépositions.</w:t>
      </w:r>
    </w:p>
    <w:bookmarkStart w:name="interR2" w:id="31"/>
    <w:p w:rsidRPr="003B1303" w:rsidR="00BE4C83" w:rsidP="003B1303" w:rsidRDefault="0088214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56</w:t>
      </w:r>
      <w:r w:rsidRPr="003B1303">
        <w:rPr>
          <w:lang w:val="fr-FR"/>
        </w:rPr>
        <w:fldChar w:fldCharType="end"/>
      </w:r>
      <w:bookmarkEnd w:id="31"/>
      <w:r w:rsidRPr="003B1303">
        <w:rPr>
          <w:lang w:val="fr-FR"/>
        </w:rPr>
        <w:t>.  </w:t>
      </w:r>
      <w:r w:rsidRPr="003B1303" w:rsidR="001F72B2">
        <w:rPr>
          <w:lang w:val="fr-FR"/>
        </w:rPr>
        <w:t xml:space="preserve">Pendant les interrogatoires du </w:t>
      </w:r>
      <w:r w:rsidRPr="003B1303" w:rsidR="00F21E51">
        <w:rPr>
          <w:lang w:val="fr-FR"/>
        </w:rPr>
        <w:t xml:space="preserve">second </w:t>
      </w:r>
      <w:r w:rsidRPr="003B1303" w:rsidR="001F72B2">
        <w:rPr>
          <w:lang w:val="fr-FR"/>
        </w:rPr>
        <w:t>requérant</w:t>
      </w:r>
      <w:r w:rsidRPr="003B1303" w:rsidR="00402CBD">
        <w:rPr>
          <w:lang w:val="fr-FR"/>
        </w:rPr>
        <w:t>,</w:t>
      </w:r>
      <w:r w:rsidRPr="003B1303" w:rsidR="001F72B2">
        <w:rPr>
          <w:lang w:val="fr-FR"/>
        </w:rPr>
        <w:t xml:space="preserve"> qui eurent lieu le 30</w:t>
      </w:r>
      <w:r w:rsidRPr="003B1303" w:rsidR="006E5EBE">
        <w:rPr>
          <w:lang w:val="fr-FR"/>
        </w:rPr>
        <w:t> </w:t>
      </w:r>
      <w:r w:rsidRPr="003B1303" w:rsidR="001F72B2">
        <w:rPr>
          <w:lang w:val="fr-FR"/>
        </w:rPr>
        <w:t>avril, 12 et 14 mai et 24 septembre 2008</w:t>
      </w:r>
      <w:r w:rsidRPr="003B1303" w:rsidR="00402CBD">
        <w:rPr>
          <w:lang w:val="fr-FR"/>
        </w:rPr>
        <w:t>,</w:t>
      </w:r>
      <w:r w:rsidRPr="003B1303" w:rsidR="001F72B2">
        <w:rPr>
          <w:lang w:val="fr-FR"/>
        </w:rPr>
        <w:t xml:space="preserve"> ainsi que pendant la reconstitution des faits sur les lieux du crime le 14 mai 2008, </w:t>
      </w:r>
      <w:r w:rsidRPr="003B1303" w:rsidR="00402CBD">
        <w:rPr>
          <w:lang w:val="fr-FR"/>
        </w:rPr>
        <w:t>l</w:t>
      </w:r>
      <w:r w:rsidRPr="003B1303" w:rsidR="003B1303">
        <w:rPr>
          <w:lang w:val="fr-FR"/>
        </w:rPr>
        <w:t>’</w:t>
      </w:r>
      <w:r w:rsidRPr="003B1303" w:rsidR="00402CBD">
        <w:rPr>
          <w:lang w:val="fr-FR"/>
        </w:rPr>
        <w:t>intéressé</w:t>
      </w:r>
      <w:r w:rsidRPr="003B1303" w:rsidR="001F72B2">
        <w:rPr>
          <w:lang w:val="fr-FR"/>
        </w:rPr>
        <w:t>, assisté de l</w:t>
      </w:r>
      <w:r w:rsidRPr="003B1303" w:rsidR="003B1303">
        <w:rPr>
          <w:lang w:val="fr-FR"/>
        </w:rPr>
        <w:t>’</w:t>
      </w:r>
      <w:r w:rsidRPr="003B1303" w:rsidR="001F72B2">
        <w:rPr>
          <w:lang w:val="fr-FR"/>
        </w:rPr>
        <w:t xml:space="preserve">avocate </w:t>
      </w:r>
      <w:r w:rsidRPr="003B1303" w:rsidR="000466E9">
        <w:rPr>
          <w:lang w:val="fr-FR"/>
        </w:rPr>
        <w:t>commise d</w:t>
      </w:r>
      <w:r w:rsidRPr="003B1303" w:rsidR="003B1303">
        <w:rPr>
          <w:lang w:val="fr-FR"/>
        </w:rPr>
        <w:t>’</w:t>
      </w:r>
      <w:r w:rsidRPr="003B1303" w:rsidR="000466E9">
        <w:rPr>
          <w:lang w:val="fr-FR"/>
        </w:rPr>
        <w:t xml:space="preserve">office </w:t>
      </w:r>
      <w:r w:rsidRPr="003B1303" w:rsidR="001F72B2">
        <w:rPr>
          <w:lang w:val="fr-FR"/>
        </w:rPr>
        <w:t>P., confirma avoir participé au meurtre de S. et signa les procès-verbaux correspondants.</w:t>
      </w:r>
    </w:p>
    <w:p w:rsidRPr="003B1303" w:rsidR="00882149" w:rsidP="003B1303" w:rsidRDefault="00DD6941">
      <w:pPr>
        <w:pStyle w:val="ECHRHeading4"/>
        <w:rPr>
          <w:lang w:val="fr-FR"/>
        </w:rPr>
      </w:pPr>
      <w:r w:rsidRPr="003B1303">
        <w:rPr>
          <w:lang w:val="fr-FR"/>
        </w:rPr>
        <w:t>c)</w:t>
      </w:r>
      <w:r w:rsidRPr="003B1303" w:rsidR="000466E9">
        <w:rPr>
          <w:lang w:val="fr-FR"/>
        </w:rPr>
        <w:t>  </w:t>
      </w:r>
      <w:r w:rsidRPr="003B1303" w:rsidR="00882149">
        <w:rPr>
          <w:lang w:val="fr-FR"/>
        </w:rPr>
        <w:t xml:space="preserve">Les vérifications menées sur </w:t>
      </w:r>
      <w:r w:rsidRPr="003B1303" w:rsidR="00F3774B">
        <w:rPr>
          <w:lang w:val="fr-FR"/>
        </w:rPr>
        <w:t xml:space="preserve">les allégations de mauvais traitements </w:t>
      </w:r>
      <w:r w:rsidRPr="003B1303" w:rsidR="008121A7">
        <w:rPr>
          <w:lang w:val="fr-FR"/>
        </w:rPr>
        <w:t>du second requérant</w:t>
      </w:r>
    </w:p>
    <w:bookmarkStart w:name="ref144initr2" w:id="32"/>
    <w:p w:rsidRPr="003B1303" w:rsidR="001F72B2" w:rsidP="003B1303" w:rsidRDefault="0021083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57</w:t>
      </w:r>
      <w:r w:rsidRPr="003B1303">
        <w:rPr>
          <w:lang w:val="fr-FR"/>
        </w:rPr>
        <w:fldChar w:fldCharType="end"/>
      </w:r>
      <w:bookmarkEnd w:id="32"/>
      <w:r w:rsidRPr="003B1303">
        <w:rPr>
          <w:lang w:val="fr-FR"/>
        </w:rPr>
        <w:t>.  </w:t>
      </w:r>
      <w:r w:rsidRPr="003B1303" w:rsidR="001F72B2">
        <w:rPr>
          <w:lang w:val="fr-FR"/>
        </w:rPr>
        <w:t>Le 20 mai 2008, à l</w:t>
      </w:r>
      <w:r w:rsidRPr="003B1303" w:rsidR="003B1303">
        <w:rPr>
          <w:lang w:val="fr-FR"/>
        </w:rPr>
        <w:t>’</w:t>
      </w:r>
      <w:r w:rsidRPr="003B1303" w:rsidR="001F72B2">
        <w:rPr>
          <w:lang w:val="fr-FR"/>
        </w:rPr>
        <w:t>issue d</w:t>
      </w:r>
      <w:r w:rsidRPr="003B1303" w:rsidR="003B1303">
        <w:rPr>
          <w:lang w:val="fr-FR"/>
        </w:rPr>
        <w:t>’</w:t>
      </w:r>
      <w:r w:rsidRPr="003B1303" w:rsidR="001F72B2">
        <w:rPr>
          <w:lang w:val="fr-FR"/>
        </w:rPr>
        <w:t>une vérification interne, le directeur de la maison d</w:t>
      </w:r>
      <w:r w:rsidRPr="003B1303" w:rsidR="003B1303">
        <w:rPr>
          <w:lang w:val="fr-FR"/>
        </w:rPr>
        <w:t>’</w:t>
      </w:r>
      <w:r w:rsidRPr="003B1303" w:rsidR="001F72B2">
        <w:rPr>
          <w:lang w:val="fr-FR"/>
        </w:rPr>
        <w:t>arrêt décida qu</w:t>
      </w:r>
      <w:r w:rsidRPr="003B1303" w:rsidR="003B1303">
        <w:rPr>
          <w:lang w:val="fr-FR"/>
        </w:rPr>
        <w:t>’</w:t>
      </w:r>
      <w:r w:rsidRPr="003B1303" w:rsidR="001F72B2">
        <w:rPr>
          <w:lang w:val="fr-FR"/>
        </w:rPr>
        <w:t>il n</w:t>
      </w:r>
      <w:r w:rsidRPr="003B1303" w:rsidR="003B1303">
        <w:rPr>
          <w:lang w:val="fr-FR"/>
        </w:rPr>
        <w:t>’</w:t>
      </w:r>
      <w:r w:rsidRPr="003B1303" w:rsidR="001F72B2">
        <w:rPr>
          <w:lang w:val="fr-FR"/>
        </w:rPr>
        <w:t>y avait pas lieu d</w:t>
      </w:r>
      <w:r w:rsidRPr="003B1303" w:rsidR="003B1303">
        <w:rPr>
          <w:lang w:val="fr-FR"/>
        </w:rPr>
        <w:t>’</w:t>
      </w:r>
      <w:r w:rsidRPr="003B1303" w:rsidR="001F72B2">
        <w:rPr>
          <w:lang w:val="fr-FR"/>
        </w:rPr>
        <w:t>ouvrir une enquête sur l</w:t>
      </w:r>
      <w:r w:rsidRPr="003B1303" w:rsidR="003B1303">
        <w:rPr>
          <w:lang w:val="fr-FR"/>
        </w:rPr>
        <w:t>’</w:t>
      </w:r>
      <w:r w:rsidRPr="003B1303" w:rsidR="001F72B2">
        <w:rPr>
          <w:lang w:val="fr-FR"/>
        </w:rPr>
        <w:t xml:space="preserve">origine des lésions constatées sur le </w:t>
      </w:r>
      <w:r w:rsidRPr="003B1303" w:rsidR="00AA5216">
        <w:rPr>
          <w:lang w:val="fr-FR"/>
        </w:rPr>
        <w:t xml:space="preserve">second </w:t>
      </w:r>
      <w:r w:rsidRPr="003B1303" w:rsidR="001F72B2">
        <w:rPr>
          <w:lang w:val="fr-FR"/>
        </w:rPr>
        <w:t xml:space="preserve">requérant </w:t>
      </w:r>
      <w:r w:rsidRPr="003B1303" w:rsidR="008121A7">
        <w:rPr>
          <w:lang w:val="fr-FR"/>
        </w:rPr>
        <w:t xml:space="preserve">par le médecin </w:t>
      </w:r>
      <w:r w:rsidRPr="003B1303" w:rsidR="00402CBD">
        <w:rPr>
          <w:lang w:val="fr-FR"/>
        </w:rPr>
        <w:t>de la maison d</w:t>
      </w:r>
      <w:r w:rsidRPr="003B1303" w:rsidR="003B1303">
        <w:rPr>
          <w:lang w:val="fr-FR"/>
        </w:rPr>
        <w:t>’</w:t>
      </w:r>
      <w:r w:rsidRPr="003B1303" w:rsidR="00402CBD">
        <w:rPr>
          <w:lang w:val="fr-FR"/>
        </w:rPr>
        <w:t xml:space="preserve">arrêt </w:t>
      </w:r>
      <w:r w:rsidRPr="003B1303" w:rsidR="008121A7">
        <w:rPr>
          <w:lang w:val="fr-FR"/>
        </w:rPr>
        <w:t>le 25 </w:t>
      </w:r>
      <w:r w:rsidRPr="003B1303" w:rsidR="001F72B2">
        <w:rPr>
          <w:lang w:val="fr-FR"/>
        </w:rPr>
        <w:t xml:space="preserve">avril 2008. Selon cette décision, le </w:t>
      </w:r>
      <w:r w:rsidRPr="003B1303" w:rsidR="00AA5216">
        <w:rPr>
          <w:lang w:val="fr-FR"/>
        </w:rPr>
        <w:t xml:space="preserve">second </w:t>
      </w:r>
      <w:r w:rsidRPr="003B1303" w:rsidR="001F72B2">
        <w:rPr>
          <w:lang w:val="fr-FR"/>
        </w:rPr>
        <w:t>requérant avait déclaré s</w:t>
      </w:r>
      <w:r w:rsidRPr="003B1303" w:rsidR="003B1303">
        <w:rPr>
          <w:lang w:val="fr-FR"/>
        </w:rPr>
        <w:t>’</w:t>
      </w:r>
      <w:r w:rsidRPr="003B1303" w:rsidR="001F72B2">
        <w:rPr>
          <w:lang w:val="fr-FR"/>
        </w:rPr>
        <w:t>être coupé lui-même alors qu</w:t>
      </w:r>
      <w:r w:rsidRPr="003B1303" w:rsidR="003B1303">
        <w:rPr>
          <w:lang w:val="fr-FR"/>
        </w:rPr>
        <w:t>’</w:t>
      </w:r>
      <w:r w:rsidRPr="003B1303" w:rsidR="001F72B2">
        <w:rPr>
          <w:lang w:val="fr-FR"/>
        </w:rPr>
        <w:t xml:space="preserve">il </w:t>
      </w:r>
      <w:r w:rsidRPr="003B1303" w:rsidR="00B12ECC">
        <w:rPr>
          <w:lang w:val="fr-FR"/>
        </w:rPr>
        <w:t>souffrait</w:t>
      </w:r>
      <w:r w:rsidRPr="003B1303" w:rsidR="001F72B2">
        <w:rPr>
          <w:lang w:val="fr-FR"/>
        </w:rPr>
        <w:t xml:space="preserve"> d</w:t>
      </w:r>
      <w:r w:rsidRPr="003B1303" w:rsidR="003B1303">
        <w:rPr>
          <w:lang w:val="fr-FR"/>
        </w:rPr>
        <w:t>’</w:t>
      </w:r>
      <w:r w:rsidRPr="003B1303" w:rsidR="00B12ECC">
        <w:rPr>
          <w:lang w:val="fr-FR"/>
        </w:rPr>
        <w:t>une</w:t>
      </w:r>
      <w:r w:rsidRPr="003B1303" w:rsidR="001F72B2">
        <w:rPr>
          <w:lang w:val="fr-FR"/>
        </w:rPr>
        <w:t xml:space="preserve"> dépression. Cette décision ne fut notifiée</w:t>
      </w:r>
      <w:r w:rsidRPr="003B1303" w:rsidR="00154F7B">
        <w:rPr>
          <w:lang w:val="fr-FR"/>
        </w:rPr>
        <w:t xml:space="preserve"> </w:t>
      </w:r>
      <w:r w:rsidRPr="003B1303" w:rsidR="00B12ECC">
        <w:rPr>
          <w:lang w:val="fr-FR"/>
        </w:rPr>
        <w:t>à l</w:t>
      </w:r>
      <w:r w:rsidRPr="003B1303" w:rsidR="003B1303">
        <w:rPr>
          <w:lang w:val="fr-FR"/>
        </w:rPr>
        <w:t>’</w:t>
      </w:r>
      <w:r w:rsidRPr="003B1303" w:rsidR="00B12ECC">
        <w:rPr>
          <w:lang w:val="fr-FR"/>
        </w:rPr>
        <w:t xml:space="preserve">intéressé </w:t>
      </w:r>
      <w:r w:rsidRPr="003B1303" w:rsidR="001F72B2">
        <w:rPr>
          <w:lang w:val="fr-FR"/>
        </w:rPr>
        <w:t>qu</w:t>
      </w:r>
      <w:r w:rsidRPr="003B1303" w:rsidR="003B1303">
        <w:rPr>
          <w:lang w:val="fr-FR"/>
        </w:rPr>
        <w:t>’</w:t>
      </w:r>
      <w:r w:rsidRPr="003B1303" w:rsidR="001F72B2">
        <w:rPr>
          <w:lang w:val="fr-FR"/>
        </w:rPr>
        <w:t>en juin 2010.</w:t>
      </w:r>
    </w:p>
    <w:p w:rsidRPr="003B1303" w:rsidR="00BE4C83" w:rsidP="003B1303" w:rsidRDefault="0021083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58</w:t>
      </w:r>
      <w:r w:rsidRPr="003B1303">
        <w:rPr>
          <w:lang w:val="fr-FR"/>
        </w:rPr>
        <w:fldChar w:fldCharType="end"/>
      </w:r>
      <w:r w:rsidRPr="003B1303">
        <w:rPr>
          <w:lang w:val="fr-FR"/>
        </w:rPr>
        <w:t>.  </w:t>
      </w:r>
      <w:r w:rsidRPr="003B1303" w:rsidR="001F72B2">
        <w:rPr>
          <w:lang w:val="fr-FR"/>
        </w:rPr>
        <w:t xml:space="preserve">En décembre 2009, le </w:t>
      </w:r>
      <w:r w:rsidRPr="003B1303" w:rsidR="00154F7B">
        <w:rPr>
          <w:lang w:val="fr-FR"/>
        </w:rPr>
        <w:t xml:space="preserve">second </w:t>
      </w:r>
      <w:r w:rsidRPr="003B1303" w:rsidR="001F72B2">
        <w:rPr>
          <w:lang w:val="fr-FR"/>
        </w:rPr>
        <w:t>requérant se plaignit auprès du procureur des mauvais traitements qu</w:t>
      </w:r>
      <w:r w:rsidRPr="003B1303" w:rsidR="003B1303">
        <w:rPr>
          <w:lang w:val="fr-FR"/>
        </w:rPr>
        <w:t>’</w:t>
      </w:r>
      <w:r w:rsidRPr="003B1303" w:rsidR="001F72B2">
        <w:rPr>
          <w:lang w:val="fr-FR"/>
        </w:rPr>
        <w:t>il aurait subis</w:t>
      </w:r>
      <w:r w:rsidRPr="003B1303" w:rsidR="002C13C4">
        <w:rPr>
          <w:lang w:val="fr-FR"/>
        </w:rPr>
        <w:t xml:space="preserve"> pendant la période du 12 au 25 avril 2008</w:t>
      </w:r>
      <w:r w:rsidRPr="003B1303" w:rsidR="001F72B2">
        <w:rPr>
          <w:lang w:val="fr-FR"/>
        </w:rPr>
        <w:t>.</w:t>
      </w:r>
    </w:p>
    <w:bookmarkStart w:name="ref144r2" w:id="33"/>
    <w:p w:rsidRPr="003B1303" w:rsidR="001F72B2" w:rsidP="003B1303" w:rsidRDefault="0021083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59</w:t>
      </w:r>
      <w:r w:rsidRPr="003B1303">
        <w:rPr>
          <w:lang w:val="fr-FR"/>
        </w:rPr>
        <w:fldChar w:fldCharType="end"/>
      </w:r>
      <w:bookmarkEnd w:id="33"/>
      <w:r w:rsidRPr="003B1303">
        <w:rPr>
          <w:lang w:val="fr-FR"/>
        </w:rPr>
        <w:t>.  </w:t>
      </w:r>
      <w:r w:rsidRPr="003B1303" w:rsidR="001F72B2">
        <w:rPr>
          <w:lang w:val="fr-FR"/>
        </w:rPr>
        <w:t xml:space="preserve">Par une décision du 24 janvier 2010, </w:t>
      </w:r>
      <w:r w:rsidRPr="003B1303" w:rsidR="00AA5216">
        <w:rPr>
          <w:lang w:val="fr-FR"/>
        </w:rPr>
        <w:t>le</w:t>
      </w:r>
      <w:r w:rsidRPr="003B1303" w:rsidR="001F72B2">
        <w:rPr>
          <w:lang w:val="fr-FR"/>
        </w:rPr>
        <w:t xml:space="preserve"> comité d</w:t>
      </w:r>
      <w:r w:rsidRPr="003B1303" w:rsidR="003B1303">
        <w:rPr>
          <w:lang w:val="fr-FR"/>
        </w:rPr>
        <w:t>’</w:t>
      </w:r>
      <w:r w:rsidRPr="003B1303" w:rsidR="001F72B2">
        <w:rPr>
          <w:lang w:val="fr-FR"/>
        </w:rPr>
        <w:t>instruction</w:t>
      </w:r>
      <w:r w:rsidRPr="003B1303" w:rsidR="00E143A1">
        <w:rPr>
          <w:lang w:val="fr-FR"/>
        </w:rPr>
        <w:t xml:space="preserve">, </w:t>
      </w:r>
      <w:r w:rsidRPr="003B1303" w:rsidR="001F72B2">
        <w:rPr>
          <w:lang w:val="fr-FR"/>
        </w:rPr>
        <w:t>après avoir effectué une vérification préliminaire conformément à l</w:t>
      </w:r>
      <w:r w:rsidRPr="003B1303" w:rsidR="003B1303">
        <w:rPr>
          <w:lang w:val="fr-FR"/>
        </w:rPr>
        <w:t>’</w:t>
      </w:r>
      <w:r w:rsidRPr="003B1303" w:rsidR="001F72B2">
        <w:rPr>
          <w:lang w:val="fr-FR"/>
        </w:rPr>
        <w:t>article 144 du CPP, refusa d</w:t>
      </w:r>
      <w:r w:rsidRPr="003B1303" w:rsidR="003B1303">
        <w:rPr>
          <w:lang w:val="fr-FR"/>
        </w:rPr>
        <w:t>’</w:t>
      </w:r>
      <w:r w:rsidRPr="003B1303" w:rsidR="001F72B2">
        <w:rPr>
          <w:lang w:val="fr-FR"/>
        </w:rPr>
        <w:t xml:space="preserve">ouvrir une instruction pénale </w:t>
      </w:r>
      <w:r w:rsidRPr="003B1303" w:rsidR="00AA5216">
        <w:rPr>
          <w:lang w:val="fr-FR"/>
        </w:rPr>
        <w:t>sur les allégations de l</w:t>
      </w:r>
      <w:r w:rsidRPr="003B1303" w:rsidR="003B1303">
        <w:rPr>
          <w:lang w:val="fr-FR"/>
        </w:rPr>
        <w:t>’</w:t>
      </w:r>
      <w:r w:rsidRPr="003B1303" w:rsidR="00AA5216">
        <w:rPr>
          <w:lang w:val="fr-FR"/>
        </w:rPr>
        <w:t>intéressé</w:t>
      </w:r>
      <w:r w:rsidRPr="003B1303" w:rsidR="001F72B2">
        <w:rPr>
          <w:lang w:val="fr-FR"/>
        </w:rPr>
        <w:t xml:space="preserve">. </w:t>
      </w:r>
      <w:r w:rsidRPr="003B1303" w:rsidR="005F7109">
        <w:rPr>
          <w:lang w:val="fr-FR"/>
        </w:rPr>
        <w:t xml:space="preserve">Ayant recueilli </w:t>
      </w:r>
      <w:r w:rsidRPr="003B1303" w:rsidR="006D6AD9">
        <w:rPr>
          <w:lang w:val="fr-FR"/>
        </w:rPr>
        <w:t>l</w:t>
      </w:r>
      <w:r w:rsidRPr="003B1303" w:rsidR="005F7109">
        <w:rPr>
          <w:lang w:val="fr-FR"/>
        </w:rPr>
        <w:t>es explications d</w:t>
      </w:r>
      <w:r w:rsidRPr="003B1303" w:rsidR="003B1303">
        <w:rPr>
          <w:lang w:val="fr-FR"/>
        </w:rPr>
        <w:t>’</w:t>
      </w:r>
      <w:r w:rsidRPr="003B1303" w:rsidR="005F7109">
        <w:rPr>
          <w:lang w:val="fr-FR"/>
        </w:rPr>
        <w:t xml:space="preserve">un </w:t>
      </w:r>
      <w:r w:rsidRPr="003B1303" w:rsidR="006D6AD9">
        <w:rPr>
          <w:lang w:val="fr-FR"/>
        </w:rPr>
        <w:t xml:space="preserve">certain </w:t>
      </w:r>
      <w:r w:rsidRPr="003B1303" w:rsidR="005F7109">
        <w:rPr>
          <w:lang w:val="fr-FR"/>
        </w:rPr>
        <w:t xml:space="preserve">nombre de personnes, y compris celles qui </w:t>
      </w:r>
      <w:r w:rsidRPr="003B1303" w:rsidR="006D6AD9">
        <w:rPr>
          <w:lang w:val="fr-FR"/>
        </w:rPr>
        <w:t xml:space="preserve">auraient été </w:t>
      </w:r>
      <w:r w:rsidRPr="003B1303" w:rsidR="005F7109">
        <w:rPr>
          <w:lang w:val="fr-FR"/>
        </w:rPr>
        <w:t xml:space="preserve">impliquées dans les mauvais traitements </w:t>
      </w:r>
      <w:r w:rsidRPr="003B1303" w:rsidR="006D6AD9">
        <w:rPr>
          <w:lang w:val="fr-FR"/>
        </w:rPr>
        <w:t xml:space="preserve">infligés au </w:t>
      </w:r>
      <w:r w:rsidRPr="003B1303" w:rsidR="00AA5216">
        <w:rPr>
          <w:lang w:val="fr-FR"/>
        </w:rPr>
        <w:t xml:space="preserve">second </w:t>
      </w:r>
      <w:r w:rsidRPr="003B1303" w:rsidR="005F7109">
        <w:rPr>
          <w:lang w:val="fr-FR"/>
        </w:rPr>
        <w:t xml:space="preserve">requérant et qui avaient toutes </w:t>
      </w:r>
      <w:r w:rsidRPr="003B1303" w:rsidR="006D6AD9">
        <w:rPr>
          <w:lang w:val="fr-FR"/>
        </w:rPr>
        <w:t xml:space="preserve">contesté </w:t>
      </w:r>
      <w:r w:rsidRPr="003B1303" w:rsidR="005F7109">
        <w:rPr>
          <w:lang w:val="fr-FR"/>
        </w:rPr>
        <w:t>les allégations de ce dernier, l</w:t>
      </w:r>
      <w:r w:rsidRPr="003B1303" w:rsidR="003B1303">
        <w:rPr>
          <w:lang w:val="fr-FR"/>
        </w:rPr>
        <w:t>’</w:t>
      </w:r>
      <w:r w:rsidRPr="003B1303" w:rsidR="005F7109">
        <w:rPr>
          <w:lang w:val="fr-FR"/>
        </w:rPr>
        <w:t xml:space="preserve">enquêteur </w:t>
      </w:r>
      <w:r w:rsidRPr="003B1303" w:rsidR="00AA5216">
        <w:rPr>
          <w:lang w:val="fr-FR"/>
        </w:rPr>
        <w:t xml:space="preserve">chargé de la vérification </w:t>
      </w:r>
      <w:r w:rsidRPr="003B1303" w:rsidR="005F7109">
        <w:rPr>
          <w:lang w:val="fr-FR"/>
        </w:rPr>
        <w:t>estima qu</w:t>
      </w:r>
      <w:r w:rsidRPr="003B1303" w:rsidR="003B1303">
        <w:rPr>
          <w:lang w:val="fr-FR"/>
        </w:rPr>
        <w:t>’</w:t>
      </w:r>
      <w:r w:rsidRPr="003B1303" w:rsidR="005F7109">
        <w:rPr>
          <w:lang w:val="fr-FR"/>
        </w:rPr>
        <w:t>il n</w:t>
      </w:r>
      <w:r w:rsidRPr="003B1303" w:rsidR="003B1303">
        <w:rPr>
          <w:lang w:val="fr-FR"/>
        </w:rPr>
        <w:t>’</w:t>
      </w:r>
      <w:r w:rsidRPr="003B1303" w:rsidR="005F7109">
        <w:rPr>
          <w:lang w:val="fr-FR"/>
        </w:rPr>
        <w:t xml:space="preserve">y avait pas de preuves </w:t>
      </w:r>
      <w:r w:rsidRPr="003B1303" w:rsidR="006D6AD9">
        <w:rPr>
          <w:lang w:val="fr-FR"/>
        </w:rPr>
        <w:t xml:space="preserve">selon lesquelles </w:t>
      </w:r>
      <w:r w:rsidRPr="003B1303" w:rsidR="005F7109">
        <w:rPr>
          <w:lang w:val="fr-FR"/>
        </w:rPr>
        <w:t>l</w:t>
      </w:r>
      <w:r w:rsidRPr="003B1303" w:rsidR="003B1303">
        <w:rPr>
          <w:lang w:val="fr-FR"/>
        </w:rPr>
        <w:t>’</w:t>
      </w:r>
      <w:r w:rsidRPr="003B1303" w:rsidR="005F7109">
        <w:rPr>
          <w:lang w:val="fr-FR"/>
        </w:rPr>
        <w:t>intéressé</w:t>
      </w:r>
      <w:r w:rsidRPr="003B1303" w:rsidR="006D6AD9">
        <w:rPr>
          <w:lang w:val="fr-FR"/>
        </w:rPr>
        <w:t xml:space="preserve"> avait été maltraité</w:t>
      </w:r>
      <w:r w:rsidRPr="003B1303" w:rsidR="005F7109">
        <w:rPr>
          <w:lang w:val="fr-FR"/>
        </w:rPr>
        <w:t>.</w:t>
      </w:r>
    </w:p>
    <w:bookmarkStart w:name="mauvtr2rec1" w:id="34"/>
    <w:p w:rsidRPr="003B1303" w:rsidR="00BE4C83" w:rsidP="003B1303" w:rsidRDefault="0021083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60</w:t>
      </w:r>
      <w:r w:rsidRPr="003B1303">
        <w:rPr>
          <w:lang w:val="fr-FR"/>
        </w:rPr>
        <w:fldChar w:fldCharType="end"/>
      </w:r>
      <w:bookmarkEnd w:id="34"/>
      <w:r w:rsidRPr="003B1303">
        <w:rPr>
          <w:lang w:val="fr-FR"/>
        </w:rPr>
        <w:t>.  </w:t>
      </w:r>
      <w:r w:rsidRPr="003B1303" w:rsidR="001F72B2">
        <w:rPr>
          <w:lang w:val="fr-FR"/>
        </w:rPr>
        <w:t xml:space="preserve">Au mois de juin 2010, le </w:t>
      </w:r>
      <w:r w:rsidRPr="003B1303" w:rsidR="00AA5216">
        <w:rPr>
          <w:lang w:val="fr-FR"/>
        </w:rPr>
        <w:t xml:space="preserve">second </w:t>
      </w:r>
      <w:r w:rsidRPr="003B1303" w:rsidR="001F72B2">
        <w:rPr>
          <w:lang w:val="fr-FR"/>
        </w:rPr>
        <w:t>requérant contesta en justice tant la décision du 24 janvier 2010 du comité d</w:t>
      </w:r>
      <w:r w:rsidRPr="003B1303" w:rsidR="003B1303">
        <w:rPr>
          <w:lang w:val="fr-FR"/>
        </w:rPr>
        <w:t>’</w:t>
      </w:r>
      <w:r w:rsidRPr="003B1303" w:rsidR="001F72B2">
        <w:rPr>
          <w:lang w:val="fr-FR"/>
        </w:rPr>
        <w:t>instruction</w:t>
      </w:r>
      <w:r w:rsidRPr="003B1303" w:rsidR="00AA5216">
        <w:rPr>
          <w:lang w:val="fr-FR"/>
        </w:rPr>
        <w:t xml:space="preserve"> que celle du 20 </w:t>
      </w:r>
      <w:r w:rsidRPr="003B1303" w:rsidR="001F72B2">
        <w:rPr>
          <w:lang w:val="fr-FR"/>
        </w:rPr>
        <w:t>mai 2008 du directeur de la maison d</w:t>
      </w:r>
      <w:r w:rsidRPr="003B1303" w:rsidR="003B1303">
        <w:rPr>
          <w:lang w:val="fr-FR"/>
        </w:rPr>
        <w:t>’</w:t>
      </w:r>
      <w:r w:rsidRPr="003B1303" w:rsidR="001F72B2">
        <w:rPr>
          <w:lang w:val="fr-FR"/>
        </w:rPr>
        <w:t>arrêt.</w:t>
      </w:r>
    </w:p>
    <w:p w:rsidRPr="003B1303" w:rsidR="00BE4C83" w:rsidP="003B1303" w:rsidRDefault="0021083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61</w:t>
      </w:r>
      <w:r w:rsidRPr="003B1303">
        <w:rPr>
          <w:lang w:val="fr-FR"/>
        </w:rPr>
        <w:fldChar w:fldCharType="end"/>
      </w:r>
      <w:r w:rsidRPr="003B1303">
        <w:rPr>
          <w:lang w:val="fr-FR"/>
        </w:rPr>
        <w:t>.  </w:t>
      </w:r>
      <w:r w:rsidRPr="003B1303" w:rsidR="001F72B2">
        <w:rPr>
          <w:lang w:val="fr-FR"/>
        </w:rPr>
        <w:t>Par une décision du 12 juillet 2010, le tribunal du district Oktiabrski de la ville d</w:t>
      </w:r>
      <w:r w:rsidRPr="003B1303" w:rsidR="003B1303">
        <w:rPr>
          <w:lang w:val="fr-FR"/>
        </w:rPr>
        <w:t>’</w:t>
      </w:r>
      <w:r w:rsidRPr="003B1303" w:rsidR="001F72B2">
        <w:rPr>
          <w:lang w:val="fr-FR"/>
        </w:rPr>
        <w:t xml:space="preserve">Irkoutsk rejeta le recours du </w:t>
      </w:r>
      <w:r w:rsidRPr="003B1303" w:rsidR="00AA5216">
        <w:rPr>
          <w:lang w:val="fr-FR"/>
        </w:rPr>
        <w:t xml:space="preserve">second </w:t>
      </w:r>
      <w:r w:rsidRPr="003B1303" w:rsidR="001F72B2">
        <w:rPr>
          <w:lang w:val="fr-FR"/>
        </w:rPr>
        <w:t>requérant contre la décision du 24 janvier 2010 sans l</w:t>
      </w:r>
      <w:r w:rsidRPr="003B1303" w:rsidR="003B1303">
        <w:rPr>
          <w:lang w:val="fr-FR"/>
        </w:rPr>
        <w:t>’</w:t>
      </w:r>
      <w:r w:rsidRPr="003B1303" w:rsidR="001F72B2">
        <w:rPr>
          <w:lang w:val="fr-FR"/>
        </w:rPr>
        <w:t xml:space="preserve">examiner au fond. Il jugea que les allégations </w:t>
      </w:r>
      <w:r w:rsidRPr="003B1303" w:rsidR="00AA5216">
        <w:rPr>
          <w:lang w:val="fr-FR"/>
        </w:rPr>
        <w:t>de l</w:t>
      </w:r>
      <w:r w:rsidRPr="003B1303" w:rsidR="003B1303">
        <w:rPr>
          <w:lang w:val="fr-FR"/>
        </w:rPr>
        <w:t>’</w:t>
      </w:r>
      <w:r w:rsidRPr="003B1303" w:rsidR="00AA5216">
        <w:rPr>
          <w:lang w:val="fr-FR"/>
        </w:rPr>
        <w:t>intéressé</w:t>
      </w:r>
      <w:r w:rsidRPr="003B1303" w:rsidR="001F72B2">
        <w:rPr>
          <w:lang w:val="fr-FR"/>
        </w:rPr>
        <w:t xml:space="preserve"> concernaient la recevabilité des preuves et </w:t>
      </w:r>
      <w:r w:rsidRPr="003B1303" w:rsidR="00402CBD">
        <w:rPr>
          <w:lang w:val="fr-FR"/>
        </w:rPr>
        <w:t>qu</w:t>
      </w:r>
      <w:r w:rsidRPr="003B1303" w:rsidR="003B1303">
        <w:rPr>
          <w:lang w:val="fr-FR"/>
        </w:rPr>
        <w:t>’</w:t>
      </w:r>
      <w:r w:rsidRPr="003B1303" w:rsidR="00402CBD">
        <w:rPr>
          <w:lang w:val="fr-FR"/>
        </w:rPr>
        <w:t xml:space="preserve">elles </w:t>
      </w:r>
      <w:r w:rsidRPr="003B1303" w:rsidR="001F72B2">
        <w:rPr>
          <w:lang w:val="fr-FR"/>
        </w:rPr>
        <w:t xml:space="preserve">devaient être examinées dans le cadre du procès pénal dirigé </w:t>
      </w:r>
      <w:r w:rsidRPr="003B1303" w:rsidR="00AA5216">
        <w:rPr>
          <w:lang w:val="fr-FR"/>
        </w:rPr>
        <w:t>à son en</w:t>
      </w:r>
      <w:r w:rsidRPr="003B1303" w:rsidR="001F72B2">
        <w:rPr>
          <w:lang w:val="fr-FR"/>
        </w:rPr>
        <w:t>contre. Cette décision fut confirmée en appel le 25 août 2010.</w:t>
      </w:r>
    </w:p>
    <w:p w:rsidRPr="003B1303" w:rsidR="00BE4C83" w:rsidP="003B1303" w:rsidRDefault="008B427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62</w:t>
      </w:r>
      <w:r w:rsidRPr="003B1303">
        <w:rPr>
          <w:lang w:val="fr-FR"/>
        </w:rPr>
        <w:fldChar w:fldCharType="end"/>
      </w:r>
      <w:r w:rsidRPr="003B1303">
        <w:rPr>
          <w:lang w:val="fr-FR"/>
        </w:rPr>
        <w:t>.  </w:t>
      </w:r>
      <w:r w:rsidRPr="003B1303" w:rsidR="00EC39F6">
        <w:rPr>
          <w:lang w:val="fr-FR"/>
        </w:rPr>
        <w:t>L</w:t>
      </w:r>
      <w:r w:rsidRPr="003B1303">
        <w:rPr>
          <w:lang w:val="fr-FR"/>
        </w:rPr>
        <w:t xml:space="preserve">e procureur </w:t>
      </w:r>
      <w:r w:rsidRPr="003B1303" w:rsidR="00EC39F6">
        <w:rPr>
          <w:lang w:val="fr-FR"/>
        </w:rPr>
        <w:t>demanda</w:t>
      </w:r>
      <w:r w:rsidRPr="003B1303">
        <w:rPr>
          <w:lang w:val="fr-FR"/>
        </w:rPr>
        <w:t xml:space="preserve"> qu</w:t>
      </w:r>
      <w:r w:rsidRPr="003B1303" w:rsidR="003B1303">
        <w:rPr>
          <w:lang w:val="fr-FR"/>
        </w:rPr>
        <w:t>’</w:t>
      </w:r>
      <w:r w:rsidRPr="003B1303">
        <w:rPr>
          <w:lang w:val="fr-FR"/>
        </w:rPr>
        <w:t>une vérification fût effectuée sur les allégations de mauvais traitements que le second requérant avait formulées à l</w:t>
      </w:r>
      <w:r w:rsidRPr="003B1303" w:rsidR="003B1303">
        <w:rPr>
          <w:lang w:val="fr-FR"/>
        </w:rPr>
        <w:t>’</w:t>
      </w:r>
      <w:r w:rsidRPr="003B1303">
        <w:rPr>
          <w:lang w:val="fr-FR"/>
        </w:rPr>
        <w:t>audience du 25 octobre 2010</w:t>
      </w:r>
      <w:r w:rsidRPr="003B1303" w:rsidR="00AA5216">
        <w:rPr>
          <w:lang w:val="fr-FR"/>
        </w:rPr>
        <w:t xml:space="preserve"> (paragraphe </w:t>
      </w:r>
      <w:r w:rsidRPr="003B1303" w:rsidR="00AA5216">
        <w:rPr>
          <w:lang w:val="fr-FR"/>
        </w:rPr>
        <w:fldChar w:fldCharType="begin"/>
      </w:r>
      <w:r w:rsidRPr="003B1303" w:rsidR="00AA5216">
        <w:rPr>
          <w:lang w:val="fr-FR"/>
        </w:rPr>
        <w:instrText xml:space="preserve"> REF demlect \h </w:instrText>
      </w:r>
      <w:r w:rsidRPr="003B1303" w:rsidR="006C36C2">
        <w:rPr>
          <w:lang w:val="fr-FR"/>
        </w:rPr>
        <w:instrText xml:space="preserve"> \* MERGEFORMAT </w:instrText>
      </w:r>
      <w:r w:rsidRPr="003B1303" w:rsidR="00AA5216">
        <w:rPr>
          <w:lang w:val="fr-FR"/>
        </w:rPr>
      </w:r>
      <w:r w:rsidRPr="003B1303" w:rsidR="00AA5216">
        <w:rPr>
          <w:lang w:val="fr-FR"/>
        </w:rPr>
        <w:fldChar w:fldCharType="separate"/>
      </w:r>
      <w:r w:rsidR="003B1303">
        <w:rPr>
          <w:noProof/>
          <w:lang w:val="fr-FR"/>
        </w:rPr>
        <w:t>69</w:t>
      </w:r>
      <w:r w:rsidRPr="003B1303" w:rsidR="00AA5216">
        <w:rPr>
          <w:lang w:val="fr-FR"/>
        </w:rPr>
        <w:fldChar w:fldCharType="end"/>
      </w:r>
      <w:r w:rsidRPr="003B1303" w:rsidR="00AA5216">
        <w:rPr>
          <w:lang w:val="fr-FR"/>
        </w:rPr>
        <w:t xml:space="preserve"> ci-dessous)</w:t>
      </w:r>
      <w:r w:rsidRPr="003B1303">
        <w:rPr>
          <w:lang w:val="fr-FR"/>
        </w:rPr>
        <w:t>.</w:t>
      </w:r>
    </w:p>
    <w:bookmarkStart w:name="ref144r22" w:id="35"/>
    <w:p w:rsidRPr="003B1303" w:rsidR="00BE4C83" w:rsidP="003B1303" w:rsidRDefault="008B427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63</w:t>
      </w:r>
      <w:r w:rsidRPr="003B1303">
        <w:rPr>
          <w:lang w:val="fr-FR"/>
        </w:rPr>
        <w:fldChar w:fldCharType="end"/>
      </w:r>
      <w:bookmarkEnd w:id="35"/>
      <w:r w:rsidRPr="003B1303">
        <w:rPr>
          <w:lang w:val="fr-FR"/>
        </w:rPr>
        <w:t>.  Par une décision du 24 décembre 2010, le comité d</w:t>
      </w:r>
      <w:r w:rsidRPr="003B1303" w:rsidR="003B1303">
        <w:rPr>
          <w:lang w:val="fr-FR"/>
        </w:rPr>
        <w:t>’</w:t>
      </w:r>
      <w:r w:rsidRPr="003B1303">
        <w:rPr>
          <w:lang w:val="fr-FR"/>
        </w:rPr>
        <w:t>instruction refusa d</w:t>
      </w:r>
      <w:r w:rsidRPr="003B1303" w:rsidR="003B1303">
        <w:rPr>
          <w:lang w:val="fr-FR"/>
        </w:rPr>
        <w:t>’</w:t>
      </w:r>
      <w:r w:rsidRPr="003B1303">
        <w:rPr>
          <w:lang w:val="fr-FR"/>
        </w:rPr>
        <w:t xml:space="preserve">ouvrir une instruction pénale sur les allégations de mauvais traitements formulées par </w:t>
      </w:r>
      <w:r w:rsidRPr="003B1303" w:rsidR="00AA5216">
        <w:rPr>
          <w:lang w:val="fr-FR"/>
        </w:rPr>
        <w:t xml:space="preserve">le second </w:t>
      </w:r>
      <w:r w:rsidRPr="003B1303">
        <w:rPr>
          <w:lang w:val="fr-FR"/>
        </w:rPr>
        <w:t>requérant. Ce dernier contesta cette décision en justice.</w:t>
      </w:r>
    </w:p>
    <w:bookmarkStart w:name="mauvtr2rec2" w:id="36"/>
    <w:p w:rsidRPr="003B1303" w:rsidR="00BE4C83" w:rsidP="003B1303" w:rsidRDefault="00C654DC">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64</w:t>
      </w:r>
      <w:r w:rsidRPr="003B1303">
        <w:rPr>
          <w:lang w:val="fr-FR"/>
        </w:rPr>
        <w:fldChar w:fldCharType="end"/>
      </w:r>
      <w:bookmarkEnd w:id="36"/>
      <w:r w:rsidRPr="003B1303">
        <w:rPr>
          <w:lang w:val="fr-FR"/>
        </w:rPr>
        <w:t xml:space="preserve">.  Par des décisions des 3 et 23 août 2011, le tribunal du district </w:t>
      </w:r>
      <w:proofErr w:type="spellStart"/>
      <w:r w:rsidRPr="003B1303">
        <w:rPr>
          <w:lang w:val="fr-FR"/>
        </w:rPr>
        <w:t>Kouïbychevski</w:t>
      </w:r>
      <w:proofErr w:type="spellEnd"/>
      <w:r w:rsidRPr="003B1303">
        <w:rPr>
          <w:lang w:val="fr-FR"/>
        </w:rPr>
        <w:t xml:space="preserve"> de la ville d</w:t>
      </w:r>
      <w:r w:rsidRPr="003B1303" w:rsidR="003B1303">
        <w:rPr>
          <w:lang w:val="fr-FR"/>
        </w:rPr>
        <w:t>’</w:t>
      </w:r>
      <w:r w:rsidRPr="003B1303">
        <w:rPr>
          <w:lang w:val="fr-FR"/>
        </w:rPr>
        <w:t xml:space="preserve">Irkoutsk rejeta les recours du </w:t>
      </w:r>
      <w:r w:rsidRPr="003B1303" w:rsidR="00AA5216">
        <w:rPr>
          <w:lang w:val="fr-FR"/>
        </w:rPr>
        <w:t xml:space="preserve">second </w:t>
      </w:r>
      <w:r w:rsidRPr="003B1303">
        <w:rPr>
          <w:lang w:val="fr-FR"/>
        </w:rPr>
        <w:t>requérant formés respectivement contre les décisio</w:t>
      </w:r>
      <w:r w:rsidRPr="003B1303" w:rsidR="00AA5216">
        <w:rPr>
          <w:lang w:val="fr-FR"/>
        </w:rPr>
        <w:t>ns du 24 décembre 2010 et du 20 </w:t>
      </w:r>
      <w:r w:rsidRPr="003B1303">
        <w:rPr>
          <w:lang w:val="fr-FR"/>
        </w:rPr>
        <w:t xml:space="preserve">mai 2008 sans en examiner le fond. Le tribunal indiqua que les allégations de mauvais traitements formulées par </w:t>
      </w:r>
      <w:r w:rsidRPr="003B1303" w:rsidR="00AA5216">
        <w:rPr>
          <w:lang w:val="fr-FR"/>
        </w:rPr>
        <w:t>l</w:t>
      </w:r>
      <w:r w:rsidRPr="003B1303" w:rsidR="003B1303">
        <w:rPr>
          <w:lang w:val="fr-FR"/>
        </w:rPr>
        <w:t>’</w:t>
      </w:r>
      <w:r w:rsidRPr="003B1303" w:rsidR="00AA5216">
        <w:rPr>
          <w:lang w:val="fr-FR"/>
        </w:rPr>
        <w:t>intéressé</w:t>
      </w:r>
      <w:r w:rsidRPr="003B1303">
        <w:rPr>
          <w:lang w:val="fr-FR"/>
        </w:rPr>
        <w:t xml:space="preserve"> se rapportaient à la recevabilité des preuves dans le cadre de la procédure pénale diligentée à son encontre et ne pouvaient donc </w:t>
      </w:r>
      <w:r w:rsidRPr="003B1303" w:rsidR="00E479D2">
        <w:rPr>
          <w:lang w:val="fr-FR"/>
        </w:rPr>
        <w:t xml:space="preserve">pas </w:t>
      </w:r>
      <w:r w:rsidRPr="003B1303">
        <w:rPr>
          <w:lang w:val="fr-FR"/>
        </w:rPr>
        <w:t>faire l</w:t>
      </w:r>
      <w:r w:rsidRPr="003B1303" w:rsidR="003B1303">
        <w:rPr>
          <w:lang w:val="fr-FR"/>
        </w:rPr>
        <w:t>’</w:t>
      </w:r>
      <w:r w:rsidRPr="003B1303">
        <w:rPr>
          <w:lang w:val="fr-FR"/>
        </w:rPr>
        <w:t>objet d</w:t>
      </w:r>
      <w:r w:rsidRPr="003B1303" w:rsidR="003B1303">
        <w:rPr>
          <w:lang w:val="fr-FR"/>
        </w:rPr>
        <w:t>’</w:t>
      </w:r>
      <w:r w:rsidRPr="003B1303">
        <w:rPr>
          <w:lang w:val="fr-FR"/>
        </w:rPr>
        <w:t xml:space="preserve">un examen judiciaire séparé. La décision du 3 août 2011 fut confirmée en appel le 6 octobre 2011. Le </w:t>
      </w:r>
      <w:r w:rsidRPr="003B1303" w:rsidR="006D6AD9">
        <w:rPr>
          <w:lang w:val="fr-FR"/>
        </w:rPr>
        <w:t xml:space="preserve">second </w:t>
      </w:r>
      <w:r w:rsidRPr="003B1303">
        <w:rPr>
          <w:lang w:val="fr-FR"/>
        </w:rPr>
        <w:t>requérant n</w:t>
      </w:r>
      <w:r w:rsidRPr="003B1303" w:rsidR="003B1303">
        <w:rPr>
          <w:lang w:val="fr-FR"/>
        </w:rPr>
        <w:t>’</w:t>
      </w:r>
      <w:r w:rsidRPr="003B1303">
        <w:rPr>
          <w:lang w:val="fr-FR"/>
        </w:rPr>
        <w:t>interjeta pas appel de la décision du 23 août 2011.</w:t>
      </w:r>
    </w:p>
    <w:p w:rsidRPr="003B1303" w:rsidR="0085148A" w:rsidP="003B1303" w:rsidRDefault="00DD6941">
      <w:pPr>
        <w:pStyle w:val="ECHRHeading3"/>
        <w:rPr>
          <w:lang w:val="fr-FR"/>
        </w:rPr>
      </w:pPr>
      <w:r w:rsidRPr="003B1303">
        <w:rPr>
          <w:lang w:val="fr-FR"/>
        </w:rPr>
        <w:t>3.  Autres circonstances pertinentes</w:t>
      </w:r>
    </w:p>
    <w:p w:rsidRPr="003B1303" w:rsidR="00200F7E" w:rsidP="003B1303" w:rsidRDefault="00DD694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65</w:t>
      </w:r>
      <w:r w:rsidRPr="003B1303">
        <w:rPr>
          <w:lang w:val="fr-FR"/>
        </w:rPr>
        <w:fldChar w:fldCharType="end"/>
      </w:r>
      <w:r w:rsidRPr="003B1303">
        <w:rPr>
          <w:lang w:val="fr-FR"/>
        </w:rPr>
        <w:t xml:space="preserve">.  À des dates différentes, </w:t>
      </w:r>
      <w:r w:rsidRPr="003B1303" w:rsidR="00817002">
        <w:rPr>
          <w:lang w:val="fr-FR"/>
        </w:rPr>
        <w:t>V. </w:t>
      </w:r>
      <w:proofErr w:type="spellStart"/>
      <w:r w:rsidRPr="003B1303" w:rsidR="00817002">
        <w:rPr>
          <w:lang w:val="fr-FR"/>
        </w:rPr>
        <w:t>Zag</w:t>
      </w:r>
      <w:proofErr w:type="spellEnd"/>
      <w:r w:rsidRPr="003B1303" w:rsidR="00817002">
        <w:rPr>
          <w:lang w:val="fr-FR"/>
        </w:rPr>
        <w:t>.</w:t>
      </w:r>
      <w:r w:rsidRPr="003B1303" w:rsidR="00CD1A10">
        <w:rPr>
          <w:lang w:val="fr-FR"/>
        </w:rPr>
        <w:t>, V. Mol</w:t>
      </w:r>
      <w:r w:rsidRPr="003B1303" w:rsidR="000B50F0">
        <w:rPr>
          <w:lang w:val="fr-FR"/>
        </w:rPr>
        <w:t>.</w:t>
      </w:r>
      <w:r w:rsidRPr="003B1303" w:rsidR="00CD1A10">
        <w:rPr>
          <w:lang w:val="fr-FR"/>
        </w:rPr>
        <w:t xml:space="preserve">, </w:t>
      </w:r>
      <w:r w:rsidRPr="003B1303" w:rsidR="00817002">
        <w:rPr>
          <w:lang w:val="fr-FR"/>
        </w:rPr>
        <w:t>E. Mas.</w:t>
      </w:r>
      <w:r w:rsidRPr="003B1303">
        <w:rPr>
          <w:lang w:val="fr-FR"/>
        </w:rPr>
        <w:t xml:space="preserve">, </w:t>
      </w:r>
      <w:r w:rsidRPr="003B1303" w:rsidR="00817002">
        <w:rPr>
          <w:lang w:val="fr-FR"/>
        </w:rPr>
        <w:t>D. Che.</w:t>
      </w:r>
      <w:r w:rsidRPr="003B1303">
        <w:rPr>
          <w:lang w:val="fr-FR"/>
        </w:rPr>
        <w:t>, A. </w:t>
      </w:r>
      <w:proofErr w:type="spellStart"/>
      <w:r w:rsidRPr="003B1303">
        <w:rPr>
          <w:lang w:val="fr-FR"/>
        </w:rPr>
        <w:t>Kur</w:t>
      </w:r>
      <w:proofErr w:type="spellEnd"/>
      <w:r w:rsidRPr="003B1303">
        <w:rPr>
          <w:lang w:val="fr-FR"/>
        </w:rPr>
        <w:t xml:space="preserve">. </w:t>
      </w:r>
      <w:proofErr w:type="gramStart"/>
      <w:r w:rsidRPr="003B1303">
        <w:rPr>
          <w:lang w:val="fr-FR"/>
        </w:rPr>
        <w:t>et</w:t>
      </w:r>
      <w:proofErr w:type="gramEnd"/>
      <w:r w:rsidRPr="003B1303">
        <w:rPr>
          <w:lang w:val="fr-FR"/>
        </w:rPr>
        <w:t xml:space="preserve">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Pr>
          <w:lang w:val="fr-FR"/>
        </w:rPr>
        <w:t xml:space="preserve"> </w:t>
      </w:r>
      <w:proofErr w:type="gramStart"/>
      <w:r w:rsidRPr="003B1303">
        <w:rPr>
          <w:lang w:val="fr-FR"/>
        </w:rPr>
        <w:t>furent</w:t>
      </w:r>
      <w:proofErr w:type="gramEnd"/>
      <w:r w:rsidRPr="003B1303">
        <w:rPr>
          <w:lang w:val="fr-FR"/>
        </w:rPr>
        <w:t xml:space="preserve"> tous </w:t>
      </w:r>
      <w:r w:rsidRPr="003B1303" w:rsidR="00F66270">
        <w:rPr>
          <w:lang w:val="fr-FR"/>
        </w:rPr>
        <w:t>mis en examen</w:t>
      </w:r>
      <w:r w:rsidRPr="003B1303">
        <w:rPr>
          <w:lang w:val="fr-FR"/>
        </w:rPr>
        <w:t xml:space="preserve">, entre autres, </w:t>
      </w:r>
      <w:r w:rsidRPr="003B1303" w:rsidR="00F66270">
        <w:rPr>
          <w:lang w:val="fr-FR"/>
        </w:rPr>
        <w:t xml:space="preserve">du chef </w:t>
      </w:r>
      <w:r w:rsidRPr="003B1303">
        <w:rPr>
          <w:lang w:val="fr-FR"/>
        </w:rPr>
        <w:t xml:space="preserve">de complicité </w:t>
      </w:r>
      <w:r w:rsidRPr="003B1303" w:rsidR="009B1A55">
        <w:rPr>
          <w:lang w:val="fr-FR"/>
        </w:rPr>
        <w:t>du</w:t>
      </w:r>
      <w:r w:rsidRPr="003B1303">
        <w:rPr>
          <w:lang w:val="fr-FR"/>
        </w:rPr>
        <w:t xml:space="preserve"> meurtre de S.</w:t>
      </w:r>
      <w:r w:rsidRPr="003B1303" w:rsidR="00F54377">
        <w:rPr>
          <w:lang w:val="fr-FR"/>
        </w:rPr>
        <w:t xml:space="preserve"> </w:t>
      </w:r>
      <w:r w:rsidRPr="003B1303" w:rsidR="0091648C">
        <w:rPr>
          <w:lang w:val="fr-FR"/>
        </w:rPr>
        <w:t xml:space="preserve">En ce qui concerne </w:t>
      </w:r>
      <w:r w:rsidRPr="003B1303" w:rsidR="00817002">
        <w:rPr>
          <w:lang w:val="fr-FR"/>
        </w:rPr>
        <w:t>V. </w:t>
      </w:r>
      <w:proofErr w:type="spellStart"/>
      <w:r w:rsidRPr="003B1303" w:rsidR="00817002">
        <w:rPr>
          <w:lang w:val="fr-FR"/>
        </w:rPr>
        <w:t>Zag</w:t>
      </w:r>
      <w:proofErr w:type="spellEnd"/>
      <w:r w:rsidRPr="003B1303" w:rsidR="00817002">
        <w:rPr>
          <w:lang w:val="fr-FR"/>
        </w:rPr>
        <w:t>.</w:t>
      </w:r>
      <w:r w:rsidRPr="003B1303" w:rsidR="0091648C">
        <w:rPr>
          <w:lang w:val="fr-FR"/>
        </w:rPr>
        <w:t xml:space="preserve"> </w:t>
      </w:r>
      <w:proofErr w:type="gramStart"/>
      <w:r w:rsidRPr="003B1303" w:rsidR="0091648C">
        <w:rPr>
          <w:lang w:val="fr-FR"/>
        </w:rPr>
        <w:t>et</w:t>
      </w:r>
      <w:proofErr w:type="gramEnd"/>
      <w:r w:rsidRPr="003B1303" w:rsidR="00F66270">
        <w:rPr>
          <w:lang w:val="fr-FR"/>
        </w:rPr>
        <w:t xml:space="preserve"> V. Mol.</w:t>
      </w:r>
      <w:r w:rsidRPr="003B1303" w:rsidR="0091648C">
        <w:rPr>
          <w:lang w:val="fr-FR"/>
        </w:rPr>
        <w:t>, ils</w:t>
      </w:r>
      <w:r w:rsidRPr="003B1303" w:rsidR="00F66270">
        <w:rPr>
          <w:lang w:val="fr-FR"/>
        </w:rPr>
        <w:t xml:space="preserve"> furent arrêtés le 9</w:t>
      </w:r>
      <w:r w:rsidRPr="003B1303" w:rsidR="0052506A">
        <w:rPr>
          <w:lang w:val="fr-FR"/>
        </w:rPr>
        <w:t> </w:t>
      </w:r>
      <w:r w:rsidRPr="003B1303" w:rsidR="00F66270">
        <w:rPr>
          <w:lang w:val="fr-FR"/>
        </w:rPr>
        <w:t xml:space="preserve">avril 2009 et placés en détention provisoire. </w:t>
      </w:r>
      <w:r w:rsidRPr="003B1303" w:rsidR="0091648C">
        <w:rPr>
          <w:lang w:val="fr-FR"/>
        </w:rPr>
        <w:t xml:space="preserve">En ce qui concerne </w:t>
      </w:r>
      <w:r w:rsidRPr="003B1303" w:rsidR="00817002">
        <w:rPr>
          <w:lang w:val="fr-FR"/>
        </w:rPr>
        <w:t>E. Mas.</w:t>
      </w:r>
      <w:r w:rsidRPr="003B1303" w:rsidR="0034578A">
        <w:rPr>
          <w:lang w:val="fr-FR"/>
        </w:rPr>
        <w:t xml:space="preserve">, </w:t>
      </w:r>
      <w:r w:rsidRPr="003B1303" w:rsidR="00817002">
        <w:rPr>
          <w:lang w:val="fr-FR"/>
        </w:rPr>
        <w:t>D. Che.</w:t>
      </w:r>
      <w:r w:rsidRPr="003B1303" w:rsidR="0034578A">
        <w:rPr>
          <w:lang w:val="fr-FR"/>
        </w:rPr>
        <w:t>, A. </w:t>
      </w:r>
      <w:proofErr w:type="spellStart"/>
      <w:r w:rsidRPr="003B1303" w:rsidR="0034578A">
        <w:rPr>
          <w:lang w:val="fr-FR"/>
        </w:rPr>
        <w:t>Kur</w:t>
      </w:r>
      <w:proofErr w:type="spellEnd"/>
      <w:r w:rsidRPr="003B1303" w:rsidR="0034578A">
        <w:rPr>
          <w:lang w:val="fr-FR"/>
        </w:rPr>
        <w:t xml:space="preserve">. </w:t>
      </w:r>
      <w:proofErr w:type="gramStart"/>
      <w:r w:rsidRPr="003B1303" w:rsidR="0034578A">
        <w:rPr>
          <w:lang w:val="fr-FR"/>
        </w:rPr>
        <w:t>et</w:t>
      </w:r>
      <w:proofErr w:type="gramEnd"/>
      <w:r w:rsidRPr="003B1303" w:rsidR="0034578A">
        <w:rPr>
          <w:lang w:val="fr-FR"/>
        </w:rPr>
        <w:t xml:space="preserve">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sidR="0091648C">
        <w:rPr>
          <w:lang w:val="fr-FR"/>
        </w:rPr>
        <w:t>, a</w:t>
      </w:r>
      <w:r w:rsidRPr="003B1303" w:rsidR="00F54377">
        <w:rPr>
          <w:lang w:val="fr-FR"/>
        </w:rPr>
        <w:t>u moment de leur mise en examen</w:t>
      </w:r>
      <w:r w:rsidRPr="003B1303" w:rsidR="006B1626">
        <w:rPr>
          <w:lang w:val="fr-FR"/>
        </w:rPr>
        <w:t>,</w:t>
      </w:r>
      <w:r w:rsidRPr="003B1303" w:rsidR="0091648C">
        <w:rPr>
          <w:lang w:val="fr-FR"/>
        </w:rPr>
        <w:t xml:space="preserve"> ils</w:t>
      </w:r>
      <w:r w:rsidRPr="003B1303" w:rsidR="00F54377">
        <w:rPr>
          <w:lang w:val="fr-FR"/>
        </w:rPr>
        <w:t xml:space="preserve"> purgea</w:t>
      </w:r>
      <w:r w:rsidRPr="003B1303" w:rsidR="00CE2162">
        <w:rPr>
          <w:lang w:val="fr-FR"/>
        </w:rPr>
        <w:t>ie</w:t>
      </w:r>
      <w:r w:rsidRPr="003B1303" w:rsidR="008C50A7">
        <w:rPr>
          <w:lang w:val="fr-FR"/>
        </w:rPr>
        <w:t>n</w:t>
      </w:r>
      <w:r w:rsidRPr="003B1303" w:rsidR="00F54377">
        <w:rPr>
          <w:lang w:val="fr-FR"/>
        </w:rPr>
        <w:t xml:space="preserve">t </w:t>
      </w:r>
      <w:r w:rsidRPr="003B1303" w:rsidR="008C50A7">
        <w:rPr>
          <w:lang w:val="fr-FR"/>
        </w:rPr>
        <w:t>des</w:t>
      </w:r>
      <w:r w:rsidRPr="003B1303" w:rsidR="00F54377">
        <w:rPr>
          <w:lang w:val="fr-FR"/>
        </w:rPr>
        <w:t xml:space="preserve"> peine</w:t>
      </w:r>
      <w:r w:rsidRPr="003B1303" w:rsidR="008C50A7">
        <w:rPr>
          <w:lang w:val="fr-FR"/>
        </w:rPr>
        <w:t>s</w:t>
      </w:r>
      <w:r w:rsidRPr="003B1303" w:rsidR="00F54377">
        <w:rPr>
          <w:lang w:val="fr-FR"/>
        </w:rPr>
        <w:t xml:space="preserve"> d</w:t>
      </w:r>
      <w:r w:rsidRPr="003B1303" w:rsidR="003B1303">
        <w:rPr>
          <w:lang w:val="fr-FR"/>
        </w:rPr>
        <w:t>’</w:t>
      </w:r>
      <w:r w:rsidRPr="003B1303" w:rsidR="008C50A7">
        <w:rPr>
          <w:lang w:val="fr-FR"/>
        </w:rPr>
        <w:t>emprisonnement dans diff</w:t>
      </w:r>
      <w:r w:rsidRPr="003B1303" w:rsidR="00CE2162">
        <w:rPr>
          <w:lang w:val="fr-FR"/>
        </w:rPr>
        <w:t>érentes colonies pénitentiaires et</w:t>
      </w:r>
      <w:r w:rsidRPr="003B1303" w:rsidR="008C50A7">
        <w:rPr>
          <w:lang w:val="fr-FR"/>
        </w:rPr>
        <w:t xml:space="preserve"> furent transférés à la maison d</w:t>
      </w:r>
      <w:r w:rsidRPr="003B1303" w:rsidR="003B1303">
        <w:rPr>
          <w:lang w:val="fr-FR"/>
        </w:rPr>
        <w:t>’</w:t>
      </w:r>
      <w:r w:rsidRPr="003B1303" w:rsidR="008C50A7">
        <w:rPr>
          <w:lang w:val="fr-FR"/>
        </w:rPr>
        <w:t>arrêt n</w:t>
      </w:r>
      <w:r w:rsidRPr="003B1303" w:rsidR="008C50A7">
        <w:rPr>
          <w:vertAlign w:val="superscript"/>
          <w:lang w:val="fr-FR"/>
        </w:rPr>
        <w:t>o</w:t>
      </w:r>
      <w:r w:rsidRPr="003B1303" w:rsidR="008C50A7">
        <w:rPr>
          <w:lang w:val="fr-FR"/>
        </w:rPr>
        <w:t> IZ</w:t>
      </w:r>
      <w:r w:rsidRPr="003B1303" w:rsidR="008C50A7">
        <w:rPr>
          <w:lang w:val="fr-FR"/>
        </w:rPr>
        <w:noBreakHyphen/>
        <w:t>38/1</w:t>
      </w:r>
      <w:r w:rsidRPr="003B1303" w:rsidR="00CE2162">
        <w:rPr>
          <w:lang w:val="fr-FR"/>
        </w:rPr>
        <w:t xml:space="preserve"> pour les besoins de l</w:t>
      </w:r>
      <w:r w:rsidRPr="003B1303" w:rsidR="003B1303">
        <w:rPr>
          <w:lang w:val="fr-FR"/>
        </w:rPr>
        <w:t>’</w:t>
      </w:r>
      <w:r w:rsidRPr="003B1303" w:rsidR="00CE2162">
        <w:rPr>
          <w:lang w:val="fr-FR"/>
        </w:rPr>
        <w:t>enquête</w:t>
      </w:r>
      <w:r w:rsidRPr="003B1303" w:rsidR="008C50A7">
        <w:rPr>
          <w:lang w:val="fr-FR"/>
        </w:rPr>
        <w:t>.</w:t>
      </w:r>
    </w:p>
    <w:bookmarkStart w:name="deposcoaccenq" w:id="37"/>
    <w:p w:rsidRPr="003B1303" w:rsidR="008C50A7" w:rsidP="003B1303" w:rsidRDefault="00200F7E">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66</w:t>
      </w:r>
      <w:r w:rsidRPr="003B1303">
        <w:rPr>
          <w:lang w:val="fr-FR"/>
        </w:rPr>
        <w:fldChar w:fldCharType="end"/>
      </w:r>
      <w:bookmarkEnd w:id="37"/>
      <w:r w:rsidRPr="003B1303">
        <w:rPr>
          <w:lang w:val="fr-FR"/>
        </w:rPr>
        <w:t>.  </w:t>
      </w:r>
      <w:proofErr w:type="gramStart"/>
      <w:r w:rsidRPr="003B1303" w:rsidR="008C50A7">
        <w:rPr>
          <w:lang w:val="fr-FR"/>
        </w:rPr>
        <w:t>Les 1</w:t>
      </w:r>
      <w:r w:rsidRPr="003B1303" w:rsidR="008C50A7">
        <w:rPr>
          <w:vertAlign w:val="superscript"/>
          <w:lang w:val="fr-FR"/>
        </w:rPr>
        <w:t>er</w:t>
      </w:r>
      <w:proofErr w:type="gramEnd"/>
      <w:r w:rsidRPr="003B1303" w:rsidR="008C50A7">
        <w:rPr>
          <w:lang w:val="fr-FR"/>
        </w:rPr>
        <w:t>, 16</w:t>
      </w:r>
      <w:r w:rsidRPr="003B1303" w:rsidR="00B042B6">
        <w:rPr>
          <w:lang w:val="fr-FR"/>
        </w:rPr>
        <w:t>,</w:t>
      </w:r>
      <w:r w:rsidRPr="003B1303" w:rsidR="008C50A7">
        <w:rPr>
          <w:lang w:val="fr-FR"/>
        </w:rPr>
        <w:t xml:space="preserve"> </w:t>
      </w:r>
      <w:r w:rsidRPr="003B1303" w:rsidR="00B042B6">
        <w:rPr>
          <w:lang w:val="fr-FR"/>
        </w:rPr>
        <w:t xml:space="preserve">17 et </w:t>
      </w:r>
      <w:r w:rsidRPr="003B1303" w:rsidR="008C50A7">
        <w:rPr>
          <w:lang w:val="fr-FR"/>
        </w:rPr>
        <w:t>18</w:t>
      </w:r>
      <w:r w:rsidRPr="003B1303" w:rsidR="00B042B6">
        <w:rPr>
          <w:vertAlign w:val="superscript"/>
          <w:lang w:val="fr-FR"/>
        </w:rPr>
        <w:t xml:space="preserve"> </w:t>
      </w:r>
      <w:r w:rsidRPr="003B1303" w:rsidR="008C50A7">
        <w:rPr>
          <w:lang w:val="fr-FR"/>
        </w:rPr>
        <w:t xml:space="preserve">avril 2008, </w:t>
      </w:r>
      <w:r w:rsidRPr="003B1303" w:rsidR="00817002">
        <w:rPr>
          <w:lang w:val="fr-FR"/>
        </w:rPr>
        <w:t>D. Che.</w:t>
      </w:r>
      <w:r w:rsidRPr="003B1303" w:rsidR="009B1A55">
        <w:rPr>
          <w:lang w:val="fr-FR"/>
        </w:rPr>
        <w:t>,</w:t>
      </w:r>
      <w:r w:rsidRPr="003B1303" w:rsidR="00F54377">
        <w:rPr>
          <w:lang w:val="fr-FR"/>
        </w:rPr>
        <w:t xml:space="preserve"> </w:t>
      </w:r>
      <w:r w:rsidRPr="003B1303" w:rsidR="00817002">
        <w:rPr>
          <w:lang w:val="fr-FR"/>
        </w:rPr>
        <w:t>E. Mas.</w:t>
      </w:r>
      <w:r w:rsidRPr="003B1303" w:rsidR="00F54377">
        <w:rPr>
          <w:lang w:val="fr-FR"/>
        </w:rPr>
        <w:t xml:space="preserve">, </w:t>
      </w:r>
      <w:r w:rsidRPr="003B1303" w:rsidR="00B042B6">
        <w:rPr>
          <w:lang w:val="fr-FR"/>
        </w:rPr>
        <w:t>A. </w:t>
      </w:r>
      <w:proofErr w:type="spellStart"/>
      <w:r w:rsidRPr="003B1303" w:rsidR="00B042B6">
        <w:rPr>
          <w:lang w:val="fr-FR"/>
        </w:rPr>
        <w:t>Kur</w:t>
      </w:r>
      <w:proofErr w:type="spellEnd"/>
      <w:r w:rsidRPr="003B1303" w:rsidR="00B042B6">
        <w:rPr>
          <w:lang w:val="fr-FR"/>
        </w:rPr>
        <w:t xml:space="preserve">. </w:t>
      </w:r>
      <w:proofErr w:type="gramStart"/>
      <w:r w:rsidRPr="003B1303" w:rsidR="00B042B6">
        <w:rPr>
          <w:lang w:val="fr-FR"/>
        </w:rPr>
        <w:t>et</w:t>
      </w:r>
      <w:proofErr w:type="gramEnd"/>
      <w:r w:rsidRPr="003B1303" w:rsidR="00B042B6">
        <w:rPr>
          <w:lang w:val="fr-FR"/>
        </w:rPr>
        <w:t xml:space="preserve">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sidR="00B042B6">
        <w:rPr>
          <w:lang w:val="fr-FR"/>
        </w:rPr>
        <w:t xml:space="preserve"> </w:t>
      </w:r>
      <w:proofErr w:type="gramStart"/>
      <w:r w:rsidRPr="003B1303">
        <w:rPr>
          <w:lang w:val="fr-FR"/>
        </w:rPr>
        <w:t>avou</w:t>
      </w:r>
      <w:r w:rsidRPr="003B1303" w:rsidR="00B042B6">
        <w:rPr>
          <w:lang w:val="fr-FR"/>
        </w:rPr>
        <w:t>ère</w:t>
      </w:r>
      <w:r w:rsidRPr="003B1303" w:rsidR="008C50A7">
        <w:rPr>
          <w:lang w:val="fr-FR"/>
        </w:rPr>
        <w:t>n</w:t>
      </w:r>
      <w:r w:rsidRPr="003B1303">
        <w:rPr>
          <w:lang w:val="fr-FR"/>
        </w:rPr>
        <w:t>t</w:t>
      </w:r>
      <w:proofErr w:type="gramEnd"/>
      <w:r w:rsidRPr="003B1303">
        <w:rPr>
          <w:lang w:val="fr-FR"/>
        </w:rPr>
        <w:t xml:space="preserve"> </w:t>
      </w:r>
      <w:r w:rsidRPr="003B1303" w:rsidR="00C13A23">
        <w:rPr>
          <w:lang w:val="fr-FR"/>
        </w:rPr>
        <w:t>leur participation</w:t>
      </w:r>
      <w:r w:rsidRPr="003B1303">
        <w:rPr>
          <w:lang w:val="fr-FR"/>
        </w:rPr>
        <w:t xml:space="preserve"> </w:t>
      </w:r>
      <w:r w:rsidRPr="003B1303" w:rsidR="00C13A23">
        <w:rPr>
          <w:lang w:val="fr-FR"/>
        </w:rPr>
        <w:t>au</w:t>
      </w:r>
      <w:r w:rsidRPr="003B1303">
        <w:rPr>
          <w:lang w:val="fr-FR"/>
        </w:rPr>
        <w:t xml:space="preserve"> meurtre de S. en incriminant, entre autres, les requérants.</w:t>
      </w:r>
      <w:r w:rsidRPr="003B1303" w:rsidR="008C50A7">
        <w:rPr>
          <w:lang w:val="fr-FR"/>
        </w:rPr>
        <w:t xml:space="preserve"> Par la suite, ils réitérèrent </w:t>
      </w:r>
      <w:r w:rsidRPr="003B1303" w:rsidR="00894F4F">
        <w:rPr>
          <w:lang w:val="fr-FR"/>
        </w:rPr>
        <w:t>leurs</w:t>
      </w:r>
      <w:r w:rsidRPr="003B1303" w:rsidR="008C50A7">
        <w:rPr>
          <w:lang w:val="fr-FR"/>
        </w:rPr>
        <w:t xml:space="preserve"> aveux, en présence de différents avocats commis d</w:t>
      </w:r>
      <w:r w:rsidRPr="003B1303" w:rsidR="003B1303">
        <w:rPr>
          <w:lang w:val="fr-FR"/>
        </w:rPr>
        <w:t>’</w:t>
      </w:r>
      <w:r w:rsidRPr="003B1303" w:rsidR="008C50A7">
        <w:rPr>
          <w:lang w:val="fr-FR"/>
        </w:rPr>
        <w:t>office, notamment</w:t>
      </w:r>
      <w:r w:rsidRPr="003B1303" w:rsidR="004E7186">
        <w:rPr>
          <w:lang w:val="fr-FR"/>
        </w:rPr>
        <w:t> :</w:t>
      </w:r>
    </w:p>
    <w:p w:rsidRPr="003B1303" w:rsidR="0085148A" w:rsidP="003B1303" w:rsidRDefault="00C13A23">
      <w:pPr>
        <w:pStyle w:val="ECHRPara"/>
        <w:rPr>
          <w:lang w:val="fr-FR"/>
        </w:rPr>
      </w:pPr>
      <w:r w:rsidRPr="003B1303">
        <w:rPr>
          <w:lang w:val="fr-FR"/>
        </w:rPr>
        <w:t>–</w:t>
      </w:r>
      <w:r w:rsidRPr="003B1303" w:rsidR="008C50A7">
        <w:rPr>
          <w:lang w:val="fr-FR"/>
        </w:rPr>
        <w:t>  </w:t>
      </w:r>
      <w:r w:rsidRPr="003B1303" w:rsidR="00817002">
        <w:rPr>
          <w:lang w:val="fr-FR"/>
        </w:rPr>
        <w:t>D. Che.</w:t>
      </w:r>
      <w:r w:rsidRPr="003B1303" w:rsidR="00894F4F">
        <w:rPr>
          <w:lang w:val="fr-FR"/>
        </w:rPr>
        <w:t xml:space="preserve">, </w:t>
      </w:r>
      <w:r w:rsidRPr="003B1303" w:rsidR="00200F7E">
        <w:rPr>
          <w:lang w:val="fr-FR"/>
        </w:rPr>
        <w:t>lors des interrogatoires des 4 et 7 avril, 21 et 23 mai, 3</w:t>
      </w:r>
      <w:r w:rsidRPr="003B1303" w:rsidR="004E7186">
        <w:rPr>
          <w:lang w:val="fr-FR"/>
        </w:rPr>
        <w:t> </w:t>
      </w:r>
      <w:r w:rsidRPr="003B1303" w:rsidR="00200F7E">
        <w:rPr>
          <w:lang w:val="fr-FR"/>
        </w:rPr>
        <w:t>juin et 8 décembre 2008</w:t>
      </w:r>
      <w:r w:rsidRPr="003B1303" w:rsidR="008C50A7">
        <w:rPr>
          <w:lang w:val="fr-FR"/>
        </w:rPr>
        <w:t> ;</w:t>
      </w:r>
    </w:p>
    <w:p w:rsidRPr="003B1303" w:rsidR="0085148A" w:rsidP="003B1303" w:rsidRDefault="00C13A23">
      <w:pPr>
        <w:pStyle w:val="ECHRPara"/>
        <w:rPr>
          <w:lang w:val="fr-FR"/>
        </w:rPr>
      </w:pPr>
      <w:r w:rsidRPr="003B1303">
        <w:rPr>
          <w:lang w:val="fr-FR"/>
        </w:rPr>
        <w:t>–</w:t>
      </w:r>
      <w:r w:rsidRPr="003B1303" w:rsidR="00DD6941">
        <w:rPr>
          <w:lang w:val="fr-FR"/>
        </w:rPr>
        <w:t>  </w:t>
      </w:r>
      <w:r w:rsidRPr="003B1303" w:rsidR="00817002">
        <w:rPr>
          <w:lang w:val="fr-FR"/>
        </w:rPr>
        <w:t>E. Mas.</w:t>
      </w:r>
      <w:r w:rsidRPr="003B1303" w:rsidR="004E7186">
        <w:rPr>
          <w:lang w:val="fr-FR"/>
        </w:rPr>
        <w:t>,</w:t>
      </w:r>
      <w:r w:rsidRPr="003B1303" w:rsidR="002065EF">
        <w:rPr>
          <w:lang w:val="fr-FR"/>
        </w:rPr>
        <w:t xml:space="preserve"> </w:t>
      </w:r>
      <w:r w:rsidRPr="003B1303" w:rsidR="00CD1A10">
        <w:rPr>
          <w:lang w:val="fr-FR"/>
        </w:rPr>
        <w:t>lors de</w:t>
      </w:r>
      <w:r w:rsidRPr="003B1303" w:rsidR="002065EF">
        <w:rPr>
          <w:lang w:val="fr-FR"/>
        </w:rPr>
        <w:t xml:space="preserve">s </w:t>
      </w:r>
      <w:r w:rsidRPr="003B1303" w:rsidR="00CD1A10">
        <w:rPr>
          <w:lang w:val="fr-FR"/>
        </w:rPr>
        <w:t>interrogatoire</w:t>
      </w:r>
      <w:r w:rsidRPr="003B1303" w:rsidR="002065EF">
        <w:rPr>
          <w:lang w:val="fr-FR"/>
        </w:rPr>
        <w:t>s</w:t>
      </w:r>
      <w:r w:rsidRPr="003B1303" w:rsidR="00CD1A10">
        <w:rPr>
          <w:lang w:val="fr-FR"/>
        </w:rPr>
        <w:t xml:space="preserve"> </w:t>
      </w:r>
      <w:r w:rsidRPr="003B1303" w:rsidR="002065EF">
        <w:rPr>
          <w:lang w:val="fr-FR"/>
        </w:rPr>
        <w:t xml:space="preserve">des 6 et 8 mai et du 9 décembre 2008 ainsi que </w:t>
      </w:r>
      <w:r w:rsidRPr="003B1303" w:rsidR="004E7186">
        <w:rPr>
          <w:lang w:val="fr-FR"/>
        </w:rPr>
        <w:t xml:space="preserve">lors </w:t>
      </w:r>
      <w:r w:rsidRPr="003B1303" w:rsidR="00E24C98">
        <w:rPr>
          <w:lang w:val="fr-FR"/>
        </w:rPr>
        <w:t xml:space="preserve">des </w:t>
      </w:r>
      <w:r w:rsidRPr="003B1303" w:rsidR="002065EF">
        <w:rPr>
          <w:lang w:val="fr-FR"/>
        </w:rPr>
        <w:t>reconstitution</w:t>
      </w:r>
      <w:r w:rsidRPr="003B1303" w:rsidR="00715AD0">
        <w:rPr>
          <w:lang w:val="fr-FR"/>
        </w:rPr>
        <w:t>s</w:t>
      </w:r>
      <w:r w:rsidRPr="003B1303" w:rsidR="002065EF">
        <w:rPr>
          <w:lang w:val="fr-FR"/>
        </w:rPr>
        <w:t xml:space="preserve"> des faits sur les lieux du crime des 15</w:t>
      </w:r>
      <w:r w:rsidRPr="003B1303" w:rsidR="004E7186">
        <w:rPr>
          <w:lang w:val="fr-FR"/>
        </w:rPr>
        <w:t> </w:t>
      </w:r>
      <w:r w:rsidRPr="003B1303" w:rsidR="002065EF">
        <w:rPr>
          <w:lang w:val="fr-FR"/>
        </w:rPr>
        <w:t>mai et 27 août 2008</w:t>
      </w:r>
      <w:r w:rsidRPr="003B1303" w:rsidR="004E7186">
        <w:rPr>
          <w:lang w:val="fr-FR"/>
        </w:rPr>
        <w:t> ;</w:t>
      </w:r>
    </w:p>
    <w:p w:rsidRPr="003B1303" w:rsidR="00DD6941" w:rsidP="003B1303" w:rsidRDefault="00C13A23">
      <w:pPr>
        <w:pStyle w:val="ECHRPara"/>
        <w:rPr>
          <w:lang w:val="fr-FR"/>
        </w:rPr>
      </w:pPr>
      <w:r w:rsidRPr="003B1303">
        <w:rPr>
          <w:lang w:val="fr-FR"/>
        </w:rPr>
        <w:t>–</w:t>
      </w:r>
      <w:r w:rsidRPr="003B1303" w:rsidR="004E7186">
        <w:rPr>
          <w:lang w:val="fr-FR"/>
        </w:rPr>
        <w:t xml:space="preserve">  A. </w:t>
      </w:r>
      <w:proofErr w:type="spellStart"/>
      <w:r w:rsidRPr="003B1303" w:rsidR="004E7186">
        <w:rPr>
          <w:lang w:val="fr-FR"/>
        </w:rPr>
        <w:t>Kur</w:t>
      </w:r>
      <w:proofErr w:type="spellEnd"/>
      <w:r w:rsidRPr="003B1303" w:rsidR="004E7186">
        <w:rPr>
          <w:lang w:val="fr-FR"/>
        </w:rPr>
        <w:t>., lors des interrogatoires des 18, 19 et 21 avril 2008 et lors de la reconstitution des faits sur les lieux du crime du 23 avril 2008 ;</w:t>
      </w:r>
    </w:p>
    <w:p w:rsidRPr="003B1303" w:rsidR="00CD1A10" w:rsidP="003B1303" w:rsidRDefault="00C13A23">
      <w:pPr>
        <w:pStyle w:val="ECHRPara"/>
        <w:rPr>
          <w:lang w:val="fr-FR"/>
        </w:rPr>
      </w:pPr>
      <w:r w:rsidRPr="003B1303">
        <w:rPr>
          <w:lang w:val="fr-FR"/>
        </w:rPr>
        <w:t>–</w:t>
      </w:r>
      <w:r w:rsidRPr="003B1303" w:rsidR="00CD1A10">
        <w:rPr>
          <w:lang w:val="fr-FR"/>
        </w:rPr>
        <w:t>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sidR="004E7186">
        <w:rPr>
          <w:lang w:val="fr-FR"/>
        </w:rPr>
        <w:t xml:space="preserve">, </w:t>
      </w:r>
      <w:r w:rsidRPr="003B1303" w:rsidR="00CD1A10">
        <w:rPr>
          <w:lang w:val="fr-FR"/>
        </w:rPr>
        <w:t>lors de</w:t>
      </w:r>
      <w:r w:rsidRPr="003B1303" w:rsidR="004E7186">
        <w:rPr>
          <w:lang w:val="fr-FR"/>
        </w:rPr>
        <w:t>s</w:t>
      </w:r>
      <w:r w:rsidRPr="003B1303" w:rsidR="00CD1A10">
        <w:rPr>
          <w:lang w:val="fr-FR"/>
        </w:rPr>
        <w:t xml:space="preserve"> interrogatoire</w:t>
      </w:r>
      <w:r w:rsidRPr="003B1303" w:rsidR="004E7186">
        <w:rPr>
          <w:lang w:val="fr-FR"/>
        </w:rPr>
        <w:t>s</w:t>
      </w:r>
      <w:r w:rsidRPr="003B1303" w:rsidR="00CD1A10">
        <w:rPr>
          <w:lang w:val="fr-FR"/>
        </w:rPr>
        <w:t xml:space="preserve"> </w:t>
      </w:r>
      <w:r w:rsidRPr="003B1303" w:rsidR="00D54C32">
        <w:rPr>
          <w:lang w:val="fr-FR"/>
        </w:rPr>
        <w:t>des 18 avril et 9</w:t>
      </w:r>
      <w:r w:rsidRPr="003B1303" w:rsidR="00894F4F">
        <w:rPr>
          <w:lang w:val="fr-FR"/>
        </w:rPr>
        <w:t> </w:t>
      </w:r>
      <w:r w:rsidRPr="003B1303" w:rsidR="00D54C32">
        <w:rPr>
          <w:lang w:val="fr-FR"/>
        </w:rPr>
        <w:t>décembre 2008</w:t>
      </w:r>
      <w:r w:rsidRPr="003B1303" w:rsidR="004E7186">
        <w:rPr>
          <w:lang w:val="fr-FR"/>
        </w:rPr>
        <w:t>.</w:t>
      </w:r>
    </w:p>
    <w:bookmarkStart w:name="confenq" w:id="38"/>
    <w:p w:rsidRPr="003B1303" w:rsidR="0085148A" w:rsidP="003B1303" w:rsidRDefault="00AE587F">
      <w:pPr>
        <w:pStyle w:val="ECHRPara"/>
        <w:rPr>
          <w:rFonts w:ascii="Times New Roman" w:hAnsi="Times New Roman" w:eastAsia="Times New Roman" w:cs="Times New Roman"/>
          <w:lang w:val="fr-FR"/>
        </w:rPr>
      </w:pPr>
      <w:r w:rsidRPr="003B1303">
        <w:rPr>
          <w:rFonts w:ascii="Times New Roman" w:hAnsi="Times New Roman" w:eastAsia="Times New Roman" w:cs="Times New Roman"/>
          <w:lang w:val="fr-FR"/>
        </w:rPr>
        <w:fldChar w:fldCharType="begin"/>
      </w:r>
      <w:r w:rsidRPr="003B1303">
        <w:rPr>
          <w:rFonts w:ascii="Times New Roman" w:hAnsi="Times New Roman" w:eastAsia="Times New Roman" w:cs="Times New Roman"/>
          <w:lang w:val="fr-FR"/>
        </w:rPr>
        <w:instrText xml:space="preserve"> SEQ level0 \*arabic </w:instrText>
      </w:r>
      <w:r w:rsidRPr="003B1303">
        <w:rPr>
          <w:rFonts w:ascii="Times New Roman" w:hAnsi="Times New Roman" w:eastAsia="Times New Roman" w:cs="Times New Roman"/>
          <w:lang w:val="fr-FR"/>
        </w:rPr>
        <w:fldChar w:fldCharType="separate"/>
      </w:r>
      <w:r w:rsidR="003B1303">
        <w:rPr>
          <w:rFonts w:ascii="Times New Roman" w:hAnsi="Times New Roman" w:eastAsia="Times New Roman" w:cs="Times New Roman"/>
          <w:noProof/>
          <w:lang w:val="fr-FR"/>
        </w:rPr>
        <w:t>67</w:t>
      </w:r>
      <w:r w:rsidRPr="003B1303">
        <w:rPr>
          <w:rFonts w:ascii="Times New Roman" w:hAnsi="Times New Roman" w:eastAsia="Times New Roman" w:cs="Times New Roman"/>
          <w:lang w:val="fr-FR"/>
        </w:rPr>
        <w:fldChar w:fldCharType="end"/>
      </w:r>
      <w:bookmarkEnd w:id="38"/>
      <w:r w:rsidRPr="003B1303">
        <w:rPr>
          <w:rFonts w:ascii="Times New Roman" w:hAnsi="Times New Roman" w:eastAsia="Times New Roman" w:cs="Times New Roman"/>
          <w:lang w:val="fr-FR"/>
        </w:rPr>
        <w:t xml:space="preserve">.  Les </w:t>
      </w:r>
      <w:r w:rsidRPr="003B1303">
        <w:rPr>
          <w:lang w:val="fr-FR"/>
        </w:rPr>
        <w:t>autorités</w:t>
      </w:r>
      <w:r w:rsidRPr="003B1303">
        <w:rPr>
          <w:rFonts w:ascii="Times New Roman" w:hAnsi="Times New Roman" w:eastAsia="Times New Roman" w:cs="Times New Roman"/>
          <w:lang w:val="fr-FR"/>
        </w:rPr>
        <w:t xml:space="preserve"> </w:t>
      </w:r>
      <w:r w:rsidRPr="003B1303" w:rsidR="004E7186">
        <w:rPr>
          <w:rFonts w:ascii="Times New Roman" w:hAnsi="Times New Roman" w:eastAsia="Times New Roman" w:cs="Times New Roman"/>
          <w:lang w:val="fr-FR"/>
        </w:rPr>
        <w:t>chargées de l</w:t>
      </w:r>
      <w:r w:rsidRPr="003B1303" w:rsidR="003B1303">
        <w:rPr>
          <w:rFonts w:ascii="Times New Roman" w:hAnsi="Times New Roman" w:eastAsia="Times New Roman" w:cs="Times New Roman"/>
          <w:lang w:val="fr-FR"/>
        </w:rPr>
        <w:t>’</w:t>
      </w:r>
      <w:r w:rsidRPr="003B1303">
        <w:rPr>
          <w:rFonts w:ascii="Times New Roman" w:hAnsi="Times New Roman" w:eastAsia="Times New Roman" w:cs="Times New Roman"/>
          <w:lang w:val="fr-FR"/>
        </w:rPr>
        <w:t xml:space="preserve">enquête procédèrent également </w:t>
      </w:r>
      <w:r w:rsidRPr="003B1303" w:rsidR="00C13A23">
        <w:rPr>
          <w:rFonts w:ascii="Times New Roman" w:hAnsi="Times New Roman" w:eastAsia="Times New Roman" w:cs="Times New Roman"/>
          <w:lang w:val="fr-FR"/>
        </w:rPr>
        <w:t>aux</w:t>
      </w:r>
      <w:r w:rsidRPr="003B1303">
        <w:rPr>
          <w:rFonts w:ascii="Times New Roman" w:hAnsi="Times New Roman" w:eastAsia="Times New Roman" w:cs="Times New Roman"/>
          <w:lang w:val="fr-FR"/>
        </w:rPr>
        <w:t xml:space="preserve"> confrontations suivantes :</w:t>
      </w:r>
    </w:p>
    <w:p w:rsidRPr="003B1303" w:rsidR="00AE587F" w:rsidP="003B1303" w:rsidRDefault="00C13A23">
      <w:pPr>
        <w:pStyle w:val="ECHRPara"/>
        <w:rPr>
          <w:rFonts w:ascii="Times New Roman" w:hAnsi="Times New Roman" w:eastAsia="Times New Roman" w:cs="Times New Roman"/>
          <w:lang w:val="fr-FR"/>
        </w:rPr>
      </w:pPr>
      <w:r w:rsidRPr="003B1303">
        <w:rPr>
          <w:rFonts w:ascii="Times New Roman" w:hAnsi="Times New Roman" w:eastAsia="Times New Roman" w:cs="Times New Roman"/>
          <w:lang w:val="fr-FR"/>
        </w:rPr>
        <w:t>–</w:t>
      </w:r>
      <w:r w:rsidRPr="003B1303" w:rsidR="00AE587F">
        <w:rPr>
          <w:rFonts w:ascii="Times New Roman" w:hAnsi="Times New Roman" w:eastAsia="Times New Roman" w:cs="Times New Roman"/>
          <w:lang w:val="fr-FR"/>
        </w:rPr>
        <w:t xml:space="preserve">  le 28 </w:t>
      </w:r>
      <w:r w:rsidRPr="003B1303" w:rsidR="00AE587F">
        <w:rPr>
          <w:lang w:val="fr-FR"/>
        </w:rPr>
        <w:t>mai</w:t>
      </w:r>
      <w:r w:rsidRPr="003B1303" w:rsidR="00AE587F">
        <w:rPr>
          <w:rFonts w:ascii="Times New Roman" w:hAnsi="Times New Roman" w:eastAsia="Times New Roman" w:cs="Times New Roman"/>
          <w:lang w:val="fr-FR"/>
        </w:rPr>
        <w:t xml:space="preserve"> 2005, entre A.</w:t>
      </w:r>
      <w:r w:rsidRPr="003B1303" w:rsidR="004E7186">
        <w:rPr>
          <w:rFonts w:ascii="Times New Roman" w:hAnsi="Times New Roman" w:eastAsia="Times New Roman" w:cs="Times New Roman"/>
          <w:lang w:val="fr-FR"/>
        </w:rPr>
        <w:t> </w:t>
      </w:r>
      <w:proofErr w:type="spellStart"/>
      <w:r w:rsidRPr="003B1303" w:rsidR="00AE587F">
        <w:rPr>
          <w:rFonts w:ascii="Times New Roman" w:hAnsi="Times New Roman" w:eastAsia="Times New Roman" w:cs="Times New Roman"/>
          <w:lang w:val="fr-FR"/>
        </w:rPr>
        <w:t>Kur</w:t>
      </w:r>
      <w:proofErr w:type="spellEnd"/>
      <w:r w:rsidRPr="003B1303" w:rsidR="00AE587F">
        <w:rPr>
          <w:rFonts w:ascii="Times New Roman" w:hAnsi="Times New Roman" w:eastAsia="Times New Roman" w:cs="Times New Roman"/>
          <w:lang w:val="fr-FR"/>
        </w:rPr>
        <w:t xml:space="preserve">. </w:t>
      </w:r>
      <w:proofErr w:type="gramStart"/>
      <w:r w:rsidRPr="003B1303" w:rsidR="00AE587F">
        <w:rPr>
          <w:rFonts w:ascii="Times New Roman" w:hAnsi="Times New Roman" w:eastAsia="Times New Roman" w:cs="Times New Roman"/>
          <w:lang w:val="fr-FR"/>
        </w:rPr>
        <w:t>et</w:t>
      </w:r>
      <w:proofErr w:type="gramEnd"/>
      <w:r w:rsidRPr="003B1303" w:rsidR="00AE587F">
        <w:rPr>
          <w:rFonts w:ascii="Times New Roman" w:hAnsi="Times New Roman" w:eastAsia="Times New Roman" w:cs="Times New Roman"/>
          <w:lang w:val="fr-FR"/>
        </w:rPr>
        <w:t xml:space="preserve"> </w:t>
      </w:r>
      <w:r w:rsidRPr="003B1303" w:rsidR="00817002">
        <w:rPr>
          <w:rFonts w:ascii="Times New Roman" w:hAnsi="Times New Roman" w:eastAsia="Times New Roman" w:cs="Times New Roman"/>
          <w:lang w:val="fr-FR"/>
        </w:rPr>
        <w:t>A. </w:t>
      </w:r>
      <w:proofErr w:type="spellStart"/>
      <w:r w:rsidRPr="003B1303" w:rsidR="00817002">
        <w:rPr>
          <w:rFonts w:ascii="Times New Roman" w:hAnsi="Times New Roman" w:eastAsia="Times New Roman" w:cs="Times New Roman"/>
          <w:lang w:val="fr-FR"/>
        </w:rPr>
        <w:t>Kal</w:t>
      </w:r>
      <w:proofErr w:type="spellEnd"/>
      <w:r w:rsidRPr="003B1303" w:rsidR="00817002">
        <w:rPr>
          <w:rFonts w:ascii="Times New Roman" w:hAnsi="Times New Roman" w:eastAsia="Times New Roman" w:cs="Times New Roman"/>
          <w:lang w:val="fr-FR"/>
        </w:rPr>
        <w:t>.</w:t>
      </w:r>
      <w:r w:rsidRPr="003B1303" w:rsidR="00AE587F">
        <w:rPr>
          <w:rFonts w:ascii="Times New Roman" w:hAnsi="Times New Roman" w:eastAsia="Times New Roman" w:cs="Times New Roman"/>
          <w:lang w:val="fr-FR"/>
        </w:rPr>
        <w:t>, lors de laquelle</w:t>
      </w:r>
      <w:r w:rsidRPr="003B1303" w:rsidR="0034578A">
        <w:rPr>
          <w:rFonts w:ascii="Times New Roman" w:hAnsi="Times New Roman" w:eastAsia="Times New Roman" w:cs="Times New Roman"/>
          <w:lang w:val="fr-FR"/>
        </w:rPr>
        <w:t xml:space="preserve"> </w:t>
      </w:r>
      <w:r w:rsidRPr="003B1303">
        <w:rPr>
          <w:rFonts w:ascii="Times New Roman" w:hAnsi="Times New Roman" w:eastAsia="Times New Roman" w:cs="Times New Roman"/>
          <w:lang w:val="fr-FR"/>
        </w:rPr>
        <w:t xml:space="preserve">ceux-ci </w:t>
      </w:r>
      <w:r w:rsidRPr="003B1303" w:rsidR="004E7186">
        <w:rPr>
          <w:rFonts w:ascii="Times New Roman" w:hAnsi="Times New Roman" w:eastAsia="Times New Roman" w:cs="Times New Roman"/>
          <w:lang w:val="fr-FR"/>
        </w:rPr>
        <w:t>plaidèrent coupable tout en maintenant leur propre version de</w:t>
      </w:r>
      <w:r w:rsidRPr="003B1303">
        <w:rPr>
          <w:rFonts w:ascii="Times New Roman" w:hAnsi="Times New Roman" w:eastAsia="Times New Roman" w:cs="Times New Roman"/>
          <w:lang w:val="fr-FR"/>
        </w:rPr>
        <w:t>s</w:t>
      </w:r>
      <w:r w:rsidRPr="003B1303" w:rsidR="004E7186">
        <w:rPr>
          <w:rFonts w:ascii="Times New Roman" w:hAnsi="Times New Roman" w:eastAsia="Times New Roman" w:cs="Times New Roman"/>
          <w:lang w:val="fr-FR"/>
        </w:rPr>
        <w:t xml:space="preserve"> faits ;</w:t>
      </w:r>
    </w:p>
    <w:p w:rsidRPr="003B1303" w:rsidR="0085148A" w:rsidP="003B1303" w:rsidRDefault="00C13A23">
      <w:pPr>
        <w:pStyle w:val="ECHRPara"/>
        <w:rPr>
          <w:rFonts w:ascii="Times New Roman" w:hAnsi="Times New Roman" w:eastAsia="Times New Roman" w:cs="Times New Roman"/>
          <w:lang w:val="fr-FR"/>
        </w:rPr>
      </w:pPr>
      <w:r w:rsidRPr="003B1303">
        <w:rPr>
          <w:rFonts w:ascii="Times New Roman" w:hAnsi="Times New Roman" w:eastAsia="Times New Roman" w:cs="Times New Roman"/>
          <w:lang w:val="fr-FR"/>
        </w:rPr>
        <w:t>–</w:t>
      </w:r>
      <w:r w:rsidRPr="003B1303" w:rsidR="00AE587F">
        <w:rPr>
          <w:rFonts w:ascii="Times New Roman" w:hAnsi="Times New Roman" w:eastAsia="Times New Roman" w:cs="Times New Roman"/>
          <w:lang w:val="fr-FR"/>
        </w:rPr>
        <w:t>  les 22 juillet et 9 octobre 2008, entre le premier requérant et A. </w:t>
      </w:r>
      <w:proofErr w:type="spellStart"/>
      <w:r w:rsidRPr="003B1303" w:rsidR="00AE587F">
        <w:rPr>
          <w:rFonts w:ascii="Times New Roman" w:hAnsi="Times New Roman" w:eastAsia="Times New Roman" w:cs="Times New Roman"/>
          <w:lang w:val="fr-FR"/>
        </w:rPr>
        <w:t>Kur</w:t>
      </w:r>
      <w:proofErr w:type="spellEnd"/>
      <w:r w:rsidRPr="003B1303" w:rsidR="00AE587F">
        <w:rPr>
          <w:rFonts w:ascii="Times New Roman" w:hAnsi="Times New Roman" w:eastAsia="Times New Roman" w:cs="Times New Roman"/>
          <w:lang w:val="fr-FR"/>
        </w:rPr>
        <w:t>.</w:t>
      </w:r>
      <w:r w:rsidRPr="003B1303">
        <w:rPr>
          <w:rFonts w:ascii="Times New Roman" w:hAnsi="Times New Roman" w:eastAsia="Times New Roman" w:cs="Times New Roman"/>
          <w:lang w:val="fr-FR"/>
        </w:rPr>
        <w:t>,</w:t>
      </w:r>
      <w:r w:rsidRPr="003B1303" w:rsidR="00AE587F">
        <w:rPr>
          <w:rFonts w:ascii="Times New Roman" w:hAnsi="Times New Roman" w:eastAsia="Times New Roman" w:cs="Times New Roman"/>
          <w:lang w:val="fr-FR"/>
        </w:rPr>
        <w:t xml:space="preserve"> lors </w:t>
      </w:r>
      <w:r w:rsidRPr="003B1303">
        <w:rPr>
          <w:rFonts w:ascii="Times New Roman" w:hAnsi="Times New Roman" w:eastAsia="Times New Roman" w:cs="Times New Roman"/>
          <w:lang w:val="fr-FR"/>
        </w:rPr>
        <w:t xml:space="preserve">desquelles </w:t>
      </w:r>
      <w:r w:rsidRPr="003B1303" w:rsidR="00AE587F">
        <w:rPr>
          <w:rFonts w:ascii="Times New Roman" w:hAnsi="Times New Roman" w:eastAsia="Times New Roman" w:cs="Times New Roman"/>
          <w:lang w:val="fr-FR"/>
        </w:rPr>
        <w:t>l</w:t>
      </w:r>
      <w:r w:rsidRPr="003B1303" w:rsidR="004E7186">
        <w:rPr>
          <w:rFonts w:ascii="Times New Roman" w:hAnsi="Times New Roman" w:eastAsia="Times New Roman" w:cs="Times New Roman"/>
          <w:lang w:val="fr-FR"/>
        </w:rPr>
        <w:t>e premier requérant</w:t>
      </w:r>
      <w:r w:rsidRPr="003B1303" w:rsidR="00AE587F">
        <w:rPr>
          <w:rFonts w:ascii="Times New Roman" w:hAnsi="Times New Roman" w:eastAsia="Times New Roman" w:cs="Times New Roman"/>
          <w:lang w:val="fr-FR"/>
        </w:rPr>
        <w:t xml:space="preserve"> nia toute implication dans le meurtre de S. et A. </w:t>
      </w:r>
      <w:proofErr w:type="spellStart"/>
      <w:r w:rsidRPr="003B1303" w:rsidR="00AE587F">
        <w:rPr>
          <w:rFonts w:ascii="Times New Roman" w:hAnsi="Times New Roman" w:eastAsia="Times New Roman" w:cs="Times New Roman"/>
          <w:lang w:val="fr-FR"/>
        </w:rPr>
        <w:t>Kur</w:t>
      </w:r>
      <w:proofErr w:type="spellEnd"/>
      <w:r w:rsidRPr="003B1303" w:rsidR="00AE587F">
        <w:rPr>
          <w:rFonts w:ascii="Times New Roman" w:hAnsi="Times New Roman" w:eastAsia="Times New Roman" w:cs="Times New Roman"/>
          <w:lang w:val="fr-FR"/>
        </w:rPr>
        <w:t xml:space="preserve">. </w:t>
      </w:r>
      <w:proofErr w:type="gramStart"/>
      <w:r w:rsidRPr="003B1303" w:rsidR="00AE587F">
        <w:rPr>
          <w:rFonts w:ascii="Times New Roman" w:hAnsi="Times New Roman" w:eastAsia="Times New Roman" w:cs="Times New Roman"/>
          <w:lang w:val="fr-FR"/>
        </w:rPr>
        <w:t>maintint</w:t>
      </w:r>
      <w:proofErr w:type="gramEnd"/>
      <w:r w:rsidRPr="003B1303" w:rsidR="00AE587F">
        <w:rPr>
          <w:rFonts w:ascii="Times New Roman" w:hAnsi="Times New Roman" w:eastAsia="Times New Roman" w:cs="Times New Roman"/>
          <w:lang w:val="fr-FR"/>
        </w:rPr>
        <w:t xml:space="preserve"> ses aveux ;</w:t>
      </w:r>
    </w:p>
    <w:p w:rsidRPr="003B1303" w:rsidR="00AE587F" w:rsidP="003B1303" w:rsidRDefault="00C13A23">
      <w:pPr>
        <w:pStyle w:val="ECHRPara"/>
        <w:rPr>
          <w:rFonts w:ascii="Times New Roman" w:hAnsi="Times New Roman" w:eastAsia="Times New Roman" w:cs="Times New Roman"/>
          <w:lang w:val="fr-FR"/>
        </w:rPr>
      </w:pPr>
      <w:r w:rsidRPr="003B1303">
        <w:rPr>
          <w:rFonts w:ascii="Times New Roman" w:hAnsi="Times New Roman" w:eastAsia="Times New Roman" w:cs="Times New Roman"/>
          <w:lang w:val="fr-FR"/>
        </w:rPr>
        <w:t>–</w:t>
      </w:r>
      <w:r w:rsidRPr="003B1303" w:rsidR="00AE587F">
        <w:rPr>
          <w:rFonts w:ascii="Times New Roman" w:hAnsi="Times New Roman" w:eastAsia="Times New Roman" w:cs="Times New Roman"/>
          <w:lang w:val="fr-FR"/>
        </w:rPr>
        <w:t>  le 24 juillet 2008, entre le second requérant et A. </w:t>
      </w:r>
      <w:proofErr w:type="spellStart"/>
      <w:r w:rsidRPr="003B1303" w:rsidR="00AE587F">
        <w:rPr>
          <w:rFonts w:ascii="Times New Roman" w:hAnsi="Times New Roman" w:eastAsia="Times New Roman" w:cs="Times New Roman"/>
          <w:lang w:val="fr-FR"/>
        </w:rPr>
        <w:t>Kur</w:t>
      </w:r>
      <w:proofErr w:type="spellEnd"/>
      <w:r w:rsidRPr="003B1303" w:rsidR="00AE587F">
        <w:rPr>
          <w:rFonts w:ascii="Times New Roman" w:hAnsi="Times New Roman" w:eastAsia="Times New Roman" w:cs="Times New Roman"/>
          <w:lang w:val="fr-FR"/>
        </w:rPr>
        <w:t>.</w:t>
      </w:r>
      <w:r w:rsidRPr="003B1303">
        <w:rPr>
          <w:rFonts w:ascii="Times New Roman" w:hAnsi="Times New Roman" w:eastAsia="Times New Roman" w:cs="Times New Roman"/>
          <w:lang w:val="fr-FR"/>
        </w:rPr>
        <w:t>,</w:t>
      </w:r>
      <w:r w:rsidRPr="003B1303" w:rsidR="00AE587F">
        <w:rPr>
          <w:rFonts w:ascii="Times New Roman" w:hAnsi="Times New Roman" w:eastAsia="Times New Roman" w:cs="Times New Roman"/>
          <w:lang w:val="fr-FR"/>
        </w:rPr>
        <w:t xml:space="preserve"> lors de laquelle </w:t>
      </w:r>
      <w:r w:rsidRPr="003B1303">
        <w:rPr>
          <w:rFonts w:ascii="Times New Roman" w:hAnsi="Times New Roman" w:eastAsia="Times New Roman" w:cs="Times New Roman"/>
          <w:lang w:val="fr-FR"/>
        </w:rPr>
        <w:t xml:space="preserve">ceux-ci </w:t>
      </w:r>
      <w:r w:rsidRPr="003B1303" w:rsidR="00B042B6">
        <w:rPr>
          <w:rFonts w:ascii="Times New Roman" w:hAnsi="Times New Roman" w:eastAsia="Times New Roman" w:cs="Times New Roman"/>
          <w:lang w:val="fr-FR"/>
        </w:rPr>
        <w:t xml:space="preserve">plaidèrent coupable tout en maintenant </w:t>
      </w:r>
      <w:r w:rsidRPr="003B1303" w:rsidR="0034578A">
        <w:rPr>
          <w:rFonts w:ascii="Times New Roman" w:hAnsi="Times New Roman" w:eastAsia="Times New Roman" w:cs="Times New Roman"/>
          <w:lang w:val="fr-FR"/>
        </w:rPr>
        <w:t>leur</w:t>
      </w:r>
      <w:r w:rsidRPr="003B1303" w:rsidR="00AE587F">
        <w:rPr>
          <w:rFonts w:ascii="Times New Roman" w:hAnsi="Times New Roman" w:eastAsia="Times New Roman" w:cs="Times New Roman"/>
          <w:lang w:val="fr-FR"/>
        </w:rPr>
        <w:t xml:space="preserve"> </w:t>
      </w:r>
      <w:r w:rsidRPr="003B1303" w:rsidR="00B042B6">
        <w:rPr>
          <w:rFonts w:ascii="Times New Roman" w:hAnsi="Times New Roman" w:eastAsia="Times New Roman" w:cs="Times New Roman"/>
          <w:lang w:val="fr-FR"/>
        </w:rPr>
        <w:t>propre version de</w:t>
      </w:r>
      <w:r w:rsidRPr="003B1303">
        <w:rPr>
          <w:rFonts w:ascii="Times New Roman" w:hAnsi="Times New Roman" w:eastAsia="Times New Roman" w:cs="Times New Roman"/>
          <w:lang w:val="fr-FR"/>
        </w:rPr>
        <w:t>s</w:t>
      </w:r>
      <w:r w:rsidRPr="003B1303" w:rsidR="00B042B6">
        <w:rPr>
          <w:rFonts w:ascii="Times New Roman" w:hAnsi="Times New Roman" w:eastAsia="Times New Roman" w:cs="Times New Roman"/>
          <w:lang w:val="fr-FR"/>
        </w:rPr>
        <w:t xml:space="preserve"> faits</w:t>
      </w:r>
      <w:r w:rsidRPr="003B1303" w:rsidR="00AE587F">
        <w:rPr>
          <w:rFonts w:ascii="Times New Roman" w:hAnsi="Times New Roman" w:eastAsia="Times New Roman" w:cs="Times New Roman"/>
          <w:lang w:val="fr-FR"/>
        </w:rPr>
        <w:t> ;</w:t>
      </w:r>
    </w:p>
    <w:p w:rsidRPr="003B1303" w:rsidR="0085148A" w:rsidP="003B1303" w:rsidRDefault="00C13A23">
      <w:pPr>
        <w:pStyle w:val="ECHRPara"/>
        <w:rPr>
          <w:rFonts w:ascii="Times New Roman" w:hAnsi="Times New Roman" w:eastAsia="Times New Roman" w:cs="Times New Roman"/>
          <w:lang w:val="fr-FR"/>
        </w:rPr>
      </w:pPr>
      <w:r w:rsidRPr="003B1303">
        <w:rPr>
          <w:rFonts w:ascii="Times New Roman" w:hAnsi="Times New Roman" w:eastAsia="Times New Roman" w:cs="Times New Roman"/>
          <w:lang w:val="fr-FR"/>
        </w:rPr>
        <w:t>–</w:t>
      </w:r>
      <w:r w:rsidRPr="003B1303" w:rsidR="00AE587F">
        <w:rPr>
          <w:rFonts w:ascii="Times New Roman" w:hAnsi="Times New Roman" w:eastAsia="Times New Roman" w:cs="Times New Roman"/>
          <w:lang w:val="fr-FR"/>
        </w:rPr>
        <w:t>  le 8 octobre 2008, entre A. </w:t>
      </w:r>
      <w:proofErr w:type="spellStart"/>
      <w:r w:rsidRPr="003B1303" w:rsidR="00AE587F">
        <w:rPr>
          <w:rFonts w:ascii="Times New Roman" w:hAnsi="Times New Roman" w:eastAsia="Times New Roman" w:cs="Times New Roman"/>
          <w:lang w:val="fr-FR"/>
        </w:rPr>
        <w:t>Kur</w:t>
      </w:r>
      <w:proofErr w:type="spellEnd"/>
      <w:r w:rsidRPr="003B1303" w:rsidR="00AE587F">
        <w:rPr>
          <w:rFonts w:ascii="Times New Roman" w:hAnsi="Times New Roman" w:eastAsia="Times New Roman" w:cs="Times New Roman"/>
          <w:lang w:val="fr-FR"/>
        </w:rPr>
        <w:t xml:space="preserve">. </w:t>
      </w:r>
      <w:proofErr w:type="gramStart"/>
      <w:r w:rsidRPr="003B1303" w:rsidR="00AE587F">
        <w:rPr>
          <w:rFonts w:ascii="Times New Roman" w:hAnsi="Times New Roman" w:eastAsia="Times New Roman" w:cs="Times New Roman"/>
          <w:lang w:val="fr-FR"/>
        </w:rPr>
        <w:t>et</w:t>
      </w:r>
      <w:proofErr w:type="gramEnd"/>
      <w:r w:rsidRPr="003B1303" w:rsidR="00AE587F">
        <w:rPr>
          <w:rFonts w:ascii="Times New Roman" w:hAnsi="Times New Roman" w:eastAsia="Times New Roman" w:cs="Times New Roman"/>
          <w:lang w:val="fr-FR"/>
        </w:rPr>
        <w:t xml:space="preserve"> </w:t>
      </w:r>
      <w:r w:rsidRPr="003B1303" w:rsidR="00817002">
        <w:rPr>
          <w:rFonts w:ascii="Times New Roman" w:hAnsi="Times New Roman" w:eastAsia="Times New Roman" w:cs="Times New Roman"/>
          <w:lang w:val="fr-FR"/>
        </w:rPr>
        <w:t>E. Mas.</w:t>
      </w:r>
      <w:r w:rsidRPr="003B1303" w:rsidR="004E7186">
        <w:rPr>
          <w:rFonts w:ascii="Times New Roman" w:hAnsi="Times New Roman" w:eastAsia="Times New Roman" w:cs="Times New Roman"/>
          <w:lang w:val="fr-FR"/>
        </w:rPr>
        <w:t>,</w:t>
      </w:r>
      <w:r w:rsidRPr="003B1303" w:rsidR="00AE587F">
        <w:rPr>
          <w:rFonts w:ascii="Times New Roman" w:hAnsi="Times New Roman" w:eastAsia="Times New Roman" w:cs="Times New Roman"/>
          <w:lang w:val="fr-FR"/>
        </w:rPr>
        <w:t xml:space="preserve"> lors de laquelle </w:t>
      </w:r>
      <w:r w:rsidRPr="003B1303" w:rsidR="008C2DAA">
        <w:rPr>
          <w:rFonts w:ascii="Times New Roman" w:hAnsi="Times New Roman" w:eastAsia="Times New Roman" w:cs="Times New Roman"/>
          <w:lang w:val="fr-FR"/>
        </w:rPr>
        <w:t xml:space="preserve">ceux-ci </w:t>
      </w:r>
      <w:r w:rsidRPr="003B1303" w:rsidR="00B042B6">
        <w:rPr>
          <w:rFonts w:ascii="Times New Roman" w:hAnsi="Times New Roman" w:eastAsia="Times New Roman" w:cs="Times New Roman"/>
          <w:lang w:val="fr-FR"/>
        </w:rPr>
        <w:t>plaidèrent coupable</w:t>
      </w:r>
      <w:r w:rsidRPr="003B1303" w:rsidR="00AE587F">
        <w:rPr>
          <w:rFonts w:ascii="Times New Roman" w:hAnsi="Times New Roman" w:eastAsia="Times New Roman" w:cs="Times New Roman"/>
          <w:lang w:val="fr-FR"/>
        </w:rPr>
        <w:t>.</w:t>
      </w:r>
    </w:p>
    <w:p w:rsidRPr="003B1303" w:rsidR="00210831" w:rsidP="003B1303" w:rsidRDefault="009E2D7C">
      <w:pPr>
        <w:pStyle w:val="ECHRHeading2"/>
        <w:rPr>
          <w:lang w:val="fr-FR"/>
        </w:rPr>
      </w:pPr>
      <w:r w:rsidRPr="003B1303">
        <w:rPr>
          <w:lang w:val="fr-FR"/>
        </w:rPr>
        <w:t>C</w:t>
      </w:r>
      <w:r w:rsidRPr="003B1303" w:rsidR="00210831">
        <w:rPr>
          <w:lang w:val="fr-FR"/>
        </w:rPr>
        <w:t xml:space="preserve">.  Le procès pénal et la condamnation </w:t>
      </w:r>
      <w:r w:rsidRPr="003B1303" w:rsidR="006D6AD9">
        <w:rPr>
          <w:lang w:val="fr-FR"/>
        </w:rPr>
        <w:t>des</w:t>
      </w:r>
      <w:r w:rsidRPr="003B1303" w:rsidR="00210831">
        <w:rPr>
          <w:lang w:val="fr-FR"/>
        </w:rPr>
        <w:t xml:space="preserve"> requérant</w:t>
      </w:r>
      <w:r w:rsidRPr="003B1303" w:rsidR="006D6AD9">
        <w:rPr>
          <w:lang w:val="fr-FR"/>
        </w:rPr>
        <w:t>s</w:t>
      </w:r>
    </w:p>
    <w:p w:rsidRPr="003B1303" w:rsidR="00BE4C83" w:rsidP="003B1303" w:rsidRDefault="009B7D9B">
      <w:pPr>
        <w:pStyle w:val="ECHRHeading3"/>
        <w:rPr>
          <w:lang w:val="fr-FR"/>
        </w:rPr>
      </w:pPr>
      <w:r w:rsidRPr="003B1303">
        <w:rPr>
          <w:lang w:val="fr-FR"/>
        </w:rPr>
        <w:t>1.  Le début du procès</w:t>
      </w:r>
    </w:p>
    <w:p w:rsidRPr="003B1303" w:rsidR="0085148A" w:rsidP="003B1303" w:rsidRDefault="00BD01F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68</w:t>
      </w:r>
      <w:r w:rsidRPr="003B1303">
        <w:rPr>
          <w:lang w:val="fr-FR"/>
        </w:rPr>
        <w:fldChar w:fldCharType="end"/>
      </w:r>
      <w:r w:rsidRPr="003B1303">
        <w:rPr>
          <w:lang w:val="fr-FR"/>
        </w:rPr>
        <w:t>.  Le 23 mars 2010, la cour régionale, siégeant</w:t>
      </w:r>
      <w:r w:rsidRPr="003B1303" w:rsidR="00845E8A">
        <w:rPr>
          <w:lang w:val="fr-FR"/>
        </w:rPr>
        <w:t xml:space="preserve"> en une formation composée d</w:t>
      </w:r>
      <w:r w:rsidRPr="003B1303" w:rsidR="003B1303">
        <w:rPr>
          <w:lang w:val="fr-FR"/>
        </w:rPr>
        <w:t>’</w:t>
      </w:r>
      <w:r w:rsidRPr="003B1303" w:rsidR="00845E8A">
        <w:rPr>
          <w:lang w:val="fr-FR"/>
        </w:rPr>
        <w:t>une juge et d</w:t>
      </w:r>
      <w:r w:rsidRPr="003B1303" w:rsidR="003B1303">
        <w:rPr>
          <w:lang w:val="fr-FR"/>
        </w:rPr>
        <w:t>’</w:t>
      </w:r>
      <w:r w:rsidRPr="003B1303">
        <w:rPr>
          <w:lang w:val="fr-FR"/>
        </w:rPr>
        <w:t>un jury, commen</w:t>
      </w:r>
      <w:r w:rsidRPr="003B1303" w:rsidR="00E30B4B">
        <w:rPr>
          <w:lang w:val="fr-FR"/>
        </w:rPr>
        <w:t xml:space="preserve">ça </w:t>
      </w:r>
      <w:r w:rsidRPr="003B1303">
        <w:rPr>
          <w:lang w:val="fr-FR"/>
        </w:rPr>
        <w:t>l</w:t>
      </w:r>
      <w:r w:rsidRPr="003B1303" w:rsidR="003B1303">
        <w:rPr>
          <w:lang w:val="fr-FR"/>
        </w:rPr>
        <w:t>’</w:t>
      </w:r>
      <w:r w:rsidRPr="003B1303">
        <w:rPr>
          <w:lang w:val="fr-FR"/>
        </w:rPr>
        <w:t>exa</w:t>
      </w:r>
      <w:r w:rsidRPr="003B1303" w:rsidR="00B04EAB">
        <w:rPr>
          <w:lang w:val="fr-FR"/>
        </w:rPr>
        <w:t>men du fond de l</w:t>
      </w:r>
      <w:r w:rsidRPr="003B1303" w:rsidR="003B1303">
        <w:rPr>
          <w:lang w:val="fr-FR"/>
        </w:rPr>
        <w:t>’</w:t>
      </w:r>
      <w:r w:rsidRPr="003B1303" w:rsidR="00B04EAB">
        <w:rPr>
          <w:lang w:val="fr-FR"/>
        </w:rPr>
        <w:t>affaire pénale dirigée à l</w:t>
      </w:r>
      <w:r w:rsidRPr="003B1303" w:rsidR="003B1303">
        <w:rPr>
          <w:lang w:val="fr-FR"/>
        </w:rPr>
        <w:t>’</w:t>
      </w:r>
      <w:r w:rsidRPr="003B1303" w:rsidR="00B04EAB">
        <w:rPr>
          <w:lang w:val="fr-FR"/>
        </w:rPr>
        <w:t xml:space="preserve">encontre </w:t>
      </w:r>
      <w:r w:rsidRPr="003B1303" w:rsidR="00553244">
        <w:rPr>
          <w:lang w:val="fr-FR"/>
        </w:rPr>
        <w:t>de</w:t>
      </w:r>
      <w:r w:rsidRPr="003B1303" w:rsidR="00B12093">
        <w:rPr>
          <w:lang w:val="fr-FR"/>
        </w:rPr>
        <w:t>s</w:t>
      </w:r>
      <w:r w:rsidRPr="003B1303" w:rsidR="00553244">
        <w:rPr>
          <w:lang w:val="fr-FR"/>
        </w:rPr>
        <w:t xml:space="preserve"> requérant</w:t>
      </w:r>
      <w:r w:rsidRPr="003B1303" w:rsidR="006D6AD9">
        <w:rPr>
          <w:lang w:val="fr-FR"/>
        </w:rPr>
        <w:t>s</w:t>
      </w:r>
      <w:r w:rsidRPr="003B1303" w:rsidR="00B12093">
        <w:rPr>
          <w:lang w:val="fr-FR"/>
        </w:rPr>
        <w:t xml:space="preserve"> et de six autres accusés</w:t>
      </w:r>
      <w:r w:rsidRPr="003B1303" w:rsidR="000C602E">
        <w:rPr>
          <w:lang w:val="fr-FR"/>
        </w:rPr>
        <w:t xml:space="preserve">, </w:t>
      </w:r>
      <w:r w:rsidRPr="003B1303" w:rsidR="00817002">
        <w:rPr>
          <w:lang w:val="fr-FR"/>
        </w:rPr>
        <w:t>V. </w:t>
      </w:r>
      <w:proofErr w:type="spellStart"/>
      <w:r w:rsidRPr="003B1303" w:rsidR="00817002">
        <w:rPr>
          <w:lang w:val="fr-FR"/>
        </w:rPr>
        <w:t>Zag</w:t>
      </w:r>
      <w:proofErr w:type="spellEnd"/>
      <w:r w:rsidRPr="003B1303" w:rsidR="00817002">
        <w:rPr>
          <w:lang w:val="fr-FR"/>
        </w:rPr>
        <w:t>.</w:t>
      </w:r>
      <w:r w:rsidRPr="003B1303" w:rsidR="00B12093">
        <w:rPr>
          <w:lang w:val="fr-FR"/>
        </w:rPr>
        <w:t>, V. Mol</w:t>
      </w:r>
      <w:r w:rsidRPr="003B1303" w:rsidR="000B50F0">
        <w:rPr>
          <w:lang w:val="fr-FR"/>
        </w:rPr>
        <w:t>.</w:t>
      </w:r>
      <w:r w:rsidRPr="003B1303" w:rsidR="00B12093">
        <w:rPr>
          <w:lang w:val="fr-FR"/>
        </w:rPr>
        <w:t xml:space="preserve">, </w:t>
      </w:r>
      <w:r w:rsidRPr="003B1303" w:rsidR="00817002">
        <w:rPr>
          <w:lang w:val="fr-FR"/>
        </w:rPr>
        <w:t>E. Mas.</w:t>
      </w:r>
      <w:r w:rsidRPr="003B1303" w:rsidR="00B12093">
        <w:rPr>
          <w:lang w:val="fr-FR"/>
        </w:rPr>
        <w:t xml:space="preserve">, </w:t>
      </w:r>
      <w:r w:rsidRPr="003B1303" w:rsidR="00817002">
        <w:rPr>
          <w:lang w:val="fr-FR"/>
        </w:rPr>
        <w:t>D. Che.</w:t>
      </w:r>
      <w:r w:rsidRPr="003B1303" w:rsidR="00B12093">
        <w:rPr>
          <w:lang w:val="fr-FR"/>
        </w:rPr>
        <w:t>, A. </w:t>
      </w:r>
      <w:proofErr w:type="spellStart"/>
      <w:r w:rsidRPr="003B1303" w:rsidR="00B12093">
        <w:rPr>
          <w:lang w:val="fr-FR"/>
        </w:rPr>
        <w:t>Kur</w:t>
      </w:r>
      <w:proofErr w:type="spellEnd"/>
      <w:r w:rsidRPr="003B1303" w:rsidR="00B12093">
        <w:rPr>
          <w:lang w:val="fr-FR"/>
        </w:rPr>
        <w:t xml:space="preserve">. </w:t>
      </w:r>
      <w:proofErr w:type="gramStart"/>
      <w:r w:rsidRPr="003B1303" w:rsidR="00B12093">
        <w:rPr>
          <w:lang w:val="fr-FR"/>
        </w:rPr>
        <w:t>et</w:t>
      </w:r>
      <w:proofErr w:type="gramEnd"/>
      <w:r w:rsidRPr="003B1303" w:rsidR="00B12093">
        <w:rPr>
          <w:lang w:val="fr-FR"/>
        </w:rPr>
        <w:t xml:space="preserve">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sidR="00B04EAB">
        <w:rPr>
          <w:lang w:val="fr-FR"/>
        </w:rPr>
        <w:t xml:space="preserve"> </w:t>
      </w:r>
      <w:r w:rsidRPr="003B1303">
        <w:rPr>
          <w:lang w:val="fr-FR"/>
        </w:rPr>
        <w:t>Le premier requérant fut accusé d</w:t>
      </w:r>
      <w:r w:rsidRPr="003B1303" w:rsidR="003B1303">
        <w:rPr>
          <w:lang w:val="fr-FR"/>
        </w:rPr>
        <w:t>’</w:t>
      </w:r>
      <w:r w:rsidRPr="003B1303">
        <w:rPr>
          <w:lang w:val="fr-FR"/>
        </w:rPr>
        <w:t>organisation d</w:t>
      </w:r>
      <w:r w:rsidRPr="003B1303" w:rsidR="003B1303">
        <w:rPr>
          <w:lang w:val="fr-FR"/>
        </w:rPr>
        <w:t>’</w:t>
      </w:r>
      <w:r w:rsidRPr="003B1303">
        <w:rPr>
          <w:lang w:val="fr-FR"/>
        </w:rPr>
        <w:t>une atteinte à la vie d</w:t>
      </w:r>
      <w:r w:rsidRPr="003B1303" w:rsidR="003B1303">
        <w:rPr>
          <w:lang w:val="fr-FR"/>
        </w:rPr>
        <w:t>’</w:t>
      </w:r>
      <w:r w:rsidRPr="003B1303">
        <w:rPr>
          <w:lang w:val="fr-FR"/>
        </w:rPr>
        <w:t xml:space="preserve">un magistrat (articles 33 § 3 et 295 du </w:t>
      </w:r>
      <w:r w:rsidRPr="003B1303" w:rsidR="006D6AD9">
        <w:rPr>
          <w:lang w:val="fr-FR"/>
        </w:rPr>
        <w:t>code pénal (</w:t>
      </w:r>
      <w:r w:rsidRPr="003B1303">
        <w:rPr>
          <w:lang w:val="fr-FR"/>
        </w:rPr>
        <w:t>CP)</w:t>
      </w:r>
      <w:r w:rsidRPr="003B1303" w:rsidR="006D6AD9">
        <w:rPr>
          <w:lang w:val="fr-FR"/>
        </w:rPr>
        <w:t>) et</w:t>
      </w:r>
      <w:r w:rsidRPr="003B1303">
        <w:rPr>
          <w:lang w:val="fr-FR"/>
        </w:rPr>
        <w:t xml:space="preserve"> le second requérant de meurtre aggravé (article 105 § 2 du CP) et de création d</w:t>
      </w:r>
      <w:r w:rsidRPr="003B1303" w:rsidR="003B1303">
        <w:rPr>
          <w:lang w:val="fr-FR"/>
        </w:rPr>
        <w:t>’</w:t>
      </w:r>
      <w:r w:rsidRPr="003B1303">
        <w:rPr>
          <w:lang w:val="fr-FR"/>
        </w:rPr>
        <w:t>une bande organisée (article 209 § 1 de CP).</w:t>
      </w:r>
      <w:r w:rsidRPr="003B1303" w:rsidR="00154F30">
        <w:rPr>
          <w:lang w:val="fr-FR"/>
        </w:rPr>
        <w:t xml:space="preserve"> </w:t>
      </w:r>
      <w:r w:rsidRPr="003B1303" w:rsidR="00657375">
        <w:rPr>
          <w:lang w:val="fr-FR"/>
        </w:rPr>
        <w:t xml:space="preserve">Puisque </w:t>
      </w:r>
      <w:proofErr w:type="spellStart"/>
      <w:r w:rsidRPr="003B1303" w:rsidR="00657375">
        <w:rPr>
          <w:lang w:val="fr-FR"/>
        </w:rPr>
        <w:t>Kh</w:t>
      </w:r>
      <w:proofErr w:type="spellEnd"/>
      <w:r w:rsidRPr="003B1303" w:rsidR="00657375">
        <w:rPr>
          <w:lang w:val="fr-FR"/>
        </w:rPr>
        <w:t xml:space="preserve">. </w:t>
      </w:r>
      <w:r w:rsidRPr="003B1303" w:rsidR="00432DE4">
        <w:rPr>
          <w:lang w:val="fr-FR"/>
        </w:rPr>
        <w:t xml:space="preserve">était </w:t>
      </w:r>
      <w:r w:rsidRPr="003B1303" w:rsidR="00657375">
        <w:rPr>
          <w:lang w:val="fr-FR"/>
        </w:rPr>
        <w:t>décédé avant la réouverture de l</w:t>
      </w:r>
      <w:r w:rsidRPr="003B1303" w:rsidR="003B1303">
        <w:rPr>
          <w:lang w:val="fr-FR"/>
        </w:rPr>
        <w:t>’</w:t>
      </w:r>
      <w:r w:rsidRPr="003B1303" w:rsidR="00657375">
        <w:rPr>
          <w:lang w:val="fr-FR"/>
        </w:rPr>
        <w:t xml:space="preserve">enquête pénale en avril 2008, il figurait dans le dossier pénal en tant </w:t>
      </w:r>
      <w:r w:rsidRPr="003B1303" w:rsidR="00432DE4">
        <w:rPr>
          <w:lang w:val="fr-FR"/>
        </w:rPr>
        <w:t xml:space="preserve">que </w:t>
      </w:r>
      <w:r w:rsidRPr="003B1303" w:rsidR="00657375">
        <w:rPr>
          <w:lang w:val="fr-FR"/>
        </w:rPr>
        <w:t>personne à l</w:t>
      </w:r>
      <w:r w:rsidRPr="003B1303" w:rsidR="003B1303">
        <w:rPr>
          <w:lang w:val="fr-FR"/>
        </w:rPr>
        <w:t>’</w:t>
      </w:r>
      <w:r w:rsidRPr="003B1303" w:rsidR="00657375">
        <w:rPr>
          <w:lang w:val="fr-FR"/>
        </w:rPr>
        <w:t xml:space="preserve">égard de laquelle il y </w:t>
      </w:r>
      <w:r w:rsidRPr="003B1303" w:rsidR="00432DE4">
        <w:rPr>
          <w:lang w:val="fr-FR"/>
        </w:rPr>
        <w:t xml:space="preserve">avait eu </w:t>
      </w:r>
      <w:r w:rsidRPr="003B1303" w:rsidR="00657375">
        <w:rPr>
          <w:lang w:val="fr-FR"/>
        </w:rPr>
        <w:t>extinction de l</w:t>
      </w:r>
      <w:r w:rsidRPr="003B1303" w:rsidR="003B1303">
        <w:rPr>
          <w:lang w:val="fr-FR"/>
        </w:rPr>
        <w:t>’</w:t>
      </w:r>
      <w:r w:rsidRPr="003B1303" w:rsidR="00657375">
        <w:rPr>
          <w:lang w:val="fr-FR"/>
        </w:rPr>
        <w:t>action publique pour cause de décès.</w:t>
      </w:r>
    </w:p>
    <w:p w:rsidRPr="003B1303" w:rsidR="0085148A" w:rsidP="003B1303" w:rsidRDefault="009B7D9B">
      <w:pPr>
        <w:pStyle w:val="ECHRHeading3"/>
        <w:rPr>
          <w:lang w:val="fr-FR"/>
        </w:rPr>
      </w:pPr>
      <w:r w:rsidRPr="003B1303">
        <w:rPr>
          <w:lang w:val="fr-FR"/>
        </w:rPr>
        <w:t>2.  </w:t>
      </w:r>
      <w:r w:rsidRPr="003B1303" w:rsidR="00844E08">
        <w:rPr>
          <w:lang w:val="fr-FR"/>
        </w:rPr>
        <w:t>L</w:t>
      </w:r>
      <w:r w:rsidRPr="003B1303" w:rsidR="003B1303">
        <w:rPr>
          <w:lang w:val="fr-FR"/>
        </w:rPr>
        <w:t>’</w:t>
      </w:r>
      <w:r w:rsidRPr="003B1303" w:rsidR="00844E08">
        <w:rPr>
          <w:lang w:val="fr-FR"/>
        </w:rPr>
        <w:t>examen de l</w:t>
      </w:r>
      <w:r w:rsidRPr="003B1303" w:rsidR="003B1303">
        <w:rPr>
          <w:lang w:val="fr-FR"/>
        </w:rPr>
        <w:t>’</w:t>
      </w:r>
      <w:r w:rsidRPr="003B1303" w:rsidR="00844E08">
        <w:rPr>
          <w:lang w:val="fr-FR"/>
        </w:rPr>
        <w:t>admissibilité de</w:t>
      </w:r>
      <w:r w:rsidRPr="003B1303" w:rsidR="00AA5216">
        <w:rPr>
          <w:lang w:val="fr-FR"/>
        </w:rPr>
        <w:t>s</w:t>
      </w:r>
      <w:r w:rsidRPr="003B1303" w:rsidR="00844E08">
        <w:rPr>
          <w:lang w:val="fr-FR"/>
        </w:rPr>
        <w:t xml:space="preserve"> dépositions des requérants </w:t>
      </w:r>
      <w:r w:rsidRPr="003B1303" w:rsidR="00BD01FD">
        <w:rPr>
          <w:lang w:val="fr-FR"/>
        </w:rPr>
        <w:t>faites au stade de l</w:t>
      </w:r>
      <w:r w:rsidRPr="003B1303" w:rsidR="003B1303">
        <w:rPr>
          <w:lang w:val="fr-FR"/>
        </w:rPr>
        <w:t>’</w:t>
      </w:r>
      <w:r w:rsidRPr="003B1303" w:rsidR="00BD01FD">
        <w:rPr>
          <w:lang w:val="fr-FR"/>
        </w:rPr>
        <w:t xml:space="preserve">investigation </w:t>
      </w:r>
      <w:r w:rsidRPr="003B1303" w:rsidR="00AA5216">
        <w:rPr>
          <w:lang w:val="fr-FR"/>
        </w:rPr>
        <w:t>de l</w:t>
      </w:r>
      <w:r w:rsidRPr="003B1303" w:rsidR="003B1303">
        <w:rPr>
          <w:lang w:val="fr-FR"/>
        </w:rPr>
        <w:t>’</w:t>
      </w:r>
      <w:r w:rsidRPr="003B1303" w:rsidR="00AA5216">
        <w:rPr>
          <w:lang w:val="fr-FR"/>
        </w:rPr>
        <w:t>affaire pénale</w:t>
      </w:r>
    </w:p>
    <w:p w:rsidRPr="003B1303" w:rsidR="00844E08" w:rsidP="003B1303" w:rsidRDefault="00773BA0">
      <w:pPr>
        <w:pStyle w:val="ECHRHeading4"/>
        <w:rPr>
          <w:lang w:val="fr-FR"/>
        </w:rPr>
      </w:pPr>
      <w:r w:rsidRPr="003B1303">
        <w:rPr>
          <w:lang w:val="fr-FR"/>
        </w:rPr>
        <w:t>a)  </w:t>
      </w:r>
      <w:r w:rsidRPr="003B1303" w:rsidR="00844E08">
        <w:rPr>
          <w:lang w:val="fr-FR"/>
        </w:rPr>
        <w:t>La demande de lectur</w:t>
      </w:r>
      <w:r w:rsidRPr="003B1303" w:rsidR="00AA5216">
        <w:rPr>
          <w:lang w:val="fr-FR"/>
        </w:rPr>
        <w:t>e de</w:t>
      </w:r>
      <w:r w:rsidRPr="003B1303" w:rsidR="005478CB">
        <w:rPr>
          <w:lang w:val="fr-FR"/>
        </w:rPr>
        <w:t>s</w:t>
      </w:r>
      <w:r w:rsidRPr="003B1303" w:rsidR="00AA5216">
        <w:rPr>
          <w:lang w:val="fr-FR"/>
        </w:rPr>
        <w:t xml:space="preserve"> dépositions des requérants</w:t>
      </w:r>
      <w:r w:rsidRPr="003B1303" w:rsidR="001D74F4">
        <w:rPr>
          <w:lang w:val="fr-FR"/>
        </w:rPr>
        <w:t xml:space="preserve"> </w:t>
      </w:r>
      <w:r w:rsidRPr="003B1303" w:rsidR="00432DE4">
        <w:rPr>
          <w:lang w:val="fr-FR"/>
        </w:rPr>
        <w:t>et</w:t>
      </w:r>
      <w:r w:rsidRPr="003B1303" w:rsidR="001D74F4">
        <w:rPr>
          <w:lang w:val="fr-FR"/>
        </w:rPr>
        <w:t xml:space="preserve"> des coaccusés </w:t>
      </w:r>
      <w:r w:rsidRPr="003B1303" w:rsidR="00817002">
        <w:rPr>
          <w:lang w:val="fr-FR"/>
        </w:rPr>
        <w:t>E. Mas.</w:t>
      </w:r>
      <w:r w:rsidRPr="003B1303" w:rsidR="001D74F4">
        <w:rPr>
          <w:lang w:val="fr-FR"/>
        </w:rPr>
        <w:t xml:space="preserve">, </w:t>
      </w:r>
      <w:r w:rsidRPr="003B1303" w:rsidR="00817002">
        <w:rPr>
          <w:lang w:val="fr-FR"/>
        </w:rPr>
        <w:t>D. Che.</w:t>
      </w:r>
      <w:r w:rsidRPr="003B1303" w:rsidR="001D74F4">
        <w:rPr>
          <w:lang w:val="fr-FR"/>
        </w:rPr>
        <w:t xml:space="preserve"> </w:t>
      </w:r>
      <w:proofErr w:type="gramStart"/>
      <w:r w:rsidRPr="003B1303" w:rsidR="001D74F4">
        <w:rPr>
          <w:lang w:val="fr-FR"/>
        </w:rPr>
        <w:t>et</w:t>
      </w:r>
      <w:proofErr w:type="gramEnd"/>
      <w:r w:rsidRPr="003B1303" w:rsidR="001D74F4">
        <w:rPr>
          <w:lang w:val="fr-FR"/>
        </w:rPr>
        <w:t xml:space="preserve"> A. </w:t>
      </w:r>
      <w:proofErr w:type="spellStart"/>
      <w:r w:rsidRPr="003B1303" w:rsidR="001D74F4">
        <w:rPr>
          <w:lang w:val="fr-FR"/>
        </w:rPr>
        <w:t>Kal</w:t>
      </w:r>
      <w:proofErr w:type="spellEnd"/>
    </w:p>
    <w:bookmarkStart w:name="demlect" w:id="39"/>
    <w:p w:rsidRPr="003B1303" w:rsidR="0085148A" w:rsidP="003B1303" w:rsidRDefault="00C654DC">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69</w:t>
      </w:r>
      <w:r w:rsidRPr="003B1303">
        <w:rPr>
          <w:lang w:val="fr-FR"/>
        </w:rPr>
        <w:fldChar w:fldCharType="end"/>
      </w:r>
      <w:bookmarkEnd w:id="39"/>
      <w:r w:rsidRPr="003B1303">
        <w:rPr>
          <w:lang w:val="fr-FR"/>
        </w:rPr>
        <w:t>.  Lors de l</w:t>
      </w:r>
      <w:r w:rsidRPr="003B1303" w:rsidR="003B1303">
        <w:rPr>
          <w:lang w:val="fr-FR"/>
        </w:rPr>
        <w:t>’</w:t>
      </w:r>
      <w:r w:rsidRPr="003B1303">
        <w:rPr>
          <w:lang w:val="fr-FR"/>
        </w:rPr>
        <w:t xml:space="preserve">audience du 25 octobre 2010, le procureur demanda </w:t>
      </w:r>
      <w:r w:rsidRPr="003B1303" w:rsidR="00E479D2">
        <w:rPr>
          <w:lang w:val="fr-FR"/>
        </w:rPr>
        <w:t>la lecture d</w:t>
      </w:r>
      <w:r w:rsidRPr="003B1303">
        <w:rPr>
          <w:lang w:val="fr-FR"/>
        </w:rPr>
        <w:t xml:space="preserve">es dépositions </w:t>
      </w:r>
      <w:r w:rsidRPr="003B1303" w:rsidR="00F539E3">
        <w:rPr>
          <w:lang w:val="fr-FR"/>
        </w:rPr>
        <w:t>faites par le</w:t>
      </w:r>
      <w:r w:rsidRPr="003B1303">
        <w:rPr>
          <w:lang w:val="fr-FR"/>
        </w:rPr>
        <w:t xml:space="preserve"> </w:t>
      </w:r>
      <w:r w:rsidRPr="003B1303" w:rsidR="008D095A">
        <w:rPr>
          <w:lang w:val="fr-FR"/>
        </w:rPr>
        <w:t xml:space="preserve">premier </w:t>
      </w:r>
      <w:r w:rsidRPr="003B1303">
        <w:rPr>
          <w:lang w:val="fr-FR"/>
        </w:rPr>
        <w:t xml:space="preserve">requérant </w:t>
      </w:r>
      <w:r w:rsidRPr="003B1303" w:rsidR="00F539E3">
        <w:rPr>
          <w:lang w:val="fr-FR"/>
        </w:rPr>
        <w:t>le</w:t>
      </w:r>
      <w:r w:rsidRPr="003B1303">
        <w:rPr>
          <w:lang w:val="fr-FR"/>
        </w:rPr>
        <w:t xml:space="preserve"> 14 avril 200</w:t>
      </w:r>
      <w:r w:rsidRPr="003B1303" w:rsidR="00F539E3">
        <w:rPr>
          <w:lang w:val="fr-FR"/>
        </w:rPr>
        <w:t>8</w:t>
      </w:r>
      <w:r w:rsidRPr="003B1303" w:rsidR="000C00A4">
        <w:rPr>
          <w:lang w:val="fr-FR"/>
        </w:rPr>
        <w:t xml:space="preserve"> et</w:t>
      </w:r>
      <w:r w:rsidRPr="003B1303" w:rsidR="00F539E3">
        <w:rPr>
          <w:lang w:val="fr-FR"/>
        </w:rPr>
        <w:t xml:space="preserve"> </w:t>
      </w:r>
      <w:r w:rsidRPr="003B1303" w:rsidR="00E479D2">
        <w:rPr>
          <w:lang w:val="fr-FR"/>
        </w:rPr>
        <w:t>du</w:t>
      </w:r>
      <w:r w:rsidRPr="003B1303" w:rsidR="000C00A4">
        <w:rPr>
          <w:lang w:val="fr-FR"/>
        </w:rPr>
        <w:t xml:space="preserve"> </w:t>
      </w:r>
      <w:r w:rsidRPr="003B1303">
        <w:rPr>
          <w:lang w:val="fr-FR"/>
        </w:rPr>
        <w:t xml:space="preserve">procès-verbal de </w:t>
      </w:r>
      <w:r w:rsidRPr="003B1303" w:rsidR="00F539E3">
        <w:rPr>
          <w:lang w:val="fr-FR"/>
        </w:rPr>
        <w:t>l</w:t>
      </w:r>
      <w:r w:rsidRPr="003B1303" w:rsidR="003B1303">
        <w:rPr>
          <w:lang w:val="fr-FR"/>
        </w:rPr>
        <w:t>’</w:t>
      </w:r>
      <w:r w:rsidRPr="003B1303" w:rsidR="00F539E3">
        <w:rPr>
          <w:lang w:val="fr-FR"/>
        </w:rPr>
        <w:t>interrogatoire de ce dernier</w:t>
      </w:r>
      <w:r w:rsidRPr="003B1303">
        <w:rPr>
          <w:lang w:val="fr-FR"/>
        </w:rPr>
        <w:t xml:space="preserve"> du 15 avril 2008 </w:t>
      </w:r>
      <w:r w:rsidRPr="003B1303" w:rsidR="00F539E3">
        <w:rPr>
          <w:lang w:val="fr-FR"/>
        </w:rPr>
        <w:t>et</w:t>
      </w:r>
      <w:r w:rsidRPr="003B1303">
        <w:rPr>
          <w:lang w:val="fr-FR"/>
        </w:rPr>
        <w:t xml:space="preserve"> </w:t>
      </w:r>
      <w:r w:rsidRPr="003B1303" w:rsidR="00E479D2">
        <w:rPr>
          <w:lang w:val="fr-FR"/>
        </w:rPr>
        <w:t>le visionnage de</w:t>
      </w:r>
      <w:r w:rsidRPr="003B1303" w:rsidR="000C00A4">
        <w:rPr>
          <w:lang w:val="fr-FR"/>
        </w:rPr>
        <w:t xml:space="preserve"> </w:t>
      </w:r>
      <w:r w:rsidRPr="003B1303">
        <w:rPr>
          <w:lang w:val="fr-FR"/>
        </w:rPr>
        <w:t>l</w:t>
      </w:r>
      <w:r w:rsidRPr="003B1303" w:rsidR="003B1303">
        <w:rPr>
          <w:lang w:val="fr-FR"/>
        </w:rPr>
        <w:t>’</w:t>
      </w:r>
      <w:r w:rsidRPr="003B1303">
        <w:rPr>
          <w:lang w:val="fr-FR"/>
        </w:rPr>
        <w:t>enregistrement vidéo de cet interrogatoire</w:t>
      </w:r>
      <w:r w:rsidRPr="003B1303" w:rsidR="00B40670">
        <w:rPr>
          <w:lang w:val="fr-FR"/>
        </w:rPr>
        <w:t xml:space="preserve">. </w:t>
      </w:r>
      <w:r w:rsidRPr="003B1303" w:rsidR="000C00A4">
        <w:rPr>
          <w:lang w:val="fr-FR"/>
        </w:rPr>
        <w:t>Il demanda</w:t>
      </w:r>
      <w:r w:rsidRPr="003B1303" w:rsidR="00F539E3">
        <w:rPr>
          <w:lang w:val="fr-FR"/>
        </w:rPr>
        <w:t xml:space="preserve"> également </w:t>
      </w:r>
      <w:r w:rsidRPr="003B1303" w:rsidR="00E479D2">
        <w:rPr>
          <w:lang w:val="fr-FR"/>
        </w:rPr>
        <w:t>la lecture des</w:t>
      </w:r>
      <w:r w:rsidRPr="003B1303" w:rsidR="00F539E3">
        <w:rPr>
          <w:lang w:val="fr-FR"/>
        </w:rPr>
        <w:t xml:space="preserve"> dépositions du second requérant </w:t>
      </w:r>
      <w:r w:rsidRPr="003B1303" w:rsidR="000C00A4">
        <w:rPr>
          <w:lang w:val="fr-FR"/>
        </w:rPr>
        <w:t>en date du</w:t>
      </w:r>
      <w:r w:rsidRPr="003B1303" w:rsidR="00F539E3">
        <w:rPr>
          <w:lang w:val="fr-FR"/>
        </w:rPr>
        <w:t xml:space="preserve"> 16 </w:t>
      </w:r>
      <w:r w:rsidRPr="003B1303" w:rsidR="00AA5216">
        <w:rPr>
          <w:lang w:val="fr-FR"/>
        </w:rPr>
        <w:t xml:space="preserve">avril 2008, </w:t>
      </w:r>
      <w:r w:rsidRPr="003B1303" w:rsidR="000C00A4">
        <w:rPr>
          <w:lang w:val="fr-FR"/>
        </w:rPr>
        <w:t>l</w:t>
      </w:r>
      <w:r w:rsidRPr="003B1303" w:rsidR="00AA5216">
        <w:rPr>
          <w:lang w:val="fr-FR"/>
        </w:rPr>
        <w:t>es procès</w:t>
      </w:r>
      <w:r w:rsidRPr="003B1303" w:rsidR="00AA5216">
        <w:rPr>
          <w:lang w:val="fr-FR"/>
        </w:rPr>
        <w:noBreakHyphen/>
        <w:t xml:space="preserve">verbaux des interrogatoires de ce dernier du </w:t>
      </w:r>
      <w:r w:rsidRPr="003B1303" w:rsidR="00F539E3">
        <w:rPr>
          <w:lang w:val="fr-FR"/>
        </w:rPr>
        <w:t>30 avril, 5, 12 et 14 mai et 24 septembre 2008</w:t>
      </w:r>
      <w:r w:rsidRPr="003B1303" w:rsidR="000C00A4">
        <w:rPr>
          <w:lang w:val="fr-FR"/>
        </w:rPr>
        <w:t>,</w:t>
      </w:r>
      <w:r w:rsidRPr="003B1303" w:rsidR="00AA5216">
        <w:rPr>
          <w:lang w:val="fr-FR"/>
        </w:rPr>
        <w:t xml:space="preserve"> ainsi que </w:t>
      </w:r>
      <w:r w:rsidRPr="003B1303" w:rsidR="00E479D2">
        <w:rPr>
          <w:lang w:val="fr-FR"/>
        </w:rPr>
        <w:t>du</w:t>
      </w:r>
      <w:r w:rsidRPr="003B1303" w:rsidR="00AA5216">
        <w:rPr>
          <w:lang w:val="fr-FR"/>
        </w:rPr>
        <w:t xml:space="preserve"> procès</w:t>
      </w:r>
      <w:r w:rsidRPr="003B1303" w:rsidR="00AA5216">
        <w:rPr>
          <w:lang w:val="fr-FR"/>
        </w:rPr>
        <w:noBreakHyphen/>
        <w:t xml:space="preserve">verbal </w:t>
      </w:r>
      <w:r w:rsidRPr="003B1303" w:rsidR="000F6BB9">
        <w:rPr>
          <w:lang w:val="fr-FR"/>
        </w:rPr>
        <w:t>de la reconstitution de</w:t>
      </w:r>
      <w:r w:rsidRPr="003B1303" w:rsidR="008121A7">
        <w:rPr>
          <w:lang w:val="fr-FR"/>
        </w:rPr>
        <w:t>s faits sur les lieux du crime du</w:t>
      </w:r>
      <w:r w:rsidRPr="003B1303" w:rsidR="000F6BB9">
        <w:rPr>
          <w:lang w:val="fr-FR"/>
        </w:rPr>
        <w:t xml:space="preserve"> 14 mai 2008.</w:t>
      </w:r>
    </w:p>
    <w:p w:rsidRPr="003B1303" w:rsidR="0085148A" w:rsidP="003B1303" w:rsidRDefault="00AD457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70</w:t>
      </w:r>
      <w:r w:rsidRPr="003B1303">
        <w:rPr>
          <w:lang w:val="fr-FR"/>
        </w:rPr>
        <w:fldChar w:fldCharType="end"/>
      </w:r>
      <w:r w:rsidRPr="003B1303">
        <w:rPr>
          <w:lang w:val="fr-FR"/>
        </w:rPr>
        <w:t>.  </w:t>
      </w:r>
      <w:r w:rsidRPr="003B1303" w:rsidR="00E24C98">
        <w:rPr>
          <w:lang w:val="fr-FR"/>
        </w:rPr>
        <w:t>Les deux</w:t>
      </w:r>
      <w:r w:rsidRPr="003B1303" w:rsidR="00F539E3">
        <w:rPr>
          <w:lang w:val="fr-FR"/>
        </w:rPr>
        <w:t xml:space="preserve"> requéra</w:t>
      </w:r>
      <w:r w:rsidRPr="003B1303" w:rsidR="000F6BB9">
        <w:rPr>
          <w:lang w:val="fr-FR"/>
        </w:rPr>
        <w:t>nt</w:t>
      </w:r>
      <w:r w:rsidRPr="003B1303" w:rsidR="00E24C98">
        <w:rPr>
          <w:lang w:val="fr-FR"/>
        </w:rPr>
        <w:t>s</w:t>
      </w:r>
      <w:r w:rsidRPr="003B1303" w:rsidR="000F6BB9">
        <w:rPr>
          <w:lang w:val="fr-FR"/>
        </w:rPr>
        <w:t xml:space="preserve"> s</w:t>
      </w:r>
      <w:r w:rsidRPr="003B1303" w:rsidR="003B1303">
        <w:rPr>
          <w:lang w:val="fr-FR"/>
        </w:rPr>
        <w:t>’</w:t>
      </w:r>
      <w:r w:rsidRPr="003B1303" w:rsidR="000F6BB9">
        <w:rPr>
          <w:lang w:val="fr-FR"/>
        </w:rPr>
        <w:t>opposèrent à la lecture de leurs</w:t>
      </w:r>
      <w:r w:rsidRPr="003B1303" w:rsidR="00F539E3">
        <w:rPr>
          <w:lang w:val="fr-FR"/>
        </w:rPr>
        <w:t xml:space="preserve"> dépositions </w:t>
      </w:r>
      <w:r w:rsidRPr="003B1303" w:rsidR="000F6BB9">
        <w:rPr>
          <w:lang w:val="fr-FR"/>
        </w:rPr>
        <w:t>faites aux dates susmentionnées</w:t>
      </w:r>
      <w:r w:rsidRPr="003B1303" w:rsidR="00F539E3">
        <w:rPr>
          <w:lang w:val="fr-FR"/>
        </w:rPr>
        <w:t xml:space="preserve"> et demandèrent</w:t>
      </w:r>
      <w:r w:rsidRPr="003B1303" w:rsidR="00C654DC">
        <w:rPr>
          <w:lang w:val="fr-FR"/>
        </w:rPr>
        <w:t xml:space="preserve"> </w:t>
      </w:r>
      <w:r w:rsidRPr="003B1303" w:rsidR="006624D1">
        <w:rPr>
          <w:lang w:val="fr-FR"/>
        </w:rPr>
        <w:t xml:space="preserve">de les </w:t>
      </w:r>
      <w:r w:rsidRPr="003B1303" w:rsidR="00C654DC">
        <w:rPr>
          <w:lang w:val="fr-FR"/>
        </w:rPr>
        <w:t>exclu</w:t>
      </w:r>
      <w:r w:rsidRPr="003B1303" w:rsidR="006624D1">
        <w:rPr>
          <w:lang w:val="fr-FR"/>
        </w:rPr>
        <w:t>re</w:t>
      </w:r>
      <w:r w:rsidRPr="003B1303" w:rsidR="00C654DC">
        <w:rPr>
          <w:lang w:val="fr-FR"/>
        </w:rPr>
        <w:t xml:space="preserve"> des preuves à charge au motif qu</w:t>
      </w:r>
      <w:r w:rsidRPr="003B1303" w:rsidR="003B1303">
        <w:rPr>
          <w:lang w:val="fr-FR"/>
        </w:rPr>
        <w:t>’</w:t>
      </w:r>
      <w:r w:rsidRPr="003B1303" w:rsidR="00C654DC">
        <w:rPr>
          <w:lang w:val="fr-FR"/>
        </w:rPr>
        <w:t xml:space="preserve">elles </w:t>
      </w:r>
      <w:r w:rsidRPr="003B1303" w:rsidR="00C30C6E">
        <w:rPr>
          <w:lang w:val="fr-FR"/>
        </w:rPr>
        <w:t>auraient été obtenues par la</w:t>
      </w:r>
      <w:r w:rsidRPr="003B1303" w:rsidR="00C654DC">
        <w:rPr>
          <w:lang w:val="fr-FR"/>
        </w:rPr>
        <w:t xml:space="preserve"> </w:t>
      </w:r>
      <w:r w:rsidRPr="003B1303" w:rsidR="000F6BB9">
        <w:rPr>
          <w:lang w:val="fr-FR"/>
        </w:rPr>
        <w:t>coercition</w:t>
      </w:r>
      <w:r w:rsidRPr="003B1303" w:rsidR="00F539E3">
        <w:rPr>
          <w:lang w:val="fr-FR"/>
        </w:rPr>
        <w:t>. À ce sujet, ils réitérèrent leurs allégations de mauvais traitements subis dans la maison d</w:t>
      </w:r>
      <w:r w:rsidRPr="003B1303" w:rsidR="003B1303">
        <w:rPr>
          <w:lang w:val="fr-FR"/>
        </w:rPr>
        <w:t>’</w:t>
      </w:r>
      <w:r w:rsidRPr="003B1303" w:rsidR="00F539E3">
        <w:rPr>
          <w:lang w:val="fr-FR"/>
        </w:rPr>
        <w:t>arrêt.</w:t>
      </w:r>
    </w:p>
    <w:bookmarkStart w:name="posprocpreq" w:id="40"/>
    <w:p w:rsidRPr="003B1303" w:rsidR="0085148A" w:rsidP="003B1303" w:rsidRDefault="00AD457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71</w:t>
      </w:r>
      <w:r w:rsidRPr="003B1303">
        <w:rPr>
          <w:lang w:val="fr-FR"/>
        </w:rPr>
        <w:fldChar w:fldCharType="end"/>
      </w:r>
      <w:bookmarkEnd w:id="40"/>
      <w:r w:rsidRPr="003B1303">
        <w:rPr>
          <w:lang w:val="fr-FR"/>
        </w:rPr>
        <w:t>.  </w:t>
      </w:r>
      <w:r w:rsidRPr="003B1303" w:rsidR="00F539E3">
        <w:rPr>
          <w:lang w:val="fr-FR"/>
        </w:rPr>
        <w:t xml:space="preserve">Le premier requérant indiqua </w:t>
      </w:r>
      <w:r w:rsidRPr="003B1303" w:rsidR="00AD7572">
        <w:rPr>
          <w:lang w:val="fr-FR"/>
        </w:rPr>
        <w:t>qu</w:t>
      </w:r>
      <w:r w:rsidRPr="003B1303" w:rsidR="003B1303">
        <w:rPr>
          <w:lang w:val="fr-FR"/>
        </w:rPr>
        <w:t>’</w:t>
      </w:r>
      <w:r w:rsidRPr="003B1303" w:rsidR="00AD7572">
        <w:rPr>
          <w:lang w:val="fr-FR"/>
        </w:rPr>
        <w:t>il</w:t>
      </w:r>
      <w:r w:rsidRPr="003B1303" w:rsidR="00C654DC">
        <w:rPr>
          <w:lang w:val="fr-FR"/>
        </w:rPr>
        <w:t xml:space="preserve"> avait maintenu</w:t>
      </w:r>
      <w:r w:rsidRPr="003B1303" w:rsidR="00AD7572">
        <w:rPr>
          <w:lang w:val="fr-FR"/>
        </w:rPr>
        <w:t xml:space="preserve"> </w:t>
      </w:r>
      <w:r w:rsidRPr="003B1303" w:rsidR="00C30C6E">
        <w:rPr>
          <w:lang w:val="fr-FR"/>
        </w:rPr>
        <w:t>s</w:t>
      </w:r>
      <w:r w:rsidRPr="003B1303" w:rsidR="00AD7572">
        <w:rPr>
          <w:lang w:val="fr-FR"/>
        </w:rPr>
        <w:t xml:space="preserve">es déclarations auto-incriminantes </w:t>
      </w:r>
      <w:r w:rsidRPr="003B1303" w:rsidR="00C654DC">
        <w:rPr>
          <w:lang w:val="fr-FR"/>
        </w:rPr>
        <w:t>lors de l</w:t>
      </w:r>
      <w:r w:rsidRPr="003B1303" w:rsidR="003B1303">
        <w:rPr>
          <w:lang w:val="fr-FR"/>
        </w:rPr>
        <w:t>’</w:t>
      </w:r>
      <w:r w:rsidRPr="003B1303" w:rsidR="00C654DC">
        <w:rPr>
          <w:lang w:val="fr-FR"/>
        </w:rPr>
        <w:t xml:space="preserve">interrogatoire du 15 avril 2008 </w:t>
      </w:r>
      <w:r w:rsidRPr="003B1303" w:rsidR="00C30C6E">
        <w:rPr>
          <w:lang w:val="fr-FR"/>
        </w:rPr>
        <w:t>en raison</w:t>
      </w:r>
      <w:r w:rsidRPr="003B1303" w:rsidR="00C654DC">
        <w:rPr>
          <w:lang w:val="fr-FR"/>
        </w:rPr>
        <w:t xml:space="preserve"> des mauvais traitements qu</w:t>
      </w:r>
      <w:r w:rsidRPr="003B1303" w:rsidR="003B1303">
        <w:rPr>
          <w:lang w:val="fr-FR"/>
        </w:rPr>
        <w:t>’</w:t>
      </w:r>
      <w:r w:rsidRPr="003B1303" w:rsidR="00C654DC">
        <w:rPr>
          <w:lang w:val="fr-FR"/>
        </w:rPr>
        <w:t xml:space="preserve">il aurait subis </w:t>
      </w:r>
      <w:r w:rsidRPr="003B1303" w:rsidR="00AD7572">
        <w:rPr>
          <w:lang w:val="fr-FR"/>
        </w:rPr>
        <w:t>la veille</w:t>
      </w:r>
      <w:r w:rsidRPr="003B1303" w:rsidR="00124284">
        <w:rPr>
          <w:lang w:val="fr-FR"/>
        </w:rPr>
        <w:t xml:space="preserve">, </w:t>
      </w:r>
      <w:r w:rsidRPr="003B1303" w:rsidR="00E479D2">
        <w:rPr>
          <w:lang w:val="fr-FR"/>
        </w:rPr>
        <w:t>du fait d</w:t>
      </w:r>
      <w:r w:rsidRPr="003B1303" w:rsidR="003B1303">
        <w:rPr>
          <w:lang w:val="fr-FR"/>
        </w:rPr>
        <w:t>’</w:t>
      </w:r>
      <w:r w:rsidRPr="003B1303" w:rsidR="00E479D2">
        <w:rPr>
          <w:lang w:val="fr-FR"/>
        </w:rPr>
        <w:t>avoir été privé</w:t>
      </w:r>
      <w:r w:rsidRPr="003B1303" w:rsidR="00A644BB">
        <w:rPr>
          <w:lang w:val="fr-FR"/>
        </w:rPr>
        <w:t xml:space="preserve"> </w:t>
      </w:r>
      <w:r w:rsidRPr="003B1303" w:rsidR="00E479D2">
        <w:rPr>
          <w:lang w:val="fr-FR"/>
        </w:rPr>
        <w:t>de l</w:t>
      </w:r>
      <w:r w:rsidRPr="003B1303" w:rsidR="003B1303">
        <w:rPr>
          <w:lang w:val="fr-FR"/>
        </w:rPr>
        <w:t>’</w:t>
      </w:r>
      <w:r w:rsidRPr="003B1303" w:rsidR="00E479D2">
        <w:rPr>
          <w:lang w:val="fr-FR"/>
        </w:rPr>
        <w:t>assistance</w:t>
      </w:r>
      <w:r w:rsidRPr="003B1303" w:rsidR="00C30C6E">
        <w:rPr>
          <w:lang w:val="fr-FR"/>
        </w:rPr>
        <w:t xml:space="preserve"> </w:t>
      </w:r>
      <w:r w:rsidRPr="003B1303" w:rsidR="00C654DC">
        <w:rPr>
          <w:lang w:val="fr-FR"/>
        </w:rPr>
        <w:t>des avocat</w:t>
      </w:r>
      <w:r w:rsidRPr="003B1303" w:rsidR="00AD7572">
        <w:rPr>
          <w:lang w:val="fr-FR"/>
        </w:rPr>
        <w:t>e</w:t>
      </w:r>
      <w:r w:rsidRPr="003B1303" w:rsidR="00C654DC">
        <w:rPr>
          <w:lang w:val="fr-FR"/>
        </w:rPr>
        <w:t>s de son choix</w:t>
      </w:r>
      <w:r w:rsidRPr="003B1303" w:rsidR="00A644BB">
        <w:rPr>
          <w:lang w:val="fr-FR"/>
        </w:rPr>
        <w:t xml:space="preserve"> </w:t>
      </w:r>
      <w:r w:rsidRPr="003B1303" w:rsidR="00124284">
        <w:rPr>
          <w:lang w:val="fr-FR"/>
        </w:rPr>
        <w:t>et</w:t>
      </w:r>
      <w:r w:rsidRPr="003B1303" w:rsidR="00A644BB">
        <w:rPr>
          <w:lang w:val="fr-FR"/>
        </w:rPr>
        <w:t xml:space="preserve"> du caractère purement formel de la présence de l</w:t>
      </w:r>
      <w:r w:rsidRPr="003B1303" w:rsidR="003B1303">
        <w:rPr>
          <w:lang w:val="fr-FR"/>
        </w:rPr>
        <w:t>’</w:t>
      </w:r>
      <w:r w:rsidRPr="003B1303" w:rsidR="00A644BB">
        <w:rPr>
          <w:lang w:val="fr-FR"/>
        </w:rPr>
        <w:t>avocate commise d</w:t>
      </w:r>
      <w:r w:rsidRPr="003B1303" w:rsidR="003B1303">
        <w:rPr>
          <w:lang w:val="fr-FR"/>
        </w:rPr>
        <w:t>’</w:t>
      </w:r>
      <w:r w:rsidRPr="003B1303" w:rsidR="00A644BB">
        <w:rPr>
          <w:lang w:val="fr-FR"/>
        </w:rPr>
        <w:t xml:space="preserve">office Ku. </w:t>
      </w:r>
      <w:proofErr w:type="gramStart"/>
      <w:r w:rsidRPr="003B1303" w:rsidR="00A644BB">
        <w:rPr>
          <w:lang w:val="fr-FR"/>
        </w:rPr>
        <w:t>lors</w:t>
      </w:r>
      <w:proofErr w:type="gramEnd"/>
      <w:r w:rsidRPr="003B1303" w:rsidR="00A644BB">
        <w:rPr>
          <w:lang w:val="fr-FR"/>
        </w:rPr>
        <w:t xml:space="preserve"> dudit interrogatoire. </w:t>
      </w:r>
      <w:r w:rsidRPr="003B1303">
        <w:rPr>
          <w:lang w:val="fr-FR"/>
        </w:rPr>
        <w:t>Il déclara qu</w:t>
      </w:r>
      <w:r w:rsidRPr="003B1303" w:rsidR="00124284">
        <w:rPr>
          <w:lang w:val="fr-FR"/>
        </w:rPr>
        <w:t xml:space="preserve">e, </w:t>
      </w:r>
      <w:r w:rsidRPr="003B1303" w:rsidR="00D367F9">
        <w:rPr>
          <w:lang w:val="fr-FR"/>
        </w:rPr>
        <w:t>avant l</w:t>
      </w:r>
      <w:r w:rsidRPr="003B1303" w:rsidR="003B1303">
        <w:rPr>
          <w:lang w:val="fr-FR"/>
        </w:rPr>
        <w:t>’</w:t>
      </w:r>
      <w:r w:rsidRPr="003B1303" w:rsidR="00D367F9">
        <w:rPr>
          <w:lang w:val="fr-FR"/>
        </w:rPr>
        <w:t xml:space="preserve">interrogatoire </w:t>
      </w:r>
      <w:r w:rsidRPr="003B1303" w:rsidR="003027BF">
        <w:rPr>
          <w:lang w:val="fr-FR"/>
        </w:rPr>
        <w:t>en question</w:t>
      </w:r>
      <w:r w:rsidRPr="003B1303" w:rsidR="00124284">
        <w:rPr>
          <w:lang w:val="fr-FR"/>
        </w:rPr>
        <w:t>,</w:t>
      </w:r>
      <w:r w:rsidRPr="003B1303" w:rsidR="003027BF">
        <w:rPr>
          <w:lang w:val="fr-FR"/>
        </w:rPr>
        <w:t xml:space="preserve"> </w:t>
      </w:r>
      <w:r w:rsidRPr="003B1303">
        <w:rPr>
          <w:lang w:val="fr-FR"/>
        </w:rPr>
        <w:t xml:space="preserve">il avait </w:t>
      </w:r>
      <w:r w:rsidRPr="003B1303" w:rsidR="00D367F9">
        <w:rPr>
          <w:lang w:val="fr-FR"/>
        </w:rPr>
        <w:t>demandé à l</w:t>
      </w:r>
      <w:r w:rsidRPr="003B1303" w:rsidR="003B1303">
        <w:rPr>
          <w:lang w:val="fr-FR"/>
        </w:rPr>
        <w:t>’</w:t>
      </w:r>
      <w:r w:rsidRPr="003B1303" w:rsidR="00D367F9">
        <w:rPr>
          <w:lang w:val="fr-FR"/>
        </w:rPr>
        <w:t>enquêteur B. d</w:t>
      </w:r>
      <w:r w:rsidRPr="003B1303" w:rsidR="003B1303">
        <w:rPr>
          <w:lang w:val="fr-FR"/>
        </w:rPr>
        <w:t>’</w:t>
      </w:r>
      <w:r w:rsidRPr="003B1303" w:rsidR="00D367F9">
        <w:rPr>
          <w:lang w:val="fr-FR"/>
        </w:rPr>
        <w:t xml:space="preserve">avoir accès à ses avocates </w:t>
      </w:r>
      <w:proofErr w:type="spellStart"/>
      <w:r w:rsidRPr="003B1303" w:rsidR="00D367F9">
        <w:rPr>
          <w:lang w:val="fr-FR"/>
        </w:rPr>
        <w:t>Ye</w:t>
      </w:r>
      <w:proofErr w:type="spellEnd"/>
      <w:r w:rsidRPr="003B1303" w:rsidR="00D367F9">
        <w:rPr>
          <w:lang w:val="fr-FR"/>
        </w:rPr>
        <w:t xml:space="preserve">. </w:t>
      </w:r>
      <w:proofErr w:type="gramStart"/>
      <w:r w:rsidRPr="003B1303" w:rsidR="00D367F9">
        <w:rPr>
          <w:lang w:val="fr-FR"/>
        </w:rPr>
        <w:t>et</w:t>
      </w:r>
      <w:proofErr w:type="gramEnd"/>
      <w:r w:rsidRPr="003B1303" w:rsidR="00D367F9">
        <w:rPr>
          <w:lang w:val="fr-FR"/>
        </w:rPr>
        <w:t xml:space="preserve"> Ch. mais</w:t>
      </w:r>
      <w:r w:rsidRPr="003B1303" w:rsidR="00124284">
        <w:rPr>
          <w:lang w:val="fr-FR"/>
        </w:rPr>
        <w:t xml:space="preserve"> que</w:t>
      </w:r>
      <w:r w:rsidRPr="003B1303" w:rsidR="00D367F9">
        <w:rPr>
          <w:lang w:val="fr-FR"/>
        </w:rPr>
        <w:t xml:space="preserve"> B. </w:t>
      </w:r>
      <w:r w:rsidRPr="003B1303" w:rsidR="00124284">
        <w:rPr>
          <w:lang w:val="fr-FR"/>
        </w:rPr>
        <w:t>l</w:t>
      </w:r>
      <w:r w:rsidRPr="003B1303" w:rsidR="003B1303">
        <w:rPr>
          <w:lang w:val="fr-FR"/>
        </w:rPr>
        <w:t>’</w:t>
      </w:r>
      <w:r w:rsidRPr="003B1303" w:rsidR="00124284">
        <w:rPr>
          <w:lang w:val="fr-FR"/>
        </w:rPr>
        <w:t xml:space="preserve">aurait </w:t>
      </w:r>
      <w:r w:rsidRPr="003B1303" w:rsidR="00EF0C92">
        <w:rPr>
          <w:lang w:val="fr-FR"/>
        </w:rPr>
        <w:t xml:space="preserve">informé que les deux </w:t>
      </w:r>
      <w:r w:rsidRPr="003B1303" w:rsidR="00124284">
        <w:rPr>
          <w:lang w:val="fr-FR"/>
        </w:rPr>
        <w:t xml:space="preserve">avocates </w:t>
      </w:r>
      <w:r w:rsidRPr="003B1303" w:rsidR="00EF0C92">
        <w:rPr>
          <w:lang w:val="fr-FR"/>
        </w:rPr>
        <w:t>n</w:t>
      </w:r>
      <w:r w:rsidRPr="003B1303" w:rsidR="003B1303">
        <w:rPr>
          <w:lang w:val="fr-FR"/>
        </w:rPr>
        <w:t>’</w:t>
      </w:r>
      <w:r w:rsidRPr="003B1303" w:rsidR="00EF0C92">
        <w:rPr>
          <w:lang w:val="fr-FR"/>
        </w:rPr>
        <w:t>étaient pas disponibles. Le requérant indiqua qu</w:t>
      </w:r>
      <w:r w:rsidRPr="003B1303" w:rsidR="003B1303">
        <w:rPr>
          <w:lang w:val="fr-FR"/>
        </w:rPr>
        <w:t>’</w:t>
      </w:r>
      <w:r w:rsidRPr="003B1303" w:rsidR="00EF0C92">
        <w:rPr>
          <w:lang w:val="fr-FR"/>
        </w:rPr>
        <w:t xml:space="preserve">il avait </w:t>
      </w:r>
      <w:r w:rsidRPr="003B1303">
        <w:rPr>
          <w:lang w:val="fr-FR"/>
        </w:rPr>
        <w:t xml:space="preserve">effectivement </w:t>
      </w:r>
      <w:r w:rsidRPr="003B1303" w:rsidR="003027BF">
        <w:rPr>
          <w:lang w:val="fr-FR"/>
        </w:rPr>
        <w:t>donné</w:t>
      </w:r>
      <w:r w:rsidRPr="003B1303">
        <w:rPr>
          <w:lang w:val="fr-FR"/>
        </w:rPr>
        <w:t xml:space="preserve"> </w:t>
      </w:r>
      <w:r w:rsidRPr="003B1303" w:rsidR="003027BF">
        <w:rPr>
          <w:lang w:val="fr-FR"/>
        </w:rPr>
        <w:t xml:space="preserve">un </w:t>
      </w:r>
      <w:r w:rsidRPr="003B1303">
        <w:rPr>
          <w:lang w:val="fr-FR"/>
        </w:rPr>
        <w:t xml:space="preserve">accord </w:t>
      </w:r>
      <w:r w:rsidRPr="003B1303" w:rsidR="003027BF">
        <w:rPr>
          <w:lang w:val="fr-FR"/>
        </w:rPr>
        <w:t xml:space="preserve">écrit </w:t>
      </w:r>
      <w:r w:rsidRPr="003B1303">
        <w:rPr>
          <w:lang w:val="fr-FR"/>
        </w:rPr>
        <w:t xml:space="preserve">pour être représenté par Ku. </w:t>
      </w:r>
      <w:proofErr w:type="gramStart"/>
      <w:r w:rsidRPr="003B1303" w:rsidR="00D367F9">
        <w:rPr>
          <w:lang w:val="fr-FR"/>
        </w:rPr>
        <w:t>puisqu</w:t>
      </w:r>
      <w:r w:rsidRPr="003B1303" w:rsidR="003B1303">
        <w:rPr>
          <w:lang w:val="fr-FR"/>
        </w:rPr>
        <w:t>’</w:t>
      </w:r>
      <w:r w:rsidRPr="003B1303" w:rsidR="00D367F9">
        <w:rPr>
          <w:lang w:val="fr-FR"/>
        </w:rPr>
        <w:t>il</w:t>
      </w:r>
      <w:proofErr w:type="gramEnd"/>
      <w:r w:rsidRPr="003B1303" w:rsidR="00D367F9">
        <w:rPr>
          <w:lang w:val="fr-FR"/>
        </w:rPr>
        <w:t xml:space="preserve"> avait été informé par l</w:t>
      </w:r>
      <w:r w:rsidRPr="003B1303" w:rsidR="003B1303">
        <w:rPr>
          <w:lang w:val="fr-FR"/>
        </w:rPr>
        <w:t>’</w:t>
      </w:r>
      <w:r w:rsidRPr="003B1303" w:rsidR="00D367F9">
        <w:rPr>
          <w:lang w:val="fr-FR"/>
        </w:rPr>
        <w:t xml:space="preserve">enquêteur </w:t>
      </w:r>
      <w:r w:rsidRPr="003B1303" w:rsidR="003027BF">
        <w:rPr>
          <w:lang w:val="fr-FR"/>
        </w:rPr>
        <w:t>B. de l</w:t>
      </w:r>
      <w:r w:rsidRPr="003B1303" w:rsidR="003B1303">
        <w:rPr>
          <w:lang w:val="fr-FR"/>
        </w:rPr>
        <w:t>’</w:t>
      </w:r>
      <w:r w:rsidRPr="003B1303" w:rsidR="003027BF">
        <w:rPr>
          <w:lang w:val="fr-FR"/>
        </w:rPr>
        <w:t xml:space="preserve">indisponibilité des avocates de son choix. </w:t>
      </w:r>
      <w:proofErr w:type="gramStart"/>
      <w:r w:rsidRPr="003B1303" w:rsidR="003027BF">
        <w:rPr>
          <w:lang w:val="fr-FR"/>
        </w:rPr>
        <w:t>Il déclara</w:t>
      </w:r>
      <w:proofErr w:type="gramEnd"/>
      <w:r w:rsidRPr="003B1303" w:rsidR="003027BF">
        <w:rPr>
          <w:lang w:val="fr-FR"/>
        </w:rPr>
        <w:t xml:space="preserve"> que Ku.</w:t>
      </w:r>
      <w:r w:rsidRPr="003B1303">
        <w:rPr>
          <w:lang w:val="fr-FR"/>
        </w:rPr>
        <w:t xml:space="preserve"> </w:t>
      </w:r>
      <w:proofErr w:type="gramStart"/>
      <w:r w:rsidRPr="003B1303">
        <w:rPr>
          <w:lang w:val="fr-FR"/>
        </w:rPr>
        <w:t>n</w:t>
      </w:r>
      <w:r w:rsidRPr="003B1303" w:rsidR="003B1303">
        <w:rPr>
          <w:lang w:val="fr-FR"/>
        </w:rPr>
        <w:t>’</w:t>
      </w:r>
      <w:r w:rsidRPr="003B1303">
        <w:rPr>
          <w:lang w:val="fr-FR"/>
        </w:rPr>
        <w:t>avait</w:t>
      </w:r>
      <w:proofErr w:type="gramEnd"/>
      <w:r w:rsidRPr="003B1303">
        <w:rPr>
          <w:lang w:val="fr-FR"/>
        </w:rPr>
        <w:t xml:space="preserve"> </w:t>
      </w:r>
      <w:r w:rsidRPr="003B1303" w:rsidR="006624D1">
        <w:rPr>
          <w:lang w:val="fr-FR"/>
        </w:rPr>
        <w:t xml:space="preserve">pas </w:t>
      </w:r>
      <w:r w:rsidRPr="003B1303">
        <w:rPr>
          <w:lang w:val="fr-FR"/>
        </w:rPr>
        <w:t xml:space="preserve">fourni </w:t>
      </w:r>
      <w:r w:rsidRPr="003B1303" w:rsidR="006624D1">
        <w:rPr>
          <w:lang w:val="fr-FR"/>
        </w:rPr>
        <w:t>d</w:t>
      </w:r>
      <w:r w:rsidRPr="003B1303" w:rsidR="003B1303">
        <w:rPr>
          <w:lang w:val="fr-FR"/>
        </w:rPr>
        <w:t>’</w:t>
      </w:r>
      <w:r w:rsidRPr="003B1303">
        <w:rPr>
          <w:lang w:val="fr-FR"/>
        </w:rPr>
        <w:t>assistance juridique</w:t>
      </w:r>
      <w:r w:rsidRPr="003B1303" w:rsidR="006624D1">
        <w:rPr>
          <w:lang w:val="fr-FR"/>
        </w:rPr>
        <w:t xml:space="preserve"> véritable</w:t>
      </w:r>
      <w:r w:rsidRPr="003B1303" w:rsidR="00124284">
        <w:rPr>
          <w:lang w:val="fr-FR"/>
        </w:rPr>
        <w:t>. Il exposa qu</w:t>
      </w:r>
      <w:r w:rsidRPr="003B1303" w:rsidR="003B1303">
        <w:rPr>
          <w:lang w:val="fr-FR"/>
        </w:rPr>
        <w:t>’</w:t>
      </w:r>
      <w:r w:rsidRPr="003B1303">
        <w:rPr>
          <w:lang w:val="fr-FR"/>
        </w:rPr>
        <w:t>elle n</w:t>
      </w:r>
      <w:r w:rsidRPr="003B1303" w:rsidR="003B1303">
        <w:rPr>
          <w:lang w:val="fr-FR"/>
        </w:rPr>
        <w:t>’</w:t>
      </w:r>
      <w:r w:rsidRPr="003B1303">
        <w:rPr>
          <w:lang w:val="fr-FR"/>
        </w:rPr>
        <w:t>a</w:t>
      </w:r>
      <w:r w:rsidRPr="003B1303" w:rsidR="003027BF">
        <w:rPr>
          <w:lang w:val="fr-FR"/>
        </w:rPr>
        <w:t>v</w:t>
      </w:r>
      <w:r w:rsidRPr="003B1303">
        <w:rPr>
          <w:lang w:val="fr-FR"/>
        </w:rPr>
        <w:t xml:space="preserve">ait </w:t>
      </w:r>
      <w:r w:rsidRPr="003B1303" w:rsidR="00124284">
        <w:rPr>
          <w:lang w:val="fr-FR"/>
        </w:rPr>
        <w:t xml:space="preserve">notamment </w:t>
      </w:r>
      <w:r w:rsidRPr="003B1303">
        <w:rPr>
          <w:lang w:val="fr-FR"/>
        </w:rPr>
        <w:t>pas cherché à savoir quelles déclarations il avait fait</w:t>
      </w:r>
      <w:r w:rsidRPr="003B1303" w:rsidR="00124284">
        <w:rPr>
          <w:lang w:val="fr-FR"/>
        </w:rPr>
        <w:t>es</w:t>
      </w:r>
      <w:r w:rsidRPr="003B1303">
        <w:rPr>
          <w:lang w:val="fr-FR"/>
        </w:rPr>
        <w:t xml:space="preserve"> lors de l</w:t>
      </w:r>
      <w:r w:rsidRPr="003B1303" w:rsidR="003B1303">
        <w:rPr>
          <w:lang w:val="fr-FR"/>
        </w:rPr>
        <w:t>’</w:t>
      </w:r>
      <w:r w:rsidRPr="003B1303">
        <w:rPr>
          <w:lang w:val="fr-FR"/>
        </w:rPr>
        <w:t>interrogatoire du 11 avril 2008</w:t>
      </w:r>
      <w:r w:rsidRPr="003B1303" w:rsidR="003027BF">
        <w:rPr>
          <w:lang w:val="fr-FR"/>
        </w:rPr>
        <w:t xml:space="preserve"> et</w:t>
      </w:r>
      <w:r w:rsidRPr="003B1303">
        <w:rPr>
          <w:lang w:val="fr-FR"/>
        </w:rPr>
        <w:t xml:space="preserve"> </w:t>
      </w:r>
      <w:r w:rsidRPr="003B1303" w:rsidR="00124284">
        <w:rPr>
          <w:lang w:val="fr-FR"/>
        </w:rPr>
        <w:t>qu</w:t>
      </w:r>
      <w:r w:rsidRPr="003B1303" w:rsidR="003B1303">
        <w:rPr>
          <w:lang w:val="fr-FR"/>
        </w:rPr>
        <w:t>’</w:t>
      </w:r>
      <w:r w:rsidRPr="003B1303" w:rsidR="00124284">
        <w:rPr>
          <w:lang w:val="fr-FR"/>
        </w:rPr>
        <w:t xml:space="preserve">elle </w:t>
      </w:r>
      <w:r w:rsidRPr="003B1303">
        <w:rPr>
          <w:lang w:val="fr-FR"/>
        </w:rPr>
        <w:t>n</w:t>
      </w:r>
      <w:r w:rsidRPr="003B1303" w:rsidR="003B1303">
        <w:rPr>
          <w:lang w:val="fr-FR"/>
        </w:rPr>
        <w:t>’</w:t>
      </w:r>
      <w:r w:rsidRPr="003B1303">
        <w:rPr>
          <w:lang w:val="fr-FR"/>
        </w:rPr>
        <w:t>a</w:t>
      </w:r>
      <w:r w:rsidRPr="003B1303" w:rsidR="003027BF">
        <w:rPr>
          <w:lang w:val="fr-FR"/>
        </w:rPr>
        <w:t>vait</w:t>
      </w:r>
      <w:r w:rsidRPr="003B1303">
        <w:rPr>
          <w:lang w:val="fr-FR"/>
        </w:rPr>
        <w:t xml:space="preserve"> eu </w:t>
      </w:r>
      <w:r w:rsidRPr="003B1303" w:rsidR="005744D2">
        <w:rPr>
          <w:lang w:val="fr-FR"/>
        </w:rPr>
        <w:t>aucune</w:t>
      </w:r>
      <w:r w:rsidRPr="003B1303">
        <w:rPr>
          <w:lang w:val="fr-FR"/>
        </w:rPr>
        <w:t xml:space="preserve"> conversation </w:t>
      </w:r>
      <w:r w:rsidRPr="003B1303" w:rsidR="003027BF">
        <w:rPr>
          <w:lang w:val="fr-FR"/>
        </w:rPr>
        <w:t xml:space="preserve">avec lui </w:t>
      </w:r>
      <w:r w:rsidRPr="003B1303">
        <w:rPr>
          <w:lang w:val="fr-FR"/>
        </w:rPr>
        <w:t xml:space="preserve">en privé. </w:t>
      </w:r>
      <w:r w:rsidRPr="003B1303" w:rsidR="00A644BB">
        <w:rPr>
          <w:lang w:val="fr-FR"/>
        </w:rPr>
        <w:t>À cet égard, il réitéra les conclusions auxquelles le conseil disciplinaire du barreau de la région d</w:t>
      </w:r>
      <w:r w:rsidRPr="003B1303" w:rsidR="003B1303">
        <w:rPr>
          <w:lang w:val="fr-FR"/>
        </w:rPr>
        <w:t>’</w:t>
      </w:r>
      <w:r w:rsidRPr="003B1303" w:rsidR="00A644BB">
        <w:rPr>
          <w:lang w:val="fr-FR"/>
        </w:rPr>
        <w:t xml:space="preserve">Irkoutsk était parvenu dans sa décision du 18 février 2009 </w:t>
      </w:r>
      <w:r w:rsidRPr="003B1303">
        <w:rPr>
          <w:lang w:val="fr-FR"/>
        </w:rPr>
        <w:t xml:space="preserve">et </w:t>
      </w:r>
      <w:r w:rsidRPr="003B1303" w:rsidR="00124284">
        <w:rPr>
          <w:lang w:val="fr-FR"/>
        </w:rPr>
        <w:t xml:space="preserve">indiqua </w:t>
      </w:r>
      <w:r w:rsidRPr="003B1303">
        <w:rPr>
          <w:lang w:val="fr-FR"/>
        </w:rPr>
        <w:t xml:space="preserve">que </w:t>
      </w:r>
      <w:r w:rsidRPr="003B1303" w:rsidR="00A644BB">
        <w:rPr>
          <w:lang w:val="fr-FR"/>
        </w:rPr>
        <w:t>l</w:t>
      </w:r>
      <w:r w:rsidRPr="003B1303" w:rsidR="003B1303">
        <w:rPr>
          <w:lang w:val="fr-FR"/>
        </w:rPr>
        <w:t>’</w:t>
      </w:r>
      <w:r w:rsidRPr="003B1303" w:rsidR="00A644BB">
        <w:rPr>
          <w:lang w:val="fr-FR"/>
        </w:rPr>
        <w:t xml:space="preserve">avocate Ku. </w:t>
      </w:r>
      <w:proofErr w:type="gramStart"/>
      <w:r w:rsidRPr="003B1303">
        <w:rPr>
          <w:lang w:val="fr-FR"/>
        </w:rPr>
        <w:t>avait</w:t>
      </w:r>
      <w:proofErr w:type="gramEnd"/>
      <w:r w:rsidRPr="003B1303">
        <w:rPr>
          <w:lang w:val="fr-FR"/>
        </w:rPr>
        <w:t xml:space="preserve"> été </w:t>
      </w:r>
      <w:r w:rsidRPr="003B1303" w:rsidR="00A644BB">
        <w:rPr>
          <w:lang w:val="fr-FR"/>
        </w:rPr>
        <w:t>sanctionn</w:t>
      </w:r>
      <w:r w:rsidRPr="003B1303">
        <w:rPr>
          <w:lang w:val="fr-FR"/>
        </w:rPr>
        <w:t>é</w:t>
      </w:r>
      <w:r w:rsidRPr="003B1303" w:rsidR="00657375">
        <w:rPr>
          <w:lang w:val="fr-FR"/>
        </w:rPr>
        <w:t>e</w:t>
      </w:r>
      <w:r w:rsidRPr="003B1303" w:rsidR="00A644BB">
        <w:rPr>
          <w:lang w:val="fr-FR"/>
        </w:rPr>
        <w:t xml:space="preserve"> par l</w:t>
      </w:r>
      <w:r w:rsidRPr="003B1303" w:rsidR="003B1303">
        <w:rPr>
          <w:lang w:val="fr-FR"/>
        </w:rPr>
        <w:t>’</w:t>
      </w:r>
      <w:r w:rsidRPr="003B1303" w:rsidR="00A644BB">
        <w:rPr>
          <w:lang w:val="fr-FR"/>
        </w:rPr>
        <w:t>exclusion du barreau.</w:t>
      </w:r>
    </w:p>
    <w:p w:rsidRPr="003B1303" w:rsidR="00BE4C83" w:rsidP="003B1303" w:rsidRDefault="00AD457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72</w:t>
      </w:r>
      <w:r w:rsidRPr="003B1303">
        <w:rPr>
          <w:lang w:val="fr-FR"/>
        </w:rPr>
        <w:fldChar w:fldCharType="end"/>
      </w:r>
      <w:r w:rsidRPr="003B1303">
        <w:rPr>
          <w:lang w:val="fr-FR"/>
        </w:rPr>
        <w:t>.  </w:t>
      </w:r>
      <w:r w:rsidRPr="003B1303" w:rsidR="00AD7572">
        <w:rPr>
          <w:lang w:val="fr-FR"/>
        </w:rPr>
        <w:t>Le second requérant déclara q</w:t>
      </w:r>
      <w:r w:rsidRPr="003B1303" w:rsidR="008D095A">
        <w:rPr>
          <w:lang w:val="fr-FR"/>
        </w:rPr>
        <w:t>u</w:t>
      </w:r>
      <w:r w:rsidRPr="003B1303" w:rsidR="003B1303">
        <w:rPr>
          <w:lang w:val="fr-FR"/>
        </w:rPr>
        <w:t>’</w:t>
      </w:r>
      <w:r w:rsidRPr="003B1303" w:rsidR="008D095A">
        <w:rPr>
          <w:lang w:val="fr-FR"/>
        </w:rPr>
        <w:t xml:space="preserve">il </w:t>
      </w:r>
      <w:r w:rsidRPr="003B1303" w:rsidR="00AD7572">
        <w:rPr>
          <w:lang w:val="fr-FR"/>
        </w:rPr>
        <w:t>avait maintenu ses aveux lors de l</w:t>
      </w:r>
      <w:r w:rsidRPr="003B1303" w:rsidR="003B1303">
        <w:rPr>
          <w:lang w:val="fr-FR"/>
        </w:rPr>
        <w:t>’</w:t>
      </w:r>
      <w:r w:rsidRPr="003B1303" w:rsidR="00AD7572">
        <w:rPr>
          <w:lang w:val="fr-FR"/>
        </w:rPr>
        <w:t xml:space="preserve">investigation préliminaire </w:t>
      </w:r>
      <w:r w:rsidRPr="003B1303" w:rsidR="00B40670">
        <w:rPr>
          <w:lang w:val="fr-FR"/>
        </w:rPr>
        <w:t xml:space="preserve">par </w:t>
      </w:r>
      <w:r w:rsidRPr="003B1303" w:rsidR="008D095A">
        <w:rPr>
          <w:lang w:val="fr-FR"/>
        </w:rPr>
        <w:t xml:space="preserve">peur de représailles à son </w:t>
      </w:r>
      <w:r w:rsidRPr="003B1303" w:rsidR="00C30C6E">
        <w:rPr>
          <w:lang w:val="fr-FR"/>
        </w:rPr>
        <w:t xml:space="preserve">encontre </w:t>
      </w:r>
      <w:r w:rsidRPr="003B1303" w:rsidR="008D095A">
        <w:rPr>
          <w:lang w:val="fr-FR"/>
        </w:rPr>
        <w:t xml:space="preserve">et à </w:t>
      </w:r>
      <w:r w:rsidRPr="003B1303" w:rsidR="00C30C6E">
        <w:rPr>
          <w:lang w:val="fr-FR"/>
        </w:rPr>
        <w:t>l</w:t>
      </w:r>
      <w:r w:rsidRPr="003B1303" w:rsidR="003B1303">
        <w:rPr>
          <w:lang w:val="fr-FR"/>
        </w:rPr>
        <w:t>’</w:t>
      </w:r>
      <w:r w:rsidRPr="003B1303" w:rsidR="00C30C6E">
        <w:rPr>
          <w:lang w:val="fr-FR"/>
        </w:rPr>
        <w:t xml:space="preserve">encontre </w:t>
      </w:r>
      <w:r w:rsidRPr="003B1303" w:rsidR="008D095A">
        <w:rPr>
          <w:lang w:val="fr-FR"/>
        </w:rPr>
        <w:t>de sa famille.</w:t>
      </w:r>
    </w:p>
    <w:bookmarkStart w:name="demlect1" w:id="41"/>
    <w:p w:rsidRPr="003B1303" w:rsidR="0085148A" w:rsidP="003B1303" w:rsidRDefault="001D74F4">
      <w:pPr>
        <w:pStyle w:val="ECHRPara"/>
        <w:rPr>
          <w:bCs/>
          <w:iCs/>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73</w:t>
      </w:r>
      <w:r w:rsidRPr="003B1303">
        <w:rPr>
          <w:lang w:val="fr-FR"/>
        </w:rPr>
        <w:fldChar w:fldCharType="end"/>
      </w:r>
      <w:bookmarkEnd w:id="41"/>
      <w:r w:rsidRPr="003B1303">
        <w:rPr>
          <w:lang w:val="fr-FR"/>
        </w:rPr>
        <w:t>.  L</w:t>
      </w:r>
      <w:r w:rsidRPr="003B1303" w:rsidR="003B1303">
        <w:rPr>
          <w:lang w:val="fr-FR"/>
        </w:rPr>
        <w:t>’</w:t>
      </w:r>
      <w:r w:rsidRPr="003B1303">
        <w:rPr>
          <w:lang w:val="fr-FR"/>
        </w:rPr>
        <w:t xml:space="preserve">accusation demanda également </w:t>
      </w:r>
      <w:r w:rsidRPr="003B1303" w:rsidR="00CB7317">
        <w:rPr>
          <w:lang w:val="fr-FR"/>
        </w:rPr>
        <w:t xml:space="preserve">la </w:t>
      </w:r>
      <w:r w:rsidRPr="003B1303">
        <w:rPr>
          <w:lang w:val="fr-FR"/>
        </w:rPr>
        <w:t xml:space="preserve">lecture des aveux et dépositions faits par </w:t>
      </w:r>
      <w:r w:rsidRPr="003B1303" w:rsidR="007A4098">
        <w:rPr>
          <w:lang w:val="fr-FR"/>
        </w:rPr>
        <w:t xml:space="preserve">E. Mas., D. Che. </w:t>
      </w:r>
      <w:proofErr w:type="gramStart"/>
      <w:r w:rsidRPr="003B1303" w:rsidR="007A4098">
        <w:rPr>
          <w:lang w:val="fr-FR"/>
        </w:rPr>
        <w:t>et</w:t>
      </w:r>
      <w:proofErr w:type="gramEnd"/>
      <w:r w:rsidRPr="003B1303" w:rsidR="007A4098">
        <w:rPr>
          <w:lang w:val="fr-FR"/>
        </w:rPr>
        <w:t xml:space="preserve"> A. </w:t>
      </w:r>
      <w:proofErr w:type="spellStart"/>
      <w:r w:rsidRPr="003B1303" w:rsidR="007A4098">
        <w:rPr>
          <w:lang w:val="fr-FR"/>
        </w:rPr>
        <w:t>Kal</w:t>
      </w:r>
      <w:proofErr w:type="spellEnd"/>
      <w:r w:rsidRPr="003B1303" w:rsidR="007A4098">
        <w:rPr>
          <w:lang w:val="fr-FR"/>
        </w:rPr>
        <w:t>. </w:t>
      </w:r>
      <w:r w:rsidRPr="003B1303">
        <w:rPr>
          <w:bCs/>
          <w:iCs/>
          <w:lang w:val="fr-FR"/>
        </w:rPr>
        <w:t xml:space="preserve"> </w:t>
      </w:r>
      <w:proofErr w:type="gramStart"/>
      <w:r w:rsidRPr="003B1303">
        <w:rPr>
          <w:bCs/>
          <w:iCs/>
          <w:lang w:val="fr-FR"/>
        </w:rPr>
        <w:t>lors</w:t>
      </w:r>
      <w:proofErr w:type="gramEnd"/>
      <w:r w:rsidRPr="003B1303">
        <w:rPr>
          <w:bCs/>
          <w:iCs/>
          <w:lang w:val="fr-FR"/>
        </w:rPr>
        <w:t xml:space="preserve"> de l</w:t>
      </w:r>
      <w:r w:rsidRPr="003B1303" w:rsidR="003B1303">
        <w:rPr>
          <w:bCs/>
          <w:iCs/>
          <w:lang w:val="fr-FR"/>
        </w:rPr>
        <w:t>’</w:t>
      </w:r>
      <w:r w:rsidRPr="003B1303">
        <w:rPr>
          <w:bCs/>
          <w:iCs/>
          <w:lang w:val="fr-FR"/>
        </w:rPr>
        <w:t>enquête pénale (paragraphe</w:t>
      </w:r>
      <w:r w:rsidRPr="003B1303" w:rsidR="00310E5A">
        <w:rPr>
          <w:bCs/>
          <w:iCs/>
          <w:lang w:val="fr-FR"/>
        </w:rPr>
        <w:t xml:space="preserve"> </w:t>
      </w:r>
      <w:r w:rsidRPr="003B1303" w:rsidR="00310E5A">
        <w:rPr>
          <w:bCs/>
          <w:iCs/>
          <w:lang w:val="fr-FR"/>
        </w:rPr>
        <w:fldChar w:fldCharType="begin"/>
      </w:r>
      <w:r w:rsidRPr="003B1303" w:rsidR="00310E5A">
        <w:rPr>
          <w:bCs/>
          <w:iCs/>
          <w:lang w:val="fr-FR"/>
        </w:rPr>
        <w:instrText xml:space="preserve"> REF deposcoaccenq \h </w:instrText>
      </w:r>
      <w:r w:rsidRPr="003B1303" w:rsidR="00C47AAA">
        <w:rPr>
          <w:bCs/>
          <w:iCs/>
          <w:lang w:val="fr-FR"/>
        </w:rPr>
        <w:instrText xml:space="preserve"> \* MERGEFORMAT </w:instrText>
      </w:r>
      <w:r w:rsidRPr="003B1303" w:rsidR="00310E5A">
        <w:rPr>
          <w:bCs/>
          <w:iCs/>
          <w:lang w:val="fr-FR"/>
        </w:rPr>
      </w:r>
      <w:r w:rsidRPr="003B1303" w:rsidR="00310E5A">
        <w:rPr>
          <w:bCs/>
          <w:iCs/>
          <w:lang w:val="fr-FR"/>
        </w:rPr>
        <w:fldChar w:fldCharType="separate"/>
      </w:r>
      <w:r w:rsidR="003B1303">
        <w:rPr>
          <w:noProof/>
          <w:lang w:val="fr-FR"/>
        </w:rPr>
        <w:t>66</w:t>
      </w:r>
      <w:r w:rsidRPr="003B1303" w:rsidR="00310E5A">
        <w:rPr>
          <w:bCs/>
          <w:iCs/>
          <w:lang w:val="fr-FR"/>
        </w:rPr>
        <w:fldChar w:fldCharType="end"/>
      </w:r>
      <w:r w:rsidRPr="003B1303">
        <w:rPr>
          <w:bCs/>
          <w:iCs/>
          <w:lang w:val="fr-FR"/>
        </w:rPr>
        <w:t xml:space="preserve"> ci</w:t>
      </w:r>
      <w:r w:rsidRPr="003B1303">
        <w:rPr>
          <w:bCs/>
          <w:iCs/>
          <w:lang w:val="fr-FR"/>
        </w:rPr>
        <w:noBreakHyphen/>
        <w:t>dessus). Ces derniers s</w:t>
      </w:r>
      <w:r w:rsidRPr="003B1303" w:rsidR="003B1303">
        <w:rPr>
          <w:bCs/>
          <w:iCs/>
          <w:lang w:val="fr-FR"/>
        </w:rPr>
        <w:t>’</w:t>
      </w:r>
      <w:r w:rsidRPr="003B1303">
        <w:rPr>
          <w:bCs/>
          <w:iCs/>
          <w:lang w:val="fr-FR"/>
        </w:rPr>
        <w:t>opposèrent à la lecture de leurs dépositions au motif qu</w:t>
      </w:r>
      <w:r w:rsidRPr="003B1303" w:rsidR="003B1303">
        <w:rPr>
          <w:bCs/>
          <w:iCs/>
          <w:lang w:val="fr-FR"/>
        </w:rPr>
        <w:t>’</w:t>
      </w:r>
      <w:r w:rsidRPr="003B1303">
        <w:rPr>
          <w:bCs/>
          <w:iCs/>
          <w:lang w:val="fr-FR"/>
        </w:rPr>
        <w:t>elles auraient été obtenues par la coercition</w:t>
      </w:r>
      <w:r w:rsidRPr="003B1303" w:rsidR="00AB4FD9">
        <w:rPr>
          <w:bCs/>
          <w:iCs/>
          <w:lang w:val="fr-FR"/>
        </w:rPr>
        <w:t xml:space="preserve"> et </w:t>
      </w:r>
      <w:r w:rsidRPr="003B1303" w:rsidR="000C602E">
        <w:rPr>
          <w:bCs/>
          <w:iCs/>
          <w:lang w:val="fr-FR"/>
        </w:rPr>
        <w:t xml:space="preserve">maintenues </w:t>
      </w:r>
      <w:r w:rsidRPr="003B1303" w:rsidR="00AB4FD9">
        <w:rPr>
          <w:bCs/>
          <w:iCs/>
          <w:lang w:val="fr-FR"/>
        </w:rPr>
        <w:t>en présence de différents avocats commis d</w:t>
      </w:r>
      <w:r w:rsidRPr="003B1303" w:rsidR="003B1303">
        <w:rPr>
          <w:bCs/>
          <w:iCs/>
          <w:lang w:val="fr-FR"/>
        </w:rPr>
        <w:t>’</w:t>
      </w:r>
      <w:r w:rsidRPr="003B1303" w:rsidR="00AB4FD9">
        <w:rPr>
          <w:bCs/>
          <w:iCs/>
          <w:lang w:val="fr-FR"/>
        </w:rPr>
        <w:t xml:space="preserve">office </w:t>
      </w:r>
      <w:r w:rsidRPr="003B1303" w:rsidR="000C602E">
        <w:rPr>
          <w:bCs/>
          <w:iCs/>
          <w:lang w:val="fr-FR"/>
        </w:rPr>
        <w:t xml:space="preserve">dont la présence </w:t>
      </w:r>
      <w:r w:rsidRPr="003B1303" w:rsidR="001D7B03">
        <w:rPr>
          <w:bCs/>
          <w:iCs/>
          <w:lang w:val="fr-FR"/>
        </w:rPr>
        <w:t>n</w:t>
      </w:r>
      <w:r w:rsidRPr="003B1303" w:rsidR="003B1303">
        <w:rPr>
          <w:bCs/>
          <w:iCs/>
          <w:lang w:val="fr-FR"/>
        </w:rPr>
        <w:t>’</w:t>
      </w:r>
      <w:r w:rsidRPr="003B1303" w:rsidR="000C602E">
        <w:rPr>
          <w:bCs/>
          <w:iCs/>
          <w:lang w:val="fr-FR"/>
        </w:rPr>
        <w:t xml:space="preserve">était </w:t>
      </w:r>
      <w:r w:rsidRPr="003B1303" w:rsidR="001D7B03">
        <w:rPr>
          <w:bCs/>
          <w:iCs/>
          <w:lang w:val="fr-FR"/>
        </w:rPr>
        <w:t xml:space="preserve">que </w:t>
      </w:r>
      <w:r w:rsidRPr="003B1303" w:rsidR="000C602E">
        <w:rPr>
          <w:bCs/>
          <w:iCs/>
          <w:lang w:val="fr-FR"/>
        </w:rPr>
        <w:t>formelle.</w:t>
      </w:r>
    </w:p>
    <w:p w:rsidRPr="003B1303" w:rsidR="008D095A" w:rsidP="003B1303" w:rsidRDefault="00844E08">
      <w:pPr>
        <w:pStyle w:val="ECHRHeading4"/>
        <w:rPr>
          <w:lang w:val="fr-FR"/>
        </w:rPr>
      </w:pPr>
      <w:r w:rsidRPr="003B1303">
        <w:rPr>
          <w:lang w:val="fr-FR"/>
        </w:rPr>
        <w:t>b)  L</w:t>
      </w:r>
      <w:r w:rsidRPr="003B1303" w:rsidR="003B1303">
        <w:rPr>
          <w:lang w:val="fr-FR"/>
        </w:rPr>
        <w:t>’</w:t>
      </w:r>
      <w:r w:rsidRPr="003B1303">
        <w:rPr>
          <w:lang w:val="fr-FR"/>
        </w:rPr>
        <w:t>examen de l</w:t>
      </w:r>
      <w:r w:rsidRPr="003B1303" w:rsidR="003B1303">
        <w:rPr>
          <w:lang w:val="fr-FR"/>
        </w:rPr>
        <w:t>’</w:t>
      </w:r>
      <w:r w:rsidRPr="003B1303">
        <w:rPr>
          <w:lang w:val="fr-FR"/>
        </w:rPr>
        <w:t>admissibilité de</w:t>
      </w:r>
      <w:r w:rsidRPr="003B1303" w:rsidR="00553244">
        <w:rPr>
          <w:lang w:val="fr-FR"/>
        </w:rPr>
        <w:t>s preuves par la cour régionale</w:t>
      </w:r>
    </w:p>
    <w:p w:rsidRPr="003B1303" w:rsidR="00BE4C83" w:rsidP="003B1303" w:rsidRDefault="00C654DC">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74</w:t>
      </w:r>
      <w:r w:rsidRPr="003B1303">
        <w:rPr>
          <w:lang w:val="fr-FR"/>
        </w:rPr>
        <w:fldChar w:fldCharType="end"/>
      </w:r>
      <w:r w:rsidRPr="003B1303">
        <w:rPr>
          <w:lang w:val="fr-FR"/>
        </w:rPr>
        <w:t xml:space="preserve">.  À la demande </w:t>
      </w:r>
      <w:r w:rsidRPr="003B1303" w:rsidR="004C39EA">
        <w:rPr>
          <w:lang w:val="fr-FR"/>
        </w:rPr>
        <w:t>des</w:t>
      </w:r>
      <w:r w:rsidRPr="003B1303" w:rsidR="008D095A">
        <w:rPr>
          <w:lang w:val="fr-FR"/>
        </w:rPr>
        <w:t xml:space="preserve"> </w:t>
      </w:r>
      <w:r w:rsidRPr="003B1303">
        <w:rPr>
          <w:lang w:val="fr-FR"/>
        </w:rPr>
        <w:t>requérant</w:t>
      </w:r>
      <w:r w:rsidRPr="003B1303" w:rsidR="004C39EA">
        <w:rPr>
          <w:lang w:val="fr-FR"/>
        </w:rPr>
        <w:t>s</w:t>
      </w:r>
      <w:r w:rsidRPr="003B1303" w:rsidR="00844E08">
        <w:rPr>
          <w:lang w:val="fr-FR"/>
        </w:rPr>
        <w:t xml:space="preserve">, la </w:t>
      </w:r>
      <w:r w:rsidRPr="003B1303" w:rsidR="00845E8A">
        <w:rPr>
          <w:lang w:val="fr-FR"/>
        </w:rPr>
        <w:t xml:space="preserve">juge </w:t>
      </w:r>
      <w:r w:rsidRPr="003B1303">
        <w:rPr>
          <w:lang w:val="fr-FR"/>
        </w:rPr>
        <w:t xml:space="preserve">entendit plusieurs </w:t>
      </w:r>
      <w:r w:rsidRPr="003B1303" w:rsidR="008D095A">
        <w:rPr>
          <w:lang w:val="fr-FR"/>
        </w:rPr>
        <w:t>t</w:t>
      </w:r>
      <w:r w:rsidRPr="003B1303" w:rsidR="009B7D9B">
        <w:rPr>
          <w:lang w:val="fr-FR"/>
        </w:rPr>
        <w:t xml:space="preserve">émoins </w:t>
      </w:r>
      <w:r w:rsidRPr="003B1303" w:rsidR="00C30C6E">
        <w:rPr>
          <w:lang w:val="fr-FR"/>
        </w:rPr>
        <w:t xml:space="preserve">et </w:t>
      </w:r>
      <w:r w:rsidRPr="003B1303" w:rsidR="002041BD">
        <w:rPr>
          <w:lang w:val="fr-FR"/>
        </w:rPr>
        <w:t>examina d</w:t>
      </w:r>
      <w:r w:rsidRPr="003B1303" w:rsidR="003B1303">
        <w:rPr>
          <w:lang w:val="fr-FR"/>
        </w:rPr>
        <w:t>’</w:t>
      </w:r>
      <w:r w:rsidRPr="003B1303" w:rsidR="002041BD">
        <w:rPr>
          <w:lang w:val="fr-FR"/>
        </w:rPr>
        <w:t xml:space="preserve">autres éléments </w:t>
      </w:r>
      <w:r w:rsidRPr="003B1303" w:rsidR="009B7D9B">
        <w:rPr>
          <w:lang w:val="fr-FR"/>
        </w:rPr>
        <w:t>afin de décider de l</w:t>
      </w:r>
      <w:r w:rsidRPr="003B1303" w:rsidR="003B1303">
        <w:rPr>
          <w:lang w:val="fr-FR"/>
        </w:rPr>
        <w:t>’</w:t>
      </w:r>
      <w:r w:rsidRPr="003B1303" w:rsidR="009B7D9B">
        <w:rPr>
          <w:lang w:val="fr-FR"/>
        </w:rPr>
        <w:t>admissibilité des dépositions don</w:t>
      </w:r>
      <w:r w:rsidRPr="003B1303" w:rsidR="008E073A">
        <w:rPr>
          <w:lang w:val="fr-FR"/>
        </w:rPr>
        <w:t>t</w:t>
      </w:r>
      <w:r w:rsidRPr="003B1303" w:rsidR="009B7D9B">
        <w:rPr>
          <w:lang w:val="fr-FR"/>
        </w:rPr>
        <w:t xml:space="preserve"> la lecture avait été demandé</w:t>
      </w:r>
      <w:r w:rsidRPr="003B1303" w:rsidR="0078055B">
        <w:rPr>
          <w:lang w:val="fr-FR"/>
        </w:rPr>
        <w:t>e</w:t>
      </w:r>
      <w:r w:rsidRPr="003B1303" w:rsidR="009B7D9B">
        <w:rPr>
          <w:lang w:val="fr-FR"/>
        </w:rPr>
        <w:t xml:space="preserve"> par l</w:t>
      </w:r>
      <w:r w:rsidRPr="003B1303" w:rsidR="003B1303">
        <w:rPr>
          <w:lang w:val="fr-FR"/>
        </w:rPr>
        <w:t>’</w:t>
      </w:r>
      <w:r w:rsidRPr="003B1303" w:rsidR="009B7D9B">
        <w:rPr>
          <w:lang w:val="fr-FR"/>
        </w:rPr>
        <w:t xml:space="preserve">accusation </w:t>
      </w:r>
      <w:r w:rsidRPr="003B1303" w:rsidR="002041BD">
        <w:rPr>
          <w:lang w:val="fr-FR"/>
        </w:rPr>
        <w:t>à l</w:t>
      </w:r>
      <w:r w:rsidRPr="003B1303" w:rsidR="003B1303">
        <w:rPr>
          <w:lang w:val="fr-FR"/>
        </w:rPr>
        <w:t>’</w:t>
      </w:r>
      <w:r w:rsidRPr="003B1303" w:rsidR="002041BD">
        <w:rPr>
          <w:lang w:val="fr-FR"/>
        </w:rPr>
        <w:t>audience du 25</w:t>
      </w:r>
      <w:r w:rsidRPr="003B1303" w:rsidR="00C30C6E">
        <w:rPr>
          <w:lang w:val="fr-FR"/>
        </w:rPr>
        <w:t> </w:t>
      </w:r>
      <w:r w:rsidRPr="003B1303" w:rsidR="002041BD">
        <w:rPr>
          <w:lang w:val="fr-FR"/>
        </w:rPr>
        <w:t xml:space="preserve">octobre 2010. </w:t>
      </w:r>
      <w:r w:rsidRPr="003B1303" w:rsidR="00845E8A">
        <w:rPr>
          <w:lang w:val="fr-FR"/>
        </w:rPr>
        <w:t>L</w:t>
      </w:r>
      <w:r w:rsidRPr="003B1303" w:rsidR="003B1303">
        <w:rPr>
          <w:lang w:val="fr-FR"/>
        </w:rPr>
        <w:t>’</w:t>
      </w:r>
      <w:r w:rsidRPr="003B1303" w:rsidR="00845E8A">
        <w:rPr>
          <w:lang w:val="fr-FR"/>
        </w:rPr>
        <w:t>examen de l</w:t>
      </w:r>
      <w:r w:rsidRPr="003B1303" w:rsidR="003B1303">
        <w:rPr>
          <w:lang w:val="fr-FR"/>
        </w:rPr>
        <w:t>’</w:t>
      </w:r>
      <w:r w:rsidRPr="003B1303" w:rsidR="00845E8A">
        <w:rPr>
          <w:lang w:val="fr-FR"/>
        </w:rPr>
        <w:t>admissibilité de ces éléments de preuve eut lieu en l</w:t>
      </w:r>
      <w:r w:rsidRPr="003B1303" w:rsidR="003B1303">
        <w:rPr>
          <w:lang w:val="fr-FR"/>
        </w:rPr>
        <w:t>’</w:t>
      </w:r>
      <w:r w:rsidRPr="003B1303" w:rsidR="00845E8A">
        <w:rPr>
          <w:lang w:val="fr-FR"/>
        </w:rPr>
        <w:t>absence du jury.</w:t>
      </w:r>
    </w:p>
    <w:p w:rsidRPr="003B1303" w:rsidR="00BE4C83" w:rsidP="003B1303" w:rsidRDefault="00844E08">
      <w:pPr>
        <w:pStyle w:val="ECHRHeading5"/>
        <w:rPr>
          <w:lang w:val="fr-FR"/>
        </w:rPr>
      </w:pPr>
      <w:r w:rsidRPr="003B1303">
        <w:rPr>
          <w:lang w:val="fr-FR"/>
        </w:rPr>
        <w:t>i.  </w:t>
      </w:r>
      <w:r w:rsidRPr="003B1303" w:rsidR="00350222">
        <w:rPr>
          <w:lang w:val="fr-FR"/>
        </w:rPr>
        <w:t>Les déclarations de</w:t>
      </w:r>
      <w:r w:rsidRPr="003B1303" w:rsidR="001740FA">
        <w:rPr>
          <w:lang w:val="fr-FR"/>
        </w:rPr>
        <w:t>s</w:t>
      </w:r>
      <w:r w:rsidRPr="003B1303" w:rsidR="00350222">
        <w:rPr>
          <w:lang w:val="fr-FR"/>
        </w:rPr>
        <w:t xml:space="preserve"> témoins en ce qui concerne le premier requérant</w:t>
      </w:r>
    </w:p>
    <w:bookmarkStart w:name="temFo" w:id="42"/>
    <w:p w:rsidRPr="003B1303" w:rsidR="00BE4C83" w:rsidP="003B1303" w:rsidRDefault="00C11C2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75</w:t>
      </w:r>
      <w:r w:rsidRPr="003B1303">
        <w:rPr>
          <w:lang w:val="fr-FR"/>
        </w:rPr>
        <w:fldChar w:fldCharType="end"/>
      </w:r>
      <w:bookmarkEnd w:id="42"/>
      <w:r w:rsidRPr="003B1303">
        <w:rPr>
          <w:lang w:val="fr-FR"/>
        </w:rPr>
        <w:t>.  </w:t>
      </w:r>
      <w:r w:rsidRPr="003B1303" w:rsidR="004B3D99">
        <w:rPr>
          <w:lang w:val="fr-FR"/>
        </w:rPr>
        <w:t xml:space="preserve">Aux audiences des 7 et 8 </w:t>
      </w:r>
      <w:r w:rsidRPr="003B1303">
        <w:rPr>
          <w:lang w:val="fr-FR"/>
        </w:rPr>
        <w:t xml:space="preserve">décembre 2010, </w:t>
      </w:r>
      <w:r w:rsidRPr="003B1303" w:rsidR="008B4279">
        <w:rPr>
          <w:lang w:val="fr-FR"/>
        </w:rPr>
        <w:t xml:space="preserve">le témoin </w:t>
      </w:r>
      <w:r w:rsidRPr="003B1303">
        <w:rPr>
          <w:lang w:val="fr-FR"/>
        </w:rPr>
        <w:t xml:space="preserve">Fo. </w:t>
      </w:r>
      <w:proofErr w:type="gramStart"/>
      <w:r w:rsidRPr="003B1303">
        <w:rPr>
          <w:lang w:val="fr-FR"/>
        </w:rPr>
        <w:t>déclara</w:t>
      </w:r>
      <w:proofErr w:type="gramEnd"/>
      <w:r w:rsidRPr="003B1303">
        <w:rPr>
          <w:lang w:val="fr-FR"/>
        </w:rPr>
        <w:t xml:space="preserve"> qu</w:t>
      </w:r>
      <w:r w:rsidRPr="003B1303" w:rsidR="003B1303">
        <w:rPr>
          <w:lang w:val="fr-FR"/>
        </w:rPr>
        <w:t>’</w:t>
      </w:r>
      <w:r w:rsidRPr="003B1303">
        <w:rPr>
          <w:lang w:val="fr-FR"/>
        </w:rPr>
        <w:t>il avait été détenu avec le premier requérant dans la cellule n</w:t>
      </w:r>
      <w:r w:rsidRPr="003B1303">
        <w:rPr>
          <w:vertAlign w:val="superscript"/>
          <w:lang w:val="fr-FR"/>
        </w:rPr>
        <w:t>o</w:t>
      </w:r>
      <w:r w:rsidRPr="003B1303">
        <w:rPr>
          <w:lang w:val="fr-FR"/>
        </w:rPr>
        <w:t> 439</w:t>
      </w:r>
      <w:r w:rsidRPr="003B1303" w:rsidR="00283F3B">
        <w:rPr>
          <w:lang w:val="fr-FR"/>
        </w:rPr>
        <w:t xml:space="preserve">. </w:t>
      </w:r>
      <w:r w:rsidRPr="003B1303" w:rsidR="006970B9">
        <w:rPr>
          <w:lang w:val="fr-FR"/>
        </w:rPr>
        <w:t xml:space="preserve">Il </w:t>
      </w:r>
      <w:r w:rsidRPr="003B1303" w:rsidR="00241681">
        <w:rPr>
          <w:lang w:val="fr-FR"/>
        </w:rPr>
        <w:t xml:space="preserve">indiqua </w:t>
      </w:r>
      <w:r w:rsidRPr="003B1303" w:rsidR="006970B9">
        <w:rPr>
          <w:lang w:val="fr-FR"/>
        </w:rPr>
        <w:t>qu</w:t>
      </w:r>
      <w:r w:rsidRPr="003B1303" w:rsidR="003B1303">
        <w:rPr>
          <w:lang w:val="fr-FR"/>
        </w:rPr>
        <w:t>’</w:t>
      </w:r>
      <w:r w:rsidRPr="003B1303" w:rsidR="006970B9">
        <w:rPr>
          <w:lang w:val="fr-FR"/>
        </w:rPr>
        <w:t>il avait été « </w:t>
      </w:r>
      <w:r w:rsidRPr="003B1303" w:rsidR="00283F3B">
        <w:rPr>
          <w:lang w:val="fr-FR"/>
        </w:rPr>
        <w:t>collaborateur</w:t>
      </w:r>
      <w:r w:rsidRPr="003B1303" w:rsidR="006970B9">
        <w:rPr>
          <w:lang w:val="fr-FR"/>
        </w:rPr>
        <w:t xml:space="preserve"> » de </w:t>
      </w:r>
      <w:r w:rsidRPr="003B1303" w:rsidR="00283F3B">
        <w:rPr>
          <w:lang w:val="fr-FR"/>
        </w:rPr>
        <w:t>l</w:t>
      </w:r>
      <w:r w:rsidRPr="003B1303" w:rsidR="003B1303">
        <w:rPr>
          <w:lang w:val="fr-FR"/>
        </w:rPr>
        <w:t>’</w:t>
      </w:r>
      <w:r w:rsidRPr="003B1303" w:rsidR="00283F3B">
        <w:rPr>
          <w:lang w:val="fr-FR"/>
        </w:rPr>
        <w:t xml:space="preserve">officier de police Ti., tout comme les détenus Go., Ma., </w:t>
      </w:r>
      <w:proofErr w:type="spellStart"/>
      <w:r w:rsidRPr="003B1303" w:rsidR="000F6BB9">
        <w:rPr>
          <w:lang w:val="fr-FR"/>
        </w:rPr>
        <w:t>Ro</w:t>
      </w:r>
      <w:proofErr w:type="spellEnd"/>
      <w:r w:rsidRPr="003B1303" w:rsidR="000F6BB9">
        <w:rPr>
          <w:lang w:val="fr-FR"/>
        </w:rPr>
        <w:t xml:space="preserve">. </w:t>
      </w:r>
      <w:proofErr w:type="gramStart"/>
      <w:r w:rsidRPr="003B1303" w:rsidR="000F6BB9">
        <w:rPr>
          <w:lang w:val="fr-FR"/>
        </w:rPr>
        <w:t>et</w:t>
      </w:r>
      <w:proofErr w:type="gramEnd"/>
      <w:r w:rsidRPr="003B1303" w:rsidR="000F6BB9">
        <w:rPr>
          <w:lang w:val="fr-FR"/>
        </w:rPr>
        <w:t xml:space="preserve"> </w:t>
      </w:r>
      <w:proofErr w:type="spellStart"/>
      <w:r w:rsidRPr="003B1303" w:rsidR="000F6BB9">
        <w:rPr>
          <w:lang w:val="fr-FR"/>
        </w:rPr>
        <w:t>Ry</w:t>
      </w:r>
      <w:proofErr w:type="spellEnd"/>
      <w:r w:rsidRPr="003B1303" w:rsidR="000F6BB9">
        <w:rPr>
          <w:lang w:val="fr-FR"/>
        </w:rPr>
        <w:t xml:space="preserve">. Selon Fo., chaque </w:t>
      </w:r>
      <w:r w:rsidRPr="003B1303" w:rsidR="00283F3B">
        <w:rPr>
          <w:lang w:val="fr-FR"/>
        </w:rPr>
        <w:t>collaborateur recev</w:t>
      </w:r>
      <w:r w:rsidRPr="003B1303" w:rsidR="000F6BB9">
        <w:rPr>
          <w:lang w:val="fr-FR"/>
        </w:rPr>
        <w:t>ait une tâche de la part de Ti. Ce dernier lui aurait demandé d</w:t>
      </w:r>
      <w:r w:rsidRPr="003B1303" w:rsidR="003B1303">
        <w:rPr>
          <w:lang w:val="fr-FR"/>
        </w:rPr>
        <w:t>’</w:t>
      </w:r>
      <w:r w:rsidRPr="003B1303" w:rsidR="00283F3B">
        <w:rPr>
          <w:lang w:val="fr-FR"/>
        </w:rPr>
        <w:t xml:space="preserve">exercer des pressions psychologiques </w:t>
      </w:r>
      <w:r w:rsidRPr="003B1303" w:rsidR="00845E8A">
        <w:rPr>
          <w:lang w:val="fr-FR"/>
        </w:rPr>
        <w:t xml:space="preserve">sur le premier requérant </w:t>
      </w:r>
      <w:r w:rsidRPr="003B1303" w:rsidR="00283F3B">
        <w:rPr>
          <w:lang w:val="fr-FR"/>
        </w:rPr>
        <w:t xml:space="preserve">pour </w:t>
      </w:r>
      <w:r w:rsidRPr="003B1303" w:rsidR="00845E8A">
        <w:rPr>
          <w:lang w:val="fr-FR"/>
        </w:rPr>
        <w:t xml:space="preserve">le </w:t>
      </w:r>
      <w:r w:rsidRPr="003B1303" w:rsidR="00283F3B">
        <w:rPr>
          <w:lang w:val="fr-FR"/>
        </w:rPr>
        <w:t xml:space="preserve">« contrôler » pendant la période </w:t>
      </w:r>
      <w:r w:rsidRPr="003B1303" w:rsidR="005744D2">
        <w:rPr>
          <w:lang w:val="fr-FR"/>
        </w:rPr>
        <w:t xml:space="preserve">allant </w:t>
      </w:r>
      <w:r w:rsidRPr="003B1303" w:rsidR="00283F3B">
        <w:rPr>
          <w:lang w:val="fr-FR"/>
        </w:rPr>
        <w:t xml:space="preserve">du mois de juin 2008 au 28 septembre 2008 afin </w:t>
      </w:r>
      <w:r w:rsidRPr="003B1303" w:rsidR="005744D2">
        <w:rPr>
          <w:lang w:val="fr-FR"/>
        </w:rPr>
        <w:t>d</w:t>
      </w:r>
      <w:r w:rsidRPr="003B1303" w:rsidR="003B1303">
        <w:rPr>
          <w:lang w:val="fr-FR"/>
        </w:rPr>
        <w:t>’</w:t>
      </w:r>
      <w:r w:rsidRPr="003B1303" w:rsidR="005744D2">
        <w:rPr>
          <w:lang w:val="fr-FR"/>
        </w:rPr>
        <w:t>éviter</w:t>
      </w:r>
      <w:r w:rsidRPr="003B1303" w:rsidR="00283F3B">
        <w:rPr>
          <w:lang w:val="fr-FR"/>
        </w:rPr>
        <w:t xml:space="preserve"> </w:t>
      </w:r>
      <w:r w:rsidRPr="003B1303" w:rsidR="005744D2">
        <w:rPr>
          <w:lang w:val="fr-FR"/>
        </w:rPr>
        <w:t>ses</w:t>
      </w:r>
      <w:r w:rsidRPr="003B1303" w:rsidR="00283F3B">
        <w:rPr>
          <w:lang w:val="fr-FR"/>
        </w:rPr>
        <w:t xml:space="preserve"> plaintes. </w:t>
      </w:r>
      <w:r w:rsidRPr="003B1303" w:rsidR="00E479D2">
        <w:rPr>
          <w:lang w:val="fr-FR"/>
        </w:rPr>
        <w:t xml:space="preserve">Fo. </w:t>
      </w:r>
      <w:proofErr w:type="gramStart"/>
      <w:r w:rsidRPr="003B1303">
        <w:rPr>
          <w:lang w:val="fr-FR"/>
        </w:rPr>
        <w:t>déclara</w:t>
      </w:r>
      <w:proofErr w:type="gramEnd"/>
      <w:r w:rsidRPr="003B1303">
        <w:rPr>
          <w:lang w:val="fr-FR"/>
        </w:rPr>
        <w:t xml:space="preserve"> en outre qu</w:t>
      </w:r>
      <w:r w:rsidRPr="003B1303" w:rsidR="003B1303">
        <w:rPr>
          <w:lang w:val="fr-FR"/>
        </w:rPr>
        <w:t>’</w:t>
      </w:r>
      <w:r w:rsidRPr="003B1303">
        <w:rPr>
          <w:lang w:val="fr-FR"/>
        </w:rPr>
        <w:t>il savait que, avant son placement dans cette cellule, le « contrôle » du requérant avait été assuré par un autre détenu, B</w:t>
      </w:r>
      <w:r w:rsidRPr="003B1303" w:rsidR="006970B9">
        <w:rPr>
          <w:lang w:val="fr-FR"/>
        </w:rPr>
        <w:t>e</w:t>
      </w:r>
      <w:r w:rsidRPr="003B1303">
        <w:rPr>
          <w:lang w:val="fr-FR"/>
        </w:rPr>
        <w:t>., et que les détenus G</w:t>
      </w:r>
      <w:r w:rsidRPr="003B1303" w:rsidR="00B40670">
        <w:rPr>
          <w:lang w:val="fr-FR"/>
        </w:rPr>
        <w:t>o</w:t>
      </w:r>
      <w:r w:rsidRPr="003B1303">
        <w:rPr>
          <w:lang w:val="fr-FR"/>
        </w:rPr>
        <w:t xml:space="preserve">. </w:t>
      </w:r>
      <w:proofErr w:type="gramStart"/>
      <w:r w:rsidRPr="003B1303">
        <w:rPr>
          <w:lang w:val="fr-FR"/>
        </w:rPr>
        <w:t>et</w:t>
      </w:r>
      <w:proofErr w:type="gramEnd"/>
      <w:r w:rsidRPr="003B1303">
        <w:rPr>
          <w:lang w:val="fr-FR"/>
        </w:rPr>
        <w:t xml:space="preserve"> M</w:t>
      </w:r>
      <w:r w:rsidRPr="003B1303" w:rsidR="00B40670">
        <w:rPr>
          <w:lang w:val="fr-FR"/>
        </w:rPr>
        <w:t>a</w:t>
      </w:r>
      <w:r w:rsidRPr="003B1303">
        <w:rPr>
          <w:lang w:val="fr-FR"/>
        </w:rPr>
        <w:t xml:space="preserve">. </w:t>
      </w:r>
      <w:proofErr w:type="gramStart"/>
      <w:r w:rsidRPr="003B1303">
        <w:rPr>
          <w:lang w:val="fr-FR"/>
        </w:rPr>
        <w:t>avaient</w:t>
      </w:r>
      <w:proofErr w:type="gramEnd"/>
      <w:r w:rsidRPr="003B1303">
        <w:rPr>
          <w:lang w:val="fr-FR"/>
        </w:rPr>
        <w:t xml:space="preserve"> préalablement exercé des pressions sur le premier requérant à la demande de Ti.</w:t>
      </w:r>
    </w:p>
    <w:bookmarkStart w:name="temCh" w:id="43"/>
    <w:p w:rsidRPr="003B1303" w:rsidR="00A159A1" w:rsidP="003B1303" w:rsidRDefault="00A159A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76</w:t>
      </w:r>
      <w:r w:rsidRPr="003B1303">
        <w:rPr>
          <w:lang w:val="fr-FR"/>
        </w:rPr>
        <w:fldChar w:fldCharType="end"/>
      </w:r>
      <w:bookmarkEnd w:id="43"/>
      <w:r w:rsidRPr="003B1303">
        <w:rPr>
          <w:lang w:val="fr-FR"/>
        </w:rPr>
        <w:t>.  À l</w:t>
      </w:r>
      <w:r w:rsidRPr="003B1303" w:rsidR="003B1303">
        <w:rPr>
          <w:lang w:val="fr-FR"/>
        </w:rPr>
        <w:t>’</w:t>
      </w:r>
      <w:r w:rsidRPr="003B1303">
        <w:rPr>
          <w:lang w:val="fr-FR"/>
        </w:rPr>
        <w:t xml:space="preserve">audience du 13 décembre 2010, </w:t>
      </w:r>
      <w:r w:rsidRPr="003B1303" w:rsidR="008B4279">
        <w:rPr>
          <w:lang w:val="fr-FR"/>
        </w:rPr>
        <w:t xml:space="preserve">le témoin </w:t>
      </w:r>
      <w:r w:rsidRPr="003B1303">
        <w:rPr>
          <w:lang w:val="fr-FR"/>
        </w:rPr>
        <w:t>Ch. déclara qu</w:t>
      </w:r>
      <w:r w:rsidRPr="003B1303" w:rsidR="003B1303">
        <w:rPr>
          <w:lang w:val="fr-FR"/>
        </w:rPr>
        <w:t>’</w:t>
      </w:r>
      <w:r w:rsidRPr="003B1303">
        <w:rPr>
          <w:lang w:val="fr-FR"/>
        </w:rPr>
        <w:t>il avait été détenu dans la cellule n</w:t>
      </w:r>
      <w:r w:rsidRPr="003B1303">
        <w:rPr>
          <w:vertAlign w:val="superscript"/>
          <w:lang w:val="fr-FR"/>
        </w:rPr>
        <w:t>o</w:t>
      </w:r>
      <w:r w:rsidRPr="003B1303">
        <w:rPr>
          <w:lang w:val="fr-FR"/>
        </w:rPr>
        <w:t> 439 et qu</w:t>
      </w:r>
      <w:r w:rsidRPr="003B1303" w:rsidR="003B1303">
        <w:rPr>
          <w:lang w:val="fr-FR"/>
        </w:rPr>
        <w:t>’</w:t>
      </w:r>
      <w:r w:rsidRPr="003B1303">
        <w:rPr>
          <w:lang w:val="fr-FR"/>
        </w:rPr>
        <w:t xml:space="preserve">il avait remarqué un hématome sur le visage du premier requérant le jour où celui-ci était arrivé dans cette cellule. </w:t>
      </w:r>
      <w:r w:rsidRPr="003B1303" w:rsidR="008B4279">
        <w:rPr>
          <w:lang w:val="fr-FR"/>
        </w:rPr>
        <w:t xml:space="preserve">Le témoin </w:t>
      </w:r>
      <w:r w:rsidRPr="003B1303">
        <w:rPr>
          <w:lang w:val="fr-FR"/>
        </w:rPr>
        <w:t>R</w:t>
      </w:r>
      <w:r w:rsidRPr="003B1303" w:rsidR="007177A5">
        <w:rPr>
          <w:lang w:val="fr-FR"/>
        </w:rPr>
        <w:t>as</w:t>
      </w:r>
      <w:r w:rsidRPr="003B1303">
        <w:rPr>
          <w:lang w:val="fr-FR"/>
        </w:rPr>
        <w:t xml:space="preserve">. </w:t>
      </w:r>
      <w:proofErr w:type="gramStart"/>
      <w:r w:rsidRPr="003B1303">
        <w:rPr>
          <w:lang w:val="fr-FR"/>
        </w:rPr>
        <w:t>déclara</w:t>
      </w:r>
      <w:proofErr w:type="gramEnd"/>
      <w:r w:rsidRPr="003B1303">
        <w:rPr>
          <w:lang w:val="fr-FR"/>
        </w:rPr>
        <w:t xml:space="preserve"> que, pendant sa détention commune avec le premier requérant dans la cellule n</w:t>
      </w:r>
      <w:r w:rsidRPr="003B1303">
        <w:rPr>
          <w:vertAlign w:val="superscript"/>
          <w:lang w:val="fr-FR"/>
        </w:rPr>
        <w:t>o</w:t>
      </w:r>
      <w:r w:rsidRPr="003B1303">
        <w:rPr>
          <w:lang w:val="fr-FR"/>
        </w:rPr>
        <w:t xml:space="preserve"> 439 en avril 2008, il avait remarqué des hématomes sur le torse et les bras de ce dernier ; il </w:t>
      </w:r>
      <w:r w:rsidRPr="003B1303" w:rsidR="005744D2">
        <w:rPr>
          <w:lang w:val="fr-FR"/>
        </w:rPr>
        <w:t>ajouta</w:t>
      </w:r>
      <w:r w:rsidRPr="003B1303">
        <w:rPr>
          <w:lang w:val="fr-FR"/>
        </w:rPr>
        <w:t xml:space="preserve"> qu</w:t>
      </w:r>
      <w:r w:rsidRPr="003B1303" w:rsidR="003B1303">
        <w:rPr>
          <w:lang w:val="fr-FR"/>
        </w:rPr>
        <w:t>’</w:t>
      </w:r>
      <w:r w:rsidRPr="003B1303">
        <w:rPr>
          <w:lang w:val="fr-FR"/>
        </w:rPr>
        <w:t xml:space="preserve">il savait que son codétenu B. exerçait le « contrôle » du </w:t>
      </w:r>
      <w:r w:rsidRPr="003B1303" w:rsidR="00241681">
        <w:rPr>
          <w:lang w:val="fr-FR"/>
        </w:rPr>
        <w:t xml:space="preserve">premier </w:t>
      </w:r>
      <w:r w:rsidRPr="003B1303">
        <w:rPr>
          <w:lang w:val="fr-FR"/>
        </w:rPr>
        <w:t>requérant à la demande de l</w:t>
      </w:r>
      <w:r w:rsidRPr="003B1303" w:rsidR="003B1303">
        <w:rPr>
          <w:lang w:val="fr-FR"/>
        </w:rPr>
        <w:t>’</w:t>
      </w:r>
      <w:r w:rsidRPr="003B1303">
        <w:rPr>
          <w:lang w:val="fr-FR"/>
        </w:rPr>
        <w:t xml:space="preserve">officier Ti. </w:t>
      </w:r>
      <w:r w:rsidRPr="003B1303" w:rsidR="008B4279">
        <w:rPr>
          <w:lang w:val="fr-FR"/>
        </w:rPr>
        <w:t xml:space="preserve">Le témoin </w:t>
      </w:r>
      <w:proofErr w:type="spellStart"/>
      <w:r w:rsidRPr="003B1303">
        <w:rPr>
          <w:lang w:val="fr-FR"/>
        </w:rPr>
        <w:t>S</w:t>
      </w:r>
      <w:r w:rsidRPr="003B1303" w:rsidR="007177A5">
        <w:rPr>
          <w:lang w:val="fr-FR"/>
        </w:rPr>
        <w:t>m</w:t>
      </w:r>
      <w:proofErr w:type="spellEnd"/>
      <w:r w:rsidRPr="003B1303">
        <w:rPr>
          <w:lang w:val="fr-FR"/>
        </w:rPr>
        <w:t xml:space="preserve">. </w:t>
      </w:r>
      <w:r w:rsidRPr="003B1303" w:rsidR="00241681">
        <w:rPr>
          <w:lang w:val="fr-FR"/>
        </w:rPr>
        <w:t xml:space="preserve">indiqua </w:t>
      </w:r>
      <w:r w:rsidRPr="003B1303">
        <w:rPr>
          <w:lang w:val="fr-FR"/>
        </w:rPr>
        <w:t>que, pendant sa détention commune avec le premier requérant dans la cellule n</w:t>
      </w:r>
      <w:r w:rsidRPr="003B1303">
        <w:rPr>
          <w:vertAlign w:val="superscript"/>
          <w:lang w:val="fr-FR"/>
        </w:rPr>
        <w:t>o</w:t>
      </w:r>
      <w:r w:rsidRPr="003B1303">
        <w:rPr>
          <w:lang w:val="fr-FR"/>
        </w:rPr>
        <w:t> 439, les codétenus N</w:t>
      </w:r>
      <w:r w:rsidRPr="003B1303" w:rsidR="009F5FE4">
        <w:rPr>
          <w:lang w:val="fr-FR"/>
        </w:rPr>
        <w:t>a</w:t>
      </w:r>
      <w:r w:rsidRPr="003B1303">
        <w:rPr>
          <w:lang w:val="fr-FR"/>
        </w:rPr>
        <w:t xml:space="preserve">. </w:t>
      </w:r>
      <w:proofErr w:type="gramStart"/>
      <w:r w:rsidRPr="003B1303">
        <w:rPr>
          <w:lang w:val="fr-FR"/>
        </w:rPr>
        <w:t>et</w:t>
      </w:r>
      <w:proofErr w:type="gramEnd"/>
      <w:r w:rsidRPr="003B1303">
        <w:rPr>
          <w:lang w:val="fr-FR"/>
        </w:rPr>
        <w:t xml:space="preserve"> P</w:t>
      </w:r>
      <w:r w:rsidRPr="003B1303" w:rsidR="009F5FE4">
        <w:rPr>
          <w:lang w:val="fr-FR"/>
        </w:rPr>
        <w:t>o</w:t>
      </w:r>
      <w:r w:rsidRPr="003B1303">
        <w:rPr>
          <w:lang w:val="fr-FR"/>
        </w:rPr>
        <w:t>. avaient privé l</w:t>
      </w:r>
      <w:r w:rsidRPr="003B1303" w:rsidR="003B1303">
        <w:rPr>
          <w:lang w:val="fr-FR"/>
        </w:rPr>
        <w:t>’</w:t>
      </w:r>
      <w:r w:rsidRPr="003B1303">
        <w:rPr>
          <w:lang w:val="fr-FR"/>
        </w:rPr>
        <w:t>intéressé de plusieurs documents que celui-ci détenait dans la cellule.</w:t>
      </w:r>
    </w:p>
    <w:bookmarkStart w:name="temMaGo" w:id="44"/>
    <w:p w:rsidRPr="003B1303" w:rsidR="00BE4C83" w:rsidP="003B1303" w:rsidRDefault="00A159A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77</w:t>
      </w:r>
      <w:r w:rsidRPr="003B1303">
        <w:rPr>
          <w:lang w:val="fr-FR"/>
        </w:rPr>
        <w:fldChar w:fldCharType="end"/>
      </w:r>
      <w:bookmarkEnd w:id="44"/>
      <w:r w:rsidRPr="003B1303">
        <w:rPr>
          <w:lang w:val="fr-FR"/>
        </w:rPr>
        <w:t>.  À l</w:t>
      </w:r>
      <w:r w:rsidRPr="003B1303" w:rsidR="003B1303">
        <w:rPr>
          <w:lang w:val="fr-FR"/>
        </w:rPr>
        <w:t>’</w:t>
      </w:r>
      <w:r w:rsidRPr="003B1303">
        <w:rPr>
          <w:lang w:val="fr-FR"/>
        </w:rPr>
        <w:t xml:space="preserve">audience du 16 décembre 2010, Ma. </w:t>
      </w:r>
      <w:proofErr w:type="gramStart"/>
      <w:r w:rsidRPr="003B1303">
        <w:rPr>
          <w:lang w:val="fr-FR"/>
        </w:rPr>
        <w:t>et</w:t>
      </w:r>
      <w:proofErr w:type="gramEnd"/>
      <w:r w:rsidRPr="003B1303">
        <w:rPr>
          <w:lang w:val="fr-FR"/>
        </w:rPr>
        <w:t xml:space="preserve"> Go. </w:t>
      </w:r>
      <w:proofErr w:type="gramStart"/>
      <w:r w:rsidRPr="003B1303">
        <w:rPr>
          <w:lang w:val="fr-FR"/>
        </w:rPr>
        <w:t>déclarèrent</w:t>
      </w:r>
      <w:proofErr w:type="gramEnd"/>
      <w:r w:rsidRPr="003B1303">
        <w:rPr>
          <w:lang w:val="fr-FR"/>
        </w:rPr>
        <w:t xml:space="preserve"> que, lors de leur détention dans la cellule n</w:t>
      </w:r>
      <w:r w:rsidRPr="003B1303">
        <w:rPr>
          <w:vertAlign w:val="superscript"/>
          <w:lang w:val="fr-FR"/>
        </w:rPr>
        <w:t>o</w:t>
      </w:r>
      <w:r w:rsidRPr="003B1303">
        <w:rPr>
          <w:lang w:val="fr-FR"/>
        </w:rPr>
        <w:t> 239, ils n</w:t>
      </w:r>
      <w:r w:rsidRPr="003B1303" w:rsidR="003B1303">
        <w:rPr>
          <w:lang w:val="fr-FR"/>
        </w:rPr>
        <w:t>’</w:t>
      </w:r>
      <w:r w:rsidRPr="003B1303">
        <w:rPr>
          <w:lang w:val="fr-FR"/>
        </w:rPr>
        <w:t>avaient exercé ni violences physiques ni pressions psychologiques sur le premier requérant.</w:t>
      </w:r>
    </w:p>
    <w:bookmarkStart w:name="temRo" w:id="45"/>
    <w:p w:rsidRPr="003B1303" w:rsidR="00A159A1" w:rsidP="003B1303" w:rsidRDefault="00A159A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78</w:t>
      </w:r>
      <w:r w:rsidRPr="003B1303">
        <w:rPr>
          <w:lang w:val="fr-FR"/>
        </w:rPr>
        <w:fldChar w:fldCharType="end"/>
      </w:r>
      <w:bookmarkEnd w:id="45"/>
      <w:r w:rsidRPr="003B1303">
        <w:rPr>
          <w:lang w:val="fr-FR"/>
        </w:rPr>
        <w:t>.  Toujours lors de l</w:t>
      </w:r>
      <w:r w:rsidRPr="003B1303" w:rsidR="003B1303">
        <w:rPr>
          <w:lang w:val="fr-FR"/>
        </w:rPr>
        <w:t>’</w:t>
      </w:r>
      <w:r w:rsidRPr="003B1303">
        <w:rPr>
          <w:lang w:val="fr-FR"/>
        </w:rPr>
        <w:t xml:space="preserve">audience du 16 décembre 2010, la cour régionale refusa de convoquer </w:t>
      </w:r>
      <w:proofErr w:type="spellStart"/>
      <w:r w:rsidRPr="003B1303">
        <w:rPr>
          <w:lang w:val="fr-FR"/>
        </w:rPr>
        <w:t>R</w:t>
      </w:r>
      <w:r w:rsidRPr="003B1303" w:rsidR="00D85EDF">
        <w:rPr>
          <w:lang w:val="fr-FR"/>
        </w:rPr>
        <w:t>o</w:t>
      </w:r>
      <w:proofErr w:type="spellEnd"/>
      <w:r w:rsidRPr="003B1303">
        <w:rPr>
          <w:lang w:val="fr-FR"/>
        </w:rPr>
        <w:t>., le troisième codétenu placé avec le premier requérant dans la cellule n</w:t>
      </w:r>
      <w:r w:rsidRPr="003B1303">
        <w:rPr>
          <w:vertAlign w:val="superscript"/>
          <w:lang w:val="fr-FR"/>
        </w:rPr>
        <w:t>o</w:t>
      </w:r>
      <w:r w:rsidRPr="003B1303">
        <w:rPr>
          <w:lang w:val="fr-FR"/>
        </w:rPr>
        <w:t> 239 en avril 2008, pour l</w:t>
      </w:r>
      <w:r w:rsidRPr="003B1303" w:rsidR="003B1303">
        <w:rPr>
          <w:lang w:val="fr-FR"/>
        </w:rPr>
        <w:t>’</w:t>
      </w:r>
      <w:r w:rsidRPr="003B1303">
        <w:rPr>
          <w:lang w:val="fr-FR"/>
        </w:rPr>
        <w:t>interroger en tant que témoin</w:t>
      </w:r>
      <w:r w:rsidRPr="003B1303" w:rsidR="00241681">
        <w:rPr>
          <w:lang w:val="fr-FR"/>
        </w:rPr>
        <w:t>,</w:t>
      </w:r>
      <w:r w:rsidRPr="003B1303">
        <w:rPr>
          <w:lang w:val="fr-FR"/>
        </w:rPr>
        <w:t xml:space="preserve"> au motif que celui-ci avait </w:t>
      </w:r>
      <w:r w:rsidRPr="003B1303" w:rsidR="00241681">
        <w:rPr>
          <w:lang w:val="fr-FR"/>
        </w:rPr>
        <w:t xml:space="preserve">déjà été </w:t>
      </w:r>
      <w:r w:rsidRPr="003B1303">
        <w:rPr>
          <w:lang w:val="fr-FR"/>
        </w:rPr>
        <w:t xml:space="preserve">interrogé lors de la vérification </w:t>
      </w:r>
      <w:r w:rsidRPr="003B1303" w:rsidR="005744D2">
        <w:rPr>
          <w:lang w:val="fr-FR"/>
        </w:rPr>
        <w:t xml:space="preserve">préliminaire </w:t>
      </w:r>
      <w:r w:rsidRPr="003B1303">
        <w:rPr>
          <w:lang w:val="fr-FR"/>
        </w:rPr>
        <w:t>qui s</w:t>
      </w:r>
      <w:r w:rsidRPr="003B1303" w:rsidR="003B1303">
        <w:rPr>
          <w:lang w:val="fr-FR"/>
        </w:rPr>
        <w:t>’</w:t>
      </w:r>
      <w:r w:rsidRPr="003B1303">
        <w:rPr>
          <w:lang w:val="fr-FR"/>
        </w:rPr>
        <w:t>était achevée le 28 juin 2008 et qu</w:t>
      </w:r>
      <w:r w:rsidRPr="003B1303" w:rsidR="003B1303">
        <w:rPr>
          <w:lang w:val="fr-FR"/>
        </w:rPr>
        <w:t>’</w:t>
      </w:r>
      <w:r w:rsidRPr="003B1303">
        <w:rPr>
          <w:lang w:val="fr-FR"/>
        </w:rPr>
        <w:t>il avait contredit les allégations de l</w:t>
      </w:r>
      <w:r w:rsidRPr="003B1303" w:rsidR="003B1303">
        <w:rPr>
          <w:lang w:val="fr-FR"/>
        </w:rPr>
        <w:t>’</w:t>
      </w:r>
      <w:r w:rsidRPr="003B1303">
        <w:rPr>
          <w:lang w:val="fr-FR"/>
        </w:rPr>
        <w:t>intéressé.</w:t>
      </w:r>
    </w:p>
    <w:p w:rsidRPr="003B1303" w:rsidR="00BE4C83" w:rsidP="003B1303" w:rsidRDefault="00844E08">
      <w:pPr>
        <w:pStyle w:val="ECHRHeading5"/>
        <w:rPr>
          <w:lang w:val="fr-FR"/>
        </w:rPr>
      </w:pPr>
      <w:r w:rsidRPr="003B1303">
        <w:rPr>
          <w:lang w:val="fr-FR"/>
        </w:rPr>
        <w:t>ii.</w:t>
      </w:r>
      <w:r w:rsidRPr="003B1303" w:rsidR="00DF7020">
        <w:rPr>
          <w:lang w:val="fr-FR"/>
        </w:rPr>
        <w:t>  </w:t>
      </w:r>
      <w:r w:rsidRPr="003B1303" w:rsidR="00350222">
        <w:rPr>
          <w:lang w:val="fr-FR"/>
        </w:rPr>
        <w:t>Les déclarations de</w:t>
      </w:r>
      <w:r w:rsidRPr="003B1303" w:rsidR="001740FA">
        <w:rPr>
          <w:lang w:val="fr-FR"/>
        </w:rPr>
        <w:t>s</w:t>
      </w:r>
      <w:r w:rsidRPr="003B1303" w:rsidR="00350222">
        <w:rPr>
          <w:lang w:val="fr-FR"/>
        </w:rPr>
        <w:t xml:space="preserve"> témoins en ce qui concerne le </w:t>
      </w:r>
      <w:r w:rsidRPr="003B1303" w:rsidR="00A159A1">
        <w:rPr>
          <w:lang w:val="fr-FR"/>
        </w:rPr>
        <w:t xml:space="preserve">second </w:t>
      </w:r>
      <w:r w:rsidRPr="003B1303" w:rsidR="00350222">
        <w:rPr>
          <w:lang w:val="fr-FR"/>
        </w:rPr>
        <w:t>requérant</w:t>
      </w:r>
    </w:p>
    <w:bookmarkStart w:name="temGr" w:id="46"/>
    <w:p w:rsidRPr="003B1303" w:rsidR="00C11C2F" w:rsidP="003B1303" w:rsidRDefault="00350222">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79</w:t>
      </w:r>
      <w:r w:rsidRPr="003B1303">
        <w:rPr>
          <w:lang w:val="fr-FR"/>
        </w:rPr>
        <w:fldChar w:fldCharType="end"/>
      </w:r>
      <w:bookmarkEnd w:id="46"/>
      <w:r w:rsidRPr="003B1303">
        <w:rPr>
          <w:lang w:val="fr-FR"/>
        </w:rPr>
        <w:t>.  </w:t>
      </w:r>
      <w:r w:rsidRPr="003B1303" w:rsidR="00C11C2F">
        <w:rPr>
          <w:lang w:val="fr-FR"/>
        </w:rPr>
        <w:t>À l</w:t>
      </w:r>
      <w:r w:rsidRPr="003B1303" w:rsidR="003B1303">
        <w:rPr>
          <w:lang w:val="fr-FR"/>
        </w:rPr>
        <w:t>’</w:t>
      </w:r>
      <w:r w:rsidRPr="003B1303" w:rsidR="00C11C2F">
        <w:rPr>
          <w:lang w:val="fr-FR"/>
        </w:rPr>
        <w:t xml:space="preserve">audience du 11 novembre 2010, </w:t>
      </w:r>
      <w:r w:rsidRPr="003B1303">
        <w:rPr>
          <w:lang w:val="fr-FR"/>
        </w:rPr>
        <w:t>Gr. déclara qu</w:t>
      </w:r>
      <w:r w:rsidRPr="003B1303" w:rsidR="003B1303">
        <w:rPr>
          <w:lang w:val="fr-FR"/>
        </w:rPr>
        <w:t>’</w:t>
      </w:r>
      <w:r w:rsidRPr="003B1303">
        <w:rPr>
          <w:lang w:val="fr-FR"/>
        </w:rPr>
        <w:t>il avait été détenu avec le second requérant dans la cellule n</w:t>
      </w:r>
      <w:r w:rsidRPr="003B1303">
        <w:rPr>
          <w:vertAlign w:val="superscript"/>
          <w:lang w:val="fr-FR"/>
        </w:rPr>
        <w:t>o</w:t>
      </w:r>
      <w:r w:rsidRPr="003B1303">
        <w:rPr>
          <w:lang w:val="fr-FR"/>
        </w:rPr>
        <w:t xml:space="preserve"> 643 </w:t>
      </w:r>
      <w:r w:rsidRPr="003B1303" w:rsidR="00497C2C">
        <w:rPr>
          <w:lang w:val="fr-FR"/>
        </w:rPr>
        <w:t xml:space="preserve">pendant la période </w:t>
      </w:r>
      <w:r w:rsidRPr="003B1303" w:rsidR="005744D2">
        <w:rPr>
          <w:lang w:val="fr-FR"/>
        </w:rPr>
        <w:t xml:space="preserve">allant </w:t>
      </w:r>
      <w:r w:rsidRPr="003B1303">
        <w:rPr>
          <w:lang w:val="fr-FR"/>
        </w:rPr>
        <w:t>du mois d</w:t>
      </w:r>
      <w:r w:rsidRPr="003B1303" w:rsidR="003B1303">
        <w:rPr>
          <w:lang w:val="fr-FR"/>
        </w:rPr>
        <w:t>’</w:t>
      </w:r>
      <w:r w:rsidRPr="003B1303">
        <w:rPr>
          <w:lang w:val="fr-FR"/>
        </w:rPr>
        <w:t xml:space="preserve">avril 2008 </w:t>
      </w:r>
      <w:r w:rsidRPr="003B1303" w:rsidR="00C11C2F">
        <w:rPr>
          <w:lang w:val="fr-FR"/>
        </w:rPr>
        <w:t>au mois de mars 2009 et qu</w:t>
      </w:r>
      <w:r w:rsidRPr="003B1303" w:rsidR="003B1303">
        <w:rPr>
          <w:lang w:val="fr-FR"/>
        </w:rPr>
        <w:t>’</w:t>
      </w:r>
      <w:r w:rsidRPr="003B1303" w:rsidR="00C11C2F">
        <w:rPr>
          <w:lang w:val="fr-FR"/>
        </w:rPr>
        <w:t xml:space="preserve">il avait été témoin de la tentative de viol du second requérant par trois codétenus, dont </w:t>
      </w:r>
      <w:proofErr w:type="spellStart"/>
      <w:r w:rsidRPr="003B1303" w:rsidR="00C11C2F">
        <w:rPr>
          <w:lang w:val="fr-FR"/>
        </w:rPr>
        <w:t>Ry</w:t>
      </w:r>
      <w:proofErr w:type="spellEnd"/>
      <w:r w:rsidRPr="003B1303" w:rsidR="00C11C2F">
        <w:rPr>
          <w:lang w:val="fr-FR"/>
        </w:rPr>
        <w:t xml:space="preserve">., en avril 2008. </w:t>
      </w:r>
      <w:r w:rsidRPr="003B1303" w:rsidR="00497C2C">
        <w:rPr>
          <w:lang w:val="fr-FR"/>
        </w:rPr>
        <w:t xml:space="preserve">Il </w:t>
      </w:r>
      <w:r w:rsidRPr="003B1303" w:rsidR="00241681">
        <w:rPr>
          <w:lang w:val="fr-FR"/>
        </w:rPr>
        <w:t xml:space="preserve">indiqua </w:t>
      </w:r>
      <w:r w:rsidRPr="003B1303" w:rsidR="00E479D2">
        <w:rPr>
          <w:lang w:val="fr-FR"/>
        </w:rPr>
        <w:t>qu</w:t>
      </w:r>
      <w:r w:rsidRPr="003B1303" w:rsidR="003B1303">
        <w:rPr>
          <w:lang w:val="fr-FR"/>
        </w:rPr>
        <w:t>’</w:t>
      </w:r>
      <w:r w:rsidRPr="003B1303" w:rsidR="00E479D2">
        <w:rPr>
          <w:lang w:val="fr-FR"/>
        </w:rPr>
        <w:t xml:space="preserve">il savait </w:t>
      </w:r>
      <w:r w:rsidRPr="003B1303" w:rsidR="00497C2C">
        <w:rPr>
          <w:lang w:val="fr-FR"/>
        </w:rPr>
        <w:t xml:space="preserve">que </w:t>
      </w:r>
      <w:proofErr w:type="spellStart"/>
      <w:r w:rsidRPr="003B1303" w:rsidR="00497C2C">
        <w:rPr>
          <w:lang w:val="fr-FR"/>
        </w:rPr>
        <w:t>Ry</w:t>
      </w:r>
      <w:proofErr w:type="spellEnd"/>
      <w:r w:rsidRPr="003B1303" w:rsidR="00497C2C">
        <w:rPr>
          <w:lang w:val="fr-FR"/>
        </w:rPr>
        <w:t xml:space="preserve">. </w:t>
      </w:r>
      <w:proofErr w:type="gramStart"/>
      <w:r w:rsidRPr="003B1303" w:rsidR="00497C2C">
        <w:rPr>
          <w:lang w:val="fr-FR"/>
        </w:rPr>
        <w:t>agissait</w:t>
      </w:r>
      <w:proofErr w:type="gramEnd"/>
      <w:r w:rsidRPr="003B1303" w:rsidR="00497C2C">
        <w:rPr>
          <w:lang w:val="fr-FR"/>
        </w:rPr>
        <w:t xml:space="preserve"> sur instruction de l</w:t>
      </w:r>
      <w:r w:rsidRPr="003B1303" w:rsidR="003B1303">
        <w:rPr>
          <w:lang w:val="fr-FR"/>
        </w:rPr>
        <w:t>’</w:t>
      </w:r>
      <w:r w:rsidRPr="003B1303" w:rsidR="00497C2C">
        <w:rPr>
          <w:lang w:val="fr-FR"/>
        </w:rPr>
        <w:t>administration de la maison d</w:t>
      </w:r>
      <w:r w:rsidRPr="003B1303" w:rsidR="003B1303">
        <w:rPr>
          <w:lang w:val="fr-FR"/>
        </w:rPr>
        <w:t>’</w:t>
      </w:r>
      <w:r w:rsidRPr="003B1303" w:rsidR="00497C2C">
        <w:rPr>
          <w:lang w:val="fr-FR"/>
        </w:rPr>
        <w:t>arrêt afin de faire passer le second requérant aux aveux.</w:t>
      </w:r>
    </w:p>
    <w:bookmarkStart w:name="temTesh" w:id="47"/>
    <w:p w:rsidRPr="003B1303" w:rsidR="00037A0F" w:rsidP="003B1303" w:rsidRDefault="00037A0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80</w:t>
      </w:r>
      <w:r w:rsidRPr="003B1303">
        <w:rPr>
          <w:lang w:val="fr-FR"/>
        </w:rPr>
        <w:fldChar w:fldCharType="end"/>
      </w:r>
      <w:bookmarkEnd w:id="47"/>
      <w:r w:rsidRPr="003B1303">
        <w:rPr>
          <w:lang w:val="fr-FR"/>
        </w:rPr>
        <w:t>.  </w:t>
      </w:r>
      <w:r w:rsidRPr="003B1303" w:rsidR="009C7288">
        <w:rPr>
          <w:lang w:val="fr-FR"/>
        </w:rPr>
        <w:t>À</w:t>
      </w:r>
      <w:r w:rsidRPr="003B1303">
        <w:rPr>
          <w:lang w:val="fr-FR"/>
        </w:rPr>
        <w:t xml:space="preserve"> l</w:t>
      </w:r>
      <w:r w:rsidRPr="003B1303" w:rsidR="003B1303">
        <w:rPr>
          <w:lang w:val="fr-FR"/>
        </w:rPr>
        <w:t>’</w:t>
      </w:r>
      <w:r w:rsidRPr="003B1303">
        <w:rPr>
          <w:lang w:val="fr-FR"/>
        </w:rPr>
        <w:t>audience du 1</w:t>
      </w:r>
      <w:r w:rsidRPr="003B1303">
        <w:rPr>
          <w:vertAlign w:val="superscript"/>
          <w:lang w:val="fr-FR"/>
        </w:rPr>
        <w:t>er</w:t>
      </w:r>
      <w:r w:rsidRPr="003B1303">
        <w:rPr>
          <w:lang w:val="fr-FR"/>
        </w:rPr>
        <w:t xml:space="preserve"> décembre 2010, le témoin </w:t>
      </w:r>
      <w:proofErr w:type="spellStart"/>
      <w:r w:rsidRPr="003B1303" w:rsidR="009C7288">
        <w:rPr>
          <w:lang w:val="fr-FR"/>
        </w:rPr>
        <w:t>Tesh</w:t>
      </w:r>
      <w:proofErr w:type="spellEnd"/>
      <w:r w:rsidRPr="003B1303">
        <w:rPr>
          <w:lang w:val="fr-FR"/>
        </w:rPr>
        <w:t xml:space="preserve">. </w:t>
      </w:r>
      <w:proofErr w:type="gramStart"/>
      <w:r w:rsidRPr="003B1303" w:rsidR="009C7288">
        <w:rPr>
          <w:lang w:val="fr-FR"/>
        </w:rPr>
        <w:t>déclara</w:t>
      </w:r>
      <w:proofErr w:type="gramEnd"/>
      <w:r w:rsidRPr="003B1303" w:rsidR="009C7288">
        <w:rPr>
          <w:lang w:val="fr-FR"/>
        </w:rPr>
        <w:t xml:space="preserve"> qu</w:t>
      </w:r>
      <w:r w:rsidRPr="003B1303" w:rsidR="003B1303">
        <w:rPr>
          <w:lang w:val="fr-FR"/>
        </w:rPr>
        <w:t>’</w:t>
      </w:r>
      <w:r w:rsidRPr="003B1303" w:rsidR="009C7288">
        <w:rPr>
          <w:lang w:val="fr-FR"/>
        </w:rPr>
        <w:t>il avait été détenu avec le second requérant dans la cellule n</w:t>
      </w:r>
      <w:r w:rsidRPr="003B1303" w:rsidR="009C7288">
        <w:rPr>
          <w:vertAlign w:val="superscript"/>
          <w:lang w:val="fr-FR"/>
        </w:rPr>
        <w:t>o</w:t>
      </w:r>
      <w:r w:rsidRPr="003B1303" w:rsidR="009C7288">
        <w:rPr>
          <w:lang w:val="fr-FR"/>
        </w:rPr>
        <w:t> 624</w:t>
      </w:r>
      <w:r w:rsidRPr="003B1303" w:rsidR="00241681">
        <w:rPr>
          <w:lang w:val="fr-FR"/>
        </w:rPr>
        <w:t xml:space="preserve"> et</w:t>
      </w:r>
      <w:r w:rsidRPr="003B1303" w:rsidR="009C7288">
        <w:rPr>
          <w:lang w:val="fr-FR"/>
        </w:rPr>
        <w:t xml:space="preserve"> que ce dernier se déplaçait difficilement à cause des douleurs </w:t>
      </w:r>
      <w:r w:rsidRPr="003B1303" w:rsidR="00E479D2">
        <w:rPr>
          <w:lang w:val="fr-FR"/>
        </w:rPr>
        <w:t>qu</w:t>
      </w:r>
      <w:r w:rsidRPr="003B1303" w:rsidR="003B1303">
        <w:rPr>
          <w:lang w:val="fr-FR"/>
        </w:rPr>
        <w:t>’</w:t>
      </w:r>
      <w:r w:rsidRPr="003B1303" w:rsidR="00E479D2">
        <w:rPr>
          <w:lang w:val="fr-FR"/>
        </w:rPr>
        <w:t xml:space="preserve">il aurait eues </w:t>
      </w:r>
      <w:r w:rsidRPr="003B1303" w:rsidR="00241681">
        <w:rPr>
          <w:lang w:val="fr-FR"/>
        </w:rPr>
        <w:t>dans tout le corps</w:t>
      </w:r>
      <w:r w:rsidRPr="003B1303" w:rsidR="009C7288">
        <w:rPr>
          <w:lang w:val="fr-FR"/>
        </w:rPr>
        <w:t>.</w:t>
      </w:r>
    </w:p>
    <w:bookmarkStart w:name="temFo2" w:id="48"/>
    <w:p w:rsidRPr="003B1303" w:rsidR="00BE4C83" w:rsidP="003B1303" w:rsidRDefault="00C11C2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81</w:t>
      </w:r>
      <w:r w:rsidRPr="003B1303">
        <w:rPr>
          <w:lang w:val="fr-FR"/>
        </w:rPr>
        <w:fldChar w:fldCharType="end"/>
      </w:r>
      <w:bookmarkEnd w:id="48"/>
      <w:r w:rsidRPr="003B1303">
        <w:rPr>
          <w:lang w:val="fr-FR"/>
        </w:rPr>
        <w:t>.  </w:t>
      </w:r>
      <w:r w:rsidRPr="003B1303" w:rsidR="004B3D99">
        <w:rPr>
          <w:lang w:val="fr-FR"/>
        </w:rPr>
        <w:t xml:space="preserve">Aux </w:t>
      </w:r>
      <w:r w:rsidRPr="003B1303">
        <w:rPr>
          <w:lang w:val="fr-FR"/>
        </w:rPr>
        <w:t>audience</w:t>
      </w:r>
      <w:r w:rsidRPr="003B1303" w:rsidR="004B3D99">
        <w:rPr>
          <w:lang w:val="fr-FR"/>
        </w:rPr>
        <w:t>s</w:t>
      </w:r>
      <w:r w:rsidRPr="003B1303">
        <w:rPr>
          <w:lang w:val="fr-FR"/>
        </w:rPr>
        <w:t xml:space="preserve"> d</w:t>
      </w:r>
      <w:r w:rsidRPr="003B1303" w:rsidR="004B3D99">
        <w:rPr>
          <w:lang w:val="fr-FR"/>
        </w:rPr>
        <w:t>es</w:t>
      </w:r>
      <w:r w:rsidRPr="003B1303">
        <w:rPr>
          <w:lang w:val="fr-FR"/>
        </w:rPr>
        <w:t xml:space="preserve"> 7</w:t>
      </w:r>
      <w:r w:rsidRPr="003B1303" w:rsidR="004B3D99">
        <w:rPr>
          <w:lang w:val="fr-FR"/>
        </w:rPr>
        <w:t xml:space="preserve"> et 8</w:t>
      </w:r>
      <w:r w:rsidRPr="003B1303">
        <w:rPr>
          <w:lang w:val="fr-FR"/>
        </w:rPr>
        <w:t xml:space="preserve"> décembre 2010</w:t>
      </w:r>
      <w:r w:rsidRPr="003B1303" w:rsidR="00497C2C">
        <w:rPr>
          <w:lang w:val="fr-FR"/>
        </w:rPr>
        <w:t>,</w:t>
      </w:r>
      <w:r w:rsidRPr="003B1303">
        <w:rPr>
          <w:lang w:val="fr-FR"/>
        </w:rPr>
        <w:t xml:space="preserve"> F</w:t>
      </w:r>
      <w:r w:rsidRPr="003B1303" w:rsidR="00B40670">
        <w:rPr>
          <w:lang w:val="fr-FR"/>
        </w:rPr>
        <w:t>o</w:t>
      </w:r>
      <w:r w:rsidRPr="003B1303">
        <w:rPr>
          <w:lang w:val="fr-FR"/>
        </w:rPr>
        <w:t xml:space="preserve">. </w:t>
      </w:r>
      <w:proofErr w:type="gramStart"/>
      <w:r w:rsidRPr="003B1303">
        <w:rPr>
          <w:lang w:val="fr-FR"/>
        </w:rPr>
        <w:t>déclara</w:t>
      </w:r>
      <w:proofErr w:type="gramEnd"/>
      <w:r w:rsidRPr="003B1303">
        <w:rPr>
          <w:lang w:val="fr-FR"/>
        </w:rPr>
        <w:t xml:space="preserve"> que, à la demande de l</w:t>
      </w:r>
      <w:r w:rsidRPr="003B1303" w:rsidR="003B1303">
        <w:rPr>
          <w:lang w:val="fr-FR"/>
        </w:rPr>
        <w:t>’</w:t>
      </w:r>
      <w:r w:rsidRPr="003B1303" w:rsidR="00FC0EF5">
        <w:rPr>
          <w:lang w:val="fr-FR"/>
        </w:rPr>
        <w:t>officier de police Ti.</w:t>
      </w:r>
      <w:r w:rsidRPr="003B1303">
        <w:rPr>
          <w:lang w:val="fr-FR"/>
        </w:rPr>
        <w:t xml:space="preserve">, il avait exercé des pressions psychologiques sur le second requérant sous forme de menaces </w:t>
      </w:r>
      <w:r w:rsidRPr="003B1303" w:rsidR="005744D2">
        <w:rPr>
          <w:lang w:val="fr-FR"/>
        </w:rPr>
        <w:t xml:space="preserve">pendant </w:t>
      </w:r>
      <w:r w:rsidRPr="003B1303">
        <w:rPr>
          <w:lang w:val="fr-FR"/>
        </w:rPr>
        <w:t>la période du 12 au 14 avril 2008 afin que ce dernier passât aux aveux.</w:t>
      </w:r>
      <w:r w:rsidRPr="003B1303" w:rsidR="00FC0EF5">
        <w:rPr>
          <w:lang w:val="fr-FR"/>
        </w:rPr>
        <w:t xml:space="preserve"> </w:t>
      </w:r>
      <w:r w:rsidRPr="003B1303" w:rsidR="00241681">
        <w:rPr>
          <w:lang w:val="fr-FR"/>
        </w:rPr>
        <w:t>Il</w:t>
      </w:r>
      <w:r w:rsidRPr="003B1303" w:rsidR="004B3D99">
        <w:rPr>
          <w:lang w:val="fr-FR"/>
        </w:rPr>
        <w:t xml:space="preserve"> </w:t>
      </w:r>
      <w:r w:rsidRPr="003B1303" w:rsidR="00957F44">
        <w:rPr>
          <w:lang w:val="fr-FR"/>
        </w:rPr>
        <w:t xml:space="preserve">confirme </w:t>
      </w:r>
      <w:r w:rsidRPr="003B1303" w:rsidR="00241681">
        <w:rPr>
          <w:lang w:val="fr-FR"/>
        </w:rPr>
        <w:t>notamment</w:t>
      </w:r>
      <w:r w:rsidRPr="003B1303" w:rsidR="004B3D99">
        <w:rPr>
          <w:lang w:val="fr-FR"/>
        </w:rPr>
        <w:t xml:space="preserve"> avoir menacé</w:t>
      </w:r>
      <w:r w:rsidRPr="003B1303" w:rsidR="00FC0EF5">
        <w:rPr>
          <w:lang w:val="fr-FR"/>
        </w:rPr>
        <w:t xml:space="preserve"> le </w:t>
      </w:r>
      <w:r w:rsidRPr="003B1303" w:rsidR="004B3D99">
        <w:rPr>
          <w:lang w:val="fr-FR"/>
        </w:rPr>
        <w:t xml:space="preserve">second </w:t>
      </w:r>
      <w:r w:rsidRPr="003B1303" w:rsidR="00FC0EF5">
        <w:rPr>
          <w:lang w:val="fr-FR"/>
        </w:rPr>
        <w:t xml:space="preserve">requérant de torture par électrocution, </w:t>
      </w:r>
      <w:r w:rsidRPr="003B1303" w:rsidR="006970B9">
        <w:rPr>
          <w:lang w:val="fr-FR"/>
        </w:rPr>
        <w:t xml:space="preserve">de contamination </w:t>
      </w:r>
      <w:r w:rsidRPr="003B1303" w:rsidR="00241681">
        <w:rPr>
          <w:lang w:val="fr-FR"/>
        </w:rPr>
        <w:t xml:space="preserve">par le </w:t>
      </w:r>
      <w:r w:rsidRPr="003B1303" w:rsidR="006970B9">
        <w:rPr>
          <w:lang w:val="fr-FR"/>
        </w:rPr>
        <w:t>VIH et de vio</w:t>
      </w:r>
      <w:r w:rsidRPr="003B1303" w:rsidR="004B3D99">
        <w:rPr>
          <w:lang w:val="fr-FR"/>
        </w:rPr>
        <w:t>l. Il déclara l</w:t>
      </w:r>
      <w:r w:rsidRPr="003B1303" w:rsidR="003B1303">
        <w:rPr>
          <w:lang w:val="fr-FR"/>
        </w:rPr>
        <w:t>’</w:t>
      </w:r>
      <w:r w:rsidRPr="003B1303" w:rsidR="004B3D99">
        <w:rPr>
          <w:lang w:val="fr-FR"/>
        </w:rPr>
        <w:t xml:space="preserve">avoir privé de nourriture et de sommeil en le forçant </w:t>
      </w:r>
      <w:r w:rsidRPr="003B1303" w:rsidR="00241681">
        <w:rPr>
          <w:lang w:val="fr-FR"/>
        </w:rPr>
        <w:t xml:space="preserve">à </w:t>
      </w:r>
      <w:r w:rsidRPr="003B1303" w:rsidR="004B3D99">
        <w:rPr>
          <w:lang w:val="fr-FR"/>
        </w:rPr>
        <w:t>rester debout toute la nuit.</w:t>
      </w:r>
    </w:p>
    <w:bookmarkStart w:name="temTeE" w:id="49"/>
    <w:p w:rsidRPr="003B1303" w:rsidR="00D85EDF" w:rsidP="003B1303" w:rsidRDefault="00D85ED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82</w:t>
      </w:r>
      <w:r w:rsidRPr="003B1303">
        <w:rPr>
          <w:lang w:val="fr-FR"/>
        </w:rPr>
        <w:fldChar w:fldCharType="end"/>
      </w:r>
      <w:bookmarkEnd w:id="49"/>
      <w:r w:rsidRPr="003B1303">
        <w:rPr>
          <w:lang w:val="fr-FR"/>
        </w:rPr>
        <w:t xml:space="preserve">.  Aux audiences des </w:t>
      </w:r>
      <w:r w:rsidRPr="003B1303" w:rsidR="009C7288">
        <w:rPr>
          <w:lang w:val="fr-FR"/>
        </w:rPr>
        <w:t>1</w:t>
      </w:r>
      <w:r w:rsidRPr="003B1303" w:rsidR="009C7288">
        <w:rPr>
          <w:vertAlign w:val="superscript"/>
          <w:lang w:val="fr-FR"/>
        </w:rPr>
        <w:t>er</w:t>
      </w:r>
      <w:r w:rsidRPr="003B1303" w:rsidR="009C7288">
        <w:rPr>
          <w:lang w:val="fr-FR"/>
        </w:rPr>
        <w:t xml:space="preserve"> </w:t>
      </w:r>
      <w:r w:rsidRPr="003B1303">
        <w:rPr>
          <w:lang w:val="fr-FR"/>
        </w:rPr>
        <w:t>et 9 décembre 2010, les témoins T</w:t>
      </w:r>
      <w:r w:rsidRPr="003B1303" w:rsidR="009C7288">
        <w:rPr>
          <w:lang w:val="fr-FR"/>
        </w:rPr>
        <w:t>e</w:t>
      </w:r>
      <w:r w:rsidRPr="003B1303">
        <w:rPr>
          <w:lang w:val="fr-FR"/>
        </w:rPr>
        <w:t xml:space="preserve">. </w:t>
      </w:r>
      <w:proofErr w:type="gramStart"/>
      <w:r w:rsidRPr="003B1303">
        <w:rPr>
          <w:lang w:val="fr-FR"/>
        </w:rPr>
        <w:t>et</w:t>
      </w:r>
      <w:proofErr w:type="gramEnd"/>
      <w:r w:rsidRPr="003B1303">
        <w:rPr>
          <w:lang w:val="fr-FR"/>
        </w:rPr>
        <w:t xml:space="preserve"> E. déclarèrent avoir été présents dans la cellule n</w:t>
      </w:r>
      <w:r w:rsidRPr="003B1303">
        <w:rPr>
          <w:vertAlign w:val="superscript"/>
          <w:lang w:val="fr-FR"/>
        </w:rPr>
        <w:t>o</w:t>
      </w:r>
      <w:r w:rsidRPr="003B1303">
        <w:rPr>
          <w:lang w:val="fr-FR"/>
        </w:rPr>
        <w:t xml:space="preserve"> 643 quand </w:t>
      </w:r>
      <w:proofErr w:type="spellStart"/>
      <w:r w:rsidRPr="003B1303">
        <w:rPr>
          <w:lang w:val="fr-FR"/>
        </w:rPr>
        <w:t>R</w:t>
      </w:r>
      <w:r w:rsidRPr="003B1303" w:rsidR="00845E8A">
        <w:rPr>
          <w:lang w:val="fr-FR"/>
        </w:rPr>
        <w:t>y</w:t>
      </w:r>
      <w:proofErr w:type="spellEnd"/>
      <w:r w:rsidRPr="003B1303">
        <w:rPr>
          <w:lang w:val="fr-FR"/>
        </w:rPr>
        <w:t xml:space="preserve">. </w:t>
      </w:r>
      <w:proofErr w:type="gramStart"/>
      <w:r w:rsidRPr="003B1303">
        <w:rPr>
          <w:lang w:val="fr-FR"/>
        </w:rPr>
        <w:t>et</w:t>
      </w:r>
      <w:proofErr w:type="gramEnd"/>
      <w:r w:rsidRPr="003B1303">
        <w:rPr>
          <w:lang w:val="fr-FR"/>
        </w:rPr>
        <w:t xml:space="preserve"> deux autres codétenus </w:t>
      </w:r>
      <w:r w:rsidRPr="003B1303" w:rsidR="00EC0613">
        <w:rPr>
          <w:lang w:val="fr-FR"/>
        </w:rPr>
        <w:t xml:space="preserve">auraient </w:t>
      </w:r>
      <w:r w:rsidRPr="003B1303" w:rsidR="00957F44">
        <w:rPr>
          <w:lang w:val="fr-FR"/>
        </w:rPr>
        <w:t xml:space="preserve">menacé le </w:t>
      </w:r>
      <w:r w:rsidRPr="003B1303">
        <w:rPr>
          <w:lang w:val="fr-FR"/>
        </w:rPr>
        <w:t>second requérant que son fils et sa femme seraient agressés s</w:t>
      </w:r>
      <w:r w:rsidRPr="003B1303" w:rsidR="003B1303">
        <w:rPr>
          <w:lang w:val="fr-FR"/>
        </w:rPr>
        <w:t>’</w:t>
      </w:r>
      <w:r w:rsidRPr="003B1303">
        <w:rPr>
          <w:lang w:val="fr-FR"/>
        </w:rPr>
        <w:t>il refusait de passer aux aveux</w:t>
      </w:r>
      <w:r w:rsidRPr="003B1303" w:rsidR="00EC0613">
        <w:rPr>
          <w:lang w:val="fr-FR"/>
        </w:rPr>
        <w:t>.</w:t>
      </w:r>
      <w:r w:rsidRPr="003B1303">
        <w:rPr>
          <w:lang w:val="fr-FR"/>
        </w:rPr>
        <w:t xml:space="preserve"> </w:t>
      </w:r>
      <w:r w:rsidRPr="003B1303" w:rsidR="00EC0613">
        <w:rPr>
          <w:lang w:val="fr-FR"/>
        </w:rPr>
        <w:t>I</w:t>
      </w:r>
      <w:r w:rsidRPr="003B1303">
        <w:rPr>
          <w:lang w:val="fr-FR"/>
        </w:rPr>
        <w:t>ls indiquèrent également qu</w:t>
      </w:r>
      <w:r w:rsidRPr="003B1303" w:rsidR="003B1303">
        <w:rPr>
          <w:lang w:val="fr-FR"/>
        </w:rPr>
        <w:t>’</w:t>
      </w:r>
      <w:r w:rsidRPr="003B1303">
        <w:rPr>
          <w:lang w:val="fr-FR"/>
        </w:rPr>
        <w:t xml:space="preserve">ils savaient que </w:t>
      </w:r>
      <w:proofErr w:type="spellStart"/>
      <w:r w:rsidRPr="003B1303">
        <w:rPr>
          <w:lang w:val="fr-FR"/>
        </w:rPr>
        <w:t>Ry</w:t>
      </w:r>
      <w:proofErr w:type="spellEnd"/>
      <w:r w:rsidRPr="003B1303">
        <w:rPr>
          <w:lang w:val="fr-FR"/>
        </w:rPr>
        <w:t xml:space="preserve">. </w:t>
      </w:r>
      <w:proofErr w:type="gramStart"/>
      <w:r w:rsidRPr="003B1303">
        <w:rPr>
          <w:lang w:val="fr-FR"/>
        </w:rPr>
        <w:t>avait</w:t>
      </w:r>
      <w:proofErr w:type="gramEnd"/>
      <w:r w:rsidRPr="003B1303">
        <w:rPr>
          <w:lang w:val="fr-FR"/>
        </w:rPr>
        <w:t xml:space="preserve"> agi sur instruction de l</w:t>
      </w:r>
      <w:r w:rsidRPr="003B1303" w:rsidR="003B1303">
        <w:rPr>
          <w:lang w:val="fr-FR"/>
        </w:rPr>
        <w:t>’</w:t>
      </w:r>
      <w:r w:rsidRPr="003B1303">
        <w:rPr>
          <w:lang w:val="fr-FR"/>
        </w:rPr>
        <w:t>administration de la maison d</w:t>
      </w:r>
      <w:r w:rsidRPr="003B1303" w:rsidR="003B1303">
        <w:rPr>
          <w:lang w:val="fr-FR"/>
        </w:rPr>
        <w:t>’</w:t>
      </w:r>
      <w:r w:rsidRPr="003B1303">
        <w:rPr>
          <w:lang w:val="fr-FR"/>
        </w:rPr>
        <w:t>arrêt</w:t>
      </w:r>
      <w:r w:rsidRPr="003B1303" w:rsidR="00EC0613">
        <w:rPr>
          <w:lang w:val="fr-FR"/>
        </w:rPr>
        <w:t>.</w:t>
      </w:r>
      <w:r w:rsidRPr="003B1303">
        <w:rPr>
          <w:lang w:val="fr-FR"/>
        </w:rPr>
        <w:t xml:space="preserve"> E. ajouta que </w:t>
      </w:r>
      <w:proofErr w:type="spellStart"/>
      <w:r w:rsidRPr="003B1303">
        <w:rPr>
          <w:lang w:val="fr-FR"/>
        </w:rPr>
        <w:t>Ry</w:t>
      </w:r>
      <w:proofErr w:type="spellEnd"/>
      <w:r w:rsidRPr="003B1303">
        <w:rPr>
          <w:lang w:val="fr-FR"/>
        </w:rPr>
        <w:t xml:space="preserve">. </w:t>
      </w:r>
      <w:proofErr w:type="gramStart"/>
      <w:r w:rsidRPr="003B1303">
        <w:rPr>
          <w:lang w:val="fr-FR"/>
        </w:rPr>
        <w:t>avait</w:t>
      </w:r>
      <w:proofErr w:type="gramEnd"/>
      <w:r w:rsidRPr="003B1303">
        <w:rPr>
          <w:lang w:val="fr-FR"/>
        </w:rPr>
        <w:t xml:space="preserve"> menacé le second requérant de représailles si ce dernier </w:t>
      </w:r>
      <w:r w:rsidRPr="003B1303" w:rsidR="00EC0613">
        <w:rPr>
          <w:lang w:val="fr-FR"/>
        </w:rPr>
        <w:t xml:space="preserve">revenait sur </w:t>
      </w:r>
      <w:r w:rsidRPr="003B1303">
        <w:rPr>
          <w:lang w:val="fr-FR"/>
        </w:rPr>
        <w:t>ses aveux.</w:t>
      </w:r>
    </w:p>
    <w:bookmarkStart w:name="temMar" w:id="50"/>
    <w:p w:rsidRPr="003B1303" w:rsidR="00D85EDF" w:rsidP="003B1303" w:rsidRDefault="00C11C2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83</w:t>
      </w:r>
      <w:r w:rsidRPr="003B1303">
        <w:rPr>
          <w:lang w:val="fr-FR"/>
        </w:rPr>
        <w:fldChar w:fldCharType="end"/>
      </w:r>
      <w:bookmarkEnd w:id="50"/>
      <w:r w:rsidRPr="003B1303">
        <w:rPr>
          <w:lang w:val="fr-FR"/>
        </w:rPr>
        <w:t>.  </w:t>
      </w:r>
      <w:r w:rsidRPr="003B1303" w:rsidR="00497C2C">
        <w:rPr>
          <w:lang w:val="fr-FR"/>
        </w:rPr>
        <w:t>À l</w:t>
      </w:r>
      <w:r w:rsidRPr="003B1303" w:rsidR="003B1303">
        <w:rPr>
          <w:lang w:val="fr-FR"/>
        </w:rPr>
        <w:t>’</w:t>
      </w:r>
      <w:r w:rsidRPr="003B1303" w:rsidR="00497C2C">
        <w:rPr>
          <w:lang w:val="fr-FR"/>
        </w:rPr>
        <w:t>audience du 13 décembre 2010, M</w:t>
      </w:r>
      <w:r w:rsidRPr="003B1303" w:rsidR="002C13C4">
        <w:rPr>
          <w:lang w:val="fr-FR"/>
        </w:rPr>
        <w:t>ar</w:t>
      </w:r>
      <w:r w:rsidRPr="003B1303" w:rsidR="00497C2C">
        <w:rPr>
          <w:lang w:val="fr-FR"/>
        </w:rPr>
        <w:t>. déclar</w:t>
      </w:r>
      <w:r w:rsidRPr="003B1303" w:rsidR="00A159A1">
        <w:rPr>
          <w:lang w:val="fr-FR"/>
        </w:rPr>
        <w:t>a</w:t>
      </w:r>
      <w:r w:rsidRPr="003B1303" w:rsidR="00497C2C">
        <w:rPr>
          <w:lang w:val="fr-FR"/>
        </w:rPr>
        <w:t xml:space="preserve"> </w:t>
      </w:r>
      <w:r w:rsidRPr="003B1303" w:rsidR="00A159A1">
        <w:rPr>
          <w:lang w:val="fr-FR"/>
        </w:rPr>
        <w:t>avoir été témoin</w:t>
      </w:r>
      <w:r w:rsidRPr="003B1303" w:rsidR="00497C2C">
        <w:rPr>
          <w:lang w:val="fr-FR"/>
        </w:rPr>
        <w:t xml:space="preserve"> de la tentative de viol du second requérant par trois codétenus, dont </w:t>
      </w:r>
      <w:proofErr w:type="spellStart"/>
      <w:r w:rsidRPr="003B1303" w:rsidR="00497C2C">
        <w:rPr>
          <w:lang w:val="fr-FR"/>
        </w:rPr>
        <w:t>Ry</w:t>
      </w:r>
      <w:proofErr w:type="spellEnd"/>
      <w:r w:rsidRPr="003B1303" w:rsidR="00497C2C">
        <w:rPr>
          <w:lang w:val="fr-FR"/>
        </w:rPr>
        <w:t>., dans la cellule n</w:t>
      </w:r>
      <w:r w:rsidRPr="003B1303" w:rsidR="00497C2C">
        <w:rPr>
          <w:vertAlign w:val="superscript"/>
          <w:lang w:val="fr-FR"/>
        </w:rPr>
        <w:t>o</w:t>
      </w:r>
      <w:r w:rsidRPr="003B1303" w:rsidR="00A159A1">
        <w:rPr>
          <w:lang w:val="fr-FR"/>
        </w:rPr>
        <w:t> 643 en avril 2008.</w:t>
      </w:r>
    </w:p>
    <w:p w:rsidRPr="003B1303" w:rsidR="00D85EDF" w:rsidP="003B1303" w:rsidRDefault="00844E08">
      <w:pPr>
        <w:pStyle w:val="ECHRHeading5"/>
        <w:rPr>
          <w:lang w:val="fr-FR"/>
        </w:rPr>
      </w:pPr>
      <w:r w:rsidRPr="003B1303">
        <w:rPr>
          <w:lang w:val="fr-FR"/>
        </w:rPr>
        <w:t>iii.</w:t>
      </w:r>
      <w:r w:rsidRPr="003B1303" w:rsidR="00DF7020">
        <w:rPr>
          <w:lang w:val="fr-FR"/>
        </w:rPr>
        <w:t>  </w:t>
      </w:r>
      <w:r w:rsidRPr="003B1303" w:rsidR="00D85EDF">
        <w:rPr>
          <w:lang w:val="fr-FR"/>
        </w:rPr>
        <w:t>Les déclarations d</w:t>
      </w:r>
      <w:r w:rsidRPr="003B1303" w:rsidR="001740FA">
        <w:rPr>
          <w:lang w:val="fr-FR"/>
        </w:rPr>
        <w:t xml:space="preserve">es </w:t>
      </w:r>
      <w:r w:rsidRPr="003B1303" w:rsidR="00D85EDF">
        <w:rPr>
          <w:lang w:val="fr-FR"/>
        </w:rPr>
        <w:t>enquêteurs et d</w:t>
      </w:r>
      <w:r w:rsidRPr="003B1303" w:rsidR="001740FA">
        <w:rPr>
          <w:lang w:val="fr-FR"/>
        </w:rPr>
        <w:t xml:space="preserve">es </w:t>
      </w:r>
      <w:r w:rsidRPr="003B1303" w:rsidR="00D85EDF">
        <w:rPr>
          <w:lang w:val="fr-FR"/>
        </w:rPr>
        <w:t>officiers de police</w:t>
      </w:r>
    </w:p>
    <w:bookmarkStart w:name="temofpol" w:id="51"/>
    <w:p w:rsidRPr="003B1303" w:rsidR="00BE4C83" w:rsidP="003B1303" w:rsidRDefault="00C654DC">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84</w:t>
      </w:r>
      <w:r w:rsidRPr="003B1303">
        <w:rPr>
          <w:lang w:val="fr-FR"/>
        </w:rPr>
        <w:fldChar w:fldCharType="end"/>
      </w:r>
      <w:bookmarkEnd w:id="51"/>
      <w:r w:rsidRPr="003B1303">
        <w:rPr>
          <w:lang w:val="fr-FR"/>
        </w:rPr>
        <w:t>.  </w:t>
      </w:r>
      <w:r w:rsidRPr="003B1303" w:rsidR="00555F67">
        <w:rPr>
          <w:lang w:val="fr-FR"/>
        </w:rPr>
        <w:t>Aux</w:t>
      </w:r>
      <w:r w:rsidRPr="003B1303" w:rsidR="004A4174">
        <w:rPr>
          <w:lang w:val="fr-FR"/>
        </w:rPr>
        <w:t xml:space="preserve"> audience</w:t>
      </w:r>
      <w:r w:rsidRPr="003B1303" w:rsidR="00555F67">
        <w:rPr>
          <w:lang w:val="fr-FR"/>
        </w:rPr>
        <w:t>s</w:t>
      </w:r>
      <w:r w:rsidRPr="003B1303" w:rsidR="004A4174">
        <w:rPr>
          <w:lang w:val="fr-FR"/>
        </w:rPr>
        <w:t xml:space="preserve"> d</w:t>
      </w:r>
      <w:r w:rsidRPr="003B1303" w:rsidR="00555F67">
        <w:rPr>
          <w:lang w:val="fr-FR"/>
        </w:rPr>
        <w:t xml:space="preserve">es </w:t>
      </w:r>
      <w:r w:rsidRPr="003B1303" w:rsidR="004A4174">
        <w:rPr>
          <w:lang w:val="fr-FR"/>
        </w:rPr>
        <w:t>3</w:t>
      </w:r>
      <w:r w:rsidRPr="003B1303" w:rsidR="009C73B8">
        <w:rPr>
          <w:lang w:val="fr-FR"/>
        </w:rPr>
        <w:t>,</w:t>
      </w:r>
      <w:r w:rsidRPr="003B1303" w:rsidR="00555F67">
        <w:rPr>
          <w:lang w:val="fr-FR"/>
        </w:rPr>
        <w:t xml:space="preserve"> 6</w:t>
      </w:r>
      <w:r w:rsidRPr="003B1303" w:rsidR="004B3D99">
        <w:rPr>
          <w:lang w:val="fr-FR"/>
        </w:rPr>
        <w:t xml:space="preserve"> et</w:t>
      </w:r>
      <w:r w:rsidRPr="003B1303" w:rsidR="009C73B8">
        <w:rPr>
          <w:lang w:val="fr-FR"/>
        </w:rPr>
        <w:t xml:space="preserve"> 7</w:t>
      </w:r>
      <w:r w:rsidRPr="003B1303" w:rsidR="00555F67">
        <w:rPr>
          <w:lang w:val="fr-FR"/>
        </w:rPr>
        <w:t xml:space="preserve"> </w:t>
      </w:r>
      <w:r w:rsidRPr="003B1303" w:rsidR="004A4174">
        <w:rPr>
          <w:lang w:val="fr-FR"/>
        </w:rPr>
        <w:t>décembre 2010, la cour régionale</w:t>
      </w:r>
      <w:r w:rsidRPr="003B1303">
        <w:rPr>
          <w:lang w:val="fr-FR"/>
        </w:rPr>
        <w:t xml:space="preserve"> entendit les enquêteurs M., B. et S</w:t>
      </w:r>
      <w:r w:rsidRPr="003B1303" w:rsidR="00831248">
        <w:rPr>
          <w:lang w:val="fr-FR"/>
        </w:rPr>
        <w:t>e</w:t>
      </w:r>
      <w:r w:rsidRPr="003B1303">
        <w:rPr>
          <w:lang w:val="fr-FR"/>
        </w:rPr>
        <w:t>., chargés de l</w:t>
      </w:r>
      <w:r w:rsidRPr="003B1303" w:rsidR="003B1303">
        <w:rPr>
          <w:lang w:val="fr-FR"/>
        </w:rPr>
        <w:t>’</w:t>
      </w:r>
      <w:r w:rsidRPr="003B1303">
        <w:rPr>
          <w:lang w:val="fr-FR"/>
        </w:rPr>
        <w:t>affaire pénale dirigée contre les accusés, ainsi que les officiers de police Ch</w:t>
      </w:r>
      <w:r w:rsidRPr="003B1303" w:rsidR="000466E9">
        <w:rPr>
          <w:lang w:val="fr-FR"/>
        </w:rPr>
        <w:t>e</w:t>
      </w:r>
      <w:r w:rsidRPr="003B1303">
        <w:rPr>
          <w:lang w:val="fr-FR"/>
        </w:rPr>
        <w:t>., T</w:t>
      </w:r>
      <w:r w:rsidRPr="003B1303" w:rsidR="000466E9">
        <w:rPr>
          <w:lang w:val="fr-FR"/>
        </w:rPr>
        <w:t>i</w:t>
      </w:r>
      <w:r w:rsidRPr="003B1303">
        <w:rPr>
          <w:lang w:val="fr-FR"/>
        </w:rPr>
        <w:t xml:space="preserve">. </w:t>
      </w:r>
      <w:proofErr w:type="gramStart"/>
      <w:r w:rsidRPr="003B1303">
        <w:rPr>
          <w:lang w:val="fr-FR"/>
        </w:rPr>
        <w:t>et</w:t>
      </w:r>
      <w:proofErr w:type="gramEnd"/>
      <w:r w:rsidRPr="003B1303">
        <w:rPr>
          <w:lang w:val="fr-FR"/>
        </w:rPr>
        <w:t xml:space="preserve"> Te., qui nièrent tous avoir fait pression sur le</w:t>
      </w:r>
      <w:r w:rsidRPr="003B1303" w:rsidR="004B3D99">
        <w:rPr>
          <w:lang w:val="fr-FR"/>
        </w:rPr>
        <w:t>s</w:t>
      </w:r>
      <w:r w:rsidRPr="003B1303">
        <w:rPr>
          <w:lang w:val="fr-FR"/>
        </w:rPr>
        <w:t xml:space="preserve"> requérant</w:t>
      </w:r>
      <w:r w:rsidRPr="003B1303" w:rsidR="004B3D99">
        <w:rPr>
          <w:lang w:val="fr-FR"/>
        </w:rPr>
        <w:t>s</w:t>
      </w:r>
      <w:r w:rsidRPr="003B1303">
        <w:rPr>
          <w:lang w:val="fr-FR"/>
        </w:rPr>
        <w:t xml:space="preserve"> lors des investigations préliminaires. </w:t>
      </w:r>
      <w:r w:rsidRPr="003B1303" w:rsidR="00555F67">
        <w:rPr>
          <w:lang w:val="fr-FR"/>
        </w:rPr>
        <w:t>L</w:t>
      </w:r>
      <w:r w:rsidRPr="003B1303" w:rsidR="003B1303">
        <w:rPr>
          <w:lang w:val="fr-FR"/>
        </w:rPr>
        <w:t>’</w:t>
      </w:r>
      <w:r w:rsidRPr="003B1303">
        <w:rPr>
          <w:lang w:val="fr-FR"/>
        </w:rPr>
        <w:t xml:space="preserve">enquêteur B. déclara </w:t>
      </w:r>
      <w:r w:rsidRPr="003B1303" w:rsidR="00555F67">
        <w:rPr>
          <w:lang w:val="fr-FR"/>
        </w:rPr>
        <w:t xml:space="preserve">en outre </w:t>
      </w:r>
      <w:r w:rsidRPr="003B1303">
        <w:rPr>
          <w:lang w:val="fr-FR"/>
        </w:rPr>
        <w:t>qu</w:t>
      </w:r>
      <w:r w:rsidRPr="003B1303" w:rsidR="003B1303">
        <w:rPr>
          <w:lang w:val="fr-FR"/>
        </w:rPr>
        <w:t>’</w:t>
      </w:r>
      <w:r w:rsidRPr="003B1303">
        <w:rPr>
          <w:lang w:val="fr-FR"/>
        </w:rPr>
        <w:t>il n</w:t>
      </w:r>
      <w:r w:rsidRPr="003B1303" w:rsidR="003B1303">
        <w:rPr>
          <w:lang w:val="fr-FR"/>
        </w:rPr>
        <w:t>’</w:t>
      </w:r>
      <w:r w:rsidRPr="003B1303">
        <w:rPr>
          <w:lang w:val="fr-FR"/>
        </w:rPr>
        <w:t>avait pas informé l</w:t>
      </w:r>
      <w:r w:rsidRPr="003B1303" w:rsidR="003B1303">
        <w:rPr>
          <w:lang w:val="fr-FR"/>
        </w:rPr>
        <w:t>’</w:t>
      </w:r>
      <w:r w:rsidRPr="003B1303">
        <w:rPr>
          <w:lang w:val="fr-FR"/>
        </w:rPr>
        <w:t xml:space="preserve">avocate </w:t>
      </w:r>
      <w:proofErr w:type="spellStart"/>
      <w:r w:rsidRPr="003B1303">
        <w:rPr>
          <w:lang w:val="fr-FR"/>
        </w:rPr>
        <w:t>Ye</w:t>
      </w:r>
      <w:proofErr w:type="spellEnd"/>
      <w:r w:rsidRPr="003B1303">
        <w:rPr>
          <w:lang w:val="fr-FR"/>
        </w:rPr>
        <w:t xml:space="preserve">. </w:t>
      </w:r>
      <w:proofErr w:type="gramStart"/>
      <w:r w:rsidRPr="003B1303">
        <w:rPr>
          <w:lang w:val="fr-FR"/>
        </w:rPr>
        <w:t>de</w:t>
      </w:r>
      <w:proofErr w:type="gramEnd"/>
      <w:r w:rsidRPr="003B1303">
        <w:rPr>
          <w:lang w:val="fr-FR"/>
        </w:rPr>
        <w:t xml:space="preserve"> la tenue, le 15 avril 2008, de l</w:t>
      </w:r>
      <w:r w:rsidRPr="003B1303" w:rsidR="003B1303">
        <w:rPr>
          <w:lang w:val="fr-FR"/>
        </w:rPr>
        <w:t>’</w:t>
      </w:r>
      <w:r w:rsidRPr="003B1303">
        <w:rPr>
          <w:lang w:val="fr-FR"/>
        </w:rPr>
        <w:t>interrogatoire du premier requérant.</w:t>
      </w:r>
    </w:p>
    <w:p w:rsidRPr="003B1303" w:rsidR="00844E08" w:rsidP="003B1303" w:rsidRDefault="00844E08">
      <w:pPr>
        <w:pStyle w:val="ECHRHeading5"/>
        <w:rPr>
          <w:lang w:val="fr-FR"/>
        </w:rPr>
      </w:pPr>
      <w:r w:rsidRPr="003B1303">
        <w:rPr>
          <w:lang w:val="fr-FR"/>
        </w:rPr>
        <w:t xml:space="preserve">iv.  Autres éléments </w:t>
      </w:r>
      <w:r w:rsidRPr="003B1303" w:rsidR="00037A0F">
        <w:rPr>
          <w:lang w:val="fr-FR"/>
        </w:rPr>
        <w:t xml:space="preserve">pertinents </w:t>
      </w:r>
      <w:r w:rsidRPr="003B1303">
        <w:rPr>
          <w:lang w:val="fr-FR"/>
        </w:rPr>
        <w:t>examinés</w:t>
      </w:r>
    </w:p>
    <w:bookmarkStart w:name="elemadm1" w:id="52"/>
    <w:p w:rsidRPr="003B1303" w:rsidR="00BE4C83" w:rsidP="003B1303" w:rsidRDefault="00844E0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85</w:t>
      </w:r>
      <w:r w:rsidRPr="003B1303">
        <w:rPr>
          <w:lang w:val="fr-FR"/>
        </w:rPr>
        <w:fldChar w:fldCharType="end"/>
      </w:r>
      <w:bookmarkEnd w:id="52"/>
      <w:r w:rsidRPr="003B1303">
        <w:rPr>
          <w:lang w:val="fr-FR"/>
        </w:rPr>
        <w:t>.  Lors de l</w:t>
      </w:r>
      <w:r w:rsidRPr="003B1303" w:rsidR="003B1303">
        <w:rPr>
          <w:lang w:val="fr-FR"/>
        </w:rPr>
        <w:t>’</w:t>
      </w:r>
      <w:r w:rsidRPr="003B1303">
        <w:rPr>
          <w:lang w:val="fr-FR"/>
        </w:rPr>
        <w:t xml:space="preserve">audience du 30 novembre 2010, </w:t>
      </w:r>
      <w:r w:rsidRPr="003B1303" w:rsidR="00845E8A">
        <w:rPr>
          <w:lang w:val="fr-FR"/>
        </w:rPr>
        <w:t>la juge</w:t>
      </w:r>
      <w:r w:rsidRPr="003B1303">
        <w:rPr>
          <w:lang w:val="fr-FR"/>
        </w:rPr>
        <w:t xml:space="preserve"> examina, à la demande de l</w:t>
      </w:r>
      <w:r w:rsidRPr="003B1303" w:rsidR="003B1303">
        <w:rPr>
          <w:lang w:val="fr-FR"/>
        </w:rPr>
        <w:t>’</w:t>
      </w:r>
      <w:r w:rsidRPr="003B1303">
        <w:rPr>
          <w:lang w:val="fr-FR"/>
        </w:rPr>
        <w:t>accusation</w:t>
      </w:r>
      <w:r w:rsidRPr="003B1303" w:rsidR="00037A0F">
        <w:rPr>
          <w:lang w:val="fr-FR"/>
        </w:rPr>
        <w:t xml:space="preserve"> et malgré l</w:t>
      </w:r>
      <w:r w:rsidRPr="003B1303" w:rsidR="003B1303">
        <w:rPr>
          <w:lang w:val="fr-FR"/>
        </w:rPr>
        <w:t>’</w:t>
      </w:r>
      <w:r w:rsidRPr="003B1303" w:rsidR="00037A0F">
        <w:rPr>
          <w:lang w:val="fr-FR"/>
        </w:rPr>
        <w:t>objection du premier requérant</w:t>
      </w:r>
      <w:r w:rsidRPr="003B1303">
        <w:rPr>
          <w:lang w:val="fr-FR"/>
        </w:rPr>
        <w:t>, un rapport d</w:t>
      </w:r>
      <w:r w:rsidRPr="003B1303" w:rsidR="003B1303">
        <w:rPr>
          <w:lang w:val="fr-FR"/>
        </w:rPr>
        <w:t>’</w:t>
      </w:r>
      <w:r w:rsidRPr="003B1303">
        <w:rPr>
          <w:lang w:val="fr-FR"/>
        </w:rPr>
        <w:t>expertise psychologique établi le 19 octobre 2008 et dont l</w:t>
      </w:r>
      <w:r w:rsidRPr="003B1303" w:rsidR="003B1303">
        <w:rPr>
          <w:lang w:val="fr-FR"/>
        </w:rPr>
        <w:t>’</w:t>
      </w:r>
      <w:r w:rsidRPr="003B1303">
        <w:rPr>
          <w:lang w:val="fr-FR"/>
        </w:rPr>
        <w:t>objet était la description de l</w:t>
      </w:r>
      <w:r w:rsidRPr="003B1303" w:rsidR="003B1303">
        <w:rPr>
          <w:lang w:val="fr-FR"/>
        </w:rPr>
        <w:t>’</w:t>
      </w:r>
      <w:r w:rsidRPr="003B1303">
        <w:rPr>
          <w:lang w:val="fr-FR"/>
        </w:rPr>
        <w:t>état psychologique du premier requérant lors de l</w:t>
      </w:r>
      <w:r w:rsidRPr="003B1303" w:rsidR="003B1303">
        <w:rPr>
          <w:lang w:val="fr-FR"/>
        </w:rPr>
        <w:t>’</w:t>
      </w:r>
      <w:r w:rsidRPr="003B1303">
        <w:rPr>
          <w:lang w:val="fr-FR"/>
        </w:rPr>
        <w:t xml:space="preserve">interrogatoire du 15 avril 2008. </w:t>
      </w:r>
      <w:r w:rsidRPr="003B1303" w:rsidR="00037A0F">
        <w:rPr>
          <w:lang w:val="fr-FR"/>
        </w:rPr>
        <w:t>La demande du premier requérant tendant à faire interroger l</w:t>
      </w:r>
      <w:r w:rsidRPr="003B1303" w:rsidR="003B1303">
        <w:rPr>
          <w:lang w:val="fr-FR"/>
        </w:rPr>
        <w:t>’</w:t>
      </w:r>
      <w:r w:rsidRPr="003B1303" w:rsidR="00037A0F">
        <w:rPr>
          <w:lang w:val="fr-FR"/>
        </w:rPr>
        <w:t xml:space="preserve">expert </w:t>
      </w:r>
      <w:r w:rsidRPr="003B1303" w:rsidR="00957F44">
        <w:rPr>
          <w:lang w:val="fr-FR"/>
        </w:rPr>
        <w:t>au cours de l</w:t>
      </w:r>
      <w:r w:rsidRPr="003B1303" w:rsidR="003B1303">
        <w:rPr>
          <w:lang w:val="fr-FR"/>
        </w:rPr>
        <w:t>’</w:t>
      </w:r>
      <w:r w:rsidRPr="003B1303" w:rsidR="00037A0F">
        <w:rPr>
          <w:lang w:val="fr-FR"/>
        </w:rPr>
        <w:t xml:space="preserve">audience fut rejetée par </w:t>
      </w:r>
      <w:r w:rsidRPr="003B1303" w:rsidR="00845E8A">
        <w:rPr>
          <w:lang w:val="fr-FR"/>
        </w:rPr>
        <w:t>la juge</w:t>
      </w:r>
      <w:r w:rsidRPr="003B1303" w:rsidR="00037A0F">
        <w:rPr>
          <w:lang w:val="fr-FR"/>
        </w:rPr>
        <w:t>.</w:t>
      </w:r>
    </w:p>
    <w:bookmarkStart w:name="elemadm2" w:id="53"/>
    <w:p w:rsidRPr="003B1303" w:rsidR="009C7288" w:rsidP="003B1303" w:rsidRDefault="009C728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86</w:t>
      </w:r>
      <w:r w:rsidRPr="003B1303">
        <w:rPr>
          <w:lang w:val="fr-FR"/>
        </w:rPr>
        <w:fldChar w:fldCharType="end"/>
      </w:r>
      <w:bookmarkEnd w:id="53"/>
      <w:r w:rsidRPr="003B1303">
        <w:rPr>
          <w:lang w:val="fr-FR"/>
        </w:rPr>
        <w:t>.  </w:t>
      </w:r>
      <w:r w:rsidRPr="003B1303" w:rsidR="00B16D70">
        <w:rPr>
          <w:lang w:val="fr-FR"/>
        </w:rPr>
        <w:t xml:space="preserve">À </w:t>
      </w:r>
      <w:r w:rsidRPr="003B1303">
        <w:rPr>
          <w:lang w:val="fr-FR"/>
        </w:rPr>
        <w:t>l</w:t>
      </w:r>
      <w:r w:rsidRPr="003B1303" w:rsidR="003B1303">
        <w:rPr>
          <w:lang w:val="fr-FR"/>
        </w:rPr>
        <w:t>’</w:t>
      </w:r>
      <w:r w:rsidRPr="003B1303">
        <w:rPr>
          <w:lang w:val="fr-FR"/>
        </w:rPr>
        <w:t>audience du 1</w:t>
      </w:r>
      <w:r w:rsidRPr="003B1303">
        <w:rPr>
          <w:vertAlign w:val="superscript"/>
          <w:lang w:val="fr-FR"/>
        </w:rPr>
        <w:t>er</w:t>
      </w:r>
      <w:r w:rsidRPr="003B1303">
        <w:rPr>
          <w:lang w:val="fr-FR"/>
        </w:rPr>
        <w:t xml:space="preserve"> décembre 2010, </w:t>
      </w:r>
      <w:r w:rsidRPr="003B1303" w:rsidR="00845E8A">
        <w:rPr>
          <w:lang w:val="fr-FR"/>
        </w:rPr>
        <w:t>la juge</w:t>
      </w:r>
      <w:r w:rsidRPr="003B1303">
        <w:rPr>
          <w:lang w:val="fr-FR"/>
        </w:rPr>
        <w:t xml:space="preserve"> examina l</w:t>
      </w:r>
      <w:r w:rsidRPr="003B1303" w:rsidR="00B16D70">
        <w:rPr>
          <w:lang w:val="fr-FR"/>
        </w:rPr>
        <w:t xml:space="preserve">es </w:t>
      </w:r>
      <w:r w:rsidRPr="003B1303">
        <w:rPr>
          <w:lang w:val="fr-FR"/>
        </w:rPr>
        <w:t>décision</w:t>
      </w:r>
      <w:r w:rsidRPr="003B1303" w:rsidR="00B16D70">
        <w:rPr>
          <w:lang w:val="fr-FR"/>
        </w:rPr>
        <w:t>s</w:t>
      </w:r>
      <w:r w:rsidRPr="003B1303">
        <w:rPr>
          <w:lang w:val="fr-FR"/>
        </w:rPr>
        <w:t xml:space="preserve"> </w:t>
      </w:r>
      <w:r w:rsidRPr="003B1303" w:rsidR="00B16D70">
        <w:rPr>
          <w:lang w:val="fr-FR"/>
        </w:rPr>
        <w:t>par lesquelles le comité d</w:t>
      </w:r>
      <w:r w:rsidRPr="003B1303" w:rsidR="003B1303">
        <w:rPr>
          <w:lang w:val="fr-FR"/>
        </w:rPr>
        <w:t>’</w:t>
      </w:r>
      <w:r w:rsidRPr="003B1303" w:rsidR="00B16D70">
        <w:rPr>
          <w:lang w:val="fr-FR"/>
        </w:rPr>
        <w:t>instruction du service du procureur de la région d</w:t>
      </w:r>
      <w:r w:rsidRPr="003B1303" w:rsidR="003B1303">
        <w:rPr>
          <w:lang w:val="fr-FR"/>
        </w:rPr>
        <w:t>’</w:t>
      </w:r>
      <w:r w:rsidRPr="003B1303" w:rsidR="00B16D70">
        <w:rPr>
          <w:lang w:val="fr-FR"/>
        </w:rPr>
        <w:t>Irkoutsk avait refusé</w:t>
      </w:r>
      <w:r w:rsidRPr="003B1303">
        <w:rPr>
          <w:lang w:val="fr-FR"/>
        </w:rPr>
        <w:t xml:space="preserve"> d</w:t>
      </w:r>
      <w:r w:rsidRPr="003B1303" w:rsidR="003B1303">
        <w:rPr>
          <w:lang w:val="fr-FR"/>
        </w:rPr>
        <w:t>’</w:t>
      </w:r>
      <w:r w:rsidRPr="003B1303">
        <w:rPr>
          <w:lang w:val="fr-FR"/>
        </w:rPr>
        <w:t xml:space="preserve">ouvrir une enquête pénale </w:t>
      </w:r>
      <w:r w:rsidRPr="003B1303" w:rsidR="00B16D70">
        <w:rPr>
          <w:lang w:val="fr-FR"/>
        </w:rPr>
        <w:t xml:space="preserve">sur les plaintes de mauvais traitements </w:t>
      </w:r>
      <w:r w:rsidRPr="003B1303" w:rsidR="001740FA">
        <w:rPr>
          <w:lang w:val="fr-FR"/>
        </w:rPr>
        <w:t>formulées par l</w:t>
      </w:r>
      <w:r w:rsidRPr="003B1303" w:rsidR="00B16D70">
        <w:rPr>
          <w:lang w:val="fr-FR"/>
        </w:rPr>
        <w:t xml:space="preserve">es requérants, à savoir celle du 28 juin 2008 en ce qui concerne le </w:t>
      </w:r>
      <w:r w:rsidRPr="003B1303" w:rsidR="00BA7FA0">
        <w:rPr>
          <w:lang w:val="fr-FR"/>
        </w:rPr>
        <w:t>premier requérant</w:t>
      </w:r>
      <w:r w:rsidRPr="003B1303" w:rsidR="00B16D70">
        <w:rPr>
          <w:lang w:val="fr-FR"/>
        </w:rPr>
        <w:t xml:space="preserve"> </w:t>
      </w:r>
      <w:r w:rsidRPr="003B1303" w:rsidR="00BA7FA0">
        <w:rPr>
          <w:lang w:val="fr-FR"/>
        </w:rPr>
        <w:t>et celle</w:t>
      </w:r>
      <w:r w:rsidRPr="003B1303" w:rsidR="004E2FBD">
        <w:rPr>
          <w:lang w:val="fr-FR"/>
        </w:rPr>
        <w:t>s</w:t>
      </w:r>
      <w:r w:rsidRPr="003B1303" w:rsidR="00BA7FA0">
        <w:rPr>
          <w:lang w:val="fr-FR"/>
        </w:rPr>
        <w:t xml:space="preserve"> </w:t>
      </w:r>
      <w:r w:rsidRPr="003B1303" w:rsidR="004A4174">
        <w:rPr>
          <w:lang w:val="fr-FR"/>
        </w:rPr>
        <w:t>du 20 mai 2008 et</w:t>
      </w:r>
      <w:r w:rsidRPr="003B1303" w:rsidR="004E2FBD">
        <w:rPr>
          <w:lang w:val="fr-FR"/>
        </w:rPr>
        <w:t xml:space="preserve"> </w:t>
      </w:r>
      <w:r w:rsidRPr="003B1303" w:rsidR="00B16D70">
        <w:rPr>
          <w:lang w:val="fr-FR"/>
        </w:rPr>
        <w:t>du 24 janvier 2010</w:t>
      </w:r>
      <w:r w:rsidRPr="003B1303" w:rsidR="00BA7FA0">
        <w:rPr>
          <w:lang w:val="fr-FR"/>
        </w:rPr>
        <w:t xml:space="preserve"> en ce qui concerne le second</w:t>
      </w:r>
      <w:r w:rsidRPr="003B1303" w:rsidR="001740FA">
        <w:rPr>
          <w:lang w:val="fr-FR"/>
        </w:rPr>
        <w:t xml:space="preserve"> requérant</w:t>
      </w:r>
      <w:r w:rsidRPr="003B1303" w:rsidR="00BA7FA0">
        <w:rPr>
          <w:lang w:val="fr-FR"/>
        </w:rPr>
        <w:t>.</w:t>
      </w:r>
    </w:p>
    <w:p w:rsidRPr="003B1303" w:rsidR="00C654DC" w:rsidP="003B1303" w:rsidRDefault="00EC1175">
      <w:pPr>
        <w:pStyle w:val="ECHRHeading3"/>
        <w:rPr>
          <w:lang w:val="fr-FR"/>
        </w:rPr>
      </w:pPr>
      <w:r w:rsidRPr="003B1303">
        <w:rPr>
          <w:lang w:val="fr-FR"/>
        </w:rPr>
        <w:t>3</w:t>
      </w:r>
      <w:r w:rsidRPr="003B1303" w:rsidR="00DF7020">
        <w:rPr>
          <w:lang w:val="fr-FR"/>
        </w:rPr>
        <w:t>.  </w:t>
      </w:r>
      <w:r w:rsidRPr="003B1303" w:rsidR="00C654DC">
        <w:rPr>
          <w:lang w:val="fr-FR"/>
        </w:rPr>
        <w:t>L</w:t>
      </w:r>
      <w:r w:rsidRPr="003B1303" w:rsidR="003B1303">
        <w:rPr>
          <w:lang w:val="fr-FR"/>
        </w:rPr>
        <w:t>’</w:t>
      </w:r>
      <w:r w:rsidRPr="003B1303" w:rsidR="00C654DC">
        <w:rPr>
          <w:lang w:val="fr-FR"/>
        </w:rPr>
        <w:t>ordonnance de procédure du 27 janvier 2011</w:t>
      </w:r>
    </w:p>
    <w:p w:rsidRPr="003B1303" w:rsidR="00BA5605" w:rsidP="003B1303" w:rsidRDefault="00BA560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87</w:t>
      </w:r>
      <w:r w:rsidRPr="003B1303">
        <w:rPr>
          <w:lang w:val="fr-FR"/>
        </w:rPr>
        <w:fldChar w:fldCharType="end"/>
      </w:r>
      <w:r w:rsidRPr="003B1303">
        <w:rPr>
          <w:lang w:val="fr-FR"/>
        </w:rPr>
        <w:t>.  </w:t>
      </w:r>
      <w:r w:rsidRPr="003B1303" w:rsidR="004C2AFD">
        <w:rPr>
          <w:lang w:val="fr-FR"/>
        </w:rPr>
        <w:t>P</w:t>
      </w:r>
      <w:r w:rsidRPr="003B1303" w:rsidR="001F72B2">
        <w:rPr>
          <w:lang w:val="fr-FR"/>
        </w:rPr>
        <w:t xml:space="preserve">ar une ordonnance de </w:t>
      </w:r>
      <w:r w:rsidRPr="003B1303">
        <w:rPr>
          <w:lang w:val="fr-FR"/>
        </w:rPr>
        <w:t xml:space="preserve">procédure du 27 janvier 2011, </w:t>
      </w:r>
      <w:r w:rsidRPr="003B1303" w:rsidR="00845E8A">
        <w:rPr>
          <w:lang w:val="fr-FR"/>
        </w:rPr>
        <w:t>la juge</w:t>
      </w:r>
      <w:r w:rsidRPr="003B1303">
        <w:rPr>
          <w:lang w:val="fr-FR"/>
        </w:rPr>
        <w:t xml:space="preserve"> </w:t>
      </w:r>
      <w:r w:rsidRPr="003B1303" w:rsidR="00E479D2">
        <w:rPr>
          <w:lang w:val="fr-FR"/>
        </w:rPr>
        <w:t xml:space="preserve">de la cour régionale </w:t>
      </w:r>
      <w:r w:rsidRPr="003B1303" w:rsidR="001F72B2">
        <w:rPr>
          <w:lang w:val="fr-FR"/>
        </w:rPr>
        <w:t>rejet</w:t>
      </w:r>
      <w:r w:rsidRPr="003B1303" w:rsidR="004A4174">
        <w:rPr>
          <w:lang w:val="fr-FR"/>
        </w:rPr>
        <w:t>a</w:t>
      </w:r>
      <w:r w:rsidRPr="003B1303" w:rsidR="001F72B2">
        <w:rPr>
          <w:lang w:val="fr-FR"/>
        </w:rPr>
        <w:t xml:space="preserve"> l</w:t>
      </w:r>
      <w:r w:rsidRPr="003B1303" w:rsidR="004C2AFD">
        <w:rPr>
          <w:lang w:val="fr-FR"/>
        </w:rPr>
        <w:t>es</w:t>
      </w:r>
      <w:r w:rsidRPr="003B1303" w:rsidR="001F72B2">
        <w:rPr>
          <w:lang w:val="fr-FR"/>
        </w:rPr>
        <w:t xml:space="preserve"> demande</w:t>
      </w:r>
      <w:r w:rsidRPr="003B1303">
        <w:rPr>
          <w:lang w:val="fr-FR"/>
        </w:rPr>
        <w:t>s</w:t>
      </w:r>
      <w:r w:rsidRPr="003B1303" w:rsidR="001F72B2">
        <w:rPr>
          <w:lang w:val="fr-FR"/>
        </w:rPr>
        <w:t xml:space="preserve"> </w:t>
      </w:r>
      <w:r w:rsidRPr="003B1303" w:rsidR="003969A6">
        <w:rPr>
          <w:lang w:val="fr-FR"/>
        </w:rPr>
        <w:t>des</w:t>
      </w:r>
      <w:r w:rsidRPr="003B1303" w:rsidR="004C2AFD">
        <w:rPr>
          <w:lang w:val="fr-FR"/>
        </w:rPr>
        <w:t xml:space="preserve"> </w:t>
      </w:r>
      <w:r w:rsidRPr="003B1303" w:rsidR="001F72B2">
        <w:rPr>
          <w:lang w:val="fr-FR"/>
        </w:rPr>
        <w:t>requérant</w:t>
      </w:r>
      <w:r w:rsidRPr="003B1303" w:rsidR="003969A6">
        <w:rPr>
          <w:lang w:val="fr-FR"/>
        </w:rPr>
        <w:t>s</w:t>
      </w:r>
      <w:r w:rsidRPr="003B1303" w:rsidR="001F72B2">
        <w:rPr>
          <w:lang w:val="fr-FR"/>
        </w:rPr>
        <w:t xml:space="preserve"> visant à exclure des preuves à charge</w:t>
      </w:r>
      <w:r w:rsidRPr="003B1303" w:rsidDel="00E26FEE" w:rsidR="001F72B2">
        <w:rPr>
          <w:lang w:val="fr-FR"/>
        </w:rPr>
        <w:t xml:space="preserve"> </w:t>
      </w:r>
      <w:r w:rsidRPr="003B1303" w:rsidR="004C2AFD">
        <w:rPr>
          <w:lang w:val="fr-FR"/>
        </w:rPr>
        <w:t>leurs déclarations faites pendant le stade de l</w:t>
      </w:r>
      <w:r w:rsidRPr="003B1303" w:rsidR="003B1303">
        <w:rPr>
          <w:lang w:val="fr-FR"/>
        </w:rPr>
        <w:t>’</w:t>
      </w:r>
      <w:r w:rsidRPr="003B1303">
        <w:rPr>
          <w:lang w:val="fr-FR"/>
        </w:rPr>
        <w:t>investigation</w:t>
      </w:r>
      <w:r w:rsidRPr="003B1303" w:rsidR="0078055B">
        <w:rPr>
          <w:lang w:val="fr-FR"/>
        </w:rPr>
        <w:t>.</w:t>
      </w:r>
    </w:p>
    <w:bookmarkStart w:name="ord27jmot" w:id="54"/>
    <w:p w:rsidRPr="003B1303" w:rsidR="00BE4C83" w:rsidP="003B1303" w:rsidRDefault="00BA560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88</w:t>
      </w:r>
      <w:r w:rsidRPr="003B1303">
        <w:rPr>
          <w:lang w:val="fr-FR"/>
        </w:rPr>
        <w:fldChar w:fldCharType="end"/>
      </w:r>
      <w:bookmarkEnd w:id="54"/>
      <w:r w:rsidRPr="003B1303">
        <w:rPr>
          <w:lang w:val="fr-FR"/>
        </w:rPr>
        <w:t>.  </w:t>
      </w:r>
      <w:proofErr w:type="gramStart"/>
      <w:r w:rsidRPr="003B1303" w:rsidR="003969A6">
        <w:rPr>
          <w:lang w:val="fr-FR"/>
        </w:rPr>
        <w:t>Elle</w:t>
      </w:r>
      <w:r w:rsidRPr="003B1303">
        <w:rPr>
          <w:lang w:val="fr-FR"/>
        </w:rPr>
        <w:t xml:space="preserve"> </w:t>
      </w:r>
      <w:r w:rsidRPr="003B1303" w:rsidR="006F40A2">
        <w:rPr>
          <w:lang w:val="fr-FR"/>
        </w:rPr>
        <w:t>estima</w:t>
      </w:r>
      <w:proofErr w:type="gramEnd"/>
      <w:r w:rsidRPr="003B1303">
        <w:rPr>
          <w:lang w:val="fr-FR"/>
        </w:rPr>
        <w:t xml:space="preserve"> que les déclarations des témoins </w:t>
      </w:r>
      <w:r w:rsidRPr="003B1303" w:rsidR="00845E8A">
        <w:rPr>
          <w:lang w:val="fr-FR"/>
        </w:rPr>
        <w:t xml:space="preserve">Fo., </w:t>
      </w:r>
      <w:r w:rsidRPr="003B1303">
        <w:rPr>
          <w:lang w:val="fr-FR"/>
        </w:rPr>
        <w:t>Ch., R</w:t>
      </w:r>
      <w:r w:rsidRPr="003B1303" w:rsidR="00845E8A">
        <w:rPr>
          <w:lang w:val="fr-FR"/>
        </w:rPr>
        <w:t xml:space="preserve">as. et </w:t>
      </w:r>
      <w:proofErr w:type="spellStart"/>
      <w:r w:rsidRPr="003B1303" w:rsidR="00845E8A">
        <w:rPr>
          <w:lang w:val="fr-FR"/>
        </w:rPr>
        <w:t>Sm</w:t>
      </w:r>
      <w:proofErr w:type="spellEnd"/>
      <w:r w:rsidRPr="003B1303" w:rsidR="00845E8A">
        <w:rPr>
          <w:lang w:val="fr-FR"/>
        </w:rPr>
        <w:t xml:space="preserve">. </w:t>
      </w:r>
      <w:r w:rsidRPr="003B1303">
        <w:rPr>
          <w:lang w:val="fr-FR"/>
        </w:rPr>
        <w:t>relatives aux mauvais traitements al</w:t>
      </w:r>
      <w:r w:rsidRPr="003B1303" w:rsidR="00845E8A">
        <w:rPr>
          <w:lang w:val="fr-FR"/>
        </w:rPr>
        <w:t>légués par le premier requérant</w:t>
      </w:r>
      <w:r w:rsidRPr="003B1303">
        <w:rPr>
          <w:lang w:val="fr-FR"/>
        </w:rPr>
        <w:t xml:space="preserve"> ainsi que celles des témoins </w:t>
      </w:r>
      <w:r w:rsidRPr="003B1303" w:rsidR="00845E8A">
        <w:rPr>
          <w:lang w:val="fr-FR"/>
        </w:rPr>
        <w:t xml:space="preserve">Gr., </w:t>
      </w:r>
      <w:proofErr w:type="spellStart"/>
      <w:r w:rsidRPr="003B1303" w:rsidR="00845E8A">
        <w:rPr>
          <w:lang w:val="fr-FR"/>
        </w:rPr>
        <w:t>Tesh</w:t>
      </w:r>
      <w:proofErr w:type="spellEnd"/>
      <w:r w:rsidRPr="003B1303" w:rsidR="00845E8A">
        <w:rPr>
          <w:lang w:val="fr-FR"/>
        </w:rPr>
        <w:t xml:space="preserve">., Fo., Te., E. et </w:t>
      </w:r>
      <w:r w:rsidRPr="003B1303">
        <w:rPr>
          <w:lang w:val="fr-FR"/>
        </w:rPr>
        <w:t>M</w:t>
      </w:r>
      <w:r w:rsidRPr="003B1303" w:rsidR="00845E8A">
        <w:rPr>
          <w:lang w:val="fr-FR"/>
        </w:rPr>
        <w:t>ar</w:t>
      </w:r>
      <w:r w:rsidRPr="003B1303">
        <w:rPr>
          <w:lang w:val="fr-FR"/>
        </w:rPr>
        <w:t xml:space="preserve">. relatives aux mauvais traitements </w:t>
      </w:r>
      <w:r w:rsidRPr="003B1303" w:rsidR="00E479D2">
        <w:rPr>
          <w:lang w:val="fr-FR"/>
        </w:rPr>
        <w:t xml:space="preserve">dénoncés </w:t>
      </w:r>
      <w:r w:rsidRPr="003B1303">
        <w:rPr>
          <w:lang w:val="fr-FR"/>
        </w:rPr>
        <w:t>par le second</w:t>
      </w:r>
      <w:r w:rsidRPr="003B1303" w:rsidR="003969A6">
        <w:rPr>
          <w:lang w:val="fr-FR"/>
        </w:rPr>
        <w:t xml:space="preserve"> requérant</w:t>
      </w:r>
      <w:r w:rsidRPr="003B1303">
        <w:rPr>
          <w:lang w:val="fr-FR"/>
        </w:rPr>
        <w:t xml:space="preserve"> n</w:t>
      </w:r>
      <w:r w:rsidRPr="003B1303" w:rsidR="003B1303">
        <w:rPr>
          <w:lang w:val="fr-FR"/>
        </w:rPr>
        <w:t>’</w:t>
      </w:r>
      <w:r w:rsidRPr="003B1303">
        <w:rPr>
          <w:lang w:val="fr-FR"/>
        </w:rPr>
        <w:t xml:space="preserve">étaient pas fiables. </w:t>
      </w:r>
      <w:r w:rsidRPr="003B1303" w:rsidR="00845E8A">
        <w:rPr>
          <w:lang w:val="fr-FR"/>
        </w:rPr>
        <w:t>La juge</w:t>
      </w:r>
      <w:r w:rsidRPr="003B1303">
        <w:rPr>
          <w:lang w:val="fr-FR"/>
        </w:rPr>
        <w:t xml:space="preserve"> considéra que le</w:t>
      </w:r>
      <w:r w:rsidRPr="003B1303" w:rsidR="004A4174">
        <w:rPr>
          <w:lang w:val="fr-FR"/>
        </w:rPr>
        <w:t>s</w:t>
      </w:r>
      <w:r w:rsidRPr="003B1303">
        <w:rPr>
          <w:lang w:val="fr-FR"/>
        </w:rPr>
        <w:t xml:space="preserve"> déclarations </w:t>
      </w:r>
      <w:r w:rsidRPr="003B1303" w:rsidR="004A4174">
        <w:rPr>
          <w:lang w:val="fr-FR"/>
        </w:rPr>
        <w:t xml:space="preserve">desdits témoins </w:t>
      </w:r>
      <w:r w:rsidRPr="003B1303">
        <w:rPr>
          <w:lang w:val="fr-FR"/>
        </w:rPr>
        <w:t xml:space="preserve">étaient démenties par </w:t>
      </w:r>
      <w:r w:rsidRPr="003B1303" w:rsidR="00310E5A">
        <w:rPr>
          <w:lang w:val="fr-FR"/>
        </w:rPr>
        <w:t xml:space="preserve">les pièces du dossier ainsi que par les déclarations </w:t>
      </w:r>
      <w:r w:rsidRPr="003B1303">
        <w:rPr>
          <w:lang w:val="fr-FR"/>
        </w:rPr>
        <w:t>des enquêteurs M., B</w:t>
      </w:r>
      <w:r w:rsidRPr="003B1303" w:rsidR="00381BEE">
        <w:rPr>
          <w:lang w:val="fr-FR"/>
        </w:rPr>
        <w:t>u</w:t>
      </w:r>
      <w:r w:rsidRPr="003B1303">
        <w:rPr>
          <w:lang w:val="fr-FR"/>
        </w:rPr>
        <w:t xml:space="preserve">. </w:t>
      </w:r>
      <w:proofErr w:type="gramStart"/>
      <w:r w:rsidRPr="003B1303">
        <w:rPr>
          <w:lang w:val="fr-FR"/>
        </w:rPr>
        <w:t>et</w:t>
      </w:r>
      <w:proofErr w:type="gramEnd"/>
      <w:r w:rsidRPr="003B1303">
        <w:rPr>
          <w:lang w:val="fr-FR"/>
        </w:rPr>
        <w:t xml:space="preserve"> S., des officiers Ch., T</w:t>
      </w:r>
      <w:r w:rsidRPr="003B1303" w:rsidR="0078055B">
        <w:rPr>
          <w:lang w:val="fr-FR"/>
        </w:rPr>
        <w:t>i</w:t>
      </w:r>
      <w:r w:rsidRPr="003B1303">
        <w:rPr>
          <w:lang w:val="fr-FR"/>
        </w:rPr>
        <w:t xml:space="preserve">. </w:t>
      </w:r>
      <w:proofErr w:type="gramStart"/>
      <w:r w:rsidRPr="003B1303">
        <w:rPr>
          <w:lang w:val="fr-FR"/>
        </w:rPr>
        <w:t>et</w:t>
      </w:r>
      <w:proofErr w:type="gramEnd"/>
      <w:r w:rsidRPr="003B1303">
        <w:rPr>
          <w:lang w:val="fr-FR"/>
        </w:rPr>
        <w:t xml:space="preserve"> Te. </w:t>
      </w:r>
      <w:proofErr w:type="gramStart"/>
      <w:r w:rsidRPr="003B1303">
        <w:rPr>
          <w:lang w:val="fr-FR"/>
        </w:rPr>
        <w:t>et</w:t>
      </w:r>
      <w:proofErr w:type="gramEnd"/>
      <w:r w:rsidRPr="003B1303">
        <w:rPr>
          <w:lang w:val="fr-FR"/>
        </w:rPr>
        <w:t xml:space="preserve"> des témoins M</w:t>
      </w:r>
      <w:r w:rsidRPr="003B1303" w:rsidR="0078055B">
        <w:rPr>
          <w:lang w:val="fr-FR"/>
        </w:rPr>
        <w:t>a</w:t>
      </w:r>
      <w:r w:rsidRPr="003B1303">
        <w:rPr>
          <w:lang w:val="fr-FR"/>
        </w:rPr>
        <w:t xml:space="preserve">. </w:t>
      </w:r>
      <w:proofErr w:type="gramStart"/>
      <w:r w:rsidRPr="003B1303">
        <w:rPr>
          <w:lang w:val="fr-FR"/>
        </w:rPr>
        <w:t>et</w:t>
      </w:r>
      <w:proofErr w:type="gramEnd"/>
      <w:r w:rsidRPr="003B1303">
        <w:rPr>
          <w:lang w:val="fr-FR"/>
        </w:rPr>
        <w:t xml:space="preserve"> G</w:t>
      </w:r>
      <w:r w:rsidRPr="003B1303" w:rsidR="0078055B">
        <w:rPr>
          <w:lang w:val="fr-FR"/>
        </w:rPr>
        <w:t>o</w:t>
      </w:r>
      <w:r w:rsidRPr="003B1303">
        <w:rPr>
          <w:lang w:val="fr-FR"/>
        </w:rPr>
        <w:t>.</w:t>
      </w:r>
    </w:p>
    <w:bookmarkStart w:name="ord27jmot1" w:id="55"/>
    <w:p w:rsidRPr="003B1303" w:rsidR="00BA5605" w:rsidP="003B1303" w:rsidRDefault="0078055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89</w:t>
      </w:r>
      <w:r w:rsidRPr="003B1303">
        <w:rPr>
          <w:lang w:val="fr-FR"/>
        </w:rPr>
        <w:fldChar w:fldCharType="end"/>
      </w:r>
      <w:bookmarkEnd w:id="55"/>
      <w:r w:rsidRPr="003B1303">
        <w:rPr>
          <w:lang w:val="fr-FR"/>
        </w:rPr>
        <w:t>.  </w:t>
      </w:r>
      <w:r w:rsidRPr="003B1303" w:rsidR="00BA5605">
        <w:rPr>
          <w:lang w:val="fr-FR"/>
        </w:rPr>
        <w:t>Concernant l</w:t>
      </w:r>
      <w:r w:rsidRPr="003B1303" w:rsidR="003B1303">
        <w:rPr>
          <w:lang w:val="fr-FR"/>
        </w:rPr>
        <w:t>’</w:t>
      </w:r>
      <w:r w:rsidRPr="003B1303" w:rsidR="00BA5605">
        <w:rPr>
          <w:lang w:val="fr-FR"/>
        </w:rPr>
        <w:t>assistance de l</w:t>
      </w:r>
      <w:r w:rsidRPr="003B1303" w:rsidR="003B1303">
        <w:rPr>
          <w:lang w:val="fr-FR"/>
        </w:rPr>
        <w:t>’</w:t>
      </w:r>
      <w:r w:rsidRPr="003B1303" w:rsidR="00BA5605">
        <w:rPr>
          <w:lang w:val="fr-FR"/>
        </w:rPr>
        <w:t>avocate commise d</w:t>
      </w:r>
      <w:r w:rsidRPr="003B1303" w:rsidR="003B1303">
        <w:rPr>
          <w:lang w:val="fr-FR"/>
        </w:rPr>
        <w:t>’</w:t>
      </w:r>
      <w:r w:rsidRPr="003B1303" w:rsidR="00BA5605">
        <w:rPr>
          <w:lang w:val="fr-FR"/>
        </w:rPr>
        <w:t xml:space="preserve">office </w:t>
      </w:r>
      <w:r w:rsidRPr="003B1303" w:rsidR="003969A6">
        <w:rPr>
          <w:lang w:val="fr-FR"/>
        </w:rPr>
        <w:t xml:space="preserve">Ku. </w:t>
      </w:r>
      <w:proofErr w:type="gramStart"/>
      <w:r w:rsidRPr="003B1303" w:rsidR="00BA5605">
        <w:rPr>
          <w:lang w:val="fr-FR"/>
        </w:rPr>
        <w:t>lors</w:t>
      </w:r>
      <w:proofErr w:type="gramEnd"/>
      <w:r w:rsidRPr="003B1303" w:rsidR="00BA5605">
        <w:rPr>
          <w:lang w:val="fr-FR"/>
        </w:rPr>
        <w:t xml:space="preserve"> de l</w:t>
      </w:r>
      <w:r w:rsidRPr="003B1303" w:rsidR="003B1303">
        <w:rPr>
          <w:lang w:val="fr-FR"/>
        </w:rPr>
        <w:t>’</w:t>
      </w:r>
      <w:r w:rsidRPr="003B1303" w:rsidR="00BA5605">
        <w:rPr>
          <w:lang w:val="fr-FR"/>
        </w:rPr>
        <w:t>interrogatoire du</w:t>
      </w:r>
      <w:r w:rsidRPr="003B1303" w:rsidR="003969A6">
        <w:rPr>
          <w:lang w:val="fr-FR"/>
        </w:rPr>
        <w:t xml:space="preserve"> premier requérant du</w:t>
      </w:r>
      <w:r w:rsidRPr="003B1303" w:rsidR="00BA5605">
        <w:rPr>
          <w:lang w:val="fr-FR"/>
        </w:rPr>
        <w:t xml:space="preserve"> 15 avril 2008, </w:t>
      </w:r>
      <w:r w:rsidRPr="003B1303" w:rsidR="00E479D2">
        <w:rPr>
          <w:lang w:val="fr-FR"/>
        </w:rPr>
        <w:t xml:space="preserve">la juge </w:t>
      </w:r>
      <w:r w:rsidRPr="003B1303" w:rsidR="00BA5605">
        <w:rPr>
          <w:lang w:val="fr-FR"/>
        </w:rPr>
        <w:t xml:space="preserve">estima que </w:t>
      </w:r>
      <w:r w:rsidRPr="003B1303" w:rsidR="003969A6">
        <w:rPr>
          <w:lang w:val="fr-FR"/>
        </w:rPr>
        <w:t>celui-ci</w:t>
      </w:r>
      <w:r w:rsidRPr="003B1303" w:rsidR="00BA5605">
        <w:rPr>
          <w:lang w:val="fr-FR"/>
        </w:rPr>
        <w:t xml:space="preserve"> avait donné son accord </w:t>
      </w:r>
      <w:r w:rsidRPr="003B1303" w:rsidR="003969A6">
        <w:rPr>
          <w:lang w:val="fr-FR"/>
        </w:rPr>
        <w:t>pour</w:t>
      </w:r>
      <w:r w:rsidRPr="003B1303" w:rsidR="00BA5605">
        <w:rPr>
          <w:lang w:val="fr-FR"/>
        </w:rPr>
        <w:t xml:space="preserve"> être représenté par </w:t>
      </w:r>
      <w:r w:rsidRPr="003B1303" w:rsidR="003969A6">
        <w:rPr>
          <w:lang w:val="fr-FR"/>
        </w:rPr>
        <w:t xml:space="preserve">cette </w:t>
      </w:r>
      <w:r w:rsidRPr="003B1303" w:rsidR="00BA5605">
        <w:rPr>
          <w:lang w:val="fr-FR"/>
        </w:rPr>
        <w:t xml:space="preserve">avocate de </w:t>
      </w:r>
      <w:r w:rsidRPr="003B1303">
        <w:rPr>
          <w:lang w:val="fr-FR"/>
        </w:rPr>
        <w:t xml:space="preserve">son </w:t>
      </w:r>
      <w:r w:rsidRPr="003B1303" w:rsidR="00BA5605">
        <w:rPr>
          <w:lang w:val="fr-FR"/>
        </w:rPr>
        <w:t>plein gré.</w:t>
      </w:r>
      <w:r w:rsidRPr="003B1303" w:rsidR="00AD457B">
        <w:rPr>
          <w:lang w:val="fr-FR"/>
        </w:rPr>
        <w:t xml:space="preserve"> Elle s</w:t>
      </w:r>
      <w:r w:rsidRPr="003B1303" w:rsidR="003B1303">
        <w:rPr>
          <w:lang w:val="fr-FR"/>
        </w:rPr>
        <w:t>’</w:t>
      </w:r>
      <w:r w:rsidRPr="003B1303" w:rsidR="00AD457B">
        <w:rPr>
          <w:lang w:val="fr-FR"/>
        </w:rPr>
        <w:t>appuya à cet égard sur l</w:t>
      </w:r>
      <w:r w:rsidRPr="003B1303" w:rsidR="003B1303">
        <w:rPr>
          <w:lang w:val="fr-FR"/>
        </w:rPr>
        <w:t>’</w:t>
      </w:r>
      <w:r w:rsidRPr="003B1303" w:rsidR="00AD457B">
        <w:rPr>
          <w:lang w:val="fr-FR"/>
        </w:rPr>
        <w:t>accord que l</w:t>
      </w:r>
      <w:r w:rsidRPr="003B1303" w:rsidR="003B1303">
        <w:rPr>
          <w:lang w:val="fr-FR"/>
        </w:rPr>
        <w:t>’</w:t>
      </w:r>
      <w:r w:rsidRPr="003B1303" w:rsidR="00AD457B">
        <w:rPr>
          <w:lang w:val="fr-FR"/>
        </w:rPr>
        <w:t>intéressé avait signé avant l</w:t>
      </w:r>
      <w:r w:rsidRPr="003B1303" w:rsidR="003B1303">
        <w:rPr>
          <w:lang w:val="fr-FR"/>
        </w:rPr>
        <w:t>’</w:t>
      </w:r>
      <w:r w:rsidRPr="003B1303" w:rsidR="00AD457B">
        <w:rPr>
          <w:lang w:val="fr-FR"/>
        </w:rPr>
        <w:t>interrogatoire du 15 avril 2008 ainsi que sur la décision du tribunal de l</w:t>
      </w:r>
      <w:r w:rsidRPr="003B1303" w:rsidR="003B1303">
        <w:rPr>
          <w:lang w:val="fr-FR"/>
        </w:rPr>
        <w:t>’</w:t>
      </w:r>
      <w:r w:rsidRPr="003B1303" w:rsidR="00AD457B">
        <w:rPr>
          <w:lang w:val="fr-FR"/>
        </w:rPr>
        <w:t>arrondissement Oktiabrski de la ville d</w:t>
      </w:r>
      <w:r w:rsidRPr="003B1303" w:rsidR="003B1303">
        <w:rPr>
          <w:lang w:val="fr-FR"/>
        </w:rPr>
        <w:t>’</w:t>
      </w:r>
      <w:r w:rsidRPr="003B1303" w:rsidR="00AD457B">
        <w:rPr>
          <w:lang w:val="fr-FR"/>
        </w:rPr>
        <w:t xml:space="preserve">Irkoutsk (paragraphes </w:t>
      </w:r>
      <w:r w:rsidRPr="003B1303" w:rsidR="00AD457B">
        <w:rPr>
          <w:lang w:val="fr-FR"/>
        </w:rPr>
        <w:fldChar w:fldCharType="begin"/>
      </w:r>
      <w:r w:rsidRPr="003B1303" w:rsidR="00AD457B">
        <w:rPr>
          <w:lang w:val="fr-FR"/>
        </w:rPr>
        <w:instrText xml:space="preserve"> REF interR115av \h </w:instrText>
      </w:r>
      <w:r w:rsidRPr="003B1303" w:rsidR="00C47AAA">
        <w:rPr>
          <w:lang w:val="fr-FR"/>
        </w:rPr>
        <w:instrText xml:space="preserve"> \* MERGEFORMAT </w:instrText>
      </w:r>
      <w:r w:rsidRPr="003B1303" w:rsidR="00AD457B">
        <w:rPr>
          <w:lang w:val="fr-FR"/>
        </w:rPr>
      </w:r>
      <w:r w:rsidRPr="003B1303" w:rsidR="00AD457B">
        <w:rPr>
          <w:lang w:val="fr-FR"/>
        </w:rPr>
        <w:fldChar w:fldCharType="separate"/>
      </w:r>
      <w:r w:rsidR="003B1303">
        <w:rPr>
          <w:noProof/>
          <w:lang w:val="fr-FR"/>
        </w:rPr>
        <w:t>17</w:t>
      </w:r>
      <w:r w:rsidRPr="003B1303" w:rsidR="00AD457B">
        <w:rPr>
          <w:lang w:val="fr-FR"/>
        </w:rPr>
        <w:fldChar w:fldCharType="end"/>
      </w:r>
      <w:r w:rsidRPr="003B1303" w:rsidR="00AD457B">
        <w:rPr>
          <w:lang w:val="fr-FR"/>
        </w:rPr>
        <w:t xml:space="preserve"> et </w:t>
      </w:r>
      <w:r w:rsidRPr="003B1303" w:rsidR="00AD457B">
        <w:rPr>
          <w:lang w:val="fr-FR"/>
        </w:rPr>
        <w:fldChar w:fldCharType="begin"/>
      </w:r>
      <w:r w:rsidRPr="003B1303" w:rsidR="00AD457B">
        <w:rPr>
          <w:lang w:val="fr-FR"/>
        </w:rPr>
        <w:instrText xml:space="preserve"> REF dectrib14mai \h </w:instrText>
      </w:r>
      <w:r w:rsidRPr="003B1303" w:rsidR="00C47AAA">
        <w:rPr>
          <w:lang w:val="fr-FR"/>
        </w:rPr>
        <w:instrText xml:space="preserve"> \* MERGEFORMAT </w:instrText>
      </w:r>
      <w:r w:rsidRPr="003B1303" w:rsidR="00AD457B">
        <w:rPr>
          <w:lang w:val="fr-FR"/>
        </w:rPr>
      </w:r>
      <w:r w:rsidRPr="003B1303" w:rsidR="00AD457B">
        <w:rPr>
          <w:lang w:val="fr-FR"/>
        </w:rPr>
        <w:fldChar w:fldCharType="separate"/>
      </w:r>
      <w:r w:rsidR="003B1303">
        <w:rPr>
          <w:noProof/>
          <w:lang w:val="fr-FR"/>
        </w:rPr>
        <w:t>22</w:t>
      </w:r>
      <w:r w:rsidRPr="003B1303" w:rsidR="00AD457B">
        <w:rPr>
          <w:lang w:val="fr-FR"/>
        </w:rPr>
        <w:fldChar w:fldCharType="end"/>
      </w:r>
      <w:r w:rsidRPr="003B1303" w:rsidR="00AD457B">
        <w:rPr>
          <w:lang w:val="fr-FR"/>
        </w:rPr>
        <w:t xml:space="preserve"> ci</w:t>
      </w:r>
      <w:r w:rsidRPr="003B1303" w:rsidR="00AD457B">
        <w:rPr>
          <w:lang w:val="fr-FR"/>
        </w:rPr>
        <w:noBreakHyphen/>
        <w:t>dessus)</w:t>
      </w:r>
      <w:r w:rsidRPr="003B1303" w:rsidR="005F1DCC">
        <w:rPr>
          <w:lang w:val="fr-FR"/>
        </w:rPr>
        <w:t>.</w:t>
      </w:r>
    </w:p>
    <w:p w:rsidRPr="003B1303" w:rsidR="009875F6" w:rsidP="003B1303" w:rsidRDefault="009875F6">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90</w:t>
      </w:r>
      <w:r w:rsidRPr="003B1303">
        <w:rPr>
          <w:lang w:val="fr-FR"/>
        </w:rPr>
        <w:fldChar w:fldCharType="end"/>
      </w:r>
      <w:r w:rsidRPr="003B1303">
        <w:rPr>
          <w:lang w:val="fr-FR"/>
        </w:rPr>
        <w:t xml:space="preserve">.  Par la même ordonnance, la juge rejeta les demandes </w:t>
      </w:r>
      <w:proofErr w:type="gramStart"/>
      <w:r w:rsidRPr="003B1303" w:rsidR="001D74F4">
        <w:rPr>
          <w:lang w:val="fr-FR"/>
        </w:rPr>
        <w:t xml:space="preserve">de </w:t>
      </w:r>
      <w:r w:rsidRPr="003B1303" w:rsidR="00817002">
        <w:rPr>
          <w:lang w:val="fr-FR"/>
        </w:rPr>
        <w:t>E</w:t>
      </w:r>
      <w:proofErr w:type="gramEnd"/>
      <w:r w:rsidRPr="003B1303" w:rsidR="00817002">
        <w:rPr>
          <w:lang w:val="fr-FR"/>
        </w:rPr>
        <w:t>. Mas.</w:t>
      </w:r>
      <w:r w:rsidRPr="003B1303" w:rsidR="001D74F4">
        <w:rPr>
          <w:bCs/>
          <w:iCs/>
          <w:lang w:val="fr-FR"/>
        </w:rPr>
        <w:t xml:space="preserve">, </w:t>
      </w:r>
      <w:r w:rsidRPr="003B1303" w:rsidR="003027BF">
        <w:rPr>
          <w:bCs/>
          <w:iCs/>
          <w:lang w:val="fr-FR"/>
        </w:rPr>
        <w:t xml:space="preserve">de </w:t>
      </w:r>
      <w:r w:rsidRPr="003B1303" w:rsidR="00993DFC">
        <w:rPr>
          <w:bCs/>
          <w:iCs/>
          <w:lang w:val="fr-FR"/>
        </w:rPr>
        <w:t>D. Che.</w:t>
      </w:r>
      <w:r w:rsidRPr="003B1303" w:rsidR="001D74F4">
        <w:rPr>
          <w:bCs/>
          <w:iCs/>
          <w:lang w:val="fr-FR"/>
        </w:rPr>
        <w:t xml:space="preserve"> </w:t>
      </w:r>
      <w:proofErr w:type="gramStart"/>
      <w:r w:rsidRPr="003B1303" w:rsidR="001D74F4">
        <w:rPr>
          <w:bCs/>
          <w:iCs/>
          <w:lang w:val="fr-FR"/>
        </w:rPr>
        <w:t>et</w:t>
      </w:r>
      <w:proofErr w:type="gramEnd"/>
      <w:r w:rsidRPr="003B1303" w:rsidR="001D74F4">
        <w:rPr>
          <w:bCs/>
          <w:iCs/>
          <w:lang w:val="fr-FR"/>
        </w:rPr>
        <w:t xml:space="preserve"> </w:t>
      </w:r>
      <w:r w:rsidRPr="003B1303" w:rsidR="003027BF">
        <w:rPr>
          <w:bCs/>
          <w:iCs/>
          <w:lang w:val="fr-FR"/>
        </w:rPr>
        <w:t xml:space="preserve">de </w:t>
      </w:r>
      <w:r w:rsidRPr="003B1303" w:rsidR="001D74F4">
        <w:rPr>
          <w:bCs/>
          <w:iCs/>
          <w:lang w:val="fr-FR"/>
        </w:rPr>
        <w:t>A. </w:t>
      </w:r>
      <w:proofErr w:type="spellStart"/>
      <w:r w:rsidRPr="003B1303" w:rsidR="001D74F4">
        <w:rPr>
          <w:bCs/>
          <w:iCs/>
          <w:lang w:val="fr-FR"/>
        </w:rPr>
        <w:t>Kal</w:t>
      </w:r>
      <w:proofErr w:type="spellEnd"/>
      <w:r w:rsidRPr="003B1303" w:rsidR="001D74F4">
        <w:rPr>
          <w:lang w:val="fr-FR"/>
        </w:rPr>
        <w:t xml:space="preserve"> visant l</w:t>
      </w:r>
      <w:r w:rsidRPr="003B1303" w:rsidR="003B1303">
        <w:rPr>
          <w:lang w:val="fr-FR"/>
        </w:rPr>
        <w:t>’</w:t>
      </w:r>
      <w:r w:rsidRPr="003B1303" w:rsidR="001D74F4">
        <w:rPr>
          <w:lang w:val="fr-FR"/>
        </w:rPr>
        <w:t xml:space="preserve">exclusion des preuves </w:t>
      </w:r>
      <w:r w:rsidRPr="003B1303" w:rsidR="003027BF">
        <w:rPr>
          <w:lang w:val="fr-FR"/>
        </w:rPr>
        <w:t xml:space="preserve">à charge </w:t>
      </w:r>
      <w:r w:rsidRPr="003B1303">
        <w:rPr>
          <w:lang w:val="fr-FR"/>
        </w:rPr>
        <w:t>d</w:t>
      </w:r>
      <w:r w:rsidRPr="003B1303" w:rsidR="001D74F4">
        <w:rPr>
          <w:lang w:val="fr-FR"/>
        </w:rPr>
        <w:t>e leurs aveux et dépositions</w:t>
      </w:r>
      <w:r w:rsidRPr="003B1303" w:rsidR="00D64E18">
        <w:rPr>
          <w:lang w:val="fr-FR"/>
        </w:rPr>
        <w:t xml:space="preserve"> faits </w:t>
      </w:r>
      <w:r w:rsidRPr="003B1303" w:rsidR="005F1DCC">
        <w:rPr>
          <w:lang w:val="fr-FR"/>
        </w:rPr>
        <w:t>au stade</w:t>
      </w:r>
      <w:r w:rsidRPr="003B1303" w:rsidR="00D64E18">
        <w:rPr>
          <w:lang w:val="fr-FR"/>
        </w:rPr>
        <w:t xml:space="preserve"> de l</w:t>
      </w:r>
      <w:r w:rsidRPr="003B1303" w:rsidR="003B1303">
        <w:rPr>
          <w:lang w:val="fr-FR"/>
        </w:rPr>
        <w:t>’</w:t>
      </w:r>
      <w:r w:rsidRPr="003B1303" w:rsidR="00D64E18">
        <w:rPr>
          <w:lang w:val="fr-FR"/>
        </w:rPr>
        <w:t xml:space="preserve">enquête </w:t>
      </w:r>
      <w:r w:rsidRPr="003B1303" w:rsidR="00AB4FD9">
        <w:rPr>
          <w:lang w:val="fr-FR"/>
        </w:rPr>
        <w:t>pénale</w:t>
      </w:r>
      <w:r w:rsidRPr="003B1303" w:rsidR="001D74F4">
        <w:rPr>
          <w:lang w:val="fr-FR"/>
        </w:rPr>
        <w:t xml:space="preserve"> </w:t>
      </w:r>
      <w:r w:rsidRPr="003B1303" w:rsidR="00FA23C6">
        <w:rPr>
          <w:lang w:val="fr-FR"/>
        </w:rPr>
        <w:t xml:space="preserve">pour les </w:t>
      </w:r>
      <w:r w:rsidRPr="003B1303" w:rsidR="001D74F4">
        <w:rPr>
          <w:lang w:val="fr-FR"/>
        </w:rPr>
        <w:t>mêmes motifs que ceux retenus pour rejeter les demandes des requérants.</w:t>
      </w:r>
      <w:r w:rsidRPr="003B1303" w:rsidR="00D64E18">
        <w:rPr>
          <w:lang w:val="fr-FR"/>
        </w:rPr>
        <w:t xml:space="preserve"> </w:t>
      </w:r>
      <w:r w:rsidRPr="003B1303" w:rsidR="00AB4FD9">
        <w:rPr>
          <w:lang w:val="fr-FR"/>
        </w:rPr>
        <w:t xml:space="preserve">En revanche, </w:t>
      </w:r>
      <w:r w:rsidRPr="003B1303" w:rsidR="00FA23C6">
        <w:rPr>
          <w:lang w:val="fr-FR"/>
        </w:rPr>
        <w:t>elle</w:t>
      </w:r>
      <w:r w:rsidRPr="003B1303" w:rsidR="00AB4FD9">
        <w:rPr>
          <w:lang w:val="fr-FR"/>
        </w:rPr>
        <w:t xml:space="preserve"> ordonna l</w:t>
      </w:r>
      <w:r w:rsidRPr="003B1303" w:rsidR="003B1303">
        <w:rPr>
          <w:lang w:val="fr-FR"/>
        </w:rPr>
        <w:t>’</w:t>
      </w:r>
      <w:r w:rsidRPr="003B1303" w:rsidR="00AB4FD9">
        <w:rPr>
          <w:lang w:val="fr-FR"/>
        </w:rPr>
        <w:t>exclusion du procès</w:t>
      </w:r>
      <w:r w:rsidRPr="003B1303" w:rsidR="00AB4FD9">
        <w:rPr>
          <w:lang w:val="fr-FR"/>
        </w:rPr>
        <w:noBreakHyphen/>
        <w:t xml:space="preserve">verbal de la reconstitution des faits sur les lieux du crime du 27 août 2008 établi avec la participation </w:t>
      </w:r>
      <w:proofErr w:type="gramStart"/>
      <w:r w:rsidRPr="003B1303" w:rsidR="00AB4FD9">
        <w:rPr>
          <w:lang w:val="fr-FR"/>
        </w:rPr>
        <w:t xml:space="preserve">de </w:t>
      </w:r>
      <w:r w:rsidRPr="003B1303" w:rsidR="00817002">
        <w:rPr>
          <w:lang w:val="fr-FR"/>
        </w:rPr>
        <w:t>E</w:t>
      </w:r>
      <w:proofErr w:type="gramEnd"/>
      <w:r w:rsidRPr="003B1303" w:rsidR="00817002">
        <w:rPr>
          <w:lang w:val="fr-FR"/>
        </w:rPr>
        <w:t>. Mas.</w:t>
      </w:r>
      <w:r w:rsidRPr="003B1303" w:rsidR="00AB4FD9">
        <w:rPr>
          <w:lang w:val="fr-FR"/>
        </w:rPr>
        <w:t xml:space="preserve"> </w:t>
      </w:r>
      <w:proofErr w:type="gramStart"/>
      <w:r w:rsidRPr="003B1303" w:rsidR="00AB4FD9">
        <w:rPr>
          <w:lang w:val="fr-FR"/>
        </w:rPr>
        <w:t>au</w:t>
      </w:r>
      <w:proofErr w:type="gramEnd"/>
      <w:r w:rsidRPr="003B1303" w:rsidR="00AB4FD9">
        <w:rPr>
          <w:lang w:val="fr-FR"/>
        </w:rPr>
        <w:t xml:space="preserve"> motif que ce dernier était assisté par un avocat qui n</w:t>
      </w:r>
      <w:r w:rsidRPr="003B1303" w:rsidR="003B1303">
        <w:rPr>
          <w:lang w:val="fr-FR"/>
        </w:rPr>
        <w:t>’</w:t>
      </w:r>
      <w:r w:rsidRPr="003B1303" w:rsidR="00AB4FD9">
        <w:rPr>
          <w:lang w:val="fr-FR"/>
        </w:rPr>
        <w:t xml:space="preserve">était pas dûment habilité à </w:t>
      </w:r>
      <w:r w:rsidRPr="003B1303" w:rsidR="00667F18">
        <w:rPr>
          <w:lang w:val="fr-FR"/>
        </w:rPr>
        <w:t xml:space="preserve">exercer </w:t>
      </w:r>
      <w:r w:rsidRPr="003B1303" w:rsidR="00AB4FD9">
        <w:rPr>
          <w:lang w:val="fr-FR"/>
        </w:rPr>
        <w:t>la représentation juridique de l</w:t>
      </w:r>
      <w:r w:rsidRPr="003B1303" w:rsidR="003B1303">
        <w:rPr>
          <w:lang w:val="fr-FR"/>
        </w:rPr>
        <w:t>’</w:t>
      </w:r>
      <w:r w:rsidRPr="003B1303" w:rsidR="00AB4FD9">
        <w:rPr>
          <w:lang w:val="fr-FR"/>
        </w:rPr>
        <w:t>intéressé.</w:t>
      </w:r>
    </w:p>
    <w:p w:rsidRPr="003B1303" w:rsidR="004C2AFD" w:rsidP="003B1303" w:rsidRDefault="00EC1175">
      <w:pPr>
        <w:pStyle w:val="ECHRHeading3"/>
        <w:rPr>
          <w:lang w:val="fr-FR"/>
        </w:rPr>
      </w:pPr>
      <w:r w:rsidRPr="003B1303">
        <w:rPr>
          <w:lang w:val="fr-FR"/>
        </w:rPr>
        <w:t>4</w:t>
      </w:r>
      <w:r w:rsidRPr="003B1303" w:rsidR="00DF7020">
        <w:rPr>
          <w:lang w:val="fr-FR"/>
        </w:rPr>
        <w:t>.  </w:t>
      </w:r>
      <w:r w:rsidRPr="003B1303" w:rsidR="007F57B0">
        <w:rPr>
          <w:lang w:val="fr-FR"/>
        </w:rPr>
        <w:t>La p</w:t>
      </w:r>
      <w:r w:rsidRPr="003B1303" w:rsidR="004C2AFD">
        <w:rPr>
          <w:lang w:val="fr-FR"/>
        </w:rPr>
        <w:t>résentation de preuves au jury</w:t>
      </w:r>
    </w:p>
    <w:p w:rsidRPr="003B1303" w:rsidR="0085148A" w:rsidP="003B1303" w:rsidRDefault="00EC3D4C">
      <w:pPr>
        <w:pStyle w:val="ECHRHeading4"/>
        <w:rPr>
          <w:rFonts w:eastAsia="Times New Roman"/>
          <w:lang w:val="fr-FR"/>
        </w:rPr>
      </w:pPr>
      <w:r w:rsidRPr="003B1303">
        <w:rPr>
          <w:rFonts w:eastAsia="Times New Roman"/>
          <w:lang w:val="fr-FR"/>
        </w:rPr>
        <w:t>a)  </w:t>
      </w:r>
      <w:r w:rsidRPr="003B1303" w:rsidR="00D61809">
        <w:rPr>
          <w:rFonts w:eastAsia="Times New Roman"/>
          <w:lang w:val="fr-FR"/>
        </w:rPr>
        <w:t>Les d</w:t>
      </w:r>
      <w:r w:rsidRPr="003B1303">
        <w:rPr>
          <w:rFonts w:eastAsia="Times New Roman"/>
          <w:lang w:val="fr-FR"/>
        </w:rPr>
        <w:t>éclarations des requérants</w:t>
      </w:r>
    </w:p>
    <w:bookmarkStart w:name="preuvjur1" w:id="56"/>
    <w:p w:rsidRPr="003B1303" w:rsidR="00BE4C83" w:rsidP="003B1303" w:rsidRDefault="004C2AFD">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91</w:t>
      </w:r>
      <w:r w:rsidRPr="003B1303">
        <w:rPr>
          <w:lang w:val="fr-FR"/>
        </w:rPr>
        <w:fldChar w:fldCharType="end"/>
      </w:r>
      <w:bookmarkEnd w:id="56"/>
      <w:r w:rsidRPr="003B1303">
        <w:rPr>
          <w:lang w:val="fr-FR"/>
        </w:rPr>
        <w:t>.  Au cours de l</w:t>
      </w:r>
      <w:r w:rsidRPr="003B1303" w:rsidR="003B1303">
        <w:rPr>
          <w:lang w:val="fr-FR"/>
        </w:rPr>
        <w:t>’</w:t>
      </w:r>
      <w:r w:rsidRPr="003B1303">
        <w:rPr>
          <w:lang w:val="fr-FR"/>
        </w:rPr>
        <w:t>audience du 8 février 2011, l</w:t>
      </w:r>
      <w:r w:rsidRPr="003B1303" w:rsidR="003B1303">
        <w:rPr>
          <w:lang w:val="fr-FR"/>
        </w:rPr>
        <w:t>’</w:t>
      </w:r>
      <w:r w:rsidRPr="003B1303">
        <w:rPr>
          <w:lang w:val="fr-FR"/>
        </w:rPr>
        <w:t>accusation retira sa demande de présentation au jury des aveux du premier requérant du 14 avril 2008 (paragraphe</w:t>
      </w:r>
      <w:r w:rsidRPr="003B1303" w:rsidR="007F57B0">
        <w:rPr>
          <w:lang w:val="fr-FR"/>
        </w:rPr>
        <w:t xml:space="preserve"> </w:t>
      </w:r>
      <w:r w:rsidRPr="003B1303" w:rsidR="007F57B0">
        <w:rPr>
          <w:lang w:val="fr-FR"/>
        </w:rPr>
        <w:fldChar w:fldCharType="begin"/>
      </w:r>
      <w:r w:rsidRPr="003B1303" w:rsidR="007F57B0">
        <w:rPr>
          <w:lang w:val="fr-FR"/>
        </w:rPr>
        <w:instrText xml:space="preserve"> REF aveu14r1 \h </w:instrText>
      </w:r>
      <w:r w:rsidRPr="003B1303" w:rsidR="006C36C2">
        <w:rPr>
          <w:lang w:val="fr-FR"/>
        </w:rPr>
        <w:instrText xml:space="preserve"> \* MERGEFORMAT </w:instrText>
      </w:r>
      <w:r w:rsidRPr="003B1303" w:rsidR="007F57B0">
        <w:rPr>
          <w:lang w:val="fr-FR"/>
        </w:rPr>
      </w:r>
      <w:r w:rsidRPr="003B1303" w:rsidR="007F57B0">
        <w:rPr>
          <w:lang w:val="fr-FR"/>
        </w:rPr>
        <w:fldChar w:fldCharType="separate"/>
      </w:r>
      <w:r w:rsidR="003B1303">
        <w:rPr>
          <w:noProof/>
          <w:lang w:val="fr-FR"/>
        </w:rPr>
        <w:t>15</w:t>
      </w:r>
      <w:r w:rsidRPr="003B1303" w:rsidR="007F57B0">
        <w:rPr>
          <w:lang w:val="fr-FR"/>
        </w:rPr>
        <w:fldChar w:fldCharType="end"/>
      </w:r>
      <w:r w:rsidRPr="003B1303">
        <w:rPr>
          <w:lang w:val="fr-FR"/>
        </w:rPr>
        <w:t xml:space="preserve"> ci-dessus) et des aveux du second requérant </w:t>
      </w:r>
      <w:r w:rsidRPr="003B1303" w:rsidR="0037393C">
        <w:rPr>
          <w:lang w:val="fr-FR"/>
        </w:rPr>
        <w:t>du 16 </w:t>
      </w:r>
      <w:r w:rsidRPr="003B1303">
        <w:rPr>
          <w:lang w:val="fr-FR"/>
        </w:rPr>
        <w:t xml:space="preserve">avril 2008 (paragraphe </w:t>
      </w:r>
      <w:r w:rsidRPr="003B1303" w:rsidR="007F57B0">
        <w:rPr>
          <w:lang w:val="fr-FR"/>
        </w:rPr>
        <w:fldChar w:fldCharType="begin"/>
      </w:r>
      <w:r w:rsidRPr="003B1303" w:rsidR="007F57B0">
        <w:rPr>
          <w:lang w:val="fr-FR"/>
        </w:rPr>
        <w:instrText xml:space="preserve"> REF aveuR216av \h </w:instrText>
      </w:r>
      <w:r w:rsidRPr="003B1303" w:rsidR="006C36C2">
        <w:rPr>
          <w:lang w:val="fr-FR"/>
        </w:rPr>
        <w:instrText xml:space="preserve"> \* MERGEFORMAT </w:instrText>
      </w:r>
      <w:r w:rsidRPr="003B1303" w:rsidR="007F57B0">
        <w:rPr>
          <w:lang w:val="fr-FR"/>
        </w:rPr>
      </w:r>
      <w:r w:rsidRPr="003B1303" w:rsidR="007F57B0">
        <w:rPr>
          <w:lang w:val="fr-FR"/>
        </w:rPr>
        <w:fldChar w:fldCharType="separate"/>
      </w:r>
      <w:r w:rsidR="003B1303">
        <w:rPr>
          <w:noProof/>
          <w:lang w:val="fr-FR"/>
        </w:rPr>
        <w:t>53</w:t>
      </w:r>
      <w:r w:rsidRPr="003B1303" w:rsidR="007F57B0">
        <w:rPr>
          <w:lang w:val="fr-FR"/>
        </w:rPr>
        <w:fldChar w:fldCharType="end"/>
      </w:r>
      <w:r w:rsidRPr="003B1303" w:rsidR="007F57B0">
        <w:rPr>
          <w:lang w:val="fr-FR"/>
        </w:rPr>
        <w:t xml:space="preserve"> </w:t>
      </w:r>
      <w:r w:rsidRPr="003B1303">
        <w:rPr>
          <w:lang w:val="fr-FR"/>
        </w:rPr>
        <w:t>ci-dessus).</w:t>
      </w:r>
    </w:p>
    <w:bookmarkStart w:name="preuvjur2" w:id="57"/>
    <w:p w:rsidRPr="003B1303" w:rsidR="00BE4C83" w:rsidP="003B1303" w:rsidRDefault="004C2AFD">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92</w:t>
      </w:r>
      <w:r w:rsidRPr="003B1303">
        <w:rPr>
          <w:lang w:val="fr-FR"/>
        </w:rPr>
        <w:fldChar w:fldCharType="end"/>
      </w:r>
      <w:bookmarkEnd w:id="57"/>
      <w:r w:rsidRPr="003B1303">
        <w:rPr>
          <w:lang w:val="fr-FR"/>
        </w:rPr>
        <w:t>.  Lors de l</w:t>
      </w:r>
      <w:r w:rsidRPr="003B1303" w:rsidR="003B1303">
        <w:rPr>
          <w:lang w:val="fr-FR"/>
        </w:rPr>
        <w:t>’</w:t>
      </w:r>
      <w:r w:rsidRPr="003B1303">
        <w:rPr>
          <w:lang w:val="fr-FR"/>
        </w:rPr>
        <w:t>audience du 11 février 2011, l</w:t>
      </w:r>
      <w:r w:rsidRPr="003B1303" w:rsidR="003B1303">
        <w:rPr>
          <w:lang w:val="fr-FR"/>
        </w:rPr>
        <w:t>’</w:t>
      </w:r>
      <w:r w:rsidRPr="003B1303">
        <w:rPr>
          <w:lang w:val="fr-FR"/>
        </w:rPr>
        <w:t>accusation présenta au jury les dépositions faites par le premier requérant lors de l</w:t>
      </w:r>
      <w:r w:rsidRPr="003B1303" w:rsidR="003B1303">
        <w:rPr>
          <w:lang w:val="fr-FR"/>
        </w:rPr>
        <w:t>’</w:t>
      </w:r>
      <w:r w:rsidRPr="003B1303">
        <w:rPr>
          <w:lang w:val="fr-FR"/>
        </w:rPr>
        <w:t>interrogatoire du 15</w:t>
      </w:r>
      <w:r w:rsidRPr="003B1303" w:rsidR="006E5EBE">
        <w:rPr>
          <w:lang w:val="fr-FR"/>
        </w:rPr>
        <w:t> </w:t>
      </w:r>
      <w:r w:rsidRPr="003B1303">
        <w:rPr>
          <w:lang w:val="fr-FR"/>
        </w:rPr>
        <w:t>avril 2008 ainsi que l</w:t>
      </w:r>
      <w:r w:rsidRPr="003B1303" w:rsidR="003B1303">
        <w:rPr>
          <w:lang w:val="fr-FR"/>
        </w:rPr>
        <w:t>’</w:t>
      </w:r>
      <w:r w:rsidRPr="003B1303">
        <w:rPr>
          <w:lang w:val="fr-FR"/>
        </w:rPr>
        <w:t>enregistrement vidéo de ce dernier (paragraphe</w:t>
      </w:r>
      <w:r w:rsidRPr="003B1303" w:rsidR="007F57B0">
        <w:rPr>
          <w:lang w:val="fr-FR"/>
        </w:rPr>
        <w:t xml:space="preserve"> </w:t>
      </w:r>
      <w:r w:rsidRPr="003B1303" w:rsidR="007F57B0">
        <w:rPr>
          <w:lang w:val="fr-FR"/>
        </w:rPr>
        <w:fldChar w:fldCharType="begin"/>
      </w:r>
      <w:r w:rsidRPr="003B1303" w:rsidR="007F57B0">
        <w:rPr>
          <w:lang w:val="fr-FR"/>
        </w:rPr>
        <w:instrText xml:space="preserve"> REF interR115av \h </w:instrText>
      </w:r>
      <w:r w:rsidRPr="003B1303" w:rsidR="006C36C2">
        <w:rPr>
          <w:lang w:val="fr-FR"/>
        </w:rPr>
        <w:instrText xml:space="preserve"> \* MERGEFORMAT </w:instrText>
      </w:r>
      <w:r w:rsidRPr="003B1303" w:rsidR="007F57B0">
        <w:rPr>
          <w:lang w:val="fr-FR"/>
        </w:rPr>
      </w:r>
      <w:r w:rsidRPr="003B1303" w:rsidR="007F57B0">
        <w:rPr>
          <w:lang w:val="fr-FR"/>
        </w:rPr>
        <w:fldChar w:fldCharType="separate"/>
      </w:r>
      <w:r w:rsidR="003B1303">
        <w:rPr>
          <w:noProof/>
          <w:lang w:val="fr-FR"/>
        </w:rPr>
        <w:t>17</w:t>
      </w:r>
      <w:r w:rsidRPr="003B1303" w:rsidR="007F57B0">
        <w:rPr>
          <w:lang w:val="fr-FR"/>
        </w:rPr>
        <w:fldChar w:fldCharType="end"/>
      </w:r>
      <w:r w:rsidRPr="003B1303" w:rsidR="007F57B0">
        <w:rPr>
          <w:lang w:val="fr-FR"/>
        </w:rPr>
        <w:t xml:space="preserve"> ci</w:t>
      </w:r>
      <w:r w:rsidRPr="003B1303" w:rsidR="007F57B0">
        <w:rPr>
          <w:lang w:val="fr-FR"/>
        </w:rPr>
        <w:noBreakHyphen/>
      </w:r>
      <w:r w:rsidRPr="003B1303">
        <w:rPr>
          <w:lang w:val="fr-FR"/>
        </w:rPr>
        <w:t>dessus). Après la présentation desdites dépositions, le requérant plaida de nouveau non coupable.</w:t>
      </w:r>
    </w:p>
    <w:bookmarkStart w:name="preuvjur3" w:id="58"/>
    <w:p w:rsidRPr="003B1303" w:rsidR="004C2AFD" w:rsidP="003B1303" w:rsidRDefault="004C2AFD">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93</w:t>
      </w:r>
      <w:r w:rsidRPr="003B1303">
        <w:rPr>
          <w:lang w:val="fr-FR"/>
        </w:rPr>
        <w:fldChar w:fldCharType="end"/>
      </w:r>
      <w:bookmarkEnd w:id="58"/>
      <w:r w:rsidRPr="003B1303">
        <w:rPr>
          <w:lang w:val="fr-FR"/>
        </w:rPr>
        <w:t xml:space="preserve">.  Toujours lors de </w:t>
      </w:r>
      <w:r w:rsidRPr="003B1303" w:rsidR="00667F18">
        <w:rPr>
          <w:lang w:val="fr-FR"/>
        </w:rPr>
        <w:t>cette audience</w:t>
      </w:r>
      <w:r w:rsidRPr="003B1303">
        <w:rPr>
          <w:lang w:val="fr-FR"/>
        </w:rPr>
        <w:t>, l</w:t>
      </w:r>
      <w:r w:rsidRPr="003B1303" w:rsidR="003B1303">
        <w:rPr>
          <w:lang w:val="fr-FR"/>
        </w:rPr>
        <w:t>’</w:t>
      </w:r>
      <w:r w:rsidRPr="003B1303">
        <w:rPr>
          <w:lang w:val="fr-FR"/>
        </w:rPr>
        <w:t>accusation présent</w:t>
      </w:r>
      <w:r w:rsidRPr="003B1303" w:rsidR="0037393C">
        <w:rPr>
          <w:lang w:val="fr-FR"/>
        </w:rPr>
        <w:t>a</w:t>
      </w:r>
      <w:r w:rsidRPr="003B1303">
        <w:rPr>
          <w:lang w:val="fr-FR"/>
        </w:rPr>
        <w:t xml:space="preserve"> au jury les dépositions faites par le second requérant</w:t>
      </w:r>
      <w:r w:rsidRPr="003B1303" w:rsidR="00E21E32">
        <w:rPr>
          <w:lang w:val="fr-FR"/>
        </w:rPr>
        <w:t xml:space="preserve"> lors des interrogatoires du 30 </w:t>
      </w:r>
      <w:r w:rsidRPr="003B1303">
        <w:rPr>
          <w:lang w:val="fr-FR"/>
        </w:rPr>
        <w:t>avril, 5, 12 et 14 mai et 24 septembre 2008, ainsi que lors de la reconstitution des faits sur les lieux du crime le 14 mai 2008</w:t>
      </w:r>
      <w:r w:rsidRPr="003B1303" w:rsidR="007F57B0">
        <w:rPr>
          <w:lang w:val="fr-FR"/>
        </w:rPr>
        <w:t xml:space="preserve"> (paragraphe </w:t>
      </w:r>
      <w:r w:rsidRPr="003B1303" w:rsidR="007F57B0">
        <w:rPr>
          <w:lang w:val="fr-FR"/>
        </w:rPr>
        <w:fldChar w:fldCharType="begin"/>
      </w:r>
      <w:r w:rsidRPr="003B1303" w:rsidR="007F57B0">
        <w:rPr>
          <w:lang w:val="fr-FR"/>
        </w:rPr>
        <w:instrText xml:space="preserve"> REF interR2 \h </w:instrText>
      </w:r>
      <w:r w:rsidRPr="003B1303" w:rsidR="006C36C2">
        <w:rPr>
          <w:lang w:val="fr-FR"/>
        </w:rPr>
        <w:instrText xml:space="preserve"> \* MERGEFORMAT </w:instrText>
      </w:r>
      <w:r w:rsidRPr="003B1303" w:rsidR="007F57B0">
        <w:rPr>
          <w:lang w:val="fr-FR"/>
        </w:rPr>
      </w:r>
      <w:r w:rsidRPr="003B1303" w:rsidR="007F57B0">
        <w:rPr>
          <w:lang w:val="fr-FR"/>
        </w:rPr>
        <w:fldChar w:fldCharType="separate"/>
      </w:r>
      <w:r w:rsidR="003B1303">
        <w:rPr>
          <w:noProof/>
          <w:lang w:val="fr-FR"/>
        </w:rPr>
        <w:t>56</w:t>
      </w:r>
      <w:r w:rsidRPr="003B1303" w:rsidR="007F57B0">
        <w:rPr>
          <w:lang w:val="fr-FR"/>
        </w:rPr>
        <w:fldChar w:fldCharType="end"/>
      </w:r>
      <w:r w:rsidRPr="003B1303" w:rsidR="007F57B0">
        <w:rPr>
          <w:lang w:val="fr-FR"/>
        </w:rPr>
        <w:t xml:space="preserve"> ci</w:t>
      </w:r>
      <w:r w:rsidRPr="003B1303" w:rsidR="007F57B0">
        <w:rPr>
          <w:lang w:val="fr-FR"/>
        </w:rPr>
        <w:noBreakHyphen/>
        <w:t>dessus)</w:t>
      </w:r>
      <w:r w:rsidRPr="003B1303">
        <w:rPr>
          <w:lang w:val="fr-FR"/>
        </w:rPr>
        <w:t xml:space="preserve">. Après la présentation desdites dépositions, le second requérant </w:t>
      </w:r>
      <w:r w:rsidRPr="003B1303" w:rsidR="002A03B6">
        <w:rPr>
          <w:lang w:val="fr-FR"/>
        </w:rPr>
        <w:t xml:space="preserve">plaida </w:t>
      </w:r>
      <w:r w:rsidRPr="003B1303">
        <w:rPr>
          <w:lang w:val="fr-FR"/>
        </w:rPr>
        <w:t>de nouveau non coupable.</w:t>
      </w:r>
    </w:p>
    <w:p w:rsidRPr="003B1303" w:rsidR="0085148A" w:rsidP="003B1303" w:rsidRDefault="005D4B95">
      <w:pPr>
        <w:pStyle w:val="ECHRHeading4"/>
        <w:rPr>
          <w:rFonts w:eastAsia="Times New Roman"/>
          <w:lang w:val="fr-FR"/>
        </w:rPr>
      </w:pPr>
      <w:r w:rsidRPr="003B1303">
        <w:rPr>
          <w:rFonts w:eastAsia="Times New Roman"/>
          <w:lang w:val="fr-FR"/>
        </w:rPr>
        <w:t>b)  Autres éléments de preuve</w:t>
      </w:r>
    </w:p>
    <w:bookmarkStart w:name="preuv1" w:id="59"/>
    <w:p w:rsidRPr="003B1303" w:rsidR="0085148A" w:rsidP="003B1303" w:rsidRDefault="005D4B9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94</w:t>
      </w:r>
      <w:r w:rsidRPr="003B1303">
        <w:rPr>
          <w:lang w:val="fr-FR"/>
        </w:rPr>
        <w:fldChar w:fldCharType="end"/>
      </w:r>
      <w:bookmarkEnd w:id="59"/>
      <w:r w:rsidRPr="003B1303">
        <w:rPr>
          <w:lang w:val="fr-FR"/>
        </w:rPr>
        <w:t>.  </w:t>
      </w:r>
      <w:r w:rsidRPr="003B1303" w:rsidR="00D549A4">
        <w:rPr>
          <w:lang w:val="fr-FR"/>
        </w:rPr>
        <w:t>Interrogé devant le jury, l</w:t>
      </w:r>
      <w:r w:rsidRPr="003B1303">
        <w:rPr>
          <w:lang w:val="fr-FR"/>
        </w:rPr>
        <w:t xml:space="preserve">e témoin </w:t>
      </w:r>
      <w:proofErr w:type="spellStart"/>
      <w:r w:rsidRPr="003B1303">
        <w:rPr>
          <w:lang w:val="fr-FR"/>
        </w:rPr>
        <w:t>Bir</w:t>
      </w:r>
      <w:proofErr w:type="spellEnd"/>
      <w:r w:rsidRPr="003B1303">
        <w:rPr>
          <w:lang w:val="fr-FR"/>
        </w:rPr>
        <w:t xml:space="preserve">. </w:t>
      </w:r>
      <w:proofErr w:type="gramStart"/>
      <w:r w:rsidRPr="003B1303">
        <w:rPr>
          <w:lang w:val="fr-FR"/>
        </w:rPr>
        <w:t>déclara</w:t>
      </w:r>
      <w:proofErr w:type="gramEnd"/>
      <w:r w:rsidRPr="003B1303">
        <w:rPr>
          <w:lang w:val="fr-FR"/>
        </w:rPr>
        <w:t xml:space="preserve"> entre autres qu</w:t>
      </w:r>
      <w:r w:rsidRPr="003B1303" w:rsidR="00B225E2">
        <w:rPr>
          <w:lang w:val="fr-FR"/>
        </w:rPr>
        <w:t xml:space="preserve">e, </w:t>
      </w:r>
      <w:r w:rsidRPr="003B1303">
        <w:rPr>
          <w:lang w:val="fr-FR"/>
        </w:rPr>
        <w:t>en décembre 1998</w:t>
      </w:r>
      <w:r w:rsidRPr="003B1303" w:rsidR="003027BF">
        <w:rPr>
          <w:lang w:val="fr-FR"/>
        </w:rPr>
        <w:t>,</w:t>
      </w:r>
      <w:r w:rsidRPr="003B1303">
        <w:rPr>
          <w:lang w:val="fr-FR"/>
        </w:rPr>
        <w:t xml:space="preserve"> A. </w:t>
      </w:r>
      <w:proofErr w:type="spellStart"/>
      <w:r w:rsidRPr="003B1303">
        <w:rPr>
          <w:lang w:val="fr-FR"/>
        </w:rPr>
        <w:t>Kur</w:t>
      </w:r>
      <w:proofErr w:type="spellEnd"/>
      <w:r w:rsidRPr="003B1303" w:rsidR="005107CF">
        <w:rPr>
          <w:lang w:val="fr-FR"/>
        </w:rPr>
        <w:t>.</w:t>
      </w:r>
      <w:r w:rsidRPr="003B1303">
        <w:rPr>
          <w:lang w:val="fr-FR"/>
        </w:rPr>
        <w:t xml:space="preserve"> </w:t>
      </w:r>
      <w:proofErr w:type="gramStart"/>
      <w:r w:rsidRPr="003B1303">
        <w:rPr>
          <w:lang w:val="fr-FR"/>
        </w:rPr>
        <w:t>lui</w:t>
      </w:r>
      <w:proofErr w:type="gramEnd"/>
      <w:r w:rsidRPr="003B1303">
        <w:rPr>
          <w:lang w:val="fr-FR"/>
        </w:rPr>
        <w:t xml:space="preserve"> avait proposé de participer </w:t>
      </w:r>
      <w:r w:rsidRPr="003B1303" w:rsidR="00B225E2">
        <w:rPr>
          <w:lang w:val="fr-FR"/>
        </w:rPr>
        <w:t xml:space="preserve">à </w:t>
      </w:r>
      <w:r w:rsidRPr="003B1303">
        <w:rPr>
          <w:lang w:val="fr-FR"/>
        </w:rPr>
        <w:t>l</w:t>
      </w:r>
      <w:r w:rsidRPr="003B1303" w:rsidR="003B1303">
        <w:rPr>
          <w:lang w:val="fr-FR"/>
        </w:rPr>
        <w:t>’</w:t>
      </w:r>
      <w:r w:rsidRPr="003B1303">
        <w:rPr>
          <w:lang w:val="fr-FR"/>
        </w:rPr>
        <w:t>organisation de l</w:t>
      </w:r>
      <w:r w:rsidRPr="003B1303" w:rsidR="003B1303">
        <w:rPr>
          <w:lang w:val="fr-FR"/>
        </w:rPr>
        <w:t>’</w:t>
      </w:r>
      <w:r w:rsidRPr="003B1303">
        <w:rPr>
          <w:lang w:val="fr-FR"/>
        </w:rPr>
        <w:t>assassinat de S. mais que</w:t>
      </w:r>
      <w:r w:rsidRPr="003B1303" w:rsidR="00B225E2">
        <w:rPr>
          <w:lang w:val="fr-FR"/>
        </w:rPr>
        <w:t>, à la</w:t>
      </w:r>
      <w:r w:rsidRPr="003B1303">
        <w:rPr>
          <w:lang w:val="fr-FR"/>
        </w:rPr>
        <w:t xml:space="preserve"> suite </w:t>
      </w:r>
      <w:r w:rsidRPr="003B1303" w:rsidR="00B225E2">
        <w:rPr>
          <w:lang w:val="fr-FR"/>
        </w:rPr>
        <w:t xml:space="preserve">du </w:t>
      </w:r>
      <w:r w:rsidRPr="003B1303">
        <w:rPr>
          <w:lang w:val="fr-FR"/>
        </w:rPr>
        <w:t>refus du second requérant de l</w:t>
      </w:r>
      <w:r w:rsidRPr="003B1303" w:rsidR="003B1303">
        <w:rPr>
          <w:lang w:val="fr-FR"/>
        </w:rPr>
        <w:t>’</w:t>
      </w:r>
      <w:r w:rsidRPr="003B1303">
        <w:rPr>
          <w:lang w:val="fr-FR"/>
        </w:rPr>
        <w:t>impliquer dans cette affaire</w:t>
      </w:r>
      <w:r w:rsidRPr="003B1303" w:rsidR="00B225E2">
        <w:rPr>
          <w:lang w:val="fr-FR"/>
        </w:rPr>
        <w:t>,</w:t>
      </w:r>
      <w:r w:rsidRPr="003B1303">
        <w:rPr>
          <w:lang w:val="fr-FR"/>
        </w:rPr>
        <w:t xml:space="preserve"> il n</w:t>
      </w:r>
      <w:r w:rsidRPr="003B1303" w:rsidR="003B1303">
        <w:rPr>
          <w:lang w:val="fr-FR"/>
        </w:rPr>
        <w:t>’</w:t>
      </w:r>
      <w:r w:rsidRPr="003B1303">
        <w:rPr>
          <w:lang w:val="fr-FR"/>
        </w:rPr>
        <w:t xml:space="preserve">y </w:t>
      </w:r>
      <w:r w:rsidRPr="003B1303" w:rsidR="00B225E2">
        <w:rPr>
          <w:lang w:val="fr-FR"/>
        </w:rPr>
        <w:t xml:space="preserve">aurait </w:t>
      </w:r>
      <w:r w:rsidRPr="003B1303">
        <w:rPr>
          <w:lang w:val="fr-FR"/>
        </w:rPr>
        <w:t xml:space="preserve">finalement pas pris part. </w:t>
      </w:r>
      <w:proofErr w:type="spellStart"/>
      <w:r w:rsidRPr="003B1303">
        <w:rPr>
          <w:lang w:val="fr-FR"/>
        </w:rPr>
        <w:t>Bir</w:t>
      </w:r>
      <w:proofErr w:type="spellEnd"/>
      <w:r w:rsidRPr="003B1303">
        <w:rPr>
          <w:lang w:val="fr-FR"/>
        </w:rPr>
        <w:t xml:space="preserve">. </w:t>
      </w:r>
      <w:r w:rsidRPr="003B1303" w:rsidR="00B225E2">
        <w:rPr>
          <w:lang w:val="fr-FR"/>
        </w:rPr>
        <w:t xml:space="preserve">indiqua </w:t>
      </w:r>
      <w:r w:rsidRPr="003B1303">
        <w:rPr>
          <w:lang w:val="fr-FR"/>
        </w:rPr>
        <w:t xml:space="preserve">en outre savoir </w:t>
      </w:r>
      <w:proofErr w:type="gramStart"/>
      <w:r w:rsidRPr="003B1303">
        <w:rPr>
          <w:lang w:val="fr-FR"/>
        </w:rPr>
        <w:t>que A</w:t>
      </w:r>
      <w:proofErr w:type="gramEnd"/>
      <w:r w:rsidRPr="003B1303">
        <w:rPr>
          <w:lang w:val="fr-FR"/>
        </w:rPr>
        <w:t>. </w:t>
      </w:r>
      <w:proofErr w:type="spellStart"/>
      <w:r w:rsidRPr="003B1303">
        <w:rPr>
          <w:lang w:val="fr-FR"/>
        </w:rPr>
        <w:t>Kur</w:t>
      </w:r>
      <w:proofErr w:type="spellEnd"/>
      <w:r w:rsidRPr="003B1303">
        <w:rPr>
          <w:lang w:val="fr-FR"/>
        </w:rPr>
        <w:t xml:space="preserve">. </w:t>
      </w:r>
      <w:proofErr w:type="gramStart"/>
      <w:r w:rsidRPr="003B1303">
        <w:rPr>
          <w:lang w:val="fr-FR"/>
        </w:rPr>
        <w:t>avait</w:t>
      </w:r>
      <w:proofErr w:type="gramEnd"/>
      <w:r w:rsidRPr="003B1303">
        <w:rPr>
          <w:lang w:val="fr-FR"/>
        </w:rPr>
        <w:t xml:space="preserve"> préparé l</w:t>
      </w:r>
      <w:r w:rsidRPr="003B1303" w:rsidR="003B1303">
        <w:rPr>
          <w:lang w:val="fr-FR"/>
        </w:rPr>
        <w:t>’</w:t>
      </w:r>
      <w:r w:rsidRPr="003B1303">
        <w:rPr>
          <w:lang w:val="fr-FR"/>
        </w:rPr>
        <w:t>assassinat à la demande de V. Mol</w:t>
      </w:r>
      <w:r w:rsidRPr="003B1303" w:rsidR="005107CF">
        <w:rPr>
          <w:lang w:val="fr-FR"/>
        </w:rPr>
        <w:t>.</w:t>
      </w:r>
      <w:r w:rsidRPr="003B1303">
        <w:rPr>
          <w:lang w:val="fr-FR"/>
        </w:rPr>
        <w:t xml:space="preserve"> </w:t>
      </w:r>
      <w:proofErr w:type="gramStart"/>
      <w:r w:rsidRPr="003B1303">
        <w:rPr>
          <w:lang w:val="fr-FR"/>
        </w:rPr>
        <w:t>et</w:t>
      </w:r>
      <w:proofErr w:type="gramEnd"/>
      <w:r w:rsidRPr="003B1303">
        <w:rPr>
          <w:lang w:val="fr-FR"/>
        </w:rPr>
        <w:t xml:space="preserve"> de </w:t>
      </w:r>
      <w:r w:rsidRPr="003B1303" w:rsidR="00817002">
        <w:rPr>
          <w:lang w:val="fr-FR"/>
        </w:rPr>
        <w:t>V. </w:t>
      </w:r>
      <w:proofErr w:type="spellStart"/>
      <w:r w:rsidRPr="003B1303" w:rsidR="00817002">
        <w:rPr>
          <w:lang w:val="fr-FR"/>
        </w:rPr>
        <w:t>Zag</w:t>
      </w:r>
      <w:proofErr w:type="spellEnd"/>
      <w:r w:rsidRPr="003B1303" w:rsidR="00817002">
        <w:rPr>
          <w:lang w:val="fr-FR"/>
        </w:rPr>
        <w:t>.</w:t>
      </w:r>
      <w:r w:rsidRPr="003B1303">
        <w:rPr>
          <w:lang w:val="fr-FR"/>
        </w:rPr>
        <w:t xml:space="preserve"> </w:t>
      </w:r>
      <w:proofErr w:type="gramStart"/>
      <w:r w:rsidRPr="003B1303">
        <w:rPr>
          <w:lang w:val="fr-FR"/>
        </w:rPr>
        <w:t>et</w:t>
      </w:r>
      <w:proofErr w:type="gramEnd"/>
      <w:r w:rsidRPr="003B1303">
        <w:rPr>
          <w:lang w:val="fr-FR"/>
        </w:rPr>
        <w:t xml:space="preserve"> que le premier requérant avait payé A. </w:t>
      </w:r>
      <w:proofErr w:type="spellStart"/>
      <w:r w:rsidRPr="003B1303">
        <w:rPr>
          <w:lang w:val="fr-FR"/>
        </w:rPr>
        <w:t>Kur</w:t>
      </w:r>
      <w:proofErr w:type="spellEnd"/>
      <w:r w:rsidRPr="003B1303" w:rsidR="005107CF">
        <w:rPr>
          <w:lang w:val="fr-FR"/>
        </w:rPr>
        <w:t>.</w:t>
      </w:r>
      <w:r w:rsidRPr="003B1303">
        <w:rPr>
          <w:lang w:val="fr-FR"/>
        </w:rPr>
        <w:t xml:space="preserve"> </w:t>
      </w:r>
      <w:proofErr w:type="gramStart"/>
      <w:r w:rsidRPr="003B1303">
        <w:rPr>
          <w:lang w:val="fr-FR"/>
        </w:rPr>
        <w:t>pour</w:t>
      </w:r>
      <w:proofErr w:type="gramEnd"/>
      <w:r w:rsidRPr="003B1303">
        <w:rPr>
          <w:lang w:val="fr-FR"/>
        </w:rPr>
        <w:t xml:space="preserve"> l</w:t>
      </w:r>
      <w:r w:rsidRPr="003B1303" w:rsidR="003B1303">
        <w:rPr>
          <w:lang w:val="fr-FR"/>
        </w:rPr>
        <w:t>’</w:t>
      </w:r>
      <w:r w:rsidRPr="003B1303">
        <w:rPr>
          <w:lang w:val="fr-FR"/>
        </w:rPr>
        <w:t>assassinat de S.</w:t>
      </w:r>
    </w:p>
    <w:bookmarkStart w:name="proctemsh" w:id="60"/>
    <w:p w:rsidRPr="003B1303" w:rsidR="009A45BC" w:rsidP="003B1303" w:rsidRDefault="005D4B9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95</w:t>
      </w:r>
      <w:r w:rsidRPr="003B1303">
        <w:rPr>
          <w:lang w:val="fr-FR"/>
        </w:rPr>
        <w:fldChar w:fldCharType="end"/>
      </w:r>
      <w:bookmarkEnd w:id="60"/>
      <w:r w:rsidRPr="003B1303">
        <w:rPr>
          <w:lang w:val="fr-FR"/>
        </w:rPr>
        <w:t>.  </w:t>
      </w:r>
      <w:r w:rsidRPr="003B1303" w:rsidR="003B75D0">
        <w:rPr>
          <w:lang w:val="fr-FR"/>
        </w:rPr>
        <w:t>Interrogé devant le jury, le témoin Sh. déclara</w:t>
      </w:r>
      <w:r w:rsidRPr="003B1303" w:rsidR="00470E6F">
        <w:rPr>
          <w:lang w:val="fr-FR"/>
        </w:rPr>
        <w:t>,</w:t>
      </w:r>
      <w:r w:rsidRPr="003B1303" w:rsidR="003B75D0">
        <w:rPr>
          <w:lang w:val="fr-FR"/>
        </w:rPr>
        <w:t xml:space="preserve"> entre autres</w:t>
      </w:r>
      <w:r w:rsidRPr="003B1303" w:rsidR="00470E6F">
        <w:rPr>
          <w:lang w:val="fr-FR"/>
        </w:rPr>
        <w:t>,</w:t>
      </w:r>
      <w:r w:rsidRPr="003B1303" w:rsidR="003B75D0">
        <w:rPr>
          <w:lang w:val="fr-FR"/>
        </w:rPr>
        <w:t xml:space="preserve"> qu</w:t>
      </w:r>
      <w:r w:rsidRPr="003B1303" w:rsidR="003B1303">
        <w:rPr>
          <w:lang w:val="fr-FR"/>
        </w:rPr>
        <w:t>’</w:t>
      </w:r>
      <w:r w:rsidRPr="003B1303" w:rsidR="003B75D0">
        <w:rPr>
          <w:lang w:val="fr-FR"/>
        </w:rPr>
        <w:t>en 2007, lorsqu</w:t>
      </w:r>
      <w:r w:rsidRPr="003B1303" w:rsidR="003B1303">
        <w:rPr>
          <w:lang w:val="fr-FR"/>
        </w:rPr>
        <w:t>’</w:t>
      </w:r>
      <w:r w:rsidRPr="003B1303" w:rsidR="003B75D0">
        <w:rPr>
          <w:lang w:val="fr-FR"/>
        </w:rPr>
        <w:t>il purgeait sa peine d</w:t>
      </w:r>
      <w:r w:rsidRPr="003B1303" w:rsidR="003B1303">
        <w:rPr>
          <w:lang w:val="fr-FR"/>
        </w:rPr>
        <w:t>’</w:t>
      </w:r>
      <w:r w:rsidRPr="003B1303" w:rsidR="003B75D0">
        <w:rPr>
          <w:lang w:val="fr-FR"/>
        </w:rPr>
        <w:t xml:space="preserve">emprisonnement </w:t>
      </w:r>
      <w:r w:rsidRPr="003B1303" w:rsidR="004A709E">
        <w:rPr>
          <w:lang w:val="fr-FR"/>
        </w:rPr>
        <w:t xml:space="preserve">dans le même établissement pénitentiaire que </w:t>
      </w:r>
      <w:r w:rsidRPr="003B1303" w:rsidR="00817002">
        <w:rPr>
          <w:lang w:val="fr-FR"/>
        </w:rPr>
        <w:t>D. Che.</w:t>
      </w:r>
      <w:r w:rsidRPr="003B1303" w:rsidR="003B75D0">
        <w:rPr>
          <w:lang w:val="fr-FR"/>
        </w:rPr>
        <w:t xml:space="preserve"> </w:t>
      </w:r>
      <w:proofErr w:type="gramStart"/>
      <w:r w:rsidRPr="003B1303" w:rsidR="003B75D0">
        <w:rPr>
          <w:lang w:val="fr-FR"/>
        </w:rPr>
        <w:t>et</w:t>
      </w:r>
      <w:proofErr w:type="gramEnd"/>
      <w:r w:rsidRPr="003B1303" w:rsidR="003B75D0">
        <w:rPr>
          <w:lang w:val="fr-FR"/>
        </w:rPr>
        <w:t xml:space="preserve"> </w:t>
      </w:r>
      <w:proofErr w:type="spellStart"/>
      <w:r w:rsidRPr="003B1303" w:rsidR="003B75D0">
        <w:rPr>
          <w:lang w:val="fr-FR"/>
        </w:rPr>
        <w:t>Bir</w:t>
      </w:r>
      <w:proofErr w:type="spellEnd"/>
      <w:r w:rsidRPr="003B1303" w:rsidR="003B75D0">
        <w:rPr>
          <w:lang w:val="fr-FR"/>
        </w:rPr>
        <w:t xml:space="preserve">., il </w:t>
      </w:r>
      <w:r w:rsidRPr="003B1303" w:rsidR="004A709E">
        <w:rPr>
          <w:lang w:val="fr-FR"/>
        </w:rPr>
        <w:t xml:space="preserve">avait entendu </w:t>
      </w:r>
      <w:r w:rsidRPr="003B1303" w:rsidR="003B75D0">
        <w:rPr>
          <w:lang w:val="fr-FR"/>
        </w:rPr>
        <w:t xml:space="preserve">une conversation </w:t>
      </w:r>
      <w:r w:rsidRPr="003B1303" w:rsidR="004A709E">
        <w:rPr>
          <w:lang w:val="fr-FR"/>
        </w:rPr>
        <w:t>entre</w:t>
      </w:r>
      <w:r w:rsidRPr="003B1303" w:rsidR="003B75D0">
        <w:rPr>
          <w:lang w:val="fr-FR"/>
        </w:rPr>
        <w:t xml:space="preserve"> ces derniers dans laquelle </w:t>
      </w:r>
      <w:r w:rsidRPr="003B1303" w:rsidR="00817002">
        <w:rPr>
          <w:lang w:val="fr-FR"/>
        </w:rPr>
        <w:t>D. Che.</w:t>
      </w:r>
      <w:r w:rsidRPr="003B1303" w:rsidR="003B75D0">
        <w:rPr>
          <w:lang w:val="fr-FR"/>
        </w:rPr>
        <w:t xml:space="preserve"> </w:t>
      </w:r>
      <w:proofErr w:type="gramStart"/>
      <w:r w:rsidRPr="003B1303" w:rsidR="003B75D0">
        <w:rPr>
          <w:lang w:val="fr-FR"/>
        </w:rPr>
        <w:t>exprimait</w:t>
      </w:r>
      <w:proofErr w:type="gramEnd"/>
      <w:r w:rsidRPr="003B1303" w:rsidR="003B75D0">
        <w:rPr>
          <w:lang w:val="fr-FR"/>
        </w:rPr>
        <w:t xml:space="preserve"> son soulagement par rapport au fait que son implication dans l</w:t>
      </w:r>
      <w:r w:rsidRPr="003B1303" w:rsidR="003B1303">
        <w:rPr>
          <w:lang w:val="fr-FR"/>
        </w:rPr>
        <w:t>’</w:t>
      </w:r>
      <w:r w:rsidRPr="003B1303" w:rsidR="003B75D0">
        <w:rPr>
          <w:lang w:val="fr-FR"/>
        </w:rPr>
        <w:t>assassinat de S. n</w:t>
      </w:r>
      <w:r w:rsidRPr="003B1303" w:rsidR="003B1303">
        <w:rPr>
          <w:lang w:val="fr-FR"/>
        </w:rPr>
        <w:t>’</w:t>
      </w:r>
      <w:r w:rsidRPr="003B1303" w:rsidR="003B75D0">
        <w:rPr>
          <w:lang w:val="fr-FR"/>
        </w:rPr>
        <w:t>était pas connue des autorités de poursuites. Sh. déclara en outre qu</w:t>
      </w:r>
      <w:r w:rsidRPr="003B1303" w:rsidR="004A709E">
        <w:rPr>
          <w:lang w:val="fr-FR"/>
        </w:rPr>
        <w:t xml:space="preserve">e, </w:t>
      </w:r>
      <w:r w:rsidRPr="003B1303" w:rsidR="003B75D0">
        <w:rPr>
          <w:lang w:val="fr-FR"/>
        </w:rPr>
        <w:t xml:space="preserve">après cette conversation, </w:t>
      </w:r>
      <w:proofErr w:type="spellStart"/>
      <w:r w:rsidRPr="003B1303" w:rsidR="003B75D0">
        <w:rPr>
          <w:lang w:val="fr-FR"/>
        </w:rPr>
        <w:t>Bir</w:t>
      </w:r>
      <w:proofErr w:type="spellEnd"/>
      <w:r w:rsidRPr="003B1303" w:rsidR="003B75D0">
        <w:rPr>
          <w:lang w:val="fr-FR"/>
        </w:rPr>
        <w:t xml:space="preserve">. </w:t>
      </w:r>
      <w:proofErr w:type="gramStart"/>
      <w:r w:rsidRPr="003B1303" w:rsidR="003B75D0">
        <w:rPr>
          <w:lang w:val="fr-FR"/>
        </w:rPr>
        <w:t>lui</w:t>
      </w:r>
      <w:proofErr w:type="gramEnd"/>
      <w:r w:rsidRPr="003B1303" w:rsidR="003B75D0">
        <w:rPr>
          <w:lang w:val="fr-FR"/>
        </w:rPr>
        <w:t xml:space="preserve"> </w:t>
      </w:r>
      <w:r w:rsidRPr="003B1303" w:rsidR="004A709E">
        <w:rPr>
          <w:lang w:val="fr-FR"/>
        </w:rPr>
        <w:t xml:space="preserve">aurait </w:t>
      </w:r>
      <w:r w:rsidRPr="003B1303" w:rsidR="003B75D0">
        <w:rPr>
          <w:lang w:val="fr-FR"/>
        </w:rPr>
        <w:t>confirm</w:t>
      </w:r>
      <w:r w:rsidRPr="003B1303" w:rsidR="00047678">
        <w:rPr>
          <w:lang w:val="fr-FR"/>
        </w:rPr>
        <w:t>é</w:t>
      </w:r>
      <w:r w:rsidRPr="003B1303" w:rsidR="003B75D0">
        <w:rPr>
          <w:lang w:val="fr-FR"/>
        </w:rPr>
        <w:t xml:space="preserve"> qu</w:t>
      </w:r>
      <w:r w:rsidRPr="003B1303" w:rsidR="003B1303">
        <w:rPr>
          <w:lang w:val="fr-FR"/>
        </w:rPr>
        <w:t>’</w:t>
      </w:r>
      <w:r w:rsidRPr="003B1303" w:rsidR="003B75D0">
        <w:rPr>
          <w:lang w:val="fr-FR"/>
        </w:rPr>
        <w:t>il savait que l</w:t>
      </w:r>
      <w:r w:rsidRPr="003B1303" w:rsidR="003B1303">
        <w:rPr>
          <w:lang w:val="fr-FR"/>
        </w:rPr>
        <w:t>’</w:t>
      </w:r>
      <w:r w:rsidRPr="003B1303" w:rsidR="003B75D0">
        <w:rPr>
          <w:lang w:val="fr-FR"/>
        </w:rPr>
        <w:t xml:space="preserve">assassinat de S. avait été perpétré par le second requérant </w:t>
      </w:r>
      <w:r w:rsidRPr="003B1303" w:rsidR="004A709E">
        <w:rPr>
          <w:lang w:val="fr-FR"/>
        </w:rPr>
        <w:t xml:space="preserve">avec la </w:t>
      </w:r>
      <w:r w:rsidRPr="003B1303" w:rsidR="003B75D0">
        <w:rPr>
          <w:lang w:val="fr-FR"/>
        </w:rPr>
        <w:t xml:space="preserve">complicité </w:t>
      </w:r>
      <w:r w:rsidRPr="003B1303" w:rsidR="004A709E">
        <w:rPr>
          <w:lang w:val="fr-FR"/>
        </w:rPr>
        <w:t xml:space="preserve">de </w:t>
      </w:r>
      <w:r w:rsidRPr="003B1303" w:rsidR="003B75D0">
        <w:rPr>
          <w:lang w:val="fr-FR"/>
        </w:rPr>
        <w:t>A</w:t>
      </w:r>
      <w:r w:rsidRPr="003B1303" w:rsidR="00817002">
        <w:rPr>
          <w:lang w:val="fr-FR"/>
        </w:rPr>
        <w:t>. </w:t>
      </w:r>
      <w:proofErr w:type="spellStart"/>
      <w:r w:rsidRPr="003B1303" w:rsidR="003B75D0">
        <w:rPr>
          <w:lang w:val="fr-FR"/>
        </w:rPr>
        <w:t>Kur</w:t>
      </w:r>
      <w:proofErr w:type="spellEnd"/>
      <w:r w:rsidRPr="003B1303" w:rsidR="003B75D0">
        <w:rPr>
          <w:lang w:val="fr-FR"/>
        </w:rPr>
        <w:t xml:space="preserve">., </w:t>
      </w:r>
      <w:r w:rsidRPr="003B1303" w:rsidR="00817002">
        <w:rPr>
          <w:lang w:val="fr-FR"/>
        </w:rPr>
        <w:t>D. Che.</w:t>
      </w:r>
      <w:r w:rsidRPr="003B1303" w:rsidR="003B75D0">
        <w:rPr>
          <w:lang w:val="fr-FR"/>
        </w:rPr>
        <w:t xml:space="preserve"> </w:t>
      </w:r>
      <w:proofErr w:type="gramStart"/>
      <w:r w:rsidRPr="003B1303" w:rsidR="003B75D0">
        <w:rPr>
          <w:lang w:val="fr-FR"/>
        </w:rPr>
        <w:t>et</w:t>
      </w:r>
      <w:proofErr w:type="gramEnd"/>
      <w:r w:rsidRPr="003B1303" w:rsidR="003B75D0">
        <w:rPr>
          <w:lang w:val="fr-FR"/>
        </w:rPr>
        <w:t xml:space="preserve"> </w:t>
      </w:r>
      <w:r w:rsidRPr="003B1303" w:rsidR="00817002">
        <w:rPr>
          <w:lang w:val="fr-FR"/>
        </w:rPr>
        <w:t>E. Mas.</w:t>
      </w:r>
    </w:p>
    <w:bookmarkStart w:name="proclecdep" w:id="61"/>
    <w:p w:rsidRPr="003B1303" w:rsidR="00EC3D4C" w:rsidP="003B1303" w:rsidRDefault="009A45BC">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96</w:t>
      </w:r>
      <w:r w:rsidRPr="003B1303">
        <w:rPr>
          <w:lang w:val="fr-FR"/>
        </w:rPr>
        <w:fldChar w:fldCharType="end"/>
      </w:r>
      <w:bookmarkEnd w:id="61"/>
      <w:r w:rsidRPr="003B1303">
        <w:rPr>
          <w:lang w:val="fr-FR"/>
        </w:rPr>
        <w:t>.  À des dates différentes, l</w:t>
      </w:r>
      <w:r w:rsidRPr="003B1303" w:rsidR="003B1303">
        <w:rPr>
          <w:lang w:val="fr-FR"/>
        </w:rPr>
        <w:t>’</w:t>
      </w:r>
      <w:r w:rsidRPr="003B1303">
        <w:rPr>
          <w:lang w:val="fr-FR"/>
        </w:rPr>
        <w:t>accusation présenta au jury des éléments de preuves documentaires et matériel</w:t>
      </w:r>
      <w:r w:rsidRPr="003B1303" w:rsidR="003B12EC">
        <w:rPr>
          <w:lang w:val="fr-FR"/>
        </w:rPr>
        <w:t>le</w:t>
      </w:r>
      <w:r w:rsidRPr="003B1303">
        <w:rPr>
          <w:lang w:val="fr-FR"/>
        </w:rPr>
        <w:t>s. Elle fit également lecture de la déclaration d</w:t>
      </w:r>
      <w:r w:rsidRPr="003B1303" w:rsidR="003B1303">
        <w:rPr>
          <w:lang w:val="fr-FR"/>
        </w:rPr>
        <w:t>’</w:t>
      </w:r>
      <w:r w:rsidRPr="003B1303">
        <w:rPr>
          <w:lang w:val="fr-FR"/>
        </w:rPr>
        <w:t xml:space="preserve">aveux de </w:t>
      </w:r>
      <w:r w:rsidRPr="003B1303" w:rsidR="00817002">
        <w:rPr>
          <w:lang w:val="fr-FR"/>
        </w:rPr>
        <w:t>D. Che.</w:t>
      </w:r>
      <w:r w:rsidRPr="003B1303">
        <w:rPr>
          <w:lang w:val="fr-FR"/>
        </w:rPr>
        <w:t xml:space="preserve"> </w:t>
      </w:r>
      <w:proofErr w:type="gramStart"/>
      <w:r w:rsidRPr="003B1303">
        <w:rPr>
          <w:lang w:val="fr-FR"/>
        </w:rPr>
        <w:t>du</w:t>
      </w:r>
      <w:proofErr w:type="gramEnd"/>
      <w:r w:rsidRPr="003B1303">
        <w:rPr>
          <w:lang w:val="fr-FR"/>
        </w:rPr>
        <w:t xml:space="preserve"> 1</w:t>
      </w:r>
      <w:r w:rsidRPr="003B1303">
        <w:rPr>
          <w:vertAlign w:val="superscript"/>
          <w:lang w:val="fr-FR"/>
        </w:rPr>
        <w:t>er</w:t>
      </w:r>
      <w:r w:rsidRPr="003B1303" w:rsidR="00657375">
        <w:rPr>
          <w:lang w:val="fr-FR"/>
        </w:rPr>
        <w:t> avril 2008, des procès</w:t>
      </w:r>
      <w:r w:rsidRPr="003B1303" w:rsidR="00657375">
        <w:rPr>
          <w:lang w:val="fr-FR"/>
        </w:rPr>
        <w:noBreakHyphen/>
      </w:r>
      <w:r w:rsidRPr="003B1303">
        <w:rPr>
          <w:lang w:val="fr-FR"/>
        </w:rPr>
        <w:t>ve</w:t>
      </w:r>
      <w:r w:rsidRPr="003B1303" w:rsidR="00657375">
        <w:rPr>
          <w:lang w:val="fr-FR"/>
        </w:rPr>
        <w:t xml:space="preserve">rbaux des interrogatoires de </w:t>
      </w:r>
      <w:r w:rsidRPr="003B1303" w:rsidR="00817002">
        <w:rPr>
          <w:lang w:val="fr-FR"/>
        </w:rPr>
        <w:t>D. Che.</w:t>
      </w:r>
      <w:r w:rsidRPr="003B1303">
        <w:rPr>
          <w:lang w:val="fr-FR"/>
        </w:rPr>
        <w:t xml:space="preserve"> </w:t>
      </w:r>
      <w:proofErr w:type="gramStart"/>
      <w:r w:rsidRPr="003B1303">
        <w:rPr>
          <w:lang w:val="fr-FR"/>
        </w:rPr>
        <w:t>des</w:t>
      </w:r>
      <w:proofErr w:type="gramEnd"/>
      <w:r w:rsidRPr="003B1303">
        <w:rPr>
          <w:lang w:val="fr-FR"/>
        </w:rPr>
        <w:t xml:space="preserve"> 23 mai et 3 juin 2008, de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Pr>
          <w:lang w:val="fr-FR"/>
        </w:rPr>
        <w:t xml:space="preserve"> </w:t>
      </w:r>
      <w:proofErr w:type="gramStart"/>
      <w:r w:rsidRPr="003B1303">
        <w:rPr>
          <w:lang w:val="fr-FR"/>
        </w:rPr>
        <w:t>des</w:t>
      </w:r>
      <w:proofErr w:type="gramEnd"/>
      <w:r w:rsidRPr="003B1303">
        <w:rPr>
          <w:lang w:val="fr-FR"/>
        </w:rPr>
        <w:t xml:space="preserve"> 18 avril et 9 d</w:t>
      </w:r>
      <w:r w:rsidRPr="003B1303" w:rsidR="00657375">
        <w:rPr>
          <w:lang w:val="fr-FR"/>
        </w:rPr>
        <w:t xml:space="preserve">écembre 2008, de A. </w:t>
      </w:r>
      <w:proofErr w:type="spellStart"/>
      <w:r w:rsidRPr="003B1303" w:rsidR="00657375">
        <w:rPr>
          <w:lang w:val="fr-FR"/>
        </w:rPr>
        <w:t>Kur</w:t>
      </w:r>
      <w:proofErr w:type="spellEnd"/>
      <w:r w:rsidRPr="003B1303" w:rsidR="00657375">
        <w:rPr>
          <w:lang w:val="fr-FR"/>
        </w:rPr>
        <w:t xml:space="preserve">. </w:t>
      </w:r>
      <w:proofErr w:type="gramStart"/>
      <w:r w:rsidRPr="003B1303" w:rsidR="00657375">
        <w:rPr>
          <w:lang w:val="fr-FR"/>
        </w:rPr>
        <w:t>des</w:t>
      </w:r>
      <w:proofErr w:type="gramEnd"/>
      <w:r w:rsidRPr="003B1303" w:rsidR="00657375">
        <w:rPr>
          <w:lang w:val="fr-FR"/>
        </w:rPr>
        <w:t xml:space="preserve"> 17</w:t>
      </w:r>
      <w:r w:rsidRPr="003B1303" w:rsidR="003027BF">
        <w:rPr>
          <w:lang w:val="fr-FR"/>
        </w:rPr>
        <w:noBreakHyphen/>
      </w:r>
      <w:r w:rsidRPr="003B1303">
        <w:rPr>
          <w:lang w:val="fr-FR"/>
        </w:rPr>
        <w:t xml:space="preserve">19 et 21 avril 2008, de </w:t>
      </w:r>
      <w:r w:rsidRPr="003B1303" w:rsidR="00817002">
        <w:rPr>
          <w:lang w:val="fr-FR"/>
        </w:rPr>
        <w:t>E. Mas.</w:t>
      </w:r>
      <w:r w:rsidRPr="003B1303">
        <w:rPr>
          <w:lang w:val="fr-FR"/>
        </w:rPr>
        <w:t xml:space="preserve"> </w:t>
      </w:r>
      <w:proofErr w:type="gramStart"/>
      <w:r w:rsidRPr="003B1303" w:rsidR="00657375">
        <w:rPr>
          <w:lang w:val="fr-FR"/>
        </w:rPr>
        <w:t>des</w:t>
      </w:r>
      <w:proofErr w:type="gramEnd"/>
      <w:r w:rsidRPr="003B1303" w:rsidR="00657375">
        <w:rPr>
          <w:lang w:val="fr-FR"/>
        </w:rPr>
        <w:t xml:space="preserve"> 6 et 8 mai 2008, des procès</w:t>
      </w:r>
      <w:r w:rsidRPr="003B1303" w:rsidR="00657375">
        <w:rPr>
          <w:lang w:val="fr-FR"/>
        </w:rPr>
        <w:noBreakHyphen/>
      </w:r>
      <w:r w:rsidRPr="003B1303">
        <w:rPr>
          <w:lang w:val="fr-FR"/>
        </w:rPr>
        <w:t>verbaux des reconstitutions des faits sur les lieux du crime avec A</w:t>
      </w:r>
      <w:r w:rsidRPr="003B1303" w:rsidR="00037C1C">
        <w:rPr>
          <w:lang w:val="fr-FR"/>
        </w:rPr>
        <w:t>. </w:t>
      </w:r>
      <w:proofErr w:type="spellStart"/>
      <w:r w:rsidRPr="003B1303">
        <w:rPr>
          <w:lang w:val="fr-FR"/>
        </w:rPr>
        <w:t>Kur</w:t>
      </w:r>
      <w:proofErr w:type="spellEnd"/>
      <w:r w:rsidRPr="003B1303">
        <w:rPr>
          <w:lang w:val="fr-FR"/>
        </w:rPr>
        <w:t xml:space="preserve">. </w:t>
      </w:r>
      <w:proofErr w:type="gramStart"/>
      <w:r w:rsidRPr="003B1303">
        <w:rPr>
          <w:lang w:val="fr-FR"/>
        </w:rPr>
        <w:t>du</w:t>
      </w:r>
      <w:proofErr w:type="gramEnd"/>
      <w:r w:rsidRPr="003B1303">
        <w:rPr>
          <w:lang w:val="fr-FR"/>
        </w:rPr>
        <w:t xml:space="preserve"> 23 avril 2008, avec </w:t>
      </w:r>
      <w:r w:rsidRPr="003B1303" w:rsidR="00817002">
        <w:rPr>
          <w:lang w:val="fr-FR"/>
        </w:rPr>
        <w:t>E. Mas.</w:t>
      </w:r>
      <w:r w:rsidRPr="003B1303" w:rsidR="00657375">
        <w:rPr>
          <w:lang w:val="fr-FR"/>
        </w:rPr>
        <w:t xml:space="preserve"> </w:t>
      </w:r>
      <w:proofErr w:type="gramStart"/>
      <w:r w:rsidRPr="003B1303" w:rsidR="00657375">
        <w:rPr>
          <w:lang w:val="fr-FR"/>
        </w:rPr>
        <w:t>du</w:t>
      </w:r>
      <w:proofErr w:type="gramEnd"/>
      <w:r w:rsidRPr="003B1303" w:rsidR="00657375">
        <w:rPr>
          <w:lang w:val="fr-FR"/>
        </w:rPr>
        <w:t xml:space="preserve"> 15 mai 2008, et des procès</w:t>
      </w:r>
      <w:r w:rsidRPr="003B1303" w:rsidR="00657375">
        <w:rPr>
          <w:lang w:val="fr-FR"/>
        </w:rPr>
        <w:noBreakHyphen/>
      </w:r>
      <w:r w:rsidRPr="003B1303">
        <w:rPr>
          <w:lang w:val="fr-FR"/>
        </w:rPr>
        <w:t>verbaux des confrontations entre A</w:t>
      </w:r>
      <w:r w:rsidRPr="003B1303" w:rsidR="00037C1C">
        <w:rPr>
          <w:lang w:val="fr-FR"/>
        </w:rPr>
        <w:t>. </w:t>
      </w:r>
      <w:proofErr w:type="spellStart"/>
      <w:r w:rsidRPr="003B1303">
        <w:rPr>
          <w:lang w:val="fr-FR"/>
        </w:rPr>
        <w:t>Kur</w:t>
      </w:r>
      <w:proofErr w:type="spellEnd"/>
      <w:r w:rsidRPr="003B1303">
        <w:rPr>
          <w:lang w:val="fr-FR"/>
        </w:rPr>
        <w:t xml:space="preserve">. </w:t>
      </w:r>
      <w:proofErr w:type="gramStart"/>
      <w:r w:rsidRPr="003B1303">
        <w:rPr>
          <w:lang w:val="fr-FR"/>
        </w:rPr>
        <w:t>et</w:t>
      </w:r>
      <w:proofErr w:type="gramEnd"/>
      <w:r w:rsidRPr="003B1303">
        <w:rPr>
          <w:lang w:val="fr-FR"/>
        </w:rPr>
        <w:t xml:space="preserve">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Pr>
          <w:lang w:val="fr-FR"/>
        </w:rPr>
        <w:t xml:space="preserve"> </w:t>
      </w:r>
      <w:proofErr w:type="gramStart"/>
      <w:r w:rsidRPr="003B1303">
        <w:rPr>
          <w:lang w:val="fr-FR"/>
        </w:rPr>
        <w:t>du</w:t>
      </w:r>
      <w:proofErr w:type="gramEnd"/>
      <w:r w:rsidRPr="003B1303">
        <w:rPr>
          <w:lang w:val="fr-FR"/>
        </w:rPr>
        <w:t xml:space="preserve"> 28 mai 2008, entre le premier requérant et A</w:t>
      </w:r>
      <w:r w:rsidRPr="003B1303" w:rsidR="00037C1C">
        <w:rPr>
          <w:lang w:val="fr-FR"/>
        </w:rPr>
        <w:t>. </w:t>
      </w:r>
      <w:proofErr w:type="spellStart"/>
      <w:r w:rsidRPr="003B1303">
        <w:rPr>
          <w:lang w:val="fr-FR"/>
        </w:rPr>
        <w:t>Kur</w:t>
      </w:r>
      <w:proofErr w:type="spellEnd"/>
      <w:r w:rsidRPr="003B1303">
        <w:rPr>
          <w:lang w:val="fr-FR"/>
        </w:rPr>
        <w:t xml:space="preserve">. </w:t>
      </w:r>
      <w:proofErr w:type="gramStart"/>
      <w:r w:rsidRPr="003B1303">
        <w:rPr>
          <w:lang w:val="fr-FR"/>
        </w:rPr>
        <w:t>des</w:t>
      </w:r>
      <w:proofErr w:type="gramEnd"/>
      <w:r w:rsidRPr="003B1303">
        <w:rPr>
          <w:lang w:val="fr-FR"/>
        </w:rPr>
        <w:t xml:space="preserve"> 22 juillet et 9 décembre 2008, entre A</w:t>
      </w:r>
      <w:r w:rsidRPr="003B1303" w:rsidR="00037C1C">
        <w:rPr>
          <w:lang w:val="fr-FR"/>
        </w:rPr>
        <w:t>. </w:t>
      </w:r>
      <w:proofErr w:type="spellStart"/>
      <w:r w:rsidRPr="003B1303">
        <w:rPr>
          <w:lang w:val="fr-FR"/>
        </w:rPr>
        <w:t>Kur</w:t>
      </w:r>
      <w:proofErr w:type="spellEnd"/>
      <w:r w:rsidRPr="003B1303">
        <w:rPr>
          <w:lang w:val="fr-FR"/>
        </w:rPr>
        <w:t xml:space="preserve">. </w:t>
      </w:r>
      <w:proofErr w:type="gramStart"/>
      <w:r w:rsidRPr="003B1303">
        <w:rPr>
          <w:lang w:val="fr-FR"/>
        </w:rPr>
        <w:t>et</w:t>
      </w:r>
      <w:proofErr w:type="gramEnd"/>
      <w:r w:rsidRPr="003B1303">
        <w:rPr>
          <w:lang w:val="fr-FR"/>
        </w:rPr>
        <w:t xml:space="preserve"> le second requérant du 24 juillet 2008</w:t>
      </w:r>
      <w:r w:rsidRPr="003B1303" w:rsidR="00844F74">
        <w:rPr>
          <w:lang w:val="fr-FR"/>
        </w:rPr>
        <w:t xml:space="preserve"> et</w:t>
      </w:r>
      <w:r w:rsidRPr="003B1303">
        <w:rPr>
          <w:lang w:val="fr-FR"/>
        </w:rPr>
        <w:t xml:space="preserve"> entre </w:t>
      </w:r>
      <w:r w:rsidRPr="003B1303" w:rsidR="00817002">
        <w:rPr>
          <w:lang w:val="fr-FR"/>
        </w:rPr>
        <w:t>E. Mas.</w:t>
      </w:r>
      <w:r w:rsidRPr="003B1303">
        <w:rPr>
          <w:lang w:val="fr-FR"/>
        </w:rPr>
        <w:t xml:space="preserve"> </w:t>
      </w:r>
      <w:proofErr w:type="gramStart"/>
      <w:r w:rsidRPr="003B1303">
        <w:rPr>
          <w:lang w:val="fr-FR"/>
        </w:rPr>
        <w:t>et</w:t>
      </w:r>
      <w:proofErr w:type="gramEnd"/>
      <w:r w:rsidRPr="003B1303">
        <w:rPr>
          <w:lang w:val="fr-FR"/>
        </w:rPr>
        <w:t xml:space="preserve"> A</w:t>
      </w:r>
      <w:r w:rsidRPr="003B1303" w:rsidR="00037C1C">
        <w:rPr>
          <w:lang w:val="fr-FR"/>
        </w:rPr>
        <w:t>. </w:t>
      </w:r>
      <w:proofErr w:type="spellStart"/>
      <w:r w:rsidRPr="003B1303">
        <w:rPr>
          <w:lang w:val="fr-FR"/>
        </w:rPr>
        <w:t>Kur</w:t>
      </w:r>
      <w:proofErr w:type="spellEnd"/>
      <w:r w:rsidRPr="003B1303">
        <w:rPr>
          <w:lang w:val="fr-FR"/>
        </w:rPr>
        <w:t xml:space="preserve">. </w:t>
      </w:r>
      <w:proofErr w:type="gramStart"/>
      <w:r w:rsidRPr="003B1303">
        <w:rPr>
          <w:lang w:val="fr-FR"/>
        </w:rPr>
        <w:t>du</w:t>
      </w:r>
      <w:proofErr w:type="gramEnd"/>
      <w:r w:rsidRPr="003B1303">
        <w:rPr>
          <w:lang w:val="fr-FR"/>
        </w:rPr>
        <w:t xml:space="preserve"> 8 octobre 2008.</w:t>
      </w:r>
    </w:p>
    <w:bookmarkStart w:name="procposacc" w:id="62"/>
    <w:p w:rsidRPr="003B1303" w:rsidR="0085148A" w:rsidP="003B1303" w:rsidRDefault="006F1EB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97</w:t>
      </w:r>
      <w:r w:rsidRPr="003B1303">
        <w:rPr>
          <w:lang w:val="fr-FR"/>
        </w:rPr>
        <w:fldChar w:fldCharType="end"/>
      </w:r>
      <w:bookmarkEnd w:id="62"/>
      <w:r w:rsidRPr="003B1303">
        <w:rPr>
          <w:lang w:val="fr-FR"/>
        </w:rPr>
        <w:t>.  </w:t>
      </w:r>
      <w:r w:rsidRPr="003B1303" w:rsidR="00817002">
        <w:rPr>
          <w:lang w:val="fr-FR"/>
        </w:rPr>
        <w:t>E. Mas.</w:t>
      </w:r>
      <w:r w:rsidRPr="003B1303">
        <w:rPr>
          <w:lang w:val="fr-FR"/>
        </w:rPr>
        <w:t xml:space="preserve">,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Pr>
          <w:lang w:val="fr-FR"/>
        </w:rPr>
        <w:t xml:space="preserve"> </w:t>
      </w:r>
      <w:proofErr w:type="gramStart"/>
      <w:r w:rsidRPr="003B1303">
        <w:rPr>
          <w:lang w:val="fr-FR"/>
        </w:rPr>
        <w:t>et</w:t>
      </w:r>
      <w:proofErr w:type="gramEnd"/>
      <w:r w:rsidRPr="003B1303">
        <w:rPr>
          <w:lang w:val="fr-FR"/>
        </w:rPr>
        <w:t xml:space="preserve"> D</w:t>
      </w:r>
      <w:r w:rsidRPr="003B1303" w:rsidR="00037C1C">
        <w:rPr>
          <w:lang w:val="fr-FR"/>
        </w:rPr>
        <w:t>. </w:t>
      </w:r>
      <w:r w:rsidRPr="003B1303">
        <w:rPr>
          <w:lang w:val="fr-FR"/>
        </w:rPr>
        <w:t xml:space="preserve">Che. </w:t>
      </w:r>
      <w:proofErr w:type="gramStart"/>
      <w:r w:rsidRPr="003B1303" w:rsidR="00831248">
        <w:rPr>
          <w:lang w:val="fr-FR"/>
        </w:rPr>
        <w:t>rétractèrent</w:t>
      </w:r>
      <w:proofErr w:type="gramEnd"/>
      <w:r w:rsidRPr="003B1303">
        <w:rPr>
          <w:lang w:val="fr-FR"/>
        </w:rPr>
        <w:t xml:space="preserve"> leurs dépositions faites pendant l</w:t>
      </w:r>
      <w:r w:rsidRPr="003B1303" w:rsidR="003B1303">
        <w:rPr>
          <w:lang w:val="fr-FR"/>
        </w:rPr>
        <w:t>’</w:t>
      </w:r>
      <w:r w:rsidRPr="003B1303">
        <w:rPr>
          <w:lang w:val="fr-FR"/>
        </w:rPr>
        <w:t xml:space="preserve">enquête préliminaire. </w:t>
      </w:r>
      <w:r w:rsidRPr="003B1303" w:rsidR="003027BF">
        <w:rPr>
          <w:lang w:val="fr-FR"/>
        </w:rPr>
        <w:t>A. </w:t>
      </w:r>
      <w:proofErr w:type="spellStart"/>
      <w:r w:rsidRPr="003B1303" w:rsidR="003027BF">
        <w:rPr>
          <w:lang w:val="fr-FR"/>
        </w:rPr>
        <w:t>Kur</w:t>
      </w:r>
      <w:proofErr w:type="spellEnd"/>
      <w:r w:rsidRPr="003B1303" w:rsidR="003027BF">
        <w:rPr>
          <w:lang w:val="fr-FR"/>
        </w:rPr>
        <w:t xml:space="preserve">. </w:t>
      </w:r>
      <w:proofErr w:type="gramStart"/>
      <w:r w:rsidRPr="003B1303" w:rsidR="003027BF">
        <w:rPr>
          <w:lang w:val="fr-FR"/>
        </w:rPr>
        <w:t>refusa</w:t>
      </w:r>
      <w:proofErr w:type="gramEnd"/>
      <w:r w:rsidRPr="003B1303" w:rsidR="003027BF">
        <w:rPr>
          <w:lang w:val="fr-FR"/>
        </w:rPr>
        <w:t xml:space="preserve"> de déposer. </w:t>
      </w:r>
      <w:r w:rsidRPr="003B1303">
        <w:rPr>
          <w:lang w:val="fr-FR"/>
        </w:rPr>
        <w:t>Tous les accusés plaidèrent non coupable.</w:t>
      </w:r>
    </w:p>
    <w:bookmarkStart w:name="procprevdoc" w:id="63"/>
    <w:p w:rsidRPr="003B1303" w:rsidR="00910559" w:rsidP="003B1303" w:rsidRDefault="00D549A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98</w:t>
      </w:r>
      <w:r w:rsidRPr="003B1303">
        <w:rPr>
          <w:lang w:val="fr-FR"/>
        </w:rPr>
        <w:fldChar w:fldCharType="end"/>
      </w:r>
      <w:bookmarkEnd w:id="63"/>
      <w:r w:rsidRPr="003B1303">
        <w:rPr>
          <w:lang w:val="fr-FR"/>
        </w:rPr>
        <w:t>.  L</w:t>
      </w:r>
      <w:r w:rsidRPr="003B1303" w:rsidR="003B1303">
        <w:rPr>
          <w:lang w:val="fr-FR"/>
        </w:rPr>
        <w:t>’</w:t>
      </w:r>
      <w:r w:rsidRPr="003B1303">
        <w:rPr>
          <w:lang w:val="fr-FR"/>
        </w:rPr>
        <w:t xml:space="preserve">accusation </w:t>
      </w:r>
      <w:r w:rsidRPr="003B1303" w:rsidR="00F65BBB">
        <w:rPr>
          <w:lang w:val="fr-FR"/>
        </w:rPr>
        <w:t xml:space="preserve">présenta des preuves documentaires </w:t>
      </w:r>
      <w:r w:rsidRPr="003B1303" w:rsidR="00C171C4">
        <w:rPr>
          <w:lang w:val="fr-FR"/>
        </w:rPr>
        <w:t xml:space="preserve">supplémentaires </w:t>
      </w:r>
      <w:r w:rsidRPr="003B1303" w:rsidR="00844F74">
        <w:rPr>
          <w:lang w:val="fr-FR"/>
        </w:rPr>
        <w:t>et</w:t>
      </w:r>
      <w:r w:rsidRPr="003B1303" w:rsidR="00F65BBB">
        <w:rPr>
          <w:lang w:val="fr-FR"/>
        </w:rPr>
        <w:t xml:space="preserve"> </w:t>
      </w:r>
      <w:r w:rsidRPr="003B1303" w:rsidR="00CD09AA">
        <w:rPr>
          <w:lang w:val="fr-FR"/>
        </w:rPr>
        <w:t>fit</w:t>
      </w:r>
      <w:r w:rsidRPr="003B1303">
        <w:rPr>
          <w:lang w:val="fr-FR"/>
        </w:rPr>
        <w:t xml:space="preserve"> </w:t>
      </w:r>
      <w:r w:rsidRPr="003B1303" w:rsidR="00CD09AA">
        <w:rPr>
          <w:lang w:val="fr-FR"/>
        </w:rPr>
        <w:t xml:space="preserve">interroger </w:t>
      </w:r>
      <w:r w:rsidRPr="003B1303">
        <w:rPr>
          <w:lang w:val="fr-FR"/>
        </w:rPr>
        <w:t xml:space="preserve">dix-huit autres témoins </w:t>
      </w:r>
      <w:r w:rsidRPr="003B1303" w:rsidR="00CD09AA">
        <w:rPr>
          <w:lang w:val="fr-FR"/>
        </w:rPr>
        <w:t xml:space="preserve">à charge </w:t>
      </w:r>
      <w:r w:rsidRPr="003B1303">
        <w:rPr>
          <w:lang w:val="fr-FR"/>
        </w:rPr>
        <w:t xml:space="preserve">qui </w:t>
      </w:r>
      <w:r w:rsidRPr="003B1303" w:rsidR="00844F74">
        <w:rPr>
          <w:lang w:val="fr-FR"/>
        </w:rPr>
        <w:t xml:space="preserve">effectuèrent des dépositions relatives à </w:t>
      </w:r>
      <w:r w:rsidRPr="003B1303">
        <w:rPr>
          <w:lang w:val="fr-FR"/>
        </w:rPr>
        <w:t>des circonstances pouvant démontrer indirectement l</w:t>
      </w:r>
      <w:r w:rsidRPr="003B1303" w:rsidR="003B1303">
        <w:rPr>
          <w:lang w:val="fr-FR"/>
        </w:rPr>
        <w:t>’</w:t>
      </w:r>
      <w:r w:rsidRPr="003B1303">
        <w:rPr>
          <w:lang w:val="fr-FR"/>
        </w:rPr>
        <w:t>implication des accusés dans la commission</w:t>
      </w:r>
      <w:r w:rsidRPr="003B1303" w:rsidR="00F00591">
        <w:rPr>
          <w:lang w:val="fr-FR"/>
        </w:rPr>
        <w:t xml:space="preserve"> de l</w:t>
      </w:r>
      <w:r w:rsidRPr="003B1303" w:rsidR="003B1303">
        <w:rPr>
          <w:lang w:val="fr-FR"/>
        </w:rPr>
        <w:t>’</w:t>
      </w:r>
      <w:r w:rsidRPr="003B1303" w:rsidR="00F00591">
        <w:rPr>
          <w:lang w:val="fr-FR"/>
        </w:rPr>
        <w:t>assassinat</w:t>
      </w:r>
      <w:r w:rsidRPr="003B1303" w:rsidR="00CD09AA">
        <w:rPr>
          <w:lang w:val="fr-FR"/>
        </w:rPr>
        <w:t xml:space="preserve"> de S.</w:t>
      </w:r>
    </w:p>
    <w:bookmarkStart w:name="procdecltem" w:id="64"/>
    <w:p w:rsidRPr="003B1303" w:rsidR="0085148A" w:rsidP="003B1303" w:rsidRDefault="0091055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99</w:t>
      </w:r>
      <w:r w:rsidRPr="003B1303">
        <w:rPr>
          <w:lang w:val="fr-FR"/>
        </w:rPr>
        <w:fldChar w:fldCharType="end"/>
      </w:r>
      <w:bookmarkEnd w:id="64"/>
      <w:r w:rsidRPr="003B1303">
        <w:rPr>
          <w:lang w:val="fr-FR"/>
        </w:rPr>
        <w:t>.  </w:t>
      </w:r>
      <w:r w:rsidRPr="003B1303" w:rsidR="007C622B">
        <w:rPr>
          <w:lang w:val="fr-FR"/>
        </w:rPr>
        <w:t>S</w:t>
      </w:r>
      <w:r w:rsidRPr="003B1303" w:rsidR="003B1303">
        <w:rPr>
          <w:lang w:val="fr-FR"/>
        </w:rPr>
        <w:t>’</w:t>
      </w:r>
      <w:r w:rsidRPr="003B1303" w:rsidR="00065680">
        <w:rPr>
          <w:lang w:val="fr-FR"/>
        </w:rPr>
        <w:t xml:space="preserve">agissant </w:t>
      </w:r>
      <w:r w:rsidRPr="003B1303" w:rsidR="00B0723F">
        <w:rPr>
          <w:lang w:val="fr-FR"/>
        </w:rPr>
        <w:t>du</w:t>
      </w:r>
      <w:r w:rsidRPr="003B1303" w:rsidR="00065680">
        <w:rPr>
          <w:lang w:val="fr-FR"/>
        </w:rPr>
        <w:t xml:space="preserve"> premier requérant, </w:t>
      </w:r>
      <w:r w:rsidRPr="003B1303">
        <w:rPr>
          <w:lang w:val="fr-FR"/>
        </w:rPr>
        <w:t xml:space="preserve">le témoin </w:t>
      </w:r>
      <w:r w:rsidRPr="003B1303" w:rsidR="00DE70E3">
        <w:rPr>
          <w:lang w:val="fr-FR"/>
        </w:rPr>
        <w:t xml:space="preserve">S., la veuve de la victime, </w:t>
      </w:r>
      <w:r w:rsidRPr="003B1303">
        <w:rPr>
          <w:lang w:val="fr-FR"/>
        </w:rPr>
        <w:t>déclara</w:t>
      </w:r>
      <w:r w:rsidRPr="003B1303" w:rsidR="00DE70E3">
        <w:rPr>
          <w:lang w:val="fr-FR"/>
        </w:rPr>
        <w:t xml:space="preserve"> que feu </w:t>
      </w:r>
      <w:r w:rsidRPr="003B1303" w:rsidR="007C622B">
        <w:rPr>
          <w:lang w:val="fr-FR"/>
        </w:rPr>
        <w:t xml:space="preserve">son </w:t>
      </w:r>
      <w:r w:rsidRPr="003B1303" w:rsidR="00657375">
        <w:rPr>
          <w:lang w:val="fr-FR"/>
        </w:rPr>
        <w:t>époux</w:t>
      </w:r>
      <w:r w:rsidRPr="003B1303" w:rsidR="00DE70E3">
        <w:rPr>
          <w:lang w:val="fr-FR"/>
        </w:rPr>
        <w:t xml:space="preserve"> </w:t>
      </w:r>
      <w:r w:rsidRPr="003B1303" w:rsidR="007C622B">
        <w:rPr>
          <w:lang w:val="fr-FR"/>
        </w:rPr>
        <w:t xml:space="preserve">était en </w:t>
      </w:r>
      <w:r w:rsidRPr="003B1303" w:rsidR="00DE70E3">
        <w:rPr>
          <w:lang w:val="fr-FR"/>
        </w:rPr>
        <w:t xml:space="preserve">conflit avec </w:t>
      </w:r>
      <w:proofErr w:type="spellStart"/>
      <w:r w:rsidRPr="003B1303" w:rsidR="00DE70E3">
        <w:rPr>
          <w:lang w:val="fr-FR"/>
        </w:rPr>
        <w:t>Kh</w:t>
      </w:r>
      <w:proofErr w:type="spellEnd"/>
      <w:r w:rsidRPr="003B1303" w:rsidR="00DE70E3">
        <w:rPr>
          <w:lang w:val="fr-FR"/>
        </w:rPr>
        <w:t xml:space="preserve">., </w:t>
      </w:r>
      <w:r w:rsidRPr="003B1303">
        <w:rPr>
          <w:lang w:val="fr-FR"/>
        </w:rPr>
        <w:t>homme d</w:t>
      </w:r>
      <w:r w:rsidRPr="003B1303" w:rsidR="003B1303">
        <w:rPr>
          <w:lang w:val="fr-FR"/>
        </w:rPr>
        <w:t>’</w:t>
      </w:r>
      <w:r w:rsidRPr="003B1303">
        <w:rPr>
          <w:lang w:val="fr-FR"/>
        </w:rPr>
        <w:t>affaire</w:t>
      </w:r>
      <w:r w:rsidRPr="003B1303" w:rsidR="007C622B">
        <w:rPr>
          <w:lang w:val="fr-FR"/>
        </w:rPr>
        <w:t>s</w:t>
      </w:r>
      <w:r w:rsidRPr="003B1303" w:rsidR="00065680">
        <w:rPr>
          <w:lang w:val="fr-FR"/>
        </w:rPr>
        <w:t xml:space="preserve"> et directeur du marché central de la ville de Bratsk</w:t>
      </w:r>
      <w:r w:rsidRPr="003B1303">
        <w:rPr>
          <w:lang w:val="fr-FR"/>
        </w:rPr>
        <w:t>, ainsi qu</w:t>
      </w:r>
      <w:r w:rsidRPr="003B1303" w:rsidR="003B1303">
        <w:rPr>
          <w:lang w:val="fr-FR"/>
        </w:rPr>
        <w:t>’</w:t>
      </w:r>
      <w:r w:rsidRPr="003B1303">
        <w:rPr>
          <w:lang w:val="fr-FR"/>
        </w:rPr>
        <w:t>avec le premier requérant, pour des raisons lié</w:t>
      </w:r>
      <w:r w:rsidRPr="003B1303" w:rsidR="00B0723F">
        <w:rPr>
          <w:lang w:val="fr-FR"/>
        </w:rPr>
        <w:t>e</w:t>
      </w:r>
      <w:r w:rsidRPr="003B1303">
        <w:rPr>
          <w:lang w:val="fr-FR"/>
        </w:rPr>
        <w:t>s à leur activité professionnelle.</w:t>
      </w:r>
      <w:r w:rsidRPr="003B1303" w:rsidR="00065680">
        <w:rPr>
          <w:lang w:val="fr-FR"/>
        </w:rPr>
        <w:t xml:space="preserve"> </w:t>
      </w:r>
      <w:r w:rsidRPr="003B1303">
        <w:rPr>
          <w:lang w:val="fr-FR"/>
        </w:rPr>
        <w:t>Le témoin P., une collègue de la victime, déclara qu</w:t>
      </w:r>
      <w:r w:rsidRPr="003B1303" w:rsidR="003B1303">
        <w:rPr>
          <w:lang w:val="fr-FR"/>
        </w:rPr>
        <w:t>’</w:t>
      </w:r>
      <w:r w:rsidRPr="003B1303">
        <w:rPr>
          <w:lang w:val="fr-FR"/>
        </w:rPr>
        <w:t xml:space="preserve">elle </w:t>
      </w:r>
      <w:r w:rsidRPr="003B1303" w:rsidR="007C622B">
        <w:rPr>
          <w:lang w:val="fr-FR"/>
        </w:rPr>
        <w:t>était</w:t>
      </w:r>
      <w:r w:rsidRPr="003B1303" w:rsidR="00657375">
        <w:rPr>
          <w:lang w:val="fr-FR"/>
        </w:rPr>
        <w:t xml:space="preserve"> présente pendan</w:t>
      </w:r>
      <w:r w:rsidRPr="003B1303" w:rsidR="00B0723F">
        <w:rPr>
          <w:lang w:val="fr-FR"/>
        </w:rPr>
        <w:t>t</w:t>
      </w:r>
      <w:r w:rsidRPr="003B1303" w:rsidR="00657375">
        <w:rPr>
          <w:lang w:val="fr-FR"/>
        </w:rPr>
        <w:t xml:space="preserve"> </w:t>
      </w:r>
      <w:r w:rsidRPr="003B1303">
        <w:rPr>
          <w:lang w:val="fr-FR"/>
        </w:rPr>
        <w:t xml:space="preserve">une visite de </w:t>
      </w:r>
      <w:proofErr w:type="spellStart"/>
      <w:r w:rsidRPr="003B1303">
        <w:rPr>
          <w:lang w:val="fr-FR"/>
        </w:rPr>
        <w:t>Kh</w:t>
      </w:r>
      <w:proofErr w:type="spellEnd"/>
      <w:r w:rsidRPr="003B1303">
        <w:rPr>
          <w:lang w:val="fr-FR"/>
        </w:rPr>
        <w:t xml:space="preserve">. dans le bureau de </w:t>
      </w:r>
      <w:r w:rsidRPr="003B1303" w:rsidR="00657375">
        <w:rPr>
          <w:lang w:val="fr-FR"/>
        </w:rPr>
        <w:t>la victime</w:t>
      </w:r>
      <w:r w:rsidRPr="003B1303" w:rsidR="00C171C4">
        <w:rPr>
          <w:lang w:val="fr-FR"/>
        </w:rPr>
        <w:t>,</w:t>
      </w:r>
      <w:r w:rsidRPr="003B1303" w:rsidR="00657375">
        <w:rPr>
          <w:lang w:val="fr-FR"/>
        </w:rPr>
        <w:t xml:space="preserve"> </w:t>
      </w:r>
      <w:r w:rsidRPr="003B1303">
        <w:rPr>
          <w:lang w:val="fr-FR"/>
        </w:rPr>
        <w:t xml:space="preserve">lors de laquelle </w:t>
      </w:r>
      <w:proofErr w:type="spellStart"/>
      <w:r w:rsidRPr="003B1303">
        <w:rPr>
          <w:lang w:val="fr-FR"/>
        </w:rPr>
        <w:t>Kh</w:t>
      </w:r>
      <w:proofErr w:type="spellEnd"/>
      <w:r w:rsidRPr="003B1303">
        <w:rPr>
          <w:lang w:val="fr-FR"/>
        </w:rPr>
        <w:t xml:space="preserve">. </w:t>
      </w:r>
      <w:r w:rsidRPr="003B1303" w:rsidR="00657375">
        <w:rPr>
          <w:lang w:val="fr-FR"/>
        </w:rPr>
        <w:t xml:space="preserve">avait manifesté son mécontentement </w:t>
      </w:r>
      <w:r w:rsidRPr="003B1303" w:rsidR="007C622B">
        <w:rPr>
          <w:lang w:val="fr-FR"/>
        </w:rPr>
        <w:t xml:space="preserve">quant à </w:t>
      </w:r>
      <w:r w:rsidRPr="003B1303">
        <w:rPr>
          <w:lang w:val="fr-FR"/>
        </w:rPr>
        <w:t>l</w:t>
      </w:r>
      <w:r w:rsidRPr="003B1303" w:rsidR="003B1303">
        <w:rPr>
          <w:lang w:val="fr-FR"/>
        </w:rPr>
        <w:t>’</w:t>
      </w:r>
      <w:r w:rsidRPr="003B1303">
        <w:rPr>
          <w:lang w:val="fr-FR"/>
        </w:rPr>
        <w:t>activité de S. en tant que procureur.</w:t>
      </w:r>
      <w:r w:rsidRPr="003B1303" w:rsidR="00065680">
        <w:rPr>
          <w:lang w:val="fr-FR"/>
        </w:rPr>
        <w:t xml:space="preserve"> </w:t>
      </w:r>
      <w:r w:rsidRPr="003B1303">
        <w:rPr>
          <w:lang w:val="fr-FR"/>
        </w:rPr>
        <w:t>Le témoin Z.</w:t>
      </w:r>
      <w:r w:rsidRPr="003B1303" w:rsidR="0022152D">
        <w:rPr>
          <w:lang w:val="fr-FR"/>
        </w:rPr>
        <w:t>, un collègue de la victime,</w:t>
      </w:r>
      <w:r w:rsidRPr="003B1303">
        <w:rPr>
          <w:lang w:val="fr-FR"/>
        </w:rPr>
        <w:t xml:space="preserve"> déclara que le premier requérant </w:t>
      </w:r>
      <w:r w:rsidRPr="003B1303" w:rsidR="007C622B">
        <w:rPr>
          <w:lang w:val="fr-FR"/>
        </w:rPr>
        <w:t xml:space="preserve">avait fait </w:t>
      </w:r>
      <w:r w:rsidRPr="003B1303">
        <w:rPr>
          <w:lang w:val="fr-FR"/>
        </w:rPr>
        <w:t>l</w:t>
      </w:r>
      <w:r w:rsidRPr="003B1303" w:rsidR="003B1303">
        <w:rPr>
          <w:lang w:val="fr-FR"/>
        </w:rPr>
        <w:t>’</w:t>
      </w:r>
      <w:r w:rsidRPr="003B1303">
        <w:rPr>
          <w:lang w:val="fr-FR"/>
        </w:rPr>
        <w:t>objet d</w:t>
      </w:r>
      <w:r w:rsidRPr="003B1303" w:rsidR="003B1303">
        <w:rPr>
          <w:lang w:val="fr-FR"/>
        </w:rPr>
        <w:t>’</w:t>
      </w:r>
      <w:r w:rsidRPr="003B1303">
        <w:rPr>
          <w:lang w:val="fr-FR"/>
        </w:rPr>
        <w:t xml:space="preserve">une enquête initiée par </w:t>
      </w:r>
      <w:r w:rsidRPr="003B1303" w:rsidR="00657375">
        <w:rPr>
          <w:lang w:val="fr-FR"/>
        </w:rPr>
        <w:t xml:space="preserve">S., la victime, </w:t>
      </w:r>
      <w:r w:rsidRPr="003B1303">
        <w:rPr>
          <w:lang w:val="fr-FR"/>
        </w:rPr>
        <w:t xml:space="preserve">ce qui </w:t>
      </w:r>
      <w:r w:rsidRPr="003B1303" w:rsidR="007C622B">
        <w:rPr>
          <w:lang w:val="fr-FR"/>
        </w:rPr>
        <w:t xml:space="preserve">aurait </w:t>
      </w:r>
      <w:r w:rsidRPr="003B1303">
        <w:rPr>
          <w:lang w:val="fr-FR"/>
        </w:rPr>
        <w:t xml:space="preserve">généré un conflit entre </w:t>
      </w:r>
      <w:r w:rsidRPr="003B1303" w:rsidR="007C622B">
        <w:rPr>
          <w:lang w:val="fr-FR"/>
        </w:rPr>
        <w:t>le premier requérant et S</w:t>
      </w:r>
      <w:r w:rsidRPr="003B1303">
        <w:rPr>
          <w:lang w:val="fr-FR"/>
        </w:rPr>
        <w:t xml:space="preserve">. Il </w:t>
      </w:r>
      <w:r w:rsidRPr="003B1303" w:rsidR="00C171C4">
        <w:rPr>
          <w:lang w:val="fr-FR"/>
        </w:rPr>
        <w:t>ajouta</w:t>
      </w:r>
      <w:r w:rsidRPr="003B1303">
        <w:rPr>
          <w:lang w:val="fr-FR"/>
        </w:rPr>
        <w:t xml:space="preserve"> que </w:t>
      </w:r>
      <w:proofErr w:type="spellStart"/>
      <w:r w:rsidRPr="003B1303" w:rsidR="0022152D">
        <w:rPr>
          <w:lang w:val="fr-FR"/>
        </w:rPr>
        <w:t>Kh</w:t>
      </w:r>
      <w:proofErr w:type="spellEnd"/>
      <w:r w:rsidRPr="003B1303" w:rsidR="0022152D">
        <w:rPr>
          <w:lang w:val="fr-FR"/>
        </w:rPr>
        <w:t xml:space="preserve">. et le premier requérant </w:t>
      </w:r>
      <w:r w:rsidRPr="003B1303" w:rsidR="007C622B">
        <w:rPr>
          <w:lang w:val="fr-FR"/>
        </w:rPr>
        <w:t>étaient</w:t>
      </w:r>
      <w:r w:rsidRPr="003B1303" w:rsidR="0022152D">
        <w:rPr>
          <w:lang w:val="fr-FR"/>
        </w:rPr>
        <w:t xml:space="preserve"> amis et qu</w:t>
      </w:r>
      <w:r w:rsidRPr="003B1303" w:rsidR="003B1303">
        <w:rPr>
          <w:lang w:val="fr-FR"/>
        </w:rPr>
        <w:t>’</w:t>
      </w:r>
      <w:r w:rsidRPr="003B1303" w:rsidR="0022152D">
        <w:rPr>
          <w:lang w:val="fr-FR"/>
        </w:rPr>
        <w:t>il les avait souvent vus ensemble.</w:t>
      </w:r>
      <w:r w:rsidRPr="003B1303" w:rsidR="00065680">
        <w:rPr>
          <w:lang w:val="fr-FR"/>
        </w:rPr>
        <w:t xml:space="preserve"> </w:t>
      </w:r>
      <w:r w:rsidRPr="003B1303" w:rsidR="0022152D">
        <w:rPr>
          <w:lang w:val="fr-FR"/>
        </w:rPr>
        <w:t>Le témoin B., un supérieur hiérarchique de la victime, déclara</w:t>
      </w:r>
      <w:r w:rsidRPr="003B1303" w:rsidR="00C171C4">
        <w:rPr>
          <w:lang w:val="fr-FR"/>
        </w:rPr>
        <w:t>,</w:t>
      </w:r>
      <w:r w:rsidRPr="003B1303" w:rsidR="0022152D">
        <w:rPr>
          <w:lang w:val="fr-FR"/>
        </w:rPr>
        <w:t xml:space="preserve"> entre autres</w:t>
      </w:r>
      <w:r w:rsidRPr="003B1303" w:rsidR="00C171C4">
        <w:rPr>
          <w:lang w:val="fr-FR"/>
        </w:rPr>
        <w:t>,</w:t>
      </w:r>
      <w:r w:rsidRPr="003B1303" w:rsidR="0022152D">
        <w:rPr>
          <w:lang w:val="fr-FR"/>
        </w:rPr>
        <w:t xml:space="preserve"> </w:t>
      </w:r>
      <w:r w:rsidRPr="003B1303" w:rsidR="006F1EB1">
        <w:rPr>
          <w:lang w:val="fr-FR"/>
        </w:rPr>
        <w:t xml:space="preserve">que </w:t>
      </w:r>
      <w:r w:rsidRPr="003B1303" w:rsidR="00117DA1">
        <w:rPr>
          <w:lang w:val="fr-FR"/>
        </w:rPr>
        <w:t>S.</w:t>
      </w:r>
      <w:r w:rsidRPr="003B1303" w:rsidR="006F1EB1">
        <w:rPr>
          <w:lang w:val="fr-FR"/>
        </w:rPr>
        <w:t xml:space="preserve"> était en conflit avec </w:t>
      </w:r>
      <w:proofErr w:type="spellStart"/>
      <w:r w:rsidRPr="003B1303" w:rsidR="006F1EB1">
        <w:rPr>
          <w:lang w:val="fr-FR"/>
        </w:rPr>
        <w:t>Kh</w:t>
      </w:r>
      <w:proofErr w:type="spellEnd"/>
      <w:r w:rsidRPr="003B1303" w:rsidR="006F1EB1">
        <w:rPr>
          <w:lang w:val="fr-FR"/>
        </w:rPr>
        <w:t>. pour des raisons lié</w:t>
      </w:r>
      <w:r w:rsidRPr="003B1303" w:rsidR="00B0723F">
        <w:rPr>
          <w:lang w:val="fr-FR"/>
        </w:rPr>
        <w:t>e</w:t>
      </w:r>
      <w:r w:rsidRPr="003B1303" w:rsidR="006F1EB1">
        <w:rPr>
          <w:lang w:val="fr-FR"/>
        </w:rPr>
        <w:t>s à son activité professionnelle</w:t>
      </w:r>
      <w:r w:rsidRPr="003B1303" w:rsidR="007C622B">
        <w:rPr>
          <w:lang w:val="fr-FR"/>
        </w:rPr>
        <w:t xml:space="preserve"> et</w:t>
      </w:r>
      <w:r w:rsidRPr="003B1303" w:rsidR="00065680">
        <w:rPr>
          <w:lang w:val="fr-FR"/>
        </w:rPr>
        <w:t xml:space="preserve"> notamment en raison de l</w:t>
      </w:r>
      <w:r w:rsidRPr="003B1303" w:rsidR="003B1303">
        <w:rPr>
          <w:lang w:val="fr-FR"/>
        </w:rPr>
        <w:t>’</w:t>
      </w:r>
      <w:r w:rsidRPr="003B1303" w:rsidR="00065680">
        <w:rPr>
          <w:lang w:val="fr-FR"/>
        </w:rPr>
        <w:t>initiation par S. d</w:t>
      </w:r>
      <w:r w:rsidRPr="003B1303" w:rsidR="003B1303">
        <w:rPr>
          <w:lang w:val="fr-FR"/>
        </w:rPr>
        <w:t>’</w:t>
      </w:r>
      <w:r w:rsidRPr="003B1303" w:rsidR="00065680">
        <w:rPr>
          <w:lang w:val="fr-FR"/>
        </w:rPr>
        <w:t>une enquête pénale à l</w:t>
      </w:r>
      <w:r w:rsidRPr="003B1303" w:rsidR="003B1303">
        <w:rPr>
          <w:lang w:val="fr-FR"/>
        </w:rPr>
        <w:t>’</w:t>
      </w:r>
      <w:r w:rsidRPr="003B1303" w:rsidR="00065680">
        <w:rPr>
          <w:lang w:val="fr-FR"/>
        </w:rPr>
        <w:t xml:space="preserve">égard du premier requérant. </w:t>
      </w:r>
      <w:r w:rsidRPr="003B1303" w:rsidR="0022152D">
        <w:rPr>
          <w:lang w:val="fr-FR"/>
        </w:rPr>
        <w:t>Les témoins S.</w:t>
      </w:r>
      <w:r w:rsidRPr="003B1303" w:rsidR="006F1EB1">
        <w:rPr>
          <w:lang w:val="fr-FR"/>
        </w:rPr>
        <w:t xml:space="preserve"> et </w:t>
      </w:r>
      <w:proofErr w:type="spellStart"/>
      <w:r w:rsidRPr="003B1303" w:rsidR="006F1EB1">
        <w:rPr>
          <w:lang w:val="fr-FR"/>
        </w:rPr>
        <w:t>Za</w:t>
      </w:r>
      <w:proofErr w:type="spellEnd"/>
      <w:r w:rsidRPr="003B1303" w:rsidR="006F1EB1">
        <w:rPr>
          <w:lang w:val="fr-FR"/>
        </w:rPr>
        <w:t>.</w:t>
      </w:r>
      <w:r w:rsidRPr="003B1303" w:rsidR="0022152D">
        <w:rPr>
          <w:lang w:val="fr-FR"/>
        </w:rPr>
        <w:t xml:space="preserve">, </w:t>
      </w:r>
      <w:r w:rsidRPr="003B1303" w:rsidR="006F1EB1">
        <w:rPr>
          <w:lang w:val="fr-FR"/>
        </w:rPr>
        <w:t xml:space="preserve">des collègues de </w:t>
      </w:r>
      <w:proofErr w:type="spellStart"/>
      <w:r w:rsidRPr="003B1303" w:rsidR="006F1EB1">
        <w:rPr>
          <w:lang w:val="fr-FR"/>
        </w:rPr>
        <w:t>Kh</w:t>
      </w:r>
      <w:proofErr w:type="spellEnd"/>
      <w:r w:rsidRPr="003B1303" w:rsidR="006F1EB1">
        <w:rPr>
          <w:lang w:val="fr-FR"/>
        </w:rPr>
        <w:t xml:space="preserve">., </w:t>
      </w:r>
      <w:r w:rsidRPr="003B1303" w:rsidR="0022152D">
        <w:rPr>
          <w:lang w:val="fr-FR"/>
        </w:rPr>
        <w:t xml:space="preserve">déclarèrent </w:t>
      </w:r>
      <w:r w:rsidRPr="003B1303" w:rsidR="00C171C4">
        <w:rPr>
          <w:lang w:val="fr-FR"/>
        </w:rPr>
        <w:t>notamment</w:t>
      </w:r>
      <w:r w:rsidRPr="003B1303" w:rsidR="0022152D">
        <w:rPr>
          <w:lang w:val="fr-FR"/>
        </w:rPr>
        <w:t xml:space="preserve"> que </w:t>
      </w:r>
      <w:proofErr w:type="spellStart"/>
      <w:r w:rsidRPr="003B1303" w:rsidR="0022152D">
        <w:rPr>
          <w:lang w:val="fr-FR"/>
        </w:rPr>
        <w:t>Kh</w:t>
      </w:r>
      <w:proofErr w:type="spellEnd"/>
      <w:r w:rsidRPr="003B1303" w:rsidR="0022152D">
        <w:rPr>
          <w:lang w:val="fr-FR"/>
        </w:rPr>
        <w:t>. et le premier requérant étaient amis</w:t>
      </w:r>
      <w:r w:rsidRPr="003B1303" w:rsidR="006F1EB1">
        <w:rPr>
          <w:lang w:val="fr-FR"/>
        </w:rPr>
        <w:t>.</w:t>
      </w:r>
      <w:r w:rsidRPr="003B1303" w:rsidR="00065680">
        <w:rPr>
          <w:lang w:val="fr-FR"/>
        </w:rPr>
        <w:t xml:space="preserve"> </w:t>
      </w:r>
      <w:r w:rsidRPr="003B1303" w:rsidR="006F1EB1">
        <w:rPr>
          <w:lang w:val="fr-FR"/>
        </w:rPr>
        <w:t>Le témoin G., un officier de police à l</w:t>
      </w:r>
      <w:r w:rsidRPr="003B1303" w:rsidR="003B1303">
        <w:rPr>
          <w:lang w:val="fr-FR"/>
        </w:rPr>
        <w:t>’</w:t>
      </w:r>
      <w:r w:rsidRPr="003B1303" w:rsidR="006F1EB1">
        <w:rPr>
          <w:lang w:val="fr-FR"/>
        </w:rPr>
        <w:t>époque de</w:t>
      </w:r>
      <w:r w:rsidRPr="003B1303" w:rsidR="00B0723F">
        <w:rPr>
          <w:lang w:val="fr-FR"/>
        </w:rPr>
        <w:t>s</w:t>
      </w:r>
      <w:r w:rsidRPr="003B1303" w:rsidR="006F1EB1">
        <w:rPr>
          <w:lang w:val="fr-FR"/>
        </w:rPr>
        <w:t xml:space="preserve"> fait</w:t>
      </w:r>
      <w:r w:rsidRPr="003B1303" w:rsidR="00B0723F">
        <w:rPr>
          <w:lang w:val="fr-FR"/>
        </w:rPr>
        <w:t>s</w:t>
      </w:r>
      <w:r w:rsidRPr="003B1303" w:rsidR="006F1EB1">
        <w:rPr>
          <w:lang w:val="fr-FR"/>
        </w:rPr>
        <w:t xml:space="preserve">, déclara </w:t>
      </w:r>
      <w:r w:rsidRPr="003B1303" w:rsidR="00065680">
        <w:rPr>
          <w:lang w:val="fr-FR"/>
        </w:rPr>
        <w:t xml:space="preserve">que </w:t>
      </w:r>
      <w:proofErr w:type="spellStart"/>
      <w:r w:rsidRPr="003B1303" w:rsidR="00065680">
        <w:rPr>
          <w:lang w:val="fr-FR"/>
        </w:rPr>
        <w:t>Kh</w:t>
      </w:r>
      <w:proofErr w:type="spellEnd"/>
      <w:r w:rsidRPr="003B1303" w:rsidR="00065680">
        <w:rPr>
          <w:lang w:val="fr-FR"/>
        </w:rPr>
        <w:t xml:space="preserve">. était un ami du premier requérant et que ce dernier </w:t>
      </w:r>
      <w:r w:rsidRPr="003B1303" w:rsidR="0006484E">
        <w:rPr>
          <w:lang w:val="fr-FR"/>
        </w:rPr>
        <w:t xml:space="preserve">avait à plusieurs reprises aidé </w:t>
      </w:r>
      <w:proofErr w:type="spellStart"/>
      <w:r w:rsidRPr="003B1303" w:rsidR="0006484E">
        <w:rPr>
          <w:lang w:val="fr-FR"/>
        </w:rPr>
        <w:t>Kh</w:t>
      </w:r>
      <w:proofErr w:type="spellEnd"/>
      <w:r w:rsidRPr="003B1303" w:rsidR="0006484E">
        <w:rPr>
          <w:lang w:val="fr-FR"/>
        </w:rPr>
        <w:t>. à éviter des poursuites pour détention illégale d</w:t>
      </w:r>
      <w:r w:rsidRPr="003B1303" w:rsidR="003B1303">
        <w:rPr>
          <w:lang w:val="fr-FR"/>
        </w:rPr>
        <w:t>’</w:t>
      </w:r>
      <w:r w:rsidRPr="003B1303" w:rsidR="0006484E">
        <w:rPr>
          <w:lang w:val="fr-FR"/>
        </w:rPr>
        <w:t>armes.</w:t>
      </w:r>
    </w:p>
    <w:bookmarkStart w:name="preuv2" w:id="65"/>
    <w:p w:rsidRPr="003B1303" w:rsidR="00257B5C" w:rsidP="003B1303" w:rsidRDefault="00D549A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100</w:t>
      </w:r>
      <w:r w:rsidRPr="003B1303">
        <w:rPr>
          <w:lang w:val="fr-FR"/>
        </w:rPr>
        <w:fldChar w:fldCharType="end"/>
      </w:r>
      <w:bookmarkEnd w:id="65"/>
      <w:r w:rsidRPr="003B1303">
        <w:rPr>
          <w:lang w:val="fr-FR"/>
        </w:rPr>
        <w:t>.  </w:t>
      </w:r>
      <w:r w:rsidRPr="003B1303" w:rsidR="00310E5A">
        <w:rPr>
          <w:lang w:val="fr-FR"/>
        </w:rPr>
        <w:t>Pendant le procès, l</w:t>
      </w:r>
      <w:r w:rsidRPr="003B1303" w:rsidR="00CD09AA">
        <w:rPr>
          <w:lang w:val="fr-FR"/>
        </w:rPr>
        <w:t>a défense présenta di</w:t>
      </w:r>
      <w:r w:rsidRPr="003B1303" w:rsidR="0072333D">
        <w:rPr>
          <w:lang w:val="fr-FR"/>
        </w:rPr>
        <w:t>vers</w:t>
      </w:r>
      <w:r w:rsidRPr="003B1303" w:rsidR="00CD09AA">
        <w:rPr>
          <w:lang w:val="fr-FR"/>
        </w:rPr>
        <w:t xml:space="preserve"> éléments de preuve documentaires </w:t>
      </w:r>
      <w:r w:rsidRPr="003B1303" w:rsidR="00117DA1">
        <w:rPr>
          <w:lang w:val="fr-FR"/>
        </w:rPr>
        <w:t>et</w:t>
      </w:r>
      <w:r w:rsidRPr="003B1303" w:rsidR="00CD09AA">
        <w:rPr>
          <w:lang w:val="fr-FR"/>
        </w:rPr>
        <w:t xml:space="preserve"> fit interroger quatre-vingt</w:t>
      </w:r>
      <w:r w:rsidRPr="003B1303" w:rsidR="003B12EC">
        <w:rPr>
          <w:lang w:val="fr-FR"/>
        </w:rPr>
        <w:t>s</w:t>
      </w:r>
      <w:r w:rsidRPr="003B1303" w:rsidR="00CD09AA">
        <w:rPr>
          <w:lang w:val="fr-FR"/>
        </w:rPr>
        <w:t xml:space="preserve"> témoins à décharge.</w:t>
      </w:r>
    </w:p>
    <w:p w:rsidRPr="003B1303" w:rsidR="004C2AFD" w:rsidP="003B1303" w:rsidRDefault="00EC1175">
      <w:pPr>
        <w:pStyle w:val="ECHRHeading3"/>
        <w:rPr>
          <w:lang w:val="fr-FR"/>
        </w:rPr>
      </w:pPr>
      <w:r w:rsidRPr="003B1303">
        <w:rPr>
          <w:lang w:val="fr-FR"/>
        </w:rPr>
        <w:t>5</w:t>
      </w:r>
      <w:r w:rsidRPr="003B1303" w:rsidR="00DF7020">
        <w:rPr>
          <w:lang w:val="fr-FR"/>
        </w:rPr>
        <w:t>.  </w:t>
      </w:r>
      <w:r w:rsidRPr="003B1303" w:rsidR="004C2AFD">
        <w:rPr>
          <w:lang w:val="fr-FR"/>
        </w:rPr>
        <w:t xml:space="preserve">La condamnation </w:t>
      </w:r>
      <w:r w:rsidRPr="003B1303">
        <w:rPr>
          <w:lang w:val="fr-FR"/>
        </w:rPr>
        <w:t>des requérants</w:t>
      </w:r>
    </w:p>
    <w:p w:rsidRPr="003B1303" w:rsidR="00AD457B" w:rsidP="003B1303" w:rsidRDefault="0076583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101</w:t>
      </w:r>
      <w:r w:rsidRPr="003B1303">
        <w:rPr>
          <w:lang w:val="fr-FR"/>
        </w:rPr>
        <w:fldChar w:fldCharType="end"/>
      </w:r>
      <w:r w:rsidRPr="003B1303">
        <w:rPr>
          <w:lang w:val="fr-FR"/>
        </w:rPr>
        <w:t>.  À la fin du procès, dans ses</w:t>
      </w:r>
      <w:r w:rsidRPr="003B1303" w:rsidR="0006484E">
        <w:rPr>
          <w:lang w:val="fr-FR"/>
        </w:rPr>
        <w:t xml:space="preserve"> </w:t>
      </w:r>
      <w:r w:rsidRPr="003B1303">
        <w:rPr>
          <w:lang w:val="fr-FR"/>
        </w:rPr>
        <w:t>instructions au jury</w:t>
      </w:r>
      <w:r w:rsidRPr="003B1303" w:rsidR="009A45BC">
        <w:rPr>
          <w:lang w:val="fr-FR"/>
        </w:rPr>
        <w:t>,</w:t>
      </w:r>
      <w:r w:rsidRPr="003B1303">
        <w:rPr>
          <w:lang w:val="fr-FR"/>
        </w:rPr>
        <w:t xml:space="preserve"> la juge résuma, entre autres, </w:t>
      </w:r>
      <w:r w:rsidRPr="003B1303" w:rsidR="009248D2">
        <w:rPr>
          <w:lang w:val="fr-FR"/>
        </w:rPr>
        <w:t xml:space="preserve">le contenu des preuves présentées </w:t>
      </w:r>
      <w:r w:rsidRPr="003B1303" w:rsidR="00310E5A">
        <w:rPr>
          <w:lang w:val="fr-FR"/>
        </w:rPr>
        <w:t>par l</w:t>
      </w:r>
      <w:r w:rsidRPr="003B1303" w:rsidR="003B1303">
        <w:rPr>
          <w:lang w:val="fr-FR"/>
        </w:rPr>
        <w:t>’</w:t>
      </w:r>
      <w:r w:rsidRPr="003B1303" w:rsidR="00310E5A">
        <w:rPr>
          <w:lang w:val="fr-FR"/>
        </w:rPr>
        <w:t xml:space="preserve">accusation et </w:t>
      </w:r>
      <w:r w:rsidRPr="003B1303" w:rsidR="0006484E">
        <w:rPr>
          <w:lang w:val="fr-FR"/>
        </w:rPr>
        <w:t xml:space="preserve">par </w:t>
      </w:r>
      <w:r w:rsidRPr="003B1303" w:rsidR="00310E5A">
        <w:rPr>
          <w:lang w:val="fr-FR"/>
        </w:rPr>
        <w:t>la défense</w:t>
      </w:r>
      <w:r w:rsidRPr="003B1303" w:rsidR="009248D2">
        <w:rPr>
          <w:lang w:val="fr-FR"/>
        </w:rPr>
        <w:t xml:space="preserve">. </w:t>
      </w:r>
      <w:r w:rsidRPr="003B1303" w:rsidR="00990608">
        <w:rPr>
          <w:lang w:val="fr-FR"/>
        </w:rPr>
        <w:t>S</w:t>
      </w:r>
      <w:r w:rsidRPr="003B1303" w:rsidR="003B1303">
        <w:rPr>
          <w:lang w:val="fr-FR"/>
        </w:rPr>
        <w:t>’</w:t>
      </w:r>
      <w:r w:rsidRPr="003B1303" w:rsidR="00990608">
        <w:rPr>
          <w:lang w:val="fr-FR"/>
        </w:rPr>
        <w:t>agissant de l</w:t>
      </w:r>
      <w:r w:rsidRPr="003B1303" w:rsidR="003B1303">
        <w:rPr>
          <w:lang w:val="fr-FR"/>
        </w:rPr>
        <w:t>’</w:t>
      </w:r>
      <w:r w:rsidRPr="003B1303" w:rsidR="00990608">
        <w:rPr>
          <w:lang w:val="fr-FR"/>
        </w:rPr>
        <w:t>appréciation des preuves</w:t>
      </w:r>
      <w:r w:rsidRPr="003B1303" w:rsidR="009A45BC">
        <w:rPr>
          <w:lang w:val="fr-FR"/>
        </w:rPr>
        <w:t xml:space="preserve"> à effectuer par les jurés</w:t>
      </w:r>
      <w:r w:rsidRPr="003B1303" w:rsidR="00990608">
        <w:rPr>
          <w:lang w:val="fr-FR"/>
        </w:rPr>
        <w:t>, la juge indiqua que toutes les preuves présentées pendant les débats avaient un poids égal et qu</w:t>
      </w:r>
      <w:r w:rsidRPr="003B1303" w:rsidR="003B1303">
        <w:rPr>
          <w:lang w:val="fr-FR"/>
        </w:rPr>
        <w:t>’</w:t>
      </w:r>
      <w:r w:rsidRPr="003B1303" w:rsidR="00990608">
        <w:rPr>
          <w:lang w:val="fr-FR"/>
        </w:rPr>
        <w:t xml:space="preserve">il fallait les apprécier dans leur ensemble sans faire </w:t>
      </w:r>
      <w:r w:rsidRPr="003B1303" w:rsidR="00F94D11">
        <w:rPr>
          <w:lang w:val="fr-FR"/>
        </w:rPr>
        <w:t xml:space="preserve">de </w:t>
      </w:r>
      <w:r w:rsidRPr="003B1303" w:rsidR="00990608">
        <w:rPr>
          <w:lang w:val="fr-FR"/>
        </w:rPr>
        <w:t>distinction entre les preuves obtenues lors de l</w:t>
      </w:r>
      <w:r w:rsidRPr="003B1303" w:rsidR="003B1303">
        <w:rPr>
          <w:lang w:val="fr-FR"/>
        </w:rPr>
        <w:t>’</w:t>
      </w:r>
      <w:r w:rsidRPr="003B1303" w:rsidR="00990608">
        <w:rPr>
          <w:lang w:val="fr-FR"/>
        </w:rPr>
        <w:t>instruction judiciaire et celles obtenues pendant la phase de l</w:t>
      </w:r>
      <w:r w:rsidRPr="003B1303" w:rsidR="003B1303">
        <w:rPr>
          <w:lang w:val="fr-FR"/>
        </w:rPr>
        <w:t>’</w:t>
      </w:r>
      <w:r w:rsidRPr="003B1303" w:rsidR="00990608">
        <w:rPr>
          <w:lang w:val="fr-FR"/>
        </w:rPr>
        <w:t xml:space="preserve">enquête pénale. Elle souligna </w:t>
      </w:r>
      <w:r w:rsidRPr="003B1303" w:rsidR="009A45BC">
        <w:rPr>
          <w:lang w:val="fr-FR"/>
        </w:rPr>
        <w:t xml:space="preserve">à cet égard </w:t>
      </w:r>
      <w:r w:rsidRPr="003B1303" w:rsidR="00990608">
        <w:rPr>
          <w:lang w:val="fr-FR"/>
        </w:rPr>
        <w:t>que s</w:t>
      </w:r>
      <w:r w:rsidRPr="003B1303" w:rsidR="009A45BC">
        <w:rPr>
          <w:lang w:val="fr-FR"/>
        </w:rPr>
        <w:t xml:space="preserve">i une preuve </w:t>
      </w:r>
      <w:r w:rsidRPr="003B1303" w:rsidR="00F94D11">
        <w:rPr>
          <w:lang w:val="fr-FR"/>
        </w:rPr>
        <w:t xml:space="preserve">avait </w:t>
      </w:r>
      <w:r w:rsidRPr="003B1303" w:rsidR="009A45BC">
        <w:rPr>
          <w:lang w:val="fr-FR"/>
        </w:rPr>
        <w:t xml:space="preserve">été obtenue </w:t>
      </w:r>
      <w:r w:rsidRPr="003B1303" w:rsidR="00B979AD">
        <w:rPr>
          <w:lang w:val="fr-FR"/>
        </w:rPr>
        <w:t>d</w:t>
      </w:r>
      <w:r w:rsidRPr="003B1303" w:rsidR="003B1303">
        <w:rPr>
          <w:lang w:val="fr-FR"/>
        </w:rPr>
        <w:t>’</w:t>
      </w:r>
      <w:r w:rsidRPr="003B1303" w:rsidR="00B979AD">
        <w:rPr>
          <w:lang w:val="fr-FR"/>
        </w:rPr>
        <w:t xml:space="preserve">une manière illégale </w:t>
      </w:r>
      <w:r w:rsidRPr="003B1303" w:rsidR="009A45BC">
        <w:rPr>
          <w:lang w:val="fr-FR"/>
        </w:rPr>
        <w:t>pendant la phase de l</w:t>
      </w:r>
      <w:r w:rsidRPr="003B1303" w:rsidR="003B1303">
        <w:rPr>
          <w:lang w:val="fr-FR"/>
        </w:rPr>
        <w:t>’</w:t>
      </w:r>
      <w:r w:rsidRPr="003B1303" w:rsidR="009A45BC">
        <w:rPr>
          <w:lang w:val="fr-FR"/>
        </w:rPr>
        <w:t>enquête pénale, elle n</w:t>
      </w:r>
      <w:r w:rsidRPr="003B1303" w:rsidR="003B1303">
        <w:rPr>
          <w:lang w:val="fr-FR"/>
        </w:rPr>
        <w:t>’</w:t>
      </w:r>
      <w:r w:rsidRPr="003B1303" w:rsidR="009A45BC">
        <w:rPr>
          <w:lang w:val="fr-FR"/>
        </w:rPr>
        <w:t xml:space="preserve">aurait pas été présentée au jury. La juge </w:t>
      </w:r>
      <w:r w:rsidRPr="003B1303" w:rsidR="00F94D11">
        <w:rPr>
          <w:lang w:val="fr-FR"/>
        </w:rPr>
        <w:t xml:space="preserve">rappela </w:t>
      </w:r>
      <w:r w:rsidRPr="003B1303" w:rsidR="009A45BC">
        <w:rPr>
          <w:lang w:val="fr-FR"/>
        </w:rPr>
        <w:t>que c</w:t>
      </w:r>
      <w:r w:rsidRPr="003B1303" w:rsidR="003B1303">
        <w:rPr>
          <w:lang w:val="fr-FR"/>
        </w:rPr>
        <w:t>’</w:t>
      </w:r>
      <w:r w:rsidRPr="003B1303" w:rsidR="009A45BC">
        <w:rPr>
          <w:lang w:val="fr-FR"/>
        </w:rPr>
        <w:t>était pour cette raison que les parties à la procédure n</w:t>
      </w:r>
      <w:r w:rsidRPr="003B1303" w:rsidR="003B1303">
        <w:rPr>
          <w:lang w:val="fr-FR"/>
        </w:rPr>
        <w:t>’</w:t>
      </w:r>
      <w:r w:rsidRPr="003B1303" w:rsidR="009A45BC">
        <w:rPr>
          <w:lang w:val="fr-FR"/>
        </w:rPr>
        <w:t>avaient pas été autorisées à débattre</w:t>
      </w:r>
      <w:r w:rsidRPr="003B1303" w:rsidR="00C171C4">
        <w:rPr>
          <w:lang w:val="fr-FR"/>
        </w:rPr>
        <w:t>,</w:t>
      </w:r>
      <w:r w:rsidRPr="003B1303" w:rsidR="009A45BC">
        <w:rPr>
          <w:lang w:val="fr-FR"/>
        </w:rPr>
        <w:t xml:space="preserve"> en présence du jury</w:t>
      </w:r>
      <w:r w:rsidRPr="003B1303" w:rsidR="00C171C4">
        <w:rPr>
          <w:lang w:val="fr-FR"/>
        </w:rPr>
        <w:t>,</w:t>
      </w:r>
      <w:r w:rsidRPr="003B1303" w:rsidR="009A45BC">
        <w:rPr>
          <w:lang w:val="fr-FR"/>
        </w:rPr>
        <w:t xml:space="preserve"> sur les questions relatives au déroulement de l</w:t>
      </w:r>
      <w:r w:rsidRPr="003B1303" w:rsidR="003B1303">
        <w:rPr>
          <w:lang w:val="fr-FR"/>
        </w:rPr>
        <w:t>’</w:t>
      </w:r>
      <w:r w:rsidRPr="003B1303" w:rsidR="009A45BC">
        <w:rPr>
          <w:lang w:val="fr-FR"/>
        </w:rPr>
        <w:t>enquête pénale et sur la légalité des actes accomplis par les autorités chargées de l</w:t>
      </w:r>
      <w:r w:rsidRPr="003B1303" w:rsidR="003B1303">
        <w:rPr>
          <w:lang w:val="fr-FR"/>
        </w:rPr>
        <w:t>’</w:t>
      </w:r>
      <w:r w:rsidRPr="003B1303" w:rsidR="009A45BC">
        <w:rPr>
          <w:lang w:val="fr-FR"/>
        </w:rPr>
        <w:t>enquête.</w:t>
      </w:r>
    </w:p>
    <w:p w:rsidRPr="003B1303" w:rsidR="00765835" w:rsidP="003B1303" w:rsidRDefault="0006484E">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102</w:t>
      </w:r>
      <w:r w:rsidRPr="003B1303">
        <w:rPr>
          <w:lang w:val="fr-FR"/>
        </w:rPr>
        <w:fldChar w:fldCharType="end"/>
      </w:r>
      <w:r w:rsidRPr="003B1303">
        <w:rPr>
          <w:lang w:val="fr-FR"/>
        </w:rPr>
        <w:t>.  </w:t>
      </w:r>
      <w:r w:rsidRPr="003B1303" w:rsidR="00310E5A">
        <w:rPr>
          <w:lang w:val="fr-FR"/>
        </w:rPr>
        <w:t xml:space="preserve">Après </w:t>
      </w:r>
      <w:r w:rsidRPr="003B1303" w:rsidR="00B979AD">
        <w:rPr>
          <w:lang w:val="fr-FR"/>
        </w:rPr>
        <w:t>avoir délibéré</w:t>
      </w:r>
      <w:r w:rsidRPr="003B1303" w:rsidR="00310E5A">
        <w:rPr>
          <w:lang w:val="fr-FR"/>
        </w:rPr>
        <w:t xml:space="preserve">, le jury rendit un verdict de culpabilité </w:t>
      </w:r>
      <w:r w:rsidRPr="003B1303" w:rsidR="00277519">
        <w:rPr>
          <w:lang w:val="fr-FR"/>
        </w:rPr>
        <w:t>à l</w:t>
      </w:r>
      <w:r w:rsidRPr="003B1303" w:rsidR="003B1303">
        <w:rPr>
          <w:lang w:val="fr-FR"/>
        </w:rPr>
        <w:t>’</w:t>
      </w:r>
      <w:r w:rsidRPr="003B1303" w:rsidR="00277519">
        <w:rPr>
          <w:lang w:val="fr-FR"/>
        </w:rPr>
        <w:t xml:space="preserve">encontre de </w:t>
      </w:r>
      <w:r w:rsidRPr="003B1303" w:rsidR="00310E5A">
        <w:rPr>
          <w:lang w:val="fr-FR"/>
        </w:rPr>
        <w:t xml:space="preserve">tous les accusés dont les requérants. </w:t>
      </w:r>
      <w:r w:rsidRPr="003B1303">
        <w:rPr>
          <w:lang w:val="fr-FR"/>
        </w:rPr>
        <w:t>Conformément à la législation en vigueur, le verdict d</w:t>
      </w:r>
      <w:r w:rsidRPr="003B1303" w:rsidR="00277519">
        <w:rPr>
          <w:lang w:val="fr-FR"/>
        </w:rPr>
        <w:t>u</w:t>
      </w:r>
      <w:r w:rsidRPr="003B1303">
        <w:rPr>
          <w:lang w:val="fr-FR"/>
        </w:rPr>
        <w:t xml:space="preserve"> jury ne contenait pas de motifs quant aux preuves que les jurés avai</w:t>
      </w:r>
      <w:r w:rsidRPr="003B1303" w:rsidR="00277519">
        <w:rPr>
          <w:lang w:val="fr-FR"/>
        </w:rPr>
        <w:t>en</w:t>
      </w:r>
      <w:r w:rsidRPr="003B1303">
        <w:rPr>
          <w:lang w:val="fr-FR"/>
        </w:rPr>
        <w:t>t retenu</w:t>
      </w:r>
      <w:r w:rsidRPr="003B1303" w:rsidR="00277519">
        <w:rPr>
          <w:lang w:val="fr-FR"/>
        </w:rPr>
        <w:t xml:space="preserve">es </w:t>
      </w:r>
      <w:r w:rsidRPr="003B1303">
        <w:rPr>
          <w:lang w:val="fr-FR"/>
        </w:rPr>
        <w:t xml:space="preserve">pour arriver à </w:t>
      </w:r>
      <w:r w:rsidRPr="003B1303" w:rsidR="00277519">
        <w:rPr>
          <w:lang w:val="fr-FR"/>
        </w:rPr>
        <w:t xml:space="preserve">la </w:t>
      </w:r>
      <w:r w:rsidRPr="003B1303">
        <w:rPr>
          <w:lang w:val="fr-FR"/>
        </w:rPr>
        <w:t>conclusion de culpabilité</w:t>
      </w:r>
      <w:r w:rsidRPr="003B1303" w:rsidR="00277519">
        <w:rPr>
          <w:lang w:val="fr-FR"/>
        </w:rPr>
        <w:t xml:space="preserve"> des accusés</w:t>
      </w:r>
      <w:r w:rsidRPr="003B1303">
        <w:rPr>
          <w:lang w:val="fr-FR"/>
        </w:rPr>
        <w:t>.</w:t>
      </w:r>
    </w:p>
    <w:bookmarkStart w:name="jugcond" w:id="66"/>
    <w:p w:rsidRPr="003B1303" w:rsidR="00BE4C83" w:rsidP="003B1303" w:rsidRDefault="00EC117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103</w:t>
      </w:r>
      <w:r w:rsidRPr="003B1303">
        <w:rPr>
          <w:lang w:val="fr-FR"/>
        </w:rPr>
        <w:fldChar w:fldCharType="end"/>
      </w:r>
      <w:bookmarkEnd w:id="66"/>
      <w:r w:rsidRPr="003B1303">
        <w:rPr>
          <w:lang w:val="fr-FR"/>
        </w:rPr>
        <w:t>.  </w:t>
      </w:r>
      <w:r w:rsidRPr="003B1303" w:rsidR="001F72B2">
        <w:rPr>
          <w:lang w:val="fr-FR"/>
        </w:rPr>
        <w:t xml:space="preserve">Par un jugement du 19 mai 2011, la cour régionale, se fondant sur le verdict de culpabilité rendu par le jury, condamna </w:t>
      </w:r>
      <w:r w:rsidRPr="003B1303" w:rsidR="003C7338">
        <w:rPr>
          <w:lang w:val="fr-FR"/>
        </w:rPr>
        <w:t>le premier requérant à dix</w:t>
      </w:r>
      <w:r w:rsidRPr="003B1303" w:rsidR="003C7338">
        <w:rPr>
          <w:lang w:val="fr-FR"/>
        </w:rPr>
        <w:noBreakHyphen/>
        <w:t xml:space="preserve">huit ans de réclusion criminelle et </w:t>
      </w:r>
      <w:r w:rsidRPr="003B1303" w:rsidR="001F72B2">
        <w:rPr>
          <w:lang w:val="fr-FR"/>
        </w:rPr>
        <w:t xml:space="preserve">le </w:t>
      </w:r>
      <w:r w:rsidRPr="003B1303" w:rsidR="004C2AFD">
        <w:rPr>
          <w:lang w:val="fr-FR"/>
        </w:rPr>
        <w:t xml:space="preserve">second </w:t>
      </w:r>
      <w:r w:rsidRPr="003B1303" w:rsidR="001F72B2">
        <w:rPr>
          <w:lang w:val="fr-FR"/>
        </w:rPr>
        <w:t>requérant à vingt-cinq ans de réclusion criminelle. Lors de la fixation de la peine, la cour régionale pri</w:t>
      </w:r>
      <w:r w:rsidRPr="003B1303" w:rsidR="007F57B0">
        <w:rPr>
          <w:lang w:val="fr-FR"/>
        </w:rPr>
        <w:t>t</w:t>
      </w:r>
      <w:r w:rsidRPr="003B1303" w:rsidR="001F72B2">
        <w:rPr>
          <w:lang w:val="fr-FR"/>
        </w:rPr>
        <w:t xml:space="preserve"> en compte les aveux du </w:t>
      </w:r>
      <w:r w:rsidRPr="003B1303" w:rsidR="00B63E2E">
        <w:rPr>
          <w:lang w:val="fr-FR"/>
        </w:rPr>
        <w:t xml:space="preserve">second </w:t>
      </w:r>
      <w:r w:rsidRPr="003B1303" w:rsidR="00DF7020">
        <w:rPr>
          <w:lang w:val="fr-FR"/>
        </w:rPr>
        <w:t>requérant du 16 </w:t>
      </w:r>
      <w:r w:rsidRPr="003B1303" w:rsidR="001F72B2">
        <w:rPr>
          <w:lang w:val="fr-FR"/>
        </w:rPr>
        <w:t xml:space="preserve">avril 2008 en tant </w:t>
      </w:r>
      <w:r w:rsidRPr="003B1303" w:rsidR="00985420">
        <w:rPr>
          <w:lang w:val="fr-FR"/>
        </w:rPr>
        <w:t xml:space="preserve">que </w:t>
      </w:r>
      <w:r w:rsidRPr="003B1303" w:rsidR="001F72B2">
        <w:rPr>
          <w:lang w:val="fr-FR"/>
        </w:rPr>
        <w:t xml:space="preserve">circonstance atténuante. </w:t>
      </w:r>
      <w:r w:rsidRPr="003B1303" w:rsidR="00653F63">
        <w:rPr>
          <w:lang w:val="fr-FR"/>
        </w:rPr>
        <w:t xml:space="preserve">En revanche, tout en constatant que le premier requérant avait </w:t>
      </w:r>
      <w:r w:rsidRPr="003B1303" w:rsidR="00985420">
        <w:rPr>
          <w:lang w:val="fr-FR"/>
        </w:rPr>
        <w:t xml:space="preserve">formulé des </w:t>
      </w:r>
      <w:r w:rsidRPr="003B1303" w:rsidR="00653F63">
        <w:rPr>
          <w:lang w:val="fr-FR"/>
        </w:rPr>
        <w:t xml:space="preserve">aveux le 14 avril 2008, </w:t>
      </w:r>
      <w:r w:rsidRPr="003B1303" w:rsidR="00E479D2">
        <w:rPr>
          <w:lang w:val="fr-FR"/>
        </w:rPr>
        <w:t>elle</w:t>
      </w:r>
      <w:r w:rsidRPr="003B1303" w:rsidR="00653F63">
        <w:rPr>
          <w:lang w:val="fr-FR"/>
        </w:rPr>
        <w:t xml:space="preserve"> refusa de considérer </w:t>
      </w:r>
      <w:r w:rsidRPr="003B1303" w:rsidR="00985420">
        <w:rPr>
          <w:lang w:val="fr-FR"/>
        </w:rPr>
        <w:t>cette circonstance comme une</w:t>
      </w:r>
      <w:r w:rsidRPr="003B1303" w:rsidR="00653F63">
        <w:rPr>
          <w:lang w:val="fr-FR"/>
        </w:rPr>
        <w:t xml:space="preserve"> circonstance atténuante</w:t>
      </w:r>
      <w:r w:rsidRPr="003B1303" w:rsidR="007F57B0">
        <w:rPr>
          <w:lang w:val="fr-FR"/>
        </w:rPr>
        <w:t xml:space="preserve"> aux fins de la fixation de la peine</w:t>
      </w:r>
      <w:r w:rsidRPr="003B1303" w:rsidR="00653F63">
        <w:rPr>
          <w:lang w:val="fr-FR"/>
        </w:rPr>
        <w:t>.</w:t>
      </w:r>
    </w:p>
    <w:bookmarkStart w:name="jugcoursup" w:id="67"/>
    <w:p w:rsidRPr="003B1303" w:rsidR="0085148A" w:rsidP="003B1303" w:rsidRDefault="00EC117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104</w:t>
      </w:r>
      <w:r w:rsidRPr="003B1303">
        <w:rPr>
          <w:lang w:val="fr-FR"/>
        </w:rPr>
        <w:fldChar w:fldCharType="end"/>
      </w:r>
      <w:bookmarkEnd w:id="67"/>
      <w:r w:rsidRPr="003B1303">
        <w:rPr>
          <w:lang w:val="fr-FR"/>
        </w:rPr>
        <w:t>.  </w:t>
      </w:r>
      <w:r w:rsidRPr="003B1303" w:rsidR="001F72B2">
        <w:rPr>
          <w:lang w:val="fr-FR"/>
        </w:rPr>
        <w:t>Le 26 janvier 2012, la Cour suprême russe confirma ce jugement en appel.</w:t>
      </w:r>
      <w:r w:rsidRPr="003B1303" w:rsidR="00215554">
        <w:rPr>
          <w:lang w:val="fr-FR"/>
        </w:rPr>
        <w:t xml:space="preserve"> Elle </w:t>
      </w:r>
      <w:r w:rsidRPr="003B1303" w:rsidR="002F134C">
        <w:rPr>
          <w:lang w:val="fr-FR"/>
        </w:rPr>
        <w:t xml:space="preserve">estima </w:t>
      </w:r>
      <w:r w:rsidRPr="003B1303" w:rsidR="00C171C4">
        <w:rPr>
          <w:lang w:val="fr-FR"/>
        </w:rPr>
        <w:t>en particulier</w:t>
      </w:r>
      <w:r w:rsidRPr="003B1303" w:rsidR="002F134C">
        <w:rPr>
          <w:lang w:val="fr-FR"/>
        </w:rPr>
        <w:t xml:space="preserve"> que l</w:t>
      </w:r>
      <w:r w:rsidRPr="003B1303" w:rsidR="003B1303">
        <w:rPr>
          <w:lang w:val="fr-FR"/>
        </w:rPr>
        <w:t>’</w:t>
      </w:r>
      <w:r w:rsidRPr="003B1303" w:rsidR="002F134C">
        <w:rPr>
          <w:lang w:val="fr-FR"/>
        </w:rPr>
        <w:t>ordonnance de procédure de l</w:t>
      </w:r>
      <w:r w:rsidRPr="003B1303" w:rsidR="00215554">
        <w:rPr>
          <w:lang w:val="fr-FR"/>
        </w:rPr>
        <w:t>a juridiction de première instance</w:t>
      </w:r>
      <w:r w:rsidRPr="003B1303" w:rsidR="002F134C">
        <w:rPr>
          <w:lang w:val="fr-FR"/>
        </w:rPr>
        <w:t xml:space="preserve"> du 27 janvier 2011 portant sur l</w:t>
      </w:r>
      <w:r w:rsidRPr="003B1303" w:rsidR="003B1303">
        <w:rPr>
          <w:lang w:val="fr-FR"/>
        </w:rPr>
        <w:t>’</w:t>
      </w:r>
      <w:r w:rsidRPr="003B1303" w:rsidR="002F134C">
        <w:rPr>
          <w:lang w:val="fr-FR"/>
        </w:rPr>
        <w:t>admissibilité des dépositions des requérants et de leurs coaccusés obtenues pendant le stade de l</w:t>
      </w:r>
      <w:r w:rsidRPr="003B1303" w:rsidR="003B1303">
        <w:rPr>
          <w:lang w:val="fr-FR"/>
        </w:rPr>
        <w:t>’</w:t>
      </w:r>
      <w:r w:rsidRPr="003B1303" w:rsidR="002F134C">
        <w:rPr>
          <w:lang w:val="fr-FR"/>
        </w:rPr>
        <w:t>enquête pénale était dûment motivée.</w:t>
      </w:r>
    </w:p>
    <w:p w:rsidRPr="003B1303" w:rsidR="00E77CB3" w:rsidP="003B1303" w:rsidRDefault="00E77CB3">
      <w:pPr>
        <w:pStyle w:val="ECHRHeading1"/>
        <w:rPr>
          <w:lang w:val="fr-FR"/>
        </w:rPr>
      </w:pPr>
      <w:r w:rsidRPr="003B1303">
        <w:rPr>
          <w:lang w:val="fr-FR"/>
        </w:rPr>
        <w:t>II.  LE DROIT INTERNE PERTINENT</w:t>
      </w:r>
    </w:p>
    <w:p w:rsidRPr="003B1303" w:rsidR="00BE4C8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105</w:t>
      </w:r>
      <w:r w:rsidRPr="003B1303">
        <w:rPr>
          <w:lang w:val="fr-FR"/>
        </w:rPr>
        <w:fldChar w:fldCharType="end"/>
      </w:r>
      <w:r w:rsidRPr="003B1303" w:rsidR="00E77CB3">
        <w:rPr>
          <w:lang w:val="fr-FR"/>
        </w:rPr>
        <w:t>.  </w:t>
      </w:r>
      <w:r w:rsidRPr="003B1303" w:rsidR="0038670E">
        <w:rPr>
          <w:lang w:val="fr-FR"/>
        </w:rPr>
        <w:t xml:space="preserve">Le droit interne pertinent </w:t>
      </w:r>
      <w:r w:rsidRPr="003B1303" w:rsidR="00702D7B">
        <w:rPr>
          <w:lang w:val="fr-FR"/>
        </w:rPr>
        <w:t>en l</w:t>
      </w:r>
      <w:r w:rsidRPr="003B1303" w:rsidR="003B1303">
        <w:rPr>
          <w:lang w:val="fr-FR"/>
        </w:rPr>
        <w:t>’</w:t>
      </w:r>
      <w:r w:rsidRPr="003B1303" w:rsidR="00702D7B">
        <w:rPr>
          <w:lang w:val="fr-FR"/>
        </w:rPr>
        <w:t xml:space="preserve">espèce </w:t>
      </w:r>
      <w:r w:rsidRPr="003B1303" w:rsidR="0038670E">
        <w:rPr>
          <w:lang w:val="fr-FR"/>
        </w:rPr>
        <w:t>concernant l</w:t>
      </w:r>
      <w:r w:rsidRPr="003B1303" w:rsidR="003B1303">
        <w:rPr>
          <w:lang w:val="fr-FR"/>
        </w:rPr>
        <w:t>’</w:t>
      </w:r>
      <w:r w:rsidRPr="003B1303" w:rsidR="0038670E">
        <w:rPr>
          <w:lang w:val="fr-FR"/>
        </w:rPr>
        <w:t>interdiction des mauvais traitements et la procédure d</w:t>
      </w:r>
      <w:r w:rsidRPr="003B1303" w:rsidR="003B1303">
        <w:rPr>
          <w:lang w:val="fr-FR"/>
        </w:rPr>
        <w:t>’</w:t>
      </w:r>
      <w:r w:rsidRPr="003B1303" w:rsidR="0038670E">
        <w:rPr>
          <w:lang w:val="fr-FR"/>
        </w:rPr>
        <w:t>examen des plaintes au pénal en la matière est résumé dans l</w:t>
      </w:r>
      <w:r w:rsidRPr="003B1303" w:rsidR="003B1303">
        <w:rPr>
          <w:lang w:val="fr-FR"/>
        </w:rPr>
        <w:t>’</w:t>
      </w:r>
      <w:r w:rsidRPr="003B1303" w:rsidR="0038670E">
        <w:rPr>
          <w:lang w:val="fr-FR"/>
        </w:rPr>
        <w:t xml:space="preserve">arrêt </w:t>
      </w:r>
      <w:proofErr w:type="spellStart"/>
      <w:r w:rsidRPr="003B1303" w:rsidR="0038670E">
        <w:rPr>
          <w:i/>
          <w:iCs/>
          <w:lang w:val="fr-FR"/>
        </w:rPr>
        <w:t>Lyapin</w:t>
      </w:r>
      <w:proofErr w:type="spellEnd"/>
      <w:r w:rsidRPr="003B1303" w:rsidR="0038670E">
        <w:rPr>
          <w:i/>
          <w:iCs/>
          <w:lang w:val="fr-FR"/>
        </w:rPr>
        <w:t xml:space="preserve"> c. Russie</w:t>
      </w:r>
      <w:r w:rsidRPr="003B1303" w:rsidR="0038670E">
        <w:rPr>
          <w:lang w:val="fr-FR"/>
        </w:rPr>
        <w:t xml:space="preserve"> (n</w:t>
      </w:r>
      <w:r w:rsidRPr="003B1303" w:rsidR="0038670E">
        <w:rPr>
          <w:vertAlign w:val="superscript"/>
          <w:lang w:val="fr-FR"/>
        </w:rPr>
        <w:t>o</w:t>
      </w:r>
      <w:r w:rsidRPr="003B1303" w:rsidR="0038670E">
        <w:rPr>
          <w:lang w:val="fr-FR"/>
        </w:rPr>
        <w:t xml:space="preserve"> 46956/09, §§ 96-102, </w:t>
      </w:r>
      <w:r w:rsidRPr="003B1303" w:rsidR="00773BA0">
        <w:rPr>
          <w:lang w:val="fr-FR"/>
        </w:rPr>
        <w:t>24 </w:t>
      </w:r>
      <w:r w:rsidRPr="003B1303" w:rsidR="0038670E">
        <w:rPr>
          <w:lang w:val="fr-FR"/>
        </w:rPr>
        <w:t>juillet 2014).</w:t>
      </w:r>
    </w:p>
    <w:p w:rsidRPr="003B1303" w:rsidR="009A4BA7" w:rsidP="003B1303" w:rsidRDefault="009A4BA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106</w:t>
      </w:r>
      <w:r w:rsidRPr="003B1303">
        <w:rPr>
          <w:lang w:val="fr-FR"/>
        </w:rPr>
        <w:fldChar w:fldCharType="end"/>
      </w:r>
      <w:r w:rsidRPr="003B1303">
        <w:rPr>
          <w:lang w:val="fr-FR"/>
        </w:rPr>
        <w:t>.  </w:t>
      </w:r>
      <w:r w:rsidRPr="003B1303" w:rsidR="00D351B5">
        <w:rPr>
          <w:lang w:val="fr-FR"/>
        </w:rPr>
        <w:t>Le droit interne pertinent en l</w:t>
      </w:r>
      <w:r w:rsidRPr="003B1303" w:rsidR="003B1303">
        <w:rPr>
          <w:lang w:val="fr-FR"/>
        </w:rPr>
        <w:t>’</w:t>
      </w:r>
      <w:r w:rsidRPr="003B1303" w:rsidR="00D351B5">
        <w:rPr>
          <w:lang w:val="fr-FR"/>
        </w:rPr>
        <w:t xml:space="preserve">espèce concernant </w:t>
      </w:r>
      <w:r w:rsidRPr="003B1303" w:rsidR="00EF502D">
        <w:rPr>
          <w:lang w:val="fr-FR"/>
        </w:rPr>
        <w:t xml:space="preserve">le placement et le maintien en </w:t>
      </w:r>
      <w:r w:rsidRPr="003B1303" w:rsidR="00D351B5">
        <w:rPr>
          <w:lang w:val="fr-FR"/>
        </w:rPr>
        <w:t>détention provisoire</w:t>
      </w:r>
      <w:r w:rsidRPr="003B1303" w:rsidR="00EF502D">
        <w:rPr>
          <w:lang w:val="fr-FR"/>
        </w:rPr>
        <w:t xml:space="preserve"> d</w:t>
      </w:r>
      <w:r w:rsidRPr="003B1303" w:rsidR="003B1303">
        <w:rPr>
          <w:lang w:val="fr-FR"/>
        </w:rPr>
        <w:t>’</w:t>
      </w:r>
      <w:r w:rsidRPr="003B1303" w:rsidR="00EF502D">
        <w:rPr>
          <w:lang w:val="fr-FR"/>
        </w:rPr>
        <w:t xml:space="preserve">une personne </w:t>
      </w:r>
      <w:r w:rsidRPr="003B1303" w:rsidR="00116E2F">
        <w:rPr>
          <w:lang w:val="fr-FR"/>
        </w:rPr>
        <w:t>accusée d</w:t>
      </w:r>
      <w:r w:rsidRPr="003B1303" w:rsidR="003B1303">
        <w:rPr>
          <w:lang w:val="fr-FR"/>
        </w:rPr>
        <w:t>’</w:t>
      </w:r>
      <w:r w:rsidRPr="003B1303" w:rsidR="00116E2F">
        <w:rPr>
          <w:lang w:val="fr-FR"/>
        </w:rPr>
        <w:t>une infraction pénale</w:t>
      </w:r>
      <w:r w:rsidRPr="003B1303" w:rsidR="00D351B5">
        <w:rPr>
          <w:lang w:val="fr-FR"/>
        </w:rPr>
        <w:t xml:space="preserve"> est résumé dans l</w:t>
      </w:r>
      <w:r w:rsidRPr="003B1303" w:rsidR="003B1303">
        <w:rPr>
          <w:lang w:val="fr-FR"/>
        </w:rPr>
        <w:t>’</w:t>
      </w:r>
      <w:r w:rsidRPr="003B1303" w:rsidR="00D351B5">
        <w:rPr>
          <w:lang w:val="fr-FR"/>
        </w:rPr>
        <w:t xml:space="preserve">arrêt </w:t>
      </w:r>
      <w:proofErr w:type="spellStart"/>
      <w:r w:rsidRPr="003B1303" w:rsidR="00ED7B19">
        <w:rPr>
          <w:i/>
          <w:lang w:val="fr-FR"/>
        </w:rPr>
        <w:t>Fedorenko</w:t>
      </w:r>
      <w:proofErr w:type="spellEnd"/>
      <w:r w:rsidRPr="003B1303" w:rsidR="00ED7B19">
        <w:rPr>
          <w:i/>
          <w:lang w:val="fr-FR"/>
        </w:rPr>
        <w:t xml:space="preserve"> c. Russie</w:t>
      </w:r>
      <w:r w:rsidRPr="003B1303" w:rsidR="00ED7B19">
        <w:rPr>
          <w:lang w:val="fr-FR"/>
        </w:rPr>
        <w:t xml:space="preserve"> (n</w:t>
      </w:r>
      <w:r w:rsidRPr="003B1303" w:rsidR="00ED7B19">
        <w:rPr>
          <w:vertAlign w:val="superscript"/>
          <w:lang w:val="fr-FR"/>
        </w:rPr>
        <w:t>o</w:t>
      </w:r>
      <w:r w:rsidRPr="003B1303" w:rsidR="00ED7B19">
        <w:rPr>
          <w:lang w:val="fr-FR"/>
        </w:rPr>
        <w:t> 39602/05, §§ 29</w:t>
      </w:r>
      <w:r w:rsidRPr="003B1303" w:rsidR="00ED7B19">
        <w:rPr>
          <w:lang w:val="fr-FR"/>
        </w:rPr>
        <w:noBreakHyphen/>
        <w:t>37, 20 septembre 2011</w:t>
      </w:r>
      <w:r w:rsidRPr="003B1303" w:rsidR="00773BA0">
        <w:rPr>
          <w:lang w:val="fr-FR"/>
        </w:rPr>
        <w:t>).</w:t>
      </w:r>
    </w:p>
    <w:p w:rsidRPr="003B1303" w:rsidR="007F57B0" w:rsidP="003B1303" w:rsidRDefault="007F57B0">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107</w:t>
      </w:r>
      <w:r w:rsidRPr="003B1303">
        <w:rPr>
          <w:lang w:val="fr-FR"/>
        </w:rPr>
        <w:fldChar w:fldCharType="end"/>
      </w:r>
      <w:r w:rsidRPr="003B1303">
        <w:rPr>
          <w:lang w:val="fr-FR"/>
        </w:rPr>
        <w:t>.  Le droit interne pertinent en l</w:t>
      </w:r>
      <w:r w:rsidRPr="003B1303" w:rsidR="003B1303">
        <w:rPr>
          <w:lang w:val="fr-FR"/>
        </w:rPr>
        <w:t>’</w:t>
      </w:r>
      <w:r w:rsidRPr="003B1303">
        <w:rPr>
          <w:lang w:val="fr-FR"/>
        </w:rPr>
        <w:t>espèce concernant le droit à une assistance juridique d</w:t>
      </w:r>
      <w:r w:rsidRPr="003B1303" w:rsidR="003B1303">
        <w:rPr>
          <w:lang w:val="fr-FR"/>
        </w:rPr>
        <w:t>’</w:t>
      </w:r>
      <w:r w:rsidRPr="003B1303">
        <w:rPr>
          <w:lang w:val="fr-FR"/>
        </w:rPr>
        <w:t>une personne suspectée ou accusée d</w:t>
      </w:r>
      <w:r w:rsidRPr="003B1303" w:rsidR="003B1303">
        <w:rPr>
          <w:lang w:val="fr-FR"/>
        </w:rPr>
        <w:t>’</w:t>
      </w:r>
      <w:r w:rsidRPr="003B1303">
        <w:rPr>
          <w:lang w:val="fr-FR"/>
        </w:rPr>
        <w:t xml:space="preserve">une infraction pénale </w:t>
      </w:r>
      <w:r w:rsidRPr="003B1303" w:rsidR="00C171C4">
        <w:rPr>
          <w:lang w:val="fr-FR"/>
        </w:rPr>
        <w:t>et</w:t>
      </w:r>
      <w:r w:rsidRPr="003B1303">
        <w:rPr>
          <w:lang w:val="fr-FR"/>
        </w:rPr>
        <w:t xml:space="preserve"> l</w:t>
      </w:r>
      <w:r w:rsidRPr="003B1303" w:rsidR="003B1303">
        <w:rPr>
          <w:lang w:val="fr-FR"/>
        </w:rPr>
        <w:t>’</w:t>
      </w:r>
      <w:r w:rsidRPr="003B1303">
        <w:rPr>
          <w:lang w:val="fr-FR"/>
        </w:rPr>
        <w:t>admissibilité d</w:t>
      </w:r>
      <w:r w:rsidRPr="003B1303" w:rsidR="003B1303">
        <w:rPr>
          <w:lang w:val="fr-FR"/>
        </w:rPr>
        <w:t>’</w:t>
      </w:r>
      <w:r w:rsidRPr="003B1303">
        <w:rPr>
          <w:lang w:val="fr-FR"/>
        </w:rPr>
        <w:t>une déclaration d</w:t>
      </w:r>
      <w:r w:rsidRPr="003B1303" w:rsidR="003B1303">
        <w:rPr>
          <w:lang w:val="fr-FR"/>
        </w:rPr>
        <w:t>’</w:t>
      </w:r>
      <w:r w:rsidRPr="003B1303">
        <w:rPr>
          <w:lang w:val="fr-FR"/>
        </w:rPr>
        <w:t>aveux en tant que preuve au procès pénal est résumé dans l</w:t>
      </w:r>
      <w:r w:rsidRPr="003B1303" w:rsidR="003B1303">
        <w:rPr>
          <w:lang w:val="fr-FR"/>
        </w:rPr>
        <w:t>’</w:t>
      </w:r>
      <w:r w:rsidRPr="003B1303">
        <w:rPr>
          <w:lang w:val="fr-FR"/>
        </w:rPr>
        <w:t xml:space="preserve">arrêt </w:t>
      </w:r>
      <w:proofErr w:type="spellStart"/>
      <w:r w:rsidRPr="003B1303">
        <w:rPr>
          <w:i/>
          <w:lang w:val="fr-FR"/>
        </w:rPr>
        <w:t>Turbylev</w:t>
      </w:r>
      <w:proofErr w:type="spellEnd"/>
      <w:r w:rsidRPr="003B1303">
        <w:rPr>
          <w:i/>
          <w:lang w:val="fr-FR"/>
        </w:rPr>
        <w:t xml:space="preserve"> c. Russie</w:t>
      </w:r>
      <w:r w:rsidRPr="003B1303">
        <w:rPr>
          <w:lang w:val="fr-FR"/>
        </w:rPr>
        <w:t xml:space="preserve"> (n</w:t>
      </w:r>
      <w:r w:rsidRPr="003B1303">
        <w:rPr>
          <w:vertAlign w:val="superscript"/>
          <w:lang w:val="fr-FR"/>
        </w:rPr>
        <w:t>o</w:t>
      </w:r>
      <w:r w:rsidRPr="003B1303">
        <w:rPr>
          <w:lang w:val="fr-FR"/>
        </w:rPr>
        <w:t> 4722/09, §§ 46</w:t>
      </w:r>
      <w:r w:rsidRPr="003B1303">
        <w:rPr>
          <w:lang w:val="fr-FR"/>
        </w:rPr>
        <w:noBreakHyphen/>
        <w:t>56, 6 octobre 2015).</w:t>
      </w:r>
    </w:p>
    <w:p w:rsidRPr="003B1303" w:rsidR="003B257F" w:rsidP="003B1303" w:rsidRDefault="00E77CB3">
      <w:pPr>
        <w:pStyle w:val="ECHRTitle1"/>
        <w:rPr>
          <w:lang w:val="fr-FR"/>
        </w:rPr>
      </w:pPr>
      <w:r w:rsidRPr="003B1303">
        <w:rPr>
          <w:lang w:val="fr-FR"/>
        </w:rPr>
        <w:t>EN DROIT</w:t>
      </w:r>
    </w:p>
    <w:p w:rsidRPr="003B1303" w:rsidR="007628EF" w:rsidP="003B1303" w:rsidRDefault="007628EF">
      <w:pPr>
        <w:pStyle w:val="ECHRHeading1"/>
        <w:rPr>
          <w:lang w:val="fr-FR"/>
        </w:rPr>
      </w:pPr>
      <w:r w:rsidRPr="003B1303">
        <w:rPr>
          <w:lang w:val="fr-FR"/>
        </w:rPr>
        <w:t>I. SUR LA JONCTION DES REQUÊTES</w:t>
      </w:r>
    </w:p>
    <w:p w:rsidRPr="003B1303" w:rsidR="007628EF" w:rsidP="003B1303" w:rsidRDefault="007628E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108</w:t>
      </w:r>
      <w:r w:rsidRPr="003B1303">
        <w:rPr>
          <w:lang w:val="fr-FR"/>
        </w:rPr>
        <w:fldChar w:fldCharType="end"/>
      </w:r>
      <w:r w:rsidRPr="003B1303">
        <w:rPr>
          <w:lang w:val="fr-FR"/>
        </w:rPr>
        <w:t>.  Compte tenu de la similitude des présentes requêtes quant aux faits et aux questions de fond qu</w:t>
      </w:r>
      <w:r w:rsidRPr="003B1303" w:rsidR="003B1303">
        <w:rPr>
          <w:lang w:val="fr-FR"/>
        </w:rPr>
        <w:t>’</w:t>
      </w:r>
      <w:r w:rsidRPr="003B1303">
        <w:rPr>
          <w:lang w:val="fr-FR"/>
        </w:rPr>
        <w:t>elles soulèvent, la Cour juge approprié de les joindre, e</w:t>
      </w:r>
      <w:r w:rsidRPr="003B1303" w:rsidR="009274A3">
        <w:rPr>
          <w:lang w:val="fr-FR"/>
        </w:rPr>
        <w:t>n application de l</w:t>
      </w:r>
      <w:r w:rsidRPr="003B1303" w:rsidR="003B1303">
        <w:rPr>
          <w:lang w:val="fr-FR"/>
        </w:rPr>
        <w:t>’</w:t>
      </w:r>
      <w:r w:rsidRPr="003B1303" w:rsidR="009274A3">
        <w:rPr>
          <w:lang w:val="fr-FR"/>
        </w:rPr>
        <w:t>article 42 § </w:t>
      </w:r>
      <w:r w:rsidRPr="003B1303">
        <w:rPr>
          <w:lang w:val="fr-FR"/>
        </w:rPr>
        <w:t>1 de son règlement.</w:t>
      </w:r>
    </w:p>
    <w:p w:rsidRPr="003B1303" w:rsidR="00E77CB3" w:rsidP="003B1303" w:rsidRDefault="00687C74">
      <w:pPr>
        <w:pStyle w:val="ECHRHeading1"/>
        <w:rPr>
          <w:lang w:val="fr-FR"/>
        </w:rPr>
      </w:pPr>
      <w:r w:rsidRPr="003B1303">
        <w:rPr>
          <w:lang w:val="fr-FR"/>
        </w:rPr>
        <w:t>I</w:t>
      </w:r>
      <w:r w:rsidRPr="003B1303" w:rsidR="007628EF">
        <w:rPr>
          <w:lang w:val="fr-FR"/>
        </w:rPr>
        <w:t>I</w:t>
      </w:r>
      <w:r w:rsidRPr="003B1303">
        <w:rPr>
          <w:lang w:val="fr-FR"/>
        </w:rPr>
        <w:t>.</w:t>
      </w:r>
      <w:r w:rsidRPr="003B1303" w:rsidR="00E77CB3">
        <w:rPr>
          <w:lang w:val="fr-FR"/>
        </w:rPr>
        <w:t>  SUR LA VIOLATION ALLÉGUÉE DE L</w:t>
      </w:r>
      <w:r w:rsidRPr="003B1303" w:rsidR="003B1303">
        <w:rPr>
          <w:lang w:val="fr-FR"/>
        </w:rPr>
        <w:t>’</w:t>
      </w:r>
      <w:r w:rsidRPr="003B1303" w:rsidR="00E77CB3">
        <w:rPr>
          <w:lang w:val="fr-FR"/>
        </w:rPr>
        <w:t xml:space="preserve">ARTICLE </w:t>
      </w:r>
      <w:r w:rsidRPr="003B1303" w:rsidR="001F5733">
        <w:rPr>
          <w:lang w:val="fr-FR"/>
        </w:rPr>
        <w:t>3</w:t>
      </w:r>
      <w:r w:rsidRPr="003B1303" w:rsidR="00E77CB3">
        <w:rPr>
          <w:lang w:val="fr-FR"/>
        </w:rPr>
        <w:t xml:space="preserve"> DE LA CONVENTION</w:t>
      </w:r>
    </w:p>
    <w:p w:rsidRPr="003B1303" w:rsidR="00E77CB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109</w:t>
      </w:r>
      <w:r w:rsidRPr="003B1303">
        <w:rPr>
          <w:lang w:val="fr-FR"/>
        </w:rPr>
        <w:fldChar w:fldCharType="end"/>
      </w:r>
      <w:r w:rsidRPr="003B1303" w:rsidR="00E77CB3">
        <w:rPr>
          <w:lang w:val="fr-FR"/>
        </w:rPr>
        <w:t>.  </w:t>
      </w:r>
      <w:r w:rsidRPr="003B1303" w:rsidR="00985420">
        <w:rPr>
          <w:lang w:val="fr-FR"/>
        </w:rPr>
        <w:t>Les</w:t>
      </w:r>
      <w:r w:rsidRPr="003B1303" w:rsidR="000A0B15">
        <w:rPr>
          <w:lang w:val="fr-FR"/>
        </w:rPr>
        <w:t xml:space="preserve"> requérant</w:t>
      </w:r>
      <w:r w:rsidRPr="003B1303" w:rsidR="00985420">
        <w:rPr>
          <w:lang w:val="fr-FR"/>
        </w:rPr>
        <w:t>s</w:t>
      </w:r>
      <w:r w:rsidRPr="003B1303" w:rsidR="00E77CB3">
        <w:rPr>
          <w:lang w:val="fr-FR"/>
        </w:rPr>
        <w:t xml:space="preserve"> allègue</w:t>
      </w:r>
      <w:r w:rsidRPr="003B1303">
        <w:rPr>
          <w:lang w:val="fr-FR"/>
        </w:rPr>
        <w:t>nt</w:t>
      </w:r>
      <w:r w:rsidRPr="003B1303" w:rsidR="004F6095">
        <w:rPr>
          <w:lang w:val="fr-FR"/>
        </w:rPr>
        <w:t xml:space="preserve"> </w:t>
      </w:r>
      <w:r w:rsidRPr="003B1303" w:rsidR="00985420">
        <w:rPr>
          <w:lang w:val="fr-FR"/>
        </w:rPr>
        <w:t>avoir</w:t>
      </w:r>
      <w:r w:rsidRPr="003B1303" w:rsidR="004F6095">
        <w:rPr>
          <w:lang w:val="fr-FR"/>
        </w:rPr>
        <w:t xml:space="preserve"> été soumis à </w:t>
      </w:r>
      <w:r w:rsidRPr="003B1303" w:rsidR="00990934">
        <w:rPr>
          <w:lang w:val="fr-FR"/>
        </w:rPr>
        <w:t>des</w:t>
      </w:r>
      <w:r w:rsidRPr="003B1303" w:rsidR="007E1B4D">
        <w:rPr>
          <w:lang w:val="fr-FR"/>
        </w:rPr>
        <w:t xml:space="preserve"> mauvais</w:t>
      </w:r>
      <w:r w:rsidRPr="003B1303" w:rsidR="004F6095">
        <w:rPr>
          <w:lang w:val="fr-FR"/>
        </w:rPr>
        <w:t xml:space="preserve"> traitement</w:t>
      </w:r>
      <w:r w:rsidRPr="003B1303" w:rsidR="00990934">
        <w:rPr>
          <w:lang w:val="fr-FR"/>
        </w:rPr>
        <w:t>s</w:t>
      </w:r>
      <w:r w:rsidRPr="003B1303" w:rsidR="004F6095">
        <w:rPr>
          <w:lang w:val="fr-FR"/>
        </w:rPr>
        <w:t xml:space="preserve"> </w:t>
      </w:r>
      <w:r w:rsidRPr="003B1303" w:rsidR="007E1B4D">
        <w:rPr>
          <w:lang w:val="fr-FR"/>
        </w:rPr>
        <w:t>par leurs codétenus agissant sous</w:t>
      </w:r>
      <w:r w:rsidRPr="003B1303" w:rsidR="00985420">
        <w:rPr>
          <w:lang w:val="fr-FR"/>
        </w:rPr>
        <w:t xml:space="preserve"> le</w:t>
      </w:r>
      <w:r w:rsidRPr="003B1303" w:rsidR="007E1B4D">
        <w:rPr>
          <w:lang w:val="fr-FR"/>
        </w:rPr>
        <w:t xml:space="preserve"> contrôle </w:t>
      </w:r>
      <w:r w:rsidRPr="003B1303" w:rsidR="00E479D2">
        <w:rPr>
          <w:lang w:val="fr-FR"/>
        </w:rPr>
        <w:t>d</w:t>
      </w:r>
      <w:r w:rsidRPr="003B1303" w:rsidR="003B1303">
        <w:rPr>
          <w:lang w:val="fr-FR"/>
        </w:rPr>
        <w:t>’</w:t>
      </w:r>
      <w:r w:rsidRPr="003B1303" w:rsidR="007E1B4D">
        <w:rPr>
          <w:lang w:val="fr-FR"/>
        </w:rPr>
        <w:t>agents de l</w:t>
      </w:r>
      <w:r w:rsidRPr="003B1303" w:rsidR="003B1303">
        <w:rPr>
          <w:lang w:val="fr-FR"/>
        </w:rPr>
        <w:t>’</w:t>
      </w:r>
      <w:r w:rsidRPr="003B1303" w:rsidR="007E1B4D">
        <w:rPr>
          <w:lang w:val="fr-FR"/>
        </w:rPr>
        <w:t xml:space="preserve">État </w:t>
      </w:r>
      <w:r w:rsidRPr="003B1303" w:rsidR="000C1A19">
        <w:rPr>
          <w:lang w:val="fr-FR"/>
        </w:rPr>
        <w:t xml:space="preserve">afin de leur </w:t>
      </w:r>
      <w:r w:rsidRPr="003B1303" w:rsidR="00985420">
        <w:rPr>
          <w:lang w:val="fr-FR"/>
        </w:rPr>
        <w:t>faire avouer un crime</w:t>
      </w:r>
      <w:r w:rsidRPr="003B1303" w:rsidR="007E1B4D">
        <w:rPr>
          <w:lang w:val="fr-FR"/>
        </w:rPr>
        <w:t xml:space="preserve">. Ils dénoncent </w:t>
      </w:r>
      <w:r w:rsidRPr="003B1303" w:rsidR="007628EF">
        <w:rPr>
          <w:lang w:val="fr-FR"/>
        </w:rPr>
        <w:t xml:space="preserve">également </w:t>
      </w:r>
      <w:r w:rsidRPr="003B1303" w:rsidR="007E1B4D">
        <w:rPr>
          <w:lang w:val="fr-FR"/>
        </w:rPr>
        <w:t>l</w:t>
      </w:r>
      <w:r w:rsidRPr="003B1303" w:rsidR="003B1303">
        <w:rPr>
          <w:lang w:val="fr-FR"/>
        </w:rPr>
        <w:t>’</w:t>
      </w:r>
      <w:r w:rsidRPr="003B1303" w:rsidR="007E1B4D">
        <w:rPr>
          <w:lang w:val="fr-FR"/>
        </w:rPr>
        <w:t>absence d</w:t>
      </w:r>
      <w:r w:rsidRPr="003B1303" w:rsidR="003B1303">
        <w:rPr>
          <w:lang w:val="fr-FR"/>
        </w:rPr>
        <w:t>’</w:t>
      </w:r>
      <w:r w:rsidRPr="003B1303" w:rsidR="004F6095">
        <w:rPr>
          <w:lang w:val="fr-FR"/>
        </w:rPr>
        <w:t xml:space="preserve">enquête effective à cet égard. </w:t>
      </w:r>
      <w:r w:rsidRPr="003B1303" w:rsidR="000A0B15">
        <w:rPr>
          <w:lang w:val="fr-FR"/>
        </w:rPr>
        <w:t>Le premier requérant se plaint en outre des conditions matérielles de sa détention dans la maison d</w:t>
      </w:r>
      <w:r w:rsidRPr="003B1303" w:rsidR="003B1303">
        <w:rPr>
          <w:lang w:val="fr-FR"/>
        </w:rPr>
        <w:t>’</w:t>
      </w:r>
      <w:r w:rsidRPr="003B1303" w:rsidR="000A0B15">
        <w:rPr>
          <w:lang w:val="fr-FR"/>
        </w:rPr>
        <w:t>arrêt n</w:t>
      </w:r>
      <w:r w:rsidRPr="003B1303" w:rsidR="000A0B15">
        <w:rPr>
          <w:vertAlign w:val="superscript"/>
          <w:lang w:val="fr-FR"/>
        </w:rPr>
        <w:t>o</w:t>
      </w:r>
      <w:r w:rsidRPr="003B1303" w:rsidR="000A0B15">
        <w:rPr>
          <w:lang w:val="fr-FR"/>
        </w:rPr>
        <w:t> IZ</w:t>
      </w:r>
      <w:r w:rsidRPr="003B1303" w:rsidR="000A0B15">
        <w:rPr>
          <w:lang w:val="fr-FR"/>
        </w:rPr>
        <w:noBreakHyphen/>
        <w:t>38/1 de la ville d</w:t>
      </w:r>
      <w:r w:rsidRPr="003B1303" w:rsidR="003B1303">
        <w:rPr>
          <w:lang w:val="fr-FR"/>
        </w:rPr>
        <w:t>’</w:t>
      </w:r>
      <w:r w:rsidRPr="003B1303" w:rsidR="000A0B15">
        <w:rPr>
          <w:lang w:val="fr-FR"/>
        </w:rPr>
        <w:t>Irkoutsk</w:t>
      </w:r>
      <w:r w:rsidRPr="003B1303" w:rsidR="00615BEA">
        <w:rPr>
          <w:lang w:val="fr-FR"/>
        </w:rPr>
        <w:t xml:space="preserve"> du 11 avril 2008 au 13 </w:t>
      </w:r>
      <w:r w:rsidRPr="003B1303" w:rsidR="000A7665">
        <w:rPr>
          <w:lang w:val="fr-FR"/>
        </w:rPr>
        <w:t>avril 2012</w:t>
      </w:r>
      <w:r w:rsidRPr="003B1303" w:rsidR="000A0B15">
        <w:rPr>
          <w:lang w:val="fr-FR"/>
        </w:rPr>
        <w:t xml:space="preserve">. </w:t>
      </w:r>
      <w:r w:rsidRPr="003B1303" w:rsidR="007628EF">
        <w:rPr>
          <w:lang w:val="fr-FR"/>
        </w:rPr>
        <w:t xml:space="preserve">Les </w:t>
      </w:r>
      <w:r w:rsidRPr="003B1303" w:rsidR="000A0B15">
        <w:rPr>
          <w:lang w:val="fr-FR"/>
        </w:rPr>
        <w:t xml:space="preserve">deux </w:t>
      </w:r>
      <w:r w:rsidRPr="003B1303" w:rsidR="007628EF">
        <w:rPr>
          <w:lang w:val="fr-FR"/>
        </w:rPr>
        <w:t>requérants</w:t>
      </w:r>
      <w:r w:rsidRPr="003B1303" w:rsidR="004F6095">
        <w:rPr>
          <w:lang w:val="fr-FR"/>
        </w:rPr>
        <w:t xml:space="preserve"> invoquent l</w:t>
      </w:r>
      <w:r w:rsidRPr="003B1303" w:rsidR="003B1303">
        <w:rPr>
          <w:lang w:val="fr-FR"/>
        </w:rPr>
        <w:t>’</w:t>
      </w:r>
      <w:r w:rsidRPr="003B1303" w:rsidR="004F6095">
        <w:rPr>
          <w:lang w:val="fr-FR"/>
        </w:rPr>
        <w:t>article 3 de la Convention</w:t>
      </w:r>
      <w:r w:rsidRPr="003B1303" w:rsidR="00E77CB3">
        <w:rPr>
          <w:lang w:val="fr-FR"/>
        </w:rPr>
        <w:t>, ainsi libellé :</w:t>
      </w:r>
    </w:p>
    <w:p w:rsidRPr="003B1303" w:rsidR="004F6095" w:rsidP="003B1303" w:rsidRDefault="004F6095">
      <w:pPr>
        <w:pStyle w:val="ECHRParaQuote"/>
        <w:rPr>
          <w:lang w:val="fr-FR"/>
        </w:rPr>
      </w:pPr>
      <w:r w:rsidRPr="003B1303">
        <w:rPr>
          <w:lang w:val="fr-FR"/>
        </w:rPr>
        <w:t>« Nul ne peut être soumis à la torture ni à des peines ou traitements inhumains ou dégradants. »</w:t>
      </w:r>
    </w:p>
    <w:p w:rsidRPr="003B1303" w:rsidR="004F6095" w:rsidP="003B1303" w:rsidRDefault="00505A87">
      <w:pPr>
        <w:pStyle w:val="ECHRHeading2"/>
        <w:rPr>
          <w:lang w:val="fr-FR"/>
        </w:rPr>
      </w:pPr>
      <w:r w:rsidRPr="003B1303">
        <w:rPr>
          <w:lang w:val="fr-FR"/>
        </w:rPr>
        <w:t>A</w:t>
      </w:r>
      <w:r w:rsidRPr="003B1303" w:rsidR="004F6095">
        <w:rPr>
          <w:lang w:val="fr-FR"/>
        </w:rPr>
        <w:t>.  </w:t>
      </w:r>
      <w:r w:rsidRPr="003B1303" w:rsidR="000A0B15">
        <w:rPr>
          <w:lang w:val="fr-FR"/>
        </w:rPr>
        <w:t xml:space="preserve">Sur les allégations de mauvais traitements </w:t>
      </w:r>
      <w:r w:rsidRPr="003B1303" w:rsidR="00985420">
        <w:rPr>
          <w:lang w:val="fr-FR"/>
        </w:rPr>
        <w:t>des</w:t>
      </w:r>
      <w:r w:rsidRPr="003B1303" w:rsidR="00D87442">
        <w:rPr>
          <w:lang w:val="fr-FR"/>
        </w:rPr>
        <w:t xml:space="preserve"> </w:t>
      </w:r>
      <w:r w:rsidRPr="003B1303" w:rsidR="000A0B15">
        <w:rPr>
          <w:lang w:val="fr-FR"/>
        </w:rPr>
        <w:t>requérant</w:t>
      </w:r>
      <w:r w:rsidRPr="003B1303" w:rsidR="00985420">
        <w:rPr>
          <w:lang w:val="fr-FR"/>
        </w:rPr>
        <w:t>s</w:t>
      </w:r>
    </w:p>
    <w:p w:rsidRPr="003B1303" w:rsidR="00BE4C83" w:rsidP="003B1303" w:rsidRDefault="00505A87">
      <w:pPr>
        <w:pStyle w:val="ECHRHeading3"/>
        <w:rPr>
          <w:lang w:val="fr-FR"/>
        </w:rPr>
      </w:pPr>
      <w:r w:rsidRPr="003B1303">
        <w:rPr>
          <w:lang w:val="fr-FR"/>
        </w:rPr>
        <w:t>1.</w:t>
      </w:r>
      <w:r w:rsidRPr="003B1303" w:rsidR="004F6095">
        <w:rPr>
          <w:lang w:val="fr-FR"/>
        </w:rPr>
        <w:t>  </w:t>
      </w:r>
      <w:r w:rsidRPr="003B1303" w:rsidR="000A0B15">
        <w:rPr>
          <w:lang w:val="fr-FR"/>
        </w:rPr>
        <w:t>Thèses des parties</w:t>
      </w:r>
    </w:p>
    <w:p w:rsidRPr="003B1303" w:rsidR="004F6095" w:rsidP="003B1303" w:rsidRDefault="000A0B15">
      <w:pPr>
        <w:pStyle w:val="ECHRHeading4"/>
        <w:rPr>
          <w:lang w:val="fr-FR"/>
        </w:rPr>
      </w:pPr>
      <w:r w:rsidRPr="003B1303">
        <w:rPr>
          <w:lang w:val="fr-FR"/>
        </w:rPr>
        <w:t>a)  </w:t>
      </w:r>
      <w:r w:rsidRPr="003B1303" w:rsidR="004F6095">
        <w:rPr>
          <w:lang w:val="fr-FR"/>
        </w:rPr>
        <w:t>Le Gouvernement</w:t>
      </w:r>
    </w:p>
    <w:p w:rsidRPr="003B1303" w:rsidR="004F6095" w:rsidP="003B1303" w:rsidRDefault="00D47B9F">
      <w:pPr>
        <w:pStyle w:val="ECHRHeading5"/>
        <w:rPr>
          <w:lang w:val="fr-FR"/>
        </w:rPr>
      </w:pPr>
      <w:r w:rsidRPr="003B1303">
        <w:rPr>
          <w:lang w:val="fr-FR"/>
        </w:rPr>
        <w:t>i</w:t>
      </w:r>
      <w:r w:rsidRPr="003B1303" w:rsidR="004F6095">
        <w:rPr>
          <w:lang w:val="fr-FR"/>
        </w:rPr>
        <w:t>  En ce qui concerne le premier requérant</w:t>
      </w:r>
    </w:p>
    <w:p w:rsidRPr="003B1303" w:rsidR="00BE4C83" w:rsidP="003B1303" w:rsidRDefault="004F609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110</w:t>
      </w:r>
      <w:r w:rsidRPr="003B1303">
        <w:rPr>
          <w:lang w:val="fr-FR"/>
        </w:rPr>
        <w:fldChar w:fldCharType="end"/>
      </w:r>
      <w:r w:rsidRPr="003B1303">
        <w:rPr>
          <w:lang w:val="fr-FR"/>
        </w:rPr>
        <w:t>.  Le Gouvernement estime que le premier requérant n</w:t>
      </w:r>
      <w:r w:rsidRPr="003B1303" w:rsidR="003B1303">
        <w:rPr>
          <w:lang w:val="fr-FR"/>
        </w:rPr>
        <w:t>’</w:t>
      </w:r>
      <w:r w:rsidRPr="003B1303">
        <w:rPr>
          <w:lang w:val="fr-FR"/>
        </w:rPr>
        <w:t>a pas étayé son grief par des preuves pertinentes</w:t>
      </w:r>
      <w:r w:rsidRPr="003B1303" w:rsidR="00971340">
        <w:rPr>
          <w:lang w:val="fr-FR"/>
        </w:rPr>
        <w:t xml:space="preserve"> et</w:t>
      </w:r>
      <w:r w:rsidRPr="003B1303">
        <w:rPr>
          <w:lang w:val="fr-FR"/>
        </w:rPr>
        <w:t xml:space="preserve"> notamment par des attestations médicales </w:t>
      </w:r>
      <w:r w:rsidRPr="003B1303" w:rsidR="00971340">
        <w:rPr>
          <w:lang w:val="fr-FR"/>
        </w:rPr>
        <w:t xml:space="preserve">susceptibles de démontrer </w:t>
      </w:r>
      <w:r w:rsidRPr="003B1303">
        <w:rPr>
          <w:lang w:val="fr-FR"/>
        </w:rPr>
        <w:t>la présence de</w:t>
      </w:r>
      <w:r w:rsidRPr="003B1303" w:rsidR="00971340">
        <w:rPr>
          <w:lang w:val="fr-FR"/>
        </w:rPr>
        <w:t>s</w:t>
      </w:r>
      <w:r w:rsidRPr="003B1303">
        <w:rPr>
          <w:lang w:val="fr-FR"/>
        </w:rPr>
        <w:t xml:space="preserve"> lésions </w:t>
      </w:r>
      <w:r w:rsidRPr="003B1303" w:rsidR="00971340">
        <w:rPr>
          <w:lang w:val="fr-FR"/>
        </w:rPr>
        <w:t>qui lui auraient été infligées</w:t>
      </w:r>
      <w:r w:rsidRPr="003B1303">
        <w:rPr>
          <w:lang w:val="fr-FR"/>
        </w:rPr>
        <w:t xml:space="preserve"> dans </w:t>
      </w:r>
      <w:r w:rsidRPr="003B1303" w:rsidR="00D87442">
        <w:rPr>
          <w:lang w:val="fr-FR"/>
        </w:rPr>
        <w:t>l</w:t>
      </w:r>
      <w:r w:rsidRPr="003B1303">
        <w:rPr>
          <w:lang w:val="fr-FR"/>
        </w:rPr>
        <w:t xml:space="preserve">es circonstances alléguées. </w:t>
      </w:r>
      <w:r w:rsidRPr="003B1303" w:rsidR="00E479D2">
        <w:rPr>
          <w:lang w:val="fr-FR"/>
        </w:rPr>
        <w:t>Il</w:t>
      </w:r>
      <w:r w:rsidRPr="003B1303">
        <w:rPr>
          <w:lang w:val="fr-FR"/>
        </w:rPr>
        <w:t xml:space="preserve"> indique que</w:t>
      </w:r>
      <w:r w:rsidRPr="003B1303" w:rsidR="00971340">
        <w:rPr>
          <w:lang w:val="fr-FR"/>
        </w:rPr>
        <w:t>,</w:t>
      </w:r>
      <w:r w:rsidRPr="003B1303">
        <w:rPr>
          <w:lang w:val="fr-FR"/>
        </w:rPr>
        <w:t xml:space="preserve"> le 11 avril 2008, au moment de l</w:t>
      </w:r>
      <w:r w:rsidRPr="003B1303" w:rsidR="003B1303">
        <w:rPr>
          <w:lang w:val="fr-FR"/>
        </w:rPr>
        <w:t>’</w:t>
      </w:r>
      <w:r w:rsidRPr="003B1303">
        <w:rPr>
          <w:lang w:val="fr-FR"/>
        </w:rPr>
        <w:t xml:space="preserve">incarcération </w:t>
      </w:r>
      <w:r w:rsidRPr="003B1303" w:rsidR="003D4D37">
        <w:rPr>
          <w:lang w:val="fr-FR"/>
        </w:rPr>
        <w:t>de l</w:t>
      </w:r>
      <w:r w:rsidRPr="003B1303" w:rsidR="003B1303">
        <w:rPr>
          <w:lang w:val="fr-FR"/>
        </w:rPr>
        <w:t>’</w:t>
      </w:r>
      <w:r w:rsidRPr="003B1303" w:rsidR="003D4D37">
        <w:rPr>
          <w:lang w:val="fr-FR"/>
        </w:rPr>
        <w:t>intéressé</w:t>
      </w:r>
      <w:r w:rsidRPr="003B1303">
        <w:rPr>
          <w:lang w:val="fr-FR"/>
        </w:rPr>
        <w:t xml:space="preserve"> </w:t>
      </w:r>
      <w:r w:rsidRPr="003B1303" w:rsidR="00971340">
        <w:rPr>
          <w:lang w:val="fr-FR"/>
        </w:rPr>
        <w:t xml:space="preserve">dans </w:t>
      </w:r>
      <w:r w:rsidRPr="003B1303">
        <w:rPr>
          <w:lang w:val="fr-FR"/>
        </w:rPr>
        <w:t>la maison d</w:t>
      </w:r>
      <w:r w:rsidRPr="003B1303" w:rsidR="003B1303">
        <w:rPr>
          <w:lang w:val="fr-FR"/>
        </w:rPr>
        <w:t>’</w:t>
      </w:r>
      <w:r w:rsidRPr="003B1303">
        <w:rPr>
          <w:lang w:val="fr-FR"/>
        </w:rPr>
        <w:t xml:space="preserve">arrêt, </w:t>
      </w:r>
      <w:r w:rsidRPr="003B1303" w:rsidR="00971340">
        <w:rPr>
          <w:lang w:val="fr-FR"/>
        </w:rPr>
        <w:t xml:space="preserve">celui-ci </w:t>
      </w:r>
      <w:r w:rsidRPr="003B1303">
        <w:rPr>
          <w:lang w:val="fr-FR"/>
        </w:rPr>
        <w:t xml:space="preserve">a été examiné par le service médical </w:t>
      </w:r>
      <w:r w:rsidRPr="003B1303" w:rsidR="00D87442">
        <w:rPr>
          <w:lang w:val="fr-FR"/>
        </w:rPr>
        <w:t xml:space="preserve">de </w:t>
      </w:r>
      <w:r w:rsidRPr="003B1303" w:rsidR="00971340">
        <w:rPr>
          <w:lang w:val="fr-FR"/>
        </w:rPr>
        <w:t>l</w:t>
      </w:r>
      <w:r w:rsidRPr="003B1303" w:rsidR="003B1303">
        <w:rPr>
          <w:lang w:val="fr-FR"/>
        </w:rPr>
        <w:t>’</w:t>
      </w:r>
      <w:r w:rsidRPr="003B1303" w:rsidR="00971340">
        <w:rPr>
          <w:lang w:val="fr-FR"/>
        </w:rPr>
        <w:t>établissement,</w:t>
      </w:r>
      <w:r w:rsidRPr="003B1303" w:rsidR="00D87442">
        <w:rPr>
          <w:lang w:val="fr-FR"/>
        </w:rPr>
        <w:t xml:space="preserve"> </w:t>
      </w:r>
      <w:r w:rsidRPr="003B1303">
        <w:rPr>
          <w:lang w:val="fr-FR"/>
        </w:rPr>
        <w:t>qui n</w:t>
      </w:r>
      <w:r w:rsidRPr="003B1303" w:rsidR="003B1303">
        <w:rPr>
          <w:lang w:val="fr-FR"/>
        </w:rPr>
        <w:t>’</w:t>
      </w:r>
      <w:r w:rsidRPr="003B1303">
        <w:rPr>
          <w:lang w:val="fr-FR"/>
        </w:rPr>
        <w:t>a constaté aucune lésion</w:t>
      </w:r>
      <w:r w:rsidRPr="003B1303" w:rsidR="00971340">
        <w:rPr>
          <w:lang w:val="fr-FR"/>
        </w:rPr>
        <w:t>. Il ajoute que,</w:t>
      </w:r>
      <w:r w:rsidRPr="003B1303">
        <w:rPr>
          <w:lang w:val="fr-FR"/>
        </w:rPr>
        <w:t xml:space="preserve"> tout au long de sa détention dans </w:t>
      </w:r>
      <w:r w:rsidRPr="003B1303" w:rsidR="00971340">
        <w:rPr>
          <w:lang w:val="fr-FR"/>
        </w:rPr>
        <w:t>la maison d</w:t>
      </w:r>
      <w:r w:rsidRPr="003B1303" w:rsidR="003B1303">
        <w:rPr>
          <w:lang w:val="fr-FR"/>
        </w:rPr>
        <w:t>’</w:t>
      </w:r>
      <w:r w:rsidRPr="003B1303" w:rsidR="00971340">
        <w:rPr>
          <w:lang w:val="fr-FR"/>
        </w:rPr>
        <w:t>arrêt,</w:t>
      </w:r>
      <w:r w:rsidRPr="003B1303">
        <w:rPr>
          <w:lang w:val="fr-FR"/>
        </w:rPr>
        <w:t xml:space="preserve"> le </w:t>
      </w:r>
      <w:r w:rsidRPr="003B1303" w:rsidR="003D4D37">
        <w:rPr>
          <w:lang w:val="fr-FR"/>
        </w:rPr>
        <w:t xml:space="preserve">premier </w:t>
      </w:r>
      <w:r w:rsidRPr="003B1303">
        <w:rPr>
          <w:lang w:val="fr-FR"/>
        </w:rPr>
        <w:t>requérant n</w:t>
      </w:r>
      <w:r w:rsidRPr="003B1303" w:rsidR="003B1303">
        <w:rPr>
          <w:lang w:val="fr-FR"/>
        </w:rPr>
        <w:t>’</w:t>
      </w:r>
      <w:r w:rsidRPr="003B1303">
        <w:rPr>
          <w:lang w:val="fr-FR"/>
        </w:rPr>
        <w:t xml:space="preserve">a pas demandé </w:t>
      </w:r>
      <w:r w:rsidRPr="003B1303" w:rsidR="00971340">
        <w:rPr>
          <w:lang w:val="fr-FR"/>
        </w:rPr>
        <w:t xml:space="preserve">à </w:t>
      </w:r>
      <w:r w:rsidRPr="003B1303">
        <w:rPr>
          <w:lang w:val="fr-FR"/>
        </w:rPr>
        <w:t xml:space="preserve">être examiné par un médecin. </w:t>
      </w:r>
      <w:r w:rsidRPr="003B1303" w:rsidR="00971340">
        <w:rPr>
          <w:lang w:val="fr-FR"/>
        </w:rPr>
        <w:t>Il</w:t>
      </w:r>
      <w:r w:rsidRPr="003B1303" w:rsidR="009528EC">
        <w:rPr>
          <w:lang w:val="fr-FR"/>
        </w:rPr>
        <w:t xml:space="preserve"> indique que</w:t>
      </w:r>
      <w:r w:rsidRPr="003B1303" w:rsidR="00971340">
        <w:rPr>
          <w:lang w:val="fr-FR"/>
        </w:rPr>
        <w:t>,</w:t>
      </w:r>
      <w:r w:rsidRPr="003B1303" w:rsidR="009528EC">
        <w:rPr>
          <w:lang w:val="fr-FR"/>
        </w:rPr>
        <w:t xml:space="preserve"> le 27 </w:t>
      </w:r>
      <w:r w:rsidRPr="003B1303">
        <w:rPr>
          <w:lang w:val="fr-FR"/>
        </w:rPr>
        <w:t>janvier 2011</w:t>
      </w:r>
      <w:r w:rsidRPr="003B1303" w:rsidR="00971340">
        <w:rPr>
          <w:lang w:val="fr-FR"/>
        </w:rPr>
        <w:t>,</w:t>
      </w:r>
      <w:r w:rsidRPr="003B1303">
        <w:rPr>
          <w:lang w:val="fr-FR"/>
        </w:rPr>
        <w:t xml:space="preserve"> la cour régionale a rejeté les allégations </w:t>
      </w:r>
      <w:proofErr w:type="gramStart"/>
      <w:r w:rsidRPr="003B1303">
        <w:rPr>
          <w:lang w:val="fr-FR"/>
        </w:rPr>
        <w:t xml:space="preserve">du </w:t>
      </w:r>
      <w:r w:rsidRPr="003B1303" w:rsidR="003D4D37">
        <w:rPr>
          <w:lang w:val="fr-FR"/>
        </w:rPr>
        <w:t xml:space="preserve">premier </w:t>
      </w:r>
      <w:r w:rsidRPr="003B1303">
        <w:rPr>
          <w:lang w:val="fr-FR"/>
        </w:rPr>
        <w:t xml:space="preserve">requérant </w:t>
      </w:r>
      <w:r w:rsidRPr="003B1303" w:rsidR="00971340">
        <w:rPr>
          <w:lang w:val="fr-FR"/>
        </w:rPr>
        <w:t>relatives</w:t>
      </w:r>
      <w:proofErr w:type="gramEnd"/>
      <w:r w:rsidRPr="003B1303" w:rsidR="00971340">
        <w:rPr>
          <w:lang w:val="fr-FR"/>
        </w:rPr>
        <w:t xml:space="preserve"> </w:t>
      </w:r>
      <w:r w:rsidRPr="003B1303">
        <w:rPr>
          <w:lang w:val="fr-FR"/>
        </w:rPr>
        <w:t xml:space="preserve">aux mauvais traitements </w:t>
      </w:r>
      <w:r w:rsidRPr="003B1303" w:rsidR="00971340">
        <w:rPr>
          <w:lang w:val="fr-FR"/>
        </w:rPr>
        <w:t>qu</w:t>
      </w:r>
      <w:r w:rsidRPr="003B1303" w:rsidR="003B1303">
        <w:rPr>
          <w:lang w:val="fr-FR"/>
        </w:rPr>
        <w:t>’</w:t>
      </w:r>
      <w:r w:rsidRPr="003B1303" w:rsidR="00971340">
        <w:rPr>
          <w:lang w:val="fr-FR"/>
        </w:rPr>
        <w:t xml:space="preserve">il aurait </w:t>
      </w:r>
      <w:r w:rsidRPr="003B1303">
        <w:rPr>
          <w:lang w:val="fr-FR"/>
        </w:rPr>
        <w:t xml:space="preserve">subis en détention. </w:t>
      </w:r>
      <w:r w:rsidRPr="003B1303" w:rsidR="00971340">
        <w:rPr>
          <w:lang w:val="fr-FR"/>
        </w:rPr>
        <w:t>Il expose que, à</w:t>
      </w:r>
      <w:r w:rsidRPr="003B1303">
        <w:rPr>
          <w:lang w:val="fr-FR"/>
        </w:rPr>
        <w:t xml:space="preserve"> cet égard, </w:t>
      </w:r>
      <w:r w:rsidRPr="003B1303" w:rsidR="003D4D37">
        <w:rPr>
          <w:lang w:val="fr-FR"/>
        </w:rPr>
        <w:t>la cour régionale</w:t>
      </w:r>
      <w:r w:rsidRPr="003B1303">
        <w:rPr>
          <w:lang w:val="fr-FR"/>
        </w:rPr>
        <w:t xml:space="preserve"> a examiné l</w:t>
      </w:r>
      <w:r w:rsidRPr="003B1303" w:rsidR="003B1303">
        <w:rPr>
          <w:lang w:val="fr-FR"/>
        </w:rPr>
        <w:t>’</w:t>
      </w:r>
      <w:r w:rsidRPr="003B1303">
        <w:rPr>
          <w:lang w:val="fr-FR"/>
        </w:rPr>
        <w:t xml:space="preserve">enregistrement </w:t>
      </w:r>
      <w:r w:rsidRPr="003B1303" w:rsidR="009528EC">
        <w:rPr>
          <w:lang w:val="fr-FR"/>
        </w:rPr>
        <w:t>vidéo de l</w:t>
      </w:r>
      <w:r w:rsidRPr="003B1303" w:rsidR="003B1303">
        <w:rPr>
          <w:lang w:val="fr-FR"/>
        </w:rPr>
        <w:t>’</w:t>
      </w:r>
      <w:r w:rsidRPr="003B1303" w:rsidR="009528EC">
        <w:rPr>
          <w:lang w:val="fr-FR"/>
        </w:rPr>
        <w:t>interrogatoire du 15 </w:t>
      </w:r>
      <w:r w:rsidRPr="003B1303">
        <w:rPr>
          <w:lang w:val="fr-FR"/>
        </w:rPr>
        <w:t>avril</w:t>
      </w:r>
      <w:r w:rsidRPr="003B1303" w:rsidR="003D4D37">
        <w:rPr>
          <w:lang w:val="fr-FR"/>
        </w:rPr>
        <w:t> </w:t>
      </w:r>
      <w:r w:rsidRPr="003B1303">
        <w:rPr>
          <w:lang w:val="fr-FR"/>
        </w:rPr>
        <w:t xml:space="preserve">2008 et a conclu que le </w:t>
      </w:r>
      <w:r w:rsidRPr="003B1303" w:rsidR="003D4D37">
        <w:rPr>
          <w:lang w:val="fr-FR"/>
        </w:rPr>
        <w:t xml:space="preserve">premier </w:t>
      </w:r>
      <w:r w:rsidRPr="003B1303">
        <w:rPr>
          <w:lang w:val="fr-FR"/>
        </w:rPr>
        <w:t xml:space="preserve">requérant était libre de déposer. </w:t>
      </w:r>
      <w:r w:rsidRPr="003B1303" w:rsidR="003D4D37">
        <w:rPr>
          <w:lang w:val="fr-FR"/>
        </w:rPr>
        <w:t>Il indique que, pour ce faire, la juridiction</w:t>
      </w:r>
      <w:r w:rsidRPr="003B1303">
        <w:rPr>
          <w:lang w:val="fr-FR"/>
        </w:rPr>
        <w:t xml:space="preserve"> s</w:t>
      </w:r>
      <w:r w:rsidRPr="003B1303" w:rsidR="003B1303">
        <w:rPr>
          <w:lang w:val="fr-FR"/>
        </w:rPr>
        <w:t>’</w:t>
      </w:r>
      <w:r w:rsidRPr="003B1303">
        <w:rPr>
          <w:lang w:val="fr-FR"/>
        </w:rPr>
        <w:t>est appuyée sur un rapport d</w:t>
      </w:r>
      <w:r w:rsidRPr="003B1303" w:rsidR="003B1303">
        <w:rPr>
          <w:lang w:val="fr-FR"/>
        </w:rPr>
        <w:t>’</w:t>
      </w:r>
      <w:r w:rsidRPr="003B1303">
        <w:rPr>
          <w:lang w:val="fr-FR"/>
        </w:rPr>
        <w:t>un psychologue selon lequel</w:t>
      </w:r>
      <w:r w:rsidRPr="003B1303" w:rsidR="003D4D37">
        <w:rPr>
          <w:lang w:val="fr-FR"/>
        </w:rPr>
        <w:t>,</w:t>
      </w:r>
      <w:r w:rsidRPr="003B1303">
        <w:rPr>
          <w:lang w:val="fr-FR"/>
        </w:rPr>
        <w:t xml:space="preserve"> durant l</w:t>
      </w:r>
      <w:r w:rsidRPr="003B1303" w:rsidR="003B1303">
        <w:rPr>
          <w:lang w:val="fr-FR"/>
        </w:rPr>
        <w:t>’</w:t>
      </w:r>
      <w:r w:rsidRPr="003B1303">
        <w:rPr>
          <w:lang w:val="fr-FR"/>
        </w:rPr>
        <w:t>interrogatoire en question</w:t>
      </w:r>
      <w:r w:rsidRPr="003B1303" w:rsidR="003D4D37">
        <w:rPr>
          <w:lang w:val="fr-FR"/>
        </w:rPr>
        <w:t>,</w:t>
      </w:r>
      <w:r w:rsidRPr="003B1303">
        <w:rPr>
          <w:lang w:val="fr-FR"/>
        </w:rPr>
        <w:t xml:space="preserve"> le requérant ne se trouvait pas dans un état de dépression </w:t>
      </w:r>
      <w:r w:rsidRPr="003B1303" w:rsidR="003D4D37">
        <w:rPr>
          <w:lang w:val="fr-FR"/>
        </w:rPr>
        <w:t xml:space="preserve">ni </w:t>
      </w:r>
      <w:r w:rsidRPr="003B1303">
        <w:rPr>
          <w:lang w:val="fr-FR"/>
        </w:rPr>
        <w:t>d</w:t>
      </w:r>
      <w:r w:rsidRPr="003B1303" w:rsidR="003B1303">
        <w:rPr>
          <w:lang w:val="fr-FR"/>
        </w:rPr>
        <w:t>’</w:t>
      </w:r>
      <w:r w:rsidRPr="003B1303">
        <w:rPr>
          <w:lang w:val="fr-FR"/>
        </w:rPr>
        <w:t>oppression émotionnelle. Le Gouvernement argue par conséquent que le volet substanti</w:t>
      </w:r>
      <w:r w:rsidRPr="003B1303" w:rsidR="003D4D37">
        <w:rPr>
          <w:lang w:val="fr-FR"/>
        </w:rPr>
        <w:t>el</w:t>
      </w:r>
      <w:r w:rsidRPr="003B1303">
        <w:rPr>
          <w:lang w:val="fr-FR"/>
        </w:rPr>
        <w:t xml:space="preserve"> de l</w:t>
      </w:r>
      <w:r w:rsidRPr="003B1303" w:rsidR="003B1303">
        <w:rPr>
          <w:lang w:val="fr-FR"/>
        </w:rPr>
        <w:t>’</w:t>
      </w:r>
      <w:r w:rsidRPr="003B1303">
        <w:rPr>
          <w:lang w:val="fr-FR"/>
        </w:rPr>
        <w:t>article 3 de la Convention n</w:t>
      </w:r>
      <w:r w:rsidRPr="003B1303" w:rsidR="003B1303">
        <w:rPr>
          <w:lang w:val="fr-FR"/>
        </w:rPr>
        <w:t>’</w:t>
      </w:r>
      <w:r w:rsidRPr="003B1303">
        <w:rPr>
          <w:lang w:val="fr-FR"/>
        </w:rPr>
        <w:t>a pas été violé.</w:t>
      </w:r>
    </w:p>
    <w:p w:rsidRPr="003B1303" w:rsidR="004F6095" w:rsidP="003B1303" w:rsidRDefault="004F609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111</w:t>
      </w:r>
      <w:r w:rsidRPr="003B1303">
        <w:rPr>
          <w:lang w:val="fr-FR"/>
        </w:rPr>
        <w:fldChar w:fldCharType="end"/>
      </w:r>
      <w:r w:rsidRPr="003B1303">
        <w:rPr>
          <w:lang w:val="fr-FR"/>
        </w:rPr>
        <w:t xml:space="preserve">.  Quant au volet procédural de la même disposition de la Convention, le Gouvernement </w:t>
      </w:r>
      <w:r w:rsidRPr="003B1303" w:rsidR="003D4D37">
        <w:rPr>
          <w:lang w:val="fr-FR"/>
        </w:rPr>
        <w:t xml:space="preserve">allègue </w:t>
      </w:r>
      <w:r w:rsidRPr="003B1303">
        <w:rPr>
          <w:lang w:val="fr-FR"/>
        </w:rPr>
        <w:t>que l</w:t>
      </w:r>
      <w:r w:rsidRPr="003B1303" w:rsidR="003B1303">
        <w:rPr>
          <w:lang w:val="fr-FR"/>
        </w:rPr>
        <w:t>’</w:t>
      </w:r>
      <w:r w:rsidRPr="003B1303">
        <w:rPr>
          <w:lang w:val="fr-FR"/>
        </w:rPr>
        <w:t xml:space="preserve">obligation de mener une enquête effective </w:t>
      </w:r>
      <w:r w:rsidRPr="003B1303" w:rsidR="00870D49">
        <w:rPr>
          <w:lang w:val="fr-FR"/>
        </w:rPr>
        <w:t>n</w:t>
      </w:r>
      <w:r w:rsidRPr="003B1303" w:rsidR="003B1303">
        <w:rPr>
          <w:lang w:val="fr-FR"/>
        </w:rPr>
        <w:t>’</w:t>
      </w:r>
      <w:r w:rsidRPr="003B1303" w:rsidR="00870D49">
        <w:rPr>
          <w:lang w:val="fr-FR"/>
        </w:rPr>
        <w:t xml:space="preserve">est mise en œuvre </w:t>
      </w:r>
      <w:r w:rsidRPr="003B1303">
        <w:rPr>
          <w:lang w:val="fr-FR"/>
        </w:rPr>
        <w:t>que lorsque des allégations de mauvais traitements engendrent « un soupçon raisonnable ». Il indique que</w:t>
      </w:r>
      <w:r w:rsidRPr="003B1303" w:rsidR="00183AC0">
        <w:rPr>
          <w:lang w:val="fr-FR"/>
        </w:rPr>
        <w:t>,</w:t>
      </w:r>
      <w:r w:rsidRPr="003B1303">
        <w:rPr>
          <w:lang w:val="fr-FR"/>
        </w:rPr>
        <w:t xml:space="preserve"> lors de l</w:t>
      </w:r>
      <w:r w:rsidRPr="003B1303" w:rsidR="003B1303">
        <w:rPr>
          <w:lang w:val="fr-FR"/>
        </w:rPr>
        <w:t>’</w:t>
      </w:r>
      <w:r w:rsidRPr="003B1303">
        <w:rPr>
          <w:lang w:val="fr-FR"/>
        </w:rPr>
        <w:t>interrogatoire du 25 mai 2008, le premier requérant a allégué qu</w:t>
      </w:r>
      <w:r w:rsidRPr="003B1303" w:rsidR="003B1303">
        <w:rPr>
          <w:lang w:val="fr-FR"/>
        </w:rPr>
        <w:t>’</w:t>
      </w:r>
      <w:r w:rsidRPr="003B1303">
        <w:rPr>
          <w:lang w:val="fr-FR"/>
        </w:rPr>
        <w:t xml:space="preserve">il </w:t>
      </w:r>
      <w:r w:rsidRPr="003B1303" w:rsidR="00183AC0">
        <w:rPr>
          <w:lang w:val="fr-FR"/>
        </w:rPr>
        <w:t xml:space="preserve">était </w:t>
      </w:r>
      <w:r w:rsidRPr="003B1303">
        <w:rPr>
          <w:lang w:val="fr-FR"/>
        </w:rPr>
        <w:t>passé aux aveux sous l</w:t>
      </w:r>
      <w:r w:rsidRPr="003B1303" w:rsidR="003B1303">
        <w:rPr>
          <w:lang w:val="fr-FR"/>
        </w:rPr>
        <w:t>’</w:t>
      </w:r>
      <w:r w:rsidRPr="003B1303">
        <w:rPr>
          <w:lang w:val="fr-FR"/>
        </w:rPr>
        <w:t>effet de mauvais traitements physique</w:t>
      </w:r>
      <w:r w:rsidRPr="003B1303" w:rsidR="009528EC">
        <w:rPr>
          <w:lang w:val="fr-FR"/>
        </w:rPr>
        <w:t>s</w:t>
      </w:r>
      <w:r w:rsidRPr="003B1303">
        <w:rPr>
          <w:lang w:val="fr-FR"/>
        </w:rPr>
        <w:t xml:space="preserve"> et psycholog</w:t>
      </w:r>
      <w:r w:rsidRPr="003B1303" w:rsidR="00183AC0">
        <w:rPr>
          <w:lang w:val="fr-FR"/>
        </w:rPr>
        <w:t>iques</w:t>
      </w:r>
      <w:r w:rsidRPr="003B1303">
        <w:rPr>
          <w:lang w:val="fr-FR"/>
        </w:rPr>
        <w:t xml:space="preserve"> de la part d</w:t>
      </w:r>
      <w:r w:rsidRPr="003B1303" w:rsidR="00183AC0">
        <w:rPr>
          <w:lang w:val="fr-FR"/>
        </w:rPr>
        <w:t>e s</w:t>
      </w:r>
      <w:r w:rsidRPr="003B1303">
        <w:rPr>
          <w:lang w:val="fr-FR"/>
        </w:rPr>
        <w:t xml:space="preserve">es codétenus Go. </w:t>
      </w:r>
      <w:proofErr w:type="gramStart"/>
      <w:r w:rsidRPr="003B1303">
        <w:rPr>
          <w:lang w:val="fr-FR"/>
        </w:rPr>
        <w:t>et</w:t>
      </w:r>
      <w:proofErr w:type="gramEnd"/>
      <w:r w:rsidRPr="003B1303">
        <w:rPr>
          <w:lang w:val="fr-FR"/>
        </w:rPr>
        <w:t xml:space="preserve"> Ma.</w:t>
      </w:r>
      <w:r w:rsidRPr="003B1303" w:rsidR="00183AC0">
        <w:rPr>
          <w:lang w:val="fr-FR"/>
        </w:rPr>
        <w:t>,</w:t>
      </w:r>
      <w:r w:rsidRPr="003B1303">
        <w:rPr>
          <w:lang w:val="fr-FR"/>
        </w:rPr>
        <w:t xml:space="preserve"> qui auraient agi sous le contrôle des officiers de police Ti. </w:t>
      </w:r>
      <w:proofErr w:type="gramStart"/>
      <w:r w:rsidRPr="003B1303">
        <w:rPr>
          <w:lang w:val="fr-FR"/>
        </w:rPr>
        <w:t>et</w:t>
      </w:r>
      <w:proofErr w:type="gramEnd"/>
      <w:r w:rsidRPr="003B1303">
        <w:rPr>
          <w:lang w:val="fr-FR"/>
        </w:rPr>
        <w:t xml:space="preserve"> Te. Le Gouvernement </w:t>
      </w:r>
      <w:r w:rsidRPr="003B1303" w:rsidR="00183AC0">
        <w:rPr>
          <w:lang w:val="fr-FR"/>
        </w:rPr>
        <w:t xml:space="preserve">soutient </w:t>
      </w:r>
      <w:r w:rsidRPr="003B1303">
        <w:rPr>
          <w:lang w:val="fr-FR"/>
        </w:rPr>
        <w:t>toutefois que</w:t>
      </w:r>
      <w:r w:rsidRPr="003B1303" w:rsidR="00183AC0">
        <w:rPr>
          <w:lang w:val="fr-FR"/>
        </w:rPr>
        <w:t>,</w:t>
      </w:r>
      <w:r w:rsidRPr="003B1303">
        <w:rPr>
          <w:lang w:val="fr-FR"/>
        </w:rPr>
        <w:t xml:space="preserve"> lors d</w:t>
      </w:r>
      <w:r w:rsidRPr="003B1303" w:rsidR="003B1303">
        <w:rPr>
          <w:lang w:val="fr-FR"/>
        </w:rPr>
        <w:t>’</w:t>
      </w:r>
      <w:r w:rsidRPr="003B1303">
        <w:rPr>
          <w:lang w:val="fr-FR"/>
        </w:rPr>
        <w:t xml:space="preserve">une vérification menée à la suite de la plainte du </w:t>
      </w:r>
      <w:r w:rsidRPr="003B1303" w:rsidR="00183AC0">
        <w:rPr>
          <w:lang w:val="fr-FR"/>
        </w:rPr>
        <w:t xml:space="preserve">premier </w:t>
      </w:r>
      <w:r w:rsidRPr="003B1303">
        <w:rPr>
          <w:lang w:val="fr-FR"/>
        </w:rPr>
        <w:t>requérant et qui s</w:t>
      </w:r>
      <w:r w:rsidRPr="003B1303" w:rsidR="003B1303">
        <w:rPr>
          <w:lang w:val="fr-FR"/>
        </w:rPr>
        <w:t>’</w:t>
      </w:r>
      <w:r w:rsidRPr="003B1303">
        <w:rPr>
          <w:lang w:val="fr-FR"/>
        </w:rPr>
        <w:t>est soldé</w:t>
      </w:r>
      <w:r w:rsidRPr="003B1303" w:rsidR="00BA098E">
        <w:rPr>
          <w:lang w:val="fr-FR"/>
        </w:rPr>
        <w:t>e</w:t>
      </w:r>
      <w:r w:rsidRPr="003B1303">
        <w:rPr>
          <w:lang w:val="fr-FR"/>
        </w:rPr>
        <w:t xml:space="preserve"> par la décision de refus d</w:t>
      </w:r>
      <w:r w:rsidRPr="003B1303" w:rsidR="003B1303">
        <w:rPr>
          <w:lang w:val="fr-FR"/>
        </w:rPr>
        <w:t>’</w:t>
      </w:r>
      <w:r w:rsidRPr="003B1303">
        <w:rPr>
          <w:lang w:val="fr-FR"/>
        </w:rPr>
        <w:t xml:space="preserve">ouvrir une enquête pénale du 28 juin 2008, les personnes </w:t>
      </w:r>
      <w:r w:rsidRPr="003B1303" w:rsidR="00183AC0">
        <w:rPr>
          <w:lang w:val="fr-FR"/>
        </w:rPr>
        <w:t xml:space="preserve">précitées </w:t>
      </w:r>
      <w:r w:rsidRPr="003B1303">
        <w:rPr>
          <w:lang w:val="fr-FR"/>
        </w:rPr>
        <w:t>ont toutes nié avoir exercé une quelconque pression sur l</w:t>
      </w:r>
      <w:r w:rsidRPr="003B1303" w:rsidR="003B1303">
        <w:rPr>
          <w:lang w:val="fr-FR"/>
        </w:rPr>
        <w:t>’</w:t>
      </w:r>
      <w:r w:rsidRPr="003B1303">
        <w:rPr>
          <w:lang w:val="fr-FR"/>
        </w:rPr>
        <w:t xml:space="preserve">intéressé. </w:t>
      </w:r>
      <w:r w:rsidRPr="003B1303" w:rsidR="00183AC0">
        <w:rPr>
          <w:lang w:val="fr-FR"/>
        </w:rPr>
        <w:t>Il estime que, e</w:t>
      </w:r>
      <w:r w:rsidRPr="003B1303">
        <w:rPr>
          <w:lang w:val="fr-FR"/>
        </w:rPr>
        <w:t>u égard à l</w:t>
      </w:r>
      <w:r w:rsidRPr="003B1303" w:rsidR="003B1303">
        <w:rPr>
          <w:lang w:val="fr-FR"/>
        </w:rPr>
        <w:t>’</w:t>
      </w:r>
      <w:r w:rsidRPr="003B1303">
        <w:rPr>
          <w:lang w:val="fr-FR"/>
        </w:rPr>
        <w:t xml:space="preserve">absence de tout élément qui aurait démontré un dommage à la santé </w:t>
      </w:r>
      <w:r w:rsidRPr="003B1303" w:rsidR="00183AC0">
        <w:rPr>
          <w:lang w:val="fr-FR"/>
        </w:rPr>
        <w:t>du premier requérant</w:t>
      </w:r>
      <w:r w:rsidRPr="003B1303" w:rsidR="00D87442">
        <w:rPr>
          <w:lang w:val="fr-FR"/>
        </w:rPr>
        <w:t>, la décision du 28 </w:t>
      </w:r>
      <w:r w:rsidRPr="003B1303">
        <w:rPr>
          <w:lang w:val="fr-FR"/>
        </w:rPr>
        <w:t>juin 2008 portant sur le refus d</w:t>
      </w:r>
      <w:r w:rsidRPr="003B1303" w:rsidR="003B1303">
        <w:rPr>
          <w:lang w:val="fr-FR"/>
        </w:rPr>
        <w:t>’</w:t>
      </w:r>
      <w:r w:rsidRPr="003B1303">
        <w:rPr>
          <w:lang w:val="fr-FR"/>
        </w:rPr>
        <w:t xml:space="preserve">ouvrir une enquête pénale </w:t>
      </w:r>
      <w:r w:rsidRPr="003B1303" w:rsidR="00183AC0">
        <w:rPr>
          <w:lang w:val="fr-FR"/>
        </w:rPr>
        <w:t>était donc</w:t>
      </w:r>
      <w:r w:rsidRPr="003B1303">
        <w:rPr>
          <w:lang w:val="fr-FR"/>
        </w:rPr>
        <w:t xml:space="preserve"> bien fondée.</w:t>
      </w:r>
    </w:p>
    <w:p w:rsidRPr="003B1303" w:rsidR="004F6095" w:rsidP="003B1303" w:rsidRDefault="004F609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112</w:t>
      </w:r>
      <w:r w:rsidRPr="003B1303">
        <w:rPr>
          <w:lang w:val="fr-FR"/>
        </w:rPr>
        <w:fldChar w:fldCharType="end"/>
      </w:r>
      <w:r w:rsidRPr="003B1303">
        <w:rPr>
          <w:lang w:val="fr-FR"/>
        </w:rPr>
        <w:t xml:space="preserve">.  À titre subsidiaire, le Gouvernement </w:t>
      </w:r>
      <w:r w:rsidRPr="003B1303" w:rsidR="00E479D2">
        <w:rPr>
          <w:lang w:val="fr-FR"/>
        </w:rPr>
        <w:t xml:space="preserve">allègue </w:t>
      </w:r>
      <w:r w:rsidRPr="003B1303">
        <w:rPr>
          <w:lang w:val="fr-FR"/>
        </w:rPr>
        <w:t xml:space="preserve">que le </w:t>
      </w:r>
      <w:r w:rsidRPr="003B1303" w:rsidR="00B76C56">
        <w:rPr>
          <w:lang w:val="fr-FR"/>
        </w:rPr>
        <w:t xml:space="preserve">premier </w:t>
      </w:r>
      <w:r w:rsidRPr="003B1303">
        <w:rPr>
          <w:lang w:val="fr-FR"/>
        </w:rPr>
        <w:t>requérant</w:t>
      </w:r>
      <w:r w:rsidRPr="003B1303" w:rsidR="00B76C56">
        <w:rPr>
          <w:lang w:val="fr-FR"/>
        </w:rPr>
        <w:t>, ayant omis de faire appel contre la décision de refus d</w:t>
      </w:r>
      <w:r w:rsidRPr="003B1303" w:rsidR="003B1303">
        <w:rPr>
          <w:lang w:val="fr-FR"/>
        </w:rPr>
        <w:t>’</w:t>
      </w:r>
      <w:r w:rsidRPr="003B1303" w:rsidR="00B76C56">
        <w:rPr>
          <w:lang w:val="fr-FR"/>
        </w:rPr>
        <w:t xml:space="preserve">ouvrir une enquête pénale du 28 juin 2008, </w:t>
      </w:r>
      <w:r w:rsidRPr="003B1303">
        <w:rPr>
          <w:lang w:val="fr-FR"/>
        </w:rPr>
        <w:t>n</w:t>
      </w:r>
      <w:r w:rsidRPr="003B1303" w:rsidR="003B1303">
        <w:rPr>
          <w:lang w:val="fr-FR"/>
        </w:rPr>
        <w:t>’</w:t>
      </w:r>
      <w:r w:rsidRPr="003B1303">
        <w:rPr>
          <w:lang w:val="fr-FR"/>
        </w:rPr>
        <w:t>a pas épuisé les voies de recours internes. Il indique que l</w:t>
      </w:r>
      <w:r w:rsidRPr="003B1303" w:rsidR="003B1303">
        <w:rPr>
          <w:lang w:val="fr-FR"/>
        </w:rPr>
        <w:t>’</w:t>
      </w:r>
      <w:r w:rsidRPr="003B1303">
        <w:rPr>
          <w:lang w:val="fr-FR"/>
        </w:rPr>
        <w:t>objection quant à l</w:t>
      </w:r>
      <w:r w:rsidRPr="003B1303" w:rsidR="003B1303">
        <w:rPr>
          <w:lang w:val="fr-FR"/>
        </w:rPr>
        <w:t>’</w:t>
      </w:r>
      <w:r w:rsidRPr="003B1303">
        <w:rPr>
          <w:lang w:val="fr-FR"/>
        </w:rPr>
        <w:t>admissibilité de</w:t>
      </w:r>
      <w:r w:rsidRPr="003B1303" w:rsidR="009528EC">
        <w:rPr>
          <w:lang w:val="fr-FR"/>
        </w:rPr>
        <w:t>s preuves obtenues les 14 et 15 </w:t>
      </w:r>
      <w:r w:rsidRPr="003B1303">
        <w:rPr>
          <w:lang w:val="fr-FR"/>
        </w:rPr>
        <w:t xml:space="preserve">avril 2008 ne saurait équivaloir à un épuisement approprié </w:t>
      </w:r>
      <w:r w:rsidRPr="003B1303" w:rsidR="00B76C56">
        <w:rPr>
          <w:lang w:val="fr-FR"/>
        </w:rPr>
        <w:t>des voies de recours internes relativement au</w:t>
      </w:r>
      <w:r w:rsidRPr="003B1303">
        <w:rPr>
          <w:lang w:val="fr-FR"/>
        </w:rPr>
        <w:t xml:space="preserve"> grief tiré de l</w:t>
      </w:r>
      <w:r w:rsidRPr="003B1303" w:rsidR="003B1303">
        <w:rPr>
          <w:lang w:val="fr-FR"/>
        </w:rPr>
        <w:t>’</w:t>
      </w:r>
      <w:r w:rsidRPr="003B1303">
        <w:rPr>
          <w:lang w:val="fr-FR"/>
        </w:rPr>
        <w:t>article 3 de la Convention. De surcroît, le Gouvernement argue qu</w:t>
      </w:r>
      <w:r w:rsidRPr="003B1303" w:rsidR="00B76C56">
        <w:rPr>
          <w:lang w:val="fr-FR"/>
        </w:rPr>
        <w:t xml:space="preserve">e, </w:t>
      </w:r>
      <w:r w:rsidRPr="003B1303">
        <w:rPr>
          <w:lang w:val="fr-FR"/>
        </w:rPr>
        <w:t>ayant introduit sa requête le 17</w:t>
      </w:r>
      <w:r w:rsidRPr="003B1303" w:rsidR="00B76C56">
        <w:rPr>
          <w:lang w:val="fr-FR"/>
        </w:rPr>
        <w:t> </w:t>
      </w:r>
      <w:r w:rsidRPr="003B1303">
        <w:rPr>
          <w:lang w:val="fr-FR"/>
        </w:rPr>
        <w:t>juillet 2009, le</w:t>
      </w:r>
      <w:r w:rsidRPr="003B1303" w:rsidR="00B76C56">
        <w:rPr>
          <w:lang w:val="fr-FR"/>
        </w:rPr>
        <w:t xml:space="preserve"> premier</w:t>
      </w:r>
      <w:r w:rsidRPr="003B1303">
        <w:rPr>
          <w:lang w:val="fr-FR"/>
        </w:rPr>
        <w:t xml:space="preserve"> requérant n</w:t>
      </w:r>
      <w:r w:rsidRPr="003B1303" w:rsidR="003B1303">
        <w:rPr>
          <w:lang w:val="fr-FR"/>
        </w:rPr>
        <w:t>’</w:t>
      </w:r>
      <w:r w:rsidRPr="003B1303">
        <w:rPr>
          <w:lang w:val="fr-FR"/>
        </w:rPr>
        <w:t>a pas respecté le délai de six mois imparti par l</w:t>
      </w:r>
      <w:r w:rsidRPr="003B1303" w:rsidR="003B1303">
        <w:rPr>
          <w:lang w:val="fr-FR"/>
        </w:rPr>
        <w:t>’</w:t>
      </w:r>
      <w:r w:rsidRPr="003B1303">
        <w:rPr>
          <w:lang w:val="fr-FR"/>
        </w:rPr>
        <w:t>article 35 de la Convention et que son grief tiré de l</w:t>
      </w:r>
      <w:r w:rsidRPr="003B1303" w:rsidR="003B1303">
        <w:rPr>
          <w:lang w:val="fr-FR"/>
        </w:rPr>
        <w:t>’</w:t>
      </w:r>
      <w:r w:rsidRPr="003B1303">
        <w:rPr>
          <w:lang w:val="fr-FR"/>
        </w:rPr>
        <w:t xml:space="preserve">article 3 de la Convention </w:t>
      </w:r>
      <w:r w:rsidRPr="003B1303" w:rsidR="00B76C56">
        <w:rPr>
          <w:lang w:val="fr-FR"/>
        </w:rPr>
        <w:t xml:space="preserve">est </w:t>
      </w:r>
      <w:r w:rsidRPr="003B1303">
        <w:rPr>
          <w:lang w:val="fr-FR"/>
        </w:rPr>
        <w:t>tardif.</w:t>
      </w:r>
    </w:p>
    <w:p w:rsidRPr="003B1303" w:rsidR="004F6095" w:rsidP="003B1303" w:rsidRDefault="00D47B9F">
      <w:pPr>
        <w:pStyle w:val="ECHRHeading5"/>
        <w:rPr>
          <w:lang w:val="fr-FR"/>
        </w:rPr>
      </w:pPr>
      <w:r w:rsidRPr="003B1303">
        <w:rPr>
          <w:lang w:val="fr-FR"/>
        </w:rPr>
        <w:t>ii.</w:t>
      </w:r>
      <w:r w:rsidRPr="003B1303" w:rsidR="004F6095">
        <w:rPr>
          <w:lang w:val="fr-FR"/>
        </w:rPr>
        <w:t>  En ce qui concerne le second requérant</w:t>
      </w:r>
    </w:p>
    <w:p w:rsidRPr="003B1303" w:rsidR="00BE4C83" w:rsidP="003B1303" w:rsidRDefault="004E12F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113</w:t>
      </w:r>
      <w:r w:rsidRPr="003B1303">
        <w:rPr>
          <w:lang w:val="fr-FR"/>
        </w:rPr>
        <w:fldChar w:fldCharType="end"/>
      </w:r>
      <w:r w:rsidRPr="003B1303">
        <w:rPr>
          <w:lang w:val="fr-FR"/>
        </w:rPr>
        <w:t xml:space="preserve">.  Le Gouvernement indique que les allégations du </w:t>
      </w:r>
      <w:r w:rsidRPr="003B1303" w:rsidR="00887454">
        <w:rPr>
          <w:lang w:val="fr-FR"/>
        </w:rPr>
        <w:t xml:space="preserve">second </w:t>
      </w:r>
      <w:r w:rsidRPr="003B1303">
        <w:rPr>
          <w:lang w:val="fr-FR"/>
        </w:rPr>
        <w:t xml:space="preserve">requérant quant aux mauvais traitements </w:t>
      </w:r>
      <w:r w:rsidRPr="003B1303" w:rsidR="00B76C56">
        <w:rPr>
          <w:lang w:val="fr-FR"/>
        </w:rPr>
        <w:t xml:space="preserve">que celui-ci aurait </w:t>
      </w:r>
      <w:r w:rsidRPr="003B1303">
        <w:rPr>
          <w:lang w:val="fr-FR"/>
        </w:rPr>
        <w:t>subis dans la maison d</w:t>
      </w:r>
      <w:r w:rsidRPr="003B1303" w:rsidR="003B1303">
        <w:rPr>
          <w:lang w:val="fr-FR"/>
        </w:rPr>
        <w:t>’</w:t>
      </w:r>
      <w:r w:rsidRPr="003B1303">
        <w:rPr>
          <w:lang w:val="fr-FR"/>
        </w:rPr>
        <w:t>arrêt ont été examiné</w:t>
      </w:r>
      <w:r w:rsidRPr="003B1303" w:rsidR="008B4960">
        <w:rPr>
          <w:lang w:val="fr-FR"/>
        </w:rPr>
        <w:t>es</w:t>
      </w:r>
      <w:r w:rsidRPr="003B1303">
        <w:rPr>
          <w:lang w:val="fr-FR"/>
        </w:rPr>
        <w:t xml:space="preserve"> lors d</w:t>
      </w:r>
      <w:r w:rsidRPr="003B1303" w:rsidR="003B1303">
        <w:rPr>
          <w:lang w:val="fr-FR"/>
        </w:rPr>
        <w:t>’</w:t>
      </w:r>
      <w:r w:rsidRPr="003B1303">
        <w:rPr>
          <w:lang w:val="fr-FR"/>
        </w:rPr>
        <w:t>une vérification qui s</w:t>
      </w:r>
      <w:r w:rsidRPr="003B1303" w:rsidR="003B1303">
        <w:rPr>
          <w:lang w:val="fr-FR"/>
        </w:rPr>
        <w:t>’</w:t>
      </w:r>
      <w:r w:rsidRPr="003B1303">
        <w:rPr>
          <w:lang w:val="fr-FR"/>
        </w:rPr>
        <w:t>est soldée par la décision de refus d</w:t>
      </w:r>
      <w:r w:rsidRPr="003B1303" w:rsidR="003B1303">
        <w:rPr>
          <w:lang w:val="fr-FR"/>
        </w:rPr>
        <w:t>’</w:t>
      </w:r>
      <w:r w:rsidRPr="003B1303">
        <w:rPr>
          <w:lang w:val="fr-FR"/>
        </w:rPr>
        <w:t xml:space="preserve">ouvrir une enquête pénale du 24 janvier 2010. </w:t>
      </w:r>
      <w:r w:rsidRPr="003B1303" w:rsidR="004F6095">
        <w:rPr>
          <w:lang w:val="fr-FR"/>
        </w:rPr>
        <w:t>En s</w:t>
      </w:r>
      <w:r w:rsidRPr="003B1303" w:rsidR="003B1303">
        <w:rPr>
          <w:lang w:val="fr-FR"/>
        </w:rPr>
        <w:t>’</w:t>
      </w:r>
      <w:r w:rsidRPr="003B1303" w:rsidR="004F6095">
        <w:rPr>
          <w:lang w:val="fr-FR"/>
        </w:rPr>
        <w:t xml:space="preserve">appuyant sur le contenu des explications des personnes entendues dans le cadre </w:t>
      </w:r>
      <w:r w:rsidRPr="003B1303">
        <w:rPr>
          <w:lang w:val="fr-FR"/>
        </w:rPr>
        <w:t>de ladite vérification</w:t>
      </w:r>
      <w:r w:rsidRPr="003B1303" w:rsidR="004F6095">
        <w:rPr>
          <w:lang w:val="fr-FR"/>
        </w:rPr>
        <w:t xml:space="preserve">, </w:t>
      </w:r>
      <w:r w:rsidRPr="003B1303" w:rsidR="00731513">
        <w:rPr>
          <w:lang w:val="fr-FR"/>
        </w:rPr>
        <w:t>il</w:t>
      </w:r>
      <w:r w:rsidRPr="003B1303" w:rsidR="004F6095">
        <w:rPr>
          <w:lang w:val="fr-FR"/>
        </w:rPr>
        <w:t xml:space="preserve"> se rallie aux conclusions des autorités chargées de l</w:t>
      </w:r>
      <w:r w:rsidRPr="003B1303" w:rsidR="003B1303">
        <w:rPr>
          <w:lang w:val="fr-FR"/>
        </w:rPr>
        <w:t>’</w:t>
      </w:r>
      <w:r w:rsidRPr="003B1303" w:rsidR="004F6095">
        <w:rPr>
          <w:lang w:val="fr-FR"/>
        </w:rPr>
        <w:t xml:space="preserve">instruction </w:t>
      </w:r>
      <w:r w:rsidRPr="003B1303">
        <w:rPr>
          <w:lang w:val="fr-FR"/>
        </w:rPr>
        <w:t>p</w:t>
      </w:r>
      <w:r w:rsidRPr="003B1303" w:rsidR="009528EC">
        <w:rPr>
          <w:lang w:val="fr-FR"/>
        </w:rPr>
        <w:t>our dire que les allégations de l</w:t>
      </w:r>
      <w:r w:rsidRPr="003B1303" w:rsidR="003B1303">
        <w:rPr>
          <w:lang w:val="fr-FR"/>
        </w:rPr>
        <w:t>’</w:t>
      </w:r>
      <w:r w:rsidRPr="003B1303" w:rsidR="009528EC">
        <w:rPr>
          <w:lang w:val="fr-FR"/>
        </w:rPr>
        <w:t>intéressé</w:t>
      </w:r>
      <w:r w:rsidRPr="003B1303">
        <w:rPr>
          <w:lang w:val="fr-FR"/>
        </w:rPr>
        <w:t xml:space="preserve"> étaient mal fondées.</w:t>
      </w:r>
    </w:p>
    <w:p w:rsidRPr="003B1303" w:rsidR="004E12FF" w:rsidP="003B1303" w:rsidRDefault="004E12F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114</w:t>
      </w:r>
      <w:r w:rsidRPr="003B1303">
        <w:rPr>
          <w:lang w:val="fr-FR"/>
        </w:rPr>
        <w:fldChar w:fldCharType="end"/>
      </w:r>
      <w:r w:rsidRPr="003B1303">
        <w:rPr>
          <w:lang w:val="fr-FR"/>
        </w:rPr>
        <w:t xml:space="preserve">.  À titre subsidiaire, le Gouvernement indique que le </w:t>
      </w:r>
      <w:r w:rsidRPr="003B1303" w:rsidR="008B4960">
        <w:rPr>
          <w:lang w:val="fr-FR"/>
        </w:rPr>
        <w:t xml:space="preserve">second </w:t>
      </w:r>
      <w:r w:rsidRPr="003B1303">
        <w:rPr>
          <w:lang w:val="fr-FR"/>
        </w:rPr>
        <w:t>requérant a introduit sa requête le 10 juin 2010, soit avant que le tribunal de première instance ait pu se prononcer sur l</w:t>
      </w:r>
      <w:r w:rsidRPr="003B1303" w:rsidR="003B1303">
        <w:rPr>
          <w:lang w:val="fr-FR"/>
        </w:rPr>
        <w:t>’</w:t>
      </w:r>
      <w:r w:rsidRPr="003B1303">
        <w:rPr>
          <w:lang w:val="fr-FR"/>
        </w:rPr>
        <w:t xml:space="preserve">admissibilité des preuves </w:t>
      </w:r>
      <w:r w:rsidRPr="003B1303" w:rsidR="00731513">
        <w:rPr>
          <w:lang w:val="fr-FR"/>
        </w:rPr>
        <w:t>qui, selon l</w:t>
      </w:r>
      <w:r w:rsidRPr="003B1303" w:rsidR="003B1303">
        <w:rPr>
          <w:lang w:val="fr-FR"/>
        </w:rPr>
        <w:t>’</w:t>
      </w:r>
      <w:r w:rsidRPr="003B1303" w:rsidR="00731513">
        <w:rPr>
          <w:lang w:val="fr-FR"/>
        </w:rPr>
        <w:t xml:space="preserve">intéressé, avaient été </w:t>
      </w:r>
      <w:r w:rsidRPr="003B1303" w:rsidR="008B4960">
        <w:rPr>
          <w:lang w:val="fr-FR"/>
        </w:rPr>
        <w:t xml:space="preserve">obtenues </w:t>
      </w:r>
      <w:r w:rsidRPr="003B1303" w:rsidR="00731513">
        <w:rPr>
          <w:lang w:val="fr-FR"/>
        </w:rPr>
        <w:t xml:space="preserve">par </w:t>
      </w:r>
      <w:r w:rsidRPr="003B1303" w:rsidR="008B4960">
        <w:rPr>
          <w:lang w:val="fr-FR"/>
        </w:rPr>
        <w:t>coercition. Le Gouvernement est d</w:t>
      </w:r>
      <w:r w:rsidRPr="003B1303" w:rsidR="003B1303">
        <w:rPr>
          <w:lang w:val="fr-FR"/>
        </w:rPr>
        <w:t>’</w:t>
      </w:r>
      <w:r w:rsidRPr="003B1303" w:rsidR="008B4960">
        <w:rPr>
          <w:lang w:val="fr-FR"/>
        </w:rPr>
        <w:t>avis que le grief tiré de l</w:t>
      </w:r>
      <w:r w:rsidRPr="003B1303" w:rsidR="003B1303">
        <w:rPr>
          <w:lang w:val="fr-FR"/>
        </w:rPr>
        <w:t>’</w:t>
      </w:r>
      <w:r w:rsidRPr="003B1303" w:rsidR="008B4960">
        <w:rPr>
          <w:lang w:val="fr-FR"/>
        </w:rPr>
        <w:t xml:space="preserve">article 3 de la Convention </w:t>
      </w:r>
      <w:r w:rsidRPr="003B1303" w:rsidR="00731513">
        <w:rPr>
          <w:lang w:val="fr-FR"/>
        </w:rPr>
        <w:t xml:space="preserve">doit </w:t>
      </w:r>
      <w:r w:rsidRPr="003B1303" w:rsidR="00887454">
        <w:rPr>
          <w:lang w:val="fr-FR"/>
        </w:rPr>
        <w:t>donc être rejeté pour non-épuisement des voies de recours internes.</w:t>
      </w:r>
    </w:p>
    <w:p w:rsidRPr="003B1303" w:rsidR="00BE4C83" w:rsidP="003B1303" w:rsidRDefault="00CF6C88">
      <w:pPr>
        <w:pStyle w:val="ECHRHeading4"/>
        <w:rPr>
          <w:lang w:val="fr-FR"/>
        </w:rPr>
      </w:pPr>
      <w:r w:rsidRPr="003B1303">
        <w:rPr>
          <w:lang w:val="fr-FR"/>
        </w:rPr>
        <w:t>b</w:t>
      </w:r>
      <w:r w:rsidRPr="003B1303" w:rsidR="00D47B9F">
        <w:rPr>
          <w:lang w:val="fr-FR"/>
        </w:rPr>
        <w:t>)</w:t>
      </w:r>
      <w:r w:rsidRPr="003B1303" w:rsidR="004F6095">
        <w:rPr>
          <w:lang w:val="fr-FR"/>
        </w:rPr>
        <w:t>  Les requérants</w:t>
      </w:r>
    </w:p>
    <w:p w:rsidRPr="003B1303" w:rsidR="004F6095" w:rsidP="003B1303" w:rsidRDefault="00D47B9F">
      <w:pPr>
        <w:pStyle w:val="ECHRHeading5"/>
        <w:rPr>
          <w:lang w:val="fr-FR"/>
        </w:rPr>
      </w:pPr>
      <w:r w:rsidRPr="003B1303">
        <w:rPr>
          <w:lang w:val="fr-FR"/>
        </w:rPr>
        <w:t>i.</w:t>
      </w:r>
      <w:r w:rsidRPr="003B1303" w:rsidR="004F6095">
        <w:rPr>
          <w:lang w:val="fr-FR"/>
        </w:rPr>
        <w:t>  Le premier re</w:t>
      </w:r>
      <w:r w:rsidRPr="003B1303" w:rsidR="00B02CA3">
        <w:rPr>
          <w:lang w:val="fr-FR"/>
        </w:rPr>
        <w:t>q</w:t>
      </w:r>
      <w:r w:rsidRPr="003B1303" w:rsidR="004F6095">
        <w:rPr>
          <w:lang w:val="fr-FR"/>
        </w:rPr>
        <w:t>uérant</w:t>
      </w:r>
    </w:p>
    <w:p w:rsidRPr="003B1303" w:rsidR="00BE4C83" w:rsidP="003B1303" w:rsidRDefault="00990934">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115</w:t>
      </w:r>
      <w:r w:rsidRPr="003B1303">
        <w:rPr>
          <w:lang w:val="fr-FR"/>
        </w:rPr>
        <w:fldChar w:fldCharType="end"/>
      </w:r>
      <w:r w:rsidRPr="003B1303">
        <w:rPr>
          <w:lang w:val="fr-FR"/>
        </w:rPr>
        <w:t>.  </w:t>
      </w:r>
      <w:r w:rsidRPr="003B1303" w:rsidR="00144B3C">
        <w:rPr>
          <w:lang w:val="fr-FR"/>
        </w:rPr>
        <w:t xml:space="preserve">Le premier requérant réitère ses allégations </w:t>
      </w:r>
      <w:r w:rsidRPr="003B1303" w:rsidR="007177A5">
        <w:rPr>
          <w:lang w:val="fr-FR"/>
        </w:rPr>
        <w:t>de mauvais traitements</w:t>
      </w:r>
      <w:r w:rsidRPr="003B1303" w:rsidR="00BA098E">
        <w:rPr>
          <w:lang w:val="fr-FR"/>
        </w:rPr>
        <w:t xml:space="preserve"> (paragraphe </w:t>
      </w:r>
      <w:r w:rsidRPr="003B1303" w:rsidR="00BA098E">
        <w:rPr>
          <w:lang w:val="fr-FR"/>
        </w:rPr>
        <w:fldChar w:fldCharType="begin"/>
      </w:r>
      <w:r w:rsidRPr="003B1303" w:rsidR="00BA098E">
        <w:rPr>
          <w:lang w:val="fr-FR"/>
        </w:rPr>
        <w:instrText xml:space="preserve"> REF allmauvr1 \h </w:instrText>
      </w:r>
      <w:r w:rsidRPr="003B1303" w:rsidR="006C36C2">
        <w:rPr>
          <w:lang w:val="fr-FR"/>
        </w:rPr>
        <w:instrText xml:space="preserve"> \* MERGEFORMAT </w:instrText>
      </w:r>
      <w:r w:rsidRPr="003B1303" w:rsidR="00BA098E">
        <w:rPr>
          <w:lang w:val="fr-FR"/>
        </w:rPr>
      </w:r>
      <w:r w:rsidRPr="003B1303" w:rsidR="00BA098E">
        <w:rPr>
          <w:lang w:val="fr-FR"/>
        </w:rPr>
        <w:fldChar w:fldCharType="separate"/>
      </w:r>
      <w:r w:rsidR="003B1303">
        <w:rPr>
          <w:noProof/>
          <w:lang w:val="fr-FR"/>
        </w:rPr>
        <w:t>16</w:t>
      </w:r>
      <w:r w:rsidRPr="003B1303" w:rsidR="00BA098E">
        <w:rPr>
          <w:lang w:val="fr-FR"/>
        </w:rPr>
        <w:fldChar w:fldCharType="end"/>
      </w:r>
      <w:r w:rsidRPr="003B1303" w:rsidR="00BA098E">
        <w:rPr>
          <w:lang w:val="fr-FR"/>
        </w:rPr>
        <w:t xml:space="preserve"> ci</w:t>
      </w:r>
      <w:r w:rsidRPr="003B1303" w:rsidR="00BA098E">
        <w:rPr>
          <w:lang w:val="fr-FR"/>
        </w:rPr>
        <w:noBreakHyphen/>
        <w:t>dessus)</w:t>
      </w:r>
      <w:r w:rsidRPr="003B1303" w:rsidR="007177A5">
        <w:rPr>
          <w:lang w:val="fr-FR"/>
        </w:rPr>
        <w:t>. Il soutient qu</w:t>
      </w:r>
      <w:r w:rsidRPr="003B1303" w:rsidR="003B1303">
        <w:rPr>
          <w:lang w:val="fr-FR"/>
        </w:rPr>
        <w:t>’</w:t>
      </w:r>
      <w:r w:rsidRPr="003B1303" w:rsidR="007177A5">
        <w:rPr>
          <w:lang w:val="fr-FR"/>
        </w:rPr>
        <w:t>il lui était difficile d</w:t>
      </w:r>
      <w:r w:rsidRPr="003B1303" w:rsidR="003B1303">
        <w:rPr>
          <w:lang w:val="fr-FR"/>
        </w:rPr>
        <w:t>’</w:t>
      </w:r>
      <w:r w:rsidRPr="003B1303" w:rsidR="007177A5">
        <w:rPr>
          <w:lang w:val="fr-FR"/>
        </w:rPr>
        <w:t>en obtenir des preuves, y compris d</w:t>
      </w:r>
      <w:r w:rsidRPr="003B1303" w:rsidR="003B1303">
        <w:rPr>
          <w:lang w:val="fr-FR"/>
        </w:rPr>
        <w:t>’</w:t>
      </w:r>
      <w:r w:rsidRPr="003B1303" w:rsidR="007177A5">
        <w:rPr>
          <w:lang w:val="fr-FR"/>
        </w:rPr>
        <w:t xml:space="preserve">ordre médical, et renvoie à cet égard aux déclarations des témoins Ch. et Ras. </w:t>
      </w:r>
      <w:proofErr w:type="gramStart"/>
      <w:r w:rsidRPr="003B1303" w:rsidR="007177A5">
        <w:rPr>
          <w:lang w:val="fr-FR"/>
        </w:rPr>
        <w:t>selon</w:t>
      </w:r>
      <w:proofErr w:type="gramEnd"/>
      <w:r w:rsidRPr="003B1303" w:rsidR="007177A5">
        <w:rPr>
          <w:lang w:val="fr-FR"/>
        </w:rPr>
        <w:t xml:space="preserve"> lesquelles toute tentative de plainte de </w:t>
      </w:r>
      <w:r w:rsidRPr="003B1303" w:rsidR="00E921DF">
        <w:rPr>
          <w:lang w:val="fr-FR"/>
        </w:rPr>
        <w:t>s</w:t>
      </w:r>
      <w:r w:rsidRPr="003B1303" w:rsidR="007177A5">
        <w:rPr>
          <w:lang w:val="fr-FR"/>
        </w:rPr>
        <w:t xml:space="preserve">a part </w:t>
      </w:r>
      <w:r w:rsidRPr="003B1303" w:rsidR="00E921DF">
        <w:rPr>
          <w:lang w:val="fr-FR"/>
        </w:rPr>
        <w:t>était</w:t>
      </w:r>
      <w:r w:rsidRPr="003B1303" w:rsidR="007177A5">
        <w:rPr>
          <w:lang w:val="fr-FR"/>
        </w:rPr>
        <w:t xml:space="preserve"> empêchée par </w:t>
      </w:r>
      <w:r w:rsidRPr="003B1303" w:rsidR="00E921DF">
        <w:rPr>
          <w:lang w:val="fr-FR"/>
        </w:rPr>
        <w:t>s</w:t>
      </w:r>
      <w:r w:rsidRPr="003B1303" w:rsidR="007177A5">
        <w:rPr>
          <w:lang w:val="fr-FR"/>
        </w:rPr>
        <w:t xml:space="preserve">es codétenus et </w:t>
      </w:r>
      <w:r w:rsidRPr="003B1303" w:rsidR="00E921DF">
        <w:rPr>
          <w:lang w:val="fr-FR"/>
        </w:rPr>
        <w:t xml:space="preserve">par </w:t>
      </w:r>
      <w:r w:rsidRPr="003B1303" w:rsidR="007177A5">
        <w:rPr>
          <w:lang w:val="fr-FR"/>
        </w:rPr>
        <w:t>l</w:t>
      </w:r>
      <w:r w:rsidRPr="003B1303" w:rsidR="003B1303">
        <w:rPr>
          <w:lang w:val="fr-FR"/>
        </w:rPr>
        <w:t>’</w:t>
      </w:r>
      <w:r w:rsidRPr="003B1303" w:rsidR="007177A5">
        <w:rPr>
          <w:lang w:val="fr-FR"/>
        </w:rPr>
        <w:t>administration de la maison d</w:t>
      </w:r>
      <w:r w:rsidRPr="003B1303" w:rsidR="003B1303">
        <w:rPr>
          <w:lang w:val="fr-FR"/>
        </w:rPr>
        <w:t>’</w:t>
      </w:r>
      <w:r w:rsidRPr="003B1303" w:rsidR="007177A5">
        <w:rPr>
          <w:lang w:val="fr-FR"/>
        </w:rPr>
        <w:t>arrêt</w:t>
      </w:r>
      <w:r w:rsidRPr="003B1303" w:rsidR="00BA098E">
        <w:rPr>
          <w:lang w:val="fr-FR"/>
        </w:rPr>
        <w:t xml:space="preserve"> (paragraphe </w:t>
      </w:r>
      <w:r w:rsidRPr="003B1303" w:rsidR="00BA098E">
        <w:rPr>
          <w:lang w:val="fr-FR"/>
        </w:rPr>
        <w:fldChar w:fldCharType="begin"/>
      </w:r>
      <w:r w:rsidRPr="003B1303" w:rsidR="00BA098E">
        <w:rPr>
          <w:lang w:val="fr-FR"/>
        </w:rPr>
        <w:instrText xml:space="preserve"> REF temCh \h </w:instrText>
      </w:r>
      <w:r w:rsidRPr="003B1303" w:rsidR="006C36C2">
        <w:rPr>
          <w:lang w:val="fr-FR"/>
        </w:rPr>
        <w:instrText xml:space="preserve"> \* MERGEFORMAT </w:instrText>
      </w:r>
      <w:r w:rsidRPr="003B1303" w:rsidR="00BA098E">
        <w:rPr>
          <w:lang w:val="fr-FR"/>
        </w:rPr>
      </w:r>
      <w:r w:rsidRPr="003B1303" w:rsidR="00BA098E">
        <w:rPr>
          <w:lang w:val="fr-FR"/>
        </w:rPr>
        <w:fldChar w:fldCharType="separate"/>
      </w:r>
      <w:r w:rsidR="003B1303">
        <w:rPr>
          <w:noProof/>
          <w:lang w:val="fr-FR"/>
        </w:rPr>
        <w:t>76</w:t>
      </w:r>
      <w:r w:rsidRPr="003B1303" w:rsidR="00BA098E">
        <w:rPr>
          <w:lang w:val="fr-FR"/>
        </w:rPr>
        <w:fldChar w:fldCharType="end"/>
      </w:r>
      <w:r w:rsidRPr="003B1303" w:rsidR="00BA098E">
        <w:rPr>
          <w:lang w:val="fr-FR"/>
        </w:rPr>
        <w:t xml:space="preserve"> ci</w:t>
      </w:r>
      <w:r w:rsidRPr="003B1303" w:rsidR="00BA098E">
        <w:rPr>
          <w:lang w:val="fr-FR"/>
        </w:rPr>
        <w:noBreakHyphen/>
        <w:t>dessus)</w:t>
      </w:r>
      <w:r w:rsidRPr="003B1303" w:rsidR="00F55E68">
        <w:rPr>
          <w:lang w:val="fr-FR"/>
        </w:rPr>
        <w:t>.</w:t>
      </w:r>
    </w:p>
    <w:p w:rsidRPr="003B1303" w:rsidR="00BE4C83" w:rsidP="003B1303" w:rsidRDefault="00F55E6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116</w:t>
      </w:r>
      <w:r w:rsidRPr="003B1303">
        <w:rPr>
          <w:lang w:val="fr-FR"/>
        </w:rPr>
        <w:fldChar w:fldCharType="end"/>
      </w:r>
      <w:r w:rsidRPr="003B1303">
        <w:rPr>
          <w:lang w:val="fr-FR"/>
        </w:rPr>
        <w:t>.  S</w:t>
      </w:r>
      <w:r w:rsidRPr="003B1303" w:rsidR="003B1303">
        <w:rPr>
          <w:lang w:val="fr-FR"/>
        </w:rPr>
        <w:t>’</w:t>
      </w:r>
      <w:r w:rsidRPr="003B1303">
        <w:rPr>
          <w:lang w:val="fr-FR"/>
        </w:rPr>
        <w:t>agissant du volet procédural de l</w:t>
      </w:r>
      <w:r w:rsidRPr="003B1303" w:rsidR="003B1303">
        <w:rPr>
          <w:lang w:val="fr-FR"/>
        </w:rPr>
        <w:t>’</w:t>
      </w:r>
      <w:r w:rsidRPr="003B1303">
        <w:rPr>
          <w:lang w:val="fr-FR"/>
        </w:rPr>
        <w:t xml:space="preserve">article 3 de la Convention, le </w:t>
      </w:r>
      <w:r w:rsidRPr="003B1303" w:rsidR="00D66B68">
        <w:rPr>
          <w:lang w:val="fr-FR"/>
        </w:rPr>
        <w:t xml:space="preserve">premier </w:t>
      </w:r>
      <w:r w:rsidRPr="003B1303">
        <w:rPr>
          <w:lang w:val="fr-FR"/>
        </w:rPr>
        <w:t xml:space="preserve">requérant </w:t>
      </w:r>
      <w:r w:rsidRPr="003B1303" w:rsidR="00D66B68">
        <w:rPr>
          <w:lang w:val="fr-FR"/>
        </w:rPr>
        <w:t>soutient que les vérifications préliminaires conduites par les autorités internes sur la base de l</w:t>
      </w:r>
      <w:r w:rsidRPr="003B1303" w:rsidR="003B1303">
        <w:rPr>
          <w:lang w:val="fr-FR"/>
        </w:rPr>
        <w:t>’</w:t>
      </w:r>
      <w:r w:rsidRPr="003B1303" w:rsidR="00D66B68">
        <w:rPr>
          <w:lang w:val="fr-FR"/>
        </w:rPr>
        <w:t>article 144 du CPP n</w:t>
      </w:r>
      <w:r w:rsidRPr="003B1303" w:rsidR="003B1303">
        <w:rPr>
          <w:lang w:val="fr-FR"/>
        </w:rPr>
        <w:t>’</w:t>
      </w:r>
      <w:r w:rsidRPr="003B1303" w:rsidR="00D66B68">
        <w:rPr>
          <w:lang w:val="fr-FR"/>
        </w:rPr>
        <w:t xml:space="preserve">étaient pas effectives </w:t>
      </w:r>
      <w:r w:rsidRPr="003B1303" w:rsidR="00E921DF">
        <w:rPr>
          <w:lang w:val="fr-FR"/>
        </w:rPr>
        <w:t xml:space="preserve">pour les </w:t>
      </w:r>
      <w:r w:rsidRPr="003B1303" w:rsidR="00D66B68">
        <w:rPr>
          <w:lang w:val="fr-FR"/>
        </w:rPr>
        <w:t xml:space="preserve">motifs suivants : aucune confrontation entre les agresseurs présumés et </w:t>
      </w:r>
      <w:r w:rsidRPr="003B1303" w:rsidR="00E921DF">
        <w:rPr>
          <w:lang w:val="fr-FR"/>
        </w:rPr>
        <w:t>lui-même</w:t>
      </w:r>
      <w:r w:rsidRPr="003B1303" w:rsidR="00D66B68">
        <w:rPr>
          <w:lang w:val="fr-FR"/>
        </w:rPr>
        <w:t xml:space="preserve"> </w:t>
      </w:r>
      <w:r w:rsidRPr="003B1303" w:rsidR="00E921DF">
        <w:rPr>
          <w:lang w:val="fr-FR"/>
        </w:rPr>
        <w:t>n</w:t>
      </w:r>
      <w:r w:rsidRPr="003B1303" w:rsidR="003B1303">
        <w:rPr>
          <w:lang w:val="fr-FR"/>
        </w:rPr>
        <w:t>’</w:t>
      </w:r>
      <w:r w:rsidRPr="003B1303" w:rsidR="00E921DF">
        <w:rPr>
          <w:lang w:val="fr-FR"/>
        </w:rPr>
        <w:t>a</w:t>
      </w:r>
      <w:r w:rsidRPr="003B1303" w:rsidR="00BD2D2E">
        <w:rPr>
          <w:lang w:val="fr-FR"/>
        </w:rPr>
        <w:t>v</w:t>
      </w:r>
      <w:r w:rsidRPr="003B1303" w:rsidR="00E921DF">
        <w:rPr>
          <w:lang w:val="fr-FR"/>
        </w:rPr>
        <w:t xml:space="preserve">ait </w:t>
      </w:r>
      <w:r w:rsidRPr="003B1303" w:rsidR="00D66B68">
        <w:rPr>
          <w:lang w:val="fr-FR"/>
        </w:rPr>
        <w:t>eu lieu</w:t>
      </w:r>
      <w:r w:rsidRPr="003B1303" w:rsidR="00E479D2">
        <w:rPr>
          <w:lang w:val="fr-FR"/>
        </w:rPr>
        <w:t>,</w:t>
      </w:r>
      <w:r w:rsidRPr="003B1303" w:rsidR="00D66B68">
        <w:rPr>
          <w:lang w:val="fr-FR"/>
        </w:rPr>
        <w:t xml:space="preserve"> des témoins possibles </w:t>
      </w:r>
      <w:r w:rsidRPr="003B1303" w:rsidR="00E921DF">
        <w:rPr>
          <w:lang w:val="fr-FR"/>
        </w:rPr>
        <w:t>n</w:t>
      </w:r>
      <w:r w:rsidRPr="003B1303" w:rsidR="003B1303">
        <w:rPr>
          <w:lang w:val="fr-FR"/>
        </w:rPr>
        <w:t>’</w:t>
      </w:r>
      <w:r w:rsidRPr="003B1303" w:rsidR="00E921DF">
        <w:rPr>
          <w:lang w:val="fr-FR"/>
        </w:rPr>
        <w:t>a</w:t>
      </w:r>
      <w:r w:rsidRPr="003B1303" w:rsidR="00BD2D2E">
        <w:rPr>
          <w:lang w:val="fr-FR"/>
        </w:rPr>
        <w:t>v</w:t>
      </w:r>
      <w:r w:rsidRPr="003B1303" w:rsidR="00E921DF">
        <w:rPr>
          <w:lang w:val="fr-FR"/>
        </w:rPr>
        <w:t xml:space="preserve">aient </w:t>
      </w:r>
      <w:r w:rsidRPr="003B1303" w:rsidR="00D66B68">
        <w:rPr>
          <w:lang w:val="fr-FR"/>
        </w:rPr>
        <w:t xml:space="preserve">pas été </w:t>
      </w:r>
      <w:r w:rsidRPr="003B1303" w:rsidR="00E921DF">
        <w:rPr>
          <w:lang w:val="fr-FR"/>
        </w:rPr>
        <w:t>entendus</w:t>
      </w:r>
      <w:r w:rsidRPr="003B1303" w:rsidR="00C232B9">
        <w:rPr>
          <w:lang w:val="fr-FR"/>
        </w:rPr>
        <w:t xml:space="preserve">, </w:t>
      </w:r>
      <w:r w:rsidRPr="003B1303" w:rsidR="00E921DF">
        <w:rPr>
          <w:lang w:val="fr-FR"/>
        </w:rPr>
        <w:t xml:space="preserve">et </w:t>
      </w:r>
      <w:r w:rsidRPr="003B1303" w:rsidR="00C232B9">
        <w:rPr>
          <w:lang w:val="fr-FR"/>
        </w:rPr>
        <w:t>l</w:t>
      </w:r>
      <w:r w:rsidRPr="003B1303" w:rsidR="003B1303">
        <w:rPr>
          <w:lang w:val="fr-FR"/>
        </w:rPr>
        <w:t>’</w:t>
      </w:r>
      <w:r w:rsidRPr="003B1303" w:rsidR="00C232B9">
        <w:rPr>
          <w:lang w:val="fr-FR"/>
        </w:rPr>
        <w:t xml:space="preserve">enquêteur </w:t>
      </w:r>
      <w:r w:rsidRPr="003B1303" w:rsidR="00BD2D2E">
        <w:rPr>
          <w:lang w:val="fr-FR"/>
        </w:rPr>
        <w:t xml:space="preserve">avait </w:t>
      </w:r>
      <w:r w:rsidRPr="003B1303" w:rsidR="00E479D2">
        <w:rPr>
          <w:lang w:val="fr-FR"/>
        </w:rPr>
        <w:t xml:space="preserve">procédé à </w:t>
      </w:r>
      <w:r w:rsidRPr="003B1303" w:rsidR="00C232B9">
        <w:rPr>
          <w:lang w:val="fr-FR"/>
        </w:rPr>
        <w:t xml:space="preserve">une appréciation sélective des déclarations </w:t>
      </w:r>
      <w:r w:rsidRPr="003B1303" w:rsidR="00B02CA3">
        <w:rPr>
          <w:lang w:val="fr-FR"/>
        </w:rPr>
        <w:t>des personnes entendues.</w:t>
      </w:r>
    </w:p>
    <w:p w:rsidRPr="003B1303" w:rsidR="00596ADE" w:rsidP="003B1303" w:rsidRDefault="00596ADE">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117</w:t>
      </w:r>
      <w:r w:rsidRPr="003B1303">
        <w:rPr>
          <w:lang w:val="fr-FR"/>
        </w:rPr>
        <w:fldChar w:fldCharType="end"/>
      </w:r>
      <w:r w:rsidRPr="003B1303">
        <w:rPr>
          <w:lang w:val="fr-FR"/>
        </w:rPr>
        <w:t>.  Quant à l</w:t>
      </w:r>
      <w:r w:rsidRPr="003B1303" w:rsidR="003B1303">
        <w:rPr>
          <w:lang w:val="fr-FR"/>
        </w:rPr>
        <w:t>’</w:t>
      </w:r>
      <w:r w:rsidRPr="003B1303">
        <w:rPr>
          <w:lang w:val="fr-FR"/>
        </w:rPr>
        <w:t xml:space="preserve">épuisement des voies de recours internes, le premier requérant </w:t>
      </w:r>
      <w:r w:rsidRPr="003B1303" w:rsidR="00E921DF">
        <w:rPr>
          <w:lang w:val="fr-FR"/>
        </w:rPr>
        <w:t xml:space="preserve">soutient </w:t>
      </w:r>
      <w:r w:rsidRPr="003B1303" w:rsidR="00157518">
        <w:rPr>
          <w:lang w:val="fr-FR"/>
        </w:rPr>
        <w:t>que</w:t>
      </w:r>
      <w:r w:rsidRPr="003B1303" w:rsidR="00C232B9">
        <w:rPr>
          <w:lang w:val="fr-FR"/>
        </w:rPr>
        <w:t>, contrairement à ce qui est avancé par le Gouvernement, il a</w:t>
      </w:r>
      <w:r w:rsidRPr="003B1303" w:rsidR="00831248">
        <w:rPr>
          <w:lang w:val="fr-FR"/>
        </w:rPr>
        <w:t>vait</w:t>
      </w:r>
      <w:r w:rsidRPr="003B1303" w:rsidR="00C232B9">
        <w:rPr>
          <w:lang w:val="fr-FR"/>
        </w:rPr>
        <w:t xml:space="preserve"> introduit un </w:t>
      </w:r>
      <w:r w:rsidRPr="003B1303" w:rsidR="00157518">
        <w:rPr>
          <w:lang w:val="fr-FR"/>
        </w:rPr>
        <w:t>recours contre</w:t>
      </w:r>
      <w:r w:rsidRPr="003B1303">
        <w:rPr>
          <w:lang w:val="fr-FR"/>
        </w:rPr>
        <w:t xml:space="preserve"> la décision du 28 juin 2008</w:t>
      </w:r>
      <w:r w:rsidRPr="003B1303" w:rsidR="00E921DF">
        <w:rPr>
          <w:lang w:val="fr-FR"/>
        </w:rPr>
        <w:t>, recours</w:t>
      </w:r>
      <w:r w:rsidRPr="003B1303" w:rsidR="009528EC">
        <w:rPr>
          <w:lang w:val="fr-FR"/>
        </w:rPr>
        <w:t xml:space="preserve"> qui a été définitivement rejeté le</w:t>
      </w:r>
      <w:r w:rsidRPr="003B1303" w:rsidR="00157518">
        <w:rPr>
          <w:lang w:val="fr-FR"/>
        </w:rPr>
        <w:t xml:space="preserve"> 1</w:t>
      </w:r>
      <w:r w:rsidRPr="003B1303" w:rsidR="00C232B9">
        <w:rPr>
          <w:vertAlign w:val="superscript"/>
          <w:lang w:val="fr-FR"/>
        </w:rPr>
        <w:t>er</w:t>
      </w:r>
      <w:r w:rsidRPr="003B1303" w:rsidR="00C232B9">
        <w:rPr>
          <w:lang w:val="fr-FR"/>
        </w:rPr>
        <w:t xml:space="preserve"> </w:t>
      </w:r>
      <w:r w:rsidRPr="003B1303" w:rsidR="00157518">
        <w:rPr>
          <w:lang w:val="fr-FR"/>
        </w:rPr>
        <w:t xml:space="preserve">avril 2009 </w:t>
      </w:r>
      <w:r w:rsidRPr="003B1303" w:rsidR="009528EC">
        <w:rPr>
          <w:lang w:val="fr-FR"/>
        </w:rPr>
        <w:t>par la cour régionale</w:t>
      </w:r>
      <w:r w:rsidRPr="003B1303" w:rsidR="00157518">
        <w:rPr>
          <w:lang w:val="fr-FR"/>
        </w:rPr>
        <w:t>.</w:t>
      </w:r>
    </w:p>
    <w:p w:rsidRPr="003B1303" w:rsidR="004F6095" w:rsidP="003B1303" w:rsidRDefault="00D47B9F">
      <w:pPr>
        <w:pStyle w:val="ECHRHeading5"/>
        <w:rPr>
          <w:lang w:val="fr-FR"/>
        </w:rPr>
      </w:pPr>
      <w:r w:rsidRPr="003B1303">
        <w:rPr>
          <w:lang w:val="fr-FR"/>
        </w:rPr>
        <w:t>ii.</w:t>
      </w:r>
      <w:r w:rsidRPr="003B1303" w:rsidR="004F6095">
        <w:rPr>
          <w:lang w:val="fr-FR"/>
        </w:rPr>
        <w:t>  Le second requérant</w:t>
      </w:r>
    </w:p>
    <w:p w:rsidRPr="003B1303" w:rsidR="00BE4C83" w:rsidP="003B1303" w:rsidRDefault="00E143A1">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118</w:t>
      </w:r>
      <w:r w:rsidRPr="003B1303">
        <w:rPr>
          <w:lang w:val="fr-FR"/>
        </w:rPr>
        <w:fldChar w:fldCharType="end"/>
      </w:r>
      <w:r w:rsidRPr="003B1303">
        <w:rPr>
          <w:lang w:val="fr-FR"/>
        </w:rPr>
        <w:t>.  </w:t>
      </w:r>
      <w:r w:rsidRPr="003B1303" w:rsidR="00BA098E">
        <w:rPr>
          <w:lang w:val="fr-FR"/>
        </w:rPr>
        <w:t xml:space="preserve">Le second requérant réitère à son tour ses allégations de mauvais traitements (paragraphe </w:t>
      </w:r>
      <w:r w:rsidRPr="003B1303" w:rsidR="00BA098E">
        <w:rPr>
          <w:lang w:val="fr-FR"/>
        </w:rPr>
        <w:fldChar w:fldCharType="begin"/>
      </w:r>
      <w:r w:rsidRPr="003B1303" w:rsidR="00BA098E">
        <w:rPr>
          <w:lang w:val="fr-FR"/>
        </w:rPr>
        <w:instrText xml:space="preserve"> REF allmauvR2 \h </w:instrText>
      </w:r>
      <w:r w:rsidRPr="003B1303" w:rsidR="006C36C2">
        <w:rPr>
          <w:lang w:val="fr-FR"/>
        </w:rPr>
        <w:instrText xml:space="preserve"> \* MERGEFORMAT </w:instrText>
      </w:r>
      <w:r w:rsidRPr="003B1303" w:rsidR="00BA098E">
        <w:rPr>
          <w:lang w:val="fr-FR"/>
        </w:rPr>
      </w:r>
      <w:r w:rsidRPr="003B1303" w:rsidR="00BA098E">
        <w:rPr>
          <w:lang w:val="fr-FR"/>
        </w:rPr>
        <w:fldChar w:fldCharType="separate"/>
      </w:r>
      <w:r w:rsidR="003B1303">
        <w:rPr>
          <w:noProof/>
          <w:lang w:val="fr-FR"/>
        </w:rPr>
        <w:t>52</w:t>
      </w:r>
      <w:r w:rsidRPr="003B1303" w:rsidR="00BA098E">
        <w:rPr>
          <w:lang w:val="fr-FR"/>
        </w:rPr>
        <w:fldChar w:fldCharType="end"/>
      </w:r>
      <w:r w:rsidRPr="003B1303" w:rsidR="00BA098E">
        <w:rPr>
          <w:lang w:val="fr-FR"/>
        </w:rPr>
        <w:t xml:space="preserve"> ci</w:t>
      </w:r>
      <w:r w:rsidRPr="003B1303" w:rsidR="00BA098E">
        <w:rPr>
          <w:lang w:val="fr-FR"/>
        </w:rPr>
        <w:noBreakHyphen/>
        <w:t xml:space="preserve">dessus). Il </w:t>
      </w:r>
      <w:r w:rsidRPr="003B1303" w:rsidR="00C35F65">
        <w:rPr>
          <w:lang w:val="fr-FR"/>
        </w:rPr>
        <w:t xml:space="preserve">soutient </w:t>
      </w:r>
      <w:r w:rsidRPr="003B1303">
        <w:rPr>
          <w:lang w:val="fr-FR"/>
        </w:rPr>
        <w:t>qu</w:t>
      </w:r>
      <w:r w:rsidRPr="003B1303" w:rsidR="003B1303">
        <w:rPr>
          <w:lang w:val="fr-FR"/>
        </w:rPr>
        <w:t>’</w:t>
      </w:r>
      <w:r w:rsidRPr="003B1303">
        <w:rPr>
          <w:lang w:val="fr-FR"/>
        </w:rPr>
        <w:t>il n</w:t>
      </w:r>
      <w:r w:rsidRPr="003B1303" w:rsidR="003B1303">
        <w:rPr>
          <w:lang w:val="fr-FR"/>
        </w:rPr>
        <w:t>’</w:t>
      </w:r>
      <w:r w:rsidRPr="003B1303">
        <w:rPr>
          <w:lang w:val="fr-FR"/>
        </w:rPr>
        <w:t>a pu se plaindre de</w:t>
      </w:r>
      <w:r w:rsidRPr="003B1303" w:rsidR="00BA098E">
        <w:rPr>
          <w:lang w:val="fr-FR"/>
        </w:rPr>
        <w:t>s</w:t>
      </w:r>
      <w:r w:rsidRPr="003B1303">
        <w:rPr>
          <w:lang w:val="fr-FR"/>
        </w:rPr>
        <w:t xml:space="preserve"> mauvais traitements </w:t>
      </w:r>
      <w:r w:rsidRPr="003B1303" w:rsidR="004F7575">
        <w:rPr>
          <w:lang w:val="fr-FR"/>
        </w:rPr>
        <w:t xml:space="preserve">dont il aurait été victime </w:t>
      </w:r>
      <w:r w:rsidRPr="003B1303" w:rsidR="00BA098E">
        <w:rPr>
          <w:lang w:val="fr-FR"/>
        </w:rPr>
        <w:t>qu</w:t>
      </w:r>
      <w:r w:rsidRPr="003B1303" w:rsidR="003B1303">
        <w:rPr>
          <w:lang w:val="fr-FR"/>
        </w:rPr>
        <w:t>’</w:t>
      </w:r>
      <w:r w:rsidRPr="003B1303" w:rsidR="00BA098E">
        <w:rPr>
          <w:lang w:val="fr-FR"/>
        </w:rPr>
        <w:t xml:space="preserve">au mois de décembre 2009 </w:t>
      </w:r>
      <w:r w:rsidRPr="003B1303" w:rsidR="004F7575">
        <w:rPr>
          <w:lang w:val="fr-FR"/>
        </w:rPr>
        <w:t>en raison</w:t>
      </w:r>
      <w:r w:rsidRPr="003B1303" w:rsidR="00B02CA3">
        <w:rPr>
          <w:lang w:val="fr-FR"/>
        </w:rPr>
        <w:t xml:space="preserve"> de</w:t>
      </w:r>
      <w:r w:rsidRPr="003B1303" w:rsidR="00BA098E">
        <w:rPr>
          <w:lang w:val="fr-FR"/>
        </w:rPr>
        <w:t>s</w:t>
      </w:r>
      <w:r w:rsidRPr="003B1303">
        <w:rPr>
          <w:lang w:val="fr-FR"/>
        </w:rPr>
        <w:t xml:space="preserve"> menaces </w:t>
      </w:r>
      <w:r w:rsidRPr="003B1303" w:rsidR="002C13C4">
        <w:rPr>
          <w:lang w:val="fr-FR"/>
        </w:rPr>
        <w:t xml:space="preserve">proférées par ses codétenus </w:t>
      </w:r>
      <w:r w:rsidRPr="003B1303">
        <w:rPr>
          <w:lang w:val="fr-FR"/>
        </w:rPr>
        <w:t xml:space="preserve">à son </w:t>
      </w:r>
      <w:r w:rsidRPr="003B1303" w:rsidR="004F7575">
        <w:rPr>
          <w:lang w:val="fr-FR"/>
        </w:rPr>
        <w:t xml:space="preserve">encontre </w:t>
      </w:r>
      <w:r w:rsidRPr="003B1303">
        <w:rPr>
          <w:lang w:val="fr-FR"/>
        </w:rPr>
        <w:t xml:space="preserve">et à </w:t>
      </w:r>
      <w:r w:rsidRPr="003B1303" w:rsidR="004F7575">
        <w:rPr>
          <w:lang w:val="fr-FR"/>
        </w:rPr>
        <w:t>l</w:t>
      </w:r>
      <w:r w:rsidRPr="003B1303" w:rsidR="003B1303">
        <w:rPr>
          <w:lang w:val="fr-FR"/>
        </w:rPr>
        <w:t>’</w:t>
      </w:r>
      <w:r w:rsidRPr="003B1303" w:rsidR="004F7575">
        <w:rPr>
          <w:lang w:val="fr-FR"/>
        </w:rPr>
        <w:t xml:space="preserve">encontre </w:t>
      </w:r>
      <w:r w:rsidRPr="003B1303">
        <w:rPr>
          <w:lang w:val="fr-FR"/>
        </w:rPr>
        <w:t>de sa famille. Il indique qu</w:t>
      </w:r>
      <w:r w:rsidRPr="003B1303" w:rsidR="003B1303">
        <w:rPr>
          <w:lang w:val="fr-FR"/>
        </w:rPr>
        <w:t>’</w:t>
      </w:r>
      <w:r w:rsidRPr="003B1303">
        <w:rPr>
          <w:lang w:val="fr-FR"/>
        </w:rPr>
        <w:t xml:space="preserve">il lui était difficile </w:t>
      </w:r>
      <w:r w:rsidRPr="003B1303" w:rsidR="0078055B">
        <w:rPr>
          <w:lang w:val="fr-FR"/>
        </w:rPr>
        <w:t>d</w:t>
      </w:r>
      <w:r w:rsidRPr="003B1303" w:rsidR="003B1303">
        <w:rPr>
          <w:lang w:val="fr-FR"/>
        </w:rPr>
        <w:t>’</w:t>
      </w:r>
      <w:r w:rsidRPr="003B1303" w:rsidR="0078055B">
        <w:rPr>
          <w:lang w:val="fr-FR"/>
        </w:rPr>
        <w:t xml:space="preserve">obtenir des certificats médicaux </w:t>
      </w:r>
      <w:r w:rsidRPr="003B1303" w:rsidR="002C13C4">
        <w:rPr>
          <w:lang w:val="fr-FR"/>
        </w:rPr>
        <w:t>car l</w:t>
      </w:r>
      <w:r w:rsidRPr="003B1303" w:rsidR="003B1303">
        <w:rPr>
          <w:lang w:val="fr-FR"/>
        </w:rPr>
        <w:t>’</w:t>
      </w:r>
      <w:r w:rsidRPr="003B1303" w:rsidR="002C13C4">
        <w:rPr>
          <w:lang w:val="fr-FR"/>
        </w:rPr>
        <w:t>administration de la maison d</w:t>
      </w:r>
      <w:r w:rsidRPr="003B1303" w:rsidR="003B1303">
        <w:rPr>
          <w:lang w:val="fr-FR"/>
        </w:rPr>
        <w:t>’</w:t>
      </w:r>
      <w:r w:rsidRPr="003B1303" w:rsidR="002C13C4">
        <w:rPr>
          <w:lang w:val="fr-FR"/>
        </w:rPr>
        <w:t>arrêt, par le biais de ses codéte</w:t>
      </w:r>
      <w:r w:rsidRPr="003B1303" w:rsidR="0059238B">
        <w:rPr>
          <w:lang w:val="fr-FR"/>
        </w:rPr>
        <w:t>nus, l</w:t>
      </w:r>
      <w:r w:rsidRPr="003B1303" w:rsidR="003B1303">
        <w:rPr>
          <w:lang w:val="fr-FR"/>
        </w:rPr>
        <w:t>’</w:t>
      </w:r>
      <w:r w:rsidRPr="003B1303" w:rsidR="0059238B">
        <w:rPr>
          <w:lang w:val="fr-FR"/>
        </w:rPr>
        <w:t>empêchait de se plaindre auprès des autorités internes.</w:t>
      </w:r>
    </w:p>
    <w:p w:rsidRPr="003B1303" w:rsidR="00BE4C83" w:rsidP="003B1303" w:rsidRDefault="0059238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119</w:t>
      </w:r>
      <w:r w:rsidRPr="003B1303">
        <w:rPr>
          <w:lang w:val="fr-FR"/>
        </w:rPr>
        <w:fldChar w:fldCharType="end"/>
      </w:r>
      <w:r w:rsidRPr="003B1303">
        <w:rPr>
          <w:lang w:val="fr-FR"/>
        </w:rPr>
        <w:t>.  S</w:t>
      </w:r>
      <w:r w:rsidRPr="003B1303" w:rsidR="003B1303">
        <w:rPr>
          <w:lang w:val="fr-FR"/>
        </w:rPr>
        <w:t>’</w:t>
      </w:r>
      <w:r w:rsidRPr="003B1303">
        <w:rPr>
          <w:lang w:val="fr-FR"/>
        </w:rPr>
        <w:t>agissant de la qualité de l</w:t>
      </w:r>
      <w:r w:rsidRPr="003B1303" w:rsidR="003B1303">
        <w:rPr>
          <w:lang w:val="fr-FR"/>
        </w:rPr>
        <w:t>’</w:t>
      </w:r>
      <w:r w:rsidRPr="003B1303">
        <w:rPr>
          <w:lang w:val="fr-FR"/>
        </w:rPr>
        <w:t xml:space="preserve">enquête menée sur ses allégations de mauvais traitements, le </w:t>
      </w:r>
      <w:r w:rsidRPr="003B1303" w:rsidR="004F7575">
        <w:rPr>
          <w:lang w:val="fr-FR"/>
        </w:rPr>
        <w:t xml:space="preserve">second </w:t>
      </w:r>
      <w:r w:rsidRPr="003B1303">
        <w:rPr>
          <w:lang w:val="fr-FR"/>
        </w:rPr>
        <w:t>requérant indique que la vérification préliminaire qui s</w:t>
      </w:r>
      <w:r w:rsidRPr="003B1303" w:rsidR="003B1303">
        <w:rPr>
          <w:lang w:val="fr-FR"/>
        </w:rPr>
        <w:t>’</w:t>
      </w:r>
      <w:r w:rsidRPr="003B1303">
        <w:rPr>
          <w:lang w:val="fr-FR"/>
        </w:rPr>
        <w:t>est soldée par la décision du 20 mai 2008 n</w:t>
      </w:r>
      <w:r w:rsidRPr="003B1303" w:rsidR="003B1303">
        <w:rPr>
          <w:lang w:val="fr-FR"/>
        </w:rPr>
        <w:t>’</w:t>
      </w:r>
      <w:r w:rsidRPr="003B1303">
        <w:rPr>
          <w:lang w:val="fr-FR"/>
        </w:rPr>
        <w:t xml:space="preserve">a pas été effective pour les motifs suivants : aucune confrontation entre les agresseurs présumés et </w:t>
      </w:r>
      <w:r w:rsidRPr="003B1303" w:rsidR="004F7575">
        <w:rPr>
          <w:lang w:val="fr-FR"/>
        </w:rPr>
        <w:t>lui-même</w:t>
      </w:r>
      <w:r w:rsidRPr="003B1303">
        <w:rPr>
          <w:lang w:val="fr-FR"/>
        </w:rPr>
        <w:t xml:space="preserve"> n</w:t>
      </w:r>
      <w:r w:rsidRPr="003B1303" w:rsidR="003B1303">
        <w:rPr>
          <w:lang w:val="fr-FR"/>
        </w:rPr>
        <w:t>’</w:t>
      </w:r>
      <w:r w:rsidRPr="003B1303" w:rsidR="004F7575">
        <w:rPr>
          <w:lang w:val="fr-FR"/>
        </w:rPr>
        <w:t>aurait</w:t>
      </w:r>
      <w:r w:rsidRPr="003B1303">
        <w:rPr>
          <w:lang w:val="fr-FR"/>
        </w:rPr>
        <w:t xml:space="preserve"> eu lieu</w:t>
      </w:r>
      <w:r w:rsidRPr="003B1303" w:rsidR="004A33FE">
        <w:rPr>
          <w:lang w:val="fr-FR"/>
        </w:rPr>
        <w:t>,</w:t>
      </w:r>
      <w:r w:rsidRPr="003B1303">
        <w:rPr>
          <w:lang w:val="fr-FR"/>
        </w:rPr>
        <w:t xml:space="preserve"> </w:t>
      </w:r>
      <w:r w:rsidRPr="003B1303" w:rsidR="004A33FE">
        <w:rPr>
          <w:lang w:val="fr-FR"/>
        </w:rPr>
        <w:t xml:space="preserve">des témoins possibles </w:t>
      </w:r>
      <w:r w:rsidRPr="003B1303" w:rsidR="004F7575">
        <w:rPr>
          <w:lang w:val="fr-FR"/>
        </w:rPr>
        <w:t>n</w:t>
      </w:r>
      <w:r w:rsidRPr="003B1303" w:rsidR="003B1303">
        <w:rPr>
          <w:lang w:val="fr-FR"/>
        </w:rPr>
        <w:t>’</w:t>
      </w:r>
      <w:r w:rsidRPr="003B1303" w:rsidR="004F7575">
        <w:rPr>
          <w:lang w:val="fr-FR"/>
        </w:rPr>
        <w:t xml:space="preserve">auraient </w:t>
      </w:r>
      <w:r w:rsidRPr="003B1303">
        <w:rPr>
          <w:lang w:val="fr-FR"/>
        </w:rPr>
        <w:t xml:space="preserve">pas été </w:t>
      </w:r>
      <w:r w:rsidRPr="003B1303" w:rsidR="004F7575">
        <w:rPr>
          <w:lang w:val="fr-FR"/>
        </w:rPr>
        <w:t>entendus et</w:t>
      </w:r>
      <w:r w:rsidRPr="003B1303">
        <w:rPr>
          <w:lang w:val="fr-FR"/>
        </w:rPr>
        <w:t xml:space="preserve"> une expertise médicolégale n</w:t>
      </w:r>
      <w:r w:rsidRPr="003B1303" w:rsidR="003B1303">
        <w:rPr>
          <w:lang w:val="fr-FR"/>
        </w:rPr>
        <w:t>’</w:t>
      </w:r>
      <w:r w:rsidRPr="003B1303">
        <w:rPr>
          <w:lang w:val="fr-FR"/>
        </w:rPr>
        <w:t>a</w:t>
      </w:r>
      <w:r w:rsidRPr="003B1303" w:rsidR="004F7575">
        <w:rPr>
          <w:lang w:val="fr-FR"/>
        </w:rPr>
        <w:t>urait</w:t>
      </w:r>
      <w:r w:rsidRPr="003B1303">
        <w:rPr>
          <w:lang w:val="fr-FR"/>
        </w:rPr>
        <w:t xml:space="preserve"> pas été ordonnée. </w:t>
      </w:r>
      <w:r w:rsidRPr="003B1303" w:rsidR="004F7575">
        <w:rPr>
          <w:lang w:val="fr-FR"/>
        </w:rPr>
        <w:t>Selon lui, l</w:t>
      </w:r>
      <w:r w:rsidRPr="003B1303">
        <w:rPr>
          <w:lang w:val="fr-FR"/>
        </w:rPr>
        <w:t xml:space="preserve">a vérification </w:t>
      </w:r>
      <w:r w:rsidRPr="003B1303" w:rsidR="004F7575">
        <w:rPr>
          <w:lang w:val="fr-FR"/>
        </w:rPr>
        <w:t xml:space="preserve">avait </w:t>
      </w:r>
      <w:r w:rsidRPr="003B1303">
        <w:rPr>
          <w:lang w:val="fr-FR"/>
        </w:rPr>
        <w:t>manqué d</w:t>
      </w:r>
      <w:r w:rsidRPr="003B1303" w:rsidR="003B1303">
        <w:rPr>
          <w:lang w:val="fr-FR"/>
        </w:rPr>
        <w:t>’</w:t>
      </w:r>
      <w:r w:rsidRPr="003B1303">
        <w:rPr>
          <w:lang w:val="fr-FR"/>
        </w:rPr>
        <w:t xml:space="preserve">indépendance car elle </w:t>
      </w:r>
      <w:r w:rsidRPr="003B1303" w:rsidR="004F7575">
        <w:rPr>
          <w:lang w:val="fr-FR"/>
        </w:rPr>
        <w:t xml:space="preserve">aurait </w:t>
      </w:r>
      <w:r w:rsidRPr="003B1303">
        <w:rPr>
          <w:lang w:val="fr-FR"/>
        </w:rPr>
        <w:t>été conduite par le directeur de la maison d</w:t>
      </w:r>
      <w:r w:rsidRPr="003B1303" w:rsidR="003B1303">
        <w:rPr>
          <w:lang w:val="fr-FR"/>
        </w:rPr>
        <w:t>’</w:t>
      </w:r>
      <w:r w:rsidRPr="003B1303">
        <w:rPr>
          <w:lang w:val="fr-FR"/>
        </w:rPr>
        <w:t>arrêt</w:t>
      </w:r>
      <w:r w:rsidRPr="003B1303" w:rsidR="004F7575">
        <w:rPr>
          <w:lang w:val="fr-FR"/>
        </w:rPr>
        <w:t>,</w:t>
      </w:r>
      <w:r w:rsidRPr="003B1303">
        <w:rPr>
          <w:lang w:val="fr-FR"/>
        </w:rPr>
        <w:t xml:space="preserve"> dont les employés </w:t>
      </w:r>
      <w:r w:rsidRPr="003B1303" w:rsidR="004F7575">
        <w:rPr>
          <w:lang w:val="fr-FR"/>
        </w:rPr>
        <w:t xml:space="preserve">auraient </w:t>
      </w:r>
      <w:r w:rsidRPr="003B1303">
        <w:rPr>
          <w:lang w:val="fr-FR"/>
        </w:rPr>
        <w:t>été mis en cause.</w:t>
      </w:r>
      <w:r w:rsidRPr="003B1303" w:rsidR="000C1A19">
        <w:rPr>
          <w:lang w:val="fr-FR"/>
        </w:rPr>
        <w:t xml:space="preserve"> Quant aux</w:t>
      </w:r>
      <w:r w:rsidRPr="003B1303">
        <w:rPr>
          <w:lang w:val="fr-FR"/>
        </w:rPr>
        <w:t xml:space="preserve"> vérifications préliminaires qui se sont soldées par</w:t>
      </w:r>
      <w:r w:rsidRPr="003B1303" w:rsidR="009528EC">
        <w:rPr>
          <w:lang w:val="fr-FR"/>
        </w:rPr>
        <w:t xml:space="preserve"> les décisions des 24 </w:t>
      </w:r>
      <w:r w:rsidRPr="003B1303" w:rsidR="00912BF1">
        <w:rPr>
          <w:lang w:val="fr-FR"/>
        </w:rPr>
        <w:t xml:space="preserve">janvier et 24 décembre 2010, le </w:t>
      </w:r>
      <w:r w:rsidRPr="003B1303" w:rsidR="004F7575">
        <w:rPr>
          <w:lang w:val="fr-FR"/>
        </w:rPr>
        <w:t xml:space="preserve">second </w:t>
      </w:r>
      <w:r w:rsidRPr="003B1303" w:rsidR="00912BF1">
        <w:rPr>
          <w:lang w:val="fr-FR"/>
        </w:rPr>
        <w:t>requérant indique qu</w:t>
      </w:r>
      <w:r w:rsidRPr="003B1303" w:rsidR="003B1303">
        <w:rPr>
          <w:lang w:val="fr-FR"/>
        </w:rPr>
        <w:t>’</w:t>
      </w:r>
      <w:r w:rsidRPr="003B1303" w:rsidR="00912BF1">
        <w:rPr>
          <w:lang w:val="fr-FR"/>
        </w:rPr>
        <w:t xml:space="preserve">elles </w:t>
      </w:r>
      <w:r w:rsidRPr="003B1303" w:rsidR="004F7575">
        <w:rPr>
          <w:lang w:val="fr-FR"/>
        </w:rPr>
        <w:t xml:space="preserve">ont </w:t>
      </w:r>
      <w:r w:rsidRPr="003B1303" w:rsidR="00912BF1">
        <w:rPr>
          <w:lang w:val="fr-FR"/>
        </w:rPr>
        <w:t>été effectuées sur la base de l</w:t>
      </w:r>
      <w:r w:rsidRPr="003B1303" w:rsidR="003B1303">
        <w:rPr>
          <w:lang w:val="fr-FR"/>
        </w:rPr>
        <w:t>’</w:t>
      </w:r>
      <w:r w:rsidRPr="003B1303" w:rsidR="00912BF1">
        <w:rPr>
          <w:lang w:val="fr-FR"/>
        </w:rPr>
        <w:t xml:space="preserve">article 144 du CPP et que, par </w:t>
      </w:r>
      <w:r w:rsidRPr="003B1303" w:rsidR="004F7575">
        <w:rPr>
          <w:lang w:val="fr-FR"/>
        </w:rPr>
        <w:t xml:space="preserve">leur </w:t>
      </w:r>
      <w:r w:rsidRPr="003B1303" w:rsidR="00912BF1">
        <w:rPr>
          <w:lang w:val="fr-FR"/>
        </w:rPr>
        <w:t xml:space="preserve">nature même, </w:t>
      </w:r>
      <w:r w:rsidRPr="003B1303" w:rsidR="004F7575">
        <w:rPr>
          <w:lang w:val="fr-FR"/>
        </w:rPr>
        <w:t xml:space="preserve">elles </w:t>
      </w:r>
      <w:r w:rsidRPr="003B1303" w:rsidR="00912BF1">
        <w:rPr>
          <w:lang w:val="fr-FR"/>
        </w:rPr>
        <w:t>étaient limitées à des mesures d</w:t>
      </w:r>
      <w:r w:rsidRPr="003B1303" w:rsidR="003B1303">
        <w:rPr>
          <w:lang w:val="fr-FR"/>
        </w:rPr>
        <w:t>’</w:t>
      </w:r>
      <w:r w:rsidRPr="003B1303" w:rsidR="00912BF1">
        <w:rPr>
          <w:lang w:val="fr-FR"/>
        </w:rPr>
        <w:t>instruction peu effectives</w:t>
      </w:r>
      <w:r w:rsidRPr="003B1303" w:rsidR="004F7575">
        <w:rPr>
          <w:lang w:val="fr-FR"/>
        </w:rPr>
        <w:t xml:space="preserve"> à ses yeux</w:t>
      </w:r>
      <w:r w:rsidRPr="003B1303" w:rsidR="00912BF1">
        <w:rPr>
          <w:lang w:val="fr-FR"/>
        </w:rPr>
        <w:t>, telles qu</w:t>
      </w:r>
      <w:r w:rsidRPr="003B1303" w:rsidR="00431E3F">
        <w:rPr>
          <w:lang w:val="fr-FR"/>
        </w:rPr>
        <w:t xml:space="preserve">e </w:t>
      </w:r>
      <w:r w:rsidRPr="003B1303" w:rsidR="004F7575">
        <w:rPr>
          <w:lang w:val="fr-FR"/>
        </w:rPr>
        <w:t>le recueil</w:t>
      </w:r>
      <w:r w:rsidRPr="003B1303" w:rsidR="00912BF1">
        <w:rPr>
          <w:lang w:val="fr-FR"/>
        </w:rPr>
        <w:t xml:space="preserve"> de déclarations de personnes, l</w:t>
      </w:r>
      <w:r w:rsidRPr="003B1303" w:rsidR="003B1303">
        <w:rPr>
          <w:lang w:val="fr-FR"/>
        </w:rPr>
        <w:t>’</w:t>
      </w:r>
      <w:r w:rsidRPr="003B1303" w:rsidR="00912BF1">
        <w:rPr>
          <w:lang w:val="fr-FR"/>
        </w:rPr>
        <w:t>examen de document</w:t>
      </w:r>
      <w:r w:rsidRPr="003B1303" w:rsidR="00431E3F">
        <w:rPr>
          <w:lang w:val="fr-FR"/>
        </w:rPr>
        <w:t>s</w:t>
      </w:r>
      <w:r w:rsidRPr="003B1303" w:rsidR="00912BF1">
        <w:rPr>
          <w:lang w:val="fr-FR"/>
        </w:rPr>
        <w:t xml:space="preserve"> ou </w:t>
      </w:r>
      <w:r w:rsidRPr="003B1303" w:rsidR="00431E3F">
        <w:rPr>
          <w:lang w:val="fr-FR"/>
        </w:rPr>
        <w:t>l</w:t>
      </w:r>
      <w:r w:rsidRPr="003B1303" w:rsidR="003B1303">
        <w:rPr>
          <w:lang w:val="fr-FR"/>
        </w:rPr>
        <w:t>’</w:t>
      </w:r>
      <w:r w:rsidRPr="003B1303" w:rsidR="00431E3F">
        <w:rPr>
          <w:lang w:val="fr-FR"/>
        </w:rPr>
        <w:t xml:space="preserve">inspection de lieux. </w:t>
      </w:r>
      <w:r w:rsidRPr="003B1303" w:rsidR="004A33FE">
        <w:rPr>
          <w:lang w:val="fr-FR"/>
        </w:rPr>
        <w:t xml:space="preserve">Le </w:t>
      </w:r>
      <w:r w:rsidRPr="003B1303" w:rsidR="00596ADE">
        <w:rPr>
          <w:lang w:val="fr-FR"/>
        </w:rPr>
        <w:t xml:space="preserve">second </w:t>
      </w:r>
      <w:r w:rsidRPr="003B1303" w:rsidR="004A33FE">
        <w:rPr>
          <w:lang w:val="fr-FR"/>
        </w:rPr>
        <w:t xml:space="preserve">requérant </w:t>
      </w:r>
      <w:r w:rsidRPr="003B1303" w:rsidR="004F7575">
        <w:rPr>
          <w:lang w:val="fr-FR"/>
        </w:rPr>
        <w:t xml:space="preserve">indique </w:t>
      </w:r>
      <w:r w:rsidRPr="003B1303" w:rsidR="004A33FE">
        <w:rPr>
          <w:lang w:val="fr-FR"/>
        </w:rPr>
        <w:t>que</w:t>
      </w:r>
      <w:r w:rsidRPr="003B1303" w:rsidR="00431E3F">
        <w:rPr>
          <w:lang w:val="fr-FR"/>
        </w:rPr>
        <w:t xml:space="preserve"> </w:t>
      </w:r>
      <w:r w:rsidRPr="003B1303" w:rsidR="004F7575">
        <w:rPr>
          <w:lang w:val="fr-FR"/>
        </w:rPr>
        <w:t>la responsabilité pénale des</w:t>
      </w:r>
      <w:r w:rsidRPr="003B1303" w:rsidR="00431E3F">
        <w:rPr>
          <w:lang w:val="fr-FR"/>
        </w:rPr>
        <w:t xml:space="preserve"> personnes dont les déclarations étaient enregistrées </w:t>
      </w:r>
      <w:r w:rsidRPr="003B1303" w:rsidR="00567FB6">
        <w:rPr>
          <w:lang w:val="fr-FR"/>
        </w:rPr>
        <w:t>n</w:t>
      </w:r>
      <w:r w:rsidRPr="003B1303" w:rsidR="003B1303">
        <w:rPr>
          <w:lang w:val="fr-FR"/>
        </w:rPr>
        <w:t>’</w:t>
      </w:r>
      <w:r w:rsidRPr="003B1303" w:rsidR="00567FB6">
        <w:rPr>
          <w:lang w:val="fr-FR"/>
        </w:rPr>
        <w:t>était pas engagée</w:t>
      </w:r>
      <w:r w:rsidRPr="003B1303" w:rsidR="00431E3F">
        <w:rPr>
          <w:lang w:val="fr-FR"/>
        </w:rPr>
        <w:t xml:space="preserve"> pour un refus de témoigner ou pour un faux témoignage. </w:t>
      </w:r>
      <w:r w:rsidRPr="003B1303" w:rsidR="00B02CA3">
        <w:rPr>
          <w:lang w:val="fr-FR"/>
        </w:rPr>
        <w:t xml:space="preserve">Il </w:t>
      </w:r>
      <w:r w:rsidRPr="003B1303" w:rsidR="00431E3F">
        <w:rPr>
          <w:lang w:val="fr-FR"/>
        </w:rPr>
        <w:t>argue que les vérifications n</w:t>
      </w:r>
      <w:r w:rsidRPr="003B1303" w:rsidR="003B1303">
        <w:rPr>
          <w:lang w:val="fr-FR"/>
        </w:rPr>
        <w:t>’</w:t>
      </w:r>
      <w:r w:rsidRPr="003B1303" w:rsidR="00431E3F">
        <w:rPr>
          <w:lang w:val="fr-FR"/>
        </w:rPr>
        <w:t xml:space="preserve">ont pas été effectives puisque les enquêteurs </w:t>
      </w:r>
      <w:r w:rsidRPr="003B1303" w:rsidR="00567FB6">
        <w:rPr>
          <w:lang w:val="fr-FR"/>
        </w:rPr>
        <w:t xml:space="preserve">auraient </w:t>
      </w:r>
      <w:r w:rsidRPr="003B1303" w:rsidR="00431E3F">
        <w:rPr>
          <w:lang w:val="fr-FR"/>
        </w:rPr>
        <w:t>failli à recueillir les éléments pertinents</w:t>
      </w:r>
      <w:r w:rsidRPr="003B1303" w:rsidR="00567FB6">
        <w:rPr>
          <w:lang w:val="fr-FR"/>
        </w:rPr>
        <w:t xml:space="preserve"> à ses yeux</w:t>
      </w:r>
      <w:r w:rsidRPr="003B1303" w:rsidR="004A33FE">
        <w:rPr>
          <w:lang w:val="fr-FR"/>
        </w:rPr>
        <w:t xml:space="preserve"> : aucune confrontation entre les agresseurs présumés et </w:t>
      </w:r>
      <w:r w:rsidRPr="003B1303" w:rsidR="00567FB6">
        <w:rPr>
          <w:lang w:val="fr-FR"/>
        </w:rPr>
        <w:t>lui-même n</w:t>
      </w:r>
      <w:r w:rsidRPr="003B1303" w:rsidR="003B1303">
        <w:rPr>
          <w:lang w:val="fr-FR"/>
        </w:rPr>
        <w:t>’</w:t>
      </w:r>
      <w:r w:rsidRPr="003B1303" w:rsidR="00567FB6">
        <w:rPr>
          <w:lang w:val="fr-FR"/>
        </w:rPr>
        <w:t xml:space="preserve">aurait </w:t>
      </w:r>
      <w:r w:rsidRPr="003B1303" w:rsidR="004A33FE">
        <w:rPr>
          <w:lang w:val="fr-FR"/>
        </w:rPr>
        <w:t xml:space="preserve">eu lieu, des témoins possibles </w:t>
      </w:r>
      <w:r w:rsidRPr="003B1303" w:rsidR="00567FB6">
        <w:rPr>
          <w:lang w:val="fr-FR"/>
        </w:rPr>
        <w:t>n</w:t>
      </w:r>
      <w:r w:rsidRPr="003B1303" w:rsidR="003B1303">
        <w:rPr>
          <w:lang w:val="fr-FR"/>
        </w:rPr>
        <w:t>’</w:t>
      </w:r>
      <w:r w:rsidRPr="003B1303" w:rsidR="00567FB6">
        <w:rPr>
          <w:lang w:val="fr-FR"/>
        </w:rPr>
        <w:t xml:space="preserve">auraient </w:t>
      </w:r>
      <w:r w:rsidRPr="003B1303" w:rsidR="004A33FE">
        <w:rPr>
          <w:lang w:val="fr-FR"/>
        </w:rPr>
        <w:t xml:space="preserve">pas été </w:t>
      </w:r>
      <w:r w:rsidRPr="003B1303" w:rsidR="00567FB6">
        <w:rPr>
          <w:lang w:val="fr-FR"/>
        </w:rPr>
        <w:t>entendus et</w:t>
      </w:r>
      <w:r w:rsidRPr="003B1303" w:rsidR="004A33FE">
        <w:rPr>
          <w:lang w:val="fr-FR"/>
        </w:rPr>
        <w:t xml:space="preserve"> </w:t>
      </w:r>
      <w:r w:rsidRPr="003B1303" w:rsidR="00567FB6">
        <w:rPr>
          <w:lang w:val="fr-FR"/>
        </w:rPr>
        <w:t>l</w:t>
      </w:r>
      <w:r w:rsidRPr="003B1303" w:rsidR="003B1303">
        <w:rPr>
          <w:lang w:val="fr-FR"/>
        </w:rPr>
        <w:t>’</w:t>
      </w:r>
      <w:r w:rsidRPr="003B1303" w:rsidR="004A33FE">
        <w:rPr>
          <w:lang w:val="fr-FR"/>
        </w:rPr>
        <w:t xml:space="preserve">un des agresseurs présumés, </w:t>
      </w:r>
      <w:proofErr w:type="spellStart"/>
      <w:r w:rsidRPr="003B1303" w:rsidR="004A33FE">
        <w:rPr>
          <w:lang w:val="fr-FR"/>
        </w:rPr>
        <w:t>Ry</w:t>
      </w:r>
      <w:proofErr w:type="spellEnd"/>
      <w:r w:rsidRPr="003B1303" w:rsidR="004A33FE">
        <w:rPr>
          <w:lang w:val="fr-FR"/>
        </w:rPr>
        <w:t>., n</w:t>
      </w:r>
      <w:r w:rsidRPr="003B1303" w:rsidR="003B1303">
        <w:rPr>
          <w:lang w:val="fr-FR"/>
        </w:rPr>
        <w:t>’</w:t>
      </w:r>
      <w:r w:rsidRPr="003B1303" w:rsidR="004A33FE">
        <w:rPr>
          <w:lang w:val="fr-FR"/>
        </w:rPr>
        <w:t>a</w:t>
      </w:r>
      <w:r w:rsidRPr="003B1303" w:rsidR="00567FB6">
        <w:rPr>
          <w:lang w:val="fr-FR"/>
        </w:rPr>
        <w:t>urait</w:t>
      </w:r>
      <w:r w:rsidRPr="003B1303" w:rsidR="004A33FE">
        <w:rPr>
          <w:lang w:val="fr-FR"/>
        </w:rPr>
        <w:t xml:space="preserve"> pas été </w:t>
      </w:r>
      <w:r w:rsidRPr="003B1303" w:rsidR="00B02CA3">
        <w:rPr>
          <w:lang w:val="fr-FR"/>
        </w:rPr>
        <w:t>entendu</w:t>
      </w:r>
      <w:r w:rsidRPr="003B1303" w:rsidR="004A33FE">
        <w:rPr>
          <w:lang w:val="fr-FR"/>
        </w:rPr>
        <w:t xml:space="preserve">. Le </w:t>
      </w:r>
      <w:r w:rsidRPr="003B1303" w:rsidR="00596ADE">
        <w:rPr>
          <w:lang w:val="fr-FR"/>
        </w:rPr>
        <w:t xml:space="preserve">second </w:t>
      </w:r>
      <w:r w:rsidRPr="003B1303" w:rsidR="004A33FE">
        <w:rPr>
          <w:lang w:val="fr-FR"/>
        </w:rPr>
        <w:t>requérant soutient par conséquent que l</w:t>
      </w:r>
      <w:r w:rsidRPr="003B1303" w:rsidR="003B1303">
        <w:rPr>
          <w:lang w:val="fr-FR"/>
        </w:rPr>
        <w:t>’</w:t>
      </w:r>
      <w:r w:rsidRPr="003B1303" w:rsidR="004A33FE">
        <w:rPr>
          <w:lang w:val="fr-FR"/>
        </w:rPr>
        <w:t>enquête menée à la suite de ses allégations de mauvais traitements n</w:t>
      </w:r>
      <w:r w:rsidRPr="003B1303" w:rsidR="003B1303">
        <w:rPr>
          <w:lang w:val="fr-FR"/>
        </w:rPr>
        <w:t>’</w:t>
      </w:r>
      <w:r w:rsidRPr="003B1303" w:rsidR="004A33FE">
        <w:rPr>
          <w:lang w:val="fr-FR"/>
        </w:rPr>
        <w:t xml:space="preserve">a pas été </w:t>
      </w:r>
      <w:r w:rsidRPr="003B1303" w:rsidR="00D66B68">
        <w:rPr>
          <w:lang w:val="fr-FR"/>
        </w:rPr>
        <w:t>conforme à l</w:t>
      </w:r>
      <w:r w:rsidRPr="003B1303" w:rsidR="003B1303">
        <w:rPr>
          <w:lang w:val="fr-FR"/>
        </w:rPr>
        <w:t>’</w:t>
      </w:r>
      <w:r w:rsidRPr="003B1303" w:rsidR="00D66B68">
        <w:rPr>
          <w:lang w:val="fr-FR"/>
        </w:rPr>
        <w:t>article 3 de la Convention</w:t>
      </w:r>
      <w:r w:rsidRPr="003B1303" w:rsidR="004A33FE">
        <w:rPr>
          <w:lang w:val="fr-FR"/>
        </w:rPr>
        <w:t>.</w:t>
      </w:r>
    </w:p>
    <w:p w:rsidRPr="003B1303" w:rsidR="00BE4C83" w:rsidP="003B1303" w:rsidRDefault="000C1A1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120</w:t>
      </w:r>
      <w:r w:rsidRPr="003B1303">
        <w:rPr>
          <w:lang w:val="fr-FR"/>
        </w:rPr>
        <w:fldChar w:fldCharType="end"/>
      </w:r>
      <w:r w:rsidRPr="003B1303">
        <w:rPr>
          <w:lang w:val="fr-FR"/>
        </w:rPr>
        <w:t>.  Enfin, s</w:t>
      </w:r>
      <w:r w:rsidRPr="003B1303" w:rsidR="003B1303">
        <w:rPr>
          <w:lang w:val="fr-FR"/>
        </w:rPr>
        <w:t>’</w:t>
      </w:r>
      <w:r w:rsidRPr="003B1303">
        <w:rPr>
          <w:lang w:val="fr-FR"/>
        </w:rPr>
        <w:t>agissant de l</w:t>
      </w:r>
      <w:r w:rsidRPr="003B1303" w:rsidR="003B1303">
        <w:rPr>
          <w:lang w:val="fr-FR"/>
        </w:rPr>
        <w:t>’</w:t>
      </w:r>
      <w:r w:rsidRPr="003B1303">
        <w:rPr>
          <w:lang w:val="fr-FR"/>
        </w:rPr>
        <w:t>épuisement des voies de recours internes quant au grief tiré de l</w:t>
      </w:r>
      <w:r w:rsidRPr="003B1303" w:rsidR="003B1303">
        <w:rPr>
          <w:lang w:val="fr-FR"/>
        </w:rPr>
        <w:t>’</w:t>
      </w:r>
      <w:r w:rsidRPr="003B1303">
        <w:rPr>
          <w:lang w:val="fr-FR"/>
        </w:rPr>
        <w:t>article 3 de la Convention, le second requérant indique qu</w:t>
      </w:r>
      <w:r w:rsidRPr="003B1303" w:rsidR="003B1303">
        <w:rPr>
          <w:lang w:val="fr-FR"/>
        </w:rPr>
        <w:t>’</w:t>
      </w:r>
      <w:r w:rsidRPr="003B1303">
        <w:rPr>
          <w:lang w:val="fr-FR"/>
        </w:rPr>
        <w:t>il a contesté l</w:t>
      </w:r>
      <w:r w:rsidRPr="003B1303" w:rsidR="007C35BC">
        <w:rPr>
          <w:lang w:val="fr-FR"/>
        </w:rPr>
        <w:t>es</w:t>
      </w:r>
      <w:r w:rsidRPr="003B1303">
        <w:rPr>
          <w:lang w:val="fr-FR"/>
        </w:rPr>
        <w:t xml:space="preserve"> décision</w:t>
      </w:r>
      <w:r w:rsidRPr="003B1303" w:rsidR="007C35BC">
        <w:rPr>
          <w:lang w:val="fr-FR"/>
        </w:rPr>
        <w:t>s</w:t>
      </w:r>
      <w:r w:rsidRPr="003B1303">
        <w:rPr>
          <w:lang w:val="fr-FR"/>
        </w:rPr>
        <w:t xml:space="preserve"> d</w:t>
      </w:r>
      <w:r w:rsidRPr="003B1303" w:rsidR="007C35BC">
        <w:rPr>
          <w:lang w:val="fr-FR"/>
        </w:rPr>
        <w:t>es</w:t>
      </w:r>
      <w:r w:rsidRPr="003B1303">
        <w:rPr>
          <w:lang w:val="fr-FR"/>
        </w:rPr>
        <w:t xml:space="preserve"> 24 janvier </w:t>
      </w:r>
      <w:r w:rsidRPr="003B1303" w:rsidR="007C35BC">
        <w:rPr>
          <w:lang w:val="fr-FR"/>
        </w:rPr>
        <w:t xml:space="preserve">et 24 décembre </w:t>
      </w:r>
      <w:r w:rsidRPr="003B1303">
        <w:rPr>
          <w:lang w:val="fr-FR"/>
        </w:rPr>
        <w:t>2010 auprès d</w:t>
      </w:r>
      <w:r w:rsidRPr="003B1303" w:rsidR="007C35BC">
        <w:rPr>
          <w:lang w:val="fr-FR"/>
        </w:rPr>
        <w:t>es</w:t>
      </w:r>
      <w:r w:rsidRPr="003B1303">
        <w:rPr>
          <w:lang w:val="fr-FR"/>
        </w:rPr>
        <w:t xml:space="preserve"> tribuna</w:t>
      </w:r>
      <w:r w:rsidRPr="003B1303" w:rsidR="007C35BC">
        <w:rPr>
          <w:lang w:val="fr-FR"/>
        </w:rPr>
        <w:t>ux</w:t>
      </w:r>
      <w:r w:rsidRPr="003B1303">
        <w:rPr>
          <w:lang w:val="fr-FR"/>
        </w:rPr>
        <w:t xml:space="preserve"> de</w:t>
      </w:r>
      <w:r w:rsidRPr="003B1303" w:rsidR="007C35BC">
        <w:rPr>
          <w:lang w:val="fr-FR"/>
        </w:rPr>
        <w:t xml:space="preserve">s </w:t>
      </w:r>
      <w:r w:rsidRPr="003B1303">
        <w:rPr>
          <w:lang w:val="fr-FR"/>
        </w:rPr>
        <w:t>arrondissement</w:t>
      </w:r>
      <w:r w:rsidRPr="003B1303" w:rsidR="007C35BC">
        <w:rPr>
          <w:lang w:val="fr-FR"/>
        </w:rPr>
        <w:t>s</w:t>
      </w:r>
      <w:r w:rsidRPr="003B1303">
        <w:rPr>
          <w:lang w:val="fr-FR"/>
        </w:rPr>
        <w:t xml:space="preserve"> Oktiabrski </w:t>
      </w:r>
      <w:r w:rsidRPr="003B1303" w:rsidR="007C35BC">
        <w:rPr>
          <w:lang w:val="fr-FR"/>
        </w:rPr>
        <w:t xml:space="preserve">et </w:t>
      </w:r>
      <w:proofErr w:type="spellStart"/>
      <w:r w:rsidRPr="003B1303" w:rsidR="007C35BC">
        <w:rPr>
          <w:lang w:val="fr-FR"/>
        </w:rPr>
        <w:t>Kouïbychevski</w:t>
      </w:r>
      <w:proofErr w:type="spellEnd"/>
      <w:r w:rsidRPr="003B1303" w:rsidR="007C35BC">
        <w:rPr>
          <w:lang w:val="fr-FR"/>
        </w:rPr>
        <w:t xml:space="preserve"> </w:t>
      </w:r>
      <w:r w:rsidRPr="003B1303" w:rsidR="00567FB6">
        <w:rPr>
          <w:lang w:val="fr-FR"/>
        </w:rPr>
        <w:t>et que ce</w:t>
      </w:r>
      <w:r w:rsidRPr="003B1303" w:rsidR="007C35BC">
        <w:rPr>
          <w:lang w:val="fr-FR"/>
        </w:rPr>
        <w:t>s</w:t>
      </w:r>
      <w:r w:rsidRPr="003B1303" w:rsidR="00567FB6">
        <w:rPr>
          <w:lang w:val="fr-FR"/>
        </w:rPr>
        <w:t xml:space="preserve"> dernier</w:t>
      </w:r>
      <w:r w:rsidRPr="003B1303" w:rsidR="007C35BC">
        <w:rPr>
          <w:lang w:val="fr-FR"/>
        </w:rPr>
        <w:t>s</w:t>
      </w:r>
      <w:r w:rsidRPr="003B1303">
        <w:rPr>
          <w:lang w:val="fr-FR"/>
        </w:rPr>
        <w:t xml:space="preserve">, par ses décisions des 12 juillet et </w:t>
      </w:r>
      <w:r w:rsidRPr="003B1303" w:rsidR="007C35BC">
        <w:rPr>
          <w:lang w:val="fr-FR"/>
        </w:rPr>
        <w:t>3</w:t>
      </w:r>
      <w:r w:rsidRPr="003B1303">
        <w:rPr>
          <w:lang w:val="fr-FR"/>
        </w:rPr>
        <w:t xml:space="preserve"> août 2010</w:t>
      </w:r>
      <w:r w:rsidRPr="003B1303" w:rsidR="007C35BC">
        <w:rPr>
          <w:lang w:val="fr-FR"/>
        </w:rPr>
        <w:t xml:space="preserve"> respectivement</w:t>
      </w:r>
      <w:r w:rsidRPr="003B1303">
        <w:rPr>
          <w:lang w:val="fr-FR"/>
        </w:rPr>
        <w:t xml:space="preserve">, </w:t>
      </w:r>
      <w:r w:rsidRPr="003B1303" w:rsidR="007C35BC">
        <w:rPr>
          <w:lang w:val="fr-FR"/>
        </w:rPr>
        <w:t>ont</w:t>
      </w:r>
      <w:r w:rsidRPr="003B1303">
        <w:rPr>
          <w:lang w:val="fr-FR"/>
        </w:rPr>
        <w:t xml:space="preserve"> rejeté </w:t>
      </w:r>
      <w:r w:rsidRPr="003B1303" w:rsidR="00567FB6">
        <w:rPr>
          <w:lang w:val="fr-FR"/>
        </w:rPr>
        <w:t>s</w:t>
      </w:r>
      <w:r w:rsidRPr="003B1303">
        <w:rPr>
          <w:lang w:val="fr-FR"/>
        </w:rPr>
        <w:t xml:space="preserve">es recours. </w:t>
      </w:r>
      <w:r w:rsidRPr="003B1303" w:rsidR="00567FB6">
        <w:rPr>
          <w:lang w:val="fr-FR"/>
        </w:rPr>
        <w:t>Il déclare que l</w:t>
      </w:r>
      <w:r w:rsidRPr="003B1303">
        <w:rPr>
          <w:lang w:val="fr-FR"/>
        </w:rPr>
        <w:t xml:space="preserve">esdites décisions ont été maintenues en appel les 25 août et 6 octobre 2010 respectivement. </w:t>
      </w:r>
      <w:r w:rsidRPr="003B1303" w:rsidR="00567FB6">
        <w:rPr>
          <w:lang w:val="fr-FR"/>
        </w:rPr>
        <w:t>Il ajoute</w:t>
      </w:r>
      <w:r w:rsidRPr="003B1303">
        <w:rPr>
          <w:lang w:val="fr-FR"/>
        </w:rPr>
        <w:t xml:space="preserve"> que</w:t>
      </w:r>
      <w:r w:rsidRPr="003B1303" w:rsidR="00567FB6">
        <w:rPr>
          <w:lang w:val="fr-FR"/>
        </w:rPr>
        <w:t>,</w:t>
      </w:r>
      <w:r w:rsidRPr="003B1303">
        <w:rPr>
          <w:lang w:val="fr-FR"/>
        </w:rPr>
        <w:t xml:space="preserve"> le 7 février 2011, après avoir obtenu les décisions de justice susmentionnées, il a envoyé à la Cour un formulaire de requête dans lequel il a soulevé le grief relatif aux mauvais traitements </w:t>
      </w:r>
      <w:r w:rsidRPr="003B1303" w:rsidR="00567FB6">
        <w:rPr>
          <w:lang w:val="fr-FR"/>
        </w:rPr>
        <w:t>qu</w:t>
      </w:r>
      <w:r w:rsidRPr="003B1303" w:rsidR="003B1303">
        <w:rPr>
          <w:lang w:val="fr-FR"/>
        </w:rPr>
        <w:t>’</w:t>
      </w:r>
      <w:r w:rsidRPr="003B1303" w:rsidR="00567FB6">
        <w:rPr>
          <w:lang w:val="fr-FR"/>
        </w:rPr>
        <w:t xml:space="preserve">il aurait </w:t>
      </w:r>
      <w:r w:rsidRPr="003B1303">
        <w:rPr>
          <w:lang w:val="fr-FR"/>
        </w:rPr>
        <w:t>subis en détention. Il estime donc avoir épuisé les voies de recours disponibles et invite la Cour à rejeter les exceptions d</w:t>
      </w:r>
      <w:r w:rsidRPr="003B1303" w:rsidR="003B1303">
        <w:rPr>
          <w:lang w:val="fr-FR"/>
        </w:rPr>
        <w:t>’</w:t>
      </w:r>
      <w:r w:rsidRPr="003B1303">
        <w:rPr>
          <w:lang w:val="fr-FR"/>
        </w:rPr>
        <w:t>irrecevabilité formulées par le Gouvernement.</w:t>
      </w:r>
    </w:p>
    <w:p w:rsidRPr="003B1303" w:rsidR="00BE4C83" w:rsidP="003B1303" w:rsidRDefault="00D47B9F">
      <w:pPr>
        <w:pStyle w:val="ECHRHeading3"/>
        <w:rPr>
          <w:lang w:val="fr-FR"/>
        </w:rPr>
      </w:pPr>
      <w:r w:rsidRPr="003B1303">
        <w:rPr>
          <w:lang w:val="fr-FR"/>
        </w:rPr>
        <w:t>2</w:t>
      </w:r>
      <w:r w:rsidRPr="003B1303" w:rsidR="00E77CB3">
        <w:rPr>
          <w:lang w:val="fr-FR"/>
        </w:rPr>
        <w:t>.  </w:t>
      </w:r>
      <w:r w:rsidRPr="003B1303" w:rsidR="00032C96">
        <w:rPr>
          <w:lang w:val="fr-FR"/>
        </w:rPr>
        <w:t>Appréciation de la Cour</w:t>
      </w:r>
    </w:p>
    <w:p w:rsidRPr="003B1303" w:rsidR="00E77CB3" w:rsidP="003B1303" w:rsidRDefault="00D47B9F">
      <w:pPr>
        <w:pStyle w:val="ECHRHeading4"/>
        <w:rPr>
          <w:lang w:val="fr-FR"/>
        </w:rPr>
      </w:pPr>
      <w:r w:rsidRPr="003B1303">
        <w:rPr>
          <w:lang w:val="fr-FR"/>
        </w:rPr>
        <w:t>a)</w:t>
      </w:r>
      <w:r w:rsidRPr="003B1303" w:rsidR="00505A87">
        <w:rPr>
          <w:lang w:val="fr-FR"/>
        </w:rPr>
        <w:t>  </w:t>
      </w:r>
      <w:r w:rsidRPr="003B1303" w:rsidR="00E77CB3">
        <w:rPr>
          <w:lang w:val="fr-FR"/>
        </w:rPr>
        <w:t>Sur la recevabilité</w:t>
      </w:r>
    </w:p>
    <w:p w:rsidRPr="003B1303" w:rsidR="00C64E83" w:rsidP="003B1303" w:rsidRDefault="00C64E83">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121</w:t>
      </w:r>
      <w:r w:rsidRPr="003B1303">
        <w:rPr>
          <w:lang w:val="fr-FR"/>
        </w:rPr>
        <w:fldChar w:fldCharType="end"/>
      </w:r>
      <w:r w:rsidRPr="003B1303">
        <w:rPr>
          <w:lang w:val="fr-FR"/>
        </w:rPr>
        <w:t>.  </w:t>
      </w:r>
      <w:r w:rsidRPr="003B1303" w:rsidR="006C2284">
        <w:rPr>
          <w:lang w:val="fr-FR"/>
        </w:rPr>
        <w:t xml:space="preserve">En ce qui concerne </w:t>
      </w:r>
      <w:r w:rsidRPr="003B1303" w:rsidR="00032C96">
        <w:rPr>
          <w:lang w:val="fr-FR"/>
        </w:rPr>
        <w:t>l</w:t>
      </w:r>
      <w:r w:rsidRPr="003B1303" w:rsidR="00B9201B">
        <w:rPr>
          <w:lang w:val="fr-FR"/>
        </w:rPr>
        <w:t xml:space="preserve">es </w:t>
      </w:r>
      <w:r w:rsidRPr="003B1303" w:rsidR="00032C96">
        <w:rPr>
          <w:lang w:val="fr-FR"/>
        </w:rPr>
        <w:t>exce</w:t>
      </w:r>
      <w:r w:rsidRPr="003B1303" w:rsidR="00BA098E">
        <w:rPr>
          <w:lang w:val="fr-FR"/>
        </w:rPr>
        <w:t>ption</w:t>
      </w:r>
      <w:r w:rsidRPr="003B1303" w:rsidR="00B9201B">
        <w:rPr>
          <w:lang w:val="fr-FR"/>
        </w:rPr>
        <w:t>s</w:t>
      </w:r>
      <w:r w:rsidRPr="003B1303" w:rsidR="00BA098E">
        <w:rPr>
          <w:lang w:val="fr-FR"/>
        </w:rPr>
        <w:t xml:space="preserve"> d</w:t>
      </w:r>
      <w:r w:rsidRPr="003B1303" w:rsidR="003B1303">
        <w:rPr>
          <w:lang w:val="fr-FR"/>
        </w:rPr>
        <w:t>’</w:t>
      </w:r>
      <w:r w:rsidRPr="003B1303" w:rsidR="00BA098E">
        <w:rPr>
          <w:lang w:val="fr-FR"/>
        </w:rPr>
        <w:t>irrecevabilité pour non</w:t>
      </w:r>
      <w:r w:rsidRPr="003B1303" w:rsidR="00BA098E">
        <w:rPr>
          <w:lang w:val="fr-FR"/>
        </w:rPr>
        <w:noBreakHyphen/>
      </w:r>
      <w:r w:rsidRPr="003B1303" w:rsidR="00032C96">
        <w:rPr>
          <w:lang w:val="fr-FR"/>
        </w:rPr>
        <w:t>épuisement des voies de recours internes soulevé</w:t>
      </w:r>
      <w:r w:rsidRPr="003B1303" w:rsidR="006C2284">
        <w:rPr>
          <w:lang w:val="fr-FR"/>
        </w:rPr>
        <w:t>e</w:t>
      </w:r>
      <w:r w:rsidRPr="003B1303" w:rsidR="00032C96">
        <w:rPr>
          <w:lang w:val="fr-FR"/>
        </w:rPr>
        <w:t xml:space="preserve"> par le Gouvernement à l</w:t>
      </w:r>
      <w:r w:rsidRPr="003B1303" w:rsidR="003B1303">
        <w:rPr>
          <w:lang w:val="fr-FR"/>
        </w:rPr>
        <w:t>’</w:t>
      </w:r>
      <w:r w:rsidRPr="003B1303" w:rsidR="00032C96">
        <w:rPr>
          <w:lang w:val="fr-FR"/>
        </w:rPr>
        <w:t xml:space="preserve">égard des deux requêtes, la Cour </w:t>
      </w:r>
      <w:r w:rsidRPr="003B1303" w:rsidR="006C2284">
        <w:rPr>
          <w:lang w:val="fr-FR"/>
        </w:rPr>
        <w:t>rappelle qu</w:t>
      </w:r>
      <w:r w:rsidRPr="003B1303" w:rsidR="003B1303">
        <w:rPr>
          <w:lang w:val="fr-FR"/>
        </w:rPr>
        <w:t>’</w:t>
      </w:r>
      <w:r w:rsidRPr="003B1303" w:rsidR="006C2284">
        <w:rPr>
          <w:lang w:val="fr-FR"/>
        </w:rPr>
        <w:t>un recours judiciaire contre un refus d</w:t>
      </w:r>
      <w:r w:rsidRPr="003B1303" w:rsidR="003B1303">
        <w:rPr>
          <w:lang w:val="fr-FR"/>
        </w:rPr>
        <w:t>’</w:t>
      </w:r>
      <w:r w:rsidRPr="003B1303" w:rsidR="006C2284">
        <w:rPr>
          <w:lang w:val="fr-FR"/>
        </w:rPr>
        <w:t xml:space="preserve">ouvrir une enquête pénale sur une allégation de mauvais traitements est une voie de recours </w:t>
      </w:r>
      <w:r w:rsidRPr="003B1303" w:rsidR="007864A4">
        <w:rPr>
          <w:lang w:val="fr-FR"/>
        </w:rPr>
        <w:t xml:space="preserve">normalement </w:t>
      </w:r>
      <w:r w:rsidRPr="003B1303" w:rsidR="006C2284">
        <w:rPr>
          <w:lang w:val="fr-FR"/>
        </w:rPr>
        <w:t xml:space="preserve">à épuiser </w:t>
      </w:r>
      <w:r w:rsidRPr="003B1303" w:rsidR="000C1A19">
        <w:rPr>
          <w:lang w:val="fr-FR"/>
        </w:rPr>
        <w:t>dans l</w:t>
      </w:r>
      <w:r w:rsidRPr="003B1303" w:rsidR="003B1303">
        <w:rPr>
          <w:lang w:val="fr-FR"/>
        </w:rPr>
        <w:t>’</w:t>
      </w:r>
      <w:r w:rsidRPr="003B1303" w:rsidR="000C1A19">
        <w:rPr>
          <w:lang w:val="fr-FR"/>
        </w:rPr>
        <w:t>ordre juridique russe</w:t>
      </w:r>
      <w:r w:rsidRPr="003B1303" w:rsidR="006C2284">
        <w:rPr>
          <w:lang w:val="fr-FR"/>
        </w:rPr>
        <w:t xml:space="preserve"> (</w:t>
      </w:r>
      <w:proofErr w:type="spellStart"/>
      <w:r w:rsidRPr="003B1303" w:rsidR="004E2221">
        <w:rPr>
          <w:i/>
          <w:lang w:val="fr-FR"/>
        </w:rPr>
        <w:t>Lutskevich</w:t>
      </w:r>
      <w:proofErr w:type="spellEnd"/>
      <w:r w:rsidRPr="003B1303" w:rsidR="004E2221">
        <w:rPr>
          <w:i/>
          <w:lang w:val="fr-FR"/>
        </w:rPr>
        <w:t xml:space="preserve"> c. Russie</w:t>
      </w:r>
      <w:r w:rsidRPr="003B1303" w:rsidR="004E2221">
        <w:rPr>
          <w:lang w:val="fr-FR" w:eastAsia="en-GB"/>
        </w:rPr>
        <w:t>, n</w:t>
      </w:r>
      <w:r w:rsidRPr="003B1303" w:rsidR="004E2221">
        <w:rPr>
          <w:vertAlign w:val="superscript"/>
          <w:lang w:val="fr-FR" w:eastAsia="en-GB"/>
        </w:rPr>
        <w:t>os</w:t>
      </w:r>
      <w:r w:rsidRPr="003B1303" w:rsidR="004E2221">
        <w:rPr>
          <w:lang w:val="fr-FR" w:eastAsia="en-GB"/>
        </w:rPr>
        <w:t xml:space="preserve"> </w:t>
      </w:r>
      <w:r w:rsidRPr="003B1303" w:rsidR="004E2221">
        <w:rPr>
          <w:lang w:val="fr-FR"/>
        </w:rPr>
        <w:t>6312/13 et 60902/14</w:t>
      </w:r>
      <w:r w:rsidRPr="003B1303" w:rsidR="004E2221">
        <w:rPr>
          <w:lang w:val="fr-FR" w:eastAsia="en-GB"/>
        </w:rPr>
        <w:t xml:space="preserve">, </w:t>
      </w:r>
      <w:r w:rsidRPr="003B1303" w:rsidR="004E2221">
        <w:rPr>
          <w:lang w:val="fr-FR"/>
        </w:rPr>
        <w:t>§ </w:t>
      </w:r>
      <w:r w:rsidRPr="003B1303" w:rsidR="007864A4">
        <w:rPr>
          <w:lang w:val="fr-FR"/>
        </w:rPr>
        <w:t>51</w:t>
      </w:r>
      <w:r w:rsidRPr="003B1303" w:rsidR="00BA098E">
        <w:rPr>
          <w:lang w:val="fr-FR"/>
        </w:rPr>
        <w:t>, 15 </w:t>
      </w:r>
      <w:r w:rsidRPr="003B1303" w:rsidR="004E2221">
        <w:rPr>
          <w:lang w:val="fr-FR"/>
        </w:rPr>
        <w:t>mai</w:t>
      </w:r>
      <w:r w:rsidRPr="003B1303" w:rsidR="00D66DB8">
        <w:rPr>
          <w:lang w:val="fr-FR"/>
        </w:rPr>
        <w:t> </w:t>
      </w:r>
      <w:r w:rsidRPr="003B1303" w:rsidR="004E2221">
        <w:rPr>
          <w:lang w:val="fr-FR"/>
        </w:rPr>
        <w:t>2018</w:t>
      </w:r>
      <w:r w:rsidRPr="003B1303" w:rsidR="00D25ECF">
        <w:rPr>
          <w:lang w:val="fr-FR"/>
        </w:rPr>
        <w:t>,</w:t>
      </w:r>
      <w:r w:rsidRPr="003B1303" w:rsidR="007864A4">
        <w:rPr>
          <w:lang w:val="fr-FR"/>
        </w:rPr>
        <w:t xml:space="preserve"> et les affaires auxquelles il y est fait référence). En l</w:t>
      </w:r>
      <w:r w:rsidRPr="003B1303" w:rsidR="003B1303">
        <w:rPr>
          <w:lang w:val="fr-FR"/>
        </w:rPr>
        <w:t>’</w:t>
      </w:r>
      <w:r w:rsidRPr="003B1303" w:rsidR="007864A4">
        <w:rPr>
          <w:lang w:val="fr-FR"/>
        </w:rPr>
        <w:t xml:space="preserve">espèce, </w:t>
      </w:r>
      <w:r w:rsidRPr="003B1303" w:rsidR="00D66DB8">
        <w:rPr>
          <w:lang w:val="fr-FR"/>
        </w:rPr>
        <w:t>elle</w:t>
      </w:r>
      <w:r w:rsidRPr="003B1303" w:rsidR="007864A4">
        <w:rPr>
          <w:lang w:val="fr-FR"/>
        </w:rPr>
        <w:t xml:space="preserve"> note que</w:t>
      </w:r>
      <w:r w:rsidRPr="003B1303" w:rsidR="00032C96">
        <w:rPr>
          <w:lang w:val="fr-FR"/>
        </w:rPr>
        <w:t xml:space="preserve"> tant le premier que le second requérant ont contesté en justice les refus d</w:t>
      </w:r>
      <w:r w:rsidRPr="003B1303" w:rsidR="003B1303">
        <w:rPr>
          <w:lang w:val="fr-FR"/>
        </w:rPr>
        <w:t>’</w:t>
      </w:r>
      <w:r w:rsidRPr="003B1303" w:rsidR="00032C96">
        <w:rPr>
          <w:lang w:val="fr-FR"/>
        </w:rPr>
        <w:t xml:space="preserve">ouvrir une enquête pénale sur leurs allégations de mauvais traitements respectives (paragraphes </w:t>
      </w:r>
      <w:r w:rsidRPr="003B1303" w:rsidR="009528EC">
        <w:rPr>
          <w:lang w:val="fr-FR"/>
        </w:rPr>
        <w:fldChar w:fldCharType="begin"/>
      </w:r>
      <w:r w:rsidRPr="003B1303" w:rsidR="009528EC">
        <w:rPr>
          <w:lang w:val="fr-FR"/>
        </w:rPr>
        <w:instrText xml:space="preserve"> REF mauvtrec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27</w:t>
      </w:r>
      <w:r w:rsidRPr="003B1303" w:rsidR="009528EC">
        <w:rPr>
          <w:lang w:val="fr-FR"/>
        </w:rPr>
        <w:fldChar w:fldCharType="end"/>
      </w:r>
      <w:r w:rsidRPr="003B1303" w:rsidR="009528EC">
        <w:rPr>
          <w:lang w:val="fr-FR"/>
        </w:rPr>
        <w:noBreakHyphen/>
      </w:r>
      <w:r w:rsidRPr="003B1303" w:rsidR="009528EC">
        <w:rPr>
          <w:lang w:val="fr-FR"/>
        </w:rPr>
        <w:fldChar w:fldCharType="begin"/>
      </w:r>
      <w:r w:rsidRPr="003B1303" w:rsidR="009528EC">
        <w:rPr>
          <w:lang w:val="fr-FR"/>
        </w:rPr>
        <w:instrText xml:space="preserve"> REF mauvtrec1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29</w:t>
      </w:r>
      <w:r w:rsidRPr="003B1303" w:rsidR="009528EC">
        <w:rPr>
          <w:lang w:val="fr-FR"/>
        </w:rPr>
        <w:fldChar w:fldCharType="end"/>
      </w:r>
      <w:r w:rsidRPr="003B1303" w:rsidR="009528EC">
        <w:rPr>
          <w:lang w:val="fr-FR"/>
        </w:rPr>
        <w:t xml:space="preserve"> et </w:t>
      </w:r>
      <w:r w:rsidRPr="003B1303" w:rsidR="009528EC">
        <w:rPr>
          <w:lang w:val="fr-FR"/>
        </w:rPr>
        <w:fldChar w:fldCharType="begin"/>
      </w:r>
      <w:r w:rsidRPr="003B1303" w:rsidR="009528EC">
        <w:rPr>
          <w:lang w:val="fr-FR"/>
        </w:rPr>
        <w:instrText xml:space="preserve"> REF mauvtr2rec1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60</w:t>
      </w:r>
      <w:r w:rsidRPr="003B1303" w:rsidR="009528EC">
        <w:rPr>
          <w:lang w:val="fr-FR"/>
        </w:rPr>
        <w:fldChar w:fldCharType="end"/>
      </w:r>
      <w:r w:rsidRPr="003B1303" w:rsidR="009528EC">
        <w:rPr>
          <w:lang w:val="fr-FR"/>
        </w:rPr>
        <w:noBreakHyphen/>
      </w:r>
      <w:r w:rsidRPr="003B1303" w:rsidR="009528EC">
        <w:rPr>
          <w:lang w:val="fr-FR"/>
        </w:rPr>
        <w:fldChar w:fldCharType="begin"/>
      </w:r>
      <w:r w:rsidRPr="003B1303" w:rsidR="009528EC">
        <w:rPr>
          <w:lang w:val="fr-FR"/>
        </w:rPr>
        <w:instrText xml:space="preserve"> REF mauvtr2rec2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64</w:t>
      </w:r>
      <w:r w:rsidRPr="003B1303" w:rsidR="009528EC">
        <w:rPr>
          <w:lang w:val="fr-FR"/>
        </w:rPr>
        <w:fldChar w:fldCharType="end"/>
      </w:r>
      <w:r w:rsidRPr="003B1303" w:rsidR="009528EC">
        <w:rPr>
          <w:lang w:val="fr-FR"/>
        </w:rPr>
        <w:t xml:space="preserve"> </w:t>
      </w:r>
      <w:r w:rsidRPr="003B1303" w:rsidR="00032C96">
        <w:rPr>
          <w:lang w:val="fr-FR"/>
        </w:rPr>
        <w:t>ci</w:t>
      </w:r>
      <w:r w:rsidRPr="003B1303" w:rsidR="00032C96">
        <w:rPr>
          <w:lang w:val="fr-FR"/>
        </w:rPr>
        <w:noBreakHyphen/>
        <w:t xml:space="preserve">dessus). </w:t>
      </w:r>
      <w:r w:rsidRPr="003B1303" w:rsidR="007864A4">
        <w:rPr>
          <w:lang w:val="fr-FR"/>
        </w:rPr>
        <w:t xml:space="preserve">Elle considère par conséquent que les intéressés ont épuisé les voies de recours qui leur </w:t>
      </w:r>
      <w:r w:rsidRPr="003B1303" w:rsidR="00D66DB8">
        <w:rPr>
          <w:lang w:val="fr-FR"/>
        </w:rPr>
        <w:t>étaient</w:t>
      </w:r>
      <w:r w:rsidRPr="003B1303" w:rsidR="007864A4">
        <w:rPr>
          <w:lang w:val="fr-FR"/>
        </w:rPr>
        <w:t xml:space="preserve"> disponibles avant de</w:t>
      </w:r>
      <w:r w:rsidRPr="003B1303" w:rsidR="00D66DB8">
        <w:rPr>
          <w:lang w:val="fr-FR"/>
        </w:rPr>
        <w:t xml:space="preserve"> la</w:t>
      </w:r>
      <w:r w:rsidRPr="003B1303" w:rsidR="007864A4">
        <w:rPr>
          <w:lang w:val="fr-FR"/>
        </w:rPr>
        <w:t xml:space="preserve"> saisir.</w:t>
      </w:r>
    </w:p>
    <w:p w:rsidRPr="003B1303" w:rsidR="00032C96" w:rsidP="003B1303" w:rsidRDefault="006C2284">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122</w:t>
      </w:r>
      <w:r w:rsidRPr="003B1303">
        <w:rPr>
          <w:lang w:val="fr-FR"/>
        </w:rPr>
        <w:fldChar w:fldCharType="end"/>
      </w:r>
      <w:r w:rsidRPr="003B1303">
        <w:rPr>
          <w:lang w:val="fr-FR"/>
        </w:rPr>
        <w:t>.  </w:t>
      </w:r>
      <w:r w:rsidRPr="003B1303" w:rsidR="00032C96">
        <w:rPr>
          <w:lang w:val="fr-FR"/>
        </w:rPr>
        <w:t>En ce qui concerne l</w:t>
      </w:r>
      <w:r w:rsidRPr="003B1303" w:rsidR="003B1303">
        <w:rPr>
          <w:lang w:val="fr-FR"/>
        </w:rPr>
        <w:t>’</w:t>
      </w:r>
      <w:r w:rsidRPr="003B1303" w:rsidR="00032C96">
        <w:rPr>
          <w:lang w:val="fr-FR"/>
        </w:rPr>
        <w:t>argument du Gouvernement selon lequel le grief que le premier requérant tire de l</w:t>
      </w:r>
      <w:r w:rsidRPr="003B1303" w:rsidR="003B1303">
        <w:rPr>
          <w:lang w:val="fr-FR"/>
        </w:rPr>
        <w:t>’</w:t>
      </w:r>
      <w:r w:rsidRPr="003B1303" w:rsidR="00032C96">
        <w:rPr>
          <w:lang w:val="fr-FR"/>
        </w:rPr>
        <w:t xml:space="preserve">article 3 de la Convention </w:t>
      </w:r>
      <w:r w:rsidRPr="003B1303" w:rsidR="008B24BA">
        <w:rPr>
          <w:lang w:val="fr-FR"/>
        </w:rPr>
        <w:t xml:space="preserve">est </w:t>
      </w:r>
      <w:r w:rsidRPr="003B1303" w:rsidR="00032C96">
        <w:rPr>
          <w:lang w:val="fr-FR"/>
        </w:rPr>
        <w:t xml:space="preserve">tardif, la Cour note que </w:t>
      </w:r>
      <w:r w:rsidRPr="003B1303" w:rsidR="00D25ECF">
        <w:rPr>
          <w:lang w:val="fr-FR"/>
        </w:rPr>
        <w:t>celui-ci</w:t>
      </w:r>
      <w:r w:rsidRPr="003B1303" w:rsidR="00032C96">
        <w:rPr>
          <w:lang w:val="fr-FR"/>
        </w:rPr>
        <w:t xml:space="preserve"> a introduit sa requête le 17 juillet 2009, soit moins de six mois après la décision du 1</w:t>
      </w:r>
      <w:r w:rsidRPr="003B1303" w:rsidR="00032C96">
        <w:rPr>
          <w:vertAlign w:val="superscript"/>
          <w:lang w:val="fr-FR"/>
        </w:rPr>
        <w:t>er</w:t>
      </w:r>
      <w:r w:rsidRPr="003B1303" w:rsidR="00032C96">
        <w:rPr>
          <w:lang w:val="fr-FR"/>
        </w:rPr>
        <w:t xml:space="preserve"> avril 2009 par laquelle la cour régionale </w:t>
      </w:r>
      <w:r w:rsidRPr="003B1303" w:rsidR="008B24BA">
        <w:rPr>
          <w:lang w:val="fr-FR"/>
        </w:rPr>
        <w:t xml:space="preserve">a </w:t>
      </w:r>
      <w:r w:rsidRPr="003B1303" w:rsidR="00032C96">
        <w:rPr>
          <w:lang w:val="fr-FR"/>
        </w:rPr>
        <w:t>rejeté son recours contre le refus d</w:t>
      </w:r>
      <w:r w:rsidRPr="003B1303" w:rsidR="003B1303">
        <w:rPr>
          <w:lang w:val="fr-FR"/>
        </w:rPr>
        <w:t>’</w:t>
      </w:r>
      <w:r w:rsidRPr="003B1303" w:rsidR="00032C96">
        <w:rPr>
          <w:lang w:val="fr-FR"/>
        </w:rPr>
        <w:t>ouvrir une enquête pénale</w:t>
      </w:r>
      <w:r w:rsidRPr="003B1303" w:rsidR="009528EC">
        <w:rPr>
          <w:lang w:val="fr-FR"/>
        </w:rPr>
        <w:t xml:space="preserve"> (paragraphe </w:t>
      </w:r>
      <w:r w:rsidRPr="003B1303" w:rsidR="009528EC">
        <w:rPr>
          <w:lang w:val="fr-FR"/>
        </w:rPr>
        <w:fldChar w:fldCharType="begin"/>
      </w:r>
      <w:r w:rsidRPr="003B1303" w:rsidR="009528EC">
        <w:rPr>
          <w:lang w:val="fr-FR"/>
        </w:rPr>
        <w:instrText xml:space="preserve"> REF mauvtrec1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29</w:t>
      </w:r>
      <w:r w:rsidRPr="003B1303" w:rsidR="009528EC">
        <w:rPr>
          <w:lang w:val="fr-FR"/>
        </w:rPr>
        <w:fldChar w:fldCharType="end"/>
      </w:r>
      <w:r w:rsidRPr="003B1303" w:rsidR="009528EC">
        <w:rPr>
          <w:lang w:val="fr-FR"/>
        </w:rPr>
        <w:t xml:space="preserve"> ci</w:t>
      </w:r>
      <w:r w:rsidRPr="003B1303" w:rsidR="009528EC">
        <w:rPr>
          <w:lang w:val="fr-FR"/>
        </w:rPr>
        <w:noBreakHyphen/>
        <w:t>dessus)</w:t>
      </w:r>
      <w:r w:rsidRPr="003B1303" w:rsidR="00032C96">
        <w:rPr>
          <w:lang w:val="fr-FR"/>
        </w:rPr>
        <w:t xml:space="preserve">. </w:t>
      </w:r>
      <w:r w:rsidRPr="003B1303" w:rsidR="00D25ECF">
        <w:rPr>
          <w:lang w:val="fr-FR"/>
        </w:rPr>
        <w:t>Elle estim</w:t>
      </w:r>
      <w:r w:rsidRPr="003B1303" w:rsidR="007864A4">
        <w:rPr>
          <w:lang w:val="fr-FR"/>
        </w:rPr>
        <w:t>e</w:t>
      </w:r>
      <w:r w:rsidRPr="003B1303" w:rsidR="00D25ECF">
        <w:rPr>
          <w:lang w:val="fr-FR"/>
        </w:rPr>
        <w:t xml:space="preserve"> que le premier</w:t>
      </w:r>
      <w:r w:rsidRPr="003B1303" w:rsidR="007864A4">
        <w:rPr>
          <w:lang w:val="fr-FR"/>
        </w:rPr>
        <w:t xml:space="preserve"> requérant </w:t>
      </w:r>
      <w:r w:rsidRPr="003B1303" w:rsidR="00032C96">
        <w:rPr>
          <w:lang w:val="fr-FR"/>
        </w:rPr>
        <w:t xml:space="preserve">a </w:t>
      </w:r>
      <w:r w:rsidRPr="003B1303" w:rsidR="007864A4">
        <w:rPr>
          <w:lang w:val="fr-FR"/>
        </w:rPr>
        <w:t>donc</w:t>
      </w:r>
      <w:r w:rsidRPr="003B1303" w:rsidR="00032C96">
        <w:rPr>
          <w:lang w:val="fr-FR"/>
        </w:rPr>
        <w:t xml:space="preserve"> respecté le délai de six mois </w:t>
      </w:r>
      <w:r w:rsidRPr="003B1303" w:rsidR="00BC6135">
        <w:rPr>
          <w:lang w:val="fr-FR"/>
        </w:rPr>
        <w:t xml:space="preserve">imposé </w:t>
      </w:r>
      <w:r w:rsidRPr="003B1303" w:rsidR="00032C96">
        <w:rPr>
          <w:lang w:val="fr-FR"/>
        </w:rPr>
        <w:t>par l</w:t>
      </w:r>
      <w:r w:rsidRPr="003B1303" w:rsidR="003B1303">
        <w:rPr>
          <w:lang w:val="fr-FR"/>
        </w:rPr>
        <w:t>’</w:t>
      </w:r>
      <w:r w:rsidRPr="003B1303" w:rsidR="00032C96">
        <w:rPr>
          <w:lang w:val="fr-FR"/>
        </w:rPr>
        <w:t>article 35 de la Convention.</w:t>
      </w:r>
    </w:p>
    <w:p w:rsidRPr="003B1303" w:rsidR="00BE4C83" w:rsidP="003B1303" w:rsidRDefault="007864A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123</w:t>
      </w:r>
      <w:r w:rsidRPr="003B1303">
        <w:rPr>
          <w:lang w:val="fr-FR"/>
        </w:rPr>
        <w:fldChar w:fldCharType="end"/>
      </w:r>
      <w:r w:rsidRPr="003B1303">
        <w:rPr>
          <w:lang w:val="fr-FR"/>
        </w:rPr>
        <w:t>.  Eu égard à ce qui précède, la Cour rejette les exceptions d</w:t>
      </w:r>
      <w:r w:rsidRPr="003B1303" w:rsidR="003B1303">
        <w:rPr>
          <w:lang w:val="fr-FR"/>
        </w:rPr>
        <w:t>’</w:t>
      </w:r>
      <w:r w:rsidRPr="003B1303">
        <w:rPr>
          <w:lang w:val="fr-FR"/>
        </w:rPr>
        <w:t>irrecevabilité soulevées par la Gouvernement.</w:t>
      </w:r>
    </w:p>
    <w:p w:rsidRPr="003B1303" w:rsidR="00553E3F"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124</w:t>
      </w:r>
      <w:r w:rsidRPr="003B1303">
        <w:rPr>
          <w:lang w:val="fr-FR"/>
        </w:rPr>
        <w:fldChar w:fldCharType="end"/>
      </w:r>
      <w:r w:rsidRPr="003B1303" w:rsidR="00E77CB3">
        <w:rPr>
          <w:lang w:val="fr-FR"/>
        </w:rPr>
        <w:t>.  </w:t>
      </w:r>
      <w:r w:rsidRPr="003B1303" w:rsidR="00553E3F">
        <w:rPr>
          <w:lang w:val="fr-FR"/>
        </w:rPr>
        <w:t>Constatant que ce</w:t>
      </w:r>
      <w:r w:rsidRPr="003B1303" w:rsidR="007864A4">
        <w:rPr>
          <w:lang w:val="fr-FR"/>
        </w:rPr>
        <w:t>s</w:t>
      </w:r>
      <w:r w:rsidRPr="003B1303" w:rsidR="00553E3F">
        <w:rPr>
          <w:lang w:val="fr-FR"/>
        </w:rPr>
        <w:t xml:space="preserve"> grief</w:t>
      </w:r>
      <w:r w:rsidRPr="003B1303" w:rsidR="007864A4">
        <w:rPr>
          <w:lang w:val="fr-FR"/>
        </w:rPr>
        <w:t>s</w:t>
      </w:r>
      <w:r w:rsidRPr="003B1303" w:rsidR="00553E3F">
        <w:rPr>
          <w:lang w:val="fr-FR"/>
        </w:rPr>
        <w:t xml:space="preserve"> n</w:t>
      </w:r>
      <w:r w:rsidRPr="003B1303" w:rsidR="007864A4">
        <w:rPr>
          <w:lang w:val="fr-FR"/>
        </w:rPr>
        <w:t>e sont</w:t>
      </w:r>
      <w:r w:rsidRPr="003B1303" w:rsidR="00553E3F">
        <w:rPr>
          <w:lang w:val="fr-FR"/>
        </w:rPr>
        <w:t xml:space="preserve"> pas manifestement mal fondé</w:t>
      </w:r>
      <w:r w:rsidRPr="003B1303" w:rsidR="007864A4">
        <w:rPr>
          <w:lang w:val="fr-FR"/>
        </w:rPr>
        <w:t>s</w:t>
      </w:r>
      <w:r w:rsidRPr="003B1303" w:rsidR="00553E3F">
        <w:rPr>
          <w:lang w:val="fr-FR"/>
        </w:rPr>
        <w:t xml:space="preserve"> au sens de l</w:t>
      </w:r>
      <w:r w:rsidRPr="003B1303" w:rsidR="003B1303">
        <w:rPr>
          <w:lang w:val="fr-FR"/>
        </w:rPr>
        <w:t>’</w:t>
      </w:r>
      <w:r w:rsidRPr="003B1303" w:rsidR="00553E3F">
        <w:rPr>
          <w:lang w:val="fr-FR"/>
        </w:rPr>
        <w:t>article 35 § 3 a) de la Convention et qu</w:t>
      </w:r>
      <w:r w:rsidRPr="003B1303" w:rsidR="003B1303">
        <w:rPr>
          <w:lang w:val="fr-FR"/>
        </w:rPr>
        <w:t>’</w:t>
      </w:r>
      <w:r w:rsidRPr="003B1303" w:rsidR="00553E3F">
        <w:rPr>
          <w:lang w:val="fr-FR"/>
        </w:rPr>
        <w:t>il</w:t>
      </w:r>
      <w:r w:rsidRPr="003B1303" w:rsidR="007864A4">
        <w:rPr>
          <w:lang w:val="fr-FR"/>
        </w:rPr>
        <w:t>s</w:t>
      </w:r>
      <w:r w:rsidRPr="003B1303" w:rsidR="00553E3F">
        <w:rPr>
          <w:lang w:val="fr-FR"/>
        </w:rPr>
        <w:t xml:space="preserve"> ne se heurte</w:t>
      </w:r>
      <w:r w:rsidRPr="003B1303" w:rsidR="007864A4">
        <w:rPr>
          <w:lang w:val="fr-FR"/>
        </w:rPr>
        <w:t>nt</w:t>
      </w:r>
      <w:r w:rsidRPr="003B1303" w:rsidR="00553E3F">
        <w:rPr>
          <w:lang w:val="fr-FR"/>
        </w:rPr>
        <w:t xml:space="preserve"> par ailleurs à aucun autre motif d</w:t>
      </w:r>
      <w:r w:rsidRPr="003B1303" w:rsidR="003B1303">
        <w:rPr>
          <w:lang w:val="fr-FR"/>
        </w:rPr>
        <w:t>’</w:t>
      </w:r>
      <w:r w:rsidRPr="003B1303" w:rsidR="00553E3F">
        <w:rPr>
          <w:lang w:val="fr-FR"/>
        </w:rPr>
        <w:t>irrecevabilité, la Cour le</w:t>
      </w:r>
      <w:r w:rsidRPr="003B1303" w:rsidR="007864A4">
        <w:rPr>
          <w:lang w:val="fr-FR"/>
        </w:rPr>
        <w:t>s</w:t>
      </w:r>
      <w:r w:rsidRPr="003B1303" w:rsidR="00553E3F">
        <w:rPr>
          <w:lang w:val="fr-FR"/>
        </w:rPr>
        <w:t xml:space="preserve"> déclare recevable</w:t>
      </w:r>
      <w:r w:rsidRPr="003B1303" w:rsidR="007864A4">
        <w:rPr>
          <w:lang w:val="fr-FR"/>
        </w:rPr>
        <w:t>s</w:t>
      </w:r>
      <w:r w:rsidRPr="003B1303" w:rsidR="00553E3F">
        <w:rPr>
          <w:lang w:val="fr-FR"/>
        </w:rPr>
        <w:t>.</w:t>
      </w:r>
    </w:p>
    <w:p w:rsidRPr="003B1303" w:rsidR="00E77CB3" w:rsidP="003B1303" w:rsidRDefault="00D47B9F">
      <w:pPr>
        <w:pStyle w:val="ECHRHeading4"/>
        <w:rPr>
          <w:lang w:val="fr-FR"/>
        </w:rPr>
      </w:pPr>
      <w:r w:rsidRPr="003B1303">
        <w:rPr>
          <w:lang w:val="fr-FR"/>
        </w:rPr>
        <w:t>b)</w:t>
      </w:r>
      <w:r w:rsidRPr="003B1303" w:rsidR="00E77CB3">
        <w:rPr>
          <w:lang w:val="fr-FR"/>
        </w:rPr>
        <w:t>  Sur le fond</w:t>
      </w:r>
    </w:p>
    <w:p w:rsidRPr="003B1303" w:rsidR="00BE4C83" w:rsidP="003B1303" w:rsidRDefault="00505A8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125</w:t>
      </w:r>
      <w:r w:rsidRPr="003B1303">
        <w:rPr>
          <w:lang w:val="fr-FR"/>
        </w:rPr>
        <w:fldChar w:fldCharType="end"/>
      </w:r>
      <w:r w:rsidRPr="003B1303">
        <w:rPr>
          <w:lang w:val="fr-FR"/>
        </w:rPr>
        <w:t xml:space="preserve">.  La Cour examinera </w:t>
      </w:r>
      <w:r w:rsidRPr="003B1303" w:rsidR="009528EC">
        <w:rPr>
          <w:lang w:val="fr-FR"/>
        </w:rPr>
        <w:t>cette partie de l</w:t>
      </w:r>
      <w:r w:rsidRPr="003B1303" w:rsidR="003B1303">
        <w:rPr>
          <w:lang w:val="fr-FR"/>
        </w:rPr>
        <w:t>’</w:t>
      </w:r>
      <w:r w:rsidRPr="003B1303">
        <w:rPr>
          <w:lang w:val="fr-FR"/>
        </w:rPr>
        <w:t xml:space="preserve">affaire à la lumière des principes généraux exposés dans les arrêts </w:t>
      </w:r>
      <w:proofErr w:type="spellStart"/>
      <w:r w:rsidRPr="003B1303">
        <w:rPr>
          <w:i/>
          <w:lang w:val="fr-FR"/>
        </w:rPr>
        <w:t>Bouyid</w:t>
      </w:r>
      <w:proofErr w:type="spellEnd"/>
      <w:r w:rsidRPr="003B1303">
        <w:rPr>
          <w:i/>
          <w:lang w:val="fr-FR"/>
        </w:rPr>
        <w:t xml:space="preserve"> c. Belgique</w:t>
      </w:r>
      <w:r w:rsidRPr="003B1303">
        <w:rPr>
          <w:lang w:val="fr-FR"/>
        </w:rPr>
        <w:t xml:space="preserve"> </w:t>
      </w:r>
      <w:r w:rsidRPr="003B1303" w:rsidR="008B24BA">
        <w:rPr>
          <w:lang w:val="fr-FR"/>
        </w:rPr>
        <w:t>(</w:t>
      </w:r>
      <w:r w:rsidRPr="003B1303">
        <w:rPr>
          <w:lang w:val="fr-FR"/>
        </w:rPr>
        <w:t>[GC] n</w:t>
      </w:r>
      <w:r w:rsidRPr="003B1303">
        <w:rPr>
          <w:vertAlign w:val="superscript"/>
          <w:lang w:val="fr-FR"/>
        </w:rPr>
        <w:t>o</w:t>
      </w:r>
      <w:r w:rsidRPr="003B1303">
        <w:rPr>
          <w:lang w:val="fr-FR"/>
        </w:rPr>
        <w:t> 23380/09, §§ 81</w:t>
      </w:r>
      <w:r w:rsidRPr="003B1303">
        <w:rPr>
          <w:lang w:val="fr-FR"/>
        </w:rPr>
        <w:noBreakHyphen/>
        <w:t xml:space="preserve">90, </w:t>
      </w:r>
      <w:r w:rsidRPr="003B1303" w:rsidR="0032059B">
        <w:rPr>
          <w:lang w:val="fr-FR"/>
        </w:rPr>
        <w:t>CEDH 2015</w:t>
      </w:r>
      <w:r w:rsidRPr="003B1303">
        <w:rPr>
          <w:lang w:val="fr-FR"/>
        </w:rPr>
        <w:t xml:space="preserve">) et </w:t>
      </w:r>
      <w:r w:rsidRPr="003B1303">
        <w:rPr>
          <w:i/>
          <w:lang w:val="fr-FR"/>
        </w:rPr>
        <w:t>El</w:t>
      </w:r>
      <w:r w:rsidRPr="003B1303" w:rsidR="008B24BA">
        <w:rPr>
          <w:i/>
          <w:lang w:val="fr-FR"/>
        </w:rPr>
        <w:t>-</w:t>
      </w:r>
      <w:proofErr w:type="spellStart"/>
      <w:r w:rsidRPr="003B1303">
        <w:rPr>
          <w:i/>
          <w:lang w:val="fr-FR"/>
        </w:rPr>
        <w:t>Masri</w:t>
      </w:r>
      <w:proofErr w:type="spellEnd"/>
      <w:r w:rsidRPr="003B1303" w:rsidR="008B24BA">
        <w:rPr>
          <w:i/>
          <w:lang w:val="fr-FR"/>
        </w:rPr>
        <w:t xml:space="preserve"> </w:t>
      </w:r>
      <w:r w:rsidRPr="003B1303">
        <w:rPr>
          <w:i/>
          <w:lang w:val="fr-FR"/>
        </w:rPr>
        <w:t>c.</w:t>
      </w:r>
      <w:r w:rsidRPr="003B1303" w:rsidR="008B24BA">
        <w:rPr>
          <w:i/>
          <w:lang w:val="fr-FR"/>
        </w:rPr>
        <w:t xml:space="preserve"> </w:t>
      </w:r>
      <w:r w:rsidRPr="003B1303">
        <w:rPr>
          <w:i/>
          <w:lang w:val="fr-FR"/>
        </w:rPr>
        <w:t>l</w:t>
      </w:r>
      <w:r w:rsidRPr="003B1303" w:rsidR="003B1303">
        <w:rPr>
          <w:i/>
          <w:lang w:val="fr-FR"/>
        </w:rPr>
        <w:t>’</w:t>
      </w:r>
      <w:r w:rsidRPr="003B1303">
        <w:rPr>
          <w:i/>
          <w:lang w:val="fr-FR"/>
        </w:rPr>
        <w:t>ex</w:t>
      </w:r>
      <w:r w:rsidRPr="003B1303">
        <w:rPr>
          <w:i/>
          <w:lang w:val="fr-FR"/>
        </w:rPr>
        <w:noBreakHyphen/>
        <w:t xml:space="preserve">République yougoslave de Macédoine </w:t>
      </w:r>
      <w:r w:rsidRPr="003B1303" w:rsidR="008B24BA">
        <w:rPr>
          <w:lang w:val="fr-FR"/>
        </w:rPr>
        <w:t>(</w:t>
      </w:r>
      <w:r w:rsidRPr="003B1303">
        <w:rPr>
          <w:lang w:val="fr-FR"/>
        </w:rPr>
        <w:t>[GC] n</w:t>
      </w:r>
      <w:r w:rsidRPr="003B1303">
        <w:rPr>
          <w:vertAlign w:val="superscript"/>
          <w:lang w:val="fr-FR"/>
        </w:rPr>
        <w:t>o</w:t>
      </w:r>
      <w:r w:rsidRPr="003B1303">
        <w:rPr>
          <w:lang w:val="fr-FR"/>
        </w:rPr>
        <w:t> 39630/09, §§ 182</w:t>
      </w:r>
      <w:r w:rsidRPr="003B1303">
        <w:rPr>
          <w:lang w:val="fr-FR"/>
        </w:rPr>
        <w:noBreakHyphen/>
        <w:t xml:space="preserve">185, </w:t>
      </w:r>
      <w:r w:rsidRPr="003B1303" w:rsidR="0032059B">
        <w:rPr>
          <w:lang w:val="fr-FR"/>
        </w:rPr>
        <w:t>CEDH 2012</w:t>
      </w:r>
      <w:r w:rsidRPr="003B1303">
        <w:rPr>
          <w:lang w:val="fr-FR"/>
        </w:rPr>
        <w:t>).</w:t>
      </w:r>
    </w:p>
    <w:p w:rsidRPr="003B1303" w:rsidR="00BE4C83" w:rsidP="003B1303" w:rsidRDefault="00D47B9F">
      <w:pPr>
        <w:pStyle w:val="ECHRHeading5"/>
        <w:rPr>
          <w:lang w:val="fr-FR"/>
        </w:rPr>
      </w:pPr>
      <w:r w:rsidRPr="003B1303">
        <w:rPr>
          <w:lang w:val="fr-FR"/>
        </w:rPr>
        <w:t>i.  </w:t>
      </w:r>
      <w:r w:rsidRPr="003B1303" w:rsidR="00505A87">
        <w:rPr>
          <w:lang w:val="fr-FR"/>
        </w:rPr>
        <w:t>Sur l</w:t>
      </w:r>
      <w:r w:rsidRPr="003B1303" w:rsidR="003B1303">
        <w:rPr>
          <w:lang w:val="fr-FR"/>
        </w:rPr>
        <w:t>’</w:t>
      </w:r>
      <w:r w:rsidRPr="003B1303" w:rsidR="00505A87">
        <w:rPr>
          <w:lang w:val="fr-FR"/>
        </w:rPr>
        <w:t>effectivité des enquêtes</w:t>
      </w:r>
    </w:p>
    <w:p w:rsidRPr="003B1303" w:rsidR="00505A87" w:rsidP="003B1303" w:rsidRDefault="00505A8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126</w:t>
      </w:r>
      <w:r w:rsidRPr="003B1303">
        <w:rPr>
          <w:lang w:val="fr-FR"/>
        </w:rPr>
        <w:fldChar w:fldCharType="end"/>
      </w:r>
      <w:r w:rsidRPr="003B1303">
        <w:rPr>
          <w:lang w:val="fr-FR"/>
        </w:rPr>
        <w:t>.  La Cour considère que, lorsqu</w:t>
      </w:r>
      <w:r w:rsidRPr="003B1303" w:rsidR="003B1303">
        <w:rPr>
          <w:lang w:val="fr-FR"/>
        </w:rPr>
        <w:t>’</w:t>
      </w:r>
      <w:r w:rsidRPr="003B1303">
        <w:rPr>
          <w:lang w:val="fr-FR"/>
        </w:rPr>
        <w:t xml:space="preserve">un individu </w:t>
      </w:r>
      <w:r w:rsidRPr="003B1303" w:rsidR="008B24BA">
        <w:rPr>
          <w:lang w:val="fr-FR"/>
        </w:rPr>
        <w:t xml:space="preserve">soutient </w:t>
      </w:r>
      <w:r w:rsidRPr="003B1303">
        <w:rPr>
          <w:lang w:val="fr-FR"/>
        </w:rPr>
        <w:t>de manière défendable avoir subi, aux mains de la police ou d</w:t>
      </w:r>
      <w:r w:rsidRPr="003B1303" w:rsidR="003B1303">
        <w:rPr>
          <w:lang w:val="fr-FR"/>
        </w:rPr>
        <w:t>’</w:t>
      </w:r>
      <w:r w:rsidRPr="003B1303">
        <w:rPr>
          <w:lang w:val="fr-FR"/>
        </w:rPr>
        <w:t>autres services comparables de l</w:t>
      </w:r>
      <w:r w:rsidRPr="003B1303" w:rsidR="003B1303">
        <w:rPr>
          <w:lang w:val="fr-FR"/>
        </w:rPr>
        <w:t>’</w:t>
      </w:r>
      <w:r w:rsidRPr="003B1303">
        <w:rPr>
          <w:lang w:val="fr-FR"/>
        </w:rPr>
        <w:t>État, de graves sévices illicites et contraires à l</w:t>
      </w:r>
      <w:r w:rsidRPr="003B1303" w:rsidR="003B1303">
        <w:rPr>
          <w:lang w:val="fr-FR"/>
        </w:rPr>
        <w:t>’</w:t>
      </w:r>
      <w:r w:rsidRPr="003B1303">
        <w:rPr>
          <w:lang w:val="fr-FR"/>
        </w:rPr>
        <w:t>article 3 de la Convention, cette disposition, combinée avec le devoir général imposé à l</w:t>
      </w:r>
      <w:r w:rsidRPr="003B1303" w:rsidR="003B1303">
        <w:rPr>
          <w:lang w:val="fr-FR"/>
        </w:rPr>
        <w:t>’</w:t>
      </w:r>
      <w:r w:rsidRPr="003B1303">
        <w:rPr>
          <w:lang w:val="fr-FR"/>
        </w:rPr>
        <w:t>État par l</w:t>
      </w:r>
      <w:r w:rsidRPr="003B1303" w:rsidR="003B1303">
        <w:rPr>
          <w:lang w:val="fr-FR"/>
        </w:rPr>
        <w:t>’</w:t>
      </w:r>
      <w:r w:rsidRPr="003B1303">
        <w:rPr>
          <w:lang w:val="fr-FR"/>
        </w:rPr>
        <w:t>article 1 de la Convention de « reconnaître à toute personne relevant de [sa] juridiction, les droits et libertés définis (...) [dans la] Convention », requiert, par implication, qu</w:t>
      </w:r>
      <w:r w:rsidRPr="003B1303" w:rsidR="003B1303">
        <w:rPr>
          <w:lang w:val="fr-FR"/>
        </w:rPr>
        <w:t>’</w:t>
      </w:r>
      <w:r w:rsidRPr="003B1303">
        <w:rPr>
          <w:lang w:val="fr-FR"/>
        </w:rPr>
        <w:t>il y ait une enquête officielle effective (</w:t>
      </w:r>
      <w:proofErr w:type="spellStart"/>
      <w:r w:rsidRPr="003B1303" w:rsidR="00A36B59">
        <w:rPr>
          <w:i/>
          <w:lang w:val="fr-FR"/>
        </w:rPr>
        <w:t>Bouyid</w:t>
      </w:r>
      <w:proofErr w:type="spellEnd"/>
      <w:r w:rsidRPr="003B1303">
        <w:rPr>
          <w:lang w:val="fr-FR"/>
        </w:rPr>
        <w:t>,</w:t>
      </w:r>
      <w:r w:rsidRPr="003B1303" w:rsidR="00A36B59">
        <w:rPr>
          <w:lang w:val="fr-FR"/>
        </w:rPr>
        <w:t xml:space="preserve"> précité, </w:t>
      </w:r>
      <w:r w:rsidRPr="003B1303">
        <w:rPr>
          <w:lang w:val="fr-FR"/>
        </w:rPr>
        <w:t>§ </w:t>
      </w:r>
      <w:r w:rsidRPr="003B1303" w:rsidR="00A36B59">
        <w:rPr>
          <w:lang w:val="fr-FR"/>
        </w:rPr>
        <w:t>116</w:t>
      </w:r>
      <w:r w:rsidRPr="003B1303">
        <w:rPr>
          <w:lang w:val="fr-FR"/>
        </w:rPr>
        <w:t>).</w:t>
      </w:r>
    </w:p>
    <w:p w:rsidRPr="003B1303" w:rsidR="00DF7020" w:rsidP="003B1303" w:rsidRDefault="00505A8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127</w:t>
      </w:r>
      <w:r w:rsidRPr="003B1303">
        <w:rPr>
          <w:lang w:val="fr-FR"/>
        </w:rPr>
        <w:fldChar w:fldCharType="end"/>
      </w:r>
      <w:r w:rsidRPr="003B1303">
        <w:rPr>
          <w:lang w:val="fr-FR"/>
        </w:rPr>
        <w:t>.  Se tournant vers les circonstances de l</w:t>
      </w:r>
      <w:r w:rsidRPr="003B1303" w:rsidR="003B1303">
        <w:rPr>
          <w:lang w:val="fr-FR"/>
        </w:rPr>
        <w:t>’</w:t>
      </w:r>
      <w:r w:rsidRPr="003B1303">
        <w:rPr>
          <w:lang w:val="fr-FR"/>
        </w:rPr>
        <w:t>espèce, la Cour constate tout d</w:t>
      </w:r>
      <w:r w:rsidRPr="003B1303" w:rsidR="003B1303">
        <w:rPr>
          <w:lang w:val="fr-FR"/>
        </w:rPr>
        <w:t>’</w:t>
      </w:r>
      <w:r w:rsidRPr="003B1303">
        <w:rPr>
          <w:lang w:val="fr-FR"/>
        </w:rPr>
        <w:t xml:space="preserve">abord que les allégations de mauvais traitements </w:t>
      </w:r>
      <w:r w:rsidRPr="003B1303" w:rsidR="00DF7020">
        <w:rPr>
          <w:lang w:val="fr-FR"/>
        </w:rPr>
        <w:t xml:space="preserve">formulées </w:t>
      </w:r>
      <w:r w:rsidRPr="003B1303" w:rsidR="00261901">
        <w:rPr>
          <w:lang w:val="fr-FR"/>
        </w:rPr>
        <w:t>par les</w:t>
      </w:r>
      <w:r w:rsidRPr="003B1303" w:rsidR="00DF7020">
        <w:rPr>
          <w:lang w:val="fr-FR"/>
        </w:rPr>
        <w:t xml:space="preserve"> requérant</w:t>
      </w:r>
      <w:r w:rsidRPr="003B1303" w:rsidR="00261901">
        <w:rPr>
          <w:lang w:val="fr-FR"/>
        </w:rPr>
        <w:t>s</w:t>
      </w:r>
      <w:r w:rsidRPr="003B1303" w:rsidR="00DF7020">
        <w:rPr>
          <w:lang w:val="fr-FR"/>
        </w:rPr>
        <w:t xml:space="preserve"> dans leurs plaintes introduites auprès des autorités internes respectivement en juin 2008 et décembre 2009 étaient suffisamment détaillées et circonstancié</w:t>
      </w:r>
      <w:r w:rsidRPr="003B1303" w:rsidR="00261901">
        <w:rPr>
          <w:lang w:val="fr-FR"/>
        </w:rPr>
        <w:t>e</w:t>
      </w:r>
      <w:r w:rsidRPr="003B1303" w:rsidR="00DF7020">
        <w:rPr>
          <w:lang w:val="fr-FR"/>
        </w:rPr>
        <w:t>s pour constituer un « grief défendable » susceptible de faire l</w:t>
      </w:r>
      <w:r w:rsidRPr="003B1303" w:rsidR="003B1303">
        <w:rPr>
          <w:lang w:val="fr-FR"/>
        </w:rPr>
        <w:t>’</w:t>
      </w:r>
      <w:r w:rsidRPr="003B1303" w:rsidR="00DF7020">
        <w:rPr>
          <w:lang w:val="fr-FR"/>
        </w:rPr>
        <w:t>objet d</w:t>
      </w:r>
      <w:r w:rsidRPr="003B1303" w:rsidR="003B1303">
        <w:rPr>
          <w:lang w:val="fr-FR"/>
        </w:rPr>
        <w:t>’</w:t>
      </w:r>
      <w:r w:rsidRPr="003B1303" w:rsidR="00DF7020">
        <w:rPr>
          <w:lang w:val="fr-FR"/>
        </w:rPr>
        <w:t>une enquête effective à cet égard. Certes, la plainte du second requérant quant au</w:t>
      </w:r>
      <w:r w:rsidRPr="003B1303" w:rsidR="00261901">
        <w:rPr>
          <w:lang w:val="fr-FR"/>
        </w:rPr>
        <w:t>x</w:t>
      </w:r>
      <w:r w:rsidRPr="003B1303" w:rsidR="00DF7020">
        <w:rPr>
          <w:lang w:val="fr-FR"/>
        </w:rPr>
        <w:t xml:space="preserve"> mauvais traitement</w:t>
      </w:r>
      <w:r w:rsidRPr="003B1303" w:rsidR="00261901">
        <w:rPr>
          <w:lang w:val="fr-FR"/>
        </w:rPr>
        <w:t>s</w:t>
      </w:r>
      <w:r w:rsidRPr="003B1303" w:rsidR="00DF7020">
        <w:rPr>
          <w:lang w:val="fr-FR"/>
        </w:rPr>
        <w:t xml:space="preserve"> qu</w:t>
      </w:r>
      <w:r w:rsidRPr="003B1303" w:rsidR="003B1303">
        <w:rPr>
          <w:lang w:val="fr-FR"/>
        </w:rPr>
        <w:t>’</w:t>
      </w:r>
      <w:r w:rsidRPr="003B1303" w:rsidR="00DF7020">
        <w:rPr>
          <w:lang w:val="fr-FR"/>
        </w:rPr>
        <w:t xml:space="preserve">il </w:t>
      </w:r>
      <w:r w:rsidRPr="003B1303" w:rsidR="00261901">
        <w:rPr>
          <w:lang w:val="fr-FR"/>
        </w:rPr>
        <w:t xml:space="preserve">disait </w:t>
      </w:r>
      <w:r w:rsidRPr="003B1303" w:rsidR="00DF7020">
        <w:rPr>
          <w:lang w:val="fr-FR"/>
        </w:rPr>
        <w:t>avoir subi</w:t>
      </w:r>
      <w:r w:rsidRPr="003B1303" w:rsidR="00261901">
        <w:rPr>
          <w:lang w:val="fr-FR"/>
        </w:rPr>
        <w:t>s</w:t>
      </w:r>
      <w:r w:rsidRPr="003B1303" w:rsidR="00DF7020">
        <w:rPr>
          <w:lang w:val="fr-FR"/>
        </w:rPr>
        <w:t xml:space="preserve"> </w:t>
      </w:r>
      <w:r w:rsidRPr="003B1303" w:rsidR="00685464">
        <w:rPr>
          <w:lang w:val="fr-FR"/>
        </w:rPr>
        <w:t xml:space="preserve">du 12 au 25 avril 2008 </w:t>
      </w:r>
      <w:r w:rsidRPr="003B1303" w:rsidR="00DF7020">
        <w:rPr>
          <w:lang w:val="fr-FR"/>
        </w:rPr>
        <w:t>n</w:t>
      </w:r>
      <w:r w:rsidRPr="003B1303" w:rsidR="003B1303">
        <w:rPr>
          <w:lang w:val="fr-FR"/>
        </w:rPr>
        <w:t>’</w:t>
      </w:r>
      <w:r w:rsidRPr="003B1303" w:rsidR="00DF7020">
        <w:rPr>
          <w:lang w:val="fr-FR"/>
        </w:rPr>
        <w:t>a été déposée qu</w:t>
      </w:r>
      <w:r w:rsidRPr="003B1303" w:rsidR="003B1303">
        <w:rPr>
          <w:lang w:val="fr-FR"/>
        </w:rPr>
        <w:t>’</w:t>
      </w:r>
      <w:r w:rsidRPr="003B1303" w:rsidR="00DF7020">
        <w:rPr>
          <w:lang w:val="fr-FR"/>
        </w:rPr>
        <w:t xml:space="preserve">un an et </w:t>
      </w:r>
      <w:r w:rsidRPr="003B1303" w:rsidR="00685464">
        <w:rPr>
          <w:lang w:val="fr-FR"/>
        </w:rPr>
        <w:t>sept mois</w:t>
      </w:r>
      <w:r w:rsidRPr="003B1303" w:rsidR="00DF7020">
        <w:rPr>
          <w:lang w:val="fr-FR"/>
        </w:rPr>
        <w:t xml:space="preserve"> après </w:t>
      </w:r>
      <w:r w:rsidRPr="003B1303" w:rsidR="00685464">
        <w:rPr>
          <w:lang w:val="fr-FR"/>
        </w:rPr>
        <w:t>les faits allégués</w:t>
      </w:r>
      <w:r w:rsidRPr="003B1303" w:rsidR="00261901">
        <w:rPr>
          <w:lang w:val="fr-FR"/>
        </w:rPr>
        <w:t xml:space="preserve">, mais </w:t>
      </w:r>
      <w:r w:rsidRPr="003B1303" w:rsidR="001B53E5">
        <w:rPr>
          <w:lang w:val="fr-FR"/>
        </w:rPr>
        <w:t xml:space="preserve">la Cour estime que ce délai ne peut automatiquement </w:t>
      </w:r>
      <w:r w:rsidRPr="003B1303" w:rsidR="00E2160A">
        <w:rPr>
          <w:lang w:val="fr-FR"/>
        </w:rPr>
        <w:t xml:space="preserve">mener à la conclusion que le grief </w:t>
      </w:r>
      <w:r w:rsidRPr="003B1303" w:rsidR="00261901">
        <w:rPr>
          <w:lang w:val="fr-FR"/>
        </w:rPr>
        <w:t>de l</w:t>
      </w:r>
      <w:r w:rsidRPr="003B1303" w:rsidR="003B1303">
        <w:rPr>
          <w:lang w:val="fr-FR"/>
        </w:rPr>
        <w:t>’</w:t>
      </w:r>
      <w:r w:rsidRPr="003B1303" w:rsidR="00261901">
        <w:rPr>
          <w:lang w:val="fr-FR"/>
        </w:rPr>
        <w:t>intéressé</w:t>
      </w:r>
      <w:r w:rsidRPr="003B1303" w:rsidR="00E2160A">
        <w:rPr>
          <w:lang w:val="fr-FR"/>
        </w:rPr>
        <w:t xml:space="preserve"> n</w:t>
      </w:r>
      <w:r w:rsidRPr="003B1303" w:rsidR="003B1303">
        <w:rPr>
          <w:lang w:val="fr-FR"/>
        </w:rPr>
        <w:t>’</w:t>
      </w:r>
      <w:r w:rsidRPr="003B1303" w:rsidR="00E2160A">
        <w:rPr>
          <w:lang w:val="fr-FR"/>
        </w:rPr>
        <w:t xml:space="preserve">était pas défendable </w:t>
      </w:r>
      <w:r w:rsidRPr="003B1303" w:rsidR="001B53E5">
        <w:rPr>
          <w:lang w:val="fr-FR"/>
        </w:rPr>
        <w:t xml:space="preserve">car </w:t>
      </w:r>
      <w:r w:rsidRPr="003B1303" w:rsidR="00685464">
        <w:rPr>
          <w:lang w:val="fr-FR"/>
        </w:rPr>
        <w:t xml:space="preserve">les motifs invoqués par </w:t>
      </w:r>
      <w:r w:rsidRPr="003B1303" w:rsidR="00261901">
        <w:rPr>
          <w:lang w:val="fr-FR"/>
        </w:rPr>
        <w:t xml:space="preserve">celui-ci </w:t>
      </w:r>
      <w:r w:rsidRPr="003B1303" w:rsidR="00685464">
        <w:rPr>
          <w:lang w:val="fr-FR"/>
        </w:rPr>
        <w:t xml:space="preserve">pour expliquer </w:t>
      </w:r>
      <w:r w:rsidRPr="003B1303" w:rsidR="001B53E5">
        <w:rPr>
          <w:lang w:val="fr-FR"/>
        </w:rPr>
        <w:t>le</w:t>
      </w:r>
      <w:r w:rsidRPr="003B1303" w:rsidR="00685464">
        <w:rPr>
          <w:lang w:val="fr-FR"/>
        </w:rPr>
        <w:t xml:space="preserve"> délai</w:t>
      </w:r>
      <w:r w:rsidRPr="003B1303" w:rsidR="001B53E5">
        <w:rPr>
          <w:lang w:val="fr-FR"/>
        </w:rPr>
        <w:t xml:space="preserve"> en question</w:t>
      </w:r>
      <w:r w:rsidRPr="003B1303" w:rsidR="00685464">
        <w:rPr>
          <w:lang w:val="fr-FR"/>
        </w:rPr>
        <w:t>, à savoir les menaces</w:t>
      </w:r>
      <w:r w:rsidRPr="003B1303" w:rsidR="00261901">
        <w:rPr>
          <w:lang w:val="fr-FR"/>
        </w:rPr>
        <w:t xml:space="preserve"> </w:t>
      </w:r>
      <w:r w:rsidRPr="003B1303" w:rsidR="00685464">
        <w:rPr>
          <w:lang w:val="fr-FR"/>
        </w:rPr>
        <w:t>proféré</w:t>
      </w:r>
      <w:r w:rsidRPr="003B1303" w:rsidR="009528EC">
        <w:rPr>
          <w:lang w:val="fr-FR"/>
        </w:rPr>
        <w:t>e</w:t>
      </w:r>
      <w:r w:rsidRPr="003B1303" w:rsidR="00685464">
        <w:rPr>
          <w:lang w:val="fr-FR"/>
        </w:rPr>
        <w:t xml:space="preserve">s à son égard </w:t>
      </w:r>
      <w:r w:rsidRPr="003B1303" w:rsidR="00B9201B">
        <w:rPr>
          <w:lang w:val="fr-FR"/>
        </w:rPr>
        <w:t>par se</w:t>
      </w:r>
      <w:r w:rsidRPr="003B1303" w:rsidR="00685464">
        <w:rPr>
          <w:lang w:val="fr-FR"/>
        </w:rPr>
        <w:t>s codétenus</w:t>
      </w:r>
      <w:r w:rsidRPr="003B1303" w:rsidR="0032059B">
        <w:rPr>
          <w:lang w:val="fr-FR"/>
        </w:rPr>
        <w:t xml:space="preserve"> </w:t>
      </w:r>
      <w:r w:rsidRPr="003B1303" w:rsidR="00261901">
        <w:rPr>
          <w:lang w:val="fr-FR"/>
        </w:rPr>
        <w:t>sur instruction</w:t>
      </w:r>
      <w:r w:rsidRPr="003B1303" w:rsidR="0032059B">
        <w:rPr>
          <w:lang w:val="fr-FR"/>
        </w:rPr>
        <w:t xml:space="preserve"> des agents de l</w:t>
      </w:r>
      <w:r w:rsidRPr="003B1303" w:rsidR="003B1303">
        <w:rPr>
          <w:lang w:val="fr-FR"/>
        </w:rPr>
        <w:t>’</w:t>
      </w:r>
      <w:r w:rsidRPr="003B1303" w:rsidR="0032059B">
        <w:rPr>
          <w:lang w:val="fr-FR"/>
        </w:rPr>
        <w:t>État</w:t>
      </w:r>
      <w:r w:rsidRPr="003B1303" w:rsidR="00685464">
        <w:rPr>
          <w:lang w:val="fr-FR"/>
        </w:rPr>
        <w:t xml:space="preserve">, étaient </w:t>
      </w:r>
      <w:r w:rsidRPr="003B1303" w:rsidR="00685464">
        <w:rPr>
          <w:i/>
          <w:lang w:val="fr-FR"/>
        </w:rPr>
        <w:t xml:space="preserve">prima </w:t>
      </w:r>
      <w:proofErr w:type="spellStart"/>
      <w:r w:rsidRPr="003B1303" w:rsidR="00685464">
        <w:rPr>
          <w:i/>
          <w:lang w:val="fr-FR"/>
        </w:rPr>
        <w:t>facie</w:t>
      </w:r>
      <w:proofErr w:type="spellEnd"/>
      <w:r w:rsidRPr="003B1303" w:rsidR="00685464">
        <w:rPr>
          <w:lang w:val="fr-FR"/>
        </w:rPr>
        <w:t xml:space="preserve"> valides et nécessitaient, eux aussi, un examen dans le cadre d</w:t>
      </w:r>
      <w:r w:rsidRPr="003B1303" w:rsidR="003B1303">
        <w:rPr>
          <w:lang w:val="fr-FR"/>
        </w:rPr>
        <w:t>’</w:t>
      </w:r>
      <w:r w:rsidRPr="003B1303" w:rsidR="00685464">
        <w:rPr>
          <w:lang w:val="fr-FR"/>
        </w:rPr>
        <w:t xml:space="preserve">une enquête </w:t>
      </w:r>
      <w:r w:rsidRPr="003B1303" w:rsidR="001B53E5">
        <w:rPr>
          <w:lang w:val="fr-FR"/>
        </w:rPr>
        <w:t>pouvant infirmer ou confirmer ces allégations.</w:t>
      </w:r>
    </w:p>
    <w:p w:rsidRPr="003B1303" w:rsidR="00505A87" w:rsidP="003B1303" w:rsidRDefault="001B53E5">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128</w:t>
      </w:r>
      <w:r w:rsidRPr="003B1303">
        <w:rPr>
          <w:lang w:val="fr-FR"/>
        </w:rPr>
        <w:fldChar w:fldCharType="end"/>
      </w:r>
      <w:r w:rsidRPr="003B1303">
        <w:rPr>
          <w:lang w:val="fr-FR"/>
        </w:rPr>
        <w:t xml:space="preserve">.  La Cour note ensuite que les plaintes des requérants </w:t>
      </w:r>
      <w:r w:rsidRPr="003B1303" w:rsidR="00505A87">
        <w:rPr>
          <w:lang w:val="fr-FR"/>
        </w:rPr>
        <w:t>ont été examinées par les autori</w:t>
      </w:r>
      <w:r w:rsidRPr="003B1303" w:rsidR="0032059B">
        <w:rPr>
          <w:lang w:val="fr-FR"/>
        </w:rPr>
        <w:t>tés internes dans le cadre de vérifications</w:t>
      </w:r>
      <w:r w:rsidRPr="003B1303" w:rsidR="00505A87">
        <w:rPr>
          <w:lang w:val="fr-FR"/>
        </w:rPr>
        <w:t xml:space="preserve"> préliminaire</w:t>
      </w:r>
      <w:r w:rsidRPr="003B1303" w:rsidR="0032059B">
        <w:rPr>
          <w:lang w:val="fr-FR"/>
        </w:rPr>
        <w:t>s</w:t>
      </w:r>
      <w:r w:rsidRPr="003B1303" w:rsidR="00505A87">
        <w:rPr>
          <w:lang w:val="fr-FR"/>
        </w:rPr>
        <w:t xml:space="preserve"> sur la base de l</w:t>
      </w:r>
      <w:r w:rsidRPr="003B1303" w:rsidR="003B1303">
        <w:rPr>
          <w:lang w:val="fr-FR"/>
        </w:rPr>
        <w:t>’</w:t>
      </w:r>
      <w:r w:rsidRPr="003B1303" w:rsidR="00505A87">
        <w:rPr>
          <w:lang w:val="fr-FR"/>
        </w:rPr>
        <w:t xml:space="preserve">article 144 du CPP (paragraphes </w:t>
      </w:r>
      <w:r w:rsidRPr="003B1303" w:rsidR="009528EC">
        <w:rPr>
          <w:lang w:val="fr-FR"/>
        </w:rPr>
        <w:fldChar w:fldCharType="begin"/>
      </w:r>
      <w:r w:rsidRPr="003B1303" w:rsidR="009528EC">
        <w:rPr>
          <w:lang w:val="fr-FR"/>
        </w:rPr>
        <w:instrText xml:space="preserve"> REF ref144r1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26</w:t>
      </w:r>
      <w:r w:rsidRPr="003B1303" w:rsidR="009528EC">
        <w:rPr>
          <w:lang w:val="fr-FR"/>
        </w:rPr>
        <w:fldChar w:fldCharType="end"/>
      </w:r>
      <w:r w:rsidRPr="003B1303" w:rsidR="009528EC">
        <w:rPr>
          <w:lang w:val="fr-FR"/>
        </w:rPr>
        <w:t xml:space="preserve">, </w:t>
      </w:r>
      <w:r w:rsidRPr="003B1303" w:rsidR="009528EC">
        <w:rPr>
          <w:lang w:val="fr-FR"/>
        </w:rPr>
        <w:fldChar w:fldCharType="begin"/>
      </w:r>
      <w:r w:rsidRPr="003B1303" w:rsidR="009528EC">
        <w:rPr>
          <w:lang w:val="fr-FR"/>
        </w:rPr>
        <w:instrText xml:space="preserve"> REF ref144initr2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57</w:t>
      </w:r>
      <w:r w:rsidRPr="003B1303" w:rsidR="009528EC">
        <w:rPr>
          <w:lang w:val="fr-FR"/>
        </w:rPr>
        <w:fldChar w:fldCharType="end"/>
      </w:r>
      <w:r w:rsidRPr="003B1303" w:rsidR="009528EC">
        <w:rPr>
          <w:lang w:val="fr-FR"/>
        </w:rPr>
        <w:t xml:space="preserve"> et </w:t>
      </w:r>
      <w:r w:rsidRPr="003B1303" w:rsidR="009528EC">
        <w:rPr>
          <w:lang w:val="fr-FR"/>
        </w:rPr>
        <w:fldChar w:fldCharType="begin"/>
      </w:r>
      <w:r w:rsidRPr="003B1303" w:rsidR="009528EC">
        <w:rPr>
          <w:lang w:val="fr-FR"/>
        </w:rPr>
        <w:instrText xml:space="preserve"> REF ref144r2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59</w:t>
      </w:r>
      <w:r w:rsidRPr="003B1303" w:rsidR="009528EC">
        <w:rPr>
          <w:lang w:val="fr-FR"/>
        </w:rPr>
        <w:fldChar w:fldCharType="end"/>
      </w:r>
      <w:r w:rsidRPr="003B1303" w:rsidR="00505A87">
        <w:rPr>
          <w:lang w:val="fr-FR"/>
        </w:rPr>
        <w:t xml:space="preserve"> ci-dessus). Elle relève ensuite que les enquêtes susmentionnées</w:t>
      </w:r>
      <w:r w:rsidRPr="003B1303">
        <w:rPr>
          <w:lang w:val="fr-FR"/>
        </w:rPr>
        <w:t xml:space="preserve"> n</w:t>
      </w:r>
      <w:r w:rsidRPr="003B1303" w:rsidR="003B1303">
        <w:rPr>
          <w:lang w:val="fr-FR"/>
        </w:rPr>
        <w:t>’</w:t>
      </w:r>
      <w:r w:rsidRPr="003B1303">
        <w:rPr>
          <w:lang w:val="fr-FR"/>
        </w:rPr>
        <w:t>ont</w:t>
      </w:r>
      <w:r w:rsidRPr="003B1303" w:rsidR="00505A87">
        <w:rPr>
          <w:lang w:val="fr-FR"/>
        </w:rPr>
        <w:t xml:space="preserve"> jamais abouti à l</w:t>
      </w:r>
      <w:r w:rsidRPr="003B1303" w:rsidR="003B1303">
        <w:rPr>
          <w:lang w:val="fr-FR"/>
        </w:rPr>
        <w:t>’</w:t>
      </w:r>
      <w:r w:rsidRPr="003B1303" w:rsidR="00505A87">
        <w:rPr>
          <w:lang w:val="fr-FR"/>
        </w:rPr>
        <w:t>ouverture d</w:t>
      </w:r>
      <w:r w:rsidRPr="003B1303" w:rsidR="003B1303">
        <w:rPr>
          <w:lang w:val="fr-FR"/>
        </w:rPr>
        <w:t>’</w:t>
      </w:r>
      <w:r w:rsidRPr="003B1303" w:rsidR="00505A87">
        <w:rPr>
          <w:lang w:val="fr-FR"/>
        </w:rPr>
        <w:t xml:space="preserve">une </w:t>
      </w:r>
      <w:r w:rsidRPr="003B1303" w:rsidR="0032059B">
        <w:rPr>
          <w:lang w:val="fr-FR"/>
        </w:rPr>
        <w:t>instruction</w:t>
      </w:r>
      <w:r w:rsidRPr="003B1303" w:rsidR="00505A87">
        <w:rPr>
          <w:lang w:val="fr-FR"/>
        </w:rPr>
        <w:t xml:space="preserve"> pénale p</w:t>
      </w:r>
      <w:r w:rsidRPr="003B1303" w:rsidR="000C1A19">
        <w:rPr>
          <w:lang w:val="fr-FR"/>
        </w:rPr>
        <w:t>roprement dite</w:t>
      </w:r>
      <w:r w:rsidRPr="003B1303" w:rsidR="00505A87">
        <w:rPr>
          <w:lang w:val="fr-FR"/>
        </w:rPr>
        <w:t>.</w:t>
      </w:r>
    </w:p>
    <w:p w:rsidRPr="003B1303" w:rsidR="00BE4C83" w:rsidP="003B1303" w:rsidRDefault="00505A87">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129</w:t>
      </w:r>
      <w:r w:rsidRPr="003B1303">
        <w:rPr>
          <w:lang w:val="fr-FR"/>
        </w:rPr>
        <w:fldChar w:fldCharType="end"/>
      </w:r>
      <w:r w:rsidRPr="003B1303">
        <w:rPr>
          <w:lang w:val="fr-FR"/>
        </w:rPr>
        <w:t xml:space="preserve">.  La Cour </w:t>
      </w:r>
      <w:r w:rsidRPr="003B1303" w:rsidR="00BD72D9">
        <w:rPr>
          <w:lang w:val="fr-FR"/>
        </w:rPr>
        <w:t xml:space="preserve">rappelle </w:t>
      </w:r>
      <w:r w:rsidRPr="003B1303">
        <w:rPr>
          <w:lang w:val="fr-FR"/>
        </w:rPr>
        <w:t>avoir déjà jugé que le refus des autorités internes d</w:t>
      </w:r>
      <w:r w:rsidRPr="003B1303" w:rsidR="003B1303">
        <w:rPr>
          <w:lang w:val="fr-FR"/>
        </w:rPr>
        <w:t>’</w:t>
      </w:r>
      <w:r w:rsidRPr="003B1303">
        <w:rPr>
          <w:lang w:val="fr-FR"/>
        </w:rPr>
        <w:t xml:space="preserve">ouvrir une </w:t>
      </w:r>
      <w:r w:rsidRPr="003B1303" w:rsidR="0032059B">
        <w:rPr>
          <w:lang w:val="fr-FR"/>
        </w:rPr>
        <w:t>instruction</w:t>
      </w:r>
      <w:r w:rsidRPr="003B1303">
        <w:rPr>
          <w:lang w:val="fr-FR"/>
        </w:rPr>
        <w:t xml:space="preserve"> pénale au sujet d</w:t>
      </w:r>
      <w:r w:rsidRPr="003B1303" w:rsidR="003B1303">
        <w:rPr>
          <w:lang w:val="fr-FR"/>
        </w:rPr>
        <w:t>’</w:t>
      </w:r>
      <w:r w:rsidRPr="003B1303">
        <w:rPr>
          <w:lang w:val="fr-FR"/>
        </w:rPr>
        <w:t>un grief défendable de mauvais traitements subis entre les mains de la police est révélateur d</w:t>
      </w:r>
      <w:r w:rsidRPr="003B1303" w:rsidR="003B1303">
        <w:rPr>
          <w:lang w:val="fr-FR"/>
        </w:rPr>
        <w:t>’</w:t>
      </w:r>
      <w:r w:rsidRPr="003B1303">
        <w:rPr>
          <w:lang w:val="fr-FR"/>
        </w:rPr>
        <w:t>un manquement de l</w:t>
      </w:r>
      <w:r w:rsidRPr="003B1303" w:rsidR="003B1303">
        <w:rPr>
          <w:lang w:val="fr-FR"/>
        </w:rPr>
        <w:t>’</w:t>
      </w:r>
      <w:r w:rsidRPr="003B1303">
        <w:rPr>
          <w:lang w:val="fr-FR"/>
        </w:rPr>
        <w:t>État à son obligation de conduire une enquête effective prévue par l</w:t>
      </w:r>
      <w:r w:rsidRPr="003B1303" w:rsidR="003B1303">
        <w:rPr>
          <w:lang w:val="fr-FR"/>
        </w:rPr>
        <w:t>’</w:t>
      </w:r>
      <w:r w:rsidRPr="003B1303">
        <w:rPr>
          <w:lang w:val="fr-FR"/>
        </w:rPr>
        <w:t>article 3 de la Convention (</w:t>
      </w:r>
      <w:proofErr w:type="spellStart"/>
      <w:r w:rsidRPr="003B1303">
        <w:rPr>
          <w:i/>
          <w:lang w:val="fr-FR"/>
        </w:rPr>
        <w:t>Lyapin</w:t>
      </w:r>
      <w:proofErr w:type="spellEnd"/>
      <w:r w:rsidRPr="003B1303">
        <w:rPr>
          <w:lang w:val="fr-FR"/>
        </w:rPr>
        <w:t>, précité, §§ 133-140). Elle ne voit aucune raison d</w:t>
      </w:r>
      <w:r w:rsidRPr="003B1303" w:rsidR="003B1303">
        <w:rPr>
          <w:lang w:val="fr-FR"/>
        </w:rPr>
        <w:t>’</w:t>
      </w:r>
      <w:r w:rsidRPr="003B1303">
        <w:rPr>
          <w:lang w:val="fr-FR"/>
        </w:rPr>
        <w:t>aboutir à un constat différent en l</w:t>
      </w:r>
      <w:r w:rsidRPr="003B1303" w:rsidR="003B1303">
        <w:rPr>
          <w:lang w:val="fr-FR"/>
        </w:rPr>
        <w:t>’</w:t>
      </w:r>
      <w:r w:rsidRPr="003B1303">
        <w:rPr>
          <w:lang w:val="fr-FR"/>
        </w:rPr>
        <w:t>espèce. En effet, elle note</w:t>
      </w:r>
      <w:r w:rsidRPr="003B1303" w:rsidR="00BD72D9">
        <w:rPr>
          <w:lang w:val="fr-FR"/>
        </w:rPr>
        <w:t>,</w:t>
      </w:r>
      <w:r w:rsidRPr="003B1303">
        <w:rPr>
          <w:lang w:val="fr-FR"/>
        </w:rPr>
        <w:t xml:space="preserve"> en l</w:t>
      </w:r>
      <w:r w:rsidRPr="003B1303" w:rsidR="003B1303">
        <w:rPr>
          <w:lang w:val="fr-FR"/>
        </w:rPr>
        <w:t>’</w:t>
      </w:r>
      <w:r w:rsidRPr="003B1303">
        <w:rPr>
          <w:lang w:val="fr-FR"/>
        </w:rPr>
        <w:t>occurrence</w:t>
      </w:r>
      <w:r w:rsidRPr="003B1303" w:rsidR="00BD72D9">
        <w:rPr>
          <w:lang w:val="fr-FR"/>
        </w:rPr>
        <w:t>,</w:t>
      </w:r>
      <w:r w:rsidRPr="003B1303" w:rsidR="000C1A19">
        <w:rPr>
          <w:lang w:val="fr-FR"/>
        </w:rPr>
        <w:t xml:space="preserve"> que les autorités chargées des vérifications</w:t>
      </w:r>
      <w:r w:rsidRPr="003B1303">
        <w:rPr>
          <w:lang w:val="fr-FR"/>
        </w:rPr>
        <w:t xml:space="preserve"> se sont bornées à recueillir </w:t>
      </w:r>
      <w:r w:rsidRPr="003B1303" w:rsidR="0032059B">
        <w:rPr>
          <w:lang w:val="fr-FR"/>
        </w:rPr>
        <w:t>d</w:t>
      </w:r>
      <w:r w:rsidRPr="003B1303">
        <w:rPr>
          <w:lang w:val="fr-FR"/>
        </w:rPr>
        <w:t xml:space="preserve">es explications de différentes personnes et </w:t>
      </w:r>
      <w:r w:rsidRPr="003B1303" w:rsidR="00C277F6">
        <w:rPr>
          <w:lang w:val="fr-FR"/>
        </w:rPr>
        <w:t>qu</w:t>
      </w:r>
      <w:r w:rsidRPr="003B1303" w:rsidR="003B1303">
        <w:rPr>
          <w:lang w:val="fr-FR"/>
        </w:rPr>
        <w:t>’</w:t>
      </w:r>
      <w:r w:rsidRPr="003B1303" w:rsidR="00C277F6">
        <w:rPr>
          <w:lang w:val="fr-FR"/>
        </w:rPr>
        <w:t xml:space="preserve">elles </w:t>
      </w:r>
      <w:r w:rsidRPr="003B1303">
        <w:rPr>
          <w:lang w:val="fr-FR"/>
        </w:rPr>
        <w:t xml:space="preserve">se sont appuyées principalement sur </w:t>
      </w:r>
      <w:r w:rsidRPr="003B1303" w:rsidR="001568CD">
        <w:rPr>
          <w:lang w:val="fr-FR"/>
        </w:rPr>
        <w:t>celles</w:t>
      </w:r>
      <w:r w:rsidRPr="003B1303" w:rsidR="001568CD">
        <w:rPr>
          <w:lang w:val="fr-FR"/>
        </w:rPr>
        <w:noBreakHyphen/>
        <w:t>ci</w:t>
      </w:r>
      <w:r w:rsidRPr="003B1303">
        <w:rPr>
          <w:lang w:val="fr-FR"/>
        </w:rPr>
        <w:t xml:space="preserve"> pour rejeter les allégations de</w:t>
      </w:r>
      <w:r w:rsidRPr="003B1303" w:rsidR="001B53E5">
        <w:rPr>
          <w:lang w:val="fr-FR"/>
        </w:rPr>
        <w:t>s</w:t>
      </w:r>
      <w:r w:rsidRPr="003B1303">
        <w:rPr>
          <w:lang w:val="fr-FR"/>
        </w:rPr>
        <w:t xml:space="preserve"> requérant</w:t>
      </w:r>
      <w:r w:rsidRPr="003B1303" w:rsidR="001B53E5">
        <w:rPr>
          <w:lang w:val="fr-FR"/>
        </w:rPr>
        <w:t>s</w:t>
      </w:r>
      <w:r w:rsidRPr="003B1303">
        <w:rPr>
          <w:lang w:val="fr-FR"/>
        </w:rPr>
        <w:t>, après les avoir considérées comme non étayées (</w:t>
      </w:r>
      <w:r w:rsidRPr="003B1303" w:rsidR="009528EC">
        <w:rPr>
          <w:lang w:val="fr-FR"/>
        </w:rPr>
        <w:t xml:space="preserve">paragraphes </w:t>
      </w:r>
      <w:r w:rsidRPr="003B1303" w:rsidR="009528EC">
        <w:rPr>
          <w:lang w:val="fr-FR"/>
        </w:rPr>
        <w:fldChar w:fldCharType="begin"/>
      </w:r>
      <w:r w:rsidRPr="003B1303" w:rsidR="009528EC">
        <w:rPr>
          <w:lang w:val="fr-FR"/>
        </w:rPr>
        <w:instrText xml:space="preserve"> REF ref144r1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26</w:t>
      </w:r>
      <w:r w:rsidRPr="003B1303" w:rsidR="009528EC">
        <w:rPr>
          <w:lang w:val="fr-FR"/>
        </w:rPr>
        <w:fldChar w:fldCharType="end"/>
      </w:r>
      <w:r w:rsidRPr="003B1303" w:rsidR="009528EC">
        <w:rPr>
          <w:lang w:val="fr-FR"/>
        </w:rPr>
        <w:t xml:space="preserve">, </w:t>
      </w:r>
      <w:r w:rsidRPr="003B1303" w:rsidR="009528EC">
        <w:rPr>
          <w:lang w:val="fr-FR"/>
        </w:rPr>
        <w:fldChar w:fldCharType="begin"/>
      </w:r>
      <w:r w:rsidRPr="003B1303" w:rsidR="009528EC">
        <w:rPr>
          <w:lang w:val="fr-FR"/>
        </w:rPr>
        <w:instrText xml:space="preserve"> REF ref144initr2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57</w:t>
      </w:r>
      <w:r w:rsidRPr="003B1303" w:rsidR="009528EC">
        <w:rPr>
          <w:lang w:val="fr-FR"/>
        </w:rPr>
        <w:fldChar w:fldCharType="end"/>
      </w:r>
      <w:r w:rsidRPr="003B1303" w:rsidR="009528EC">
        <w:rPr>
          <w:lang w:val="fr-FR"/>
        </w:rPr>
        <w:t xml:space="preserve"> et </w:t>
      </w:r>
      <w:r w:rsidRPr="003B1303" w:rsidR="009528EC">
        <w:rPr>
          <w:lang w:val="fr-FR"/>
        </w:rPr>
        <w:fldChar w:fldCharType="begin"/>
      </w:r>
      <w:r w:rsidRPr="003B1303" w:rsidR="009528EC">
        <w:rPr>
          <w:lang w:val="fr-FR"/>
        </w:rPr>
        <w:instrText xml:space="preserve"> REF ref144r2 \h </w:instrText>
      </w:r>
      <w:r w:rsidRPr="003B1303" w:rsidR="006C36C2">
        <w:rPr>
          <w:lang w:val="fr-FR"/>
        </w:rPr>
        <w:instrText xml:space="preserve"> \* MERGEFORMAT </w:instrText>
      </w:r>
      <w:r w:rsidRPr="003B1303" w:rsidR="009528EC">
        <w:rPr>
          <w:lang w:val="fr-FR"/>
        </w:rPr>
      </w:r>
      <w:r w:rsidRPr="003B1303" w:rsidR="009528EC">
        <w:rPr>
          <w:lang w:val="fr-FR"/>
        </w:rPr>
        <w:fldChar w:fldCharType="separate"/>
      </w:r>
      <w:r w:rsidR="003B1303">
        <w:rPr>
          <w:noProof/>
          <w:lang w:val="fr-FR"/>
        </w:rPr>
        <w:t>59</w:t>
      </w:r>
      <w:r w:rsidRPr="003B1303" w:rsidR="009528EC">
        <w:rPr>
          <w:lang w:val="fr-FR"/>
        </w:rPr>
        <w:fldChar w:fldCharType="end"/>
      </w:r>
      <w:r w:rsidRPr="003B1303">
        <w:rPr>
          <w:lang w:val="fr-FR"/>
        </w:rPr>
        <w:t xml:space="preserve"> ci</w:t>
      </w:r>
      <w:r w:rsidRPr="003B1303">
        <w:rPr>
          <w:lang w:val="fr-FR"/>
        </w:rPr>
        <w:noBreakHyphen/>
        <w:t>dessus). Elle note aussi que les autorités</w:t>
      </w:r>
      <w:r w:rsidRPr="003B1303" w:rsidR="000C1A19">
        <w:rPr>
          <w:lang w:val="fr-FR"/>
        </w:rPr>
        <w:t xml:space="preserve"> internes</w:t>
      </w:r>
      <w:r w:rsidRPr="003B1303">
        <w:rPr>
          <w:lang w:val="fr-FR"/>
        </w:rPr>
        <w:t xml:space="preserve">, </w:t>
      </w:r>
      <w:r w:rsidRPr="003B1303" w:rsidR="000C1A19">
        <w:rPr>
          <w:lang w:val="fr-FR"/>
        </w:rPr>
        <w:t>ayant</w:t>
      </w:r>
      <w:r w:rsidRPr="003B1303">
        <w:rPr>
          <w:lang w:val="fr-FR"/>
        </w:rPr>
        <w:t xml:space="preserve"> estimé que les déclarations </w:t>
      </w:r>
      <w:r w:rsidRPr="003B1303" w:rsidR="000C1A19">
        <w:rPr>
          <w:lang w:val="fr-FR"/>
        </w:rPr>
        <w:t xml:space="preserve">des requérants </w:t>
      </w:r>
      <w:r w:rsidRPr="003B1303" w:rsidR="00E2160A">
        <w:rPr>
          <w:lang w:val="fr-FR"/>
        </w:rPr>
        <w:t>étaient mal fondées</w:t>
      </w:r>
      <w:r w:rsidRPr="003B1303">
        <w:rPr>
          <w:lang w:val="fr-FR"/>
        </w:rPr>
        <w:t>, n</w:t>
      </w:r>
      <w:r w:rsidRPr="003B1303" w:rsidR="003B1303">
        <w:rPr>
          <w:lang w:val="fr-FR"/>
        </w:rPr>
        <w:t>’</w:t>
      </w:r>
      <w:r w:rsidRPr="003B1303">
        <w:rPr>
          <w:lang w:val="fr-FR"/>
        </w:rPr>
        <w:t xml:space="preserve">ont pas procédé à des confrontations avec </w:t>
      </w:r>
      <w:r w:rsidRPr="003B1303" w:rsidR="001B53E5">
        <w:rPr>
          <w:lang w:val="fr-FR"/>
        </w:rPr>
        <w:t>les personnes mis</w:t>
      </w:r>
      <w:r w:rsidRPr="003B1303" w:rsidR="00C277F6">
        <w:rPr>
          <w:lang w:val="fr-FR"/>
        </w:rPr>
        <w:t>es</w:t>
      </w:r>
      <w:r w:rsidRPr="003B1303" w:rsidR="001B53E5">
        <w:rPr>
          <w:lang w:val="fr-FR"/>
        </w:rPr>
        <w:t xml:space="preserve"> en cause par les intéressés</w:t>
      </w:r>
      <w:r w:rsidRPr="003B1303">
        <w:rPr>
          <w:lang w:val="fr-FR"/>
        </w:rPr>
        <w:t xml:space="preserve">. </w:t>
      </w:r>
      <w:r w:rsidRPr="003B1303" w:rsidR="00BC6135">
        <w:rPr>
          <w:lang w:val="fr-FR"/>
        </w:rPr>
        <w:t xml:space="preserve">À cet égard, elle </w:t>
      </w:r>
      <w:r w:rsidRPr="003B1303">
        <w:rPr>
          <w:lang w:val="fr-FR"/>
        </w:rPr>
        <w:t>rappelle que des explications recueillies dans le cadre d</w:t>
      </w:r>
      <w:r w:rsidRPr="003B1303" w:rsidR="003B1303">
        <w:rPr>
          <w:lang w:val="fr-FR"/>
        </w:rPr>
        <w:t>’</w:t>
      </w:r>
      <w:r w:rsidRPr="003B1303">
        <w:rPr>
          <w:lang w:val="fr-FR"/>
        </w:rPr>
        <w:t>une vérification préliminaire ne sont pas assorties des garanties inhérentes à une enquête pénale effective comme, par exemple, l</w:t>
      </w:r>
      <w:r w:rsidRPr="003B1303" w:rsidR="003B1303">
        <w:rPr>
          <w:lang w:val="fr-FR"/>
        </w:rPr>
        <w:t>’</w:t>
      </w:r>
      <w:r w:rsidRPr="003B1303">
        <w:rPr>
          <w:lang w:val="fr-FR"/>
        </w:rPr>
        <w:t>engagement de la responsabilité pénale pour faux témoignage ou refus de témoigner (</w:t>
      </w:r>
      <w:proofErr w:type="spellStart"/>
      <w:r w:rsidRPr="003B1303">
        <w:rPr>
          <w:i/>
          <w:lang w:val="fr-FR"/>
        </w:rPr>
        <w:t>Lyapin</w:t>
      </w:r>
      <w:proofErr w:type="spellEnd"/>
      <w:r w:rsidRPr="003B1303">
        <w:rPr>
          <w:lang w:val="fr-FR"/>
        </w:rPr>
        <w:t>, précité, § 134).</w:t>
      </w:r>
    </w:p>
    <w:p w:rsidRPr="003B1303" w:rsidR="00505A87" w:rsidP="003B1303" w:rsidRDefault="00505A8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130</w:t>
      </w:r>
      <w:r w:rsidRPr="003B1303">
        <w:rPr>
          <w:lang w:val="fr-FR"/>
        </w:rPr>
        <w:fldChar w:fldCharType="end"/>
      </w:r>
      <w:r w:rsidRPr="003B1303">
        <w:rPr>
          <w:lang w:val="fr-FR"/>
        </w:rPr>
        <w:t>.  La Cour estime que les défauts constatés sont la conséquence de l</w:t>
      </w:r>
      <w:r w:rsidRPr="003B1303" w:rsidR="003B1303">
        <w:rPr>
          <w:lang w:val="fr-FR"/>
        </w:rPr>
        <w:t>’</w:t>
      </w:r>
      <w:r w:rsidRPr="003B1303">
        <w:rPr>
          <w:lang w:val="fr-FR"/>
        </w:rPr>
        <w:t>absence d</w:t>
      </w:r>
      <w:r w:rsidRPr="003B1303" w:rsidR="003B1303">
        <w:rPr>
          <w:lang w:val="fr-FR"/>
        </w:rPr>
        <w:t>’</w:t>
      </w:r>
      <w:r w:rsidRPr="003B1303">
        <w:rPr>
          <w:lang w:val="fr-FR"/>
        </w:rPr>
        <w:t>ouverture d</w:t>
      </w:r>
      <w:r w:rsidRPr="003B1303" w:rsidR="003B1303">
        <w:rPr>
          <w:lang w:val="fr-FR"/>
        </w:rPr>
        <w:t>’</w:t>
      </w:r>
      <w:r w:rsidRPr="003B1303">
        <w:rPr>
          <w:lang w:val="fr-FR"/>
        </w:rPr>
        <w:t>une instruction pénale, laquelle aurait constitué une réponse adéquate aux allégations de mauvais traitements de</w:t>
      </w:r>
      <w:r w:rsidRPr="003B1303" w:rsidR="001B53E5">
        <w:rPr>
          <w:lang w:val="fr-FR"/>
        </w:rPr>
        <w:t>s</w:t>
      </w:r>
      <w:r w:rsidRPr="003B1303">
        <w:rPr>
          <w:lang w:val="fr-FR"/>
        </w:rPr>
        <w:t xml:space="preserve"> requérant</w:t>
      </w:r>
      <w:r w:rsidRPr="003B1303" w:rsidR="001B53E5">
        <w:rPr>
          <w:lang w:val="fr-FR"/>
        </w:rPr>
        <w:t>s</w:t>
      </w:r>
      <w:r w:rsidRPr="003B1303">
        <w:rPr>
          <w:lang w:val="fr-FR"/>
        </w:rPr>
        <w:t xml:space="preserve"> puisqu</w:t>
      </w:r>
      <w:r w:rsidRPr="003B1303" w:rsidR="003B1303">
        <w:rPr>
          <w:lang w:val="fr-FR"/>
        </w:rPr>
        <w:t>’</w:t>
      </w:r>
      <w:r w:rsidRPr="003B1303">
        <w:rPr>
          <w:lang w:val="fr-FR"/>
        </w:rPr>
        <w:t>elle aurait permis de déployer toutes les mesures d</w:t>
      </w:r>
      <w:r w:rsidRPr="003B1303" w:rsidR="003B1303">
        <w:rPr>
          <w:lang w:val="fr-FR"/>
        </w:rPr>
        <w:t>’</w:t>
      </w:r>
      <w:r w:rsidRPr="003B1303">
        <w:rPr>
          <w:lang w:val="fr-FR"/>
        </w:rPr>
        <w:t>instruction prévues par le CPP, telles que – entre autres – les interrogatoires, les confrontations, les identifications, les reconstitutions et les expertises (</w:t>
      </w:r>
      <w:proofErr w:type="spellStart"/>
      <w:r w:rsidRPr="003B1303">
        <w:rPr>
          <w:i/>
          <w:iCs/>
          <w:lang w:val="fr-FR"/>
        </w:rPr>
        <w:t>Aleksey</w:t>
      </w:r>
      <w:proofErr w:type="spellEnd"/>
      <w:r w:rsidRPr="003B1303">
        <w:rPr>
          <w:i/>
          <w:iCs/>
          <w:lang w:val="fr-FR"/>
        </w:rPr>
        <w:t xml:space="preserve"> Borisov</w:t>
      </w:r>
      <w:r w:rsidRPr="003B1303">
        <w:rPr>
          <w:lang w:val="fr-FR"/>
        </w:rPr>
        <w:t xml:space="preserve"> </w:t>
      </w:r>
      <w:r w:rsidRPr="003B1303">
        <w:rPr>
          <w:i/>
          <w:iCs/>
          <w:lang w:val="fr-FR"/>
        </w:rPr>
        <w:t>c. Russie</w:t>
      </w:r>
      <w:r w:rsidRPr="003B1303">
        <w:rPr>
          <w:lang w:val="fr-FR"/>
        </w:rPr>
        <w:t>, n</w:t>
      </w:r>
      <w:r w:rsidRPr="003B1303">
        <w:rPr>
          <w:vertAlign w:val="superscript"/>
          <w:lang w:val="fr-FR"/>
        </w:rPr>
        <w:t>o</w:t>
      </w:r>
      <w:r w:rsidRPr="003B1303">
        <w:rPr>
          <w:lang w:val="fr-FR"/>
        </w:rPr>
        <w:t> 12008/06, § 60, 16 juillet 2015).</w:t>
      </w:r>
    </w:p>
    <w:bookmarkStart w:name="a3concl" w:id="68"/>
    <w:p w:rsidRPr="003B1303" w:rsidR="00E77CB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131</w:t>
      </w:r>
      <w:r w:rsidRPr="003B1303">
        <w:rPr>
          <w:lang w:val="fr-FR"/>
        </w:rPr>
        <w:fldChar w:fldCharType="end"/>
      </w:r>
      <w:bookmarkEnd w:id="68"/>
      <w:r w:rsidRPr="003B1303" w:rsidR="00E77CB3">
        <w:rPr>
          <w:lang w:val="fr-FR"/>
        </w:rPr>
        <w:t>.  </w:t>
      </w:r>
      <w:r w:rsidRPr="003B1303" w:rsidR="00E2160A">
        <w:rPr>
          <w:lang w:val="fr-FR"/>
        </w:rPr>
        <w:t>À la lumière de ce qui précède, la Cour considère qu</w:t>
      </w:r>
      <w:r w:rsidRPr="003B1303" w:rsidR="003B1303">
        <w:rPr>
          <w:lang w:val="fr-FR"/>
        </w:rPr>
        <w:t>’</w:t>
      </w:r>
      <w:r w:rsidRPr="003B1303" w:rsidR="00E2160A">
        <w:rPr>
          <w:lang w:val="fr-FR"/>
        </w:rPr>
        <w:t>il n</w:t>
      </w:r>
      <w:r w:rsidRPr="003B1303" w:rsidR="003B1303">
        <w:rPr>
          <w:lang w:val="fr-FR"/>
        </w:rPr>
        <w:t>’</w:t>
      </w:r>
      <w:r w:rsidRPr="003B1303" w:rsidR="0032059B">
        <w:rPr>
          <w:lang w:val="fr-FR"/>
        </w:rPr>
        <w:t xml:space="preserve">y </w:t>
      </w:r>
      <w:r w:rsidRPr="003B1303" w:rsidR="00E2160A">
        <w:rPr>
          <w:lang w:val="fr-FR"/>
        </w:rPr>
        <w:t>a pas eu d</w:t>
      </w:r>
      <w:r w:rsidRPr="003B1303" w:rsidR="003B1303">
        <w:rPr>
          <w:lang w:val="fr-FR"/>
        </w:rPr>
        <w:t>’</w:t>
      </w:r>
      <w:r w:rsidRPr="003B1303" w:rsidR="00E2160A">
        <w:rPr>
          <w:lang w:val="fr-FR"/>
        </w:rPr>
        <w:t xml:space="preserve">enquête effective au sujet des allégations de mauvais traitements formulées par </w:t>
      </w:r>
      <w:r w:rsidRPr="003B1303" w:rsidR="004B168D">
        <w:rPr>
          <w:lang w:val="fr-FR"/>
        </w:rPr>
        <w:t>les</w:t>
      </w:r>
      <w:r w:rsidRPr="003B1303" w:rsidR="00E2160A">
        <w:rPr>
          <w:lang w:val="fr-FR"/>
        </w:rPr>
        <w:t xml:space="preserve"> requérant</w:t>
      </w:r>
      <w:r w:rsidRPr="003B1303" w:rsidR="004B168D">
        <w:rPr>
          <w:lang w:val="fr-FR"/>
        </w:rPr>
        <w:t>s</w:t>
      </w:r>
      <w:r w:rsidRPr="003B1303" w:rsidR="00E2160A">
        <w:rPr>
          <w:lang w:val="fr-FR"/>
        </w:rPr>
        <w:t>. Partant, il y a eu violation de l</w:t>
      </w:r>
      <w:r w:rsidRPr="003B1303" w:rsidR="003B1303">
        <w:rPr>
          <w:lang w:val="fr-FR"/>
        </w:rPr>
        <w:t>’</w:t>
      </w:r>
      <w:r w:rsidRPr="003B1303" w:rsidR="00E2160A">
        <w:rPr>
          <w:lang w:val="fr-FR"/>
        </w:rPr>
        <w:t>article 3 de la Convention dans son volet procédural.</w:t>
      </w:r>
    </w:p>
    <w:p w:rsidRPr="003B1303" w:rsidR="00E2160A" w:rsidP="003B1303" w:rsidRDefault="00D47B9F">
      <w:pPr>
        <w:pStyle w:val="ECHRHeading5"/>
        <w:rPr>
          <w:lang w:val="fr-FR"/>
        </w:rPr>
      </w:pPr>
      <w:r w:rsidRPr="003B1303">
        <w:rPr>
          <w:lang w:val="fr-FR"/>
        </w:rPr>
        <w:t>ii.</w:t>
      </w:r>
      <w:r w:rsidRPr="003B1303" w:rsidR="00E2160A">
        <w:rPr>
          <w:lang w:val="fr-FR"/>
        </w:rPr>
        <w:t>  Sur les allégations de mauvais traitements</w:t>
      </w:r>
    </w:p>
    <w:p w:rsidRPr="003B1303" w:rsidR="00E2160A" w:rsidP="003B1303" w:rsidRDefault="00E2160A">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132</w:t>
      </w:r>
      <w:r w:rsidRPr="003B1303">
        <w:rPr>
          <w:lang w:val="fr-FR"/>
        </w:rPr>
        <w:fldChar w:fldCharType="end"/>
      </w:r>
      <w:r w:rsidRPr="003B1303">
        <w:rPr>
          <w:lang w:val="fr-FR"/>
        </w:rPr>
        <w:t>.  La Cour rappelle que les allégations de mauvais traitements contraires à l</w:t>
      </w:r>
      <w:r w:rsidRPr="003B1303" w:rsidR="003B1303">
        <w:rPr>
          <w:lang w:val="fr-FR"/>
        </w:rPr>
        <w:t>’</w:t>
      </w:r>
      <w:r w:rsidRPr="003B1303">
        <w:rPr>
          <w:lang w:val="fr-FR"/>
        </w:rPr>
        <w:t>article 3 de la Convention doivent être étayées par des éléments de preuve appropriés. Pour l</w:t>
      </w:r>
      <w:r w:rsidRPr="003B1303" w:rsidR="003B1303">
        <w:rPr>
          <w:lang w:val="fr-FR"/>
        </w:rPr>
        <w:t>’</w:t>
      </w:r>
      <w:r w:rsidRPr="003B1303">
        <w:rPr>
          <w:lang w:val="fr-FR"/>
        </w:rPr>
        <w:t>établissement des faits allégués, elle se sert du critère de la preuve « au-delà de tout doute raisonnable », une telle preuve pouvant néanmoins résulter d</w:t>
      </w:r>
      <w:r w:rsidRPr="003B1303" w:rsidR="003B1303">
        <w:rPr>
          <w:lang w:val="fr-FR"/>
        </w:rPr>
        <w:t>’</w:t>
      </w:r>
      <w:r w:rsidRPr="003B1303">
        <w:rPr>
          <w:lang w:val="fr-FR"/>
        </w:rPr>
        <w:t>un faisceau d</w:t>
      </w:r>
      <w:r w:rsidRPr="003B1303" w:rsidR="003B1303">
        <w:rPr>
          <w:lang w:val="fr-FR"/>
        </w:rPr>
        <w:t>’</w:t>
      </w:r>
      <w:r w:rsidRPr="003B1303">
        <w:rPr>
          <w:lang w:val="fr-FR"/>
        </w:rPr>
        <w:t>indices, ou de présomptions non réfutées, suffisamment graves, précis et concordants. Sur ce dernier point, elle a précisé que</w:t>
      </w:r>
      <w:r w:rsidRPr="003B1303" w:rsidR="00BE4AA3">
        <w:rPr>
          <w:lang w:val="fr-FR"/>
        </w:rPr>
        <w:t>,</w:t>
      </w:r>
      <w:r w:rsidRPr="003B1303">
        <w:rPr>
          <w:lang w:val="fr-FR"/>
        </w:rPr>
        <w:t xml:space="preserve"> lorsque les événements en cause, dans leur totalité ou pour une large part, sont connus exclusivement des autorités, comme dans le cas des personnes soumises à leur contrôle en garde à vue, toute blessure survenue pendant cette période donne lieu à de fortes présomptions de fait. La charge de la preuve pèse alors sur le Gouvernement : il lui incombe de fournir une explication satisfaisante et convaincante en produisant des preuves établissant des faits qui font peser un doute sur le récit de la victime. En l</w:t>
      </w:r>
      <w:r w:rsidRPr="003B1303" w:rsidR="003B1303">
        <w:rPr>
          <w:lang w:val="fr-FR"/>
        </w:rPr>
        <w:t>’</w:t>
      </w:r>
      <w:r w:rsidRPr="003B1303">
        <w:rPr>
          <w:lang w:val="fr-FR"/>
        </w:rPr>
        <w:t>absence d</w:t>
      </w:r>
      <w:r w:rsidRPr="003B1303" w:rsidR="003B1303">
        <w:rPr>
          <w:lang w:val="fr-FR"/>
        </w:rPr>
        <w:t>’</w:t>
      </w:r>
      <w:r w:rsidRPr="003B1303">
        <w:rPr>
          <w:lang w:val="fr-FR"/>
        </w:rPr>
        <w:t>une telle explication, la Cour est en droit de tirer des conclusions pouvant être défavorables au Gouvernement (</w:t>
      </w:r>
      <w:proofErr w:type="spellStart"/>
      <w:r w:rsidRPr="003B1303">
        <w:rPr>
          <w:i/>
          <w:lang w:val="fr-FR"/>
        </w:rPr>
        <w:t>Bouyid</w:t>
      </w:r>
      <w:proofErr w:type="spellEnd"/>
      <w:r w:rsidRPr="003B1303">
        <w:rPr>
          <w:lang w:val="fr-FR"/>
        </w:rPr>
        <w:t>, précité, §§ 82</w:t>
      </w:r>
      <w:r w:rsidRPr="003B1303">
        <w:rPr>
          <w:lang w:val="fr-FR"/>
        </w:rPr>
        <w:noBreakHyphen/>
        <w:t>83).</w:t>
      </w:r>
    </w:p>
    <w:bookmarkStart w:name="motA3req1" w:id="69"/>
    <w:p w:rsidRPr="003B1303" w:rsidR="0085148A" w:rsidP="003B1303" w:rsidRDefault="00DF328C">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133</w:t>
      </w:r>
      <w:r w:rsidRPr="003B1303">
        <w:rPr>
          <w:lang w:val="fr-FR"/>
        </w:rPr>
        <w:fldChar w:fldCharType="end"/>
      </w:r>
      <w:bookmarkEnd w:id="69"/>
      <w:r w:rsidRPr="003B1303">
        <w:rPr>
          <w:lang w:val="fr-FR"/>
        </w:rPr>
        <w:t xml:space="preserve">.  Se tournant </w:t>
      </w:r>
      <w:r w:rsidRPr="003B1303" w:rsidR="0032059B">
        <w:rPr>
          <w:lang w:val="fr-FR"/>
        </w:rPr>
        <w:t>vers les circonstances</w:t>
      </w:r>
      <w:r w:rsidRPr="003B1303">
        <w:rPr>
          <w:lang w:val="fr-FR"/>
        </w:rPr>
        <w:t xml:space="preserve"> de l</w:t>
      </w:r>
      <w:r w:rsidRPr="003B1303" w:rsidR="003B1303">
        <w:rPr>
          <w:lang w:val="fr-FR"/>
        </w:rPr>
        <w:t>’</w:t>
      </w:r>
      <w:r w:rsidRPr="003B1303">
        <w:rPr>
          <w:lang w:val="fr-FR"/>
        </w:rPr>
        <w:t xml:space="preserve">espèce, la Cour note que le premier </w:t>
      </w:r>
      <w:r w:rsidRPr="003B1303" w:rsidR="00C513CE">
        <w:rPr>
          <w:lang w:val="fr-FR"/>
        </w:rPr>
        <w:t xml:space="preserve">requérant </w:t>
      </w:r>
      <w:r w:rsidRPr="003B1303">
        <w:rPr>
          <w:lang w:val="fr-FR"/>
        </w:rPr>
        <w:t>n</w:t>
      </w:r>
      <w:r w:rsidRPr="003B1303" w:rsidR="003B1303">
        <w:rPr>
          <w:lang w:val="fr-FR"/>
        </w:rPr>
        <w:t>’</w:t>
      </w:r>
      <w:r w:rsidRPr="003B1303" w:rsidR="00C513CE">
        <w:rPr>
          <w:lang w:val="fr-FR"/>
        </w:rPr>
        <w:t>a</w:t>
      </w:r>
      <w:r w:rsidRPr="003B1303">
        <w:rPr>
          <w:lang w:val="fr-FR"/>
        </w:rPr>
        <w:t xml:space="preserve"> pas fourni d</w:t>
      </w:r>
      <w:r w:rsidRPr="003B1303" w:rsidR="003B1303">
        <w:rPr>
          <w:lang w:val="fr-FR"/>
        </w:rPr>
        <w:t>’</w:t>
      </w:r>
      <w:r w:rsidRPr="003B1303" w:rsidR="002F429F">
        <w:rPr>
          <w:lang w:val="fr-FR"/>
        </w:rPr>
        <w:t>éléments de preuve d</w:t>
      </w:r>
      <w:r w:rsidRPr="003B1303" w:rsidR="003B1303">
        <w:rPr>
          <w:lang w:val="fr-FR"/>
        </w:rPr>
        <w:t>’</w:t>
      </w:r>
      <w:r w:rsidRPr="003B1303" w:rsidR="002F429F">
        <w:rPr>
          <w:lang w:val="fr-FR"/>
        </w:rPr>
        <w:t xml:space="preserve">ordre médical </w:t>
      </w:r>
      <w:r w:rsidRPr="003B1303">
        <w:rPr>
          <w:lang w:val="fr-FR"/>
        </w:rPr>
        <w:t>à l</w:t>
      </w:r>
      <w:r w:rsidRPr="003B1303" w:rsidR="003B1303">
        <w:rPr>
          <w:lang w:val="fr-FR"/>
        </w:rPr>
        <w:t>’</w:t>
      </w:r>
      <w:r w:rsidRPr="003B1303">
        <w:rPr>
          <w:lang w:val="fr-FR"/>
        </w:rPr>
        <w:t xml:space="preserve">appui de </w:t>
      </w:r>
      <w:r w:rsidRPr="003B1303" w:rsidR="00C513CE">
        <w:rPr>
          <w:lang w:val="fr-FR"/>
        </w:rPr>
        <w:t xml:space="preserve">ses </w:t>
      </w:r>
      <w:r w:rsidRPr="003B1303" w:rsidR="003E5475">
        <w:rPr>
          <w:lang w:val="fr-FR"/>
        </w:rPr>
        <w:t>allégations</w:t>
      </w:r>
      <w:r w:rsidRPr="003B1303">
        <w:rPr>
          <w:lang w:val="fr-FR"/>
        </w:rPr>
        <w:t xml:space="preserve"> de mauvais traitements. </w:t>
      </w:r>
      <w:r w:rsidRPr="003B1303" w:rsidR="00782EF9">
        <w:rPr>
          <w:lang w:val="fr-FR"/>
        </w:rPr>
        <w:t xml:space="preserve">Il ressort des déclarations des témoins Fo., </w:t>
      </w:r>
      <w:r w:rsidRPr="003B1303" w:rsidR="00CB7317">
        <w:rPr>
          <w:lang w:val="fr-FR"/>
        </w:rPr>
        <w:t xml:space="preserve">Ch., Ras., et </w:t>
      </w:r>
      <w:proofErr w:type="spellStart"/>
      <w:r w:rsidRPr="003B1303" w:rsidR="00CB7317">
        <w:rPr>
          <w:lang w:val="fr-FR"/>
        </w:rPr>
        <w:t>Sm</w:t>
      </w:r>
      <w:proofErr w:type="spellEnd"/>
      <w:r w:rsidRPr="003B1303" w:rsidR="00CB7317">
        <w:rPr>
          <w:lang w:val="fr-FR"/>
        </w:rPr>
        <w:t>.</w:t>
      </w:r>
      <w:r w:rsidRPr="003B1303" w:rsidR="00782EF9">
        <w:rPr>
          <w:lang w:val="fr-FR"/>
        </w:rPr>
        <w:t>, qu</w:t>
      </w:r>
      <w:r w:rsidRPr="003B1303" w:rsidR="003B1303">
        <w:rPr>
          <w:lang w:val="fr-FR"/>
        </w:rPr>
        <w:t>’</w:t>
      </w:r>
      <w:r w:rsidRPr="003B1303" w:rsidR="00782EF9">
        <w:rPr>
          <w:lang w:val="fr-FR"/>
        </w:rPr>
        <w:t>ils n</w:t>
      </w:r>
      <w:r w:rsidRPr="003B1303" w:rsidR="003B1303">
        <w:rPr>
          <w:lang w:val="fr-FR"/>
        </w:rPr>
        <w:t>’</w:t>
      </w:r>
      <w:r w:rsidRPr="003B1303" w:rsidR="00782EF9">
        <w:rPr>
          <w:lang w:val="fr-FR"/>
        </w:rPr>
        <w:t>ava</w:t>
      </w:r>
      <w:r w:rsidRPr="003B1303" w:rsidR="00CB7317">
        <w:rPr>
          <w:lang w:val="fr-FR"/>
        </w:rPr>
        <w:t xml:space="preserve">ient </w:t>
      </w:r>
      <w:r w:rsidRPr="003B1303" w:rsidR="00782EF9">
        <w:rPr>
          <w:lang w:val="fr-FR"/>
        </w:rPr>
        <w:t>pas été témoins directs</w:t>
      </w:r>
      <w:r w:rsidRPr="003B1303" w:rsidR="00CB7317">
        <w:rPr>
          <w:lang w:val="fr-FR"/>
        </w:rPr>
        <w:t xml:space="preserve"> </w:t>
      </w:r>
      <w:r w:rsidRPr="003B1303" w:rsidR="00782EF9">
        <w:rPr>
          <w:lang w:val="fr-FR"/>
        </w:rPr>
        <w:t>des agressions allégué</w:t>
      </w:r>
      <w:r w:rsidRPr="003B1303" w:rsidR="00FC63C9">
        <w:rPr>
          <w:lang w:val="fr-FR"/>
        </w:rPr>
        <w:t>e</w:t>
      </w:r>
      <w:r w:rsidRPr="003B1303" w:rsidR="00782EF9">
        <w:rPr>
          <w:lang w:val="fr-FR"/>
        </w:rPr>
        <w:t>s</w:t>
      </w:r>
      <w:r w:rsidRPr="003B1303" w:rsidR="00280EFF">
        <w:rPr>
          <w:lang w:val="fr-FR"/>
        </w:rPr>
        <w:t xml:space="preserve"> (paragraphes </w:t>
      </w:r>
      <w:r w:rsidRPr="003B1303" w:rsidR="00585CCB">
        <w:rPr>
          <w:lang w:val="fr-FR"/>
        </w:rPr>
        <w:fldChar w:fldCharType="begin"/>
      </w:r>
      <w:r w:rsidRPr="003B1303" w:rsidR="00585CCB">
        <w:rPr>
          <w:lang w:val="fr-FR"/>
        </w:rPr>
        <w:instrText xml:space="preserve"> REF  temFo \h  \* MERGEFORMAT </w:instrText>
      </w:r>
      <w:r w:rsidRPr="003B1303" w:rsidR="00585CCB">
        <w:rPr>
          <w:lang w:val="fr-FR"/>
        </w:rPr>
      </w:r>
      <w:r w:rsidRPr="003B1303" w:rsidR="00585CCB">
        <w:rPr>
          <w:lang w:val="fr-FR"/>
        </w:rPr>
        <w:fldChar w:fldCharType="separate"/>
      </w:r>
      <w:r w:rsidR="003B1303">
        <w:rPr>
          <w:noProof/>
          <w:lang w:val="fr-FR"/>
        </w:rPr>
        <w:t>75</w:t>
      </w:r>
      <w:r w:rsidRPr="003B1303" w:rsidR="00585CCB">
        <w:rPr>
          <w:lang w:val="fr-FR"/>
        </w:rPr>
        <w:fldChar w:fldCharType="end"/>
      </w:r>
      <w:r w:rsidRPr="003B1303" w:rsidR="00451941">
        <w:rPr>
          <w:lang w:val="fr-FR"/>
        </w:rPr>
        <w:noBreakHyphen/>
      </w:r>
      <w:r w:rsidRPr="003B1303" w:rsidR="00585CCB">
        <w:rPr>
          <w:lang w:val="fr-FR"/>
        </w:rPr>
        <w:fldChar w:fldCharType="begin"/>
      </w:r>
      <w:r w:rsidRPr="003B1303" w:rsidR="00585CCB">
        <w:rPr>
          <w:lang w:val="fr-FR"/>
        </w:rPr>
        <w:instrText xml:space="preserve"> REF  temCh \h  \* MERGEFORMAT </w:instrText>
      </w:r>
      <w:r w:rsidRPr="003B1303" w:rsidR="00585CCB">
        <w:rPr>
          <w:lang w:val="fr-FR"/>
        </w:rPr>
      </w:r>
      <w:r w:rsidRPr="003B1303" w:rsidR="00585CCB">
        <w:rPr>
          <w:lang w:val="fr-FR"/>
        </w:rPr>
        <w:fldChar w:fldCharType="separate"/>
      </w:r>
      <w:r w:rsidR="003B1303">
        <w:rPr>
          <w:noProof/>
          <w:lang w:val="fr-FR"/>
        </w:rPr>
        <w:t>76</w:t>
      </w:r>
      <w:r w:rsidRPr="003B1303" w:rsidR="00585CCB">
        <w:rPr>
          <w:lang w:val="fr-FR"/>
        </w:rPr>
        <w:fldChar w:fldCharType="end"/>
      </w:r>
      <w:r w:rsidRPr="003B1303" w:rsidR="00451941">
        <w:rPr>
          <w:lang w:val="fr-FR"/>
        </w:rPr>
        <w:t xml:space="preserve"> ci</w:t>
      </w:r>
      <w:r w:rsidRPr="003B1303" w:rsidR="00451941">
        <w:rPr>
          <w:lang w:val="fr-FR"/>
        </w:rPr>
        <w:noBreakHyphen/>
        <w:t>dessus)</w:t>
      </w:r>
      <w:r w:rsidRPr="003B1303" w:rsidR="00782EF9">
        <w:rPr>
          <w:lang w:val="fr-FR"/>
        </w:rPr>
        <w:t>. La Cour note également que le premier requérant, assisté d</w:t>
      </w:r>
      <w:r w:rsidRPr="003B1303" w:rsidR="003B1303">
        <w:rPr>
          <w:lang w:val="fr-FR"/>
        </w:rPr>
        <w:t>’</w:t>
      </w:r>
      <w:r w:rsidRPr="003B1303" w:rsidR="00782EF9">
        <w:rPr>
          <w:lang w:val="fr-FR"/>
        </w:rPr>
        <w:t>une avocate de son choix, n</w:t>
      </w:r>
      <w:r w:rsidRPr="003B1303" w:rsidR="003B1303">
        <w:rPr>
          <w:lang w:val="fr-FR"/>
        </w:rPr>
        <w:t>’</w:t>
      </w:r>
      <w:r w:rsidRPr="003B1303" w:rsidR="00782EF9">
        <w:rPr>
          <w:lang w:val="fr-FR"/>
        </w:rPr>
        <w:t>a formulé les allégations de mauvais traitement</w:t>
      </w:r>
      <w:r w:rsidRPr="003B1303" w:rsidR="00F32BFE">
        <w:rPr>
          <w:lang w:val="fr-FR"/>
        </w:rPr>
        <w:t>s</w:t>
      </w:r>
      <w:r w:rsidRPr="003B1303" w:rsidR="00782EF9">
        <w:rPr>
          <w:lang w:val="fr-FR"/>
        </w:rPr>
        <w:t xml:space="preserve"> que le 26 mai 2008, soit plus d</w:t>
      </w:r>
      <w:r w:rsidRPr="003B1303" w:rsidR="003B1303">
        <w:rPr>
          <w:lang w:val="fr-FR"/>
        </w:rPr>
        <w:t>’</w:t>
      </w:r>
      <w:r w:rsidRPr="003B1303" w:rsidR="00782EF9">
        <w:rPr>
          <w:lang w:val="fr-FR"/>
        </w:rPr>
        <w:t>un mois et dix jours après les mauvais traitements allégués</w:t>
      </w:r>
      <w:r w:rsidRPr="003B1303" w:rsidR="00310E5A">
        <w:rPr>
          <w:lang w:val="fr-FR"/>
        </w:rPr>
        <w:t xml:space="preserve"> (paragraphe </w:t>
      </w:r>
      <w:r w:rsidRPr="003B1303" w:rsidR="001306C4">
        <w:rPr>
          <w:lang w:val="fr-FR"/>
        </w:rPr>
        <w:fldChar w:fldCharType="begin"/>
      </w:r>
      <w:r w:rsidRPr="003B1303" w:rsidR="001306C4">
        <w:rPr>
          <w:lang w:val="fr-FR"/>
        </w:rPr>
        <w:instrText xml:space="preserve"> REF interr26mai \h </w:instrText>
      </w:r>
      <w:r w:rsidRPr="003B1303" w:rsidR="00C47AAA">
        <w:rPr>
          <w:lang w:val="fr-FR"/>
        </w:rPr>
        <w:instrText xml:space="preserve"> \* MERGEFORMAT </w:instrText>
      </w:r>
      <w:r w:rsidRPr="003B1303" w:rsidR="001306C4">
        <w:rPr>
          <w:lang w:val="fr-FR"/>
        </w:rPr>
      </w:r>
      <w:r w:rsidRPr="003B1303" w:rsidR="001306C4">
        <w:rPr>
          <w:lang w:val="fr-FR"/>
        </w:rPr>
        <w:fldChar w:fldCharType="separate"/>
      </w:r>
      <w:r w:rsidR="003B1303">
        <w:rPr>
          <w:noProof/>
          <w:lang w:val="fr-FR"/>
        </w:rPr>
        <w:t>23</w:t>
      </w:r>
      <w:r w:rsidRPr="003B1303" w:rsidR="001306C4">
        <w:rPr>
          <w:lang w:val="fr-FR"/>
        </w:rPr>
        <w:fldChar w:fldCharType="end"/>
      </w:r>
      <w:r w:rsidRPr="003B1303" w:rsidR="001306C4">
        <w:rPr>
          <w:lang w:val="fr-FR"/>
        </w:rPr>
        <w:t xml:space="preserve"> </w:t>
      </w:r>
      <w:r w:rsidRPr="003B1303" w:rsidR="00310E5A">
        <w:rPr>
          <w:lang w:val="fr-FR"/>
        </w:rPr>
        <w:t>ci</w:t>
      </w:r>
      <w:r w:rsidRPr="003B1303" w:rsidR="00310E5A">
        <w:rPr>
          <w:lang w:val="fr-FR"/>
        </w:rPr>
        <w:noBreakHyphen/>
        <w:t>dessus)</w:t>
      </w:r>
      <w:r w:rsidRPr="003B1303" w:rsidR="00782EF9">
        <w:rPr>
          <w:lang w:val="fr-FR"/>
        </w:rPr>
        <w:t xml:space="preserve">. </w:t>
      </w:r>
      <w:r w:rsidRPr="003B1303" w:rsidR="00C32045">
        <w:rPr>
          <w:lang w:val="fr-FR"/>
        </w:rPr>
        <w:t xml:space="preserve">Alors que le </w:t>
      </w:r>
      <w:r w:rsidRPr="003B1303" w:rsidR="00F32BFE">
        <w:rPr>
          <w:lang w:val="fr-FR"/>
        </w:rPr>
        <w:t xml:space="preserve">premier </w:t>
      </w:r>
      <w:r w:rsidRPr="003B1303" w:rsidR="00C32045">
        <w:rPr>
          <w:lang w:val="fr-FR"/>
        </w:rPr>
        <w:t xml:space="preserve">requérant a eu accès à </w:t>
      </w:r>
      <w:r w:rsidRPr="003B1303" w:rsidR="00782EF9">
        <w:rPr>
          <w:lang w:val="fr-FR"/>
        </w:rPr>
        <w:t>l</w:t>
      </w:r>
      <w:r w:rsidRPr="003B1303" w:rsidR="003B1303">
        <w:rPr>
          <w:lang w:val="fr-FR"/>
        </w:rPr>
        <w:t>’</w:t>
      </w:r>
      <w:r w:rsidRPr="003B1303" w:rsidR="00782EF9">
        <w:rPr>
          <w:lang w:val="fr-FR"/>
        </w:rPr>
        <w:t xml:space="preserve">avocate </w:t>
      </w:r>
      <w:proofErr w:type="spellStart"/>
      <w:r w:rsidRPr="003B1303" w:rsidR="00782EF9">
        <w:rPr>
          <w:lang w:val="fr-FR"/>
        </w:rPr>
        <w:t>Ye</w:t>
      </w:r>
      <w:proofErr w:type="spellEnd"/>
      <w:r w:rsidRPr="003B1303" w:rsidR="00782EF9">
        <w:rPr>
          <w:lang w:val="fr-FR"/>
        </w:rPr>
        <w:t xml:space="preserve">. </w:t>
      </w:r>
      <w:proofErr w:type="gramStart"/>
      <w:r w:rsidRPr="003B1303" w:rsidR="00D636E6">
        <w:rPr>
          <w:lang w:val="fr-FR"/>
        </w:rPr>
        <w:t>le</w:t>
      </w:r>
      <w:proofErr w:type="gramEnd"/>
      <w:r w:rsidRPr="003B1303" w:rsidR="00D636E6">
        <w:rPr>
          <w:lang w:val="fr-FR"/>
        </w:rPr>
        <w:t xml:space="preserve"> </w:t>
      </w:r>
      <w:r w:rsidRPr="003B1303" w:rsidR="00C32045">
        <w:rPr>
          <w:lang w:val="fr-FR"/>
        </w:rPr>
        <w:t>21</w:t>
      </w:r>
      <w:r w:rsidRPr="003B1303" w:rsidR="00E21E32">
        <w:rPr>
          <w:lang w:val="fr-FR"/>
        </w:rPr>
        <w:t> </w:t>
      </w:r>
      <w:r w:rsidRPr="003B1303" w:rsidR="00D636E6">
        <w:rPr>
          <w:lang w:val="fr-FR"/>
        </w:rPr>
        <w:t>avril 2008</w:t>
      </w:r>
      <w:r w:rsidRPr="003B1303" w:rsidR="00C32045">
        <w:rPr>
          <w:lang w:val="fr-FR"/>
        </w:rPr>
        <w:t xml:space="preserve">, il </w:t>
      </w:r>
      <w:r w:rsidRPr="003B1303" w:rsidR="00D636E6">
        <w:rPr>
          <w:lang w:val="fr-FR"/>
        </w:rPr>
        <w:t>n</w:t>
      </w:r>
      <w:r w:rsidRPr="003B1303" w:rsidR="003B1303">
        <w:rPr>
          <w:lang w:val="fr-FR"/>
        </w:rPr>
        <w:t>’</w:t>
      </w:r>
      <w:r w:rsidRPr="003B1303" w:rsidR="00D636E6">
        <w:rPr>
          <w:lang w:val="fr-FR"/>
        </w:rPr>
        <w:t>explique pas pourquoi il n</w:t>
      </w:r>
      <w:r w:rsidRPr="003B1303" w:rsidR="003B1303">
        <w:rPr>
          <w:lang w:val="fr-FR"/>
        </w:rPr>
        <w:t>’</w:t>
      </w:r>
      <w:r w:rsidRPr="003B1303" w:rsidR="00D636E6">
        <w:rPr>
          <w:lang w:val="fr-FR"/>
        </w:rPr>
        <w:t xml:space="preserve">a pas </w:t>
      </w:r>
      <w:r w:rsidRPr="003B1303" w:rsidR="00451941">
        <w:rPr>
          <w:lang w:val="fr-FR"/>
        </w:rPr>
        <w:t>demandé à s</w:t>
      </w:r>
      <w:r w:rsidRPr="003B1303" w:rsidR="00D636E6">
        <w:rPr>
          <w:lang w:val="fr-FR"/>
        </w:rPr>
        <w:t xml:space="preserve">on avocate </w:t>
      </w:r>
      <w:r w:rsidRPr="003B1303" w:rsidR="00451941">
        <w:rPr>
          <w:lang w:val="fr-FR"/>
        </w:rPr>
        <w:t>d</w:t>
      </w:r>
      <w:r w:rsidRPr="003B1303" w:rsidR="003B1303">
        <w:rPr>
          <w:lang w:val="fr-FR"/>
        </w:rPr>
        <w:t>’</w:t>
      </w:r>
      <w:r w:rsidRPr="003B1303" w:rsidR="00D636E6">
        <w:rPr>
          <w:lang w:val="fr-FR"/>
        </w:rPr>
        <w:t>attester la présence de lésions sur son corps. Eu égard au récit des événements fourni par l</w:t>
      </w:r>
      <w:r w:rsidRPr="003B1303" w:rsidR="003B1303">
        <w:rPr>
          <w:lang w:val="fr-FR"/>
        </w:rPr>
        <w:t>’</w:t>
      </w:r>
      <w:r w:rsidRPr="003B1303" w:rsidR="00D636E6">
        <w:rPr>
          <w:lang w:val="fr-FR"/>
        </w:rPr>
        <w:t>intéressé, les séquelles éventuelles de coups infligés par des codétenus n</w:t>
      </w:r>
      <w:r w:rsidRPr="003B1303" w:rsidR="003B1303">
        <w:rPr>
          <w:lang w:val="fr-FR"/>
        </w:rPr>
        <w:t>’</w:t>
      </w:r>
      <w:r w:rsidRPr="003B1303" w:rsidR="00D636E6">
        <w:rPr>
          <w:lang w:val="fr-FR"/>
        </w:rPr>
        <w:t>auraient pas perduré dans le temps, d</w:t>
      </w:r>
      <w:r w:rsidRPr="003B1303" w:rsidR="003B1303">
        <w:rPr>
          <w:lang w:val="fr-FR"/>
        </w:rPr>
        <w:t>’</w:t>
      </w:r>
      <w:r w:rsidRPr="003B1303" w:rsidR="00D636E6">
        <w:rPr>
          <w:lang w:val="fr-FR"/>
        </w:rPr>
        <w:t>où l</w:t>
      </w:r>
      <w:r w:rsidRPr="003B1303" w:rsidR="003B1303">
        <w:rPr>
          <w:lang w:val="fr-FR"/>
        </w:rPr>
        <w:t>’</w:t>
      </w:r>
      <w:r w:rsidRPr="003B1303" w:rsidR="00D636E6">
        <w:rPr>
          <w:lang w:val="fr-FR"/>
        </w:rPr>
        <w:t>intérêt, selon la Cour, d</w:t>
      </w:r>
      <w:r w:rsidRPr="003B1303" w:rsidR="003B1303">
        <w:rPr>
          <w:lang w:val="fr-FR"/>
        </w:rPr>
        <w:t>’</w:t>
      </w:r>
      <w:r w:rsidRPr="003B1303" w:rsidR="00D636E6">
        <w:rPr>
          <w:lang w:val="fr-FR"/>
        </w:rPr>
        <w:t>en fixer l</w:t>
      </w:r>
      <w:r w:rsidRPr="003B1303" w:rsidR="003B1303">
        <w:rPr>
          <w:lang w:val="fr-FR"/>
        </w:rPr>
        <w:t>’</w:t>
      </w:r>
      <w:r w:rsidRPr="003B1303" w:rsidR="00D636E6">
        <w:rPr>
          <w:lang w:val="fr-FR"/>
        </w:rPr>
        <w:t>existence au moins par le biais de témoignages de tierces personnes.</w:t>
      </w:r>
    </w:p>
    <w:bookmarkStart w:name="motA3req12" w:id="70"/>
    <w:p w:rsidRPr="003B1303" w:rsidR="009875F6" w:rsidP="003B1303" w:rsidRDefault="00C513CE">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134</w:t>
      </w:r>
      <w:r w:rsidRPr="003B1303">
        <w:rPr>
          <w:lang w:val="fr-FR"/>
        </w:rPr>
        <w:fldChar w:fldCharType="end"/>
      </w:r>
      <w:bookmarkEnd w:id="70"/>
      <w:r w:rsidRPr="003B1303">
        <w:rPr>
          <w:lang w:val="fr-FR"/>
        </w:rPr>
        <w:t>.  </w:t>
      </w:r>
      <w:r w:rsidRPr="003B1303" w:rsidR="005E40E1">
        <w:rPr>
          <w:lang w:val="fr-FR"/>
        </w:rPr>
        <w:t>Ainsi, la Cour considère qu</w:t>
      </w:r>
      <w:r w:rsidRPr="003B1303" w:rsidR="003B1303">
        <w:rPr>
          <w:lang w:val="fr-FR"/>
        </w:rPr>
        <w:t>’</w:t>
      </w:r>
      <w:r w:rsidRPr="003B1303" w:rsidR="005E40E1">
        <w:rPr>
          <w:lang w:val="fr-FR"/>
        </w:rPr>
        <w:t>il n</w:t>
      </w:r>
      <w:r w:rsidRPr="003B1303" w:rsidR="003B1303">
        <w:rPr>
          <w:lang w:val="fr-FR"/>
        </w:rPr>
        <w:t>’</w:t>
      </w:r>
      <w:r w:rsidRPr="003B1303" w:rsidR="005E40E1">
        <w:rPr>
          <w:lang w:val="fr-FR"/>
        </w:rPr>
        <w:t>existe pas en l</w:t>
      </w:r>
      <w:r w:rsidRPr="003B1303" w:rsidR="003B1303">
        <w:rPr>
          <w:lang w:val="fr-FR"/>
        </w:rPr>
        <w:t>’</w:t>
      </w:r>
      <w:r w:rsidRPr="003B1303" w:rsidR="005E40E1">
        <w:rPr>
          <w:lang w:val="fr-FR"/>
        </w:rPr>
        <w:t>espèce d</w:t>
      </w:r>
      <w:r w:rsidRPr="003B1303" w:rsidR="003B1303">
        <w:rPr>
          <w:lang w:val="fr-FR"/>
        </w:rPr>
        <w:t>’</w:t>
      </w:r>
      <w:r w:rsidRPr="003B1303" w:rsidR="005E40E1">
        <w:rPr>
          <w:lang w:val="fr-FR"/>
        </w:rPr>
        <w:t>éléments su</w:t>
      </w:r>
      <w:r w:rsidRPr="003B1303" w:rsidR="004A0997">
        <w:rPr>
          <w:lang w:val="fr-FR"/>
        </w:rPr>
        <w:t xml:space="preserve">ffisants permettant de conclure </w:t>
      </w:r>
      <w:r w:rsidRPr="003B1303" w:rsidR="005E40E1">
        <w:rPr>
          <w:lang w:val="fr-FR"/>
        </w:rPr>
        <w:t>que le premier requérant a été soumis à de</w:t>
      </w:r>
      <w:r w:rsidRPr="003B1303" w:rsidR="00F32BFE">
        <w:rPr>
          <w:lang w:val="fr-FR"/>
        </w:rPr>
        <w:t>s</w:t>
      </w:r>
      <w:r w:rsidRPr="003B1303" w:rsidR="005E40E1">
        <w:rPr>
          <w:lang w:val="fr-FR"/>
        </w:rPr>
        <w:t xml:space="preserve"> mauvais traitements pendant la période du 14 au 18 avril 2008.</w:t>
      </w:r>
    </w:p>
    <w:p w:rsidRPr="003B1303" w:rsidR="0085148A" w:rsidP="003B1303" w:rsidRDefault="00FC63C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135</w:t>
      </w:r>
      <w:r w:rsidRPr="003B1303">
        <w:rPr>
          <w:lang w:val="fr-FR"/>
        </w:rPr>
        <w:fldChar w:fldCharType="end"/>
      </w:r>
      <w:r w:rsidRPr="003B1303">
        <w:rPr>
          <w:lang w:val="fr-FR"/>
        </w:rPr>
        <w:t>.  S</w:t>
      </w:r>
      <w:r w:rsidRPr="003B1303" w:rsidR="003B1303">
        <w:rPr>
          <w:lang w:val="fr-FR"/>
        </w:rPr>
        <w:t>’</w:t>
      </w:r>
      <w:r w:rsidRPr="003B1303">
        <w:rPr>
          <w:lang w:val="fr-FR"/>
        </w:rPr>
        <w:t>agissant du second requérant, la Cour note qu</w:t>
      </w:r>
      <w:r w:rsidRPr="003B1303" w:rsidR="003B1303">
        <w:rPr>
          <w:lang w:val="fr-FR"/>
        </w:rPr>
        <w:t>’</w:t>
      </w:r>
      <w:r w:rsidRPr="003B1303">
        <w:rPr>
          <w:lang w:val="fr-FR"/>
        </w:rPr>
        <w:t>il n</w:t>
      </w:r>
      <w:r w:rsidRPr="003B1303" w:rsidR="003B1303">
        <w:rPr>
          <w:lang w:val="fr-FR"/>
        </w:rPr>
        <w:t>’</w:t>
      </w:r>
      <w:r w:rsidRPr="003B1303">
        <w:rPr>
          <w:lang w:val="fr-FR"/>
        </w:rPr>
        <w:t>y a pas non plus de preuves d</w:t>
      </w:r>
      <w:r w:rsidRPr="003B1303" w:rsidR="003B1303">
        <w:rPr>
          <w:lang w:val="fr-FR"/>
        </w:rPr>
        <w:t>’</w:t>
      </w:r>
      <w:r w:rsidRPr="003B1303">
        <w:rPr>
          <w:lang w:val="fr-FR"/>
        </w:rPr>
        <w:t xml:space="preserve">ordre médical des lésions qui </w:t>
      </w:r>
      <w:r w:rsidRPr="003B1303" w:rsidR="00B0723F">
        <w:rPr>
          <w:lang w:val="fr-FR"/>
        </w:rPr>
        <w:t xml:space="preserve">lui </w:t>
      </w:r>
      <w:r w:rsidRPr="003B1303">
        <w:rPr>
          <w:lang w:val="fr-FR"/>
        </w:rPr>
        <w:t xml:space="preserve">aurait été infligées pendant la période du 13 au 15 avril 2008. </w:t>
      </w:r>
      <w:r w:rsidRPr="003B1303" w:rsidR="00451941">
        <w:rPr>
          <w:lang w:val="fr-FR"/>
        </w:rPr>
        <w:t>Quant au témoin Fo., celui</w:t>
      </w:r>
      <w:r w:rsidRPr="003B1303" w:rsidR="00451941">
        <w:rPr>
          <w:lang w:val="fr-FR"/>
        </w:rPr>
        <w:noBreakHyphen/>
        <w:t>ci a déclaré que</w:t>
      </w:r>
      <w:r w:rsidRPr="003B1303" w:rsidR="00246248">
        <w:rPr>
          <w:lang w:val="fr-FR"/>
        </w:rPr>
        <w:t>,</w:t>
      </w:r>
      <w:r w:rsidRPr="003B1303" w:rsidR="00451941">
        <w:rPr>
          <w:lang w:val="fr-FR"/>
        </w:rPr>
        <w:t xml:space="preserve"> pendant la période du 12 au 14 avril 2008</w:t>
      </w:r>
      <w:r w:rsidRPr="003B1303" w:rsidR="00246248">
        <w:rPr>
          <w:lang w:val="fr-FR"/>
        </w:rPr>
        <w:t>,</w:t>
      </w:r>
      <w:r w:rsidRPr="003B1303" w:rsidR="00451941">
        <w:rPr>
          <w:lang w:val="fr-FR"/>
        </w:rPr>
        <w:t xml:space="preserve"> il n</w:t>
      </w:r>
      <w:r w:rsidRPr="003B1303" w:rsidR="003B1303">
        <w:rPr>
          <w:lang w:val="fr-FR"/>
        </w:rPr>
        <w:t>’</w:t>
      </w:r>
      <w:r w:rsidRPr="003B1303" w:rsidR="00451941">
        <w:rPr>
          <w:lang w:val="fr-FR"/>
        </w:rPr>
        <w:t>avait exercé sur l</w:t>
      </w:r>
      <w:r w:rsidRPr="003B1303" w:rsidR="003B1303">
        <w:rPr>
          <w:lang w:val="fr-FR"/>
        </w:rPr>
        <w:t>’</w:t>
      </w:r>
      <w:r w:rsidRPr="003B1303" w:rsidR="00451941">
        <w:rPr>
          <w:lang w:val="fr-FR"/>
        </w:rPr>
        <w:t xml:space="preserve">intéressé que des pressions psychologiques (paragraphe </w:t>
      </w:r>
      <w:r w:rsidRPr="003B1303" w:rsidR="00451941">
        <w:rPr>
          <w:lang w:val="fr-FR"/>
        </w:rPr>
        <w:fldChar w:fldCharType="begin"/>
      </w:r>
      <w:r w:rsidRPr="003B1303" w:rsidR="00451941">
        <w:rPr>
          <w:lang w:val="fr-FR"/>
        </w:rPr>
        <w:instrText xml:space="preserve"> REF temFo2 \h </w:instrText>
      </w:r>
      <w:r w:rsidRPr="003B1303" w:rsidR="00C47AAA">
        <w:rPr>
          <w:lang w:val="fr-FR"/>
        </w:rPr>
        <w:instrText xml:space="preserve"> \* MERGEFORMAT </w:instrText>
      </w:r>
      <w:r w:rsidRPr="003B1303" w:rsidR="00451941">
        <w:rPr>
          <w:lang w:val="fr-FR"/>
        </w:rPr>
      </w:r>
      <w:r w:rsidRPr="003B1303" w:rsidR="00451941">
        <w:rPr>
          <w:lang w:val="fr-FR"/>
        </w:rPr>
        <w:fldChar w:fldCharType="separate"/>
      </w:r>
      <w:r w:rsidR="003B1303">
        <w:rPr>
          <w:noProof/>
          <w:lang w:val="fr-FR"/>
        </w:rPr>
        <w:t>81</w:t>
      </w:r>
      <w:r w:rsidRPr="003B1303" w:rsidR="00451941">
        <w:rPr>
          <w:lang w:val="fr-FR"/>
        </w:rPr>
        <w:fldChar w:fldCharType="end"/>
      </w:r>
      <w:r w:rsidRPr="003B1303" w:rsidR="00451941">
        <w:rPr>
          <w:lang w:val="fr-FR"/>
        </w:rPr>
        <w:t xml:space="preserve"> ci</w:t>
      </w:r>
      <w:r w:rsidRPr="003B1303" w:rsidR="00451941">
        <w:rPr>
          <w:lang w:val="fr-FR"/>
        </w:rPr>
        <w:noBreakHyphen/>
        <w:t>dessus).</w:t>
      </w:r>
    </w:p>
    <w:p w:rsidRPr="003B1303" w:rsidR="00280EFF" w:rsidP="003B1303" w:rsidRDefault="004D3CE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136</w:t>
      </w:r>
      <w:r w:rsidRPr="003B1303">
        <w:rPr>
          <w:lang w:val="fr-FR"/>
        </w:rPr>
        <w:fldChar w:fldCharType="end"/>
      </w:r>
      <w:r w:rsidRPr="003B1303">
        <w:rPr>
          <w:lang w:val="fr-FR"/>
        </w:rPr>
        <w:t>.  </w:t>
      </w:r>
      <w:r w:rsidRPr="003B1303" w:rsidR="00FC63C9">
        <w:rPr>
          <w:lang w:val="fr-FR"/>
        </w:rPr>
        <w:t xml:space="preserve">En revanche, la Cour </w:t>
      </w:r>
      <w:r w:rsidRPr="003B1303" w:rsidR="00280EFF">
        <w:rPr>
          <w:lang w:val="fr-FR"/>
        </w:rPr>
        <w:t>note qu</w:t>
      </w:r>
      <w:r w:rsidRPr="003B1303" w:rsidR="00451941">
        <w:rPr>
          <w:lang w:val="fr-FR"/>
        </w:rPr>
        <w:t>e</w:t>
      </w:r>
      <w:r w:rsidRPr="003B1303" w:rsidR="007F1DC0">
        <w:rPr>
          <w:lang w:val="fr-FR"/>
        </w:rPr>
        <w:t>,</w:t>
      </w:r>
      <w:r w:rsidRPr="003B1303" w:rsidR="00451941">
        <w:rPr>
          <w:lang w:val="fr-FR"/>
        </w:rPr>
        <w:t xml:space="preserve"> </w:t>
      </w:r>
      <w:r w:rsidRPr="003B1303" w:rsidR="00FC63C9">
        <w:rPr>
          <w:lang w:val="fr-FR"/>
        </w:rPr>
        <w:t>le 25 avril 2008</w:t>
      </w:r>
      <w:r w:rsidRPr="003B1303" w:rsidR="007F1DC0">
        <w:rPr>
          <w:lang w:val="fr-FR"/>
        </w:rPr>
        <w:t>,</w:t>
      </w:r>
      <w:r w:rsidRPr="003B1303" w:rsidR="00FC63C9">
        <w:rPr>
          <w:lang w:val="fr-FR"/>
        </w:rPr>
        <w:t xml:space="preserve"> le médecin de la maison d</w:t>
      </w:r>
      <w:r w:rsidRPr="003B1303" w:rsidR="003B1303">
        <w:rPr>
          <w:lang w:val="fr-FR"/>
        </w:rPr>
        <w:t>’</w:t>
      </w:r>
      <w:r w:rsidRPr="003B1303" w:rsidR="00FC63C9">
        <w:rPr>
          <w:lang w:val="fr-FR"/>
        </w:rPr>
        <w:t xml:space="preserve">arrêt </w:t>
      </w:r>
      <w:r w:rsidRPr="003B1303" w:rsidR="007F1DC0">
        <w:rPr>
          <w:lang w:val="fr-FR"/>
        </w:rPr>
        <w:t xml:space="preserve">a </w:t>
      </w:r>
      <w:r w:rsidRPr="003B1303" w:rsidR="00FC63C9">
        <w:rPr>
          <w:lang w:val="fr-FR"/>
        </w:rPr>
        <w:t>constaté la présence de trois coupures sur le cou et le visage de l</w:t>
      </w:r>
      <w:r w:rsidRPr="003B1303" w:rsidR="003B1303">
        <w:rPr>
          <w:lang w:val="fr-FR"/>
        </w:rPr>
        <w:t>’</w:t>
      </w:r>
      <w:r w:rsidRPr="003B1303" w:rsidR="00FC63C9">
        <w:rPr>
          <w:lang w:val="fr-FR"/>
        </w:rPr>
        <w:t>intéressé (</w:t>
      </w:r>
      <w:r w:rsidRPr="003B1303" w:rsidR="00280EFF">
        <w:rPr>
          <w:lang w:val="fr-FR"/>
        </w:rPr>
        <w:t>paragraphe</w:t>
      </w:r>
      <w:r w:rsidRPr="003B1303" w:rsidR="004A0997">
        <w:rPr>
          <w:lang w:val="fr-FR"/>
        </w:rPr>
        <w:t xml:space="preserve"> </w:t>
      </w:r>
      <w:r w:rsidRPr="003B1303">
        <w:rPr>
          <w:lang w:val="fr-FR"/>
        </w:rPr>
        <w:fldChar w:fldCharType="begin"/>
      </w:r>
      <w:r w:rsidRPr="003B1303">
        <w:rPr>
          <w:lang w:val="fr-FR"/>
        </w:rPr>
        <w:instrText xml:space="preserve"> REF certmedr2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54</w:t>
      </w:r>
      <w:r w:rsidRPr="003B1303">
        <w:rPr>
          <w:lang w:val="fr-FR"/>
        </w:rPr>
        <w:fldChar w:fldCharType="end"/>
      </w:r>
      <w:r w:rsidRPr="003B1303" w:rsidR="00280EFF">
        <w:rPr>
          <w:lang w:val="fr-FR"/>
        </w:rPr>
        <w:t xml:space="preserve"> ci</w:t>
      </w:r>
      <w:r w:rsidRPr="003B1303" w:rsidR="00280EFF">
        <w:rPr>
          <w:lang w:val="fr-FR"/>
        </w:rPr>
        <w:noBreakHyphen/>
        <w:t>dessus</w:t>
      </w:r>
      <w:r w:rsidRPr="003B1303" w:rsidR="00FC63C9">
        <w:rPr>
          <w:lang w:val="fr-FR"/>
        </w:rPr>
        <w:t>)</w:t>
      </w:r>
      <w:r w:rsidRPr="003B1303" w:rsidR="00451941">
        <w:rPr>
          <w:lang w:val="fr-FR"/>
        </w:rPr>
        <w:t xml:space="preserve">. </w:t>
      </w:r>
      <w:r w:rsidRPr="003B1303" w:rsidR="00FC63C9">
        <w:rPr>
          <w:lang w:val="fr-FR"/>
        </w:rPr>
        <w:t>Selon l</w:t>
      </w:r>
      <w:r w:rsidRPr="003B1303" w:rsidR="00280EFF">
        <w:rPr>
          <w:lang w:val="fr-FR"/>
        </w:rPr>
        <w:t>es</w:t>
      </w:r>
      <w:r w:rsidRPr="003B1303" w:rsidR="00FC63C9">
        <w:rPr>
          <w:lang w:val="fr-FR"/>
        </w:rPr>
        <w:t xml:space="preserve"> déclaration</w:t>
      </w:r>
      <w:r w:rsidRPr="003B1303" w:rsidR="00280EFF">
        <w:rPr>
          <w:lang w:val="fr-FR"/>
        </w:rPr>
        <w:t>s</w:t>
      </w:r>
      <w:r w:rsidRPr="003B1303" w:rsidR="00FC63C9">
        <w:rPr>
          <w:lang w:val="fr-FR"/>
        </w:rPr>
        <w:t xml:space="preserve"> </w:t>
      </w:r>
      <w:r w:rsidRPr="003B1303" w:rsidR="00280EFF">
        <w:rPr>
          <w:lang w:val="fr-FR"/>
        </w:rPr>
        <w:t xml:space="preserve">de </w:t>
      </w:r>
      <w:r w:rsidRPr="003B1303" w:rsidR="00FC63C9">
        <w:rPr>
          <w:lang w:val="fr-FR"/>
        </w:rPr>
        <w:t xml:space="preserve">Mar. </w:t>
      </w:r>
      <w:r w:rsidRPr="003B1303" w:rsidR="00280EFF">
        <w:rPr>
          <w:lang w:val="fr-FR"/>
        </w:rPr>
        <w:t xml:space="preserve">et Gr., </w:t>
      </w:r>
      <w:r w:rsidRPr="003B1303" w:rsidR="00451941">
        <w:rPr>
          <w:lang w:val="fr-FR"/>
        </w:rPr>
        <w:t>ces derniers</w:t>
      </w:r>
      <w:r w:rsidRPr="003B1303" w:rsidR="00280EFF">
        <w:rPr>
          <w:lang w:val="fr-FR"/>
        </w:rPr>
        <w:t xml:space="preserve"> avaient été témoins directs de la tentative de viol du second requérant par </w:t>
      </w:r>
      <w:proofErr w:type="spellStart"/>
      <w:r w:rsidRPr="003B1303" w:rsidR="00280EFF">
        <w:rPr>
          <w:lang w:val="fr-FR"/>
        </w:rPr>
        <w:t>Ry</w:t>
      </w:r>
      <w:proofErr w:type="spellEnd"/>
      <w:r w:rsidRPr="003B1303" w:rsidR="00280EFF">
        <w:rPr>
          <w:lang w:val="fr-FR"/>
        </w:rPr>
        <w:t xml:space="preserve">. </w:t>
      </w:r>
      <w:proofErr w:type="gramStart"/>
      <w:r w:rsidRPr="003B1303" w:rsidR="00280EFF">
        <w:rPr>
          <w:lang w:val="fr-FR"/>
        </w:rPr>
        <w:t>et</w:t>
      </w:r>
      <w:proofErr w:type="gramEnd"/>
      <w:r w:rsidRPr="003B1303" w:rsidR="00280EFF">
        <w:rPr>
          <w:lang w:val="fr-FR"/>
        </w:rPr>
        <w:t xml:space="preserve"> deux autres détenus</w:t>
      </w:r>
      <w:r w:rsidRPr="003B1303" w:rsidR="004A0997">
        <w:rPr>
          <w:lang w:val="fr-FR"/>
        </w:rPr>
        <w:t xml:space="preserve"> (paragraphes </w:t>
      </w:r>
      <w:r w:rsidRPr="003B1303" w:rsidR="004A0997">
        <w:rPr>
          <w:lang w:val="fr-FR"/>
        </w:rPr>
        <w:fldChar w:fldCharType="begin"/>
      </w:r>
      <w:r w:rsidRPr="003B1303" w:rsidR="004A0997">
        <w:rPr>
          <w:lang w:val="fr-FR"/>
        </w:rPr>
        <w:instrText xml:space="preserve"> REF temGr \h  \* MERGEFORMAT </w:instrText>
      </w:r>
      <w:r w:rsidRPr="003B1303" w:rsidR="004A0997">
        <w:rPr>
          <w:lang w:val="fr-FR"/>
        </w:rPr>
      </w:r>
      <w:r w:rsidRPr="003B1303" w:rsidR="004A0997">
        <w:rPr>
          <w:lang w:val="fr-FR"/>
        </w:rPr>
        <w:fldChar w:fldCharType="separate"/>
      </w:r>
      <w:r w:rsidR="003B1303">
        <w:rPr>
          <w:lang w:val="fr-FR"/>
        </w:rPr>
        <w:t>79</w:t>
      </w:r>
      <w:r w:rsidRPr="003B1303" w:rsidR="004A0997">
        <w:rPr>
          <w:lang w:val="fr-FR"/>
        </w:rPr>
        <w:fldChar w:fldCharType="end"/>
      </w:r>
      <w:r w:rsidRPr="003B1303" w:rsidR="004A0997">
        <w:rPr>
          <w:lang w:val="fr-FR"/>
        </w:rPr>
        <w:t xml:space="preserve"> et </w:t>
      </w:r>
      <w:r w:rsidRPr="003B1303" w:rsidR="004A0997">
        <w:rPr>
          <w:lang w:val="fr-FR"/>
        </w:rPr>
        <w:fldChar w:fldCharType="begin"/>
      </w:r>
      <w:r w:rsidRPr="003B1303" w:rsidR="004A0997">
        <w:rPr>
          <w:lang w:val="fr-FR"/>
        </w:rPr>
        <w:instrText xml:space="preserve"> REF temMar \h  \* MERGEFORMAT </w:instrText>
      </w:r>
      <w:r w:rsidRPr="003B1303" w:rsidR="004A0997">
        <w:rPr>
          <w:lang w:val="fr-FR"/>
        </w:rPr>
      </w:r>
      <w:r w:rsidRPr="003B1303" w:rsidR="004A0997">
        <w:rPr>
          <w:lang w:val="fr-FR"/>
        </w:rPr>
        <w:fldChar w:fldCharType="separate"/>
      </w:r>
      <w:r w:rsidR="003B1303">
        <w:rPr>
          <w:lang w:val="fr-FR"/>
        </w:rPr>
        <w:t>83</w:t>
      </w:r>
      <w:r w:rsidRPr="003B1303" w:rsidR="004A0997">
        <w:rPr>
          <w:lang w:val="fr-FR"/>
        </w:rPr>
        <w:fldChar w:fldCharType="end"/>
      </w:r>
      <w:r w:rsidRPr="003B1303" w:rsidR="004A0997">
        <w:rPr>
          <w:lang w:val="fr-FR"/>
        </w:rPr>
        <w:t xml:space="preserve"> ci</w:t>
      </w:r>
      <w:r w:rsidRPr="003B1303" w:rsidR="004A0997">
        <w:rPr>
          <w:lang w:val="fr-FR"/>
        </w:rPr>
        <w:noBreakHyphen/>
        <w:t>dessus)</w:t>
      </w:r>
      <w:r w:rsidRPr="003B1303" w:rsidR="00280EFF">
        <w:rPr>
          <w:lang w:val="fr-FR"/>
        </w:rPr>
        <w:t xml:space="preserve">. Ces éléments soutiennent la version du </w:t>
      </w:r>
      <w:r w:rsidRPr="003B1303" w:rsidR="00FF7456">
        <w:rPr>
          <w:lang w:val="fr-FR"/>
        </w:rPr>
        <w:t xml:space="preserve">second </w:t>
      </w:r>
      <w:r w:rsidRPr="003B1303" w:rsidR="00280EFF">
        <w:rPr>
          <w:lang w:val="fr-FR"/>
        </w:rPr>
        <w:t xml:space="preserve">requérant qui allègue que, pour stopper </w:t>
      </w:r>
      <w:r w:rsidRPr="003B1303">
        <w:rPr>
          <w:lang w:val="fr-FR"/>
        </w:rPr>
        <w:t>l</w:t>
      </w:r>
      <w:r w:rsidRPr="003B1303" w:rsidR="003B1303">
        <w:rPr>
          <w:lang w:val="fr-FR"/>
        </w:rPr>
        <w:t>’</w:t>
      </w:r>
      <w:r w:rsidRPr="003B1303">
        <w:rPr>
          <w:lang w:val="fr-FR"/>
        </w:rPr>
        <w:t>agression</w:t>
      </w:r>
      <w:r w:rsidRPr="003B1303" w:rsidR="00280EFF">
        <w:rPr>
          <w:lang w:val="fr-FR"/>
        </w:rPr>
        <w:t>, il avait dû se couper le cou et la joue droite</w:t>
      </w:r>
      <w:r w:rsidRPr="003B1303" w:rsidR="007F1DC0">
        <w:rPr>
          <w:lang w:val="fr-FR"/>
        </w:rPr>
        <w:t xml:space="preserve"> au rasoir</w:t>
      </w:r>
      <w:r w:rsidRPr="003B1303" w:rsidR="00280EFF">
        <w:rPr>
          <w:lang w:val="fr-FR"/>
        </w:rPr>
        <w:t xml:space="preserve">. </w:t>
      </w:r>
      <w:r w:rsidRPr="003B1303" w:rsidR="00DF0D78">
        <w:rPr>
          <w:lang w:val="fr-FR"/>
        </w:rPr>
        <w:t xml:space="preserve">Cependant, la Cour relève que, </w:t>
      </w:r>
      <w:r w:rsidRPr="003B1303" w:rsidR="007F1DC0">
        <w:rPr>
          <w:lang w:val="fr-FR"/>
        </w:rPr>
        <w:t xml:space="preserve">lors de son examen </w:t>
      </w:r>
      <w:r w:rsidRPr="003B1303" w:rsidR="00DF0D78">
        <w:rPr>
          <w:lang w:val="fr-FR"/>
        </w:rPr>
        <w:t xml:space="preserve">par le médecin, </w:t>
      </w:r>
      <w:r w:rsidRPr="003B1303" w:rsidR="00FF7456">
        <w:rPr>
          <w:lang w:val="fr-FR"/>
        </w:rPr>
        <w:t>l</w:t>
      </w:r>
      <w:r w:rsidRPr="003B1303" w:rsidR="003B1303">
        <w:rPr>
          <w:lang w:val="fr-FR"/>
        </w:rPr>
        <w:t>’</w:t>
      </w:r>
      <w:r w:rsidRPr="003B1303" w:rsidR="00FF7456">
        <w:rPr>
          <w:lang w:val="fr-FR"/>
        </w:rPr>
        <w:t xml:space="preserve">intéressé </w:t>
      </w:r>
      <w:r w:rsidRPr="003B1303" w:rsidR="00DF0D78">
        <w:rPr>
          <w:lang w:val="fr-FR"/>
        </w:rPr>
        <w:t>n</w:t>
      </w:r>
      <w:r w:rsidRPr="003B1303" w:rsidR="003B1303">
        <w:rPr>
          <w:lang w:val="fr-FR"/>
        </w:rPr>
        <w:t>’</w:t>
      </w:r>
      <w:r w:rsidRPr="003B1303" w:rsidR="00DF0D78">
        <w:rPr>
          <w:lang w:val="fr-FR"/>
        </w:rPr>
        <w:t>a pas fait état des circonstances dans lesquelles il s</w:t>
      </w:r>
      <w:r w:rsidRPr="003B1303" w:rsidR="003B1303">
        <w:rPr>
          <w:lang w:val="fr-FR"/>
        </w:rPr>
        <w:t>’</w:t>
      </w:r>
      <w:r w:rsidRPr="003B1303" w:rsidR="00DF0D78">
        <w:rPr>
          <w:lang w:val="fr-FR"/>
        </w:rPr>
        <w:t>était mutilé</w:t>
      </w:r>
      <w:r w:rsidRPr="003B1303" w:rsidR="007F1DC0">
        <w:rPr>
          <w:lang w:val="fr-FR"/>
        </w:rPr>
        <w:t xml:space="preserve"> et</w:t>
      </w:r>
      <w:r w:rsidRPr="003B1303" w:rsidR="00DF0D78">
        <w:rPr>
          <w:lang w:val="fr-FR"/>
        </w:rPr>
        <w:t xml:space="preserve"> notamment de l</w:t>
      </w:r>
      <w:r w:rsidRPr="003B1303" w:rsidR="003B1303">
        <w:rPr>
          <w:lang w:val="fr-FR"/>
        </w:rPr>
        <w:t>’</w:t>
      </w:r>
      <w:r w:rsidRPr="003B1303" w:rsidR="00DF0D78">
        <w:rPr>
          <w:lang w:val="fr-FR"/>
        </w:rPr>
        <w:t>agression alléguée de ses codétenu</w:t>
      </w:r>
      <w:r w:rsidRPr="003B1303" w:rsidR="000F490F">
        <w:rPr>
          <w:lang w:val="fr-FR"/>
        </w:rPr>
        <w:t xml:space="preserve">s, perdant ainsi la possibilité de faire de la lumière sur </w:t>
      </w:r>
      <w:r w:rsidRPr="003B1303" w:rsidR="001306C4">
        <w:rPr>
          <w:lang w:val="fr-FR"/>
        </w:rPr>
        <w:t>ces év</w:t>
      </w:r>
      <w:r w:rsidRPr="003B1303" w:rsidR="007F1DC0">
        <w:rPr>
          <w:lang w:val="fr-FR"/>
        </w:rPr>
        <w:t>é</w:t>
      </w:r>
      <w:r w:rsidRPr="003B1303" w:rsidR="001306C4">
        <w:rPr>
          <w:lang w:val="fr-FR"/>
        </w:rPr>
        <w:t>nements</w:t>
      </w:r>
      <w:r w:rsidRPr="003B1303" w:rsidR="000F490F">
        <w:rPr>
          <w:lang w:val="fr-FR"/>
        </w:rPr>
        <w:t>, et ce d</w:t>
      </w:r>
      <w:r w:rsidRPr="003B1303" w:rsidR="003B1303">
        <w:rPr>
          <w:lang w:val="fr-FR"/>
        </w:rPr>
        <w:t>’</w:t>
      </w:r>
      <w:r w:rsidRPr="003B1303" w:rsidR="000F490F">
        <w:rPr>
          <w:lang w:val="fr-FR"/>
        </w:rPr>
        <w:t>autant plus qu</w:t>
      </w:r>
      <w:r w:rsidRPr="003B1303" w:rsidR="003B1303">
        <w:rPr>
          <w:lang w:val="fr-FR"/>
        </w:rPr>
        <w:t>’</w:t>
      </w:r>
      <w:r w:rsidRPr="003B1303" w:rsidR="000F490F">
        <w:rPr>
          <w:lang w:val="fr-FR"/>
        </w:rPr>
        <w:t>il ne s</w:t>
      </w:r>
      <w:r w:rsidRPr="003B1303" w:rsidR="003B1303">
        <w:rPr>
          <w:lang w:val="fr-FR"/>
        </w:rPr>
        <w:t>’</w:t>
      </w:r>
      <w:r w:rsidRPr="003B1303" w:rsidR="001306C4">
        <w:rPr>
          <w:lang w:val="fr-FR"/>
        </w:rPr>
        <w:t>était</w:t>
      </w:r>
      <w:r w:rsidRPr="003B1303" w:rsidR="000F490F">
        <w:rPr>
          <w:lang w:val="fr-FR"/>
        </w:rPr>
        <w:t xml:space="preserve"> plaint de mauvais traitement</w:t>
      </w:r>
      <w:r w:rsidRPr="003B1303" w:rsidR="007F1DC0">
        <w:rPr>
          <w:lang w:val="fr-FR"/>
        </w:rPr>
        <w:t>s</w:t>
      </w:r>
      <w:r w:rsidRPr="003B1303" w:rsidR="000F490F">
        <w:rPr>
          <w:lang w:val="fr-FR"/>
        </w:rPr>
        <w:t xml:space="preserve"> qu</w:t>
      </w:r>
      <w:r w:rsidRPr="003B1303" w:rsidR="003B1303">
        <w:rPr>
          <w:lang w:val="fr-FR"/>
        </w:rPr>
        <w:t>’</w:t>
      </w:r>
      <w:r w:rsidRPr="003B1303" w:rsidR="000F490F">
        <w:rPr>
          <w:lang w:val="fr-FR"/>
        </w:rPr>
        <w:t>en décembre 2009, soit plus d</w:t>
      </w:r>
      <w:r w:rsidRPr="003B1303" w:rsidR="003B1303">
        <w:rPr>
          <w:lang w:val="fr-FR"/>
        </w:rPr>
        <w:t>’</w:t>
      </w:r>
      <w:r w:rsidRPr="003B1303" w:rsidR="000F490F">
        <w:rPr>
          <w:lang w:val="fr-FR"/>
        </w:rPr>
        <w:t>un an et demi après les faits allégués.</w:t>
      </w:r>
    </w:p>
    <w:p w:rsidRPr="003B1303" w:rsidR="002547F3" w:rsidP="003B1303" w:rsidRDefault="00310E5A">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137</w:t>
      </w:r>
      <w:r w:rsidRPr="003B1303">
        <w:rPr>
          <w:lang w:val="fr-FR"/>
        </w:rPr>
        <w:fldChar w:fldCharType="end"/>
      </w:r>
      <w:r w:rsidRPr="003B1303">
        <w:rPr>
          <w:lang w:val="fr-FR"/>
        </w:rPr>
        <w:t>.  </w:t>
      </w:r>
      <w:r w:rsidRPr="003B1303" w:rsidR="00386415">
        <w:rPr>
          <w:lang w:val="fr-FR"/>
        </w:rPr>
        <w:t xml:space="preserve">À supposer même que le </w:t>
      </w:r>
      <w:r w:rsidRPr="003B1303" w:rsidR="00FF7456">
        <w:rPr>
          <w:lang w:val="fr-FR"/>
        </w:rPr>
        <w:t xml:space="preserve">second </w:t>
      </w:r>
      <w:r w:rsidRPr="003B1303" w:rsidR="00386415">
        <w:rPr>
          <w:lang w:val="fr-FR"/>
        </w:rPr>
        <w:t xml:space="preserve">requérant ait été agressé par ses codétenus </w:t>
      </w:r>
      <w:r w:rsidRPr="003B1303" w:rsidR="007F1DC0">
        <w:rPr>
          <w:lang w:val="fr-FR"/>
        </w:rPr>
        <w:t xml:space="preserve">dans </w:t>
      </w:r>
      <w:r w:rsidRPr="003B1303" w:rsidR="00386415">
        <w:rPr>
          <w:lang w:val="fr-FR"/>
        </w:rPr>
        <w:t>la nuit du 24 au 25 avril 2008, il reste la question de savoir si l</w:t>
      </w:r>
      <w:r w:rsidRPr="003B1303" w:rsidR="003B1303">
        <w:rPr>
          <w:lang w:val="fr-FR"/>
        </w:rPr>
        <w:t>’</w:t>
      </w:r>
      <w:r w:rsidRPr="003B1303" w:rsidR="00386415">
        <w:rPr>
          <w:lang w:val="fr-FR"/>
        </w:rPr>
        <w:t>État doit en être tenu responsable. Il s</w:t>
      </w:r>
      <w:r w:rsidRPr="003B1303" w:rsidR="003B1303">
        <w:rPr>
          <w:lang w:val="fr-FR"/>
        </w:rPr>
        <w:t>’</w:t>
      </w:r>
      <w:r w:rsidRPr="003B1303" w:rsidR="00386415">
        <w:rPr>
          <w:lang w:val="fr-FR"/>
        </w:rPr>
        <w:t>agit là d</w:t>
      </w:r>
      <w:r w:rsidRPr="003B1303" w:rsidR="003B1303">
        <w:rPr>
          <w:lang w:val="fr-FR"/>
        </w:rPr>
        <w:t>’</w:t>
      </w:r>
      <w:r w:rsidRPr="003B1303" w:rsidR="00386415">
        <w:rPr>
          <w:lang w:val="fr-FR"/>
        </w:rPr>
        <w:t>une question dont la réponse dépend de l</w:t>
      </w:r>
      <w:r w:rsidRPr="003B1303" w:rsidR="003B1303">
        <w:rPr>
          <w:lang w:val="fr-FR"/>
        </w:rPr>
        <w:t>’</w:t>
      </w:r>
      <w:r w:rsidRPr="003B1303" w:rsidR="00386415">
        <w:rPr>
          <w:lang w:val="fr-FR"/>
        </w:rPr>
        <w:t>ensemble des circonstances de l</w:t>
      </w:r>
      <w:r w:rsidRPr="003B1303" w:rsidR="003B1303">
        <w:rPr>
          <w:lang w:val="fr-FR"/>
        </w:rPr>
        <w:t>’</w:t>
      </w:r>
      <w:r w:rsidRPr="003B1303" w:rsidR="00386415">
        <w:rPr>
          <w:lang w:val="fr-FR"/>
        </w:rPr>
        <w:t>affaire en question (</w:t>
      </w:r>
      <w:proofErr w:type="spellStart"/>
      <w:r w:rsidRPr="003B1303" w:rsidR="00386415">
        <w:rPr>
          <w:i/>
          <w:lang w:val="fr-FR"/>
        </w:rPr>
        <w:t>Pantea</w:t>
      </w:r>
      <w:proofErr w:type="spellEnd"/>
      <w:r w:rsidRPr="003B1303" w:rsidR="00386415">
        <w:rPr>
          <w:i/>
          <w:lang w:val="fr-FR"/>
        </w:rPr>
        <w:t xml:space="preserve"> c. Roumanie</w:t>
      </w:r>
      <w:r w:rsidRPr="003B1303" w:rsidR="00386415">
        <w:rPr>
          <w:lang w:val="fr-FR"/>
        </w:rPr>
        <w:t>,</w:t>
      </w:r>
      <w:r w:rsidRPr="003B1303" w:rsidR="00386415">
        <w:rPr>
          <w:i/>
          <w:lang w:val="fr-FR"/>
        </w:rPr>
        <w:t xml:space="preserve"> </w:t>
      </w:r>
      <w:r w:rsidRPr="003B1303" w:rsidR="00386415">
        <w:rPr>
          <w:lang w:val="fr-FR"/>
        </w:rPr>
        <w:t>n</w:t>
      </w:r>
      <w:r w:rsidRPr="003B1303" w:rsidR="00386415">
        <w:rPr>
          <w:vertAlign w:val="superscript"/>
          <w:lang w:val="fr-FR"/>
        </w:rPr>
        <w:t>o</w:t>
      </w:r>
      <w:r w:rsidRPr="003B1303" w:rsidR="00386415">
        <w:rPr>
          <w:lang w:val="fr-FR"/>
        </w:rPr>
        <w:t> 33343/96, § 190, CEDH 2003</w:t>
      </w:r>
      <w:r w:rsidRPr="003B1303" w:rsidR="00386415">
        <w:rPr>
          <w:lang w:val="fr-FR"/>
        </w:rPr>
        <w:noBreakHyphen/>
        <w:t>VI). La thèse du second requérant consiste à dire que les agressions et l</w:t>
      </w:r>
      <w:r w:rsidRPr="003B1303" w:rsidR="003B1303">
        <w:rPr>
          <w:lang w:val="fr-FR"/>
        </w:rPr>
        <w:t>’</w:t>
      </w:r>
      <w:r w:rsidRPr="003B1303" w:rsidR="00386415">
        <w:rPr>
          <w:lang w:val="fr-FR"/>
        </w:rPr>
        <w:t>intimidation alléguées ont été instiguées par Ti., officier de police en service à la maison d</w:t>
      </w:r>
      <w:r w:rsidRPr="003B1303" w:rsidR="003B1303">
        <w:rPr>
          <w:lang w:val="fr-FR"/>
        </w:rPr>
        <w:t>’</w:t>
      </w:r>
      <w:r w:rsidRPr="003B1303" w:rsidR="00386415">
        <w:rPr>
          <w:lang w:val="fr-FR"/>
        </w:rPr>
        <w:t>arrêt, qui aurait agi sur les instructions des enquêteurs chargés de l</w:t>
      </w:r>
      <w:r w:rsidRPr="003B1303" w:rsidR="003B1303">
        <w:rPr>
          <w:lang w:val="fr-FR"/>
        </w:rPr>
        <w:t>’</w:t>
      </w:r>
      <w:r w:rsidRPr="003B1303" w:rsidR="00386415">
        <w:rPr>
          <w:lang w:val="fr-FR"/>
        </w:rPr>
        <w:t>affaire pénale dirigée à l</w:t>
      </w:r>
      <w:r w:rsidRPr="003B1303" w:rsidR="003B1303">
        <w:rPr>
          <w:lang w:val="fr-FR"/>
        </w:rPr>
        <w:t>’</w:t>
      </w:r>
      <w:r w:rsidRPr="003B1303" w:rsidR="00386415">
        <w:rPr>
          <w:lang w:val="fr-FR"/>
        </w:rPr>
        <w:t>encontre d</w:t>
      </w:r>
      <w:r w:rsidRPr="003B1303" w:rsidR="00FF7456">
        <w:rPr>
          <w:lang w:val="fr-FR"/>
        </w:rPr>
        <w:t xml:space="preserve">es </w:t>
      </w:r>
      <w:r w:rsidRPr="003B1303" w:rsidR="00386415">
        <w:rPr>
          <w:lang w:val="fr-FR"/>
        </w:rPr>
        <w:t>requérant</w:t>
      </w:r>
      <w:r w:rsidRPr="003B1303" w:rsidR="00FF7456">
        <w:rPr>
          <w:lang w:val="fr-FR"/>
        </w:rPr>
        <w:t>s</w:t>
      </w:r>
      <w:r w:rsidRPr="003B1303" w:rsidR="00386415">
        <w:rPr>
          <w:lang w:val="fr-FR"/>
        </w:rPr>
        <w:t xml:space="preserve">. </w:t>
      </w:r>
      <w:r w:rsidRPr="003B1303" w:rsidR="00C94F96">
        <w:rPr>
          <w:lang w:val="fr-FR"/>
        </w:rPr>
        <w:t xml:space="preserve">Le second requérant </w:t>
      </w:r>
      <w:r w:rsidRPr="003B1303" w:rsidR="00386415">
        <w:rPr>
          <w:lang w:val="fr-FR"/>
        </w:rPr>
        <w:t>s</w:t>
      </w:r>
      <w:r w:rsidRPr="003B1303" w:rsidR="003B1303">
        <w:rPr>
          <w:lang w:val="fr-FR"/>
        </w:rPr>
        <w:t>’</w:t>
      </w:r>
      <w:r w:rsidRPr="003B1303" w:rsidR="00386415">
        <w:rPr>
          <w:lang w:val="fr-FR"/>
        </w:rPr>
        <w:t xml:space="preserve">appuie à cet égard sur les déclarations des témoins Gr., Fo., Te. </w:t>
      </w:r>
      <w:proofErr w:type="gramStart"/>
      <w:r w:rsidRPr="003B1303" w:rsidR="00386415">
        <w:rPr>
          <w:lang w:val="fr-FR"/>
        </w:rPr>
        <w:t>et</w:t>
      </w:r>
      <w:proofErr w:type="gramEnd"/>
      <w:r w:rsidRPr="003B1303" w:rsidR="00386415">
        <w:rPr>
          <w:lang w:val="fr-FR"/>
        </w:rPr>
        <w:t xml:space="preserve"> E. (paragraphes </w:t>
      </w:r>
      <w:r w:rsidRPr="003B1303" w:rsidR="00386415">
        <w:rPr>
          <w:lang w:val="fr-FR"/>
        </w:rPr>
        <w:fldChar w:fldCharType="begin"/>
      </w:r>
      <w:r w:rsidRPr="003B1303" w:rsidR="00386415">
        <w:rPr>
          <w:lang w:val="fr-FR"/>
        </w:rPr>
        <w:instrText xml:space="preserve"> REF temGr \h  \* MERGEFORMAT </w:instrText>
      </w:r>
      <w:r w:rsidRPr="003B1303" w:rsidR="00386415">
        <w:rPr>
          <w:lang w:val="fr-FR"/>
        </w:rPr>
      </w:r>
      <w:r w:rsidRPr="003B1303" w:rsidR="00386415">
        <w:rPr>
          <w:lang w:val="fr-FR"/>
        </w:rPr>
        <w:fldChar w:fldCharType="separate"/>
      </w:r>
      <w:r w:rsidR="003B1303">
        <w:rPr>
          <w:lang w:val="fr-FR"/>
        </w:rPr>
        <w:t>79</w:t>
      </w:r>
      <w:r w:rsidRPr="003B1303" w:rsidR="00386415">
        <w:rPr>
          <w:lang w:val="fr-FR"/>
        </w:rPr>
        <w:fldChar w:fldCharType="end"/>
      </w:r>
      <w:r w:rsidRPr="003B1303" w:rsidR="00690DC4">
        <w:rPr>
          <w:lang w:val="fr-FR"/>
        </w:rPr>
        <w:t xml:space="preserve">, </w:t>
      </w:r>
      <w:r w:rsidRPr="003B1303" w:rsidR="00690DC4">
        <w:rPr>
          <w:lang w:val="fr-FR"/>
        </w:rPr>
        <w:fldChar w:fldCharType="begin"/>
      </w:r>
      <w:r w:rsidRPr="003B1303" w:rsidR="00690DC4">
        <w:rPr>
          <w:lang w:val="fr-FR"/>
        </w:rPr>
        <w:instrText xml:space="preserve"> REF temFo2 \h </w:instrText>
      </w:r>
      <w:r w:rsidRPr="003B1303" w:rsidR="00690DC4">
        <w:rPr>
          <w:lang w:val="fr-FR"/>
        </w:rPr>
      </w:r>
      <w:r w:rsidRPr="003B1303" w:rsidR="00690DC4">
        <w:rPr>
          <w:lang w:val="fr-FR"/>
        </w:rPr>
        <w:fldChar w:fldCharType="separate"/>
      </w:r>
      <w:r w:rsidR="003B1303">
        <w:rPr>
          <w:noProof/>
          <w:lang w:val="fr-FR"/>
        </w:rPr>
        <w:t>81</w:t>
      </w:r>
      <w:r w:rsidRPr="003B1303" w:rsidR="00690DC4">
        <w:rPr>
          <w:lang w:val="fr-FR"/>
        </w:rPr>
        <w:fldChar w:fldCharType="end"/>
      </w:r>
      <w:r w:rsidRPr="003B1303" w:rsidR="00386415">
        <w:rPr>
          <w:lang w:val="fr-FR"/>
        </w:rPr>
        <w:t xml:space="preserve"> et </w:t>
      </w:r>
      <w:r w:rsidRPr="003B1303" w:rsidR="00690DC4">
        <w:rPr>
          <w:lang w:val="fr-FR"/>
        </w:rPr>
        <w:fldChar w:fldCharType="begin"/>
      </w:r>
      <w:r w:rsidRPr="003B1303" w:rsidR="00690DC4">
        <w:rPr>
          <w:lang w:val="fr-FR"/>
        </w:rPr>
        <w:instrText xml:space="preserve"> REF  temTeE \h  \* MERGEFORMAT </w:instrText>
      </w:r>
      <w:r w:rsidRPr="003B1303" w:rsidR="00690DC4">
        <w:rPr>
          <w:lang w:val="fr-FR"/>
        </w:rPr>
      </w:r>
      <w:r w:rsidRPr="003B1303" w:rsidR="00690DC4">
        <w:rPr>
          <w:lang w:val="fr-FR"/>
        </w:rPr>
        <w:fldChar w:fldCharType="separate"/>
      </w:r>
      <w:r w:rsidR="003B1303">
        <w:rPr>
          <w:noProof/>
          <w:lang w:val="fr-FR"/>
        </w:rPr>
        <w:t>82</w:t>
      </w:r>
      <w:r w:rsidRPr="003B1303" w:rsidR="00690DC4">
        <w:rPr>
          <w:lang w:val="fr-FR"/>
        </w:rPr>
        <w:fldChar w:fldCharType="end"/>
      </w:r>
      <w:r w:rsidRPr="003B1303" w:rsidR="00386415">
        <w:rPr>
          <w:lang w:val="fr-FR"/>
        </w:rPr>
        <w:t xml:space="preserve"> ci</w:t>
      </w:r>
      <w:r w:rsidRPr="003B1303" w:rsidR="00386415">
        <w:rPr>
          <w:lang w:val="fr-FR"/>
        </w:rPr>
        <w:noBreakHyphen/>
        <w:t>dessus). La Cour trouve cependant qu</w:t>
      </w:r>
      <w:r w:rsidRPr="003B1303" w:rsidR="003B1303">
        <w:rPr>
          <w:lang w:val="fr-FR"/>
        </w:rPr>
        <w:t>’</w:t>
      </w:r>
      <w:r w:rsidRPr="003B1303" w:rsidR="00386415">
        <w:rPr>
          <w:lang w:val="fr-FR"/>
        </w:rPr>
        <w:t>il s</w:t>
      </w:r>
      <w:r w:rsidRPr="003B1303" w:rsidR="003B1303">
        <w:rPr>
          <w:lang w:val="fr-FR"/>
        </w:rPr>
        <w:t>’</w:t>
      </w:r>
      <w:r w:rsidRPr="003B1303" w:rsidR="00386415">
        <w:rPr>
          <w:lang w:val="fr-FR"/>
        </w:rPr>
        <w:t>agit d</w:t>
      </w:r>
      <w:r w:rsidRPr="003B1303" w:rsidR="003B1303">
        <w:rPr>
          <w:lang w:val="fr-FR"/>
        </w:rPr>
        <w:t>’</w:t>
      </w:r>
      <w:r w:rsidRPr="003B1303" w:rsidR="00386415">
        <w:rPr>
          <w:lang w:val="fr-FR"/>
        </w:rPr>
        <w:t xml:space="preserve">une allégation de fait impliquant plusieurs éléments </w:t>
      </w:r>
      <w:r w:rsidRPr="003B1303" w:rsidR="00E5339A">
        <w:rPr>
          <w:lang w:val="fr-FR"/>
        </w:rPr>
        <w:t xml:space="preserve">restant </w:t>
      </w:r>
      <w:r w:rsidRPr="003B1303" w:rsidR="00386415">
        <w:rPr>
          <w:lang w:val="fr-FR"/>
        </w:rPr>
        <w:t>à établir, notamment l</w:t>
      </w:r>
      <w:r w:rsidRPr="003B1303" w:rsidR="003B1303">
        <w:rPr>
          <w:lang w:val="fr-FR"/>
        </w:rPr>
        <w:t>’</w:t>
      </w:r>
      <w:r w:rsidRPr="003B1303" w:rsidR="00386415">
        <w:rPr>
          <w:lang w:val="fr-FR"/>
        </w:rPr>
        <w:t>existence d</w:t>
      </w:r>
      <w:r w:rsidRPr="003B1303" w:rsidR="003B1303">
        <w:rPr>
          <w:lang w:val="fr-FR"/>
        </w:rPr>
        <w:t>’</w:t>
      </w:r>
      <w:r w:rsidRPr="003B1303" w:rsidR="00E5339A">
        <w:rPr>
          <w:lang w:val="fr-FR"/>
        </w:rPr>
        <w:t xml:space="preserve">un </w:t>
      </w:r>
      <w:r w:rsidRPr="003B1303" w:rsidR="00386415">
        <w:rPr>
          <w:lang w:val="fr-FR"/>
        </w:rPr>
        <w:t>ordre ou d</w:t>
      </w:r>
      <w:r w:rsidRPr="003B1303" w:rsidR="003B1303">
        <w:rPr>
          <w:lang w:val="fr-FR"/>
        </w:rPr>
        <w:t>’</w:t>
      </w:r>
      <w:r w:rsidRPr="003B1303" w:rsidR="00E5339A">
        <w:rPr>
          <w:lang w:val="fr-FR"/>
        </w:rPr>
        <w:t xml:space="preserve">une </w:t>
      </w:r>
      <w:r w:rsidRPr="003B1303" w:rsidR="00386415">
        <w:rPr>
          <w:lang w:val="fr-FR"/>
        </w:rPr>
        <w:t xml:space="preserve">instruction verbale de la part de Ti. </w:t>
      </w:r>
      <w:proofErr w:type="gramStart"/>
      <w:r w:rsidRPr="003B1303" w:rsidR="00386415">
        <w:rPr>
          <w:lang w:val="fr-FR"/>
        </w:rPr>
        <w:t>aux</w:t>
      </w:r>
      <w:proofErr w:type="gramEnd"/>
      <w:r w:rsidRPr="003B1303" w:rsidR="00386415">
        <w:rPr>
          <w:lang w:val="fr-FR"/>
        </w:rPr>
        <w:t xml:space="preserve"> codétenus du </w:t>
      </w:r>
      <w:r w:rsidRPr="003B1303" w:rsidR="00A35DD1">
        <w:rPr>
          <w:lang w:val="fr-FR"/>
        </w:rPr>
        <w:t xml:space="preserve">second </w:t>
      </w:r>
      <w:r w:rsidRPr="003B1303" w:rsidR="00386415">
        <w:rPr>
          <w:lang w:val="fr-FR"/>
        </w:rPr>
        <w:t>requérant</w:t>
      </w:r>
      <w:r w:rsidRPr="003B1303" w:rsidR="00E5339A">
        <w:rPr>
          <w:lang w:val="fr-FR"/>
        </w:rPr>
        <w:t xml:space="preserve"> et</w:t>
      </w:r>
      <w:r w:rsidRPr="003B1303" w:rsidR="00386415">
        <w:rPr>
          <w:lang w:val="fr-FR"/>
        </w:rPr>
        <w:t xml:space="preserve"> </w:t>
      </w:r>
      <w:r w:rsidRPr="003B1303" w:rsidR="001568CD">
        <w:rPr>
          <w:lang w:val="fr-FR"/>
        </w:rPr>
        <w:t>d</w:t>
      </w:r>
      <w:r w:rsidRPr="003B1303" w:rsidR="003B1303">
        <w:rPr>
          <w:lang w:val="fr-FR"/>
        </w:rPr>
        <w:t>’</w:t>
      </w:r>
      <w:r w:rsidRPr="003B1303" w:rsidR="001568CD">
        <w:rPr>
          <w:lang w:val="fr-FR"/>
        </w:rPr>
        <w:t>un</w:t>
      </w:r>
      <w:r w:rsidRPr="003B1303" w:rsidR="00386415">
        <w:rPr>
          <w:lang w:val="fr-FR"/>
        </w:rPr>
        <w:t xml:space="preserve"> lien entre Ti. </w:t>
      </w:r>
      <w:proofErr w:type="gramStart"/>
      <w:r w:rsidRPr="003B1303" w:rsidR="00386415">
        <w:rPr>
          <w:lang w:val="fr-FR"/>
        </w:rPr>
        <w:t>et</w:t>
      </w:r>
      <w:proofErr w:type="gramEnd"/>
      <w:r w:rsidRPr="003B1303" w:rsidR="00386415">
        <w:rPr>
          <w:lang w:val="fr-FR"/>
        </w:rPr>
        <w:t xml:space="preserve"> les enquêteurs. </w:t>
      </w:r>
      <w:r w:rsidRPr="003B1303" w:rsidR="00E5339A">
        <w:rPr>
          <w:lang w:val="fr-FR"/>
        </w:rPr>
        <w:t>À ses yeux</w:t>
      </w:r>
      <w:r w:rsidRPr="003B1303" w:rsidR="00386415">
        <w:rPr>
          <w:lang w:val="fr-FR"/>
        </w:rPr>
        <w:t xml:space="preserve">, les déclarations des témoins Gr., Fo., Te. </w:t>
      </w:r>
      <w:proofErr w:type="gramStart"/>
      <w:r w:rsidRPr="003B1303" w:rsidR="00386415">
        <w:rPr>
          <w:lang w:val="fr-FR"/>
        </w:rPr>
        <w:t>et</w:t>
      </w:r>
      <w:proofErr w:type="gramEnd"/>
      <w:r w:rsidRPr="003B1303" w:rsidR="00386415">
        <w:rPr>
          <w:lang w:val="fr-FR"/>
        </w:rPr>
        <w:t xml:space="preserve"> E. rendaient crédible l</w:t>
      </w:r>
      <w:r w:rsidRPr="003B1303" w:rsidR="003B1303">
        <w:rPr>
          <w:lang w:val="fr-FR"/>
        </w:rPr>
        <w:t>’</w:t>
      </w:r>
      <w:r w:rsidRPr="003B1303" w:rsidR="00386415">
        <w:rPr>
          <w:lang w:val="fr-FR"/>
        </w:rPr>
        <w:t>allégation de l</w:t>
      </w:r>
      <w:r w:rsidRPr="003B1303" w:rsidR="003B1303">
        <w:rPr>
          <w:lang w:val="fr-FR"/>
        </w:rPr>
        <w:t>’</w:t>
      </w:r>
      <w:r w:rsidRPr="003B1303" w:rsidR="00386415">
        <w:rPr>
          <w:lang w:val="fr-FR"/>
        </w:rPr>
        <w:t>intéressé à ce sujet</w:t>
      </w:r>
      <w:r w:rsidRPr="003B1303" w:rsidR="00A35DD1">
        <w:rPr>
          <w:lang w:val="fr-FR"/>
        </w:rPr>
        <w:t>, allégation</w:t>
      </w:r>
      <w:r w:rsidRPr="003B1303" w:rsidR="00386415">
        <w:rPr>
          <w:lang w:val="fr-FR"/>
        </w:rPr>
        <w:t xml:space="preserve"> qui devait faire l</w:t>
      </w:r>
      <w:r w:rsidRPr="003B1303" w:rsidR="003B1303">
        <w:rPr>
          <w:lang w:val="fr-FR"/>
        </w:rPr>
        <w:t>’</w:t>
      </w:r>
      <w:r w:rsidRPr="003B1303" w:rsidR="00386415">
        <w:rPr>
          <w:lang w:val="fr-FR"/>
        </w:rPr>
        <w:t>objet d</w:t>
      </w:r>
      <w:r w:rsidRPr="003B1303" w:rsidR="003B1303">
        <w:rPr>
          <w:lang w:val="fr-FR"/>
        </w:rPr>
        <w:t>’</w:t>
      </w:r>
      <w:r w:rsidRPr="003B1303" w:rsidR="00386415">
        <w:rPr>
          <w:lang w:val="fr-FR"/>
        </w:rPr>
        <w:t xml:space="preserve">une enquête approfondie par les autorités internes. Cependant, les éléments dont dispose la Cour </w:t>
      </w:r>
      <w:proofErr w:type="gramStart"/>
      <w:r w:rsidRPr="003B1303" w:rsidR="00386415">
        <w:rPr>
          <w:lang w:val="fr-FR"/>
        </w:rPr>
        <w:t>ne sont</w:t>
      </w:r>
      <w:proofErr w:type="gramEnd"/>
      <w:r w:rsidRPr="003B1303" w:rsidR="00386415">
        <w:rPr>
          <w:lang w:val="fr-FR"/>
        </w:rPr>
        <w:t xml:space="preserve"> pas suffisants pour démontrer que l</w:t>
      </w:r>
      <w:r w:rsidRPr="003B1303" w:rsidR="003B1303">
        <w:rPr>
          <w:lang w:val="fr-FR"/>
        </w:rPr>
        <w:t>’</w:t>
      </w:r>
      <w:r w:rsidRPr="003B1303" w:rsidR="00386415">
        <w:rPr>
          <w:lang w:val="fr-FR"/>
        </w:rPr>
        <w:t xml:space="preserve">agression dont le </w:t>
      </w:r>
      <w:r w:rsidRPr="003B1303" w:rsidR="00A35DD1">
        <w:rPr>
          <w:lang w:val="fr-FR"/>
        </w:rPr>
        <w:t xml:space="preserve">second </w:t>
      </w:r>
      <w:r w:rsidRPr="003B1303" w:rsidR="00386415">
        <w:rPr>
          <w:lang w:val="fr-FR"/>
        </w:rPr>
        <w:t>requérant aurait fait l</w:t>
      </w:r>
      <w:r w:rsidRPr="003B1303" w:rsidR="003B1303">
        <w:rPr>
          <w:lang w:val="fr-FR"/>
        </w:rPr>
        <w:t>’</w:t>
      </w:r>
      <w:r w:rsidRPr="003B1303" w:rsidR="00386415">
        <w:rPr>
          <w:lang w:val="fr-FR"/>
        </w:rPr>
        <w:t>objet du 24 au 25 avril 2008 avait été instiguée par les autorités nationales. À cet égard, elle tient à souligner que, en l</w:t>
      </w:r>
      <w:r w:rsidRPr="003B1303" w:rsidR="003B1303">
        <w:rPr>
          <w:lang w:val="fr-FR"/>
        </w:rPr>
        <w:t>’</w:t>
      </w:r>
      <w:r w:rsidRPr="003B1303" w:rsidR="00386415">
        <w:rPr>
          <w:lang w:val="fr-FR"/>
        </w:rPr>
        <w:t>espèce, l</w:t>
      </w:r>
      <w:r w:rsidRPr="003B1303" w:rsidR="003B1303">
        <w:rPr>
          <w:lang w:val="fr-FR"/>
        </w:rPr>
        <w:t>’</w:t>
      </w:r>
      <w:r w:rsidRPr="003B1303" w:rsidR="00386415">
        <w:rPr>
          <w:lang w:val="fr-FR"/>
        </w:rPr>
        <w:t>absence de telles preuves découle en grande partie de l</w:t>
      </w:r>
      <w:r w:rsidRPr="003B1303" w:rsidR="003B1303">
        <w:rPr>
          <w:lang w:val="fr-FR"/>
        </w:rPr>
        <w:t>’</w:t>
      </w:r>
      <w:r w:rsidRPr="003B1303" w:rsidR="00386415">
        <w:rPr>
          <w:lang w:val="fr-FR"/>
        </w:rPr>
        <w:t>absence d</w:t>
      </w:r>
      <w:r w:rsidRPr="003B1303" w:rsidR="003B1303">
        <w:rPr>
          <w:lang w:val="fr-FR"/>
        </w:rPr>
        <w:t>’</w:t>
      </w:r>
      <w:r w:rsidRPr="003B1303" w:rsidR="00386415">
        <w:rPr>
          <w:lang w:val="fr-FR"/>
        </w:rPr>
        <w:t>une enquête approfondie et effective par les autorités nationales à la suite de la plainte présentée par le</w:t>
      </w:r>
      <w:r w:rsidRPr="003B1303" w:rsidR="00FF7456">
        <w:rPr>
          <w:lang w:val="fr-FR"/>
        </w:rPr>
        <w:t xml:space="preserve"> second</w:t>
      </w:r>
      <w:r w:rsidRPr="003B1303" w:rsidR="00386415">
        <w:rPr>
          <w:lang w:val="fr-FR"/>
        </w:rPr>
        <w:t xml:space="preserve"> requérant pour mauvais traitements (paragraphe </w:t>
      </w:r>
      <w:r w:rsidRPr="003B1303" w:rsidR="00FF7456">
        <w:rPr>
          <w:lang w:val="fr-FR"/>
        </w:rPr>
        <w:fldChar w:fldCharType="begin"/>
      </w:r>
      <w:r w:rsidRPr="003B1303" w:rsidR="00FF7456">
        <w:rPr>
          <w:lang w:val="fr-FR"/>
        </w:rPr>
        <w:instrText xml:space="preserve"> REF a3concl \h </w:instrText>
      </w:r>
      <w:r w:rsidRPr="003B1303" w:rsidR="00C47AAA">
        <w:rPr>
          <w:lang w:val="fr-FR"/>
        </w:rPr>
        <w:instrText xml:space="preserve"> \* MERGEFORMAT </w:instrText>
      </w:r>
      <w:r w:rsidRPr="003B1303" w:rsidR="00FF7456">
        <w:rPr>
          <w:lang w:val="fr-FR"/>
        </w:rPr>
      </w:r>
      <w:r w:rsidRPr="003B1303" w:rsidR="00FF7456">
        <w:rPr>
          <w:lang w:val="fr-FR"/>
        </w:rPr>
        <w:fldChar w:fldCharType="separate"/>
      </w:r>
      <w:r w:rsidR="003B1303">
        <w:rPr>
          <w:noProof/>
          <w:lang w:val="fr-FR"/>
        </w:rPr>
        <w:t>131</w:t>
      </w:r>
      <w:r w:rsidRPr="003B1303" w:rsidR="00FF7456">
        <w:rPr>
          <w:lang w:val="fr-FR"/>
        </w:rPr>
        <w:fldChar w:fldCharType="end"/>
      </w:r>
      <w:r w:rsidRPr="003B1303" w:rsidR="00FF7456">
        <w:rPr>
          <w:lang w:val="fr-FR"/>
        </w:rPr>
        <w:t xml:space="preserve"> </w:t>
      </w:r>
      <w:r w:rsidRPr="003B1303" w:rsidR="00386415">
        <w:rPr>
          <w:lang w:val="fr-FR"/>
        </w:rPr>
        <w:t>ci</w:t>
      </w:r>
      <w:r w:rsidRPr="003B1303" w:rsidR="00386415">
        <w:rPr>
          <w:lang w:val="fr-FR"/>
        </w:rPr>
        <w:noBreakHyphen/>
        <w:t>dessus). Toutefois, en ce qui concerne le volet matériel de l</w:t>
      </w:r>
      <w:r w:rsidRPr="003B1303" w:rsidR="003B1303">
        <w:rPr>
          <w:lang w:val="fr-FR"/>
        </w:rPr>
        <w:t>’</w:t>
      </w:r>
      <w:r w:rsidRPr="003B1303" w:rsidR="00386415">
        <w:rPr>
          <w:lang w:val="fr-FR"/>
        </w:rPr>
        <w:t xml:space="preserve">article 3 de la </w:t>
      </w:r>
      <w:r w:rsidRPr="003B1303" w:rsidR="0092663C">
        <w:rPr>
          <w:lang w:val="fr-FR"/>
        </w:rPr>
        <w:t>Convention</w:t>
      </w:r>
      <w:r w:rsidRPr="003B1303" w:rsidR="00386415">
        <w:rPr>
          <w:lang w:val="fr-FR"/>
        </w:rPr>
        <w:t xml:space="preserve">, la Cour ne peut établir que le second requérant </w:t>
      </w:r>
      <w:r w:rsidRPr="003B1303" w:rsidR="00A35DD1">
        <w:rPr>
          <w:lang w:val="fr-FR"/>
        </w:rPr>
        <w:t xml:space="preserve">a </w:t>
      </w:r>
      <w:r w:rsidRPr="003B1303" w:rsidR="00386415">
        <w:rPr>
          <w:lang w:val="fr-FR"/>
        </w:rPr>
        <w:t>été soumis à de</w:t>
      </w:r>
      <w:r w:rsidRPr="003B1303" w:rsidR="00A35DD1">
        <w:rPr>
          <w:lang w:val="fr-FR"/>
        </w:rPr>
        <w:t>s</w:t>
      </w:r>
      <w:r w:rsidRPr="003B1303" w:rsidR="00386415">
        <w:rPr>
          <w:lang w:val="fr-FR"/>
        </w:rPr>
        <w:t xml:space="preserve"> mauvais traitements </w:t>
      </w:r>
      <w:r w:rsidRPr="003B1303" w:rsidR="00A35DD1">
        <w:rPr>
          <w:lang w:val="fr-FR"/>
        </w:rPr>
        <w:t xml:space="preserve">ou </w:t>
      </w:r>
      <w:r w:rsidRPr="003B1303" w:rsidR="00386415">
        <w:rPr>
          <w:lang w:val="fr-FR"/>
        </w:rPr>
        <w:t>que les autorités nationales puissent en être tenu</w:t>
      </w:r>
      <w:r w:rsidRPr="003B1303" w:rsidR="00A35DD1">
        <w:rPr>
          <w:lang w:val="fr-FR"/>
        </w:rPr>
        <w:t>e</w:t>
      </w:r>
      <w:r w:rsidRPr="003B1303" w:rsidR="00386415">
        <w:rPr>
          <w:lang w:val="fr-FR"/>
        </w:rPr>
        <w:t>s responsables.</w:t>
      </w:r>
    </w:p>
    <w:bookmarkStart w:name="a3concl1" w:id="71"/>
    <w:p w:rsidRPr="003B1303" w:rsidR="000A0B15" w:rsidP="003B1303" w:rsidRDefault="00661C8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138</w:t>
      </w:r>
      <w:r w:rsidRPr="003B1303">
        <w:rPr>
          <w:lang w:val="fr-FR"/>
        </w:rPr>
        <w:fldChar w:fldCharType="end"/>
      </w:r>
      <w:bookmarkEnd w:id="71"/>
      <w:r w:rsidRPr="003B1303">
        <w:rPr>
          <w:lang w:val="fr-FR"/>
        </w:rPr>
        <w:t>.  </w:t>
      </w:r>
      <w:r w:rsidRPr="003B1303" w:rsidR="0055306D">
        <w:rPr>
          <w:lang w:val="fr-FR"/>
        </w:rPr>
        <w:t xml:space="preserve">Partant, il </w:t>
      </w:r>
      <w:r w:rsidRPr="003B1303" w:rsidR="004D3CEF">
        <w:rPr>
          <w:lang w:val="fr-FR"/>
        </w:rPr>
        <w:t>n</w:t>
      </w:r>
      <w:r w:rsidRPr="003B1303" w:rsidR="003B1303">
        <w:rPr>
          <w:lang w:val="fr-FR"/>
        </w:rPr>
        <w:t>’</w:t>
      </w:r>
      <w:r w:rsidRPr="003B1303" w:rsidR="0055306D">
        <w:rPr>
          <w:lang w:val="fr-FR"/>
        </w:rPr>
        <w:t>y a</w:t>
      </w:r>
      <w:r w:rsidRPr="003B1303" w:rsidR="004D3CEF">
        <w:rPr>
          <w:lang w:val="fr-FR"/>
        </w:rPr>
        <w:t xml:space="preserve"> pas</w:t>
      </w:r>
      <w:r w:rsidRPr="003B1303" w:rsidR="0055306D">
        <w:rPr>
          <w:lang w:val="fr-FR"/>
        </w:rPr>
        <w:t xml:space="preserve"> eu </w:t>
      </w:r>
      <w:r w:rsidRPr="003B1303" w:rsidR="00B1604E">
        <w:rPr>
          <w:lang w:val="fr-FR"/>
        </w:rPr>
        <w:t xml:space="preserve">de </w:t>
      </w:r>
      <w:r w:rsidRPr="003B1303" w:rsidR="0055306D">
        <w:rPr>
          <w:lang w:val="fr-FR"/>
        </w:rPr>
        <w:t>violation de l</w:t>
      </w:r>
      <w:r w:rsidRPr="003B1303" w:rsidR="003B1303">
        <w:rPr>
          <w:lang w:val="fr-FR"/>
        </w:rPr>
        <w:t>’</w:t>
      </w:r>
      <w:r w:rsidRPr="003B1303" w:rsidR="0055306D">
        <w:rPr>
          <w:lang w:val="fr-FR"/>
        </w:rPr>
        <w:t>article 3 de la Convention sous son volet matériel</w:t>
      </w:r>
      <w:r w:rsidRPr="003B1303" w:rsidR="007F57B0">
        <w:rPr>
          <w:lang w:val="fr-FR"/>
        </w:rPr>
        <w:t xml:space="preserve"> à l</w:t>
      </w:r>
      <w:r w:rsidRPr="003B1303" w:rsidR="003B1303">
        <w:rPr>
          <w:lang w:val="fr-FR"/>
        </w:rPr>
        <w:t>’</w:t>
      </w:r>
      <w:r w:rsidRPr="003B1303" w:rsidR="007F57B0">
        <w:rPr>
          <w:lang w:val="fr-FR"/>
        </w:rPr>
        <w:t xml:space="preserve">égard </w:t>
      </w:r>
      <w:r w:rsidRPr="003B1303" w:rsidR="00371880">
        <w:rPr>
          <w:lang w:val="fr-FR"/>
        </w:rPr>
        <w:t xml:space="preserve">des </w:t>
      </w:r>
      <w:r w:rsidRPr="003B1303" w:rsidR="007F57B0">
        <w:rPr>
          <w:lang w:val="fr-FR"/>
        </w:rPr>
        <w:t>requérant</w:t>
      </w:r>
      <w:r w:rsidRPr="003B1303" w:rsidR="00371880">
        <w:rPr>
          <w:lang w:val="fr-FR"/>
        </w:rPr>
        <w:t>s</w:t>
      </w:r>
      <w:r w:rsidRPr="003B1303" w:rsidR="0055306D">
        <w:rPr>
          <w:lang w:val="fr-FR"/>
        </w:rPr>
        <w:t>.</w:t>
      </w:r>
    </w:p>
    <w:p w:rsidRPr="003B1303" w:rsidR="000A0B15" w:rsidP="003B1303" w:rsidRDefault="00D47B9F">
      <w:pPr>
        <w:pStyle w:val="ECHRHeading2"/>
        <w:rPr>
          <w:lang w:val="fr-FR"/>
        </w:rPr>
      </w:pPr>
      <w:r w:rsidRPr="003B1303">
        <w:rPr>
          <w:lang w:val="fr-FR"/>
        </w:rPr>
        <w:t>B</w:t>
      </w:r>
      <w:r w:rsidRPr="003B1303" w:rsidR="000A0B15">
        <w:rPr>
          <w:lang w:val="fr-FR"/>
        </w:rPr>
        <w:t>.  </w:t>
      </w:r>
      <w:r w:rsidRPr="003B1303">
        <w:rPr>
          <w:lang w:val="fr-FR"/>
        </w:rPr>
        <w:t>Sur la violation alléguée de l</w:t>
      </w:r>
      <w:r w:rsidRPr="003B1303" w:rsidR="003B1303">
        <w:rPr>
          <w:lang w:val="fr-FR"/>
        </w:rPr>
        <w:t>’</w:t>
      </w:r>
      <w:r w:rsidRPr="003B1303">
        <w:rPr>
          <w:lang w:val="fr-FR"/>
        </w:rPr>
        <w:t xml:space="preserve">article </w:t>
      </w:r>
      <w:r w:rsidRPr="003B1303" w:rsidR="000A0B15">
        <w:rPr>
          <w:lang w:val="fr-FR"/>
        </w:rPr>
        <w:t>3</w:t>
      </w:r>
      <w:r w:rsidRPr="003B1303">
        <w:rPr>
          <w:lang w:val="fr-FR"/>
        </w:rPr>
        <w:t xml:space="preserve"> de la </w:t>
      </w:r>
      <w:r w:rsidRPr="003B1303" w:rsidR="003625E9">
        <w:rPr>
          <w:lang w:val="fr-FR"/>
        </w:rPr>
        <w:t>C</w:t>
      </w:r>
      <w:r w:rsidRPr="003B1303">
        <w:rPr>
          <w:lang w:val="fr-FR"/>
        </w:rPr>
        <w:t>onvention</w:t>
      </w:r>
      <w:r w:rsidRPr="003B1303" w:rsidR="000A0B15">
        <w:rPr>
          <w:lang w:val="fr-FR"/>
        </w:rPr>
        <w:t xml:space="preserve"> </w:t>
      </w:r>
      <w:r w:rsidRPr="003B1303" w:rsidR="00EF502D">
        <w:rPr>
          <w:lang w:val="fr-FR"/>
        </w:rPr>
        <w:t>à</w:t>
      </w:r>
      <w:r w:rsidRPr="003B1303">
        <w:rPr>
          <w:lang w:val="fr-FR"/>
        </w:rPr>
        <w:t xml:space="preserve"> raison de</w:t>
      </w:r>
      <w:r w:rsidRPr="003B1303" w:rsidR="00371880">
        <w:rPr>
          <w:lang w:val="fr-FR"/>
        </w:rPr>
        <w:t>s</w:t>
      </w:r>
      <w:r w:rsidRPr="003B1303">
        <w:rPr>
          <w:lang w:val="fr-FR"/>
        </w:rPr>
        <w:t xml:space="preserve"> conditions de détention du premier requérant</w:t>
      </w:r>
    </w:p>
    <w:p w:rsidRPr="003B1303" w:rsidR="00D47B9F" w:rsidP="003B1303" w:rsidRDefault="00D47B9F">
      <w:pPr>
        <w:pStyle w:val="ECHRHeading3"/>
        <w:rPr>
          <w:lang w:val="fr-FR"/>
        </w:rPr>
      </w:pPr>
      <w:r w:rsidRPr="003B1303">
        <w:rPr>
          <w:lang w:val="fr-FR"/>
        </w:rPr>
        <w:t>1.</w:t>
      </w:r>
      <w:r w:rsidRPr="003B1303" w:rsidR="00505A87">
        <w:rPr>
          <w:lang w:val="fr-FR"/>
        </w:rPr>
        <w:t>  </w:t>
      </w:r>
      <w:r w:rsidRPr="003B1303">
        <w:rPr>
          <w:lang w:val="fr-FR"/>
        </w:rPr>
        <w:t>Thèses des parties</w:t>
      </w:r>
    </w:p>
    <w:p w:rsidRPr="003B1303" w:rsidR="00D47B9F" w:rsidP="003B1303" w:rsidRDefault="00D47B9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139</w:t>
      </w:r>
      <w:r w:rsidRPr="003B1303">
        <w:rPr>
          <w:lang w:val="fr-FR"/>
        </w:rPr>
        <w:fldChar w:fldCharType="end"/>
      </w:r>
      <w:r w:rsidRPr="003B1303">
        <w:rPr>
          <w:lang w:val="fr-FR"/>
        </w:rPr>
        <w:t>.  Le Gouvernement soutient que les conditions de détention litigieuses n</w:t>
      </w:r>
      <w:r w:rsidRPr="003B1303" w:rsidR="003B1303">
        <w:rPr>
          <w:lang w:val="fr-FR"/>
        </w:rPr>
        <w:t>’</w:t>
      </w:r>
      <w:r w:rsidRPr="003B1303">
        <w:rPr>
          <w:lang w:val="fr-FR"/>
        </w:rPr>
        <w:t xml:space="preserve">étaient pas constitutives de mauvais traitements. </w:t>
      </w:r>
      <w:r w:rsidRPr="003B1303" w:rsidR="00371880">
        <w:rPr>
          <w:lang w:val="fr-FR"/>
        </w:rPr>
        <w:t>Se</w:t>
      </w:r>
      <w:r w:rsidRPr="003B1303">
        <w:rPr>
          <w:lang w:val="fr-FR"/>
        </w:rPr>
        <w:t xml:space="preserve"> référant à des attestations établies le 12 avril 2017 par l</w:t>
      </w:r>
      <w:r w:rsidRPr="003B1303" w:rsidR="003B1303">
        <w:rPr>
          <w:lang w:val="fr-FR"/>
        </w:rPr>
        <w:t>’</w:t>
      </w:r>
      <w:r w:rsidRPr="003B1303">
        <w:rPr>
          <w:lang w:val="fr-FR"/>
        </w:rPr>
        <w:t>administration de la maison d</w:t>
      </w:r>
      <w:r w:rsidRPr="003B1303" w:rsidR="003B1303">
        <w:rPr>
          <w:lang w:val="fr-FR"/>
        </w:rPr>
        <w:t>’</w:t>
      </w:r>
      <w:r w:rsidRPr="003B1303">
        <w:rPr>
          <w:lang w:val="fr-FR"/>
        </w:rPr>
        <w:t>arrêt n</w:t>
      </w:r>
      <w:r w:rsidRPr="003B1303">
        <w:rPr>
          <w:vertAlign w:val="superscript"/>
          <w:lang w:val="fr-FR"/>
        </w:rPr>
        <w:t>o</w:t>
      </w:r>
      <w:r w:rsidRPr="003B1303">
        <w:rPr>
          <w:lang w:val="fr-FR"/>
        </w:rPr>
        <w:t xml:space="preserve"> IZ-38/1, le Gouvernement indique que le </w:t>
      </w:r>
      <w:r w:rsidRPr="003B1303" w:rsidR="00371880">
        <w:rPr>
          <w:lang w:val="fr-FR"/>
        </w:rPr>
        <w:t xml:space="preserve">premier </w:t>
      </w:r>
      <w:r w:rsidRPr="003B1303">
        <w:rPr>
          <w:lang w:val="fr-FR"/>
        </w:rPr>
        <w:t>requérant dispos</w:t>
      </w:r>
      <w:r w:rsidRPr="003B1303" w:rsidR="00371880">
        <w:rPr>
          <w:lang w:val="fr-FR"/>
        </w:rPr>
        <w:t>ait</w:t>
      </w:r>
      <w:r w:rsidRPr="003B1303">
        <w:rPr>
          <w:lang w:val="fr-FR"/>
        </w:rPr>
        <w:t xml:space="preserve"> de plus 4 m² d</w:t>
      </w:r>
      <w:r w:rsidRPr="003B1303" w:rsidR="003B1303">
        <w:rPr>
          <w:lang w:val="fr-FR"/>
        </w:rPr>
        <w:t>’</w:t>
      </w:r>
      <w:r w:rsidRPr="003B1303">
        <w:rPr>
          <w:lang w:val="fr-FR"/>
        </w:rPr>
        <w:t>espace personnel dans les cellules dans lesquelles il avait séjourné</w:t>
      </w:r>
      <w:r w:rsidRPr="003B1303" w:rsidR="0078724D">
        <w:rPr>
          <w:lang w:val="fr-FR"/>
        </w:rPr>
        <w:t xml:space="preserve">, </w:t>
      </w:r>
      <w:r w:rsidRPr="003B1303" w:rsidR="00640053">
        <w:rPr>
          <w:lang w:val="fr-FR"/>
        </w:rPr>
        <w:t xml:space="preserve">et soumet les données relatives à leur superficie – </w:t>
      </w:r>
      <w:r w:rsidRPr="003B1303" w:rsidR="0078724D">
        <w:rPr>
          <w:lang w:val="fr-FR"/>
        </w:rPr>
        <w:t>n</w:t>
      </w:r>
      <w:r w:rsidRPr="003B1303" w:rsidR="0078724D">
        <w:rPr>
          <w:vertAlign w:val="superscript"/>
          <w:lang w:val="fr-FR"/>
        </w:rPr>
        <w:t>o</w:t>
      </w:r>
      <w:r w:rsidRPr="003B1303" w:rsidR="0078724D">
        <w:rPr>
          <w:lang w:val="fr-FR"/>
        </w:rPr>
        <w:t> </w:t>
      </w:r>
      <w:r w:rsidRPr="003B1303" w:rsidR="009C7724">
        <w:rPr>
          <w:lang w:val="fr-FR"/>
        </w:rPr>
        <w:t xml:space="preserve">239 (18,6 m²), </w:t>
      </w:r>
      <w:r w:rsidRPr="003B1303" w:rsidR="00640053">
        <w:rPr>
          <w:lang w:val="fr-FR"/>
        </w:rPr>
        <w:t>n</w:t>
      </w:r>
      <w:r w:rsidRPr="003B1303" w:rsidR="00640053">
        <w:rPr>
          <w:vertAlign w:val="superscript"/>
          <w:lang w:val="fr-FR"/>
        </w:rPr>
        <w:t>o</w:t>
      </w:r>
      <w:r w:rsidRPr="003B1303" w:rsidR="00640053">
        <w:rPr>
          <w:lang w:val="fr-FR"/>
        </w:rPr>
        <w:t> </w:t>
      </w:r>
      <w:r w:rsidRPr="003B1303" w:rsidR="009C7724">
        <w:rPr>
          <w:lang w:val="fr-FR"/>
        </w:rPr>
        <w:t xml:space="preserve">439 (26,4 m²), </w:t>
      </w:r>
      <w:r w:rsidRPr="003B1303" w:rsidR="00640053">
        <w:rPr>
          <w:lang w:val="fr-FR"/>
        </w:rPr>
        <w:t>n</w:t>
      </w:r>
      <w:r w:rsidRPr="003B1303" w:rsidR="00640053">
        <w:rPr>
          <w:vertAlign w:val="superscript"/>
          <w:lang w:val="fr-FR"/>
        </w:rPr>
        <w:t>o</w:t>
      </w:r>
      <w:r w:rsidRPr="003B1303" w:rsidR="00640053">
        <w:rPr>
          <w:lang w:val="fr-FR"/>
        </w:rPr>
        <w:t> </w:t>
      </w:r>
      <w:r w:rsidRPr="003B1303" w:rsidR="0078724D">
        <w:rPr>
          <w:lang w:val="fr-FR"/>
        </w:rPr>
        <w:t>644 (51,3 m²)</w:t>
      </w:r>
      <w:r w:rsidRPr="003B1303" w:rsidR="00640053">
        <w:rPr>
          <w:lang w:val="fr-FR"/>
        </w:rPr>
        <w:t>, n</w:t>
      </w:r>
      <w:r w:rsidRPr="003B1303" w:rsidR="00640053">
        <w:rPr>
          <w:vertAlign w:val="superscript"/>
          <w:lang w:val="fr-FR"/>
        </w:rPr>
        <w:t>o</w:t>
      </w:r>
      <w:r w:rsidRPr="003B1303" w:rsidR="00640053">
        <w:rPr>
          <w:lang w:val="fr-FR"/>
        </w:rPr>
        <w:t> 429 (43,8 m²), n</w:t>
      </w:r>
      <w:r w:rsidRPr="003B1303" w:rsidR="00640053">
        <w:rPr>
          <w:vertAlign w:val="superscript"/>
          <w:lang w:val="fr-FR"/>
        </w:rPr>
        <w:t>o</w:t>
      </w:r>
      <w:r w:rsidRPr="003B1303" w:rsidR="00640053">
        <w:rPr>
          <w:lang w:val="fr-FR"/>
        </w:rPr>
        <w:t> 228 (19,07 m²), n</w:t>
      </w:r>
      <w:r w:rsidRPr="003B1303" w:rsidR="00640053">
        <w:rPr>
          <w:vertAlign w:val="superscript"/>
          <w:lang w:val="fr-FR"/>
        </w:rPr>
        <w:t>o</w:t>
      </w:r>
      <w:r w:rsidRPr="003B1303" w:rsidR="00640053">
        <w:rPr>
          <w:lang w:val="fr-FR"/>
        </w:rPr>
        <w:t> 234 (34,2 m), n</w:t>
      </w:r>
      <w:r w:rsidRPr="003B1303" w:rsidR="00640053">
        <w:rPr>
          <w:vertAlign w:val="superscript"/>
          <w:lang w:val="fr-FR"/>
        </w:rPr>
        <w:t>o</w:t>
      </w:r>
      <w:r w:rsidRPr="003B1303" w:rsidR="00640053">
        <w:rPr>
          <w:lang w:val="fr-FR"/>
        </w:rPr>
        <w:t> 237 (17,2 m²), n</w:t>
      </w:r>
      <w:r w:rsidRPr="003B1303" w:rsidR="00640053">
        <w:rPr>
          <w:vertAlign w:val="superscript"/>
          <w:lang w:val="fr-FR"/>
        </w:rPr>
        <w:t>o</w:t>
      </w:r>
      <w:r w:rsidRPr="003B1303" w:rsidR="00640053">
        <w:rPr>
          <w:lang w:val="fr-FR"/>
        </w:rPr>
        <w:t> 238 (18,5 m²), n</w:t>
      </w:r>
      <w:r w:rsidRPr="003B1303" w:rsidR="00640053">
        <w:rPr>
          <w:vertAlign w:val="superscript"/>
          <w:lang w:val="fr-FR"/>
        </w:rPr>
        <w:t>o</w:t>
      </w:r>
      <w:r w:rsidRPr="003B1303" w:rsidR="00640053">
        <w:rPr>
          <w:lang w:val="fr-FR"/>
        </w:rPr>
        <w:t> 233 (18,5</w:t>
      </w:r>
      <w:r w:rsidRPr="003B1303" w:rsidR="006E5EBE">
        <w:rPr>
          <w:lang w:val="fr-FR"/>
        </w:rPr>
        <w:t> </w:t>
      </w:r>
      <w:r w:rsidRPr="003B1303" w:rsidR="00640053">
        <w:rPr>
          <w:lang w:val="fr-FR"/>
        </w:rPr>
        <w:t>m²), n</w:t>
      </w:r>
      <w:r w:rsidRPr="003B1303" w:rsidR="00640053">
        <w:rPr>
          <w:vertAlign w:val="superscript"/>
          <w:lang w:val="fr-FR"/>
        </w:rPr>
        <w:t>o</w:t>
      </w:r>
      <w:r w:rsidRPr="003B1303" w:rsidR="00640053">
        <w:rPr>
          <w:lang w:val="fr-FR"/>
        </w:rPr>
        <w:t> 242 (16,4 m²), n</w:t>
      </w:r>
      <w:r w:rsidRPr="003B1303" w:rsidR="00640053">
        <w:rPr>
          <w:vertAlign w:val="superscript"/>
          <w:lang w:val="fr-FR"/>
        </w:rPr>
        <w:t>o</w:t>
      </w:r>
      <w:r w:rsidRPr="003B1303" w:rsidR="00640053">
        <w:rPr>
          <w:lang w:val="fr-FR"/>
        </w:rPr>
        <w:t> 246 (18,9 m²), n</w:t>
      </w:r>
      <w:r w:rsidRPr="003B1303" w:rsidR="00640053">
        <w:rPr>
          <w:vertAlign w:val="superscript"/>
          <w:lang w:val="fr-FR"/>
        </w:rPr>
        <w:t>o</w:t>
      </w:r>
      <w:r w:rsidRPr="003B1303" w:rsidR="00640053">
        <w:rPr>
          <w:lang w:val="fr-FR"/>
        </w:rPr>
        <w:t> 240 (19,03 m²) et n</w:t>
      </w:r>
      <w:r w:rsidRPr="003B1303" w:rsidR="00640053">
        <w:rPr>
          <w:vertAlign w:val="superscript"/>
          <w:lang w:val="fr-FR"/>
        </w:rPr>
        <w:t>o</w:t>
      </w:r>
      <w:r w:rsidRPr="003B1303" w:rsidR="00640053">
        <w:rPr>
          <w:lang w:val="fr-FR"/>
        </w:rPr>
        <w:t> </w:t>
      </w:r>
      <w:r w:rsidRPr="003B1303" w:rsidR="00EF502D">
        <w:rPr>
          <w:lang w:val="fr-FR"/>
        </w:rPr>
        <w:t>264 (19,</w:t>
      </w:r>
      <w:r w:rsidRPr="003B1303" w:rsidR="00640053">
        <w:rPr>
          <w:lang w:val="fr-FR"/>
        </w:rPr>
        <w:t>35 m²). T</w:t>
      </w:r>
      <w:r w:rsidRPr="003B1303" w:rsidR="0078724D">
        <w:rPr>
          <w:lang w:val="fr-FR"/>
        </w:rPr>
        <w:t xml:space="preserve">oujours sur la base desdites attestations, le Gouvernement </w:t>
      </w:r>
      <w:r w:rsidRPr="003B1303" w:rsidR="00371880">
        <w:rPr>
          <w:lang w:val="fr-FR"/>
        </w:rPr>
        <w:t xml:space="preserve">soutient </w:t>
      </w:r>
      <w:r w:rsidRPr="003B1303" w:rsidR="0078724D">
        <w:rPr>
          <w:lang w:val="fr-FR"/>
        </w:rPr>
        <w:t xml:space="preserve">que </w:t>
      </w:r>
      <w:r w:rsidRPr="003B1303" w:rsidR="006B2FD0">
        <w:rPr>
          <w:lang w:val="fr-FR"/>
        </w:rPr>
        <w:t xml:space="preserve">les autres conditions matérielles de détention du </w:t>
      </w:r>
      <w:r w:rsidRPr="003B1303" w:rsidR="00371880">
        <w:rPr>
          <w:lang w:val="fr-FR"/>
        </w:rPr>
        <w:t xml:space="preserve">premier </w:t>
      </w:r>
      <w:r w:rsidRPr="003B1303" w:rsidR="006B2FD0">
        <w:rPr>
          <w:lang w:val="fr-FR"/>
        </w:rPr>
        <w:t>requérant, telles que la ventilation, l</w:t>
      </w:r>
      <w:r w:rsidRPr="003B1303" w:rsidR="003B1303">
        <w:rPr>
          <w:lang w:val="fr-FR"/>
        </w:rPr>
        <w:t>’</w:t>
      </w:r>
      <w:r w:rsidRPr="003B1303" w:rsidR="006B2FD0">
        <w:rPr>
          <w:lang w:val="fr-FR"/>
        </w:rPr>
        <w:t>éclairage, l</w:t>
      </w:r>
      <w:r w:rsidRPr="003B1303" w:rsidR="003B1303">
        <w:rPr>
          <w:lang w:val="fr-FR"/>
        </w:rPr>
        <w:t>’</w:t>
      </w:r>
      <w:r w:rsidRPr="003B1303" w:rsidR="006B2FD0">
        <w:rPr>
          <w:lang w:val="fr-FR"/>
        </w:rPr>
        <w:t>état des sanitaires, l</w:t>
      </w:r>
      <w:r w:rsidRPr="003B1303" w:rsidR="003B1303">
        <w:rPr>
          <w:lang w:val="fr-FR"/>
        </w:rPr>
        <w:t>’</w:t>
      </w:r>
      <w:r w:rsidRPr="003B1303" w:rsidR="006B2FD0">
        <w:rPr>
          <w:lang w:val="fr-FR"/>
        </w:rPr>
        <w:t>accès à la douche et à la cour de promenade, étaient conformes à l</w:t>
      </w:r>
      <w:r w:rsidRPr="003B1303" w:rsidR="003B1303">
        <w:rPr>
          <w:lang w:val="fr-FR"/>
        </w:rPr>
        <w:t>’</w:t>
      </w:r>
      <w:r w:rsidRPr="003B1303" w:rsidR="006B2FD0">
        <w:rPr>
          <w:lang w:val="fr-FR"/>
        </w:rPr>
        <w:t xml:space="preserve">article 3 de la Convention. </w:t>
      </w:r>
      <w:r w:rsidRPr="003B1303" w:rsidR="00470102">
        <w:rPr>
          <w:lang w:val="fr-FR"/>
        </w:rPr>
        <w:t>À</w:t>
      </w:r>
      <w:r w:rsidRPr="003B1303" w:rsidR="0078724D">
        <w:rPr>
          <w:lang w:val="fr-FR"/>
        </w:rPr>
        <w:t xml:space="preserve"> l</w:t>
      </w:r>
      <w:r w:rsidRPr="003B1303" w:rsidR="003B1303">
        <w:rPr>
          <w:lang w:val="fr-FR"/>
        </w:rPr>
        <w:t>’</w:t>
      </w:r>
      <w:r w:rsidRPr="003B1303" w:rsidR="0078724D">
        <w:rPr>
          <w:lang w:val="fr-FR"/>
        </w:rPr>
        <w:t>appui de sa thèse, l</w:t>
      </w:r>
      <w:r w:rsidRPr="003B1303">
        <w:rPr>
          <w:lang w:val="fr-FR"/>
        </w:rPr>
        <w:t xml:space="preserve">e Gouvernement </w:t>
      </w:r>
      <w:r w:rsidRPr="003B1303" w:rsidR="00371880">
        <w:rPr>
          <w:lang w:val="fr-FR"/>
        </w:rPr>
        <w:t>soumet</w:t>
      </w:r>
      <w:r w:rsidRPr="003B1303">
        <w:rPr>
          <w:lang w:val="fr-FR"/>
        </w:rPr>
        <w:t xml:space="preserve"> des extraits de registres des personnes </w:t>
      </w:r>
      <w:r w:rsidRPr="003B1303" w:rsidR="008B28D5">
        <w:rPr>
          <w:lang w:val="fr-FR"/>
        </w:rPr>
        <w:t>détenues dans la maison d</w:t>
      </w:r>
      <w:r w:rsidRPr="003B1303" w:rsidR="003B1303">
        <w:rPr>
          <w:lang w:val="fr-FR"/>
        </w:rPr>
        <w:t>’</w:t>
      </w:r>
      <w:r w:rsidRPr="003B1303" w:rsidR="008B28D5">
        <w:rPr>
          <w:lang w:val="fr-FR"/>
        </w:rPr>
        <w:t xml:space="preserve">arrêt </w:t>
      </w:r>
      <w:r w:rsidRPr="003B1303" w:rsidR="0078724D">
        <w:rPr>
          <w:lang w:val="fr-FR"/>
        </w:rPr>
        <w:t>n</w:t>
      </w:r>
      <w:r w:rsidRPr="003B1303" w:rsidR="0078724D">
        <w:rPr>
          <w:vertAlign w:val="superscript"/>
          <w:lang w:val="fr-FR"/>
        </w:rPr>
        <w:t>o</w:t>
      </w:r>
      <w:r w:rsidRPr="003B1303" w:rsidR="0078724D">
        <w:rPr>
          <w:lang w:val="fr-FR"/>
        </w:rPr>
        <w:t> IZ-38/1 couvrant</w:t>
      </w:r>
      <w:r w:rsidRPr="003B1303" w:rsidR="009C7724">
        <w:rPr>
          <w:lang w:val="fr-FR"/>
        </w:rPr>
        <w:t xml:space="preserve"> 277 </w:t>
      </w:r>
      <w:r w:rsidRPr="003B1303" w:rsidR="00371880">
        <w:rPr>
          <w:lang w:val="fr-FR"/>
        </w:rPr>
        <w:t xml:space="preserve">des </w:t>
      </w:r>
      <w:r w:rsidRPr="003B1303" w:rsidR="009C7724">
        <w:rPr>
          <w:lang w:val="fr-FR"/>
        </w:rPr>
        <w:t>1</w:t>
      </w:r>
      <w:r w:rsidRPr="003B1303" w:rsidR="00371880">
        <w:rPr>
          <w:lang w:val="fr-FR"/>
        </w:rPr>
        <w:t> </w:t>
      </w:r>
      <w:r w:rsidRPr="003B1303" w:rsidR="009C7724">
        <w:rPr>
          <w:lang w:val="fr-FR"/>
        </w:rPr>
        <w:t>443</w:t>
      </w:r>
      <w:r w:rsidRPr="003B1303" w:rsidR="00371880">
        <w:rPr>
          <w:lang w:val="fr-FR"/>
        </w:rPr>
        <w:t> </w:t>
      </w:r>
      <w:r w:rsidRPr="003B1303" w:rsidR="009C7724">
        <w:rPr>
          <w:lang w:val="fr-FR"/>
        </w:rPr>
        <w:t xml:space="preserve">jours </w:t>
      </w:r>
      <w:r w:rsidRPr="003B1303" w:rsidR="008B28D5">
        <w:rPr>
          <w:lang w:val="fr-FR"/>
        </w:rPr>
        <w:t xml:space="preserve">de détention du </w:t>
      </w:r>
      <w:r w:rsidRPr="003B1303" w:rsidR="00371880">
        <w:rPr>
          <w:lang w:val="fr-FR"/>
        </w:rPr>
        <w:t xml:space="preserve">premier </w:t>
      </w:r>
      <w:r w:rsidRPr="003B1303" w:rsidR="008B28D5">
        <w:rPr>
          <w:lang w:val="fr-FR"/>
        </w:rPr>
        <w:t>requérant.</w:t>
      </w:r>
    </w:p>
    <w:bookmarkStart w:name="condA3arg" w:id="72"/>
    <w:p w:rsidRPr="003B1303" w:rsidR="00BE4C83" w:rsidP="003B1303" w:rsidRDefault="000A766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140</w:t>
      </w:r>
      <w:r w:rsidRPr="003B1303">
        <w:rPr>
          <w:lang w:val="fr-FR"/>
        </w:rPr>
        <w:fldChar w:fldCharType="end"/>
      </w:r>
      <w:bookmarkEnd w:id="72"/>
      <w:r w:rsidRPr="003B1303">
        <w:rPr>
          <w:lang w:val="fr-FR"/>
        </w:rPr>
        <w:t>.  </w:t>
      </w:r>
      <w:r w:rsidRPr="003B1303" w:rsidR="008B28D5">
        <w:rPr>
          <w:lang w:val="fr-FR"/>
        </w:rPr>
        <w:t xml:space="preserve">Le </w:t>
      </w:r>
      <w:r w:rsidRPr="003B1303" w:rsidR="00371880">
        <w:rPr>
          <w:lang w:val="fr-FR"/>
        </w:rPr>
        <w:t xml:space="preserve">premier </w:t>
      </w:r>
      <w:r w:rsidRPr="003B1303" w:rsidR="008B28D5">
        <w:rPr>
          <w:lang w:val="fr-FR"/>
        </w:rPr>
        <w:t>requérant maintient son grief</w:t>
      </w:r>
      <w:r w:rsidRPr="003B1303" w:rsidR="009C7724">
        <w:rPr>
          <w:lang w:val="fr-FR"/>
        </w:rPr>
        <w:t>. Il</w:t>
      </w:r>
      <w:r w:rsidRPr="003B1303" w:rsidR="008B28D5">
        <w:rPr>
          <w:lang w:val="fr-FR"/>
        </w:rPr>
        <w:t xml:space="preserve"> </w:t>
      </w:r>
      <w:r w:rsidRPr="003B1303" w:rsidR="00C97B48">
        <w:rPr>
          <w:lang w:val="fr-FR"/>
        </w:rPr>
        <w:t xml:space="preserve">soumet </w:t>
      </w:r>
      <w:r w:rsidRPr="003B1303" w:rsidR="00D5413A">
        <w:rPr>
          <w:lang w:val="fr-FR"/>
        </w:rPr>
        <w:t>ses</w:t>
      </w:r>
      <w:r w:rsidRPr="003B1303" w:rsidR="00C97B48">
        <w:rPr>
          <w:lang w:val="fr-FR"/>
        </w:rPr>
        <w:t xml:space="preserve"> </w:t>
      </w:r>
      <w:r w:rsidRPr="003B1303" w:rsidR="0078724D">
        <w:rPr>
          <w:lang w:val="fr-FR"/>
        </w:rPr>
        <w:t xml:space="preserve">propres </w:t>
      </w:r>
      <w:r w:rsidRPr="003B1303" w:rsidR="00C97B48">
        <w:rPr>
          <w:lang w:val="fr-FR"/>
        </w:rPr>
        <w:t xml:space="preserve">données quant à la superficie </w:t>
      </w:r>
      <w:r w:rsidRPr="003B1303" w:rsidR="00C66B63">
        <w:rPr>
          <w:lang w:val="fr-FR"/>
        </w:rPr>
        <w:t xml:space="preserve">des cellules dans lesquelles il avait séjourné </w:t>
      </w:r>
      <w:r w:rsidRPr="003B1303" w:rsidR="00C97B48">
        <w:rPr>
          <w:lang w:val="fr-FR"/>
        </w:rPr>
        <w:t xml:space="preserve">et au nombre de personnes </w:t>
      </w:r>
      <w:r w:rsidRPr="003B1303" w:rsidR="00371880">
        <w:rPr>
          <w:lang w:val="fr-FR"/>
        </w:rPr>
        <w:t xml:space="preserve">qui </w:t>
      </w:r>
      <w:r w:rsidRPr="003B1303" w:rsidR="00C66B63">
        <w:rPr>
          <w:lang w:val="fr-FR"/>
        </w:rPr>
        <w:t xml:space="preserve">y </w:t>
      </w:r>
      <w:r w:rsidRPr="003B1303" w:rsidR="00371880">
        <w:rPr>
          <w:lang w:val="fr-FR"/>
        </w:rPr>
        <w:t xml:space="preserve">étaient </w:t>
      </w:r>
      <w:r w:rsidRPr="003B1303" w:rsidR="00C97B48">
        <w:rPr>
          <w:lang w:val="fr-FR"/>
        </w:rPr>
        <w:t>placées</w:t>
      </w:r>
      <w:r w:rsidRPr="003B1303" w:rsidR="009C7724">
        <w:rPr>
          <w:lang w:val="fr-FR"/>
        </w:rPr>
        <w:t xml:space="preserve">. </w:t>
      </w:r>
      <w:r w:rsidRPr="003B1303" w:rsidR="00371880">
        <w:rPr>
          <w:lang w:val="fr-FR"/>
        </w:rPr>
        <w:t>Il</w:t>
      </w:r>
      <w:r w:rsidRPr="003B1303" w:rsidR="009C7724">
        <w:rPr>
          <w:lang w:val="fr-FR"/>
        </w:rPr>
        <w:t xml:space="preserve"> allègue</w:t>
      </w:r>
      <w:r w:rsidRPr="003B1303" w:rsidR="00371880">
        <w:rPr>
          <w:lang w:val="fr-FR"/>
        </w:rPr>
        <w:t xml:space="preserve"> notamment</w:t>
      </w:r>
      <w:r w:rsidRPr="003B1303" w:rsidR="009C7724">
        <w:rPr>
          <w:lang w:val="fr-FR"/>
        </w:rPr>
        <w:t xml:space="preserve"> que les cellules </w:t>
      </w:r>
      <w:r w:rsidRPr="003B1303" w:rsidR="008B28D5">
        <w:rPr>
          <w:lang w:val="fr-FR"/>
        </w:rPr>
        <w:t>n</w:t>
      </w:r>
      <w:r w:rsidRPr="003B1303" w:rsidR="008B28D5">
        <w:rPr>
          <w:vertAlign w:val="superscript"/>
          <w:lang w:val="fr-FR"/>
        </w:rPr>
        <w:t>o</w:t>
      </w:r>
      <w:r w:rsidRPr="003B1303" w:rsidR="0078724D">
        <w:rPr>
          <w:vertAlign w:val="superscript"/>
          <w:lang w:val="fr-FR"/>
        </w:rPr>
        <w:t>s</w:t>
      </w:r>
      <w:r w:rsidRPr="003B1303" w:rsidR="008B28D5">
        <w:rPr>
          <w:lang w:val="fr-FR"/>
        </w:rPr>
        <w:t> </w:t>
      </w:r>
      <w:r w:rsidRPr="003B1303" w:rsidR="009C7724">
        <w:rPr>
          <w:lang w:val="fr-FR"/>
        </w:rPr>
        <w:t xml:space="preserve">226, 228, 233, 237, 238, </w:t>
      </w:r>
      <w:r w:rsidRPr="003B1303" w:rsidR="008B28D5">
        <w:rPr>
          <w:lang w:val="fr-FR"/>
        </w:rPr>
        <w:t>239</w:t>
      </w:r>
      <w:r w:rsidRPr="003B1303" w:rsidR="009C7724">
        <w:rPr>
          <w:lang w:val="fr-FR"/>
        </w:rPr>
        <w:t>, 242, 240, 246</w:t>
      </w:r>
      <w:r w:rsidRPr="003B1303" w:rsidR="00371880">
        <w:rPr>
          <w:lang w:val="fr-FR"/>
        </w:rPr>
        <w:t xml:space="preserve"> et</w:t>
      </w:r>
      <w:r w:rsidRPr="003B1303" w:rsidR="009C7724">
        <w:rPr>
          <w:lang w:val="fr-FR"/>
        </w:rPr>
        <w:t xml:space="preserve"> 264 mesuraient 8</w:t>
      </w:r>
      <w:r w:rsidRPr="003B1303" w:rsidR="00371880">
        <w:rPr>
          <w:lang w:val="fr-FR"/>
        </w:rPr>
        <w:t> </w:t>
      </w:r>
      <w:r w:rsidRPr="003B1303" w:rsidR="009C7724">
        <w:rPr>
          <w:lang w:val="fr-FR"/>
        </w:rPr>
        <w:t xml:space="preserve">m² et </w:t>
      </w:r>
      <w:r w:rsidRPr="003B1303" w:rsidR="00371880">
        <w:rPr>
          <w:lang w:val="fr-FR"/>
        </w:rPr>
        <w:t>qu</w:t>
      </w:r>
      <w:r w:rsidRPr="003B1303" w:rsidR="003B1303">
        <w:rPr>
          <w:lang w:val="fr-FR"/>
        </w:rPr>
        <w:t>’</w:t>
      </w:r>
      <w:r w:rsidRPr="003B1303" w:rsidR="00371880">
        <w:rPr>
          <w:lang w:val="fr-FR"/>
        </w:rPr>
        <w:t xml:space="preserve">elles </w:t>
      </w:r>
      <w:r w:rsidRPr="003B1303" w:rsidR="009C7724">
        <w:rPr>
          <w:lang w:val="fr-FR"/>
        </w:rPr>
        <w:t>étaient occupées par</w:t>
      </w:r>
      <w:r w:rsidRPr="003B1303" w:rsidR="008B28D5">
        <w:rPr>
          <w:lang w:val="fr-FR"/>
        </w:rPr>
        <w:t xml:space="preserve"> </w:t>
      </w:r>
      <w:r w:rsidRPr="003B1303" w:rsidR="009C7724">
        <w:rPr>
          <w:lang w:val="fr-FR"/>
        </w:rPr>
        <w:t>quatre</w:t>
      </w:r>
      <w:r w:rsidRPr="003B1303" w:rsidR="008B28D5">
        <w:rPr>
          <w:lang w:val="fr-FR"/>
        </w:rPr>
        <w:t xml:space="preserve"> personnes</w:t>
      </w:r>
      <w:r w:rsidRPr="003B1303" w:rsidR="009C7724">
        <w:rPr>
          <w:lang w:val="fr-FR"/>
        </w:rPr>
        <w:t xml:space="preserve">, </w:t>
      </w:r>
      <w:r w:rsidRPr="003B1303" w:rsidR="00371880">
        <w:rPr>
          <w:lang w:val="fr-FR"/>
        </w:rPr>
        <w:t xml:space="preserve">que </w:t>
      </w:r>
      <w:r w:rsidRPr="003B1303" w:rsidR="009C7724">
        <w:rPr>
          <w:lang w:val="fr-FR"/>
        </w:rPr>
        <w:t>la cellule n</w:t>
      </w:r>
      <w:r w:rsidRPr="003B1303" w:rsidR="009C7724">
        <w:rPr>
          <w:vertAlign w:val="superscript"/>
          <w:lang w:val="fr-FR"/>
        </w:rPr>
        <w:t>o</w:t>
      </w:r>
      <w:r w:rsidRPr="003B1303" w:rsidR="009C7724">
        <w:rPr>
          <w:lang w:val="fr-FR"/>
        </w:rPr>
        <w:t> </w:t>
      </w:r>
      <w:r w:rsidRPr="003B1303" w:rsidR="008B28D5">
        <w:rPr>
          <w:lang w:val="fr-FR"/>
        </w:rPr>
        <w:t>4</w:t>
      </w:r>
      <w:r w:rsidRPr="003B1303" w:rsidR="00C97B48">
        <w:rPr>
          <w:lang w:val="fr-FR"/>
        </w:rPr>
        <w:t>3</w:t>
      </w:r>
      <w:r w:rsidRPr="003B1303" w:rsidR="008B28D5">
        <w:rPr>
          <w:lang w:val="fr-FR"/>
        </w:rPr>
        <w:t>9</w:t>
      </w:r>
      <w:r w:rsidRPr="003B1303" w:rsidR="009C7724">
        <w:rPr>
          <w:lang w:val="fr-FR"/>
        </w:rPr>
        <w:t xml:space="preserve"> mesurait 50 m² et était occupé</w:t>
      </w:r>
      <w:r w:rsidRPr="003B1303" w:rsidR="00470102">
        <w:rPr>
          <w:lang w:val="fr-FR"/>
        </w:rPr>
        <w:t>e</w:t>
      </w:r>
      <w:r w:rsidRPr="003B1303" w:rsidR="009C7724">
        <w:rPr>
          <w:lang w:val="fr-FR"/>
        </w:rPr>
        <w:t xml:space="preserve"> par vingt-deux personnes</w:t>
      </w:r>
      <w:r w:rsidRPr="003B1303" w:rsidR="00371880">
        <w:rPr>
          <w:lang w:val="fr-FR"/>
        </w:rPr>
        <w:t>, et que</w:t>
      </w:r>
      <w:r w:rsidRPr="003B1303" w:rsidR="009C7724">
        <w:rPr>
          <w:lang w:val="fr-FR"/>
        </w:rPr>
        <w:t xml:space="preserve"> les cellules n</w:t>
      </w:r>
      <w:r w:rsidRPr="003B1303" w:rsidR="009C7724">
        <w:rPr>
          <w:vertAlign w:val="superscript"/>
          <w:lang w:val="fr-FR"/>
        </w:rPr>
        <w:t>os</w:t>
      </w:r>
      <w:r w:rsidRPr="003B1303" w:rsidR="009C7724">
        <w:rPr>
          <w:lang w:val="fr-FR"/>
        </w:rPr>
        <w:t> 234 et 664 mesuraient 16</w:t>
      </w:r>
      <w:r w:rsidRPr="003B1303" w:rsidR="00EF502D">
        <w:rPr>
          <w:lang w:val="fr-FR"/>
        </w:rPr>
        <w:t> </w:t>
      </w:r>
      <w:r w:rsidRPr="003B1303" w:rsidR="009C7724">
        <w:rPr>
          <w:lang w:val="fr-FR"/>
        </w:rPr>
        <w:t xml:space="preserve">m² et étaient occupées par huit et cinq personnes respectivement. </w:t>
      </w:r>
      <w:r w:rsidRPr="003B1303" w:rsidR="00EF502D">
        <w:rPr>
          <w:rFonts w:cstheme="minorHAnsi"/>
          <w:lang w:val="fr-FR"/>
        </w:rPr>
        <w:t>À</w:t>
      </w:r>
      <w:r w:rsidRPr="003B1303" w:rsidR="00EF502D">
        <w:rPr>
          <w:lang w:val="fr-FR"/>
        </w:rPr>
        <w:t xml:space="preserve"> </w:t>
      </w:r>
      <w:r w:rsidRPr="003B1303" w:rsidR="0078724D">
        <w:rPr>
          <w:lang w:val="fr-FR"/>
        </w:rPr>
        <w:t>l</w:t>
      </w:r>
      <w:r w:rsidRPr="003B1303" w:rsidR="003B1303">
        <w:rPr>
          <w:lang w:val="fr-FR"/>
        </w:rPr>
        <w:t>’</w:t>
      </w:r>
      <w:r w:rsidRPr="003B1303" w:rsidR="0078724D">
        <w:rPr>
          <w:lang w:val="fr-FR"/>
        </w:rPr>
        <w:t xml:space="preserve">appui de sa thèse, il soumet </w:t>
      </w:r>
      <w:r w:rsidRPr="003B1303" w:rsidR="00371880">
        <w:rPr>
          <w:lang w:val="fr-FR"/>
        </w:rPr>
        <w:t>l</w:t>
      </w:r>
      <w:r w:rsidRPr="003B1303" w:rsidR="0078724D">
        <w:rPr>
          <w:lang w:val="fr-FR"/>
        </w:rPr>
        <w:t xml:space="preserve">es déclarations de quatre personnes, Tim., </w:t>
      </w:r>
      <w:proofErr w:type="spellStart"/>
      <w:r w:rsidRPr="003B1303" w:rsidR="0078724D">
        <w:rPr>
          <w:lang w:val="fr-FR"/>
        </w:rPr>
        <w:t>Nab</w:t>
      </w:r>
      <w:proofErr w:type="spellEnd"/>
      <w:r w:rsidRPr="003B1303" w:rsidR="0078724D">
        <w:rPr>
          <w:lang w:val="fr-FR"/>
        </w:rPr>
        <w:t xml:space="preserve">., </w:t>
      </w:r>
      <w:proofErr w:type="spellStart"/>
      <w:r w:rsidRPr="003B1303" w:rsidR="0078724D">
        <w:rPr>
          <w:lang w:val="fr-FR"/>
        </w:rPr>
        <w:t>Khud</w:t>
      </w:r>
      <w:proofErr w:type="spellEnd"/>
      <w:r w:rsidRPr="003B1303" w:rsidR="0078724D">
        <w:rPr>
          <w:lang w:val="fr-FR"/>
        </w:rPr>
        <w:t xml:space="preserve">., </w:t>
      </w:r>
      <w:proofErr w:type="spellStart"/>
      <w:r w:rsidRPr="003B1303" w:rsidR="0078724D">
        <w:rPr>
          <w:lang w:val="fr-FR"/>
        </w:rPr>
        <w:t>Chei</w:t>
      </w:r>
      <w:proofErr w:type="spellEnd"/>
      <w:r w:rsidRPr="003B1303" w:rsidR="0078724D">
        <w:rPr>
          <w:lang w:val="fr-FR"/>
        </w:rPr>
        <w:t xml:space="preserve">., qui auraient été détenus avec </w:t>
      </w:r>
      <w:r w:rsidRPr="003B1303" w:rsidR="00EF502D">
        <w:rPr>
          <w:lang w:val="fr-FR"/>
        </w:rPr>
        <w:t>lui</w:t>
      </w:r>
      <w:r w:rsidRPr="003B1303" w:rsidR="0078724D">
        <w:rPr>
          <w:lang w:val="fr-FR"/>
        </w:rPr>
        <w:t xml:space="preserve"> dans les cellules </w:t>
      </w:r>
      <w:r w:rsidRPr="003B1303" w:rsidR="00640053">
        <w:rPr>
          <w:lang w:val="fr-FR"/>
        </w:rPr>
        <w:t>n</w:t>
      </w:r>
      <w:r w:rsidRPr="003B1303" w:rsidR="00640053">
        <w:rPr>
          <w:vertAlign w:val="superscript"/>
          <w:lang w:val="fr-FR"/>
        </w:rPr>
        <w:t>os</w:t>
      </w:r>
      <w:r w:rsidRPr="003B1303" w:rsidR="00640053">
        <w:rPr>
          <w:lang w:val="fr-FR"/>
        </w:rPr>
        <w:t> </w:t>
      </w:r>
      <w:r w:rsidRPr="003B1303" w:rsidR="0078724D">
        <w:rPr>
          <w:lang w:val="fr-FR"/>
        </w:rPr>
        <w:t xml:space="preserve">226, 227, 233, 237, </w:t>
      </w:r>
      <w:r w:rsidRPr="003B1303" w:rsidR="00640053">
        <w:rPr>
          <w:lang w:val="fr-FR"/>
        </w:rPr>
        <w:t>239</w:t>
      </w:r>
      <w:r w:rsidRPr="003B1303" w:rsidR="00640053">
        <w:rPr>
          <w:vertAlign w:val="superscript"/>
          <w:lang w:val="fr-FR"/>
        </w:rPr>
        <w:t xml:space="preserve"> </w:t>
      </w:r>
      <w:r w:rsidRPr="003B1303" w:rsidR="00640053">
        <w:rPr>
          <w:lang w:val="fr-FR"/>
        </w:rPr>
        <w:t>et 439.</w:t>
      </w:r>
    </w:p>
    <w:p w:rsidRPr="003B1303" w:rsidR="00BE4C83" w:rsidP="003B1303" w:rsidRDefault="007107B2">
      <w:pPr>
        <w:pStyle w:val="ECHRHeading3"/>
        <w:rPr>
          <w:lang w:val="fr-FR"/>
        </w:rPr>
      </w:pPr>
      <w:r w:rsidRPr="003B1303">
        <w:rPr>
          <w:lang w:val="fr-FR"/>
        </w:rPr>
        <w:t>2.  </w:t>
      </w:r>
      <w:r w:rsidRPr="003B1303" w:rsidR="00D47B9F">
        <w:rPr>
          <w:lang w:val="fr-FR"/>
        </w:rPr>
        <w:t>Appréciation de la Cour</w:t>
      </w:r>
    </w:p>
    <w:p w:rsidRPr="003B1303" w:rsidR="00E77CB3" w:rsidP="003B1303" w:rsidRDefault="00D47B9F">
      <w:pPr>
        <w:pStyle w:val="ECHRHeading4"/>
        <w:rPr>
          <w:lang w:val="fr-FR"/>
        </w:rPr>
      </w:pPr>
      <w:r w:rsidRPr="003B1303">
        <w:rPr>
          <w:lang w:val="fr-FR"/>
        </w:rPr>
        <w:t>a)  </w:t>
      </w:r>
      <w:r w:rsidRPr="003B1303" w:rsidR="00E77CB3">
        <w:rPr>
          <w:lang w:val="fr-FR"/>
        </w:rPr>
        <w:t>Sur la recevabilité</w:t>
      </w:r>
    </w:p>
    <w:p w:rsidRPr="003B1303" w:rsidR="000A0B15" w:rsidP="003B1303" w:rsidRDefault="00D47B9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141</w:t>
      </w:r>
      <w:r w:rsidRPr="003B1303">
        <w:rPr>
          <w:lang w:val="fr-FR"/>
        </w:rPr>
        <w:fldChar w:fldCharType="end"/>
      </w:r>
      <w:r w:rsidRPr="003B1303">
        <w:rPr>
          <w:lang w:val="fr-FR"/>
        </w:rPr>
        <w:t>.  Constatant que ce grief n</w:t>
      </w:r>
      <w:r w:rsidRPr="003B1303" w:rsidR="003B1303">
        <w:rPr>
          <w:lang w:val="fr-FR"/>
        </w:rPr>
        <w:t>’</w:t>
      </w:r>
      <w:r w:rsidRPr="003B1303">
        <w:rPr>
          <w:lang w:val="fr-FR"/>
        </w:rPr>
        <w:t>est pas manifestement mal fondé</w:t>
      </w:r>
      <w:r w:rsidRPr="003B1303" w:rsidR="000A7665">
        <w:rPr>
          <w:lang w:val="fr-FR"/>
        </w:rPr>
        <w:t xml:space="preserve"> au sens de l</w:t>
      </w:r>
      <w:r w:rsidRPr="003B1303" w:rsidR="003B1303">
        <w:rPr>
          <w:lang w:val="fr-FR"/>
        </w:rPr>
        <w:t>’</w:t>
      </w:r>
      <w:r w:rsidRPr="003B1303" w:rsidR="000A7665">
        <w:rPr>
          <w:lang w:val="fr-FR"/>
        </w:rPr>
        <w:t>article 35 § </w:t>
      </w:r>
      <w:r w:rsidRPr="003B1303">
        <w:rPr>
          <w:lang w:val="fr-FR"/>
        </w:rPr>
        <w:t>3 a) de la Convention et qu</w:t>
      </w:r>
      <w:r w:rsidRPr="003B1303" w:rsidR="003B1303">
        <w:rPr>
          <w:lang w:val="fr-FR"/>
        </w:rPr>
        <w:t>’</w:t>
      </w:r>
      <w:r w:rsidRPr="003B1303">
        <w:rPr>
          <w:lang w:val="fr-FR"/>
        </w:rPr>
        <w:t>il ne se heurte par ailleurs à aucun autre motif d</w:t>
      </w:r>
      <w:r w:rsidRPr="003B1303" w:rsidR="003B1303">
        <w:rPr>
          <w:lang w:val="fr-FR"/>
        </w:rPr>
        <w:t>’</w:t>
      </w:r>
      <w:r w:rsidRPr="003B1303">
        <w:rPr>
          <w:lang w:val="fr-FR"/>
        </w:rPr>
        <w:t>irrecevabilité, la Cour le déclare recevable.</w:t>
      </w:r>
    </w:p>
    <w:p w:rsidRPr="003B1303" w:rsidR="00D47B9F" w:rsidP="003B1303" w:rsidRDefault="00D47B9F">
      <w:pPr>
        <w:pStyle w:val="ECHRHeading4"/>
        <w:rPr>
          <w:lang w:val="fr-FR"/>
        </w:rPr>
      </w:pPr>
      <w:r w:rsidRPr="003B1303">
        <w:rPr>
          <w:lang w:val="fr-FR"/>
        </w:rPr>
        <w:t>b)  Sur le fond</w:t>
      </w:r>
    </w:p>
    <w:p w:rsidRPr="003B1303" w:rsidR="00EB5DF6" w:rsidP="003B1303" w:rsidRDefault="00EB5DF6">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142</w:t>
      </w:r>
      <w:r w:rsidRPr="003B1303">
        <w:rPr>
          <w:lang w:val="fr-FR"/>
        </w:rPr>
        <w:fldChar w:fldCharType="end"/>
      </w:r>
      <w:r w:rsidRPr="003B1303">
        <w:rPr>
          <w:lang w:val="fr-FR"/>
        </w:rPr>
        <w:t>.  La Cour rappelle avoir déjà conclu dans de nombreuses affaires à la violation de l</w:t>
      </w:r>
      <w:r w:rsidRPr="003B1303" w:rsidR="003B1303">
        <w:rPr>
          <w:lang w:val="fr-FR"/>
        </w:rPr>
        <w:t>’</w:t>
      </w:r>
      <w:r w:rsidRPr="003B1303">
        <w:rPr>
          <w:lang w:val="fr-FR"/>
        </w:rPr>
        <w:t>article 3 de la Convention à raison des conditions de détention dans des maisons d</w:t>
      </w:r>
      <w:r w:rsidRPr="003B1303" w:rsidR="003B1303">
        <w:rPr>
          <w:lang w:val="fr-FR"/>
        </w:rPr>
        <w:t>’</w:t>
      </w:r>
      <w:r w:rsidRPr="003B1303">
        <w:rPr>
          <w:lang w:val="fr-FR"/>
        </w:rPr>
        <w:t xml:space="preserve">arrêt </w:t>
      </w:r>
      <w:r w:rsidRPr="003B1303" w:rsidR="00C66B63">
        <w:rPr>
          <w:lang w:val="fr-FR"/>
        </w:rPr>
        <w:t xml:space="preserve">russes </w:t>
      </w:r>
      <w:r w:rsidRPr="003B1303">
        <w:rPr>
          <w:lang w:val="fr-FR"/>
        </w:rPr>
        <w:t xml:space="preserve">(voir, par exemple, </w:t>
      </w:r>
      <w:proofErr w:type="spellStart"/>
      <w:r w:rsidRPr="003B1303">
        <w:rPr>
          <w:i/>
          <w:iCs/>
          <w:lang w:val="fr-FR"/>
        </w:rPr>
        <w:t>Dudchenko</w:t>
      </w:r>
      <w:proofErr w:type="spellEnd"/>
      <w:r w:rsidRPr="003B1303">
        <w:rPr>
          <w:i/>
          <w:iCs/>
          <w:lang w:val="fr-FR"/>
        </w:rPr>
        <w:t xml:space="preserve"> c. Russie</w:t>
      </w:r>
      <w:r w:rsidRPr="003B1303">
        <w:rPr>
          <w:lang w:val="fr-FR"/>
        </w:rPr>
        <w:t>, n</w:t>
      </w:r>
      <w:r w:rsidRPr="003B1303">
        <w:rPr>
          <w:vertAlign w:val="superscript"/>
          <w:lang w:val="fr-FR"/>
        </w:rPr>
        <w:t>o</w:t>
      </w:r>
      <w:r w:rsidRPr="003B1303">
        <w:rPr>
          <w:lang w:val="fr-FR"/>
        </w:rPr>
        <w:t> 37717/05, §§ 116</w:t>
      </w:r>
      <w:r w:rsidRPr="003B1303">
        <w:rPr>
          <w:lang w:val="fr-FR"/>
        </w:rPr>
        <w:noBreakHyphen/>
        <w:t xml:space="preserve">123, 7 novembre 2017, </w:t>
      </w:r>
      <w:proofErr w:type="spellStart"/>
      <w:r w:rsidRPr="003B1303">
        <w:rPr>
          <w:i/>
          <w:lang w:val="fr-FR"/>
        </w:rPr>
        <w:t>Vyatkin</w:t>
      </w:r>
      <w:proofErr w:type="spellEnd"/>
      <w:r w:rsidRPr="003B1303">
        <w:rPr>
          <w:i/>
          <w:lang w:val="fr-FR"/>
        </w:rPr>
        <w:t xml:space="preserve"> c. Russie</w:t>
      </w:r>
      <w:r w:rsidRPr="003B1303">
        <w:rPr>
          <w:lang w:val="fr-FR"/>
        </w:rPr>
        <w:t>, n</w:t>
      </w:r>
      <w:r w:rsidRPr="003B1303">
        <w:rPr>
          <w:vertAlign w:val="superscript"/>
          <w:lang w:val="fr-FR"/>
        </w:rPr>
        <w:t>o</w:t>
      </w:r>
      <w:r w:rsidRPr="003B1303">
        <w:rPr>
          <w:lang w:val="fr-FR"/>
        </w:rPr>
        <w:t> 18813/06, §§ 36</w:t>
      </w:r>
      <w:r w:rsidRPr="003B1303">
        <w:rPr>
          <w:lang w:val="fr-FR"/>
        </w:rPr>
        <w:noBreakHyphen/>
        <w:t xml:space="preserve">44, 11 avril 2013, </w:t>
      </w:r>
      <w:proofErr w:type="spellStart"/>
      <w:r w:rsidRPr="003B1303">
        <w:rPr>
          <w:i/>
          <w:lang w:val="fr-FR"/>
        </w:rPr>
        <w:t>Mayzit</w:t>
      </w:r>
      <w:proofErr w:type="spellEnd"/>
      <w:r w:rsidRPr="003B1303">
        <w:rPr>
          <w:i/>
          <w:lang w:val="fr-FR"/>
        </w:rPr>
        <w:t xml:space="preserve"> c. Russie</w:t>
      </w:r>
      <w:r w:rsidRPr="003B1303">
        <w:rPr>
          <w:lang w:val="fr-FR"/>
        </w:rPr>
        <w:t>, n</w:t>
      </w:r>
      <w:r w:rsidRPr="003B1303">
        <w:rPr>
          <w:vertAlign w:val="superscript"/>
          <w:lang w:val="fr-FR"/>
        </w:rPr>
        <w:t>o </w:t>
      </w:r>
      <w:r w:rsidRPr="003B1303">
        <w:rPr>
          <w:lang w:val="fr-FR"/>
        </w:rPr>
        <w:t>63378/00, §§ 34</w:t>
      </w:r>
      <w:r w:rsidRPr="003B1303">
        <w:rPr>
          <w:lang w:val="fr-FR"/>
        </w:rPr>
        <w:noBreakHyphen/>
        <w:t>43, 20</w:t>
      </w:r>
      <w:r w:rsidRPr="003B1303" w:rsidR="00EF502D">
        <w:rPr>
          <w:lang w:val="fr-FR"/>
        </w:rPr>
        <w:t> </w:t>
      </w:r>
      <w:r w:rsidRPr="003B1303">
        <w:rPr>
          <w:lang w:val="fr-FR"/>
        </w:rPr>
        <w:t xml:space="preserve">janvier 2005, </w:t>
      </w:r>
      <w:proofErr w:type="spellStart"/>
      <w:r w:rsidRPr="003B1303" w:rsidR="00EF502D">
        <w:rPr>
          <w:i/>
          <w:lang w:val="fr-FR"/>
        </w:rPr>
        <w:t>Ananyev</w:t>
      </w:r>
      <w:proofErr w:type="spellEnd"/>
      <w:r w:rsidRPr="003B1303" w:rsidR="00EF502D">
        <w:rPr>
          <w:i/>
          <w:lang w:val="fr-FR"/>
        </w:rPr>
        <w:t xml:space="preserve"> et autres c. Russie</w:t>
      </w:r>
      <w:r w:rsidRPr="003B1303" w:rsidR="00EF502D">
        <w:rPr>
          <w:lang w:val="fr-FR"/>
        </w:rPr>
        <w:t>, n</w:t>
      </w:r>
      <w:r w:rsidRPr="003B1303" w:rsidR="00EF502D">
        <w:rPr>
          <w:vertAlign w:val="superscript"/>
          <w:lang w:val="fr-FR"/>
        </w:rPr>
        <w:t>os</w:t>
      </w:r>
      <w:r w:rsidRPr="003B1303" w:rsidR="00EF502D">
        <w:rPr>
          <w:lang w:val="fr-FR"/>
        </w:rPr>
        <w:t> 42525/07 et 60800/08, §§ 160</w:t>
      </w:r>
      <w:r w:rsidRPr="003B1303" w:rsidR="00EF502D">
        <w:rPr>
          <w:lang w:val="fr-FR"/>
        </w:rPr>
        <w:noBreakHyphen/>
        <w:t>166, 10 janvier 2012,</w:t>
      </w:r>
      <w:r w:rsidRPr="003B1303">
        <w:rPr>
          <w:lang w:val="fr-FR"/>
        </w:rPr>
        <w:t xml:space="preserve"> </w:t>
      </w:r>
      <w:proofErr w:type="spellStart"/>
      <w:r w:rsidRPr="003B1303">
        <w:rPr>
          <w:i/>
          <w:lang w:val="fr-FR"/>
        </w:rPr>
        <w:t>Zentsov</w:t>
      </w:r>
      <w:proofErr w:type="spellEnd"/>
      <w:r w:rsidRPr="003B1303">
        <w:rPr>
          <w:i/>
          <w:lang w:val="fr-FR"/>
        </w:rPr>
        <w:t xml:space="preserve"> et autres c. Russie</w:t>
      </w:r>
      <w:r w:rsidRPr="003B1303">
        <w:rPr>
          <w:lang w:val="fr-FR"/>
        </w:rPr>
        <w:t>, n</w:t>
      </w:r>
      <w:r w:rsidRPr="003B1303">
        <w:rPr>
          <w:vertAlign w:val="superscript"/>
          <w:lang w:val="fr-FR"/>
        </w:rPr>
        <w:t>o </w:t>
      </w:r>
      <w:r w:rsidRPr="003B1303" w:rsidR="00EF502D">
        <w:rPr>
          <w:lang w:val="fr-FR"/>
        </w:rPr>
        <w:t>35297/05, §§ 38-45, 23 </w:t>
      </w:r>
      <w:r w:rsidRPr="003B1303">
        <w:rPr>
          <w:lang w:val="fr-FR"/>
        </w:rPr>
        <w:t xml:space="preserve">octobre 2012, et </w:t>
      </w:r>
      <w:proofErr w:type="spellStart"/>
      <w:r w:rsidRPr="003B1303">
        <w:rPr>
          <w:i/>
          <w:lang w:val="fr-FR"/>
        </w:rPr>
        <w:t>Kolunov</w:t>
      </w:r>
      <w:proofErr w:type="spellEnd"/>
      <w:r w:rsidRPr="003B1303">
        <w:rPr>
          <w:i/>
          <w:lang w:val="fr-FR"/>
        </w:rPr>
        <w:t xml:space="preserve"> c. Russie</w:t>
      </w:r>
      <w:r w:rsidRPr="003B1303">
        <w:rPr>
          <w:lang w:val="fr-FR"/>
        </w:rPr>
        <w:t>, n</w:t>
      </w:r>
      <w:r w:rsidRPr="003B1303">
        <w:rPr>
          <w:vertAlign w:val="superscript"/>
          <w:lang w:val="fr-FR"/>
        </w:rPr>
        <w:t>o </w:t>
      </w:r>
      <w:r w:rsidRPr="003B1303">
        <w:rPr>
          <w:lang w:val="fr-FR"/>
        </w:rPr>
        <w:t>26436/05, §§ 30-38, 9 octobre 2012)</w:t>
      </w:r>
      <w:r w:rsidRPr="003B1303" w:rsidR="0015205C">
        <w:rPr>
          <w:lang w:val="fr-FR"/>
        </w:rPr>
        <w:t>.</w:t>
      </w:r>
    </w:p>
    <w:p w:rsidRPr="003B1303" w:rsidR="00D47B9F" w:rsidP="003B1303" w:rsidRDefault="00EB5DF6">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143</w:t>
      </w:r>
      <w:r w:rsidRPr="003B1303">
        <w:rPr>
          <w:lang w:val="fr-FR"/>
        </w:rPr>
        <w:fldChar w:fldCharType="end"/>
      </w:r>
      <w:r w:rsidRPr="003B1303">
        <w:rPr>
          <w:lang w:val="fr-FR"/>
        </w:rPr>
        <w:t>.  En l</w:t>
      </w:r>
      <w:r w:rsidRPr="003B1303" w:rsidR="003B1303">
        <w:rPr>
          <w:lang w:val="fr-FR"/>
        </w:rPr>
        <w:t>’</w:t>
      </w:r>
      <w:r w:rsidRPr="003B1303">
        <w:rPr>
          <w:lang w:val="fr-FR"/>
        </w:rPr>
        <w:t>occurrence, eu égard aux éléments dont elle dispose, la Cour estime que le Gouvernement n</w:t>
      </w:r>
      <w:r w:rsidRPr="003B1303" w:rsidR="003B1303">
        <w:rPr>
          <w:lang w:val="fr-FR"/>
        </w:rPr>
        <w:t>’</w:t>
      </w:r>
      <w:r w:rsidRPr="003B1303">
        <w:rPr>
          <w:lang w:val="fr-FR"/>
        </w:rPr>
        <w:t>a mis en avant aucun élément de fait ou de droit à même de la convaincre de parvenir à une conclusion différente en l</w:t>
      </w:r>
      <w:r w:rsidRPr="003B1303" w:rsidR="003B1303">
        <w:rPr>
          <w:lang w:val="fr-FR"/>
        </w:rPr>
        <w:t>’</w:t>
      </w:r>
      <w:r w:rsidRPr="003B1303">
        <w:rPr>
          <w:lang w:val="fr-FR"/>
        </w:rPr>
        <w:t>espèce.</w:t>
      </w:r>
    </w:p>
    <w:p w:rsidRPr="003B1303" w:rsidR="008B28D5" w:rsidP="003B1303" w:rsidRDefault="00EB5DF6">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144</w:t>
      </w:r>
      <w:r w:rsidRPr="003B1303">
        <w:rPr>
          <w:lang w:val="fr-FR"/>
        </w:rPr>
        <w:fldChar w:fldCharType="end"/>
      </w:r>
      <w:r w:rsidRPr="003B1303">
        <w:rPr>
          <w:lang w:val="fr-FR"/>
        </w:rPr>
        <w:t>.  </w:t>
      </w:r>
      <w:r w:rsidRPr="003B1303" w:rsidR="00F1121A">
        <w:rPr>
          <w:lang w:val="fr-FR"/>
        </w:rPr>
        <w:t>La Cour observe notamment que le requérant allègue avoir disposé de moins de 3 m² d</w:t>
      </w:r>
      <w:r w:rsidRPr="003B1303" w:rsidR="003B1303">
        <w:rPr>
          <w:lang w:val="fr-FR"/>
        </w:rPr>
        <w:t>’</w:t>
      </w:r>
      <w:r w:rsidRPr="003B1303" w:rsidR="00F1121A">
        <w:rPr>
          <w:lang w:val="fr-FR"/>
        </w:rPr>
        <w:t>espace personnel pendant sa détention (paragraphe </w:t>
      </w:r>
      <w:r w:rsidRPr="003B1303" w:rsidR="00F1121A">
        <w:rPr>
          <w:lang w:val="fr-FR"/>
        </w:rPr>
        <w:fldChar w:fldCharType="begin"/>
      </w:r>
      <w:r w:rsidRPr="003B1303" w:rsidR="00F1121A">
        <w:rPr>
          <w:lang w:val="fr-FR"/>
        </w:rPr>
        <w:instrText xml:space="preserve"> REF condA3arg \h </w:instrText>
      </w:r>
      <w:r w:rsidRPr="003B1303" w:rsidR="00947BCC">
        <w:rPr>
          <w:lang w:val="fr-FR"/>
        </w:rPr>
        <w:instrText xml:space="preserve"> \* MERGEFORMAT </w:instrText>
      </w:r>
      <w:r w:rsidRPr="003B1303" w:rsidR="00F1121A">
        <w:rPr>
          <w:lang w:val="fr-FR"/>
        </w:rPr>
      </w:r>
      <w:r w:rsidRPr="003B1303" w:rsidR="00F1121A">
        <w:rPr>
          <w:lang w:val="fr-FR"/>
        </w:rPr>
        <w:fldChar w:fldCharType="separate"/>
      </w:r>
      <w:r w:rsidR="003B1303">
        <w:rPr>
          <w:lang w:val="fr-FR"/>
        </w:rPr>
        <w:t>140</w:t>
      </w:r>
      <w:r w:rsidRPr="003B1303" w:rsidR="00F1121A">
        <w:rPr>
          <w:lang w:val="fr-FR"/>
        </w:rPr>
        <w:fldChar w:fldCharType="end"/>
      </w:r>
      <w:r w:rsidRPr="003B1303" w:rsidR="00F1121A">
        <w:rPr>
          <w:lang w:val="fr-FR"/>
        </w:rPr>
        <w:t xml:space="preserve"> ci</w:t>
      </w:r>
      <w:r w:rsidRPr="003B1303" w:rsidR="00F1121A">
        <w:rPr>
          <w:lang w:val="fr-FR"/>
        </w:rPr>
        <w:noBreakHyphen/>
        <w:t>dessus). Elle rappelle que lorsque la surface au sol dont dispose un détenu en cellule collective est inférieure à 3 m², le manque d</w:t>
      </w:r>
      <w:r w:rsidRPr="003B1303" w:rsidR="003B1303">
        <w:rPr>
          <w:lang w:val="fr-FR"/>
        </w:rPr>
        <w:t>’</w:t>
      </w:r>
      <w:r w:rsidRPr="003B1303" w:rsidR="00F1121A">
        <w:rPr>
          <w:lang w:val="fr-FR"/>
        </w:rPr>
        <w:t>espace personnel est considéré comme étant à ce point grave qu</w:t>
      </w:r>
      <w:r w:rsidRPr="003B1303" w:rsidR="003B1303">
        <w:rPr>
          <w:lang w:val="fr-FR"/>
        </w:rPr>
        <w:t>’</w:t>
      </w:r>
      <w:r w:rsidRPr="003B1303" w:rsidR="00F1121A">
        <w:rPr>
          <w:lang w:val="fr-FR"/>
        </w:rPr>
        <w:t>il donne lieu à une forte présomption de violation de l</w:t>
      </w:r>
      <w:r w:rsidRPr="003B1303" w:rsidR="003B1303">
        <w:rPr>
          <w:lang w:val="fr-FR"/>
        </w:rPr>
        <w:t>’</w:t>
      </w:r>
      <w:r w:rsidRPr="003B1303" w:rsidR="00F1121A">
        <w:rPr>
          <w:lang w:val="fr-FR"/>
        </w:rPr>
        <w:t>article 3 de la Convention (</w:t>
      </w:r>
      <w:proofErr w:type="spellStart"/>
      <w:r w:rsidRPr="003B1303" w:rsidR="00F1121A">
        <w:rPr>
          <w:i/>
          <w:lang w:val="fr-FR"/>
        </w:rPr>
        <w:t>Muršić</w:t>
      </w:r>
      <w:proofErr w:type="spellEnd"/>
      <w:r w:rsidRPr="003B1303" w:rsidR="00F1121A">
        <w:rPr>
          <w:i/>
          <w:lang w:val="fr-FR"/>
        </w:rPr>
        <w:t xml:space="preserve"> c. Croatie</w:t>
      </w:r>
      <w:r w:rsidRPr="003B1303" w:rsidR="00F1121A">
        <w:rPr>
          <w:lang w:val="fr-FR"/>
        </w:rPr>
        <w:t xml:space="preserve"> [GC], n</w:t>
      </w:r>
      <w:r w:rsidRPr="003B1303" w:rsidR="00F1121A">
        <w:rPr>
          <w:vertAlign w:val="superscript"/>
          <w:lang w:val="fr-FR"/>
        </w:rPr>
        <w:t>o </w:t>
      </w:r>
      <w:r w:rsidRPr="003B1303" w:rsidR="00F1121A">
        <w:rPr>
          <w:lang w:val="fr-FR"/>
        </w:rPr>
        <w:t>7334/13, § 137, 20 octobre 2016). La charge de la preuve pèse alors sur le gouvernement défendeur, qui peut toutefois réfuter la présomption en démontrant la présence d</w:t>
      </w:r>
      <w:r w:rsidRPr="003B1303" w:rsidR="003B1303">
        <w:rPr>
          <w:lang w:val="fr-FR"/>
        </w:rPr>
        <w:t>’</w:t>
      </w:r>
      <w:r w:rsidRPr="003B1303" w:rsidR="00F1121A">
        <w:rPr>
          <w:lang w:val="fr-FR"/>
        </w:rPr>
        <w:t>éléments propres à compenser cette circonstance de manière adéquate (</w:t>
      </w:r>
      <w:r w:rsidRPr="003B1303" w:rsidR="00F1121A">
        <w:rPr>
          <w:i/>
          <w:iCs/>
          <w:lang w:val="fr-FR"/>
        </w:rPr>
        <w:t>ibidem).</w:t>
      </w:r>
      <w:r w:rsidRPr="003B1303" w:rsidR="00F1121A">
        <w:rPr>
          <w:lang w:val="fr-FR"/>
        </w:rPr>
        <w:t xml:space="preserve"> La Cour relève que l</w:t>
      </w:r>
      <w:r w:rsidRPr="003B1303">
        <w:rPr>
          <w:lang w:val="fr-FR"/>
        </w:rPr>
        <w:t xml:space="preserve">e Gouvernement a soumis des originaux des registres des détenus </w:t>
      </w:r>
      <w:r w:rsidRPr="003B1303" w:rsidR="008B28D5">
        <w:rPr>
          <w:lang w:val="fr-FR"/>
        </w:rPr>
        <w:t>incomplets</w:t>
      </w:r>
      <w:r w:rsidRPr="003B1303" w:rsidR="00131CF4">
        <w:rPr>
          <w:lang w:val="fr-FR"/>
        </w:rPr>
        <w:t xml:space="preserve"> car il</w:t>
      </w:r>
      <w:r w:rsidRPr="003B1303" w:rsidR="002A03B6">
        <w:rPr>
          <w:lang w:val="fr-FR"/>
        </w:rPr>
        <w:t>s</w:t>
      </w:r>
      <w:r w:rsidRPr="003B1303" w:rsidR="00131CF4">
        <w:rPr>
          <w:lang w:val="fr-FR"/>
        </w:rPr>
        <w:t xml:space="preserve"> ne couvrent que</w:t>
      </w:r>
      <w:r w:rsidRPr="003B1303">
        <w:rPr>
          <w:lang w:val="fr-FR"/>
        </w:rPr>
        <w:t xml:space="preserve"> 277 </w:t>
      </w:r>
      <w:r w:rsidRPr="003B1303" w:rsidR="0015205C">
        <w:rPr>
          <w:lang w:val="fr-FR"/>
        </w:rPr>
        <w:t xml:space="preserve">des </w:t>
      </w:r>
      <w:r w:rsidRPr="003B1303">
        <w:rPr>
          <w:lang w:val="fr-FR"/>
        </w:rPr>
        <w:t>1</w:t>
      </w:r>
      <w:r w:rsidRPr="003B1303" w:rsidR="0015205C">
        <w:rPr>
          <w:lang w:val="fr-FR"/>
        </w:rPr>
        <w:t> </w:t>
      </w:r>
      <w:r w:rsidRPr="003B1303">
        <w:rPr>
          <w:lang w:val="fr-FR"/>
        </w:rPr>
        <w:t xml:space="preserve">443 jours de détention du </w:t>
      </w:r>
      <w:r w:rsidRPr="003B1303" w:rsidR="0015205C">
        <w:rPr>
          <w:lang w:val="fr-FR"/>
        </w:rPr>
        <w:t xml:space="preserve">premier </w:t>
      </w:r>
      <w:r w:rsidRPr="003B1303">
        <w:rPr>
          <w:lang w:val="fr-FR"/>
        </w:rPr>
        <w:t>requérant</w:t>
      </w:r>
      <w:r w:rsidRPr="003B1303" w:rsidR="008B28D5">
        <w:rPr>
          <w:lang w:val="fr-FR"/>
        </w:rPr>
        <w:t xml:space="preserve"> (voir, </w:t>
      </w:r>
      <w:r w:rsidRPr="003B1303" w:rsidR="0015205C">
        <w:rPr>
          <w:lang w:val="fr-FR"/>
        </w:rPr>
        <w:t xml:space="preserve">en </w:t>
      </w:r>
      <w:r w:rsidRPr="003B1303" w:rsidR="008B28D5">
        <w:rPr>
          <w:lang w:val="fr-FR"/>
        </w:rPr>
        <w:t xml:space="preserve">ce sens, </w:t>
      </w:r>
      <w:proofErr w:type="spellStart"/>
      <w:r w:rsidRPr="003B1303" w:rsidR="008B28D5">
        <w:rPr>
          <w:i/>
          <w:iCs/>
          <w:lang w:val="fr-FR"/>
        </w:rPr>
        <w:t>Dudchenko</w:t>
      </w:r>
      <w:proofErr w:type="spellEnd"/>
      <w:r w:rsidRPr="003B1303" w:rsidR="008B28D5">
        <w:rPr>
          <w:lang w:val="fr-FR"/>
        </w:rPr>
        <w:t>, précité, § 120).</w:t>
      </w:r>
      <w:r w:rsidRPr="003B1303">
        <w:rPr>
          <w:lang w:val="fr-FR"/>
        </w:rPr>
        <w:t xml:space="preserve"> Qui plus est,</w:t>
      </w:r>
      <w:r w:rsidRPr="003B1303" w:rsidR="0015205C">
        <w:rPr>
          <w:lang w:val="fr-FR"/>
        </w:rPr>
        <w:t xml:space="preserve"> elle note que</w:t>
      </w:r>
      <w:r w:rsidRPr="003B1303">
        <w:rPr>
          <w:lang w:val="fr-FR"/>
        </w:rPr>
        <w:t xml:space="preserve"> les données du Gouvernement quant à la superficie des cellules dans lesquelles le </w:t>
      </w:r>
      <w:r w:rsidRPr="003B1303" w:rsidR="0015205C">
        <w:rPr>
          <w:lang w:val="fr-FR"/>
        </w:rPr>
        <w:t xml:space="preserve">premier </w:t>
      </w:r>
      <w:r w:rsidRPr="003B1303">
        <w:rPr>
          <w:lang w:val="fr-FR"/>
        </w:rPr>
        <w:t xml:space="preserve">requérant </w:t>
      </w:r>
      <w:r w:rsidRPr="003B1303" w:rsidR="0015205C">
        <w:rPr>
          <w:lang w:val="fr-FR"/>
        </w:rPr>
        <w:t xml:space="preserve">a </w:t>
      </w:r>
      <w:r w:rsidRPr="003B1303">
        <w:rPr>
          <w:lang w:val="fr-FR"/>
        </w:rPr>
        <w:t>séjourné ne sont pas appuyé</w:t>
      </w:r>
      <w:r w:rsidRPr="003B1303" w:rsidR="00131CF4">
        <w:rPr>
          <w:lang w:val="fr-FR"/>
        </w:rPr>
        <w:t>es</w:t>
      </w:r>
      <w:r w:rsidRPr="003B1303">
        <w:rPr>
          <w:lang w:val="fr-FR"/>
        </w:rPr>
        <w:t xml:space="preserve"> par des plans techniques pertinents. </w:t>
      </w:r>
      <w:r w:rsidRPr="003B1303" w:rsidR="0015205C">
        <w:rPr>
          <w:lang w:val="fr-FR"/>
        </w:rPr>
        <w:t>Elle</w:t>
      </w:r>
      <w:r w:rsidRPr="003B1303">
        <w:rPr>
          <w:lang w:val="fr-FR"/>
        </w:rPr>
        <w:t xml:space="preserve"> note </w:t>
      </w:r>
      <w:r w:rsidRPr="003B1303" w:rsidR="0015205C">
        <w:rPr>
          <w:lang w:val="fr-FR"/>
        </w:rPr>
        <w:t xml:space="preserve">aussi </w:t>
      </w:r>
      <w:r w:rsidRPr="003B1303">
        <w:rPr>
          <w:lang w:val="fr-FR"/>
        </w:rPr>
        <w:t xml:space="preserve">que les </w:t>
      </w:r>
      <w:r w:rsidRPr="003B1303" w:rsidR="00131CF4">
        <w:rPr>
          <w:lang w:val="fr-FR"/>
        </w:rPr>
        <w:t xml:space="preserve">données des </w:t>
      </w:r>
      <w:r w:rsidRPr="003B1303">
        <w:rPr>
          <w:lang w:val="fr-FR"/>
        </w:rPr>
        <w:t>attestations de l</w:t>
      </w:r>
      <w:r w:rsidRPr="003B1303" w:rsidR="003B1303">
        <w:rPr>
          <w:lang w:val="fr-FR"/>
        </w:rPr>
        <w:t>’</w:t>
      </w:r>
      <w:r w:rsidRPr="003B1303">
        <w:rPr>
          <w:lang w:val="fr-FR"/>
        </w:rPr>
        <w:t>administration de la maison d</w:t>
      </w:r>
      <w:r w:rsidRPr="003B1303" w:rsidR="003B1303">
        <w:rPr>
          <w:lang w:val="fr-FR"/>
        </w:rPr>
        <w:t>’</w:t>
      </w:r>
      <w:r w:rsidRPr="003B1303">
        <w:rPr>
          <w:lang w:val="fr-FR"/>
        </w:rPr>
        <w:t>arrêt ne sont pas suffisant</w:t>
      </w:r>
      <w:r w:rsidRPr="003B1303" w:rsidR="0015205C">
        <w:rPr>
          <w:lang w:val="fr-FR"/>
        </w:rPr>
        <w:t>e</w:t>
      </w:r>
      <w:r w:rsidRPr="003B1303">
        <w:rPr>
          <w:lang w:val="fr-FR"/>
        </w:rPr>
        <w:t>s</w:t>
      </w:r>
      <w:r w:rsidRPr="003B1303" w:rsidR="00131CF4">
        <w:rPr>
          <w:lang w:val="fr-FR"/>
        </w:rPr>
        <w:t xml:space="preserve"> à cet égard (</w:t>
      </w:r>
      <w:proofErr w:type="spellStart"/>
      <w:r w:rsidRPr="003B1303" w:rsidR="00131CF4">
        <w:rPr>
          <w:i/>
          <w:lang w:val="fr-FR"/>
        </w:rPr>
        <w:t>Ananyev</w:t>
      </w:r>
      <w:proofErr w:type="spellEnd"/>
      <w:r w:rsidRPr="003B1303" w:rsidR="00131CF4">
        <w:rPr>
          <w:i/>
          <w:lang w:val="fr-FR"/>
        </w:rPr>
        <w:t xml:space="preserve"> et autres</w:t>
      </w:r>
      <w:r w:rsidRPr="003B1303" w:rsidR="0015205C">
        <w:rPr>
          <w:lang w:val="fr-FR"/>
        </w:rPr>
        <w:t xml:space="preserve">, </w:t>
      </w:r>
      <w:r w:rsidRPr="003B1303" w:rsidR="00EF502D">
        <w:rPr>
          <w:lang w:val="fr-FR"/>
        </w:rPr>
        <w:t>précité</w:t>
      </w:r>
      <w:r w:rsidRPr="003B1303" w:rsidR="00131CF4">
        <w:rPr>
          <w:lang w:val="fr-FR"/>
        </w:rPr>
        <w:t>, § 128)</w:t>
      </w:r>
      <w:r w:rsidRPr="003B1303">
        <w:rPr>
          <w:lang w:val="fr-FR"/>
        </w:rPr>
        <w:t>.</w:t>
      </w:r>
      <w:r w:rsidRPr="003B1303" w:rsidR="00131CF4">
        <w:rPr>
          <w:lang w:val="fr-FR"/>
        </w:rPr>
        <w:t xml:space="preserve"> Par conséquent, </w:t>
      </w:r>
      <w:r w:rsidRPr="003B1303" w:rsidR="0015205C">
        <w:rPr>
          <w:lang w:val="fr-FR"/>
        </w:rPr>
        <w:t xml:space="preserve">elle estime que </w:t>
      </w:r>
      <w:r w:rsidRPr="003B1303" w:rsidR="00131CF4">
        <w:rPr>
          <w:lang w:val="fr-FR"/>
        </w:rPr>
        <w:t xml:space="preserve">le </w:t>
      </w:r>
      <w:r w:rsidRPr="003B1303">
        <w:rPr>
          <w:lang w:val="fr-FR"/>
        </w:rPr>
        <w:t xml:space="preserve">Gouvernement </w:t>
      </w:r>
      <w:r w:rsidRPr="003B1303" w:rsidR="00131CF4">
        <w:rPr>
          <w:lang w:val="fr-FR"/>
        </w:rPr>
        <w:t>a failli à réfuter l</w:t>
      </w:r>
      <w:r w:rsidRPr="003B1303" w:rsidR="003B1303">
        <w:rPr>
          <w:lang w:val="fr-FR"/>
        </w:rPr>
        <w:t>’</w:t>
      </w:r>
      <w:r w:rsidRPr="003B1303" w:rsidR="00131CF4">
        <w:rPr>
          <w:lang w:val="fr-FR"/>
        </w:rPr>
        <w:t xml:space="preserve">allégation du </w:t>
      </w:r>
      <w:r w:rsidRPr="003B1303" w:rsidR="0015205C">
        <w:rPr>
          <w:lang w:val="fr-FR"/>
        </w:rPr>
        <w:t xml:space="preserve">premier </w:t>
      </w:r>
      <w:r w:rsidRPr="003B1303" w:rsidR="00131CF4">
        <w:rPr>
          <w:lang w:val="fr-FR"/>
        </w:rPr>
        <w:t xml:space="preserve">requérant selon laquelle </w:t>
      </w:r>
      <w:r w:rsidRPr="003B1303" w:rsidR="0015205C">
        <w:rPr>
          <w:lang w:val="fr-FR"/>
        </w:rPr>
        <w:t xml:space="preserve">celui-ci aurait </w:t>
      </w:r>
      <w:r w:rsidRPr="003B1303" w:rsidR="00131CF4">
        <w:rPr>
          <w:lang w:val="fr-FR"/>
        </w:rPr>
        <w:t xml:space="preserve">bénéficié de </w:t>
      </w:r>
      <w:r w:rsidRPr="003B1303" w:rsidR="00F1121A">
        <w:rPr>
          <w:lang w:val="fr-FR"/>
        </w:rPr>
        <w:t>moins de 3</w:t>
      </w:r>
      <w:r w:rsidRPr="003B1303" w:rsidR="00131CF4">
        <w:rPr>
          <w:lang w:val="fr-FR"/>
        </w:rPr>
        <w:t xml:space="preserve"> m² d</w:t>
      </w:r>
      <w:r w:rsidRPr="003B1303" w:rsidR="003B1303">
        <w:rPr>
          <w:lang w:val="fr-FR"/>
        </w:rPr>
        <w:t>’</w:t>
      </w:r>
      <w:r w:rsidRPr="003B1303" w:rsidR="00131CF4">
        <w:rPr>
          <w:lang w:val="fr-FR"/>
        </w:rPr>
        <w:t xml:space="preserve">espace personnel pendant </w:t>
      </w:r>
      <w:r w:rsidRPr="003B1303" w:rsidR="0015205C">
        <w:rPr>
          <w:lang w:val="fr-FR"/>
        </w:rPr>
        <w:t>s</w:t>
      </w:r>
      <w:r w:rsidRPr="003B1303" w:rsidR="00131CF4">
        <w:rPr>
          <w:lang w:val="fr-FR"/>
        </w:rPr>
        <w:t>a période de détention</w:t>
      </w:r>
      <w:r w:rsidRPr="003B1303" w:rsidR="0015205C">
        <w:rPr>
          <w:lang w:val="fr-FR"/>
        </w:rPr>
        <w:t xml:space="preserve"> en cause</w:t>
      </w:r>
      <w:r w:rsidRPr="003B1303" w:rsidR="00131CF4">
        <w:rPr>
          <w:lang w:val="fr-FR"/>
        </w:rPr>
        <w:t>.</w:t>
      </w:r>
    </w:p>
    <w:p w:rsidRPr="003B1303" w:rsidR="00131CF4" w:rsidP="003B1303" w:rsidRDefault="00131CF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145</w:t>
      </w:r>
      <w:r w:rsidRPr="003B1303">
        <w:rPr>
          <w:lang w:val="fr-FR"/>
        </w:rPr>
        <w:fldChar w:fldCharType="end"/>
      </w:r>
      <w:r w:rsidRPr="003B1303">
        <w:rPr>
          <w:lang w:val="fr-FR"/>
        </w:rPr>
        <w:t>.  </w:t>
      </w:r>
      <w:r w:rsidRPr="003B1303" w:rsidR="00EB5DF6">
        <w:rPr>
          <w:lang w:val="fr-FR"/>
        </w:rPr>
        <w:t>Compte tenu de ce qui précède, la Cour estime que le Gouvernement ne s</w:t>
      </w:r>
      <w:r w:rsidRPr="003B1303" w:rsidR="003B1303">
        <w:rPr>
          <w:lang w:val="fr-FR"/>
        </w:rPr>
        <w:t>’</w:t>
      </w:r>
      <w:r w:rsidRPr="003B1303" w:rsidR="00EB5DF6">
        <w:rPr>
          <w:lang w:val="fr-FR"/>
        </w:rPr>
        <w:t>est pas acquitté de la charge de la preuve lui incombant et qu</w:t>
      </w:r>
      <w:r w:rsidRPr="003B1303" w:rsidR="003B1303">
        <w:rPr>
          <w:lang w:val="fr-FR"/>
        </w:rPr>
        <w:t>’</w:t>
      </w:r>
      <w:r w:rsidRPr="003B1303" w:rsidR="00EB5DF6">
        <w:rPr>
          <w:lang w:val="fr-FR"/>
        </w:rPr>
        <w:t>il n</w:t>
      </w:r>
      <w:r w:rsidRPr="003B1303" w:rsidR="003B1303">
        <w:rPr>
          <w:lang w:val="fr-FR"/>
        </w:rPr>
        <w:t>’</w:t>
      </w:r>
      <w:r w:rsidRPr="003B1303" w:rsidR="00EB5DF6">
        <w:rPr>
          <w:lang w:val="fr-FR"/>
        </w:rPr>
        <w:t>a pas réfuté de façon convaincante les allégations du premier requérant selon lesquelles celui-ci a</w:t>
      </w:r>
      <w:r w:rsidRPr="003B1303" w:rsidR="0015205C">
        <w:rPr>
          <w:lang w:val="fr-FR"/>
        </w:rPr>
        <w:t>urait</w:t>
      </w:r>
      <w:r w:rsidRPr="003B1303" w:rsidR="00EB5DF6">
        <w:rPr>
          <w:lang w:val="fr-FR"/>
        </w:rPr>
        <w:t xml:space="preserve"> été détenu dans des conditions contraires à l</w:t>
      </w:r>
      <w:r w:rsidRPr="003B1303" w:rsidR="003B1303">
        <w:rPr>
          <w:lang w:val="fr-FR"/>
        </w:rPr>
        <w:t>’</w:t>
      </w:r>
      <w:r w:rsidRPr="003B1303" w:rsidR="00EB5DF6">
        <w:rPr>
          <w:lang w:val="fr-FR"/>
        </w:rPr>
        <w:t>article 3 de la Convention</w:t>
      </w:r>
      <w:r w:rsidRPr="003B1303">
        <w:rPr>
          <w:lang w:val="fr-FR"/>
        </w:rPr>
        <w:t>. Partant, il y a eu violation de cette disposition.</w:t>
      </w:r>
    </w:p>
    <w:p w:rsidRPr="003B1303" w:rsidR="00E77CB3" w:rsidP="003B1303" w:rsidRDefault="00EC1175">
      <w:pPr>
        <w:pStyle w:val="ECHRHeading1"/>
        <w:rPr>
          <w:lang w:val="fr-FR"/>
        </w:rPr>
      </w:pPr>
      <w:r w:rsidRPr="003B1303">
        <w:rPr>
          <w:lang w:val="fr-FR"/>
        </w:rPr>
        <w:t>III</w:t>
      </w:r>
      <w:r w:rsidRPr="003B1303" w:rsidR="00E77CB3">
        <w:rPr>
          <w:lang w:val="fr-FR"/>
        </w:rPr>
        <w:t>.  SUR LA VIOLATION ALLÉGUÉE DE L</w:t>
      </w:r>
      <w:r w:rsidRPr="003B1303" w:rsidR="003B1303">
        <w:rPr>
          <w:lang w:val="fr-FR"/>
        </w:rPr>
        <w:t>’</w:t>
      </w:r>
      <w:r w:rsidRPr="003B1303" w:rsidR="00E77CB3">
        <w:rPr>
          <w:lang w:val="fr-FR"/>
        </w:rPr>
        <w:t xml:space="preserve">ARTICLE </w:t>
      </w:r>
      <w:r w:rsidRPr="003B1303" w:rsidR="00C377BC">
        <w:rPr>
          <w:lang w:val="fr-FR"/>
        </w:rPr>
        <w:t>5</w:t>
      </w:r>
      <w:r w:rsidRPr="003B1303" w:rsidR="00E77CB3">
        <w:rPr>
          <w:lang w:val="fr-FR"/>
        </w:rPr>
        <w:t xml:space="preserve"> DE LA CONVENTION</w:t>
      </w:r>
      <w:r w:rsidRPr="003B1303" w:rsidR="00B41AB4">
        <w:rPr>
          <w:lang w:val="fr-FR"/>
        </w:rPr>
        <w:t xml:space="preserve"> EN CE QUI CONCERNE LE PREMIER REQUÉRANT</w:t>
      </w:r>
    </w:p>
    <w:p w:rsidRPr="003B1303" w:rsidR="00BE4C8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146</w:t>
      </w:r>
      <w:r w:rsidRPr="003B1303">
        <w:rPr>
          <w:lang w:val="fr-FR"/>
        </w:rPr>
        <w:fldChar w:fldCharType="end"/>
      </w:r>
      <w:r w:rsidRPr="003B1303" w:rsidR="00E77CB3">
        <w:rPr>
          <w:lang w:val="fr-FR"/>
        </w:rPr>
        <w:t>.  </w:t>
      </w:r>
      <w:r w:rsidRPr="003B1303" w:rsidR="00C377BC">
        <w:rPr>
          <w:lang w:val="fr-FR"/>
        </w:rPr>
        <w:t>Le premier requérant se plaint que sa détention p</w:t>
      </w:r>
      <w:r w:rsidRPr="003B1303" w:rsidR="003625E9">
        <w:rPr>
          <w:lang w:val="fr-FR"/>
        </w:rPr>
        <w:t xml:space="preserve">endant </w:t>
      </w:r>
      <w:r w:rsidRPr="003B1303" w:rsidR="00C377BC">
        <w:rPr>
          <w:lang w:val="fr-FR"/>
        </w:rPr>
        <w:t xml:space="preserve">la période </w:t>
      </w:r>
      <w:r w:rsidRPr="003B1303" w:rsidR="00F44741">
        <w:rPr>
          <w:lang w:val="fr-FR"/>
        </w:rPr>
        <w:t xml:space="preserve">allant </w:t>
      </w:r>
      <w:r w:rsidRPr="003B1303" w:rsidR="00C377BC">
        <w:rPr>
          <w:lang w:val="fr-FR"/>
        </w:rPr>
        <w:t>du 2 janvier au 15 février 2010 était illégale, que la durée de sa détention provisoire était excessive</w:t>
      </w:r>
      <w:r w:rsidRPr="003B1303" w:rsidR="00B46CF3">
        <w:rPr>
          <w:lang w:val="fr-FR"/>
        </w:rPr>
        <w:t xml:space="preserve"> et </w:t>
      </w:r>
      <w:r w:rsidRPr="003B1303" w:rsidR="00C377BC">
        <w:rPr>
          <w:lang w:val="fr-FR"/>
        </w:rPr>
        <w:t>que son appel contre la décision du 26 juillet 2009 n</w:t>
      </w:r>
      <w:r w:rsidRPr="003B1303" w:rsidR="003B1303">
        <w:rPr>
          <w:lang w:val="fr-FR"/>
        </w:rPr>
        <w:t>’</w:t>
      </w:r>
      <w:r w:rsidRPr="003B1303" w:rsidR="00C377BC">
        <w:rPr>
          <w:lang w:val="fr-FR"/>
        </w:rPr>
        <w:t>a pas été examiné « à bref délai »</w:t>
      </w:r>
      <w:r w:rsidRPr="003B1303" w:rsidR="00B46CF3">
        <w:rPr>
          <w:lang w:val="fr-FR"/>
        </w:rPr>
        <w:t xml:space="preserve">. </w:t>
      </w:r>
      <w:r w:rsidRPr="003B1303" w:rsidR="00C377BC">
        <w:rPr>
          <w:lang w:val="fr-FR"/>
        </w:rPr>
        <w:t xml:space="preserve">Il invoque </w:t>
      </w:r>
      <w:r w:rsidRPr="003B1303" w:rsidR="00DE7946">
        <w:rPr>
          <w:lang w:val="fr-FR"/>
        </w:rPr>
        <w:t>l</w:t>
      </w:r>
      <w:r w:rsidRPr="003B1303" w:rsidR="003B1303">
        <w:rPr>
          <w:lang w:val="fr-FR"/>
        </w:rPr>
        <w:t>’</w:t>
      </w:r>
      <w:r w:rsidRPr="003B1303" w:rsidR="00DE7946">
        <w:rPr>
          <w:lang w:val="fr-FR"/>
        </w:rPr>
        <w:t>article 5 §</w:t>
      </w:r>
      <w:r w:rsidRPr="003B1303" w:rsidR="00C377BC">
        <w:rPr>
          <w:lang w:val="fr-FR"/>
        </w:rPr>
        <w:t xml:space="preserve">§ 1, </w:t>
      </w:r>
      <w:r w:rsidRPr="003B1303" w:rsidR="00DE7946">
        <w:rPr>
          <w:lang w:val="fr-FR"/>
        </w:rPr>
        <w:t xml:space="preserve">3 </w:t>
      </w:r>
      <w:r w:rsidRPr="003B1303" w:rsidR="00C377BC">
        <w:rPr>
          <w:lang w:val="fr-FR"/>
        </w:rPr>
        <w:t xml:space="preserve">et 4 </w:t>
      </w:r>
      <w:r w:rsidRPr="003B1303" w:rsidR="00DE7946">
        <w:rPr>
          <w:lang w:val="fr-FR"/>
        </w:rPr>
        <w:t>de la Convention, ainsi libellé en ses parties pertinentes en l</w:t>
      </w:r>
      <w:r w:rsidRPr="003B1303" w:rsidR="003B1303">
        <w:rPr>
          <w:lang w:val="fr-FR"/>
        </w:rPr>
        <w:t>’</w:t>
      </w:r>
      <w:r w:rsidRPr="003B1303" w:rsidR="00DE7946">
        <w:rPr>
          <w:lang w:val="fr-FR"/>
        </w:rPr>
        <w:t>espèce :</w:t>
      </w:r>
    </w:p>
    <w:p w:rsidRPr="003B1303" w:rsidR="00C377BC" w:rsidP="003B1303" w:rsidRDefault="00C377BC">
      <w:pPr>
        <w:pStyle w:val="ECHRParaQuote"/>
        <w:rPr>
          <w:lang w:val="fr-FR"/>
        </w:rPr>
      </w:pPr>
      <w:r w:rsidRPr="003B1303">
        <w:rPr>
          <w:lang w:val="fr-FR"/>
        </w:rPr>
        <w:t>« 1.  Toute personne a droit à la liberté et à la sûreté. Nul ne peut être privé de sa liberté, sauf dans les cas suivants et selon les voies légales :</w:t>
      </w:r>
    </w:p>
    <w:p w:rsidRPr="003B1303" w:rsidR="00C377BC" w:rsidP="003B1303" w:rsidRDefault="00C377BC">
      <w:pPr>
        <w:pStyle w:val="ECHRParaQuote"/>
        <w:rPr>
          <w:lang w:val="fr-FR"/>
        </w:rPr>
      </w:pPr>
      <w:r w:rsidRPr="003B1303">
        <w:rPr>
          <w:lang w:val="fr-FR"/>
        </w:rPr>
        <w:t>(</w:t>
      </w:r>
      <w:r w:rsidRPr="003B1303" w:rsidR="00BE4C83">
        <w:rPr>
          <w:lang w:val="fr-FR"/>
        </w:rPr>
        <w:t>...</w:t>
      </w:r>
      <w:r w:rsidRPr="003B1303">
        <w:rPr>
          <w:lang w:val="fr-FR"/>
        </w:rPr>
        <w:t>)</w:t>
      </w:r>
    </w:p>
    <w:p w:rsidRPr="003B1303" w:rsidR="00234FF3" w:rsidP="003B1303" w:rsidRDefault="00234FF3">
      <w:pPr>
        <w:pStyle w:val="ECHRParaQuote"/>
        <w:rPr>
          <w:lang w:val="fr-FR"/>
        </w:rPr>
      </w:pPr>
      <w:r w:rsidRPr="003B1303">
        <w:rPr>
          <w:lang w:val="fr-FR"/>
        </w:rPr>
        <w:t>3.  </w:t>
      </w:r>
      <w:r w:rsidRPr="003B1303" w:rsidR="00DE7946">
        <w:rPr>
          <w:lang w:val="fr-FR"/>
        </w:rPr>
        <w:t>Toute personne arrêtée ou détenue, dans les conditions prévues au paragraphe 1 c) du présent article (</w:t>
      </w:r>
      <w:r w:rsidRPr="003B1303" w:rsidR="00BE4C83">
        <w:rPr>
          <w:lang w:val="fr-FR"/>
        </w:rPr>
        <w:t>...</w:t>
      </w:r>
      <w:r w:rsidRPr="003B1303" w:rsidR="00DE7946">
        <w:rPr>
          <w:lang w:val="fr-FR"/>
        </w:rPr>
        <w:t>) a le droit d</w:t>
      </w:r>
      <w:r w:rsidRPr="003B1303" w:rsidR="003B1303">
        <w:rPr>
          <w:lang w:val="fr-FR"/>
        </w:rPr>
        <w:t>’</w:t>
      </w:r>
      <w:r w:rsidRPr="003B1303" w:rsidR="00DE7946">
        <w:rPr>
          <w:lang w:val="fr-FR"/>
        </w:rPr>
        <w:t>être jugée dans un délai raisonnable, ou libérée pendant la procédure. La mise en liberté peut être subordonnée à une garantie assurant la comparution de l</w:t>
      </w:r>
      <w:r w:rsidRPr="003B1303" w:rsidR="003B1303">
        <w:rPr>
          <w:lang w:val="fr-FR"/>
        </w:rPr>
        <w:t>’</w:t>
      </w:r>
      <w:r w:rsidRPr="003B1303" w:rsidR="00DE7946">
        <w:rPr>
          <w:lang w:val="fr-FR"/>
        </w:rPr>
        <w:t>intéressé à l</w:t>
      </w:r>
      <w:r w:rsidRPr="003B1303" w:rsidR="003B1303">
        <w:rPr>
          <w:lang w:val="fr-FR"/>
        </w:rPr>
        <w:t>’</w:t>
      </w:r>
      <w:r w:rsidRPr="003B1303" w:rsidR="00DE7946">
        <w:rPr>
          <w:lang w:val="fr-FR"/>
        </w:rPr>
        <w:t>audience.</w:t>
      </w:r>
    </w:p>
    <w:p w:rsidRPr="003B1303" w:rsidR="00DE7946" w:rsidP="003B1303" w:rsidRDefault="00234FF3">
      <w:pPr>
        <w:pStyle w:val="ECHRParaQuote"/>
        <w:rPr>
          <w:lang w:val="fr-FR"/>
        </w:rPr>
      </w:pPr>
      <w:r w:rsidRPr="003B1303">
        <w:rPr>
          <w:lang w:val="fr-FR"/>
        </w:rPr>
        <w:t>4.  Toute personne privée de sa liberté par arrestation ou détention a le droit d</w:t>
      </w:r>
      <w:r w:rsidRPr="003B1303" w:rsidR="003B1303">
        <w:rPr>
          <w:lang w:val="fr-FR"/>
        </w:rPr>
        <w:t>’</w:t>
      </w:r>
      <w:r w:rsidRPr="003B1303">
        <w:rPr>
          <w:lang w:val="fr-FR"/>
        </w:rPr>
        <w:t>introduire un recours devant un tribunal, afin qu</w:t>
      </w:r>
      <w:r w:rsidRPr="003B1303" w:rsidR="003B1303">
        <w:rPr>
          <w:lang w:val="fr-FR"/>
        </w:rPr>
        <w:t>’</w:t>
      </w:r>
      <w:r w:rsidRPr="003B1303">
        <w:rPr>
          <w:lang w:val="fr-FR"/>
        </w:rPr>
        <w:t>il statue à bref délai sur la légalité de sa détention et ordonne sa libération si la détention est illégale.</w:t>
      </w:r>
      <w:r w:rsidRPr="003B1303" w:rsidR="00DE7946">
        <w:rPr>
          <w:lang w:val="fr-FR"/>
        </w:rPr>
        <w:t> »</w:t>
      </w:r>
    </w:p>
    <w:p w:rsidRPr="003B1303" w:rsidR="00234FF3" w:rsidP="003B1303" w:rsidRDefault="00234FF3">
      <w:pPr>
        <w:pStyle w:val="ECHRHeading2"/>
        <w:rPr>
          <w:lang w:val="fr-FR"/>
        </w:rPr>
      </w:pPr>
      <w:r w:rsidRPr="003B1303">
        <w:rPr>
          <w:lang w:val="fr-FR"/>
        </w:rPr>
        <w:t xml:space="preserve">A.  Sur la légalité de la détention du </w:t>
      </w:r>
      <w:r w:rsidRPr="003B1303" w:rsidR="003625E9">
        <w:rPr>
          <w:lang w:val="fr-FR"/>
        </w:rPr>
        <w:t xml:space="preserve">premier </w:t>
      </w:r>
      <w:r w:rsidRPr="003B1303">
        <w:rPr>
          <w:lang w:val="fr-FR"/>
        </w:rPr>
        <w:t>requérant du 2 janvier au 15 février 2010</w:t>
      </w:r>
    </w:p>
    <w:p w:rsidRPr="003B1303" w:rsidR="00234FF3" w:rsidP="003B1303" w:rsidRDefault="00234FF3">
      <w:pPr>
        <w:pStyle w:val="ECHRHeading3"/>
        <w:rPr>
          <w:lang w:val="fr-FR"/>
        </w:rPr>
      </w:pPr>
      <w:r w:rsidRPr="003B1303">
        <w:rPr>
          <w:lang w:val="fr-FR"/>
        </w:rPr>
        <w:t>1</w:t>
      </w:r>
      <w:r w:rsidRPr="003B1303" w:rsidR="00D601B8">
        <w:rPr>
          <w:lang w:val="fr-FR"/>
        </w:rPr>
        <w:t>.</w:t>
      </w:r>
      <w:r w:rsidRPr="003B1303">
        <w:rPr>
          <w:lang w:val="fr-FR"/>
        </w:rPr>
        <w:t>  Thèses des parties</w:t>
      </w:r>
    </w:p>
    <w:p w:rsidRPr="003B1303" w:rsidR="00BE4C83" w:rsidP="003B1303" w:rsidRDefault="00234FF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147</w:t>
      </w:r>
      <w:r w:rsidRPr="003B1303">
        <w:rPr>
          <w:lang w:val="fr-FR"/>
        </w:rPr>
        <w:fldChar w:fldCharType="end"/>
      </w:r>
      <w:r w:rsidRPr="003B1303">
        <w:rPr>
          <w:lang w:val="fr-FR"/>
        </w:rPr>
        <w:t>.  </w:t>
      </w:r>
      <w:r w:rsidRPr="003B1303" w:rsidR="000706AA">
        <w:rPr>
          <w:lang w:val="fr-FR"/>
        </w:rPr>
        <w:t xml:space="preserve">Le Gouvernement indique que la détention du </w:t>
      </w:r>
      <w:r w:rsidRPr="003B1303" w:rsidR="001D12EB">
        <w:rPr>
          <w:lang w:val="fr-FR"/>
        </w:rPr>
        <w:t xml:space="preserve">premier </w:t>
      </w:r>
      <w:r w:rsidRPr="003B1303" w:rsidR="000706AA">
        <w:rPr>
          <w:lang w:val="fr-FR"/>
        </w:rPr>
        <w:t xml:space="preserve">requérant pendant la période du 2 janvier au 15 février 2010 était </w:t>
      </w:r>
      <w:r w:rsidRPr="003B1303" w:rsidR="00C66B63">
        <w:rPr>
          <w:lang w:val="fr-FR"/>
        </w:rPr>
        <w:t>régulière</w:t>
      </w:r>
      <w:r w:rsidRPr="003B1303" w:rsidR="000706AA">
        <w:rPr>
          <w:lang w:val="fr-FR"/>
        </w:rPr>
        <w:t xml:space="preserve"> et basée sur la décision du 31 décembre 2009 de la cour régionale. Il soutient que, conformément à l</w:t>
      </w:r>
      <w:r w:rsidRPr="003B1303" w:rsidR="003B1303">
        <w:rPr>
          <w:lang w:val="fr-FR"/>
        </w:rPr>
        <w:t>’</w:t>
      </w:r>
      <w:r w:rsidRPr="003B1303" w:rsidR="000706AA">
        <w:rPr>
          <w:lang w:val="fr-FR"/>
        </w:rPr>
        <w:t xml:space="preserve">article 255 du CPP, la détention du </w:t>
      </w:r>
      <w:r w:rsidRPr="003B1303" w:rsidR="001D12EB">
        <w:rPr>
          <w:lang w:val="fr-FR"/>
        </w:rPr>
        <w:t xml:space="preserve">premier </w:t>
      </w:r>
      <w:r w:rsidRPr="003B1303" w:rsidR="000706AA">
        <w:rPr>
          <w:lang w:val="fr-FR"/>
        </w:rPr>
        <w:t>requérant était permise pendant six mois à partir de la date du renvoi de l</w:t>
      </w:r>
      <w:r w:rsidRPr="003B1303" w:rsidR="003B1303">
        <w:rPr>
          <w:lang w:val="fr-FR"/>
        </w:rPr>
        <w:t>’</w:t>
      </w:r>
      <w:r w:rsidRPr="003B1303" w:rsidR="000706AA">
        <w:rPr>
          <w:lang w:val="fr-FR"/>
        </w:rPr>
        <w:t>affaire pénale en jugement, soit à partir du 18 décembre 2009.</w:t>
      </w:r>
    </w:p>
    <w:p w:rsidRPr="003B1303" w:rsidR="00BE4C83" w:rsidP="003B1303" w:rsidRDefault="00234FF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148</w:t>
      </w:r>
      <w:r w:rsidRPr="003B1303">
        <w:rPr>
          <w:lang w:val="fr-FR"/>
        </w:rPr>
        <w:fldChar w:fldCharType="end"/>
      </w:r>
      <w:r w:rsidRPr="003B1303">
        <w:rPr>
          <w:lang w:val="fr-FR"/>
        </w:rPr>
        <w:t>.  Le</w:t>
      </w:r>
      <w:r w:rsidRPr="003B1303" w:rsidR="001D12EB">
        <w:rPr>
          <w:lang w:val="fr-FR"/>
        </w:rPr>
        <w:t xml:space="preserve"> premier</w:t>
      </w:r>
      <w:r w:rsidRPr="003B1303">
        <w:rPr>
          <w:lang w:val="fr-FR"/>
        </w:rPr>
        <w:t xml:space="preserve"> requérant maintient son grief. </w:t>
      </w:r>
      <w:r w:rsidRPr="003B1303" w:rsidR="000706AA">
        <w:rPr>
          <w:lang w:val="fr-FR"/>
        </w:rPr>
        <w:t xml:space="preserve">Il </w:t>
      </w:r>
      <w:r w:rsidRPr="003B1303" w:rsidR="009A2FC3">
        <w:rPr>
          <w:lang w:val="fr-FR"/>
        </w:rPr>
        <w:t>ajoute</w:t>
      </w:r>
      <w:r w:rsidRPr="003B1303" w:rsidR="000706AA">
        <w:rPr>
          <w:lang w:val="fr-FR"/>
        </w:rPr>
        <w:t xml:space="preserve"> que le texte de la décision du 31 décembre 2009 ne permettait pas d</w:t>
      </w:r>
      <w:r w:rsidRPr="003B1303" w:rsidR="003B1303">
        <w:rPr>
          <w:lang w:val="fr-FR"/>
        </w:rPr>
        <w:t>’</w:t>
      </w:r>
      <w:r w:rsidRPr="003B1303" w:rsidR="000706AA">
        <w:rPr>
          <w:lang w:val="fr-FR"/>
        </w:rPr>
        <w:t>établir le délai exact pour lequel s</w:t>
      </w:r>
      <w:r w:rsidRPr="003B1303" w:rsidR="009A2FC3">
        <w:rPr>
          <w:lang w:val="fr-FR"/>
        </w:rPr>
        <w:t>a détention avait été prolongée car l</w:t>
      </w:r>
      <w:r w:rsidRPr="003B1303" w:rsidR="003B1303">
        <w:rPr>
          <w:lang w:val="fr-FR"/>
        </w:rPr>
        <w:t>’</w:t>
      </w:r>
      <w:r w:rsidRPr="003B1303" w:rsidR="009A2FC3">
        <w:rPr>
          <w:lang w:val="fr-FR"/>
        </w:rPr>
        <w:t xml:space="preserve">expression utilisée par la cour régionale à cet effet, à savoir </w:t>
      </w:r>
      <w:r w:rsidRPr="003B1303" w:rsidR="000706AA">
        <w:rPr>
          <w:lang w:val="fr-FR"/>
        </w:rPr>
        <w:t xml:space="preserve">« un mois à compter de la réception du dossier par le procureur », était très vague </w:t>
      </w:r>
      <w:r w:rsidRPr="003B1303" w:rsidR="009A2FC3">
        <w:rPr>
          <w:lang w:val="fr-FR"/>
        </w:rPr>
        <w:t xml:space="preserve">et imprécise. </w:t>
      </w:r>
      <w:r w:rsidRPr="003B1303" w:rsidR="00AD75AE">
        <w:rPr>
          <w:lang w:val="fr-FR"/>
        </w:rPr>
        <w:t>Il allègue n</w:t>
      </w:r>
      <w:r w:rsidRPr="003B1303" w:rsidR="009A2FC3">
        <w:rPr>
          <w:lang w:val="fr-FR"/>
        </w:rPr>
        <w:t>otamment</w:t>
      </w:r>
      <w:r w:rsidRPr="003B1303" w:rsidR="00AD75AE">
        <w:rPr>
          <w:lang w:val="fr-FR"/>
        </w:rPr>
        <w:t xml:space="preserve"> qu</w:t>
      </w:r>
      <w:r w:rsidRPr="003B1303" w:rsidR="003B1303">
        <w:rPr>
          <w:lang w:val="fr-FR"/>
        </w:rPr>
        <w:t>’</w:t>
      </w:r>
      <w:r w:rsidRPr="003B1303" w:rsidR="009A2FC3">
        <w:rPr>
          <w:lang w:val="fr-FR"/>
        </w:rPr>
        <w:t>il n</w:t>
      </w:r>
      <w:r w:rsidRPr="003B1303" w:rsidR="003B1303">
        <w:rPr>
          <w:lang w:val="fr-FR"/>
        </w:rPr>
        <w:t>’</w:t>
      </w:r>
      <w:r w:rsidRPr="003B1303" w:rsidR="009A2FC3">
        <w:rPr>
          <w:lang w:val="fr-FR"/>
        </w:rPr>
        <w:t>était pas possible de savoir quand le dossier serait transmis au procureur</w:t>
      </w:r>
      <w:r w:rsidRPr="003B1303" w:rsidR="00E92366">
        <w:rPr>
          <w:lang w:val="fr-FR"/>
        </w:rPr>
        <w:t xml:space="preserve"> et</w:t>
      </w:r>
      <w:r w:rsidRPr="003B1303" w:rsidR="00AD75AE">
        <w:rPr>
          <w:lang w:val="fr-FR"/>
        </w:rPr>
        <w:t>,</w:t>
      </w:r>
      <w:r w:rsidRPr="003B1303" w:rsidR="00E92366">
        <w:rPr>
          <w:lang w:val="fr-FR"/>
        </w:rPr>
        <w:t xml:space="preserve"> par conséquent, calculer la date butoir de sa détention.</w:t>
      </w:r>
    </w:p>
    <w:p w:rsidRPr="003B1303" w:rsidR="00234FF3" w:rsidP="003B1303" w:rsidRDefault="00234FF3">
      <w:pPr>
        <w:pStyle w:val="ECHRHeading3"/>
        <w:rPr>
          <w:lang w:val="fr-FR"/>
        </w:rPr>
      </w:pPr>
      <w:r w:rsidRPr="003B1303">
        <w:rPr>
          <w:lang w:val="fr-FR"/>
        </w:rPr>
        <w:t>2.  Appréciation de la Cour</w:t>
      </w:r>
    </w:p>
    <w:p w:rsidRPr="003B1303" w:rsidR="00234FF3" w:rsidP="003B1303" w:rsidRDefault="00234FF3">
      <w:pPr>
        <w:pStyle w:val="ECHRHeading4"/>
        <w:rPr>
          <w:lang w:val="fr-FR"/>
        </w:rPr>
      </w:pPr>
      <w:r w:rsidRPr="003B1303">
        <w:rPr>
          <w:lang w:val="fr-FR"/>
        </w:rPr>
        <w:t>a)  Sur la recevabilité</w:t>
      </w:r>
    </w:p>
    <w:p w:rsidRPr="003B1303" w:rsidR="00234FF3" w:rsidP="003B1303" w:rsidRDefault="00234FF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149</w:t>
      </w:r>
      <w:r w:rsidRPr="003B1303">
        <w:rPr>
          <w:lang w:val="fr-FR"/>
        </w:rPr>
        <w:fldChar w:fldCharType="end"/>
      </w:r>
      <w:r w:rsidRPr="003B1303">
        <w:rPr>
          <w:lang w:val="fr-FR"/>
        </w:rPr>
        <w:t>.  Constatant que ce grief n</w:t>
      </w:r>
      <w:r w:rsidRPr="003B1303" w:rsidR="003B1303">
        <w:rPr>
          <w:lang w:val="fr-FR"/>
        </w:rPr>
        <w:t>’</w:t>
      </w:r>
      <w:r w:rsidRPr="003B1303">
        <w:rPr>
          <w:lang w:val="fr-FR"/>
        </w:rPr>
        <w:t>est pas manifestement mal fondé au sens de l</w:t>
      </w:r>
      <w:r w:rsidRPr="003B1303" w:rsidR="003B1303">
        <w:rPr>
          <w:lang w:val="fr-FR"/>
        </w:rPr>
        <w:t>’</w:t>
      </w:r>
      <w:r w:rsidRPr="003B1303">
        <w:rPr>
          <w:lang w:val="fr-FR"/>
        </w:rPr>
        <w:t>article 35 § 3 a) de la Convention et qu</w:t>
      </w:r>
      <w:r w:rsidRPr="003B1303" w:rsidR="003B1303">
        <w:rPr>
          <w:lang w:val="fr-FR"/>
        </w:rPr>
        <w:t>’</w:t>
      </w:r>
      <w:r w:rsidRPr="003B1303">
        <w:rPr>
          <w:lang w:val="fr-FR"/>
        </w:rPr>
        <w:t>il ne se heurte par ailleurs à aucun autre motif d</w:t>
      </w:r>
      <w:r w:rsidRPr="003B1303" w:rsidR="003B1303">
        <w:rPr>
          <w:lang w:val="fr-FR"/>
        </w:rPr>
        <w:t>’</w:t>
      </w:r>
      <w:r w:rsidRPr="003B1303">
        <w:rPr>
          <w:lang w:val="fr-FR"/>
        </w:rPr>
        <w:t>irrecevabilité, la Cour le déclare recevable.</w:t>
      </w:r>
    </w:p>
    <w:p w:rsidRPr="003B1303" w:rsidR="00234FF3" w:rsidP="003B1303" w:rsidRDefault="00234FF3">
      <w:pPr>
        <w:pStyle w:val="ECHRHeading4"/>
        <w:rPr>
          <w:bCs w:val="0"/>
          <w:i/>
          <w:lang w:val="fr-FR"/>
        </w:rPr>
      </w:pPr>
      <w:r w:rsidRPr="003B1303">
        <w:rPr>
          <w:bCs w:val="0"/>
          <w:i/>
          <w:lang w:val="fr-FR"/>
        </w:rPr>
        <w:t>b)  Sur le fond</w:t>
      </w:r>
    </w:p>
    <w:p w:rsidRPr="003B1303" w:rsidR="00BE4C83" w:rsidP="003B1303" w:rsidRDefault="00E92366">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150</w:t>
      </w:r>
      <w:r w:rsidRPr="003B1303">
        <w:rPr>
          <w:lang w:val="fr-FR"/>
        </w:rPr>
        <w:fldChar w:fldCharType="end"/>
      </w:r>
      <w:r w:rsidRPr="003B1303">
        <w:rPr>
          <w:lang w:val="fr-FR"/>
        </w:rPr>
        <w:t>.  </w:t>
      </w:r>
      <w:r w:rsidRPr="003B1303" w:rsidR="00DB0362">
        <w:rPr>
          <w:lang w:val="fr-FR"/>
        </w:rPr>
        <w:t>La Cour note qu</w:t>
      </w:r>
      <w:r w:rsidRPr="003B1303" w:rsidR="00AD75AE">
        <w:rPr>
          <w:lang w:val="fr-FR"/>
        </w:rPr>
        <w:t xml:space="preserve">e, </w:t>
      </w:r>
      <w:r w:rsidRPr="003B1303" w:rsidR="00DB0362">
        <w:rPr>
          <w:lang w:val="fr-FR"/>
        </w:rPr>
        <w:t xml:space="preserve">en </w:t>
      </w:r>
      <w:r w:rsidRPr="003B1303" w:rsidR="00AA0C9F">
        <w:rPr>
          <w:lang w:val="fr-FR"/>
        </w:rPr>
        <w:t>l</w:t>
      </w:r>
      <w:r w:rsidRPr="003B1303" w:rsidR="003B1303">
        <w:rPr>
          <w:lang w:val="fr-FR"/>
        </w:rPr>
        <w:t>’</w:t>
      </w:r>
      <w:r w:rsidRPr="003B1303" w:rsidR="00AA0C9F">
        <w:rPr>
          <w:lang w:val="fr-FR"/>
        </w:rPr>
        <w:t xml:space="preserve">espèce, </w:t>
      </w:r>
      <w:r w:rsidRPr="003B1303" w:rsidR="00BA7AA9">
        <w:rPr>
          <w:lang w:val="fr-FR"/>
        </w:rPr>
        <w:t xml:space="preserve">la cour régionale, </w:t>
      </w:r>
      <w:r w:rsidRPr="003B1303" w:rsidR="00557066">
        <w:rPr>
          <w:lang w:val="fr-FR"/>
        </w:rPr>
        <w:t>par s</w:t>
      </w:r>
      <w:r w:rsidRPr="003B1303" w:rsidR="00AA0C9F">
        <w:rPr>
          <w:lang w:val="fr-FR"/>
        </w:rPr>
        <w:t xml:space="preserve">a décision du 31 décembre 2009, </w:t>
      </w:r>
      <w:r w:rsidRPr="003B1303" w:rsidR="00557066">
        <w:rPr>
          <w:lang w:val="fr-FR"/>
        </w:rPr>
        <w:t>a ordonné le maintien du</w:t>
      </w:r>
      <w:r w:rsidRPr="003B1303" w:rsidR="001D12EB">
        <w:rPr>
          <w:lang w:val="fr-FR"/>
        </w:rPr>
        <w:t xml:space="preserve"> premier</w:t>
      </w:r>
      <w:r w:rsidRPr="003B1303" w:rsidR="00557066">
        <w:rPr>
          <w:lang w:val="fr-FR"/>
        </w:rPr>
        <w:t xml:space="preserve"> requérant en détention « pour un mois à compter de la réception du dossier par le procureur » (paragraphe </w:t>
      </w:r>
      <w:r w:rsidRPr="003B1303" w:rsidR="00EF502D">
        <w:rPr>
          <w:lang w:val="fr-FR"/>
        </w:rPr>
        <w:fldChar w:fldCharType="begin"/>
      </w:r>
      <w:r w:rsidRPr="003B1303" w:rsidR="00EF502D">
        <w:rPr>
          <w:lang w:val="fr-FR"/>
        </w:rPr>
        <w:instrText xml:space="preserve"> REF decdet31d \h </w:instrText>
      </w:r>
      <w:r w:rsidRPr="003B1303" w:rsidR="006C36C2">
        <w:rPr>
          <w:lang w:val="fr-FR"/>
        </w:rPr>
        <w:instrText xml:space="preserve"> \* MERGEFORMAT </w:instrText>
      </w:r>
      <w:r w:rsidRPr="003B1303" w:rsidR="00EF502D">
        <w:rPr>
          <w:lang w:val="fr-FR"/>
        </w:rPr>
      </w:r>
      <w:r w:rsidRPr="003B1303" w:rsidR="00EF502D">
        <w:rPr>
          <w:lang w:val="fr-FR"/>
        </w:rPr>
        <w:fldChar w:fldCharType="separate"/>
      </w:r>
      <w:r w:rsidR="003B1303">
        <w:rPr>
          <w:noProof/>
          <w:lang w:val="fr-FR"/>
        </w:rPr>
        <w:t>40</w:t>
      </w:r>
      <w:r w:rsidRPr="003B1303" w:rsidR="00EF502D">
        <w:rPr>
          <w:lang w:val="fr-FR"/>
        </w:rPr>
        <w:fldChar w:fldCharType="end"/>
      </w:r>
      <w:r w:rsidRPr="003B1303" w:rsidR="00EF502D">
        <w:rPr>
          <w:lang w:val="fr-FR"/>
        </w:rPr>
        <w:t xml:space="preserve"> </w:t>
      </w:r>
      <w:r w:rsidRPr="003B1303" w:rsidR="00557066">
        <w:rPr>
          <w:lang w:val="fr-FR"/>
        </w:rPr>
        <w:t>ci</w:t>
      </w:r>
      <w:r w:rsidRPr="003B1303" w:rsidR="00557066">
        <w:rPr>
          <w:lang w:val="fr-FR"/>
        </w:rPr>
        <w:noBreakHyphen/>
        <w:t>dessus).</w:t>
      </w:r>
      <w:r w:rsidRPr="003B1303" w:rsidR="00DB0362">
        <w:rPr>
          <w:lang w:val="fr-FR"/>
        </w:rPr>
        <w:t xml:space="preserve"> </w:t>
      </w:r>
      <w:r w:rsidRPr="003B1303" w:rsidR="00AD75AE">
        <w:rPr>
          <w:lang w:val="fr-FR"/>
        </w:rPr>
        <w:t>Elle</w:t>
      </w:r>
      <w:r w:rsidRPr="003B1303" w:rsidR="00557066">
        <w:rPr>
          <w:lang w:val="fr-FR"/>
        </w:rPr>
        <w:t xml:space="preserve"> </w:t>
      </w:r>
      <w:r w:rsidRPr="003B1303" w:rsidR="00BA7AA9">
        <w:rPr>
          <w:lang w:val="fr-FR"/>
        </w:rPr>
        <w:t>relève</w:t>
      </w:r>
      <w:r w:rsidRPr="003B1303" w:rsidR="00557066">
        <w:rPr>
          <w:lang w:val="fr-FR"/>
        </w:rPr>
        <w:t xml:space="preserve"> ensuite que</w:t>
      </w:r>
      <w:r w:rsidRPr="003B1303" w:rsidR="00AD75AE">
        <w:rPr>
          <w:lang w:val="fr-FR"/>
        </w:rPr>
        <w:t>,</w:t>
      </w:r>
      <w:r w:rsidRPr="003B1303" w:rsidR="00761874">
        <w:rPr>
          <w:lang w:val="fr-FR"/>
        </w:rPr>
        <w:t xml:space="preserve"> le </w:t>
      </w:r>
      <w:r w:rsidRPr="003B1303" w:rsidR="002E766F">
        <w:rPr>
          <w:lang w:val="fr-FR"/>
        </w:rPr>
        <w:t xml:space="preserve">18 </w:t>
      </w:r>
      <w:r w:rsidRPr="003B1303" w:rsidR="00761874">
        <w:rPr>
          <w:lang w:val="fr-FR"/>
        </w:rPr>
        <w:t>mars 2010</w:t>
      </w:r>
      <w:r w:rsidRPr="003B1303" w:rsidR="00AD75AE">
        <w:rPr>
          <w:lang w:val="fr-FR"/>
        </w:rPr>
        <w:t>,</w:t>
      </w:r>
      <w:r w:rsidRPr="003B1303" w:rsidR="00557066">
        <w:rPr>
          <w:lang w:val="fr-FR"/>
        </w:rPr>
        <w:t xml:space="preserve"> la Cour suprême russe, en se prononçant sur l</w:t>
      </w:r>
      <w:r w:rsidRPr="003B1303" w:rsidR="003B1303">
        <w:rPr>
          <w:lang w:val="fr-FR"/>
        </w:rPr>
        <w:t>’</w:t>
      </w:r>
      <w:r w:rsidRPr="003B1303" w:rsidR="00557066">
        <w:rPr>
          <w:lang w:val="fr-FR"/>
        </w:rPr>
        <w:t xml:space="preserve">appel du </w:t>
      </w:r>
      <w:r w:rsidRPr="003B1303" w:rsidR="00AD75AE">
        <w:rPr>
          <w:lang w:val="fr-FR"/>
        </w:rPr>
        <w:t xml:space="preserve">premier </w:t>
      </w:r>
      <w:r w:rsidRPr="003B1303" w:rsidR="00557066">
        <w:rPr>
          <w:lang w:val="fr-FR"/>
        </w:rPr>
        <w:t>requérant contre la décision du 31 décembre 2009, a modifié celle</w:t>
      </w:r>
      <w:r w:rsidRPr="003B1303" w:rsidR="00557066">
        <w:rPr>
          <w:lang w:val="fr-FR"/>
        </w:rPr>
        <w:noBreakHyphen/>
        <w:t>ci</w:t>
      </w:r>
      <w:r w:rsidRPr="003B1303" w:rsidR="008F0595">
        <w:rPr>
          <w:lang w:val="fr-FR"/>
        </w:rPr>
        <w:t xml:space="preserve"> et </w:t>
      </w:r>
      <w:r w:rsidRPr="003B1303" w:rsidR="00566D37">
        <w:rPr>
          <w:lang w:val="fr-FR"/>
        </w:rPr>
        <w:t xml:space="preserve">a </w:t>
      </w:r>
      <w:r w:rsidRPr="003B1303" w:rsidR="00557066">
        <w:rPr>
          <w:lang w:val="fr-FR"/>
        </w:rPr>
        <w:t xml:space="preserve">exclu </w:t>
      </w:r>
      <w:r w:rsidRPr="003B1303" w:rsidR="001568CD">
        <w:rPr>
          <w:lang w:val="fr-FR"/>
        </w:rPr>
        <w:t>la nécessité de préciser le délai final de la prolongation de</w:t>
      </w:r>
      <w:r w:rsidRPr="003B1303" w:rsidR="00557066">
        <w:rPr>
          <w:lang w:val="fr-FR"/>
        </w:rPr>
        <w:t xml:space="preserve"> la détention </w:t>
      </w:r>
      <w:r w:rsidRPr="003B1303" w:rsidR="00566D37">
        <w:rPr>
          <w:lang w:val="fr-FR"/>
        </w:rPr>
        <w:t>de l</w:t>
      </w:r>
      <w:r w:rsidRPr="003B1303" w:rsidR="003B1303">
        <w:rPr>
          <w:lang w:val="fr-FR"/>
        </w:rPr>
        <w:t>’</w:t>
      </w:r>
      <w:r w:rsidRPr="003B1303" w:rsidR="00566D37">
        <w:rPr>
          <w:lang w:val="fr-FR"/>
        </w:rPr>
        <w:t xml:space="preserve">intéressé </w:t>
      </w:r>
      <w:r w:rsidRPr="003B1303" w:rsidR="00EF502D">
        <w:rPr>
          <w:lang w:val="fr-FR"/>
        </w:rPr>
        <w:t xml:space="preserve">(paragraphe </w:t>
      </w:r>
      <w:r w:rsidRPr="003B1303" w:rsidR="00EF502D">
        <w:rPr>
          <w:lang w:val="fr-FR"/>
        </w:rPr>
        <w:fldChar w:fldCharType="begin"/>
      </w:r>
      <w:r w:rsidRPr="003B1303" w:rsidR="00EF502D">
        <w:rPr>
          <w:lang w:val="fr-FR"/>
        </w:rPr>
        <w:instrText xml:space="preserve"> REF decdet18m \h </w:instrText>
      </w:r>
      <w:r w:rsidRPr="003B1303" w:rsidR="006C36C2">
        <w:rPr>
          <w:lang w:val="fr-FR"/>
        </w:rPr>
        <w:instrText xml:space="preserve"> \* MERGEFORMAT </w:instrText>
      </w:r>
      <w:r w:rsidRPr="003B1303" w:rsidR="00EF502D">
        <w:rPr>
          <w:lang w:val="fr-FR"/>
        </w:rPr>
      </w:r>
      <w:r w:rsidRPr="003B1303" w:rsidR="00EF502D">
        <w:rPr>
          <w:lang w:val="fr-FR"/>
        </w:rPr>
        <w:fldChar w:fldCharType="separate"/>
      </w:r>
      <w:r w:rsidR="003B1303">
        <w:rPr>
          <w:noProof/>
          <w:lang w:val="fr-FR"/>
        </w:rPr>
        <w:t>42</w:t>
      </w:r>
      <w:r w:rsidRPr="003B1303" w:rsidR="00EF502D">
        <w:rPr>
          <w:lang w:val="fr-FR"/>
        </w:rPr>
        <w:fldChar w:fldCharType="end"/>
      </w:r>
      <w:r w:rsidRPr="003B1303" w:rsidR="00EF502D">
        <w:rPr>
          <w:lang w:val="fr-FR"/>
        </w:rPr>
        <w:t xml:space="preserve"> ci</w:t>
      </w:r>
      <w:r w:rsidRPr="003B1303" w:rsidR="00EF502D">
        <w:rPr>
          <w:lang w:val="fr-FR"/>
        </w:rPr>
        <w:noBreakHyphen/>
        <w:t>dessus)</w:t>
      </w:r>
      <w:r w:rsidRPr="003B1303" w:rsidR="008F0595">
        <w:rPr>
          <w:lang w:val="fr-FR"/>
        </w:rPr>
        <w:t>.</w:t>
      </w:r>
    </w:p>
    <w:p w:rsidRPr="003B1303" w:rsidR="00A7761A" w:rsidP="003B1303" w:rsidRDefault="00BA7AA9">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151</w:t>
      </w:r>
      <w:r w:rsidRPr="003B1303">
        <w:rPr>
          <w:lang w:val="fr-FR"/>
        </w:rPr>
        <w:fldChar w:fldCharType="end"/>
      </w:r>
      <w:r w:rsidRPr="003B1303">
        <w:rPr>
          <w:lang w:val="fr-FR"/>
        </w:rPr>
        <w:t>.  </w:t>
      </w:r>
      <w:r w:rsidRPr="003B1303" w:rsidR="008F0595">
        <w:rPr>
          <w:lang w:val="fr-FR"/>
        </w:rPr>
        <w:t>L</w:t>
      </w:r>
      <w:r w:rsidRPr="003B1303" w:rsidR="00043B6E">
        <w:rPr>
          <w:lang w:val="fr-FR"/>
        </w:rPr>
        <w:t xml:space="preserve">a Cour </w:t>
      </w:r>
      <w:r w:rsidRPr="003B1303" w:rsidR="00EF502D">
        <w:rPr>
          <w:lang w:val="fr-FR"/>
        </w:rPr>
        <w:t>note</w:t>
      </w:r>
      <w:r w:rsidRPr="003B1303">
        <w:rPr>
          <w:lang w:val="fr-FR"/>
        </w:rPr>
        <w:t xml:space="preserve"> que </w:t>
      </w:r>
      <w:r w:rsidRPr="003B1303" w:rsidR="00043B6E">
        <w:rPr>
          <w:lang w:val="fr-FR"/>
        </w:rPr>
        <w:t xml:space="preserve">la décision du 18 mars 2010 de la Cour suprême russe </w:t>
      </w:r>
      <w:r w:rsidRPr="003B1303">
        <w:rPr>
          <w:lang w:val="fr-FR"/>
        </w:rPr>
        <w:t xml:space="preserve">est ambiguë </w:t>
      </w:r>
      <w:r w:rsidRPr="003B1303" w:rsidR="00043B6E">
        <w:rPr>
          <w:lang w:val="fr-FR"/>
        </w:rPr>
        <w:t>en ce qui concerne la procédure applicable à la prorogation de la détention du</w:t>
      </w:r>
      <w:r w:rsidRPr="003B1303" w:rsidR="001D12EB">
        <w:rPr>
          <w:lang w:val="fr-FR"/>
        </w:rPr>
        <w:t xml:space="preserve"> premier</w:t>
      </w:r>
      <w:r w:rsidRPr="003B1303" w:rsidR="00043B6E">
        <w:rPr>
          <w:lang w:val="fr-FR"/>
        </w:rPr>
        <w:t xml:space="preserve"> requérant après le renvoi de l</w:t>
      </w:r>
      <w:r w:rsidRPr="003B1303" w:rsidR="003B1303">
        <w:rPr>
          <w:lang w:val="fr-FR"/>
        </w:rPr>
        <w:t>’</w:t>
      </w:r>
      <w:r w:rsidRPr="003B1303" w:rsidR="00043B6E">
        <w:rPr>
          <w:lang w:val="fr-FR"/>
        </w:rPr>
        <w:t>affaire pénale au procureur</w:t>
      </w:r>
      <w:r w:rsidRPr="003B1303" w:rsidR="002C709D">
        <w:rPr>
          <w:lang w:val="fr-FR"/>
        </w:rPr>
        <w:t xml:space="preserve">. </w:t>
      </w:r>
      <w:r w:rsidRPr="003B1303" w:rsidR="00AD75AE">
        <w:rPr>
          <w:lang w:val="fr-FR"/>
        </w:rPr>
        <w:t>Elle relève n</w:t>
      </w:r>
      <w:r w:rsidRPr="003B1303" w:rsidR="002C709D">
        <w:rPr>
          <w:lang w:val="fr-FR"/>
        </w:rPr>
        <w:t>otamment</w:t>
      </w:r>
      <w:r w:rsidRPr="003B1303" w:rsidR="00AD75AE">
        <w:rPr>
          <w:lang w:val="fr-FR"/>
        </w:rPr>
        <w:t xml:space="preserve"> que</w:t>
      </w:r>
      <w:r w:rsidRPr="003B1303" w:rsidR="002C709D">
        <w:rPr>
          <w:lang w:val="fr-FR"/>
        </w:rPr>
        <w:t xml:space="preserve"> la juridiction suprême a indiqué d</w:t>
      </w:r>
      <w:r w:rsidRPr="003B1303" w:rsidR="003B1303">
        <w:rPr>
          <w:lang w:val="fr-FR"/>
        </w:rPr>
        <w:t>’</w:t>
      </w:r>
      <w:r w:rsidRPr="003B1303" w:rsidR="002C709D">
        <w:rPr>
          <w:lang w:val="fr-FR"/>
        </w:rPr>
        <w:t>un côté que</w:t>
      </w:r>
      <w:r w:rsidRPr="003B1303" w:rsidR="00043B6E">
        <w:rPr>
          <w:lang w:val="fr-FR"/>
        </w:rPr>
        <w:t xml:space="preserve"> </w:t>
      </w:r>
      <w:r w:rsidRPr="003B1303" w:rsidR="002C709D">
        <w:rPr>
          <w:lang w:val="fr-FR"/>
        </w:rPr>
        <w:t>la norme applicabl</w:t>
      </w:r>
      <w:r w:rsidRPr="003B1303" w:rsidR="00760090">
        <w:rPr>
          <w:lang w:val="fr-FR"/>
        </w:rPr>
        <w:t xml:space="preserve">e quant au calcul des délais </w:t>
      </w:r>
      <w:r w:rsidRPr="003B1303" w:rsidR="00A36103">
        <w:rPr>
          <w:lang w:val="fr-FR"/>
        </w:rPr>
        <w:t>était</w:t>
      </w:r>
      <w:r w:rsidRPr="003B1303" w:rsidR="002C709D">
        <w:rPr>
          <w:lang w:val="fr-FR"/>
        </w:rPr>
        <w:t xml:space="preserve"> l</w:t>
      </w:r>
      <w:r w:rsidRPr="003B1303" w:rsidR="003B1303">
        <w:rPr>
          <w:lang w:val="fr-FR"/>
        </w:rPr>
        <w:t>’</w:t>
      </w:r>
      <w:r w:rsidRPr="003B1303" w:rsidR="002C709D">
        <w:rPr>
          <w:lang w:val="fr-FR"/>
        </w:rPr>
        <w:t>article 109 du CPP</w:t>
      </w:r>
      <w:r w:rsidRPr="003B1303" w:rsidR="00A7761A">
        <w:rPr>
          <w:lang w:val="fr-FR"/>
        </w:rPr>
        <w:t>, autrement dit la procédure relative à la détention provisoire « pendant l</w:t>
      </w:r>
      <w:r w:rsidRPr="003B1303" w:rsidR="003B1303">
        <w:rPr>
          <w:lang w:val="fr-FR"/>
        </w:rPr>
        <w:t>’</w:t>
      </w:r>
      <w:r w:rsidRPr="003B1303" w:rsidR="00A7761A">
        <w:rPr>
          <w:lang w:val="fr-FR"/>
        </w:rPr>
        <w:t>investigation »</w:t>
      </w:r>
      <w:r w:rsidRPr="003B1303" w:rsidR="00AD75AE">
        <w:rPr>
          <w:lang w:val="fr-FR"/>
        </w:rPr>
        <w:t xml:space="preserve"> et que, d</w:t>
      </w:r>
      <w:r w:rsidRPr="003B1303" w:rsidR="003B1303">
        <w:rPr>
          <w:lang w:val="fr-FR"/>
        </w:rPr>
        <w:t>’</w:t>
      </w:r>
      <w:r w:rsidRPr="003B1303" w:rsidR="00AD75AE">
        <w:rPr>
          <w:lang w:val="fr-FR"/>
        </w:rPr>
        <w:t xml:space="preserve">un </w:t>
      </w:r>
      <w:r w:rsidRPr="003B1303" w:rsidR="002C709D">
        <w:rPr>
          <w:lang w:val="fr-FR"/>
        </w:rPr>
        <w:t xml:space="preserve">autre côté, elle a en même temps estimé que le </w:t>
      </w:r>
      <w:r w:rsidRPr="003B1303" w:rsidR="001D12EB">
        <w:rPr>
          <w:lang w:val="fr-FR"/>
        </w:rPr>
        <w:t xml:space="preserve">premier </w:t>
      </w:r>
      <w:r w:rsidRPr="003B1303" w:rsidR="002C709D">
        <w:rPr>
          <w:lang w:val="fr-FR"/>
        </w:rPr>
        <w:t>requérant était détenu « pendant l</w:t>
      </w:r>
      <w:r w:rsidRPr="003B1303" w:rsidR="003B1303">
        <w:rPr>
          <w:lang w:val="fr-FR"/>
        </w:rPr>
        <w:t>’</w:t>
      </w:r>
      <w:r w:rsidRPr="003B1303" w:rsidR="002C709D">
        <w:rPr>
          <w:lang w:val="fr-FR"/>
        </w:rPr>
        <w:t xml:space="preserve">examen judiciaire » conformément à </w:t>
      </w:r>
      <w:r w:rsidRPr="003B1303" w:rsidR="00043B6E">
        <w:rPr>
          <w:lang w:val="fr-FR"/>
        </w:rPr>
        <w:t>l</w:t>
      </w:r>
      <w:r w:rsidRPr="003B1303" w:rsidR="003B1303">
        <w:rPr>
          <w:lang w:val="fr-FR"/>
        </w:rPr>
        <w:t>’</w:t>
      </w:r>
      <w:r w:rsidRPr="003B1303" w:rsidR="002C709D">
        <w:rPr>
          <w:lang w:val="fr-FR"/>
        </w:rPr>
        <w:t>article 255 § 2</w:t>
      </w:r>
      <w:r w:rsidRPr="003B1303" w:rsidR="008F0595">
        <w:rPr>
          <w:lang w:val="fr-FR"/>
        </w:rPr>
        <w:t xml:space="preserve"> et que, par conséquent, l</w:t>
      </w:r>
      <w:r w:rsidRPr="003B1303" w:rsidR="003B1303">
        <w:rPr>
          <w:lang w:val="fr-FR"/>
        </w:rPr>
        <w:t>’</w:t>
      </w:r>
      <w:r w:rsidRPr="003B1303" w:rsidR="008F0595">
        <w:rPr>
          <w:lang w:val="fr-FR"/>
        </w:rPr>
        <w:t>indication de la date limite n</w:t>
      </w:r>
      <w:r w:rsidRPr="003B1303" w:rsidR="003B1303">
        <w:rPr>
          <w:lang w:val="fr-FR"/>
        </w:rPr>
        <w:t>’</w:t>
      </w:r>
      <w:r w:rsidRPr="003B1303" w:rsidR="008F0595">
        <w:rPr>
          <w:lang w:val="fr-FR"/>
        </w:rPr>
        <w:t>était pas nécessaire au motif que le délai de six mois prévu par l</w:t>
      </w:r>
      <w:r w:rsidRPr="003B1303" w:rsidR="003B1303">
        <w:rPr>
          <w:lang w:val="fr-FR"/>
        </w:rPr>
        <w:t>’</w:t>
      </w:r>
      <w:r w:rsidRPr="003B1303" w:rsidR="008F0595">
        <w:rPr>
          <w:lang w:val="fr-FR"/>
        </w:rPr>
        <w:t xml:space="preserve">article 255 du CPP </w:t>
      </w:r>
      <w:r w:rsidRPr="003B1303" w:rsidR="00AD75AE">
        <w:rPr>
          <w:lang w:val="fr-FR"/>
        </w:rPr>
        <w:t>n</w:t>
      </w:r>
      <w:r w:rsidRPr="003B1303" w:rsidR="003B1303">
        <w:rPr>
          <w:lang w:val="fr-FR"/>
        </w:rPr>
        <w:t>’</w:t>
      </w:r>
      <w:r w:rsidRPr="003B1303" w:rsidR="00AD75AE">
        <w:rPr>
          <w:lang w:val="fr-FR"/>
        </w:rPr>
        <w:t xml:space="preserve">avait </w:t>
      </w:r>
      <w:r w:rsidRPr="003B1303" w:rsidR="008F0595">
        <w:rPr>
          <w:lang w:val="fr-FR"/>
        </w:rPr>
        <w:t>pas expiré.</w:t>
      </w:r>
    </w:p>
    <w:p w:rsidRPr="003B1303" w:rsidR="00781C8C" w:rsidP="003B1303" w:rsidRDefault="00A7761A">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152</w:t>
      </w:r>
      <w:r w:rsidRPr="003B1303">
        <w:rPr>
          <w:lang w:val="fr-FR"/>
        </w:rPr>
        <w:fldChar w:fldCharType="end"/>
      </w:r>
      <w:r w:rsidRPr="003B1303">
        <w:rPr>
          <w:lang w:val="fr-FR"/>
        </w:rPr>
        <w:t>.  Cependant, la Cour estime qu</w:t>
      </w:r>
      <w:r w:rsidRPr="003B1303" w:rsidR="003B1303">
        <w:rPr>
          <w:lang w:val="fr-FR"/>
        </w:rPr>
        <w:t>’</w:t>
      </w:r>
      <w:r w:rsidRPr="003B1303">
        <w:rPr>
          <w:lang w:val="fr-FR"/>
        </w:rPr>
        <w:t>il ne lui est pas nécessaire d</w:t>
      </w:r>
      <w:r w:rsidRPr="003B1303" w:rsidR="003B1303">
        <w:rPr>
          <w:lang w:val="fr-FR"/>
        </w:rPr>
        <w:t>’</w:t>
      </w:r>
      <w:r w:rsidRPr="003B1303" w:rsidR="001D12EB">
        <w:rPr>
          <w:lang w:val="fr-FR"/>
        </w:rPr>
        <w:t>établir le régime applicable à la détention du premier</w:t>
      </w:r>
      <w:r w:rsidRPr="003B1303">
        <w:rPr>
          <w:lang w:val="fr-FR"/>
        </w:rPr>
        <w:t xml:space="preserve"> requérant à la date de l</w:t>
      </w:r>
      <w:r w:rsidRPr="003B1303" w:rsidR="003B1303">
        <w:rPr>
          <w:lang w:val="fr-FR"/>
        </w:rPr>
        <w:t>’</w:t>
      </w:r>
      <w:r w:rsidRPr="003B1303">
        <w:rPr>
          <w:lang w:val="fr-FR"/>
        </w:rPr>
        <w:t>adoption de la décision du 31 décembre 2009, c</w:t>
      </w:r>
      <w:r w:rsidRPr="003B1303" w:rsidR="003B1303">
        <w:rPr>
          <w:lang w:val="fr-FR"/>
        </w:rPr>
        <w:t>’</w:t>
      </w:r>
      <w:r w:rsidRPr="003B1303">
        <w:rPr>
          <w:lang w:val="fr-FR"/>
        </w:rPr>
        <w:t>est</w:t>
      </w:r>
      <w:r w:rsidRPr="003B1303">
        <w:rPr>
          <w:lang w:val="fr-FR"/>
        </w:rPr>
        <w:noBreakHyphen/>
        <w:t>à</w:t>
      </w:r>
      <w:r w:rsidRPr="003B1303">
        <w:rPr>
          <w:lang w:val="fr-FR"/>
        </w:rPr>
        <w:noBreakHyphen/>
        <w:t>dire l</w:t>
      </w:r>
      <w:r w:rsidRPr="003B1303" w:rsidR="003B1303">
        <w:rPr>
          <w:lang w:val="fr-FR"/>
        </w:rPr>
        <w:t>’</w:t>
      </w:r>
      <w:r w:rsidRPr="003B1303">
        <w:rPr>
          <w:lang w:val="fr-FR"/>
        </w:rPr>
        <w:t xml:space="preserve">article 109 ou 255 du CPP, </w:t>
      </w:r>
      <w:r w:rsidRPr="003B1303" w:rsidR="00206B2A">
        <w:rPr>
          <w:lang w:val="fr-FR"/>
        </w:rPr>
        <w:t xml:space="preserve">pour les </w:t>
      </w:r>
      <w:r w:rsidRPr="003B1303">
        <w:rPr>
          <w:lang w:val="fr-FR"/>
        </w:rPr>
        <w:t>motifs suivants. Elle</w:t>
      </w:r>
      <w:r w:rsidRPr="003B1303" w:rsidR="008F0595">
        <w:rPr>
          <w:lang w:val="fr-FR"/>
        </w:rPr>
        <w:t xml:space="preserve"> rappelle avoir déjà trouvé </w:t>
      </w:r>
      <w:r w:rsidRPr="003B1303" w:rsidR="00760090">
        <w:rPr>
          <w:lang w:val="fr-FR"/>
        </w:rPr>
        <w:t>que l</w:t>
      </w:r>
      <w:r w:rsidRPr="003B1303" w:rsidR="003B1303">
        <w:rPr>
          <w:lang w:val="fr-FR"/>
        </w:rPr>
        <w:t>’</w:t>
      </w:r>
      <w:r w:rsidRPr="003B1303" w:rsidR="00760090">
        <w:rPr>
          <w:lang w:val="fr-FR"/>
        </w:rPr>
        <w:t>absence d</w:t>
      </w:r>
      <w:r w:rsidRPr="003B1303" w:rsidR="003B1303">
        <w:rPr>
          <w:lang w:val="fr-FR"/>
        </w:rPr>
        <w:t>’</w:t>
      </w:r>
      <w:r w:rsidRPr="003B1303" w:rsidR="00760090">
        <w:rPr>
          <w:lang w:val="fr-FR"/>
        </w:rPr>
        <w:t xml:space="preserve">indication de la date limite précise </w:t>
      </w:r>
      <w:r w:rsidRPr="003B1303" w:rsidR="00BC6135">
        <w:rPr>
          <w:lang w:val="fr-FR"/>
        </w:rPr>
        <w:t xml:space="preserve">du terme </w:t>
      </w:r>
      <w:r w:rsidRPr="003B1303" w:rsidR="00760090">
        <w:rPr>
          <w:lang w:val="fr-FR"/>
        </w:rPr>
        <w:t>d</w:t>
      </w:r>
      <w:r w:rsidRPr="003B1303" w:rsidR="003B1303">
        <w:rPr>
          <w:lang w:val="fr-FR"/>
        </w:rPr>
        <w:t>’</w:t>
      </w:r>
      <w:r w:rsidRPr="003B1303" w:rsidR="00A36103">
        <w:rPr>
          <w:lang w:val="fr-FR"/>
        </w:rPr>
        <w:t xml:space="preserve">une détention </w:t>
      </w:r>
      <w:r w:rsidRPr="003B1303" w:rsidR="00760090">
        <w:rPr>
          <w:lang w:val="fr-FR"/>
        </w:rPr>
        <w:t>au moment du placement de la personne en détention provisoire ou bien au moment de la prorogation de celle</w:t>
      </w:r>
      <w:r w:rsidRPr="003B1303" w:rsidR="00760090">
        <w:rPr>
          <w:lang w:val="fr-FR"/>
        </w:rPr>
        <w:noBreakHyphen/>
        <w:t>ci</w:t>
      </w:r>
      <w:r w:rsidRPr="003B1303" w:rsidR="00411C88">
        <w:rPr>
          <w:lang w:val="fr-FR"/>
        </w:rPr>
        <w:t xml:space="preserve"> </w:t>
      </w:r>
      <w:r w:rsidRPr="003B1303" w:rsidR="00781C8C">
        <w:rPr>
          <w:lang w:val="fr-FR"/>
        </w:rPr>
        <w:t>conformément aux</w:t>
      </w:r>
      <w:r w:rsidRPr="003B1303" w:rsidR="00A36103">
        <w:rPr>
          <w:lang w:val="fr-FR"/>
        </w:rPr>
        <w:t xml:space="preserve"> articles 100, 108, 109 et 255 du CPP</w:t>
      </w:r>
      <w:r w:rsidRPr="003B1303" w:rsidR="00760090">
        <w:rPr>
          <w:lang w:val="fr-FR"/>
        </w:rPr>
        <w:t xml:space="preserve"> était contraire aux dispositions du </w:t>
      </w:r>
      <w:r w:rsidRPr="003B1303" w:rsidR="00BB0EB7">
        <w:rPr>
          <w:lang w:val="fr-FR"/>
        </w:rPr>
        <w:t>CPP</w:t>
      </w:r>
      <w:r w:rsidRPr="003B1303" w:rsidR="00760090">
        <w:rPr>
          <w:lang w:val="fr-FR"/>
        </w:rPr>
        <w:t xml:space="preserve"> russe </w:t>
      </w:r>
      <w:r w:rsidRPr="003B1303" w:rsidR="00A36103">
        <w:rPr>
          <w:lang w:val="fr-FR"/>
        </w:rPr>
        <w:t>telle</w:t>
      </w:r>
      <w:r w:rsidRPr="003B1303" w:rsidR="00BB0EB7">
        <w:rPr>
          <w:lang w:val="fr-FR"/>
        </w:rPr>
        <w:t>s</w:t>
      </w:r>
      <w:r w:rsidRPr="003B1303" w:rsidR="00A36103">
        <w:rPr>
          <w:lang w:val="fr-FR"/>
        </w:rPr>
        <w:t xml:space="preserve"> qu</w:t>
      </w:r>
      <w:r w:rsidRPr="003B1303" w:rsidR="003B1303">
        <w:rPr>
          <w:lang w:val="fr-FR"/>
        </w:rPr>
        <w:t>’</w:t>
      </w:r>
      <w:r w:rsidRPr="003B1303" w:rsidR="00A36103">
        <w:rPr>
          <w:lang w:val="fr-FR"/>
        </w:rPr>
        <w:t>interprété</w:t>
      </w:r>
      <w:r w:rsidRPr="003B1303" w:rsidR="00BB0EB7">
        <w:rPr>
          <w:lang w:val="fr-FR"/>
        </w:rPr>
        <w:t>es</w:t>
      </w:r>
      <w:r w:rsidRPr="003B1303" w:rsidR="00A36103">
        <w:rPr>
          <w:lang w:val="fr-FR"/>
        </w:rPr>
        <w:t xml:space="preserve"> par la Cour constitutionnelle de la Fédération de Russie </w:t>
      </w:r>
      <w:r w:rsidRPr="003B1303" w:rsidR="00760090">
        <w:rPr>
          <w:lang w:val="fr-FR"/>
        </w:rPr>
        <w:t>(</w:t>
      </w:r>
      <w:r w:rsidRPr="003B1303" w:rsidR="00823AAD">
        <w:rPr>
          <w:i/>
          <w:lang w:val="fr-FR"/>
        </w:rPr>
        <w:t>Roman Petrov c. </w:t>
      </w:r>
      <w:r w:rsidRPr="003B1303" w:rsidR="00ED7B19">
        <w:rPr>
          <w:i/>
          <w:lang w:val="fr-FR"/>
        </w:rPr>
        <w:t>Russie</w:t>
      </w:r>
      <w:r w:rsidRPr="003B1303" w:rsidR="00ED7B19">
        <w:rPr>
          <w:lang w:val="fr-FR"/>
        </w:rPr>
        <w:t>, n</w:t>
      </w:r>
      <w:r w:rsidRPr="003B1303" w:rsidR="00ED7B19">
        <w:rPr>
          <w:vertAlign w:val="superscript"/>
          <w:lang w:val="fr-FR"/>
        </w:rPr>
        <w:t>o</w:t>
      </w:r>
      <w:r w:rsidRPr="003B1303" w:rsidR="00ED7B19">
        <w:rPr>
          <w:lang w:val="fr-FR"/>
        </w:rPr>
        <w:t> 37311/08, § 44, 15 décembre 2015,</w:t>
      </w:r>
      <w:r w:rsidRPr="003B1303" w:rsidR="00760090">
        <w:rPr>
          <w:lang w:val="fr-FR"/>
        </w:rPr>
        <w:t xml:space="preserve"> </w:t>
      </w:r>
      <w:proofErr w:type="spellStart"/>
      <w:r w:rsidRPr="003B1303" w:rsidR="00B46CF3">
        <w:rPr>
          <w:i/>
          <w:lang w:val="fr-FR"/>
        </w:rPr>
        <w:t>Pyatkov</w:t>
      </w:r>
      <w:proofErr w:type="spellEnd"/>
      <w:r w:rsidRPr="003B1303" w:rsidR="00B46CF3">
        <w:rPr>
          <w:i/>
          <w:lang w:val="fr-FR"/>
        </w:rPr>
        <w:t xml:space="preserve"> c. </w:t>
      </w:r>
      <w:r w:rsidRPr="003B1303" w:rsidR="00A31892">
        <w:rPr>
          <w:i/>
          <w:lang w:val="fr-FR"/>
        </w:rPr>
        <w:t>Russie</w:t>
      </w:r>
      <w:r w:rsidRPr="003B1303" w:rsidR="00A31892">
        <w:rPr>
          <w:lang w:val="fr-FR"/>
        </w:rPr>
        <w:t>, n</w:t>
      </w:r>
      <w:r w:rsidRPr="003B1303" w:rsidR="00A31892">
        <w:rPr>
          <w:vertAlign w:val="superscript"/>
          <w:lang w:val="fr-FR"/>
        </w:rPr>
        <w:t>o</w:t>
      </w:r>
      <w:r w:rsidRPr="003B1303" w:rsidR="00B46CF3">
        <w:rPr>
          <w:lang w:val="fr-FR"/>
        </w:rPr>
        <w:t> </w:t>
      </w:r>
      <w:r w:rsidRPr="003B1303" w:rsidR="00A31892">
        <w:rPr>
          <w:lang w:val="fr-FR"/>
        </w:rPr>
        <w:t xml:space="preserve">61767/08, § 95, 13 novembre 2012, </w:t>
      </w:r>
      <w:proofErr w:type="spellStart"/>
      <w:r w:rsidRPr="003B1303" w:rsidR="00760090">
        <w:rPr>
          <w:i/>
          <w:lang w:val="fr-FR"/>
        </w:rPr>
        <w:t>Fedorenko</w:t>
      </w:r>
      <w:proofErr w:type="spellEnd"/>
      <w:r w:rsidRPr="003B1303" w:rsidR="00760090">
        <w:rPr>
          <w:i/>
          <w:lang w:val="fr-FR"/>
        </w:rPr>
        <w:t xml:space="preserve"> c.</w:t>
      </w:r>
      <w:r w:rsidRPr="003B1303" w:rsidR="00B46CF3">
        <w:rPr>
          <w:i/>
          <w:lang w:val="fr-FR"/>
        </w:rPr>
        <w:t> </w:t>
      </w:r>
      <w:r w:rsidRPr="003B1303" w:rsidR="00760090">
        <w:rPr>
          <w:i/>
          <w:lang w:val="fr-FR"/>
        </w:rPr>
        <w:t>Russie</w:t>
      </w:r>
      <w:r w:rsidRPr="003B1303" w:rsidR="00760090">
        <w:rPr>
          <w:lang w:val="fr-FR"/>
        </w:rPr>
        <w:t xml:space="preserve">, </w:t>
      </w:r>
      <w:r w:rsidRPr="003B1303" w:rsidR="00ED7B19">
        <w:rPr>
          <w:lang w:val="fr-FR"/>
        </w:rPr>
        <w:t>précité</w:t>
      </w:r>
      <w:r w:rsidRPr="003B1303" w:rsidR="00760090">
        <w:rPr>
          <w:lang w:val="fr-FR"/>
        </w:rPr>
        <w:t>, §§ </w:t>
      </w:r>
      <w:r w:rsidRPr="003B1303" w:rsidR="00781C8C">
        <w:rPr>
          <w:lang w:val="fr-FR"/>
        </w:rPr>
        <w:t>52</w:t>
      </w:r>
      <w:r w:rsidRPr="003B1303" w:rsidR="00760090">
        <w:rPr>
          <w:lang w:val="fr-FR"/>
        </w:rPr>
        <w:noBreakHyphen/>
      </w:r>
      <w:r w:rsidRPr="003B1303" w:rsidR="00781C8C">
        <w:rPr>
          <w:lang w:val="fr-FR"/>
        </w:rPr>
        <w:t>57</w:t>
      </w:r>
      <w:r w:rsidRPr="003B1303" w:rsidR="00760090">
        <w:rPr>
          <w:lang w:val="fr-FR"/>
        </w:rPr>
        <w:t>).</w:t>
      </w:r>
      <w:r w:rsidRPr="003B1303" w:rsidR="00A36103">
        <w:rPr>
          <w:lang w:val="fr-FR"/>
        </w:rPr>
        <w:t xml:space="preserve"> </w:t>
      </w:r>
      <w:r w:rsidRPr="003B1303">
        <w:rPr>
          <w:lang w:val="fr-FR"/>
        </w:rPr>
        <w:t>Autrement dit, quel que soit le régime applicable à la date de l</w:t>
      </w:r>
      <w:r w:rsidRPr="003B1303" w:rsidR="003B1303">
        <w:rPr>
          <w:lang w:val="fr-FR"/>
        </w:rPr>
        <w:t>’</w:t>
      </w:r>
      <w:r w:rsidRPr="003B1303">
        <w:rPr>
          <w:lang w:val="fr-FR"/>
        </w:rPr>
        <w:t>adoption de la décision du 31</w:t>
      </w:r>
      <w:r w:rsidRPr="003B1303" w:rsidR="00BB0EB7">
        <w:rPr>
          <w:lang w:val="fr-FR"/>
        </w:rPr>
        <w:t> </w:t>
      </w:r>
      <w:r w:rsidRPr="003B1303">
        <w:rPr>
          <w:lang w:val="fr-FR"/>
        </w:rPr>
        <w:t>décembre 2009, les juridictions internes avaient l</w:t>
      </w:r>
      <w:r w:rsidRPr="003B1303" w:rsidR="003B1303">
        <w:rPr>
          <w:lang w:val="fr-FR"/>
        </w:rPr>
        <w:t>’</w:t>
      </w:r>
      <w:r w:rsidRPr="003B1303">
        <w:rPr>
          <w:lang w:val="fr-FR"/>
        </w:rPr>
        <w:t>obligation d</w:t>
      </w:r>
      <w:r w:rsidRPr="003B1303" w:rsidR="003B1303">
        <w:rPr>
          <w:lang w:val="fr-FR"/>
        </w:rPr>
        <w:t>’</w:t>
      </w:r>
      <w:r w:rsidRPr="003B1303">
        <w:rPr>
          <w:lang w:val="fr-FR"/>
        </w:rPr>
        <w:t>indiquer une date limite précise</w:t>
      </w:r>
      <w:r w:rsidRPr="003B1303" w:rsidR="00175D93">
        <w:rPr>
          <w:lang w:val="fr-FR"/>
        </w:rPr>
        <w:t xml:space="preserve"> </w:t>
      </w:r>
      <w:r w:rsidRPr="003B1303" w:rsidR="00BB0EB7">
        <w:rPr>
          <w:lang w:val="fr-FR"/>
        </w:rPr>
        <w:t xml:space="preserve">pour </w:t>
      </w:r>
      <w:r w:rsidRPr="003B1303" w:rsidR="00175D93">
        <w:rPr>
          <w:lang w:val="fr-FR"/>
        </w:rPr>
        <w:t>la détention de l</w:t>
      </w:r>
      <w:r w:rsidRPr="003B1303" w:rsidR="003B1303">
        <w:rPr>
          <w:lang w:val="fr-FR"/>
        </w:rPr>
        <w:t>’</w:t>
      </w:r>
      <w:r w:rsidRPr="003B1303" w:rsidR="00175D93">
        <w:rPr>
          <w:lang w:val="fr-FR"/>
        </w:rPr>
        <w:t>intéressé</w:t>
      </w:r>
      <w:r w:rsidRPr="003B1303">
        <w:rPr>
          <w:lang w:val="fr-FR"/>
        </w:rPr>
        <w:t>. Or la Cour estime que</w:t>
      </w:r>
      <w:r w:rsidRPr="003B1303" w:rsidR="00DB0362">
        <w:rPr>
          <w:lang w:val="fr-FR"/>
        </w:rPr>
        <w:t xml:space="preserve"> </w:t>
      </w:r>
      <w:r w:rsidRPr="003B1303" w:rsidR="00A31892">
        <w:rPr>
          <w:lang w:val="fr-FR"/>
        </w:rPr>
        <w:t>l</w:t>
      </w:r>
      <w:r w:rsidRPr="003B1303" w:rsidR="003B1303">
        <w:rPr>
          <w:lang w:val="fr-FR"/>
        </w:rPr>
        <w:t>’</w:t>
      </w:r>
      <w:r w:rsidRPr="003B1303" w:rsidR="00DB0362">
        <w:rPr>
          <w:lang w:val="fr-FR"/>
        </w:rPr>
        <w:t>indication</w:t>
      </w:r>
      <w:r w:rsidRPr="003B1303" w:rsidR="00A31892">
        <w:rPr>
          <w:lang w:val="fr-FR"/>
        </w:rPr>
        <w:t xml:space="preserve"> </w:t>
      </w:r>
      <w:r w:rsidRPr="003B1303">
        <w:rPr>
          <w:lang w:val="fr-FR"/>
        </w:rPr>
        <w:t xml:space="preserve">selon laquelle le </w:t>
      </w:r>
      <w:r w:rsidRPr="003B1303" w:rsidR="001D12EB">
        <w:rPr>
          <w:lang w:val="fr-FR"/>
        </w:rPr>
        <w:t xml:space="preserve">premier </w:t>
      </w:r>
      <w:r w:rsidRPr="003B1303" w:rsidR="00A31892">
        <w:rPr>
          <w:lang w:val="fr-FR"/>
        </w:rPr>
        <w:t xml:space="preserve">requérant </w:t>
      </w:r>
      <w:r w:rsidRPr="003B1303">
        <w:rPr>
          <w:lang w:val="fr-FR"/>
        </w:rPr>
        <w:t xml:space="preserve">devait être détenu </w:t>
      </w:r>
      <w:r w:rsidRPr="003B1303" w:rsidR="00175D93">
        <w:rPr>
          <w:lang w:val="fr-FR"/>
        </w:rPr>
        <w:t>pendant</w:t>
      </w:r>
      <w:r w:rsidRPr="003B1303" w:rsidR="00A31892">
        <w:rPr>
          <w:lang w:val="fr-FR"/>
        </w:rPr>
        <w:t xml:space="preserve"> « un mois à compter de la réception du dossier par le procureur »</w:t>
      </w:r>
      <w:r w:rsidRPr="003B1303" w:rsidR="00DB0362">
        <w:rPr>
          <w:lang w:val="fr-FR"/>
        </w:rPr>
        <w:t xml:space="preserve"> ne peut constituer une indication d</w:t>
      </w:r>
      <w:r w:rsidRPr="003B1303" w:rsidR="003B1303">
        <w:rPr>
          <w:lang w:val="fr-FR"/>
        </w:rPr>
        <w:t>’</w:t>
      </w:r>
      <w:r w:rsidRPr="003B1303" w:rsidR="00A31892">
        <w:rPr>
          <w:lang w:val="fr-FR"/>
        </w:rPr>
        <w:t>une date limite précise</w:t>
      </w:r>
      <w:r w:rsidRPr="003B1303" w:rsidR="00BC6135">
        <w:rPr>
          <w:lang w:val="fr-FR"/>
        </w:rPr>
        <w:t xml:space="preserve"> de sa fin</w:t>
      </w:r>
      <w:r w:rsidRPr="003B1303">
        <w:rPr>
          <w:lang w:val="fr-FR"/>
        </w:rPr>
        <w:t xml:space="preserve">. En effet, il était impossible pour le </w:t>
      </w:r>
      <w:r w:rsidRPr="003B1303" w:rsidR="001D12EB">
        <w:rPr>
          <w:lang w:val="fr-FR"/>
        </w:rPr>
        <w:t xml:space="preserve">premier </w:t>
      </w:r>
      <w:r w:rsidRPr="003B1303">
        <w:rPr>
          <w:lang w:val="fr-FR"/>
        </w:rPr>
        <w:t>requérant de connaître quand le dossier pénal serait réceptionné par le procureur et, par conséquent, d</w:t>
      </w:r>
      <w:r w:rsidRPr="003B1303" w:rsidR="003B1303">
        <w:rPr>
          <w:lang w:val="fr-FR"/>
        </w:rPr>
        <w:t>’</w:t>
      </w:r>
      <w:r w:rsidRPr="003B1303">
        <w:rPr>
          <w:lang w:val="fr-FR"/>
        </w:rPr>
        <w:t>établir au jour de l</w:t>
      </w:r>
      <w:r w:rsidRPr="003B1303" w:rsidR="003B1303">
        <w:rPr>
          <w:lang w:val="fr-FR"/>
        </w:rPr>
        <w:t>’</w:t>
      </w:r>
      <w:r w:rsidRPr="003B1303">
        <w:rPr>
          <w:lang w:val="fr-FR"/>
        </w:rPr>
        <w:t xml:space="preserve">adoption de la décision du 31 décembre 2009, la date limite de sa détention </w:t>
      </w:r>
      <w:r w:rsidRPr="003B1303" w:rsidR="00A31892">
        <w:rPr>
          <w:lang w:val="fr-FR"/>
        </w:rPr>
        <w:t>(voir</w:t>
      </w:r>
      <w:r w:rsidRPr="003B1303" w:rsidR="001A06D1">
        <w:rPr>
          <w:lang w:val="fr-FR"/>
        </w:rPr>
        <w:t>,</w:t>
      </w:r>
      <w:r w:rsidRPr="003B1303" w:rsidR="00A31892">
        <w:rPr>
          <w:lang w:val="fr-FR"/>
        </w:rPr>
        <w:t xml:space="preserve"> </w:t>
      </w:r>
      <w:r w:rsidRPr="003B1303" w:rsidR="00A31892">
        <w:rPr>
          <w:i/>
          <w:lang w:val="fr-FR"/>
        </w:rPr>
        <w:t>a contrario</w:t>
      </w:r>
      <w:r w:rsidRPr="003B1303" w:rsidR="001A06D1">
        <w:rPr>
          <w:lang w:val="fr-FR"/>
        </w:rPr>
        <w:t>,</w:t>
      </w:r>
      <w:r w:rsidRPr="003B1303" w:rsidR="00A31892">
        <w:rPr>
          <w:i/>
          <w:lang w:val="fr-FR"/>
        </w:rPr>
        <w:t xml:space="preserve"> </w:t>
      </w:r>
      <w:proofErr w:type="spellStart"/>
      <w:r w:rsidRPr="003B1303" w:rsidR="00A31892">
        <w:rPr>
          <w:i/>
          <w:lang w:val="fr-FR"/>
        </w:rPr>
        <w:t>Pyatkov</w:t>
      </w:r>
      <w:proofErr w:type="spellEnd"/>
      <w:r w:rsidRPr="003B1303" w:rsidR="00A31892">
        <w:rPr>
          <w:lang w:val="fr-FR"/>
        </w:rPr>
        <w:t xml:space="preserve">, </w:t>
      </w:r>
      <w:r w:rsidRPr="003B1303" w:rsidR="00B46CF3">
        <w:rPr>
          <w:lang w:val="fr-FR"/>
        </w:rPr>
        <w:t>précité, §§ 92</w:t>
      </w:r>
      <w:r w:rsidRPr="003B1303" w:rsidR="00B46CF3">
        <w:rPr>
          <w:lang w:val="fr-FR"/>
        </w:rPr>
        <w:noBreakHyphen/>
        <w:t>98</w:t>
      </w:r>
      <w:r w:rsidRPr="003B1303" w:rsidR="00A31892">
        <w:rPr>
          <w:lang w:val="fr-FR"/>
        </w:rPr>
        <w:t xml:space="preserve">). </w:t>
      </w:r>
      <w:r w:rsidRPr="003B1303" w:rsidR="00175D93">
        <w:rPr>
          <w:lang w:val="fr-FR"/>
        </w:rPr>
        <w:t>Il s</w:t>
      </w:r>
      <w:r w:rsidRPr="003B1303" w:rsidR="003B1303">
        <w:rPr>
          <w:lang w:val="fr-FR"/>
        </w:rPr>
        <w:t>’</w:t>
      </w:r>
      <w:r w:rsidRPr="003B1303" w:rsidR="00175D93">
        <w:rPr>
          <w:lang w:val="fr-FR"/>
        </w:rPr>
        <w:t xml:space="preserve">ensuit que </w:t>
      </w:r>
      <w:r w:rsidRPr="003B1303" w:rsidR="00F0322F">
        <w:rPr>
          <w:lang w:val="fr-FR"/>
        </w:rPr>
        <w:t xml:space="preserve">la </w:t>
      </w:r>
      <w:r w:rsidRPr="003B1303">
        <w:rPr>
          <w:lang w:val="fr-FR"/>
        </w:rPr>
        <w:t>détention</w:t>
      </w:r>
      <w:r w:rsidRPr="003B1303" w:rsidR="00F0322F">
        <w:rPr>
          <w:lang w:val="fr-FR"/>
        </w:rPr>
        <w:t xml:space="preserve"> de l</w:t>
      </w:r>
      <w:r w:rsidRPr="003B1303" w:rsidR="003B1303">
        <w:rPr>
          <w:lang w:val="fr-FR"/>
        </w:rPr>
        <w:t>’</w:t>
      </w:r>
      <w:r w:rsidRPr="003B1303" w:rsidR="00F0322F">
        <w:rPr>
          <w:lang w:val="fr-FR"/>
        </w:rPr>
        <w:t xml:space="preserve">intéressé </w:t>
      </w:r>
      <w:r w:rsidRPr="003B1303" w:rsidR="00175D93">
        <w:rPr>
          <w:lang w:val="fr-FR"/>
        </w:rPr>
        <w:t>du 2 janvier au 15</w:t>
      </w:r>
      <w:r w:rsidRPr="003B1303" w:rsidR="00555F56">
        <w:rPr>
          <w:lang w:val="fr-FR"/>
        </w:rPr>
        <w:t> </w:t>
      </w:r>
      <w:r w:rsidRPr="003B1303" w:rsidR="00175D93">
        <w:rPr>
          <w:lang w:val="fr-FR"/>
        </w:rPr>
        <w:t xml:space="preserve">février 2010 </w:t>
      </w:r>
      <w:r w:rsidRPr="003B1303" w:rsidR="00BB0EB7">
        <w:rPr>
          <w:lang w:val="fr-FR"/>
        </w:rPr>
        <w:t>n</w:t>
      </w:r>
      <w:r w:rsidRPr="003B1303" w:rsidR="003B1303">
        <w:rPr>
          <w:lang w:val="fr-FR"/>
        </w:rPr>
        <w:t>’</w:t>
      </w:r>
      <w:r w:rsidRPr="003B1303" w:rsidR="00BB0EB7">
        <w:rPr>
          <w:lang w:val="fr-FR"/>
        </w:rPr>
        <w:t>a pas été</w:t>
      </w:r>
      <w:r w:rsidRPr="003B1303" w:rsidR="00175D93">
        <w:rPr>
          <w:lang w:val="fr-FR"/>
        </w:rPr>
        <w:t xml:space="preserve"> effectué</w:t>
      </w:r>
      <w:r w:rsidRPr="003B1303" w:rsidR="00470102">
        <w:rPr>
          <w:lang w:val="fr-FR"/>
        </w:rPr>
        <w:t>e</w:t>
      </w:r>
      <w:r w:rsidRPr="003B1303" w:rsidR="00175D93">
        <w:rPr>
          <w:lang w:val="fr-FR"/>
        </w:rPr>
        <w:t xml:space="preserve"> « selon les voies légales » au sens de l</w:t>
      </w:r>
      <w:r w:rsidRPr="003B1303" w:rsidR="003B1303">
        <w:rPr>
          <w:lang w:val="fr-FR"/>
        </w:rPr>
        <w:t>’</w:t>
      </w:r>
      <w:r w:rsidRPr="003B1303" w:rsidR="00175D93">
        <w:rPr>
          <w:lang w:val="fr-FR"/>
        </w:rPr>
        <w:t>article 5 § 1</w:t>
      </w:r>
      <w:r w:rsidRPr="003B1303" w:rsidR="00BB0EB7">
        <w:rPr>
          <w:lang w:val="fr-FR"/>
        </w:rPr>
        <w:t xml:space="preserve"> de la Convention</w:t>
      </w:r>
      <w:r w:rsidRPr="003B1303" w:rsidR="00175D93">
        <w:rPr>
          <w:lang w:val="fr-FR"/>
        </w:rPr>
        <w:t>.</w:t>
      </w:r>
    </w:p>
    <w:p w:rsidRPr="003B1303" w:rsidR="00761874" w:rsidP="003B1303" w:rsidRDefault="007618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153</w:t>
      </w:r>
      <w:r w:rsidRPr="003B1303">
        <w:rPr>
          <w:lang w:val="fr-FR"/>
        </w:rPr>
        <w:fldChar w:fldCharType="end"/>
      </w:r>
      <w:r w:rsidRPr="003B1303">
        <w:rPr>
          <w:lang w:val="fr-FR"/>
        </w:rPr>
        <w:t>.  </w:t>
      </w:r>
      <w:r w:rsidRPr="003B1303" w:rsidR="00175D93">
        <w:rPr>
          <w:lang w:val="fr-FR"/>
        </w:rPr>
        <w:t>Partant, il y a eu violation de l</w:t>
      </w:r>
      <w:r w:rsidRPr="003B1303" w:rsidR="003B1303">
        <w:rPr>
          <w:lang w:val="fr-FR"/>
        </w:rPr>
        <w:t>’</w:t>
      </w:r>
      <w:r w:rsidRPr="003B1303" w:rsidR="00175D93">
        <w:rPr>
          <w:lang w:val="fr-FR"/>
        </w:rPr>
        <w:t>article 5 § 1 de la Convention</w:t>
      </w:r>
      <w:r w:rsidRPr="003B1303" w:rsidR="00555F56">
        <w:rPr>
          <w:lang w:val="fr-FR"/>
        </w:rPr>
        <w:t>.</w:t>
      </w:r>
    </w:p>
    <w:p w:rsidRPr="003B1303" w:rsidR="00BE4C83" w:rsidP="003B1303" w:rsidRDefault="00234FF3">
      <w:pPr>
        <w:pStyle w:val="ECHRHeading2"/>
        <w:rPr>
          <w:lang w:val="fr-FR"/>
        </w:rPr>
      </w:pPr>
      <w:r w:rsidRPr="003B1303">
        <w:rPr>
          <w:lang w:val="fr-FR"/>
        </w:rPr>
        <w:t>B</w:t>
      </w:r>
      <w:r w:rsidRPr="003B1303" w:rsidR="00B63E2E">
        <w:rPr>
          <w:lang w:val="fr-FR"/>
        </w:rPr>
        <w:t>.  </w:t>
      </w:r>
      <w:r w:rsidRPr="003B1303">
        <w:rPr>
          <w:lang w:val="fr-FR"/>
        </w:rPr>
        <w:t xml:space="preserve">Sur le caractère « raisonnable » de la durée de la détention du </w:t>
      </w:r>
      <w:r w:rsidRPr="003B1303" w:rsidR="00411C88">
        <w:rPr>
          <w:lang w:val="fr-FR"/>
        </w:rPr>
        <w:t xml:space="preserve">premier </w:t>
      </w:r>
      <w:r w:rsidRPr="003B1303">
        <w:rPr>
          <w:lang w:val="fr-FR"/>
        </w:rPr>
        <w:t>requérant</w:t>
      </w:r>
    </w:p>
    <w:p w:rsidRPr="003B1303" w:rsidR="00B63E2E" w:rsidP="003B1303" w:rsidRDefault="00234FF3">
      <w:pPr>
        <w:pStyle w:val="ECHRHeading3"/>
        <w:rPr>
          <w:lang w:val="fr-FR"/>
        </w:rPr>
      </w:pPr>
      <w:r w:rsidRPr="003B1303">
        <w:rPr>
          <w:lang w:val="fr-FR"/>
        </w:rPr>
        <w:t>1</w:t>
      </w:r>
      <w:r w:rsidRPr="003B1303" w:rsidR="00BE4EEA">
        <w:rPr>
          <w:lang w:val="fr-FR"/>
        </w:rPr>
        <w:t>.</w:t>
      </w:r>
      <w:r w:rsidRPr="003B1303">
        <w:rPr>
          <w:lang w:val="fr-FR"/>
        </w:rPr>
        <w:t>  </w:t>
      </w:r>
      <w:r w:rsidRPr="003B1303" w:rsidR="00B63E2E">
        <w:rPr>
          <w:lang w:val="fr-FR"/>
        </w:rPr>
        <w:t>Thèses des parties</w:t>
      </w:r>
    </w:p>
    <w:p w:rsidRPr="003B1303" w:rsidR="00BE4C83" w:rsidP="003B1303" w:rsidRDefault="00B63E2E">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154</w:t>
      </w:r>
      <w:r w:rsidRPr="003B1303">
        <w:rPr>
          <w:lang w:val="fr-FR"/>
        </w:rPr>
        <w:fldChar w:fldCharType="end"/>
      </w:r>
      <w:r w:rsidRPr="003B1303">
        <w:rPr>
          <w:lang w:val="fr-FR"/>
        </w:rPr>
        <w:t xml:space="preserve">.  Le Gouvernement indique que la détention provisoire du </w:t>
      </w:r>
      <w:r w:rsidRPr="003B1303" w:rsidR="00411C88">
        <w:rPr>
          <w:lang w:val="fr-FR"/>
        </w:rPr>
        <w:t xml:space="preserve">premier </w:t>
      </w:r>
      <w:r w:rsidRPr="003B1303">
        <w:rPr>
          <w:lang w:val="fr-FR"/>
        </w:rPr>
        <w:t>requérant a duré du</w:t>
      </w:r>
      <w:r w:rsidRPr="003B1303" w:rsidR="00131CF4">
        <w:rPr>
          <w:lang w:val="fr-FR"/>
        </w:rPr>
        <w:t xml:space="preserve"> 11 avril 2008 au 19 mai 2011</w:t>
      </w:r>
      <w:r w:rsidRPr="003B1303">
        <w:rPr>
          <w:lang w:val="fr-FR"/>
        </w:rPr>
        <w:t>, date à laquelle ce dernier a été condamné par le tribunal de première instance. Il argue que les juridictions nationales ont dûment pris en compte les éléments pertinents : la gravité des charges dirigées à l</w:t>
      </w:r>
      <w:r w:rsidRPr="003B1303" w:rsidR="003B1303">
        <w:rPr>
          <w:lang w:val="fr-FR"/>
        </w:rPr>
        <w:t>’</w:t>
      </w:r>
      <w:r w:rsidRPr="003B1303">
        <w:rPr>
          <w:lang w:val="fr-FR"/>
        </w:rPr>
        <w:t xml:space="preserve">encontre du </w:t>
      </w:r>
      <w:r w:rsidRPr="003B1303" w:rsidR="001D12EB">
        <w:rPr>
          <w:lang w:val="fr-FR"/>
        </w:rPr>
        <w:t xml:space="preserve">premier </w:t>
      </w:r>
      <w:r w:rsidRPr="003B1303">
        <w:rPr>
          <w:lang w:val="fr-FR"/>
        </w:rPr>
        <w:t>requérant, la personnalité de l</w:t>
      </w:r>
      <w:r w:rsidRPr="003B1303" w:rsidR="003B1303">
        <w:rPr>
          <w:lang w:val="fr-FR"/>
        </w:rPr>
        <w:t>’</w:t>
      </w:r>
      <w:r w:rsidRPr="003B1303">
        <w:rPr>
          <w:lang w:val="fr-FR"/>
        </w:rPr>
        <w:t>intéressé et son comportement avant et après l</w:t>
      </w:r>
      <w:r w:rsidRPr="003B1303" w:rsidR="003B1303">
        <w:rPr>
          <w:lang w:val="fr-FR"/>
        </w:rPr>
        <w:t>’</w:t>
      </w:r>
      <w:r w:rsidRPr="003B1303">
        <w:rPr>
          <w:lang w:val="fr-FR"/>
        </w:rPr>
        <w:t xml:space="preserve">infliction de la mesure litigieuse. </w:t>
      </w:r>
      <w:r w:rsidRPr="003B1303" w:rsidR="00604A69">
        <w:rPr>
          <w:lang w:val="fr-FR"/>
        </w:rPr>
        <w:t>Il soutient qu</w:t>
      </w:r>
      <w:r w:rsidRPr="003B1303" w:rsidR="003B1303">
        <w:rPr>
          <w:lang w:val="fr-FR"/>
        </w:rPr>
        <w:t>’</w:t>
      </w:r>
      <w:r w:rsidRPr="003B1303">
        <w:rPr>
          <w:lang w:val="fr-FR"/>
        </w:rPr>
        <w:t>il s</w:t>
      </w:r>
      <w:r w:rsidRPr="003B1303" w:rsidR="003B1303">
        <w:rPr>
          <w:lang w:val="fr-FR"/>
        </w:rPr>
        <w:t>’</w:t>
      </w:r>
      <w:r w:rsidRPr="003B1303">
        <w:rPr>
          <w:lang w:val="fr-FR"/>
        </w:rPr>
        <w:t>agissait d</w:t>
      </w:r>
      <w:r w:rsidRPr="003B1303" w:rsidR="003B1303">
        <w:rPr>
          <w:lang w:val="fr-FR"/>
        </w:rPr>
        <w:t>’</w:t>
      </w:r>
      <w:r w:rsidRPr="003B1303">
        <w:rPr>
          <w:lang w:val="fr-FR"/>
        </w:rPr>
        <w:t xml:space="preserve">accusations particulièrement graves selon lesquelles le </w:t>
      </w:r>
      <w:r w:rsidRPr="003B1303" w:rsidR="001D12EB">
        <w:rPr>
          <w:lang w:val="fr-FR"/>
        </w:rPr>
        <w:t xml:space="preserve">premier </w:t>
      </w:r>
      <w:r w:rsidRPr="003B1303">
        <w:rPr>
          <w:lang w:val="fr-FR"/>
        </w:rPr>
        <w:t>requérant aurait commandité un assassinat en groupe organisé, ce qui, d</w:t>
      </w:r>
      <w:r w:rsidRPr="003B1303" w:rsidR="003B1303">
        <w:rPr>
          <w:lang w:val="fr-FR"/>
        </w:rPr>
        <w:t>’</w:t>
      </w:r>
      <w:r w:rsidRPr="003B1303">
        <w:rPr>
          <w:lang w:val="fr-FR"/>
        </w:rPr>
        <w:t xml:space="preserve">après </w:t>
      </w:r>
      <w:r w:rsidRPr="003B1303" w:rsidR="00604A69">
        <w:rPr>
          <w:lang w:val="fr-FR"/>
        </w:rPr>
        <w:t>lui</w:t>
      </w:r>
      <w:r w:rsidRPr="003B1303">
        <w:rPr>
          <w:lang w:val="fr-FR"/>
        </w:rPr>
        <w:t>, nécessitait une réponse adéquate des juridictions nationales.</w:t>
      </w:r>
    </w:p>
    <w:p w:rsidRPr="003B1303" w:rsidR="00B63E2E" w:rsidP="003B1303" w:rsidRDefault="00B63E2E">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155</w:t>
      </w:r>
      <w:r w:rsidRPr="003B1303">
        <w:rPr>
          <w:lang w:val="fr-FR"/>
        </w:rPr>
        <w:fldChar w:fldCharType="end"/>
      </w:r>
      <w:r w:rsidRPr="003B1303">
        <w:rPr>
          <w:lang w:val="fr-FR"/>
        </w:rPr>
        <w:t>.  Le</w:t>
      </w:r>
      <w:r w:rsidRPr="003B1303" w:rsidR="00131CF4">
        <w:rPr>
          <w:lang w:val="fr-FR"/>
        </w:rPr>
        <w:t xml:space="preserve"> </w:t>
      </w:r>
      <w:r w:rsidRPr="003B1303" w:rsidR="00411C88">
        <w:rPr>
          <w:lang w:val="fr-FR"/>
        </w:rPr>
        <w:t xml:space="preserve">premier </w:t>
      </w:r>
      <w:r w:rsidRPr="003B1303" w:rsidR="00131CF4">
        <w:rPr>
          <w:lang w:val="fr-FR"/>
        </w:rPr>
        <w:t xml:space="preserve">requérant maintient son grief et </w:t>
      </w:r>
      <w:r w:rsidRPr="003B1303" w:rsidR="00604A69">
        <w:rPr>
          <w:lang w:val="fr-FR"/>
        </w:rPr>
        <w:t xml:space="preserve">allègue </w:t>
      </w:r>
      <w:r w:rsidRPr="003B1303" w:rsidR="00131CF4">
        <w:rPr>
          <w:lang w:val="fr-FR"/>
        </w:rPr>
        <w:t>que, pour prolonger sa détention provisoire, les tribunaux internes se sont constamment référés à la gravité des charges pesant à son encontre et au risque de fuite, d</w:t>
      </w:r>
      <w:r w:rsidRPr="003B1303" w:rsidR="003B1303">
        <w:rPr>
          <w:lang w:val="fr-FR"/>
        </w:rPr>
        <w:t>’</w:t>
      </w:r>
      <w:r w:rsidRPr="003B1303" w:rsidR="00131CF4">
        <w:rPr>
          <w:lang w:val="fr-FR"/>
        </w:rPr>
        <w:t>entrave à la justice ou de pressions sur les témoins ou sur les coaccusés, et ce, selon lui, sans étayer ces motifs par des faits concrets.</w:t>
      </w:r>
    </w:p>
    <w:p w:rsidRPr="003B1303" w:rsidR="00B63E2E" w:rsidP="003B1303" w:rsidRDefault="00234FF3">
      <w:pPr>
        <w:pStyle w:val="ECHRHeading3"/>
        <w:rPr>
          <w:lang w:val="fr-FR"/>
        </w:rPr>
      </w:pPr>
      <w:r w:rsidRPr="003B1303">
        <w:rPr>
          <w:lang w:val="fr-FR"/>
        </w:rPr>
        <w:t>2</w:t>
      </w:r>
      <w:r w:rsidRPr="003B1303" w:rsidR="00B63E2E">
        <w:rPr>
          <w:lang w:val="fr-FR"/>
        </w:rPr>
        <w:t>.  Appréciation de la Cour</w:t>
      </w:r>
    </w:p>
    <w:p w:rsidRPr="003B1303" w:rsidR="00B63E2E" w:rsidP="003B1303" w:rsidRDefault="00234FF3">
      <w:pPr>
        <w:pStyle w:val="ECHRHeading4"/>
        <w:rPr>
          <w:lang w:val="fr-FR"/>
        </w:rPr>
      </w:pPr>
      <w:r w:rsidRPr="003B1303">
        <w:rPr>
          <w:lang w:val="fr-FR"/>
        </w:rPr>
        <w:t>a)</w:t>
      </w:r>
      <w:r w:rsidRPr="003B1303" w:rsidR="00B63E2E">
        <w:rPr>
          <w:lang w:val="fr-FR"/>
        </w:rPr>
        <w:t>  Sur la recevabilité</w:t>
      </w:r>
    </w:p>
    <w:p w:rsidRPr="003B1303" w:rsidR="00DE7946" w:rsidP="003B1303" w:rsidRDefault="00131CF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156</w:t>
      </w:r>
      <w:r w:rsidRPr="003B1303">
        <w:rPr>
          <w:lang w:val="fr-FR"/>
        </w:rPr>
        <w:fldChar w:fldCharType="end"/>
      </w:r>
      <w:r w:rsidRPr="003B1303">
        <w:rPr>
          <w:lang w:val="fr-FR"/>
        </w:rPr>
        <w:t>.  Constatant que ce grief n</w:t>
      </w:r>
      <w:r w:rsidRPr="003B1303" w:rsidR="003B1303">
        <w:rPr>
          <w:lang w:val="fr-FR"/>
        </w:rPr>
        <w:t>’</w:t>
      </w:r>
      <w:r w:rsidRPr="003B1303">
        <w:rPr>
          <w:lang w:val="fr-FR"/>
        </w:rPr>
        <w:t>est pas manifestement mal fondé au sens de l</w:t>
      </w:r>
      <w:r w:rsidRPr="003B1303" w:rsidR="003B1303">
        <w:rPr>
          <w:lang w:val="fr-FR"/>
        </w:rPr>
        <w:t>’</w:t>
      </w:r>
      <w:r w:rsidRPr="003B1303">
        <w:rPr>
          <w:lang w:val="fr-FR"/>
        </w:rPr>
        <w:t>article 35 § 3 a) de la Convention et qu</w:t>
      </w:r>
      <w:r w:rsidRPr="003B1303" w:rsidR="003B1303">
        <w:rPr>
          <w:lang w:val="fr-FR"/>
        </w:rPr>
        <w:t>’</w:t>
      </w:r>
      <w:r w:rsidRPr="003B1303">
        <w:rPr>
          <w:lang w:val="fr-FR"/>
        </w:rPr>
        <w:t>il ne se heurte par ailleurs à aucun autre motif d</w:t>
      </w:r>
      <w:r w:rsidRPr="003B1303" w:rsidR="003B1303">
        <w:rPr>
          <w:lang w:val="fr-FR"/>
        </w:rPr>
        <w:t>’</w:t>
      </w:r>
      <w:r w:rsidRPr="003B1303">
        <w:rPr>
          <w:lang w:val="fr-FR"/>
        </w:rPr>
        <w:t>irrecevabilité, la Cour le déclare recevable.</w:t>
      </w:r>
    </w:p>
    <w:p w:rsidRPr="003B1303" w:rsidR="00131CF4" w:rsidP="003B1303" w:rsidRDefault="00234FF3">
      <w:pPr>
        <w:pStyle w:val="ECHRHeading4"/>
        <w:rPr>
          <w:bCs w:val="0"/>
          <w:i/>
          <w:lang w:val="fr-FR"/>
        </w:rPr>
      </w:pPr>
      <w:r w:rsidRPr="003B1303">
        <w:rPr>
          <w:bCs w:val="0"/>
          <w:i/>
          <w:lang w:val="fr-FR"/>
        </w:rPr>
        <w:t>b)</w:t>
      </w:r>
      <w:r w:rsidRPr="003B1303" w:rsidR="00131CF4">
        <w:rPr>
          <w:bCs w:val="0"/>
          <w:i/>
          <w:lang w:val="fr-FR"/>
        </w:rPr>
        <w:t>  Sur le fond</w:t>
      </w:r>
    </w:p>
    <w:p w:rsidRPr="003B1303" w:rsidR="00BE4C83" w:rsidP="003B1303" w:rsidRDefault="00131CF4">
      <w:pPr>
        <w:pStyle w:val="ECHRPara"/>
        <w:rPr>
          <w:rFonts w:asciiTheme="majorHAnsi" w:hAnsiTheme="majorHAnsi" w:eastAsiaTheme="majorEastAsia" w:cstheme="majorBidi"/>
          <w:bCs/>
          <w:lang w:val="fr-FR"/>
        </w:rPr>
      </w:pPr>
      <w:r w:rsidRPr="003B1303">
        <w:rPr>
          <w:rFonts w:asciiTheme="majorHAnsi" w:hAnsiTheme="majorHAnsi" w:eastAsiaTheme="majorEastAsia" w:cstheme="majorBidi"/>
          <w:bCs/>
          <w:lang w:val="fr-FR"/>
        </w:rPr>
        <w:fldChar w:fldCharType="begin"/>
      </w:r>
      <w:r w:rsidRPr="003B1303">
        <w:rPr>
          <w:rFonts w:asciiTheme="majorHAnsi" w:hAnsiTheme="majorHAnsi" w:eastAsiaTheme="majorEastAsia" w:cstheme="majorBidi"/>
          <w:bCs/>
          <w:lang w:val="fr-FR"/>
        </w:rPr>
        <w:instrText xml:space="preserve"> SEQ level0 \*arabic </w:instrText>
      </w:r>
      <w:r w:rsidRPr="003B1303">
        <w:rPr>
          <w:rFonts w:asciiTheme="majorHAnsi" w:hAnsiTheme="majorHAnsi" w:eastAsiaTheme="majorEastAsia" w:cstheme="majorBidi"/>
          <w:bCs/>
          <w:lang w:val="fr-FR"/>
        </w:rPr>
        <w:fldChar w:fldCharType="separate"/>
      </w:r>
      <w:r w:rsidR="003B1303">
        <w:rPr>
          <w:rFonts w:asciiTheme="majorHAnsi" w:hAnsiTheme="majorHAnsi" w:eastAsiaTheme="majorEastAsia" w:cstheme="majorBidi"/>
          <w:bCs/>
          <w:noProof/>
          <w:lang w:val="fr-FR"/>
        </w:rPr>
        <w:t>157</w:t>
      </w:r>
      <w:r w:rsidRPr="003B1303">
        <w:rPr>
          <w:rFonts w:asciiTheme="majorHAnsi" w:hAnsiTheme="majorHAnsi" w:eastAsiaTheme="majorEastAsia" w:cstheme="majorBidi"/>
          <w:bCs/>
          <w:lang w:val="fr-FR"/>
        </w:rPr>
        <w:fldChar w:fldCharType="end"/>
      </w:r>
      <w:r w:rsidRPr="003B1303">
        <w:rPr>
          <w:rFonts w:asciiTheme="majorHAnsi" w:hAnsiTheme="majorHAnsi" w:eastAsiaTheme="majorEastAsia" w:cstheme="majorBidi"/>
          <w:bCs/>
          <w:lang w:val="fr-FR"/>
        </w:rPr>
        <w:t xml:space="preserve">.  La Cour note que la détention provisoire du </w:t>
      </w:r>
      <w:r w:rsidRPr="003B1303" w:rsidR="00411C88">
        <w:rPr>
          <w:rFonts w:asciiTheme="majorHAnsi" w:hAnsiTheme="majorHAnsi" w:eastAsiaTheme="majorEastAsia" w:cstheme="majorBidi"/>
          <w:bCs/>
          <w:lang w:val="fr-FR"/>
        </w:rPr>
        <w:t xml:space="preserve">premier </w:t>
      </w:r>
      <w:r w:rsidRPr="003B1303">
        <w:rPr>
          <w:rFonts w:asciiTheme="majorHAnsi" w:hAnsiTheme="majorHAnsi" w:eastAsiaTheme="majorEastAsia" w:cstheme="majorBidi"/>
          <w:bCs/>
          <w:lang w:val="fr-FR"/>
        </w:rPr>
        <w:t>requérant a duré du 11 avril 2008 au 19 mai 2011, date à laquelle ce dernier a été condamné par le tribunal de première instance. La durée globale de la détention au sens de l</w:t>
      </w:r>
      <w:r w:rsidRPr="003B1303" w:rsidR="003B1303">
        <w:rPr>
          <w:rFonts w:asciiTheme="majorHAnsi" w:hAnsiTheme="majorHAnsi" w:eastAsiaTheme="majorEastAsia" w:cstheme="majorBidi"/>
          <w:bCs/>
          <w:lang w:val="fr-FR"/>
        </w:rPr>
        <w:t>’</w:t>
      </w:r>
      <w:r w:rsidRPr="003B1303">
        <w:rPr>
          <w:rFonts w:asciiTheme="majorHAnsi" w:hAnsiTheme="majorHAnsi" w:eastAsiaTheme="majorEastAsia" w:cstheme="majorBidi"/>
          <w:bCs/>
          <w:lang w:val="fr-FR"/>
        </w:rPr>
        <w:t xml:space="preserve">article 5 § 3 de la Convention a donc été de </w:t>
      </w:r>
      <w:r w:rsidRPr="003B1303" w:rsidR="005C4D23">
        <w:rPr>
          <w:rFonts w:asciiTheme="majorHAnsi" w:hAnsiTheme="majorHAnsi" w:eastAsiaTheme="majorEastAsia" w:cstheme="majorBidi"/>
          <w:bCs/>
          <w:lang w:val="fr-FR"/>
        </w:rPr>
        <w:t>trois ans, un mois et sept jours. Eu égard à la durée considérable de cette période et à la présomption en faveur d</w:t>
      </w:r>
      <w:r w:rsidRPr="003B1303" w:rsidR="003B1303">
        <w:rPr>
          <w:rFonts w:asciiTheme="majorHAnsi" w:hAnsiTheme="majorHAnsi" w:eastAsiaTheme="majorEastAsia" w:cstheme="majorBidi"/>
          <w:bCs/>
          <w:lang w:val="fr-FR"/>
        </w:rPr>
        <w:t>’</w:t>
      </w:r>
      <w:r w:rsidRPr="003B1303" w:rsidR="005C4D23">
        <w:rPr>
          <w:rFonts w:asciiTheme="majorHAnsi" w:hAnsiTheme="majorHAnsi" w:eastAsiaTheme="majorEastAsia" w:cstheme="majorBidi"/>
          <w:bCs/>
          <w:lang w:val="fr-FR"/>
        </w:rPr>
        <w:t>une libération, la Cour estime que les juridictions internes devaient invoquer des motifs convaincants pour prolonger la détention de l</w:t>
      </w:r>
      <w:r w:rsidRPr="003B1303" w:rsidR="003B1303">
        <w:rPr>
          <w:rFonts w:asciiTheme="majorHAnsi" w:hAnsiTheme="majorHAnsi" w:eastAsiaTheme="majorEastAsia" w:cstheme="majorBidi"/>
          <w:bCs/>
          <w:lang w:val="fr-FR"/>
        </w:rPr>
        <w:t>’</w:t>
      </w:r>
      <w:r w:rsidRPr="003B1303" w:rsidR="005C4D23">
        <w:rPr>
          <w:rFonts w:asciiTheme="majorHAnsi" w:hAnsiTheme="majorHAnsi" w:eastAsiaTheme="majorEastAsia" w:cstheme="majorBidi"/>
          <w:bCs/>
          <w:lang w:val="fr-FR"/>
        </w:rPr>
        <w:t>intéressé (</w:t>
      </w:r>
      <w:proofErr w:type="spellStart"/>
      <w:r w:rsidRPr="003B1303" w:rsidR="005C4D23">
        <w:rPr>
          <w:rFonts w:asciiTheme="majorHAnsi" w:hAnsiTheme="majorHAnsi" w:eastAsiaTheme="majorEastAsia" w:cstheme="majorBidi"/>
          <w:bCs/>
          <w:i/>
          <w:iCs/>
          <w:lang w:val="fr-FR"/>
        </w:rPr>
        <w:t>Stepan</w:t>
      </w:r>
      <w:proofErr w:type="spellEnd"/>
      <w:r w:rsidRPr="003B1303" w:rsidR="005C4D23">
        <w:rPr>
          <w:rFonts w:asciiTheme="majorHAnsi" w:hAnsiTheme="majorHAnsi" w:eastAsiaTheme="majorEastAsia" w:cstheme="majorBidi"/>
          <w:bCs/>
          <w:i/>
          <w:iCs/>
          <w:lang w:val="fr-FR"/>
        </w:rPr>
        <w:t xml:space="preserve"> </w:t>
      </w:r>
      <w:proofErr w:type="spellStart"/>
      <w:r w:rsidRPr="003B1303" w:rsidR="005C4D23">
        <w:rPr>
          <w:rFonts w:asciiTheme="majorHAnsi" w:hAnsiTheme="majorHAnsi" w:eastAsiaTheme="majorEastAsia" w:cstheme="majorBidi"/>
          <w:bCs/>
          <w:i/>
          <w:iCs/>
          <w:lang w:val="fr-FR"/>
        </w:rPr>
        <w:t>Zimin</w:t>
      </w:r>
      <w:proofErr w:type="spellEnd"/>
      <w:r w:rsidRPr="003B1303" w:rsidR="005C4D23">
        <w:rPr>
          <w:rFonts w:asciiTheme="majorHAnsi" w:hAnsiTheme="majorHAnsi" w:eastAsiaTheme="majorEastAsia" w:cstheme="majorBidi"/>
          <w:bCs/>
          <w:i/>
          <w:iCs/>
          <w:lang w:val="fr-FR"/>
        </w:rPr>
        <w:t xml:space="preserve"> c. Russie</w:t>
      </w:r>
      <w:r w:rsidRPr="003B1303" w:rsidR="005C4D23">
        <w:rPr>
          <w:rFonts w:asciiTheme="majorHAnsi" w:hAnsiTheme="majorHAnsi" w:eastAsiaTheme="majorEastAsia" w:cstheme="majorBidi"/>
          <w:bCs/>
          <w:lang w:val="fr-FR"/>
        </w:rPr>
        <w:t>, n</w:t>
      </w:r>
      <w:r w:rsidRPr="003B1303" w:rsidR="005C4D23">
        <w:rPr>
          <w:rFonts w:asciiTheme="majorHAnsi" w:hAnsiTheme="majorHAnsi" w:eastAsiaTheme="majorEastAsia" w:cstheme="majorBidi"/>
          <w:bCs/>
          <w:vertAlign w:val="superscript"/>
          <w:lang w:val="fr-FR"/>
        </w:rPr>
        <w:t>o</w:t>
      </w:r>
      <w:r w:rsidRPr="003B1303" w:rsidR="001A06D1">
        <w:rPr>
          <w:rFonts w:asciiTheme="majorHAnsi" w:hAnsiTheme="majorHAnsi" w:eastAsiaTheme="majorEastAsia" w:cstheme="majorBidi"/>
          <w:bCs/>
          <w:vertAlign w:val="superscript"/>
          <w:lang w:val="fr-FR"/>
        </w:rPr>
        <w:t> </w:t>
      </w:r>
      <w:r w:rsidRPr="003B1303" w:rsidR="005C4D23">
        <w:rPr>
          <w:rFonts w:asciiTheme="majorHAnsi" w:hAnsiTheme="majorHAnsi" w:eastAsiaTheme="majorEastAsia" w:cstheme="majorBidi"/>
          <w:bCs/>
          <w:lang w:val="fr-FR"/>
        </w:rPr>
        <w:t>63686/13, 60894/14, § 55, 30 janvier 2018).</w:t>
      </w:r>
    </w:p>
    <w:p w:rsidRPr="003B1303" w:rsidR="005C4D23" w:rsidP="003B1303" w:rsidRDefault="005C4D23">
      <w:pPr>
        <w:pStyle w:val="ECHRPara"/>
        <w:rPr>
          <w:lang w:val="fr-FR"/>
        </w:rPr>
      </w:pPr>
      <w:r w:rsidRPr="003B1303">
        <w:rPr>
          <w:rFonts w:asciiTheme="majorHAnsi" w:hAnsiTheme="majorHAnsi" w:eastAsiaTheme="majorEastAsia" w:cstheme="majorBidi"/>
          <w:bCs/>
          <w:lang w:val="fr-FR"/>
        </w:rPr>
        <w:fldChar w:fldCharType="begin"/>
      </w:r>
      <w:r w:rsidRPr="003B1303">
        <w:rPr>
          <w:rFonts w:asciiTheme="majorHAnsi" w:hAnsiTheme="majorHAnsi" w:eastAsiaTheme="majorEastAsia" w:cstheme="majorBidi"/>
          <w:bCs/>
          <w:lang w:val="fr-FR"/>
        </w:rPr>
        <w:instrText xml:space="preserve"> SEQ level0 \*arabic </w:instrText>
      </w:r>
      <w:r w:rsidRPr="003B1303">
        <w:rPr>
          <w:rFonts w:asciiTheme="majorHAnsi" w:hAnsiTheme="majorHAnsi" w:eastAsiaTheme="majorEastAsia" w:cstheme="majorBidi"/>
          <w:bCs/>
          <w:lang w:val="fr-FR"/>
        </w:rPr>
        <w:fldChar w:fldCharType="separate"/>
      </w:r>
      <w:r w:rsidR="003B1303">
        <w:rPr>
          <w:rFonts w:asciiTheme="majorHAnsi" w:hAnsiTheme="majorHAnsi" w:eastAsiaTheme="majorEastAsia" w:cstheme="majorBidi"/>
          <w:bCs/>
          <w:noProof/>
          <w:lang w:val="fr-FR"/>
        </w:rPr>
        <w:t>158</w:t>
      </w:r>
      <w:r w:rsidRPr="003B1303">
        <w:rPr>
          <w:rFonts w:asciiTheme="majorHAnsi" w:hAnsiTheme="majorHAnsi" w:eastAsiaTheme="majorEastAsia" w:cstheme="majorBidi"/>
          <w:bCs/>
          <w:lang w:val="fr-FR"/>
        </w:rPr>
        <w:fldChar w:fldCharType="end"/>
      </w:r>
      <w:r w:rsidRPr="003B1303">
        <w:rPr>
          <w:rFonts w:asciiTheme="majorHAnsi" w:hAnsiTheme="majorHAnsi" w:eastAsiaTheme="majorEastAsia" w:cstheme="majorBidi"/>
          <w:bCs/>
          <w:lang w:val="fr-FR"/>
        </w:rPr>
        <w:t>.  En l</w:t>
      </w:r>
      <w:r w:rsidRPr="003B1303" w:rsidR="003B1303">
        <w:rPr>
          <w:rFonts w:asciiTheme="majorHAnsi" w:hAnsiTheme="majorHAnsi" w:eastAsiaTheme="majorEastAsia" w:cstheme="majorBidi"/>
          <w:bCs/>
          <w:lang w:val="fr-FR"/>
        </w:rPr>
        <w:t>’</w:t>
      </w:r>
      <w:r w:rsidRPr="003B1303">
        <w:rPr>
          <w:rFonts w:asciiTheme="majorHAnsi" w:hAnsiTheme="majorHAnsi" w:eastAsiaTheme="majorEastAsia" w:cstheme="majorBidi"/>
          <w:bCs/>
          <w:lang w:val="fr-FR"/>
        </w:rPr>
        <w:t xml:space="preserve">espèce, </w:t>
      </w:r>
      <w:r w:rsidRPr="003B1303" w:rsidR="00604A69">
        <w:rPr>
          <w:rFonts w:asciiTheme="majorHAnsi" w:hAnsiTheme="majorHAnsi" w:eastAsiaTheme="majorEastAsia" w:cstheme="majorBidi"/>
          <w:bCs/>
          <w:lang w:val="fr-FR"/>
        </w:rPr>
        <w:t>elle</w:t>
      </w:r>
      <w:r w:rsidRPr="003B1303">
        <w:rPr>
          <w:lang w:val="fr-FR"/>
        </w:rPr>
        <w:t xml:space="preserve"> constate que les décisions prorogeant la détention provisoire du </w:t>
      </w:r>
      <w:r w:rsidRPr="003B1303" w:rsidR="00411C88">
        <w:rPr>
          <w:lang w:val="fr-FR"/>
        </w:rPr>
        <w:t xml:space="preserve">premier </w:t>
      </w:r>
      <w:r w:rsidRPr="003B1303">
        <w:rPr>
          <w:lang w:val="fr-FR"/>
        </w:rPr>
        <w:t>requérant étaient rédigées en des termes stéréotypés et étaient dépourvues d</w:t>
      </w:r>
      <w:r w:rsidRPr="003B1303" w:rsidR="003B1303">
        <w:rPr>
          <w:lang w:val="fr-FR"/>
        </w:rPr>
        <w:t>’</w:t>
      </w:r>
      <w:r w:rsidRPr="003B1303">
        <w:rPr>
          <w:lang w:val="fr-FR"/>
        </w:rPr>
        <w:t>une analyse de la situation personnelle du requérant. Elle note que les juridictions internes n</w:t>
      </w:r>
      <w:r w:rsidRPr="003B1303" w:rsidR="003B1303">
        <w:rPr>
          <w:lang w:val="fr-FR"/>
        </w:rPr>
        <w:t>’</w:t>
      </w:r>
      <w:r w:rsidRPr="003B1303">
        <w:rPr>
          <w:lang w:val="fr-FR"/>
        </w:rPr>
        <w:t>ont pas recherché si une autre mesure préventive telle que l</w:t>
      </w:r>
      <w:r w:rsidRPr="003B1303" w:rsidR="003B1303">
        <w:rPr>
          <w:lang w:val="fr-FR"/>
        </w:rPr>
        <w:t>’</w:t>
      </w:r>
      <w:r w:rsidRPr="003B1303">
        <w:rPr>
          <w:lang w:val="fr-FR"/>
        </w:rPr>
        <w:t>assignation à domicile pouvait se substituer à la détention provisoire de l</w:t>
      </w:r>
      <w:r w:rsidRPr="003B1303" w:rsidR="003B1303">
        <w:rPr>
          <w:lang w:val="fr-FR"/>
        </w:rPr>
        <w:t>’</w:t>
      </w:r>
      <w:r w:rsidRPr="003B1303">
        <w:rPr>
          <w:lang w:val="fr-FR"/>
        </w:rPr>
        <w:t>intéressé (</w:t>
      </w:r>
      <w:proofErr w:type="spellStart"/>
      <w:r w:rsidRPr="003B1303">
        <w:rPr>
          <w:i/>
          <w:lang w:val="fr-FR"/>
        </w:rPr>
        <w:t>Zherebin</w:t>
      </w:r>
      <w:proofErr w:type="spellEnd"/>
      <w:r w:rsidRPr="003B1303">
        <w:rPr>
          <w:i/>
          <w:lang w:val="fr-FR"/>
        </w:rPr>
        <w:t xml:space="preserve"> c. Russie</w:t>
      </w:r>
      <w:r w:rsidRPr="003B1303">
        <w:rPr>
          <w:lang w:val="fr-FR"/>
        </w:rPr>
        <w:t>, n</w:t>
      </w:r>
      <w:r w:rsidRPr="003B1303">
        <w:rPr>
          <w:vertAlign w:val="superscript"/>
          <w:lang w:val="fr-FR"/>
        </w:rPr>
        <w:t>o</w:t>
      </w:r>
      <w:r w:rsidRPr="003B1303" w:rsidR="00411C88">
        <w:rPr>
          <w:lang w:val="fr-FR"/>
        </w:rPr>
        <w:t> </w:t>
      </w:r>
      <w:r w:rsidRPr="003B1303">
        <w:rPr>
          <w:lang w:val="fr-FR"/>
        </w:rPr>
        <w:t>51445/09, § 59, 24 mars 2016,</w:t>
      </w:r>
      <w:r w:rsidRPr="003B1303" w:rsidR="00604A69">
        <w:rPr>
          <w:lang w:val="fr-FR"/>
        </w:rPr>
        <w:t xml:space="preserve"> et</w:t>
      </w:r>
      <w:r w:rsidRPr="003B1303">
        <w:rPr>
          <w:i/>
          <w:lang w:val="fr-FR"/>
        </w:rPr>
        <w:t xml:space="preserve"> Aleksandr Makarov c. Russie</w:t>
      </w:r>
      <w:r w:rsidRPr="003B1303">
        <w:rPr>
          <w:lang w:val="fr-FR"/>
        </w:rPr>
        <w:t>, n</w:t>
      </w:r>
      <w:r w:rsidRPr="003B1303">
        <w:rPr>
          <w:vertAlign w:val="superscript"/>
          <w:lang w:val="fr-FR"/>
        </w:rPr>
        <w:t>o</w:t>
      </w:r>
      <w:r w:rsidRPr="003B1303" w:rsidR="00E11804">
        <w:rPr>
          <w:lang w:val="fr-FR"/>
        </w:rPr>
        <w:t> </w:t>
      </w:r>
      <w:r w:rsidRPr="003B1303">
        <w:rPr>
          <w:lang w:val="fr-FR"/>
        </w:rPr>
        <w:t>15217/07, §§ 138</w:t>
      </w:r>
      <w:r w:rsidRPr="003B1303">
        <w:rPr>
          <w:lang w:val="fr-FR"/>
        </w:rPr>
        <w:noBreakHyphen/>
        <w:t>139, 12</w:t>
      </w:r>
      <w:r w:rsidRPr="003B1303" w:rsidR="006E5EBE">
        <w:rPr>
          <w:lang w:val="fr-FR"/>
        </w:rPr>
        <w:t> </w:t>
      </w:r>
      <w:r w:rsidRPr="003B1303">
        <w:rPr>
          <w:lang w:val="fr-FR"/>
        </w:rPr>
        <w:t>mars 2009).</w:t>
      </w:r>
    </w:p>
    <w:p w:rsidRPr="003B1303" w:rsidR="00BE4C83" w:rsidP="003B1303" w:rsidRDefault="005C4D2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159</w:t>
      </w:r>
      <w:r w:rsidRPr="003B1303">
        <w:rPr>
          <w:lang w:val="fr-FR"/>
        </w:rPr>
        <w:fldChar w:fldCharType="end"/>
      </w:r>
      <w:r w:rsidRPr="003B1303">
        <w:rPr>
          <w:lang w:val="fr-FR"/>
        </w:rPr>
        <w:t>.  La Cour a souvent conclu à la violation de l</w:t>
      </w:r>
      <w:r w:rsidRPr="003B1303" w:rsidR="003B1303">
        <w:rPr>
          <w:lang w:val="fr-FR"/>
        </w:rPr>
        <w:t>’</w:t>
      </w:r>
      <w:r w:rsidRPr="003B1303">
        <w:rPr>
          <w:lang w:val="fr-FR"/>
        </w:rPr>
        <w:t>article 5 § 3</w:t>
      </w:r>
      <w:r w:rsidRPr="003B1303" w:rsidR="00604A69">
        <w:rPr>
          <w:lang w:val="fr-FR"/>
        </w:rPr>
        <w:t xml:space="preserve"> de la Convention</w:t>
      </w:r>
      <w:r w:rsidRPr="003B1303">
        <w:rPr>
          <w:lang w:val="fr-FR"/>
        </w:rPr>
        <w:t xml:space="preserve"> dans les affaires où les tribunaux internes avaient maintenu le requérant en détention en invoquant essentiellement la gravité des charges et en recourant à des formules stéréotypées sans évoquer des faits précis ou sans envisager d</w:t>
      </w:r>
      <w:r w:rsidRPr="003B1303" w:rsidR="003B1303">
        <w:rPr>
          <w:lang w:val="fr-FR"/>
        </w:rPr>
        <w:t>’</w:t>
      </w:r>
      <w:r w:rsidRPr="003B1303">
        <w:rPr>
          <w:lang w:val="fr-FR"/>
        </w:rPr>
        <w:t>autres mesures préventives (</w:t>
      </w:r>
      <w:r w:rsidRPr="003B1303">
        <w:rPr>
          <w:i/>
          <w:lang w:val="fr-FR"/>
        </w:rPr>
        <w:t>G.</w:t>
      </w:r>
      <w:r w:rsidRPr="003B1303">
        <w:rPr>
          <w:lang w:val="fr-FR"/>
        </w:rPr>
        <w:t xml:space="preserve"> </w:t>
      </w:r>
      <w:r w:rsidRPr="003B1303">
        <w:rPr>
          <w:i/>
          <w:lang w:val="fr-FR"/>
        </w:rPr>
        <w:t>c. Russie</w:t>
      </w:r>
      <w:r w:rsidRPr="003B1303">
        <w:rPr>
          <w:lang w:val="fr-FR"/>
        </w:rPr>
        <w:t>, n</w:t>
      </w:r>
      <w:r w:rsidRPr="003B1303">
        <w:rPr>
          <w:vertAlign w:val="superscript"/>
          <w:lang w:val="fr-FR"/>
        </w:rPr>
        <w:t>o</w:t>
      </w:r>
      <w:r w:rsidRPr="003B1303">
        <w:rPr>
          <w:lang w:val="fr-FR"/>
        </w:rPr>
        <w:t xml:space="preserve"> 42526/07, §§ 114</w:t>
      </w:r>
      <w:r w:rsidRPr="003B1303">
        <w:rPr>
          <w:lang w:val="fr-FR"/>
        </w:rPr>
        <w:noBreakHyphen/>
        <w:t xml:space="preserve">119, 21 juin 2016, </w:t>
      </w:r>
      <w:proofErr w:type="spellStart"/>
      <w:r w:rsidRPr="003B1303">
        <w:rPr>
          <w:i/>
          <w:lang w:val="fr-FR"/>
        </w:rPr>
        <w:t>Korkin</w:t>
      </w:r>
      <w:proofErr w:type="spellEnd"/>
      <w:r w:rsidRPr="003B1303">
        <w:rPr>
          <w:i/>
          <w:lang w:val="fr-FR"/>
        </w:rPr>
        <w:t xml:space="preserve"> c. Russie</w:t>
      </w:r>
      <w:r w:rsidRPr="003B1303">
        <w:rPr>
          <w:lang w:val="fr-FR"/>
        </w:rPr>
        <w:t>, n</w:t>
      </w:r>
      <w:r w:rsidRPr="003B1303">
        <w:rPr>
          <w:vertAlign w:val="superscript"/>
          <w:lang w:val="fr-FR"/>
        </w:rPr>
        <w:t>o</w:t>
      </w:r>
      <w:r w:rsidRPr="003B1303">
        <w:rPr>
          <w:lang w:val="fr-FR"/>
        </w:rPr>
        <w:t xml:space="preserve"> 48416/09, §§ 88</w:t>
      </w:r>
      <w:r w:rsidRPr="003B1303">
        <w:rPr>
          <w:lang w:val="fr-FR"/>
        </w:rPr>
        <w:noBreakHyphen/>
        <w:t>96, 12</w:t>
      </w:r>
      <w:r w:rsidRPr="003B1303" w:rsidR="006E5EBE">
        <w:rPr>
          <w:lang w:val="fr-FR"/>
        </w:rPr>
        <w:t> </w:t>
      </w:r>
      <w:r w:rsidRPr="003B1303">
        <w:rPr>
          <w:lang w:val="fr-FR"/>
        </w:rPr>
        <w:t xml:space="preserve">novembre 2015, </w:t>
      </w:r>
      <w:proofErr w:type="spellStart"/>
      <w:r w:rsidRPr="003B1303">
        <w:rPr>
          <w:i/>
          <w:lang w:val="fr-FR"/>
        </w:rPr>
        <w:t>Dirdizov</w:t>
      </w:r>
      <w:proofErr w:type="spellEnd"/>
      <w:r w:rsidRPr="003B1303">
        <w:rPr>
          <w:i/>
          <w:lang w:val="fr-FR"/>
        </w:rPr>
        <w:t xml:space="preserve"> c. Russie</w:t>
      </w:r>
      <w:r w:rsidRPr="003B1303">
        <w:rPr>
          <w:lang w:val="fr-FR"/>
        </w:rPr>
        <w:t>, n</w:t>
      </w:r>
      <w:r w:rsidRPr="003B1303">
        <w:rPr>
          <w:vertAlign w:val="superscript"/>
          <w:lang w:val="fr-FR"/>
        </w:rPr>
        <w:t>o</w:t>
      </w:r>
      <w:r w:rsidRPr="003B1303">
        <w:rPr>
          <w:lang w:val="fr-FR"/>
        </w:rPr>
        <w:t xml:space="preserve"> 41461/10, </w:t>
      </w:r>
      <w:r w:rsidRPr="003B1303" w:rsidR="00116E2F">
        <w:rPr>
          <w:lang w:val="fr-FR"/>
        </w:rPr>
        <w:t>§§ 108</w:t>
      </w:r>
      <w:r w:rsidRPr="003B1303" w:rsidR="00116E2F">
        <w:rPr>
          <w:lang w:val="fr-FR"/>
        </w:rPr>
        <w:noBreakHyphen/>
        <w:t xml:space="preserve">111, </w:t>
      </w:r>
      <w:r w:rsidRPr="003B1303">
        <w:rPr>
          <w:lang w:val="fr-FR"/>
        </w:rPr>
        <w:t xml:space="preserve">27 novembre 2012, </w:t>
      </w:r>
      <w:r w:rsidRPr="003B1303">
        <w:rPr>
          <w:i/>
          <w:lang w:val="fr-FR"/>
        </w:rPr>
        <w:t>Romanova c. Russie</w:t>
      </w:r>
      <w:r w:rsidRPr="003B1303">
        <w:rPr>
          <w:lang w:val="fr-FR"/>
        </w:rPr>
        <w:t>, n</w:t>
      </w:r>
      <w:r w:rsidRPr="003B1303">
        <w:rPr>
          <w:vertAlign w:val="superscript"/>
          <w:lang w:val="fr-FR"/>
        </w:rPr>
        <w:t>o</w:t>
      </w:r>
      <w:r w:rsidRPr="003B1303">
        <w:rPr>
          <w:lang w:val="fr-FR"/>
        </w:rPr>
        <w:t xml:space="preserve"> 23215/02, </w:t>
      </w:r>
      <w:r w:rsidRPr="003B1303" w:rsidR="00116E2F">
        <w:rPr>
          <w:lang w:val="fr-FR"/>
        </w:rPr>
        <w:t>§§ 121</w:t>
      </w:r>
      <w:r w:rsidRPr="003B1303" w:rsidR="00116E2F">
        <w:rPr>
          <w:lang w:val="fr-FR"/>
        </w:rPr>
        <w:noBreakHyphen/>
        <w:t xml:space="preserve">133, </w:t>
      </w:r>
      <w:r w:rsidRPr="003B1303">
        <w:rPr>
          <w:lang w:val="fr-FR"/>
        </w:rPr>
        <w:t xml:space="preserve">11 octobre 2011, </w:t>
      </w:r>
      <w:r w:rsidRPr="003B1303" w:rsidR="00604A69">
        <w:rPr>
          <w:lang w:val="fr-FR"/>
        </w:rPr>
        <w:t xml:space="preserve">et </w:t>
      </w:r>
      <w:proofErr w:type="spellStart"/>
      <w:r w:rsidRPr="003B1303">
        <w:rPr>
          <w:i/>
          <w:lang w:val="fr-FR"/>
        </w:rPr>
        <w:t>Lamazhyk</w:t>
      </w:r>
      <w:proofErr w:type="spellEnd"/>
      <w:r w:rsidRPr="003B1303">
        <w:rPr>
          <w:i/>
          <w:lang w:val="fr-FR"/>
        </w:rPr>
        <w:t xml:space="preserve"> c. Russie</w:t>
      </w:r>
      <w:r w:rsidRPr="003B1303">
        <w:rPr>
          <w:lang w:val="fr-FR"/>
        </w:rPr>
        <w:t>, n</w:t>
      </w:r>
      <w:r w:rsidRPr="003B1303">
        <w:rPr>
          <w:vertAlign w:val="superscript"/>
          <w:lang w:val="fr-FR"/>
        </w:rPr>
        <w:t>o</w:t>
      </w:r>
      <w:r w:rsidRPr="003B1303" w:rsidR="00116E2F">
        <w:rPr>
          <w:lang w:val="fr-FR"/>
        </w:rPr>
        <w:t> </w:t>
      </w:r>
      <w:r w:rsidRPr="003B1303">
        <w:rPr>
          <w:lang w:val="fr-FR"/>
        </w:rPr>
        <w:t xml:space="preserve">20571/04, </w:t>
      </w:r>
      <w:r w:rsidRPr="003B1303" w:rsidR="00116E2F">
        <w:rPr>
          <w:lang w:val="fr-FR"/>
        </w:rPr>
        <w:t>§§ 88</w:t>
      </w:r>
      <w:r w:rsidRPr="003B1303" w:rsidR="00116E2F">
        <w:rPr>
          <w:lang w:val="fr-FR"/>
        </w:rPr>
        <w:noBreakHyphen/>
        <w:t xml:space="preserve">98, </w:t>
      </w:r>
      <w:r w:rsidRPr="003B1303">
        <w:rPr>
          <w:lang w:val="fr-FR"/>
        </w:rPr>
        <w:t xml:space="preserve">30 juillet 2009 et autres). Dans la présente affaire, rien ne lui permet </w:t>
      </w:r>
      <w:r w:rsidRPr="003B1303" w:rsidR="00615BEA">
        <w:rPr>
          <w:lang w:val="fr-FR"/>
        </w:rPr>
        <w:t>de parvenir à une conclusion</w:t>
      </w:r>
      <w:r w:rsidRPr="003B1303" w:rsidR="00604A69">
        <w:rPr>
          <w:lang w:val="fr-FR"/>
        </w:rPr>
        <w:t xml:space="preserve"> différente</w:t>
      </w:r>
      <w:r w:rsidRPr="003B1303">
        <w:rPr>
          <w:lang w:val="fr-FR"/>
        </w:rPr>
        <w:t>.</w:t>
      </w:r>
    </w:p>
    <w:p w:rsidRPr="003B1303" w:rsidR="005C4D23" w:rsidP="003B1303" w:rsidRDefault="005C4D2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160</w:t>
      </w:r>
      <w:r w:rsidRPr="003B1303">
        <w:rPr>
          <w:lang w:val="fr-FR"/>
        </w:rPr>
        <w:fldChar w:fldCharType="end"/>
      </w:r>
      <w:r w:rsidRPr="003B1303">
        <w:rPr>
          <w:lang w:val="fr-FR"/>
        </w:rPr>
        <w:t>.  </w:t>
      </w:r>
      <w:r w:rsidRPr="003B1303" w:rsidR="00604A69">
        <w:rPr>
          <w:lang w:val="fr-FR"/>
        </w:rPr>
        <w:t>Eu égard à</w:t>
      </w:r>
      <w:r w:rsidRPr="003B1303">
        <w:rPr>
          <w:lang w:val="fr-FR"/>
        </w:rPr>
        <w:t xml:space="preserve"> ce qui précède, la Cour considère que, en s</w:t>
      </w:r>
      <w:r w:rsidRPr="003B1303" w:rsidR="003B1303">
        <w:rPr>
          <w:lang w:val="fr-FR"/>
        </w:rPr>
        <w:t>’</w:t>
      </w:r>
      <w:r w:rsidRPr="003B1303">
        <w:rPr>
          <w:lang w:val="fr-FR"/>
        </w:rPr>
        <w:t>appuyant essentiellement et systématiquement sur la gravité des charges à l</w:t>
      </w:r>
      <w:r w:rsidRPr="003B1303" w:rsidR="003B1303">
        <w:rPr>
          <w:lang w:val="fr-FR"/>
        </w:rPr>
        <w:t>’</w:t>
      </w:r>
      <w:r w:rsidRPr="003B1303">
        <w:rPr>
          <w:lang w:val="fr-FR"/>
        </w:rPr>
        <w:t xml:space="preserve">encontre du </w:t>
      </w:r>
      <w:r w:rsidRPr="003B1303" w:rsidR="00C377BC">
        <w:rPr>
          <w:lang w:val="fr-FR"/>
        </w:rPr>
        <w:t xml:space="preserve">premier </w:t>
      </w:r>
      <w:r w:rsidRPr="003B1303">
        <w:rPr>
          <w:lang w:val="fr-FR"/>
        </w:rPr>
        <w:t xml:space="preserve">requérant, les autorités ont maintenu ce dernier en détention provisoire pendant plus de </w:t>
      </w:r>
      <w:r w:rsidRPr="003B1303" w:rsidR="00C377BC">
        <w:rPr>
          <w:lang w:val="fr-FR"/>
        </w:rPr>
        <w:t>trois ans</w:t>
      </w:r>
      <w:r w:rsidRPr="003B1303">
        <w:rPr>
          <w:lang w:val="fr-FR"/>
        </w:rPr>
        <w:t xml:space="preserve"> pour des motifs qui ne sauraient être considérés comme « suffisants » pour justifier la durée de cette détention.</w:t>
      </w:r>
    </w:p>
    <w:bookmarkStart w:name="violA53" w:id="73"/>
    <w:p w:rsidRPr="003B1303" w:rsidR="005C4D23" w:rsidP="003B1303" w:rsidRDefault="005C4D2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161</w:t>
      </w:r>
      <w:r w:rsidRPr="003B1303">
        <w:rPr>
          <w:lang w:val="fr-FR"/>
        </w:rPr>
        <w:fldChar w:fldCharType="end"/>
      </w:r>
      <w:bookmarkEnd w:id="73"/>
      <w:r w:rsidRPr="003B1303">
        <w:rPr>
          <w:lang w:val="fr-FR"/>
        </w:rPr>
        <w:t>.  Dans ces circonstances, il n</w:t>
      </w:r>
      <w:r w:rsidRPr="003B1303" w:rsidR="003B1303">
        <w:rPr>
          <w:lang w:val="fr-FR"/>
        </w:rPr>
        <w:t>’</w:t>
      </w:r>
      <w:r w:rsidRPr="003B1303">
        <w:rPr>
          <w:lang w:val="fr-FR"/>
        </w:rPr>
        <w:t>est pas nécessaire de rechercher si les autorités nationales compétentes ont apporté une « diligence particulière » à la poursuite de la procédure (</w:t>
      </w:r>
      <w:proofErr w:type="spellStart"/>
      <w:r w:rsidRPr="003B1303" w:rsidR="00116E2F">
        <w:rPr>
          <w:i/>
          <w:szCs w:val="24"/>
          <w:lang w:val="fr-FR"/>
        </w:rPr>
        <w:t>Dolgova</w:t>
      </w:r>
      <w:proofErr w:type="spellEnd"/>
      <w:r w:rsidRPr="003B1303" w:rsidR="00116E2F">
        <w:rPr>
          <w:i/>
          <w:szCs w:val="24"/>
          <w:lang w:val="fr-FR"/>
        </w:rPr>
        <w:t xml:space="preserve"> c. Russie</w:t>
      </w:r>
      <w:r w:rsidRPr="003B1303" w:rsidR="00116E2F">
        <w:rPr>
          <w:szCs w:val="24"/>
          <w:lang w:val="fr-FR"/>
        </w:rPr>
        <w:t>, n</w:t>
      </w:r>
      <w:r w:rsidRPr="003B1303" w:rsidR="00116E2F">
        <w:rPr>
          <w:szCs w:val="24"/>
          <w:vertAlign w:val="superscript"/>
          <w:lang w:val="fr-FR"/>
        </w:rPr>
        <w:t>o</w:t>
      </w:r>
      <w:r w:rsidRPr="003B1303" w:rsidR="00116E2F">
        <w:rPr>
          <w:szCs w:val="24"/>
          <w:lang w:val="fr-FR"/>
        </w:rPr>
        <w:t> 11886/05, § 50, 2 mars 2006</w:t>
      </w:r>
      <w:r w:rsidRPr="003B1303">
        <w:rPr>
          <w:lang w:val="fr-FR"/>
        </w:rPr>
        <w:t>). Partant, il y a eu violation de l</w:t>
      </w:r>
      <w:r w:rsidRPr="003B1303" w:rsidR="003B1303">
        <w:rPr>
          <w:lang w:val="fr-FR"/>
        </w:rPr>
        <w:t>’</w:t>
      </w:r>
      <w:r w:rsidRPr="003B1303">
        <w:rPr>
          <w:lang w:val="fr-FR"/>
        </w:rPr>
        <w:t>article 5 § 3 de la Convention.</w:t>
      </w:r>
    </w:p>
    <w:p w:rsidRPr="003B1303" w:rsidR="00BE4C83" w:rsidP="003B1303" w:rsidRDefault="00234FF3">
      <w:pPr>
        <w:pStyle w:val="ECHRHeading2"/>
        <w:rPr>
          <w:lang w:val="fr-FR"/>
        </w:rPr>
      </w:pPr>
      <w:r w:rsidRPr="003B1303">
        <w:rPr>
          <w:lang w:val="fr-FR"/>
        </w:rPr>
        <w:t>C.  Sur la célérité de l</w:t>
      </w:r>
      <w:r w:rsidRPr="003B1303" w:rsidR="003B1303">
        <w:rPr>
          <w:lang w:val="fr-FR"/>
        </w:rPr>
        <w:t>’</w:t>
      </w:r>
      <w:r w:rsidRPr="003B1303">
        <w:rPr>
          <w:lang w:val="fr-FR"/>
        </w:rPr>
        <w:t>examen de l</w:t>
      </w:r>
      <w:r w:rsidRPr="003B1303" w:rsidR="003B1303">
        <w:rPr>
          <w:lang w:val="fr-FR"/>
        </w:rPr>
        <w:t>’</w:t>
      </w:r>
      <w:r w:rsidRPr="003B1303">
        <w:rPr>
          <w:lang w:val="fr-FR"/>
        </w:rPr>
        <w:t xml:space="preserve">appel du </w:t>
      </w:r>
      <w:r w:rsidRPr="003B1303" w:rsidR="00615BEA">
        <w:rPr>
          <w:lang w:val="fr-FR"/>
        </w:rPr>
        <w:t xml:space="preserve">premier </w:t>
      </w:r>
      <w:r w:rsidRPr="003B1303">
        <w:rPr>
          <w:lang w:val="fr-FR"/>
        </w:rPr>
        <w:t>requérant contre la décision du 26 jui</w:t>
      </w:r>
      <w:r w:rsidRPr="003B1303" w:rsidR="00411C88">
        <w:rPr>
          <w:lang w:val="fr-FR"/>
        </w:rPr>
        <w:t>n</w:t>
      </w:r>
      <w:r w:rsidRPr="003B1303">
        <w:rPr>
          <w:lang w:val="fr-FR"/>
        </w:rPr>
        <w:t xml:space="preserve"> 2009</w:t>
      </w:r>
    </w:p>
    <w:p w:rsidRPr="003B1303" w:rsidR="00234FF3" w:rsidP="003B1303" w:rsidRDefault="00234FF3">
      <w:pPr>
        <w:pStyle w:val="ECHRHeading3"/>
        <w:rPr>
          <w:lang w:val="fr-FR"/>
        </w:rPr>
      </w:pPr>
      <w:r w:rsidRPr="003B1303">
        <w:rPr>
          <w:lang w:val="fr-FR"/>
        </w:rPr>
        <w:t>1</w:t>
      </w:r>
      <w:r w:rsidRPr="003B1303" w:rsidR="00BE4EEA">
        <w:rPr>
          <w:lang w:val="fr-FR"/>
        </w:rPr>
        <w:t>.</w:t>
      </w:r>
      <w:r w:rsidRPr="003B1303">
        <w:rPr>
          <w:lang w:val="fr-FR"/>
        </w:rPr>
        <w:t>  Thèses des parties</w:t>
      </w:r>
    </w:p>
    <w:p w:rsidRPr="003B1303" w:rsidR="00BE4C83" w:rsidP="003B1303" w:rsidRDefault="00234FF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162</w:t>
      </w:r>
      <w:r w:rsidRPr="003B1303">
        <w:rPr>
          <w:lang w:val="fr-FR"/>
        </w:rPr>
        <w:fldChar w:fldCharType="end"/>
      </w:r>
      <w:r w:rsidRPr="003B1303">
        <w:rPr>
          <w:lang w:val="fr-FR"/>
        </w:rPr>
        <w:t>.  </w:t>
      </w:r>
      <w:r w:rsidRPr="003B1303" w:rsidR="00A867E5">
        <w:rPr>
          <w:lang w:val="fr-FR"/>
        </w:rPr>
        <w:t xml:space="preserve">Le Gouvernement </w:t>
      </w:r>
      <w:r w:rsidRPr="003B1303" w:rsidR="00411C88">
        <w:rPr>
          <w:lang w:val="fr-FR"/>
        </w:rPr>
        <w:t>reconna</w:t>
      </w:r>
      <w:r w:rsidRPr="003B1303" w:rsidR="00470102">
        <w:rPr>
          <w:lang w:val="fr-FR"/>
        </w:rPr>
        <w:t>î</w:t>
      </w:r>
      <w:r w:rsidRPr="003B1303" w:rsidR="00411C88">
        <w:rPr>
          <w:lang w:val="fr-FR"/>
        </w:rPr>
        <w:t>t</w:t>
      </w:r>
      <w:r w:rsidRPr="003B1303" w:rsidR="00A867E5">
        <w:rPr>
          <w:lang w:val="fr-FR"/>
        </w:rPr>
        <w:t xml:space="preserve"> que l</w:t>
      </w:r>
      <w:r w:rsidRPr="003B1303" w:rsidR="003B1303">
        <w:rPr>
          <w:lang w:val="fr-FR"/>
        </w:rPr>
        <w:t>’</w:t>
      </w:r>
      <w:r w:rsidRPr="003B1303" w:rsidR="00A867E5">
        <w:rPr>
          <w:lang w:val="fr-FR"/>
        </w:rPr>
        <w:t xml:space="preserve">appel </w:t>
      </w:r>
      <w:r w:rsidRPr="003B1303" w:rsidR="00615BEA">
        <w:rPr>
          <w:lang w:val="fr-FR"/>
        </w:rPr>
        <w:t xml:space="preserve">du premier requérant </w:t>
      </w:r>
      <w:r w:rsidRPr="003B1303" w:rsidR="00A867E5">
        <w:rPr>
          <w:lang w:val="fr-FR"/>
        </w:rPr>
        <w:t xml:space="preserve">contre la décision en question </w:t>
      </w:r>
      <w:r w:rsidRPr="003B1303" w:rsidR="00411C88">
        <w:rPr>
          <w:lang w:val="fr-FR"/>
        </w:rPr>
        <w:t>n</w:t>
      </w:r>
      <w:r w:rsidRPr="003B1303" w:rsidR="003B1303">
        <w:rPr>
          <w:lang w:val="fr-FR"/>
        </w:rPr>
        <w:t>’</w:t>
      </w:r>
      <w:r w:rsidRPr="003B1303" w:rsidR="00A867E5">
        <w:rPr>
          <w:lang w:val="fr-FR"/>
        </w:rPr>
        <w:t xml:space="preserve">a </w:t>
      </w:r>
      <w:r w:rsidRPr="003B1303" w:rsidR="00411C88">
        <w:rPr>
          <w:lang w:val="fr-FR"/>
        </w:rPr>
        <w:t xml:space="preserve">pas </w:t>
      </w:r>
      <w:r w:rsidRPr="003B1303" w:rsidR="00A867E5">
        <w:rPr>
          <w:lang w:val="fr-FR"/>
        </w:rPr>
        <w:t>été examiné dans un bref délai</w:t>
      </w:r>
      <w:r w:rsidRPr="003B1303" w:rsidR="00BB4AE3">
        <w:rPr>
          <w:lang w:val="fr-FR"/>
        </w:rPr>
        <w:t>,</w:t>
      </w:r>
      <w:r w:rsidRPr="003B1303" w:rsidR="00411C88">
        <w:rPr>
          <w:lang w:val="fr-FR"/>
        </w:rPr>
        <w:t xml:space="preserve"> en violation de l</w:t>
      </w:r>
      <w:r w:rsidRPr="003B1303" w:rsidR="003B1303">
        <w:rPr>
          <w:lang w:val="fr-FR"/>
        </w:rPr>
        <w:t>’</w:t>
      </w:r>
      <w:r w:rsidRPr="003B1303" w:rsidR="00411C88">
        <w:rPr>
          <w:lang w:val="fr-FR"/>
        </w:rPr>
        <w:t>article 5 § 4 de la Convention</w:t>
      </w:r>
      <w:r w:rsidRPr="003B1303" w:rsidR="00A867E5">
        <w:rPr>
          <w:lang w:val="fr-FR"/>
        </w:rPr>
        <w:t>.</w:t>
      </w:r>
    </w:p>
    <w:p w:rsidRPr="003B1303" w:rsidR="00BE4C83" w:rsidP="003B1303" w:rsidRDefault="00234FF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163</w:t>
      </w:r>
      <w:r w:rsidRPr="003B1303">
        <w:rPr>
          <w:lang w:val="fr-FR"/>
        </w:rPr>
        <w:fldChar w:fldCharType="end"/>
      </w:r>
      <w:r w:rsidRPr="003B1303">
        <w:rPr>
          <w:lang w:val="fr-FR"/>
        </w:rPr>
        <w:t>.  Le requérant maintient son grief.</w:t>
      </w:r>
    </w:p>
    <w:p w:rsidRPr="003B1303" w:rsidR="00234FF3" w:rsidP="003B1303" w:rsidRDefault="00234FF3">
      <w:pPr>
        <w:pStyle w:val="ECHRHeading3"/>
        <w:rPr>
          <w:lang w:val="fr-FR"/>
        </w:rPr>
      </w:pPr>
      <w:r w:rsidRPr="003B1303">
        <w:rPr>
          <w:lang w:val="fr-FR"/>
        </w:rPr>
        <w:t>2.  Appréciation de la Cour</w:t>
      </w:r>
    </w:p>
    <w:p w:rsidRPr="003B1303" w:rsidR="00234FF3" w:rsidP="003B1303" w:rsidRDefault="00234FF3">
      <w:pPr>
        <w:pStyle w:val="ECHRHeading4"/>
        <w:rPr>
          <w:lang w:val="fr-FR"/>
        </w:rPr>
      </w:pPr>
      <w:r w:rsidRPr="003B1303">
        <w:rPr>
          <w:lang w:val="fr-FR"/>
        </w:rPr>
        <w:t>a)  Sur la recevabilité</w:t>
      </w:r>
    </w:p>
    <w:p w:rsidRPr="003B1303" w:rsidR="00234FF3" w:rsidP="003B1303" w:rsidRDefault="00234FF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164</w:t>
      </w:r>
      <w:r w:rsidRPr="003B1303">
        <w:rPr>
          <w:lang w:val="fr-FR"/>
        </w:rPr>
        <w:fldChar w:fldCharType="end"/>
      </w:r>
      <w:r w:rsidRPr="003B1303">
        <w:rPr>
          <w:lang w:val="fr-FR"/>
        </w:rPr>
        <w:t>.  Constatant que ce grief n</w:t>
      </w:r>
      <w:r w:rsidRPr="003B1303" w:rsidR="003B1303">
        <w:rPr>
          <w:lang w:val="fr-FR"/>
        </w:rPr>
        <w:t>’</w:t>
      </w:r>
      <w:r w:rsidRPr="003B1303">
        <w:rPr>
          <w:lang w:val="fr-FR"/>
        </w:rPr>
        <w:t>est pas manifestement mal fondé au sens de l</w:t>
      </w:r>
      <w:r w:rsidRPr="003B1303" w:rsidR="003B1303">
        <w:rPr>
          <w:lang w:val="fr-FR"/>
        </w:rPr>
        <w:t>’</w:t>
      </w:r>
      <w:r w:rsidRPr="003B1303">
        <w:rPr>
          <w:lang w:val="fr-FR"/>
        </w:rPr>
        <w:t>article 35 § 3 a) de la Convention et qu</w:t>
      </w:r>
      <w:r w:rsidRPr="003B1303" w:rsidR="003B1303">
        <w:rPr>
          <w:lang w:val="fr-FR"/>
        </w:rPr>
        <w:t>’</w:t>
      </w:r>
      <w:r w:rsidRPr="003B1303">
        <w:rPr>
          <w:lang w:val="fr-FR"/>
        </w:rPr>
        <w:t>il ne se heurte par ailleurs à aucun autre motif d</w:t>
      </w:r>
      <w:r w:rsidRPr="003B1303" w:rsidR="003B1303">
        <w:rPr>
          <w:lang w:val="fr-FR"/>
        </w:rPr>
        <w:t>’</w:t>
      </w:r>
      <w:r w:rsidRPr="003B1303">
        <w:rPr>
          <w:lang w:val="fr-FR"/>
        </w:rPr>
        <w:t>irrecevabilité, la Cour le déclare recevable.</w:t>
      </w:r>
    </w:p>
    <w:p w:rsidRPr="003B1303" w:rsidR="00234FF3" w:rsidP="003B1303" w:rsidRDefault="00234FF3">
      <w:pPr>
        <w:pStyle w:val="ECHRHeading4"/>
        <w:rPr>
          <w:bCs w:val="0"/>
          <w:i/>
          <w:lang w:val="fr-FR"/>
        </w:rPr>
      </w:pPr>
      <w:r w:rsidRPr="003B1303">
        <w:rPr>
          <w:bCs w:val="0"/>
          <w:i/>
          <w:lang w:val="fr-FR"/>
        </w:rPr>
        <w:t>b)  Sur le fond</w:t>
      </w:r>
    </w:p>
    <w:p w:rsidRPr="003B1303" w:rsidR="00BE4C83" w:rsidP="003B1303" w:rsidRDefault="00A867E5">
      <w:pPr>
        <w:pStyle w:val="ECHRPara"/>
        <w:rPr>
          <w:noProof/>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165</w:t>
      </w:r>
      <w:r w:rsidRPr="003B1303">
        <w:rPr>
          <w:lang w:val="fr-FR"/>
        </w:rPr>
        <w:fldChar w:fldCharType="end"/>
      </w:r>
      <w:r w:rsidRPr="003B1303">
        <w:rPr>
          <w:lang w:val="fr-FR"/>
        </w:rPr>
        <w:t>.  La Cour note que l</w:t>
      </w:r>
      <w:r w:rsidRPr="003B1303" w:rsidR="003B1303">
        <w:rPr>
          <w:lang w:val="fr-FR"/>
        </w:rPr>
        <w:t>’</w:t>
      </w:r>
      <w:r w:rsidRPr="003B1303">
        <w:rPr>
          <w:lang w:val="fr-FR"/>
        </w:rPr>
        <w:t>examen de l</w:t>
      </w:r>
      <w:r w:rsidRPr="003B1303" w:rsidR="003B1303">
        <w:rPr>
          <w:lang w:val="fr-FR"/>
        </w:rPr>
        <w:t>’</w:t>
      </w:r>
      <w:r w:rsidRPr="003B1303">
        <w:rPr>
          <w:lang w:val="fr-FR"/>
        </w:rPr>
        <w:t xml:space="preserve">appel du </w:t>
      </w:r>
      <w:r w:rsidRPr="003B1303" w:rsidR="0066101E">
        <w:rPr>
          <w:lang w:val="fr-FR"/>
        </w:rPr>
        <w:t xml:space="preserve">premier </w:t>
      </w:r>
      <w:r w:rsidRPr="003B1303">
        <w:rPr>
          <w:lang w:val="fr-FR"/>
        </w:rPr>
        <w:t xml:space="preserve">requérant contre la décision du 26 juillet 2009 a duré </w:t>
      </w:r>
      <w:r w:rsidRPr="003B1303" w:rsidR="00411C88">
        <w:rPr>
          <w:lang w:val="fr-FR"/>
        </w:rPr>
        <w:t xml:space="preserve">101 </w:t>
      </w:r>
      <w:r w:rsidRPr="003B1303">
        <w:rPr>
          <w:lang w:val="fr-FR"/>
        </w:rPr>
        <w:t>jours</w:t>
      </w:r>
      <w:r w:rsidRPr="003B1303" w:rsidR="00AA5216">
        <w:rPr>
          <w:lang w:val="fr-FR"/>
        </w:rPr>
        <w:t xml:space="preserve"> (paragraphe </w:t>
      </w:r>
      <w:r w:rsidRPr="003B1303" w:rsidR="00AA5216">
        <w:rPr>
          <w:lang w:val="fr-FR"/>
        </w:rPr>
        <w:fldChar w:fldCharType="begin"/>
      </w:r>
      <w:r w:rsidRPr="003B1303" w:rsidR="00AA5216">
        <w:rPr>
          <w:lang w:val="fr-FR"/>
        </w:rPr>
        <w:instrText xml:space="preserve"> REF appdec26j \h </w:instrText>
      </w:r>
      <w:r w:rsidRPr="003B1303" w:rsidR="006C36C2">
        <w:rPr>
          <w:lang w:val="fr-FR"/>
        </w:rPr>
        <w:instrText xml:space="preserve"> \* MERGEFORMAT </w:instrText>
      </w:r>
      <w:r w:rsidRPr="003B1303" w:rsidR="00AA5216">
        <w:rPr>
          <w:lang w:val="fr-FR"/>
        </w:rPr>
      </w:r>
      <w:r w:rsidRPr="003B1303" w:rsidR="00AA5216">
        <w:rPr>
          <w:lang w:val="fr-FR"/>
        </w:rPr>
        <w:fldChar w:fldCharType="separate"/>
      </w:r>
      <w:r w:rsidR="003B1303">
        <w:rPr>
          <w:noProof/>
          <w:lang w:val="fr-FR"/>
        </w:rPr>
        <w:t>37</w:t>
      </w:r>
      <w:r w:rsidRPr="003B1303" w:rsidR="00AA5216">
        <w:rPr>
          <w:lang w:val="fr-FR"/>
        </w:rPr>
        <w:fldChar w:fldCharType="end"/>
      </w:r>
      <w:r w:rsidRPr="003B1303" w:rsidR="00AA5216">
        <w:rPr>
          <w:lang w:val="fr-FR"/>
        </w:rPr>
        <w:t xml:space="preserve"> ci</w:t>
      </w:r>
      <w:r w:rsidRPr="003B1303" w:rsidR="00AA5216">
        <w:rPr>
          <w:lang w:val="fr-FR"/>
        </w:rPr>
        <w:noBreakHyphen/>
        <w:t>dessus)</w:t>
      </w:r>
      <w:r w:rsidRPr="003B1303">
        <w:rPr>
          <w:lang w:val="fr-FR"/>
        </w:rPr>
        <w:t>. Rien n</w:t>
      </w:r>
      <w:r w:rsidRPr="003B1303" w:rsidR="00E85534">
        <w:rPr>
          <w:lang w:val="fr-FR"/>
        </w:rPr>
        <w:t>e démontre que ce délai puisse</w:t>
      </w:r>
      <w:r w:rsidRPr="003B1303">
        <w:rPr>
          <w:lang w:val="fr-FR"/>
        </w:rPr>
        <w:t xml:space="preserve"> être attribué au </w:t>
      </w:r>
      <w:r w:rsidRPr="003B1303" w:rsidR="0066101E">
        <w:rPr>
          <w:lang w:val="fr-FR"/>
        </w:rPr>
        <w:t xml:space="preserve">premier </w:t>
      </w:r>
      <w:r w:rsidRPr="003B1303">
        <w:rPr>
          <w:lang w:val="fr-FR"/>
        </w:rPr>
        <w:t>requérant ou que les questions à examiner par l</w:t>
      </w:r>
      <w:r w:rsidRPr="003B1303" w:rsidR="003B1303">
        <w:rPr>
          <w:lang w:val="fr-FR"/>
        </w:rPr>
        <w:t>’</w:t>
      </w:r>
      <w:r w:rsidRPr="003B1303">
        <w:rPr>
          <w:lang w:val="fr-FR"/>
        </w:rPr>
        <w:t>instance d</w:t>
      </w:r>
      <w:r w:rsidRPr="003B1303" w:rsidR="003B1303">
        <w:rPr>
          <w:lang w:val="fr-FR"/>
        </w:rPr>
        <w:t>’</w:t>
      </w:r>
      <w:r w:rsidRPr="003B1303">
        <w:rPr>
          <w:lang w:val="fr-FR"/>
        </w:rPr>
        <w:t>appel étaient très complexes.</w:t>
      </w:r>
      <w:r w:rsidRPr="003B1303" w:rsidR="001D12EB">
        <w:rPr>
          <w:lang w:val="fr-FR"/>
        </w:rPr>
        <w:t xml:space="preserve"> Elle tient par ailleurs compte du fait que le</w:t>
      </w:r>
      <w:r w:rsidRPr="003B1303" w:rsidR="00E85534">
        <w:rPr>
          <w:lang w:val="fr-FR"/>
        </w:rPr>
        <w:t xml:space="preserve"> Gouvernement a reconnu que l</w:t>
      </w:r>
      <w:r w:rsidRPr="003B1303" w:rsidR="003B1303">
        <w:rPr>
          <w:lang w:val="fr-FR"/>
        </w:rPr>
        <w:t>’</w:t>
      </w:r>
      <w:r w:rsidRPr="003B1303" w:rsidR="00E85534">
        <w:rPr>
          <w:lang w:val="fr-FR"/>
        </w:rPr>
        <w:t>exigence</w:t>
      </w:r>
      <w:r w:rsidRPr="003B1303" w:rsidR="001D12EB">
        <w:rPr>
          <w:lang w:val="fr-FR"/>
        </w:rPr>
        <w:t xml:space="preserve"> de célérité n</w:t>
      </w:r>
      <w:r w:rsidRPr="003B1303" w:rsidR="003B1303">
        <w:rPr>
          <w:lang w:val="fr-FR"/>
        </w:rPr>
        <w:t>’</w:t>
      </w:r>
      <w:r w:rsidRPr="003B1303" w:rsidR="00E85534">
        <w:rPr>
          <w:lang w:val="fr-FR"/>
        </w:rPr>
        <w:t>a pas été respectée</w:t>
      </w:r>
      <w:r w:rsidRPr="003B1303" w:rsidR="001D12EB">
        <w:rPr>
          <w:lang w:val="fr-FR"/>
        </w:rPr>
        <w:t xml:space="preserve"> par les juridictions nationales. </w:t>
      </w:r>
      <w:r w:rsidRPr="003B1303">
        <w:rPr>
          <w:lang w:val="fr-FR"/>
        </w:rPr>
        <w:t>Eu égard à ce qui précède, la Cour estime que le laps de temps écoulé n</w:t>
      </w:r>
      <w:r w:rsidRPr="003B1303" w:rsidR="003B1303">
        <w:rPr>
          <w:lang w:val="fr-FR"/>
        </w:rPr>
        <w:t>’</w:t>
      </w:r>
      <w:r w:rsidRPr="003B1303">
        <w:rPr>
          <w:lang w:val="fr-FR"/>
        </w:rPr>
        <w:t>est pas compatible avec l</w:t>
      </w:r>
      <w:r w:rsidRPr="003B1303" w:rsidR="003B1303">
        <w:rPr>
          <w:lang w:val="fr-FR"/>
        </w:rPr>
        <w:t>’</w:t>
      </w:r>
      <w:r w:rsidRPr="003B1303">
        <w:rPr>
          <w:lang w:val="fr-FR"/>
        </w:rPr>
        <w:t>exigence d</w:t>
      </w:r>
      <w:r w:rsidRPr="003B1303" w:rsidR="003B1303">
        <w:rPr>
          <w:lang w:val="fr-FR"/>
        </w:rPr>
        <w:t>’</w:t>
      </w:r>
      <w:r w:rsidRPr="003B1303">
        <w:rPr>
          <w:lang w:val="fr-FR"/>
        </w:rPr>
        <w:t>un contrôle à bref délai</w:t>
      </w:r>
      <w:r w:rsidRPr="003B1303" w:rsidR="00E85534">
        <w:rPr>
          <w:lang w:val="fr-FR"/>
        </w:rPr>
        <w:t xml:space="preserve"> (voir, à titre d</w:t>
      </w:r>
      <w:r w:rsidRPr="003B1303" w:rsidR="003B1303">
        <w:rPr>
          <w:lang w:val="fr-FR"/>
        </w:rPr>
        <w:t>’</w:t>
      </w:r>
      <w:r w:rsidRPr="003B1303" w:rsidR="00E85534">
        <w:rPr>
          <w:lang w:val="fr-FR"/>
        </w:rPr>
        <w:t xml:space="preserve">exemple, </w:t>
      </w:r>
      <w:proofErr w:type="spellStart"/>
      <w:r w:rsidRPr="003B1303" w:rsidR="00E85534">
        <w:rPr>
          <w:i/>
          <w:iCs/>
          <w:lang w:val="fr-FR"/>
        </w:rPr>
        <w:t>Barabanov</w:t>
      </w:r>
      <w:proofErr w:type="spellEnd"/>
      <w:r w:rsidRPr="003B1303" w:rsidR="00E85534">
        <w:rPr>
          <w:i/>
          <w:iCs/>
          <w:lang w:val="fr-FR"/>
        </w:rPr>
        <w:t xml:space="preserve"> c. </w:t>
      </w:r>
      <w:r w:rsidRPr="003B1303" w:rsidR="00B46CF3">
        <w:rPr>
          <w:i/>
          <w:iCs/>
          <w:lang w:val="fr-FR"/>
        </w:rPr>
        <w:t>Russie</w:t>
      </w:r>
      <w:r w:rsidRPr="003B1303" w:rsidR="00E85534">
        <w:rPr>
          <w:lang w:val="fr-FR"/>
        </w:rPr>
        <w:t xml:space="preserve">, </w:t>
      </w:r>
      <w:r w:rsidRPr="003B1303" w:rsidR="00B46CF3">
        <w:rPr>
          <w:lang w:val="fr-FR"/>
        </w:rPr>
        <w:t>n</w:t>
      </w:r>
      <w:r w:rsidRPr="003B1303" w:rsidR="00B46CF3">
        <w:rPr>
          <w:vertAlign w:val="superscript"/>
          <w:lang w:val="fr-FR"/>
        </w:rPr>
        <w:t>os</w:t>
      </w:r>
      <w:r w:rsidRPr="003B1303" w:rsidR="00E85534">
        <w:rPr>
          <w:lang w:val="fr-FR"/>
        </w:rPr>
        <w:t> </w:t>
      </w:r>
      <w:r w:rsidRPr="003B1303" w:rsidR="00B46CF3">
        <w:rPr>
          <w:lang w:val="fr-FR"/>
        </w:rPr>
        <w:t xml:space="preserve">4966/13 et 5550/15, </w:t>
      </w:r>
      <w:r w:rsidRPr="003B1303" w:rsidR="00E85534">
        <w:rPr>
          <w:lang w:val="fr-FR"/>
        </w:rPr>
        <w:t>§§ 58</w:t>
      </w:r>
      <w:r w:rsidRPr="003B1303" w:rsidR="00E85534">
        <w:rPr>
          <w:lang w:val="fr-FR"/>
        </w:rPr>
        <w:noBreakHyphen/>
        <w:t xml:space="preserve">59, </w:t>
      </w:r>
      <w:r w:rsidRPr="003B1303" w:rsidR="00B46CF3">
        <w:rPr>
          <w:lang w:val="fr-FR"/>
        </w:rPr>
        <w:t>30</w:t>
      </w:r>
      <w:r w:rsidRPr="003B1303" w:rsidR="006E5EBE">
        <w:rPr>
          <w:lang w:val="fr-FR"/>
        </w:rPr>
        <w:t> </w:t>
      </w:r>
      <w:r w:rsidRPr="003B1303" w:rsidR="00B46CF3">
        <w:rPr>
          <w:lang w:val="fr-FR"/>
        </w:rPr>
        <w:t>janvier 2018</w:t>
      </w:r>
      <w:r w:rsidRPr="003B1303" w:rsidR="00E85534">
        <w:rPr>
          <w:lang w:val="fr-FR"/>
        </w:rPr>
        <w:t>, où la Cour a conclu à la violation de l</w:t>
      </w:r>
      <w:r w:rsidRPr="003B1303" w:rsidR="003B1303">
        <w:rPr>
          <w:lang w:val="fr-FR"/>
        </w:rPr>
        <w:t>’</w:t>
      </w:r>
      <w:r w:rsidRPr="003B1303" w:rsidR="00E85534">
        <w:rPr>
          <w:lang w:val="fr-FR"/>
        </w:rPr>
        <w:t>article 5 § 4</w:t>
      </w:r>
      <w:r w:rsidRPr="003B1303" w:rsidR="0066101E">
        <w:rPr>
          <w:lang w:val="fr-FR"/>
        </w:rPr>
        <w:t xml:space="preserve"> de la Convention</w:t>
      </w:r>
      <w:r w:rsidRPr="003B1303" w:rsidR="00E85534">
        <w:rPr>
          <w:lang w:val="fr-FR"/>
        </w:rPr>
        <w:t xml:space="preserve"> pour des durées allant de vingt à vingt-cinq jours)</w:t>
      </w:r>
      <w:r w:rsidRPr="003B1303" w:rsidR="00B46CF3">
        <w:rPr>
          <w:lang w:val="fr-FR"/>
        </w:rPr>
        <w:t>.</w:t>
      </w:r>
    </w:p>
    <w:p w:rsidRPr="003B1303" w:rsidR="00234FF3" w:rsidP="003B1303" w:rsidRDefault="00B46CF3">
      <w:pPr>
        <w:pStyle w:val="ECHRPara"/>
        <w:rPr>
          <w:rFonts w:asciiTheme="majorHAnsi" w:hAnsiTheme="majorHAnsi" w:eastAsiaTheme="majorEastAsia" w:cstheme="majorBidi"/>
          <w:b/>
          <w:bCs/>
          <w:szCs w:val="26"/>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166</w:t>
      </w:r>
      <w:r w:rsidRPr="003B1303">
        <w:rPr>
          <w:lang w:val="fr-FR"/>
        </w:rPr>
        <w:fldChar w:fldCharType="end"/>
      </w:r>
      <w:r w:rsidRPr="003B1303">
        <w:rPr>
          <w:lang w:val="fr-FR"/>
        </w:rPr>
        <w:t>.  Partant</w:t>
      </w:r>
      <w:r w:rsidRPr="003B1303" w:rsidR="001D12EB">
        <w:rPr>
          <w:lang w:val="fr-FR"/>
        </w:rPr>
        <w:t xml:space="preserve">, </w:t>
      </w:r>
      <w:r w:rsidRPr="003B1303" w:rsidR="00A867E5">
        <w:rPr>
          <w:szCs w:val="24"/>
          <w:lang w:val="fr-FR"/>
        </w:rPr>
        <w:t xml:space="preserve">il y a eu </w:t>
      </w:r>
      <w:r w:rsidRPr="003B1303" w:rsidR="001D12EB">
        <w:rPr>
          <w:szCs w:val="24"/>
          <w:lang w:val="fr-FR"/>
        </w:rPr>
        <w:t>violation de l</w:t>
      </w:r>
      <w:r w:rsidRPr="003B1303" w:rsidR="003B1303">
        <w:rPr>
          <w:szCs w:val="24"/>
          <w:lang w:val="fr-FR"/>
        </w:rPr>
        <w:t>’</w:t>
      </w:r>
      <w:r w:rsidRPr="003B1303" w:rsidR="001D12EB">
        <w:rPr>
          <w:szCs w:val="24"/>
          <w:lang w:val="fr-FR"/>
        </w:rPr>
        <w:t xml:space="preserve">article 5 § 4 de la Convention </w:t>
      </w:r>
      <w:r w:rsidRPr="003B1303" w:rsidR="00A867E5">
        <w:rPr>
          <w:szCs w:val="24"/>
          <w:lang w:val="fr-FR"/>
        </w:rPr>
        <w:t>en l</w:t>
      </w:r>
      <w:r w:rsidRPr="003B1303" w:rsidR="003B1303">
        <w:rPr>
          <w:szCs w:val="24"/>
          <w:lang w:val="fr-FR"/>
        </w:rPr>
        <w:t>’</w:t>
      </w:r>
      <w:r w:rsidRPr="003B1303" w:rsidR="00A867E5">
        <w:rPr>
          <w:szCs w:val="24"/>
          <w:lang w:val="fr-FR"/>
        </w:rPr>
        <w:t>espèce.</w:t>
      </w:r>
    </w:p>
    <w:p w:rsidRPr="003B1303" w:rsidR="00BE4C83" w:rsidP="003B1303" w:rsidRDefault="001D12EB">
      <w:pPr>
        <w:pStyle w:val="ECHRHeading1"/>
        <w:rPr>
          <w:lang w:val="fr-FR"/>
        </w:rPr>
      </w:pPr>
      <w:r w:rsidRPr="003B1303">
        <w:rPr>
          <w:lang w:val="fr-FR"/>
        </w:rPr>
        <w:t>IV</w:t>
      </w:r>
      <w:r w:rsidRPr="003B1303" w:rsidR="00E77CB3">
        <w:rPr>
          <w:lang w:val="fr-FR"/>
        </w:rPr>
        <w:t>.  SUR LA VIOLATION ALLÉGUÉE DE L</w:t>
      </w:r>
      <w:r w:rsidRPr="003B1303" w:rsidR="003B1303">
        <w:rPr>
          <w:lang w:val="fr-FR"/>
        </w:rPr>
        <w:t>’</w:t>
      </w:r>
      <w:r w:rsidRPr="003B1303" w:rsidR="00E77CB3">
        <w:rPr>
          <w:lang w:val="fr-FR"/>
        </w:rPr>
        <w:t xml:space="preserve">ARTICLE </w:t>
      </w:r>
      <w:r w:rsidRPr="003B1303" w:rsidR="00615BEA">
        <w:rPr>
          <w:lang w:val="fr-FR"/>
        </w:rPr>
        <w:t xml:space="preserve">6 </w:t>
      </w:r>
      <w:r w:rsidRPr="003B1303" w:rsidR="00E77CB3">
        <w:rPr>
          <w:lang w:val="fr-FR"/>
        </w:rPr>
        <w:t>DE LA CONVENTION</w:t>
      </w:r>
    </w:p>
    <w:p w:rsidRPr="003B1303" w:rsidR="00E77CB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167</w:t>
      </w:r>
      <w:r w:rsidRPr="003B1303">
        <w:rPr>
          <w:lang w:val="fr-FR"/>
        </w:rPr>
        <w:fldChar w:fldCharType="end"/>
      </w:r>
      <w:r w:rsidRPr="003B1303" w:rsidR="00E77CB3">
        <w:rPr>
          <w:lang w:val="fr-FR"/>
        </w:rPr>
        <w:t>.  </w:t>
      </w:r>
      <w:r w:rsidRPr="003B1303" w:rsidR="007107B2">
        <w:rPr>
          <w:lang w:val="fr-FR"/>
        </w:rPr>
        <w:t>L</w:t>
      </w:r>
      <w:r w:rsidRPr="003B1303">
        <w:rPr>
          <w:lang w:val="fr-FR"/>
        </w:rPr>
        <w:t>es requérants se plaignent</w:t>
      </w:r>
      <w:r w:rsidRPr="003B1303" w:rsidR="00E77CB3">
        <w:rPr>
          <w:lang w:val="fr-FR"/>
        </w:rPr>
        <w:t xml:space="preserve"> </w:t>
      </w:r>
      <w:r w:rsidRPr="003B1303" w:rsidR="007107B2">
        <w:rPr>
          <w:lang w:val="fr-FR"/>
        </w:rPr>
        <w:t>que la procédure pénale dirigée à leur encontre n</w:t>
      </w:r>
      <w:r w:rsidRPr="003B1303" w:rsidR="003B1303">
        <w:rPr>
          <w:lang w:val="fr-FR"/>
        </w:rPr>
        <w:t>’</w:t>
      </w:r>
      <w:r w:rsidRPr="003B1303" w:rsidR="007107B2">
        <w:rPr>
          <w:lang w:val="fr-FR"/>
        </w:rPr>
        <w:t>a pas été équitable en raison de l</w:t>
      </w:r>
      <w:r w:rsidRPr="003B1303" w:rsidR="003B1303">
        <w:rPr>
          <w:lang w:val="fr-FR"/>
        </w:rPr>
        <w:t>’</w:t>
      </w:r>
      <w:r w:rsidRPr="003B1303" w:rsidR="007107B2">
        <w:rPr>
          <w:lang w:val="fr-FR"/>
        </w:rPr>
        <w:t>admission au procès pénal de leurs dépositions obtenu</w:t>
      </w:r>
      <w:r w:rsidRPr="003B1303" w:rsidR="00470102">
        <w:rPr>
          <w:lang w:val="fr-FR"/>
        </w:rPr>
        <w:t>es</w:t>
      </w:r>
      <w:r w:rsidRPr="003B1303" w:rsidR="0059214A">
        <w:rPr>
          <w:lang w:val="fr-FR"/>
        </w:rPr>
        <w:t>, selon eux,</w:t>
      </w:r>
      <w:r w:rsidRPr="003B1303" w:rsidR="007107B2">
        <w:rPr>
          <w:lang w:val="fr-FR"/>
        </w:rPr>
        <w:t xml:space="preserve"> sous </w:t>
      </w:r>
      <w:r w:rsidRPr="003B1303" w:rsidR="00470102">
        <w:rPr>
          <w:lang w:val="fr-FR"/>
        </w:rPr>
        <w:t xml:space="preserve">la </w:t>
      </w:r>
      <w:r w:rsidRPr="003B1303" w:rsidR="007107B2">
        <w:rPr>
          <w:lang w:val="fr-FR"/>
        </w:rPr>
        <w:t>contrainte. Sur le terrain de l</w:t>
      </w:r>
      <w:r w:rsidRPr="003B1303" w:rsidR="003B1303">
        <w:rPr>
          <w:lang w:val="fr-FR"/>
        </w:rPr>
        <w:t>’</w:t>
      </w:r>
      <w:r w:rsidRPr="003B1303" w:rsidR="007107B2">
        <w:rPr>
          <w:lang w:val="fr-FR"/>
        </w:rPr>
        <w:t>article 6 § 3 c) de la Convention, le premier requérant se plaint également que son droit d</w:t>
      </w:r>
      <w:r w:rsidRPr="003B1303" w:rsidR="003B1303">
        <w:rPr>
          <w:lang w:val="fr-FR"/>
        </w:rPr>
        <w:t>’</w:t>
      </w:r>
      <w:r w:rsidRPr="003B1303" w:rsidR="007107B2">
        <w:rPr>
          <w:lang w:val="fr-FR"/>
        </w:rPr>
        <w:t>être assisté par un avocat de son choix a été violé en raison de l</w:t>
      </w:r>
      <w:r w:rsidRPr="003B1303" w:rsidR="003B1303">
        <w:rPr>
          <w:lang w:val="fr-FR"/>
        </w:rPr>
        <w:t>’</w:t>
      </w:r>
      <w:r w:rsidRPr="003B1303" w:rsidR="007107B2">
        <w:rPr>
          <w:lang w:val="fr-FR"/>
        </w:rPr>
        <w:t xml:space="preserve">impossibilité pour ses avocates de le rencontrer pendant la période du 14 au 18 avril 2008, pendant laquelle il a </w:t>
      </w:r>
      <w:r w:rsidRPr="003B1303" w:rsidR="0059214A">
        <w:rPr>
          <w:lang w:val="fr-FR"/>
        </w:rPr>
        <w:t>fait des</w:t>
      </w:r>
      <w:r w:rsidRPr="003B1303" w:rsidR="007107B2">
        <w:rPr>
          <w:lang w:val="fr-FR"/>
        </w:rPr>
        <w:t xml:space="preserve"> aveux. Les requérants invoquent</w:t>
      </w:r>
      <w:r w:rsidRPr="003B1303" w:rsidR="00E77CB3">
        <w:rPr>
          <w:lang w:val="fr-FR"/>
        </w:rPr>
        <w:t xml:space="preserve"> l</w:t>
      </w:r>
      <w:r w:rsidRPr="003B1303" w:rsidR="003B1303">
        <w:rPr>
          <w:lang w:val="fr-FR"/>
        </w:rPr>
        <w:t>’</w:t>
      </w:r>
      <w:r w:rsidRPr="003B1303" w:rsidR="00E77CB3">
        <w:rPr>
          <w:lang w:val="fr-FR"/>
        </w:rPr>
        <w:t xml:space="preserve">article </w:t>
      </w:r>
      <w:r w:rsidRPr="003B1303" w:rsidR="007F57B0">
        <w:rPr>
          <w:lang w:val="fr-FR"/>
        </w:rPr>
        <w:t>6 §§ </w:t>
      </w:r>
      <w:r w:rsidRPr="003B1303" w:rsidR="007107B2">
        <w:rPr>
          <w:lang w:val="fr-FR"/>
        </w:rPr>
        <w:t xml:space="preserve">1 et 3 c) </w:t>
      </w:r>
      <w:r w:rsidRPr="003B1303" w:rsidR="00E77CB3">
        <w:rPr>
          <w:lang w:val="fr-FR"/>
        </w:rPr>
        <w:t>de la Convention</w:t>
      </w:r>
      <w:r w:rsidRPr="003B1303" w:rsidR="007107B2">
        <w:rPr>
          <w:lang w:val="fr-FR"/>
        </w:rPr>
        <w:t>, ainsi libellé en ses parties pertinentes en l</w:t>
      </w:r>
      <w:r w:rsidRPr="003B1303" w:rsidR="003B1303">
        <w:rPr>
          <w:lang w:val="fr-FR"/>
        </w:rPr>
        <w:t>’</w:t>
      </w:r>
      <w:r w:rsidRPr="003B1303" w:rsidR="007107B2">
        <w:rPr>
          <w:lang w:val="fr-FR"/>
        </w:rPr>
        <w:t>espèce :</w:t>
      </w:r>
    </w:p>
    <w:p w:rsidRPr="003B1303" w:rsidR="007107B2" w:rsidP="003B1303" w:rsidRDefault="007107B2">
      <w:pPr>
        <w:pStyle w:val="ECHRParaQuote"/>
        <w:rPr>
          <w:lang w:val="fr-FR"/>
        </w:rPr>
      </w:pPr>
      <w:r w:rsidRPr="003B1303">
        <w:rPr>
          <w:lang w:val="fr-FR"/>
        </w:rPr>
        <w:t>« 1.  Toute personne a droit à ce que sa cause soit entendue équitablement (...) par un tribunal (...) qui décidera (...) du bien-fondé de toute accusation en matière pénale dirigée contre elle. (...)</w:t>
      </w:r>
    </w:p>
    <w:p w:rsidRPr="003B1303" w:rsidR="007107B2" w:rsidP="003B1303" w:rsidRDefault="007107B2">
      <w:pPr>
        <w:pStyle w:val="ECHRParaQuote"/>
        <w:rPr>
          <w:lang w:val="fr-FR"/>
        </w:rPr>
      </w:pPr>
      <w:r w:rsidRPr="003B1303">
        <w:rPr>
          <w:lang w:val="fr-FR"/>
        </w:rPr>
        <w:t>3.  Tout accusé a droit notamment à :</w:t>
      </w:r>
    </w:p>
    <w:p w:rsidRPr="003B1303" w:rsidR="007107B2" w:rsidP="003B1303" w:rsidRDefault="007107B2">
      <w:pPr>
        <w:pStyle w:val="ECHRParaQuote"/>
        <w:rPr>
          <w:lang w:val="fr-FR"/>
        </w:rPr>
      </w:pPr>
      <w:r w:rsidRPr="003B1303">
        <w:rPr>
          <w:lang w:val="fr-FR"/>
        </w:rPr>
        <w:t>(...)</w:t>
      </w:r>
    </w:p>
    <w:p w:rsidRPr="003B1303" w:rsidR="007107B2" w:rsidP="003B1303" w:rsidRDefault="007107B2">
      <w:pPr>
        <w:pStyle w:val="ECHRParaQuote"/>
        <w:rPr>
          <w:lang w:val="fr-FR"/>
        </w:rPr>
      </w:pPr>
      <w:proofErr w:type="gramStart"/>
      <w:r w:rsidRPr="003B1303">
        <w:rPr>
          <w:lang w:val="fr-FR"/>
        </w:rPr>
        <w:t>c</w:t>
      </w:r>
      <w:proofErr w:type="gramEnd"/>
      <w:r w:rsidRPr="003B1303">
        <w:rPr>
          <w:lang w:val="fr-FR"/>
        </w:rPr>
        <w:t>)  se défendre lui-même ou avoir l</w:t>
      </w:r>
      <w:r w:rsidRPr="003B1303" w:rsidR="003B1303">
        <w:rPr>
          <w:lang w:val="fr-FR"/>
        </w:rPr>
        <w:t>’</w:t>
      </w:r>
      <w:r w:rsidRPr="003B1303">
        <w:rPr>
          <w:lang w:val="fr-FR"/>
        </w:rPr>
        <w:t>assistance d</w:t>
      </w:r>
      <w:r w:rsidRPr="003B1303" w:rsidR="003B1303">
        <w:rPr>
          <w:lang w:val="fr-FR"/>
        </w:rPr>
        <w:t>’</w:t>
      </w:r>
      <w:r w:rsidRPr="003B1303">
        <w:rPr>
          <w:lang w:val="fr-FR"/>
        </w:rPr>
        <w:t>un défenseur de son choix et, s</w:t>
      </w:r>
      <w:r w:rsidRPr="003B1303" w:rsidR="003B1303">
        <w:rPr>
          <w:lang w:val="fr-FR"/>
        </w:rPr>
        <w:t>’</w:t>
      </w:r>
      <w:r w:rsidRPr="003B1303">
        <w:rPr>
          <w:lang w:val="fr-FR"/>
        </w:rPr>
        <w:t>il n</w:t>
      </w:r>
      <w:r w:rsidRPr="003B1303" w:rsidR="003B1303">
        <w:rPr>
          <w:lang w:val="fr-FR"/>
        </w:rPr>
        <w:t>’</w:t>
      </w:r>
      <w:r w:rsidRPr="003B1303">
        <w:rPr>
          <w:lang w:val="fr-FR"/>
        </w:rPr>
        <w:t>a pas les moyens de rémunérer un défenseur, pouvoir être assisté gratuitement par un avocat d</w:t>
      </w:r>
      <w:r w:rsidRPr="003B1303" w:rsidR="003B1303">
        <w:rPr>
          <w:lang w:val="fr-FR"/>
        </w:rPr>
        <w:t>’</w:t>
      </w:r>
      <w:r w:rsidRPr="003B1303">
        <w:rPr>
          <w:lang w:val="fr-FR"/>
        </w:rPr>
        <w:t>office, lorsque les intérêts de la justice l</w:t>
      </w:r>
      <w:r w:rsidRPr="003B1303" w:rsidR="003B1303">
        <w:rPr>
          <w:lang w:val="fr-FR"/>
        </w:rPr>
        <w:t>’</w:t>
      </w:r>
      <w:r w:rsidRPr="003B1303">
        <w:rPr>
          <w:lang w:val="fr-FR"/>
        </w:rPr>
        <w:t>exigent (...) »</w:t>
      </w:r>
    </w:p>
    <w:p w:rsidRPr="003B1303" w:rsidR="00BE4C83" w:rsidP="003B1303" w:rsidRDefault="007107B2">
      <w:pPr>
        <w:pStyle w:val="ECHRHeading3"/>
        <w:rPr>
          <w:lang w:val="fr-FR"/>
        </w:rPr>
      </w:pPr>
      <w:r w:rsidRPr="003B1303">
        <w:rPr>
          <w:lang w:val="fr-FR"/>
        </w:rPr>
        <w:t>1.  Thèses des parties</w:t>
      </w:r>
    </w:p>
    <w:p w:rsidRPr="003B1303" w:rsidR="00BE4C83" w:rsidP="003B1303" w:rsidRDefault="002A4BBA">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168</w:t>
      </w:r>
      <w:r w:rsidRPr="003B1303">
        <w:rPr>
          <w:lang w:val="fr-FR"/>
        </w:rPr>
        <w:fldChar w:fldCharType="end"/>
      </w:r>
      <w:r w:rsidRPr="003B1303">
        <w:rPr>
          <w:lang w:val="fr-FR"/>
        </w:rPr>
        <w:t>.  </w:t>
      </w:r>
      <w:r w:rsidRPr="003B1303" w:rsidR="001A17C1">
        <w:rPr>
          <w:lang w:val="fr-FR"/>
        </w:rPr>
        <w:t xml:space="preserve">Le Gouvernement </w:t>
      </w:r>
      <w:r w:rsidRPr="003B1303" w:rsidR="00DC4C98">
        <w:rPr>
          <w:lang w:val="fr-FR"/>
        </w:rPr>
        <w:t>soutient que l</w:t>
      </w:r>
      <w:r w:rsidRPr="003B1303" w:rsidR="003B1303">
        <w:rPr>
          <w:lang w:val="fr-FR"/>
        </w:rPr>
        <w:t>’</w:t>
      </w:r>
      <w:r w:rsidRPr="003B1303" w:rsidR="00DC4C98">
        <w:rPr>
          <w:lang w:val="fr-FR"/>
        </w:rPr>
        <w:t xml:space="preserve">admission des aveux </w:t>
      </w:r>
      <w:r w:rsidRPr="003B1303" w:rsidR="00E17130">
        <w:rPr>
          <w:lang w:val="fr-FR"/>
        </w:rPr>
        <w:t xml:space="preserve">des requérants </w:t>
      </w:r>
      <w:r w:rsidRPr="003B1303" w:rsidR="00DC4C98">
        <w:rPr>
          <w:lang w:val="fr-FR"/>
        </w:rPr>
        <w:t xml:space="preserve">au </w:t>
      </w:r>
      <w:r w:rsidRPr="003B1303" w:rsidR="007F57B0">
        <w:rPr>
          <w:lang w:val="fr-FR"/>
        </w:rPr>
        <w:t xml:space="preserve">procès pénal dirigé à leur </w:t>
      </w:r>
      <w:r w:rsidRPr="003B1303" w:rsidR="00DC4C98">
        <w:rPr>
          <w:lang w:val="fr-FR"/>
        </w:rPr>
        <w:t>encontre ne l</w:t>
      </w:r>
      <w:r w:rsidRPr="003B1303" w:rsidR="003B1303">
        <w:rPr>
          <w:lang w:val="fr-FR"/>
        </w:rPr>
        <w:t>’</w:t>
      </w:r>
      <w:r w:rsidRPr="003B1303" w:rsidR="00DC4C98">
        <w:rPr>
          <w:lang w:val="fr-FR"/>
        </w:rPr>
        <w:t>a pas rendu inéquitable.</w:t>
      </w:r>
      <w:r w:rsidRPr="003B1303" w:rsidR="00B67302">
        <w:rPr>
          <w:lang w:val="fr-FR"/>
        </w:rPr>
        <w:t xml:space="preserve"> </w:t>
      </w:r>
      <w:r w:rsidRPr="003B1303" w:rsidR="00DC4C98">
        <w:rPr>
          <w:lang w:val="fr-FR"/>
        </w:rPr>
        <w:t xml:space="preserve">Selon </w:t>
      </w:r>
      <w:r w:rsidRPr="003B1303" w:rsidR="0059214A">
        <w:rPr>
          <w:lang w:val="fr-FR"/>
        </w:rPr>
        <w:t>lui</w:t>
      </w:r>
      <w:r w:rsidRPr="003B1303" w:rsidR="00DC4C98">
        <w:rPr>
          <w:lang w:val="fr-FR"/>
        </w:rPr>
        <w:t xml:space="preserve">, la cour régionale a dûment examiné les allégations des requérants </w:t>
      </w:r>
      <w:r w:rsidRPr="003B1303" w:rsidR="00E17130">
        <w:rPr>
          <w:lang w:val="fr-FR"/>
        </w:rPr>
        <w:t xml:space="preserve">selon lesquelles </w:t>
      </w:r>
      <w:r w:rsidRPr="003B1303" w:rsidR="0059214A">
        <w:rPr>
          <w:lang w:val="fr-FR"/>
        </w:rPr>
        <w:t xml:space="preserve">leurs </w:t>
      </w:r>
      <w:r w:rsidRPr="003B1303" w:rsidR="00E17130">
        <w:rPr>
          <w:lang w:val="fr-FR"/>
        </w:rPr>
        <w:t xml:space="preserve">aveux leur auraient été extorqués sous </w:t>
      </w:r>
      <w:r w:rsidRPr="003B1303" w:rsidR="00470102">
        <w:rPr>
          <w:lang w:val="fr-FR"/>
        </w:rPr>
        <w:t xml:space="preserve">la </w:t>
      </w:r>
      <w:r w:rsidRPr="003B1303" w:rsidR="00E17130">
        <w:rPr>
          <w:lang w:val="fr-FR"/>
        </w:rPr>
        <w:t>contrainte</w:t>
      </w:r>
      <w:r w:rsidRPr="003B1303" w:rsidR="00DC4C98">
        <w:rPr>
          <w:lang w:val="fr-FR"/>
        </w:rPr>
        <w:t xml:space="preserve"> mais les a rejeté</w:t>
      </w:r>
      <w:r w:rsidRPr="003B1303" w:rsidR="0059214A">
        <w:rPr>
          <w:lang w:val="fr-FR"/>
        </w:rPr>
        <w:t>e</w:t>
      </w:r>
      <w:r w:rsidRPr="003B1303" w:rsidR="00DC4C98">
        <w:rPr>
          <w:lang w:val="fr-FR"/>
        </w:rPr>
        <w:t>s comme manifestement mal fondées.</w:t>
      </w:r>
    </w:p>
    <w:p w:rsidRPr="003B1303" w:rsidR="00BE4C83" w:rsidP="003B1303" w:rsidRDefault="00E17130">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169</w:t>
      </w:r>
      <w:r w:rsidRPr="003B1303">
        <w:rPr>
          <w:lang w:val="fr-FR"/>
        </w:rPr>
        <w:fldChar w:fldCharType="end"/>
      </w:r>
      <w:r w:rsidRPr="003B1303">
        <w:rPr>
          <w:lang w:val="fr-FR"/>
        </w:rPr>
        <w:t>.  Le Gouvernement indique dans ce contexte que la procédure pénale russe n</w:t>
      </w:r>
      <w:r w:rsidRPr="003B1303" w:rsidR="003B1303">
        <w:rPr>
          <w:lang w:val="fr-FR"/>
        </w:rPr>
        <w:t>’</w:t>
      </w:r>
      <w:r w:rsidRPr="003B1303">
        <w:rPr>
          <w:lang w:val="fr-FR"/>
        </w:rPr>
        <w:t>exige pas la</w:t>
      </w:r>
      <w:r w:rsidRPr="003B1303" w:rsidR="007F57B0">
        <w:rPr>
          <w:lang w:val="fr-FR"/>
        </w:rPr>
        <w:t xml:space="preserve"> présence d</w:t>
      </w:r>
      <w:r w:rsidRPr="003B1303" w:rsidR="003B1303">
        <w:rPr>
          <w:lang w:val="fr-FR"/>
        </w:rPr>
        <w:t>’</w:t>
      </w:r>
      <w:r w:rsidRPr="003B1303" w:rsidR="007F57B0">
        <w:rPr>
          <w:lang w:val="fr-FR"/>
        </w:rPr>
        <w:t xml:space="preserve">un avocat lors </w:t>
      </w:r>
      <w:r w:rsidRPr="003B1303" w:rsidR="00D73589">
        <w:rPr>
          <w:lang w:val="fr-FR"/>
        </w:rPr>
        <w:t xml:space="preserve">du </w:t>
      </w:r>
      <w:r w:rsidRPr="003B1303" w:rsidR="00C66B63">
        <w:rPr>
          <w:lang w:val="fr-FR"/>
        </w:rPr>
        <w:t xml:space="preserve">dépôt </w:t>
      </w:r>
      <w:r w:rsidRPr="003B1303" w:rsidR="00D73589">
        <w:rPr>
          <w:lang w:val="fr-FR"/>
        </w:rPr>
        <w:t>d</w:t>
      </w:r>
      <w:r w:rsidRPr="003B1303" w:rsidR="003B1303">
        <w:rPr>
          <w:lang w:val="fr-FR"/>
        </w:rPr>
        <w:t>’</w:t>
      </w:r>
      <w:r w:rsidRPr="003B1303" w:rsidR="00D73589">
        <w:rPr>
          <w:lang w:val="fr-FR"/>
        </w:rPr>
        <w:t xml:space="preserve">une déclaration </w:t>
      </w:r>
      <w:r w:rsidRPr="003B1303">
        <w:rPr>
          <w:lang w:val="fr-FR"/>
        </w:rPr>
        <w:t>d</w:t>
      </w:r>
      <w:r w:rsidRPr="003B1303" w:rsidR="003B1303">
        <w:rPr>
          <w:lang w:val="fr-FR"/>
        </w:rPr>
        <w:t>’</w:t>
      </w:r>
      <w:r w:rsidRPr="003B1303">
        <w:rPr>
          <w:lang w:val="fr-FR"/>
        </w:rPr>
        <w:t>aveux et que l</w:t>
      </w:r>
      <w:r w:rsidRPr="003B1303" w:rsidR="003B1303">
        <w:rPr>
          <w:lang w:val="fr-FR"/>
        </w:rPr>
        <w:t>’</w:t>
      </w:r>
      <w:r w:rsidRPr="003B1303">
        <w:rPr>
          <w:lang w:val="fr-FR"/>
        </w:rPr>
        <w:t xml:space="preserve">utilisation </w:t>
      </w:r>
      <w:r w:rsidRPr="003B1303" w:rsidR="0059214A">
        <w:rPr>
          <w:lang w:val="fr-FR"/>
        </w:rPr>
        <w:t>d</w:t>
      </w:r>
      <w:r w:rsidRPr="003B1303" w:rsidR="003B1303">
        <w:rPr>
          <w:lang w:val="fr-FR"/>
        </w:rPr>
        <w:t>’</w:t>
      </w:r>
      <w:r w:rsidRPr="003B1303" w:rsidR="0059214A">
        <w:rPr>
          <w:lang w:val="fr-FR"/>
        </w:rPr>
        <w:t>une telle déclaration</w:t>
      </w:r>
      <w:r w:rsidRPr="003B1303">
        <w:rPr>
          <w:lang w:val="fr-FR"/>
        </w:rPr>
        <w:t xml:space="preserve"> en tant que preuve pendant le procès pénal ne peut être contestée sur la base l</w:t>
      </w:r>
      <w:r w:rsidRPr="003B1303" w:rsidR="003B1303">
        <w:rPr>
          <w:lang w:val="fr-FR"/>
        </w:rPr>
        <w:t>’</w:t>
      </w:r>
      <w:r w:rsidRPr="003B1303">
        <w:rPr>
          <w:lang w:val="fr-FR"/>
        </w:rPr>
        <w:t>article 75 § 1 du CPP (« irrecevabilité de preuves ») pour ce motif. En ce qui concerne le grief du premier requérant quant à l</w:t>
      </w:r>
      <w:r w:rsidRPr="003B1303" w:rsidR="003B1303">
        <w:rPr>
          <w:lang w:val="fr-FR"/>
        </w:rPr>
        <w:t>’</w:t>
      </w:r>
      <w:r w:rsidRPr="003B1303">
        <w:rPr>
          <w:lang w:val="fr-FR"/>
        </w:rPr>
        <w:t xml:space="preserve">impossibilité </w:t>
      </w:r>
      <w:r w:rsidRPr="003B1303" w:rsidR="00D73589">
        <w:rPr>
          <w:lang w:val="fr-FR"/>
        </w:rPr>
        <w:t>d</w:t>
      </w:r>
      <w:r w:rsidRPr="003B1303" w:rsidR="003B1303">
        <w:rPr>
          <w:lang w:val="fr-FR"/>
        </w:rPr>
        <w:t>’</w:t>
      </w:r>
      <w:r w:rsidRPr="003B1303" w:rsidR="00D73589">
        <w:rPr>
          <w:lang w:val="fr-FR"/>
        </w:rPr>
        <w:t>être assisté par les</w:t>
      </w:r>
      <w:r w:rsidRPr="003B1303">
        <w:rPr>
          <w:lang w:val="fr-FR"/>
        </w:rPr>
        <w:t xml:space="preserve"> avocates de son choix lors de </w:t>
      </w:r>
      <w:r w:rsidRPr="003B1303" w:rsidR="00D73589">
        <w:rPr>
          <w:lang w:val="fr-FR"/>
        </w:rPr>
        <w:t xml:space="preserve">son </w:t>
      </w:r>
      <w:r w:rsidRPr="003B1303">
        <w:rPr>
          <w:lang w:val="fr-FR"/>
        </w:rPr>
        <w:t>interrogatoire du 15 avril 2008, le Gouvernement argue</w:t>
      </w:r>
      <w:r w:rsidRPr="003B1303" w:rsidR="00D73589">
        <w:rPr>
          <w:lang w:val="fr-FR"/>
        </w:rPr>
        <w:t xml:space="preserve"> que</w:t>
      </w:r>
      <w:r w:rsidRPr="003B1303">
        <w:rPr>
          <w:lang w:val="fr-FR"/>
        </w:rPr>
        <w:t xml:space="preserve"> </w:t>
      </w:r>
      <w:r w:rsidRPr="003B1303" w:rsidR="00A236D8">
        <w:rPr>
          <w:lang w:val="fr-FR"/>
        </w:rPr>
        <w:t>l</w:t>
      </w:r>
      <w:r w:rsidRPr="003B1303" w:rsidR="003B1303">
        <w:rPr>
          <w:lang w:val="fr-FR"/>
        </w:rPr>
        <w:t>’</w:t>
      </w:r>
      <w:r w:rsidRPr="003B1303" w:rsidR="00A236D8">
        <w:rPr>
          <w:lang w:val="fr-FR"/>
        </w:rPr>
        <w:t>intéressé</w:t>
      </w:r>
      <w:r w:rsidRPr="003B1303">
        <w:rPr>
          <w:lang w:val="fr-FR"/>
        </w:rPr>
        <w:t xml:space="preserve"> a do</w:t>
      </w:r>
      <w:r w:rsidRPr="003B1303" w:rsidR="007F57B0">
        <w:rPr>
          <w:lang w:val="fr-FR"/>
        </w:rPr>
        <w:t xml:space="preserve">nné son accord </w:t>
      </w:r>
      <w:r w:rsidRPr="003B1303" w:rsidR="00D73589">
        <w:rPr>
          <w:lang w:val="fr-FR"/>
        </w:rPr>
        <w:t>pour</w:t>
      </w:r>
      <w:r w:rsidRPr="003B1303" w:rsidR="007F57B0">
        <w:rPr>
          <w:lang w:val="fr-FR"/>
        </w:rPr>
        <w:t xml:space="preserve"> être représenté</w:t>
      </w:r>
      <w:r w:rsidRPr="003B1303">
        <w:rPr>
          <w:lang w:val="fr-FR"/>
        </w:rPr>
        <w:t xml:space="preserve"> par </w:t>
      </w:r>
      <w:r w:rsidRPr="003B1303" w:rsidR="00D73589">
        <w:rPr>
          <w:lang w:val="fr-FR"/>
        </w:rPr>
        <w:t>l</w:t>
      </w:r>
      <w:r w:rsidRPr="003B1303" w:rsidR="003B1303">
        <w:rPr>
          <w:lang w:val="fr-FR"/>
        </w:rPr>
        <w:t>’</w:t>
      </w:r>
      <w:r w:rsidRPr="003B1303">
        <w:rPr>
          <w:lang w:val="fr-FR"/>
        </w:rPr>
        <w:t>avocate commise d</w:t>
      </w:r>
      <w:r w:rsidRPr="003B1303" w:rsidR="003B1303">
        <w:rPr>
          <w:lang w:val="fr-FR"/>
        </w:rPr>
        <w:t>’</w:t>
      </w:r>
      <w:r w:rsidRPr="003B1303">
        <w:rPr>
          <w:lang w:val="fr-FR"/>
        </w:rPr>
        <w:t xml:space="preserve">office Ku. </w:t>
      </w:r>
      <w:proofErr w:type="gramStart"/>
      <w:r w:rsidRPr="003B1303">
        <w:rPr>
          <w:lang w:val="fr-FR"/>
        </w:rPr>
        <w:t>et</w:t>
      </w:r>
      <w:proofErr w:type="gramEnd"/>
      <w:r w:rsidRPr="003B1303">
        <w:rPr>
          <w:lang w:val="fr-FR"/>
        </w:rPr>
        <w:t xml:space="preserve"> que son droit à l</w:t>
      </w:r>
      <w:r w:rsidRPr="003B1303" w:rsidR="003B1303">
        <w:rPr>
          <w:lang w:val="fr-FR"/>
        </w:rPr>
        <w:t>’</w:t>
      </w:r>
      <w:r w:rsidRPr="003B1303">
        <w:rPr>
          <w:lang w:val="fr-FR"/>
        </w:rPr>
        <w:t>assistance juridique a donc été respecté.</w:t>
      </w:r>
    </w:p>
    <w:p w:rsidRPr="003B1303" w:rsidR="006E7E04" w:rsidP="003B1303" w:rsidRDefault="00B67302">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170</w:t>
      </w:r>
      <w:r w:rsidRPr="003B1303">
        <w:rPr>
          <w:lang w:val="fr-FR"/>
        </w:rPr>
        <w:fldChar w:fldCharType="end"/>
      </w:r>
      <w:r w:rsidRPr="003B1303">
        <w:rPr>
          <w:lang w:val="fr-FR"/>
        </w:rPr>
        <w:t>.  Les requérants maintiennent leurs griefs respectifs.</w:t>
      </w:r>
    </w:p>
    <w:p w:rsidRPr="003B1303" w:rsidR="00BE4C83" w:rsidP="003B1303" w:rsidRDefault="00B67302">
      <w:pPr>
        <w:pStyle w:val="ECHRHeading3"/>
        <w:rPr>
          <w:lang w:val="fr-FR"/>
        </w:rPr>
      </w:pPr>
      <w:r w:rsidRPr="003B1303">
        <w:rPr>
          <w:lang w:val="fr-FR"/>
        </w:rPr>
        <w:t>2.  Appréciation de la Cour</w:t>
      </w:r>
    </w:p>
    <w:p w:rsidRPr="003B1303" w:rsidR="0085148A" w:rsidP="003B1303" w:rsidRDefault="00DD1D0E">
      <w:pPr>
        <w:pStyle w:val="ECHRHeading4"/>
        <w:rPr>
          <w:lang w:val="fr-FR"/>
        </w:rPr>
      </w:pPr>
      <w:r w:rsidRPr="003B1303">
        <w:rPr>
          <w:lang w:val="fr-FR"/>
        </w:rPr>
        <w:t>a)  </w:t>
      </w:r>
      <w:r w:rsidRPr="003B1303" w:rsidR="00AE0D6E">
        <w:rPr>
          <w:lang w:val="fr-FR"/>
        </w:rPr>
        <w:t>S</w:t>
      </w:r>
      <w:r w:rsidRPr="003B1303" w:rsidR="00A33020">
        <w:rPr>
          <w:lang w:val="fr-FR"/>
        </w:rPr>
        <w:t>ur la recevabilité</w:t>
      </w:r>
    </w:p>
    <w:p w:rsidRPr="003B1303" w:rsidR="0085148A"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171</w:t>
      </w:r>
      <w:r w:rsidRPr="003B1303">
        <w:rPr>
          <w:lang w:val="fr-FR"/>
        </w:rPr>
        <w:fldChar w:fldCharType="end"/>
      </w:r>
      <w:r w:rsidRPr="003B1303" w:rsidR="00C254EC">
        <w:rPr>
          <w:lang w:val="fr-FR"/>
        </w:rPr>
        <w:t>.</w:t>
      </w:r>
      <w:r w:rsidRPr="003B1303" w:rsidR="005E2BDD">
        <w:rPr>
          <w:lang w:val="fr-FR"/>
        </w:rPr>
        <w:t>  </w:t>
      </w:r>
      <w:r w:rsidRPr="003B1303" w:rsidR="00A33020">
        <w:rPr>
          <w:lang w:val="fr-FR"/>
        </w:rPr>
        <w:t xml:space="preserve">La Cour a conclu </w:t>
      </w:r>
      <w:r w:rsidRPr="003B1303" w:rsidR="00DA4F06">
        <w:rPr>
          <w:lang w:val="fr-FR"/>
        </w:rPr>
        <w:t xml:space="preserve">que les éléments de la présente affaire ne lui permettent pas </w:t>
      </w:r>
      <w:r w:rsidRPr="003B1303" w:rsidR="00FF7456">
        <w:rPr>
          <w:lang w:val="fr-FR"/>
        </w:rPr>
        <w:t>de constater une</w:t>
      </w:r>
      <w:r w:rsidRPr="003B1303" w:rsidR="00DA4F06">
        <w:rPr>
          <w:lang w:val="fr-FR"/>
        </w:rPr>
        <w:t xml:space="preserve"> violation de l</w:t>
      </w:r>
      <w:r w:rsidRPr="003B1303" w:rsidR="003B1303">
        <w:rPr>
          <w:lang w:val="fr-FR"/>
        </w:rPr>
        <w:t>’</w:t>
      </w:r>
      <w:r w:rsidRPr="003B1303" w:rsidR="00DA4F06">
        <w:rPr>
          <w:lang w:val="fr-FR"/>
        </w:rPr>
        <w:t>article 3 de la Convention</w:t>
      </w:r>
      <w:r w:rsidRPr="003B1303" w:rsidR="00FF7456">
        <w:rPr>
          <w:lang w:val="fr-FR"/>
        </w:rPr>
        <w:t xml:space="preserve"> sous son volet matériel</w:t>
      </w:r>
      <w:r w:rsidRPr="003B1303" w:rsidR="001A5F56">
        <w:rPr>
          <w:lang w:val="fr-FR"/>
        </w:rPr>
        <w:t xml:space="preserve"> (paragraphe</w:t>
      </w:r>
      <w:r w:rsidRPr="003B1303" w:rsidR="00310E5A">
        <w:rPr>
          <w:lang w:val="fr-FR"/>
        </w:rPr>
        <w:t xml:space="preserve"> </w:t>
      </w:r>
      <w:r w:rsidRPr="003B1303" w:rsidR="00310E5A">
        <w:rPr>
          <w:lang w:val="fr-FR"/>
        </w:rPr>
        <w:fldChar w:fldCharType="begin"/>
      </w:r>
      <w:r w:rsidRPr="003B1303" w:rsidR="00310E5A">
        <w:rPr>
          <w:lang w:val="fr-FR"/>
        </w:rPr>
        <w:instrText xml:space="preserve"> REF a3concl1 \h </w:instrText>
      </w:r>
      <w:r w:rsidRPr="003B1303" w:rsidR="00C47AAA">
        <w:rPr>
          <w:lang w:val="fr-FR"/>
        </w:rPr>
        <w:instrText xml:space="preserve"> \* MERGEFORMAT </w:instrText>
      </w:r>
      <w:r w:rsidRPr="003B1303" w:rsidR="00310E5A">
        <w:rPr>
          <w:lang w:val="fr-FR"/>
        </w:rPr>
      </w:r>
      <w:r w:rsidRPr="003B1303" w:rsidR="00310E5A">
        <w:rPr>
          <w:lang w:val="fr-FR"/>
        </w:rPr>
        <w:fldChar w:fldCharType="separate"/>
      </w:r>
      <w:r w:rsidR="003B1303">
        <w:rPr>
          <w:noProof/>
          <w:lang w:val="fr-FR"/>
        </w:rPr>
        <w:t>138</w:t>
      </w:r>
      <w:r w:rsidRPr="003B1303" w:rsidR="00310E5A">
        <w:rPr>
          <w:lang w:val="fr-FR"/>
        </w:rPr>
        <w:fldChar w:fldCharType="end"/>
      </w:r>
      <w:r w:rsidRPr="003B1303" w:rsidR="001A5F56">
        <w:rPr>
          <w:lang w:val="fr-FR"/>
        </w:rPr>
        <w:t xml:space="preserve"> ci</w:t>
      </w:r>
      <w:r w:rsidRPr="003B1303" w:rsidR="001A5F56">
        <w:rPr>
          <w:lang w:val="fr-FR"/>
        </w:rPr>
        <w:noBreakHyphen/>
        <w:t>dessus)</w:t>
      </w:r>
      <w:r w:rsidRPr="003B1303" w:rsidR="00DA4F06">
        <w:rPr>
          <w:lang w:val="fr-FR"/>
        </w:rPr>
        <w:t>.</w:t>
      </w:r>
      <w:r w:rsidRPr="003B1303" w:rsidDel="00C254EC" w:rsidR="00DA4F06">
        <w:rPr>
          <w:lang w:val="fr-FR"/>
        </w:rPr>
        <w:t xml:space="preserve"> </w:t>
      </w:r>
      <w:r w:rsidRPr="003B1303" w:rsidR="00FF7456">
        <w:rPr>
          <w:lang w:val="fr-FR"/>
        </w:rPr>
        <w:t>Par conséquent, elle n</w:t>
      </w:r>
      <w:r w:rsidRPr="003B1303" w:rsidR="003B1303">
        <w:rPr>
          <w:lang w:val="fr-FR"/>
        </w:rPr>
        <w:t>’</w:t>
      </w:r>
      <w:r w:rsidRPr="003B1303" w:rsidR="00FF7456">
        <w:rPr>
          <w:lang w:val="fr-FR"/>
        </w:rPr>
        <w:t>est pas en mesure de conclure que les déclarations des requérants faites lors de la phase de l</w:t>
      </w:r>
      <w:r w:rsidRPr="003B1303" w:rsidR="003B1303">
        <w:rPr>
          <w:lang w:val="fr-FR"/>
        </w:rPr>
        <w:t>’</w:t>
      </w:r>
      <w:r w:rsidRPr="003B1303" w:rsidR="00FF7456">
        <w:rPr>
          <w:lang w:val="fr-FR"/>
        </w:rPr>
        <w:t xml:space="preserve">enquête pénale ont été obtenues </w:t>
      </w:r>
      <w:r w:rsidRPr="003B1303" w:rsidR="00873859">
        <w:rPr>
          <w:lang w:val="fr-FR"/>
        </w:rPr>
        <w:t xml:space="preserve">sous </w:t>
      </w:r>
      <w:r w:rsidRPr="003B1303" w:rsidR="00FF7456">
        <w:rPr>
          <w:lang w:val="fr-FR"/>
        </w:rPr>
        <w:t>la contrainte.</w:t>
      </w:r>
    </w:p>
    <w:p w:rsidRPr="003B1303" w:rsidR="0085148A" w:rsidP="003B1303" w:rsidRDefault="00310E5A">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172</w:t>
      </w:r>
      <w:r w:rsidRPr="003B1303">
        <w:rPr>
          <w:lang w:val="fr-FR"/>
        </w:rPr>
        <w:fldChar w:fldCharType="end"/>
      </w:r>
      <w:r w:rsidRPr="003B1303">
        <w:rPr>
          <w:lang w:val="fr-FR"/>
        </w:rPr>
        <w:t>.  </w:t>
      </w:r>
      <w:r w:rsidRPr="003B1303" w:rsidR="00210341">
        <w:rPr>
          <w:lang w:val="fr-FR"/>
        </w:rPr>
        <w:t>La</w:t>
      </w:r>
      <w:r w:rsidRPr="003B1303" w:rsidR="00606944">
        <w:rPr>
          <w:lang w:val="fr-FR"/>
        </w:rPr>
        <w:t xml:space="preserve"> Cour note que </w:t>
      </w:r>
      <w:r w:rsidRPr="003B1303" w:rsidR="005C61A7">
        <w:rPr>
          <w:lang w:val="fr-FR"/>
        </w:rPr>
        <w:t>les requérant</w:t>
      </w:r>
      <w:r w:rsidRPr="003B1303" w:rsidR="00210341">
        <w:rPr>
          <w:lang w:val="fr-FR"/>
        </w:rPr>
        <w:t>s</w:t>
      </w:r>
      <w:r w:rsidRPr="003B1303" w:rsidR="005C61A7">
        <w:rPr>
          <w:lang w:val="fr-FR"/>
        </w:rPr>
        <w:t xml:space="preserve"> ont pu </w:t>
      </w:r>
      <w:r w:rsidRPr="003B1303" w:rsidR="005F1DCC">
        <w:rPr>
          <w:lang w:val="fr-FR"/>
        </w:rPr>
        <w:t xml:space="preserve">contester </w:t>
      </w:r>
      <w:r w:rsidRPr="003B1303" w:rsidR="005C61A7">
        <w:rPr>
          <w:lang w:val="fr-FR"/>
        </w:rPr>
        <w:t>l</w:t>
      </w:r>
      <w:r w:rsidRPr="003B1303" w:rsidR="003B1303">
        <w:rPr>
          <w:lang w:val="fr-FR"/>
        </w:rPr>
        <w:t>’</w:t>
      </w:r>
      <w:r w:rsidRPr="003B1303" w:rsidR="005C61A7">
        <w:rPr>
          <w:lang w:val="fr-FR"/>
        </w:rPr>
        <w:t xml:space="preserve">admissibilité </w:t>
      </w:r>
      <w:r w:rsidRPr="003B1303" w:rsidR="00210341">
        <w:rPr>
          <w:lang w:val="fr-FR"/>
        </w:rPr>
        <w:t>de leurs déclarations faites au stade de l</w:t>
      </w:r>
      <w:r w:rsidRPr="003B1303" w:rsidR="003B1303">
        <w:rPr>
          <w:lang w:val="fr-FR"/>
        </w:rPr>
        <w:t>’</w:t>
      </w:r>
      <w:r w:rsidRPr="003B1303" w:rsidR="00210341">
        <w:rPr>
          <w:lang w:val="fr-FR"/>
        </w:rPr>
        <w:t>enquête au motif qu</w:t>
      </w:r>
      <w:r w:rsidRPr="003B1303" w:rsidR="003B1303">
        <w:rPr>
          <w:lang w:val="fr-FR"/>
        </w:rPr>
        <w:t>’</w:t>
      </w:r>
      <w:r w:rsidRPr="003B1303" w:rsidR="00210341">
        <w:rPr>
          <w:lang w:val="fr-FR"/>
        </w:rPr>
        <w:t>elles leur auraient été extorqué</w:t>
      </w:r>
      <w:r w:rsidRPr="003B1303" w:rsidR="004B28BF">
        <w:rPr>
          <w:lang w:val="fr-FR"/>
        </w:rPr>
        <w:t>e</w:t>
      </w:r>
      <w:r w:rsidRPr="003B1303" w:rsidR="00210341">
        <w:rPr>
          <w:lang w:val="fr-FR"/>
        </w:rPr>
        <w:t xml:space="preserve">s </w:t>
      </w:r>
      <w:r w:rsidRPr="003B1303" w:rsidR="00FF7456">
        <w:rPr>
          <w:lang w:val="fr-FR"/>
        </w:rPr>
        <w:t>par la</w:t>
      </w:r>
      <w:r w:rsidRPr="003B1303" w:rsidR="00210341">
        <w:rPr>
          <w:lang w:val="fr-FR"/>
        </w:rPr>
        <w:t xml:space="preserve"> coercition</w:t>
      </w:r>
      <w:r w:rsidRPr="003B1303" w:rsidR="00573704">
        <w:rPr>
          <w:lang w:val="fr-FR"/>
        </w:rPr>
        <w:t xml:space="preserve">. À ce titre, ils ont eu </w:t>
      </w:r>
      <w:r w:rsidRPr="003B1303" w:rsidR="00BC6135">
        <w:rPr>
          <w:lang w:val="fr-FR"/>
        </w:rPr>
        <w:t xml:space="preserve">effectivement </w:t>
      </w:r>
      <w:r w:rsidRPr="003B1303" w:rsidR="00573704">
        <w:rPr>
          <w:lang w:val="fr-FR"/>
        </w:rPr>
        <w:t>l</w:t>
      </w:r>
      <w:r w:rsidRPr="003B1303" w:rsidR="003B1303">
        <w:rPr>
          <w:lang w:val="fr-FR"/>
        </w:rPr>
        <w:t>’</w:t>
      </w:r>
      <w:r w:rsidRPr="003B1303" w:rsidR="00573704">
        <w:rPr>
          <w:lang w:val="fr-FR"/>
        </w:rPr>
        <w:t>occasion d</w:t>
      </w:r>
      <w:r w:rsidRPr="003B1303" w:rsidR="003B1303">
        <w:rPr>
          <w:lang w:val="fr-FR"/>
        </w:rPr>
        <w:t>’</w:t>
      </w:r>
      <w:r w:rsidRPr="003B1303" w:rsidR="005C61A7">
        <w:rPr>
          <w:lang w:val="fr-FR"/>
        </w:rPr>
        <w:t>en demande</w:t>
      </w:r>
      <w:r w:rsidRPr="003B1303" w:rsidR="00573704">
        <w:rPr>
          <w:lang w:val="fr-FR"/>
        </w:rPr>
        <w:t>r</w:t>
      </w:r>
      <w:r w:rsidRPr="003B1303" w:rsidR="005C61A7">
        <w:rPr>
          <w:lang w:val="fr-FR"/>
        </w:rPr>
        <w:t xml:space="preserve"> </w:t>
      </w:r>
      <w:r w:rsidRPr="003B1303" w:rsidR="004B28BF">
        <w:rPr>
          <w:lang w:val="fr-FR"/>
        </w:rPr>
        <w:t>l</w:t>
      </w:r>
      <w:r w:rsidRPr="003B1303" w:rsidR="003B1303">
        <w:rPr>
          <w:lang w:val="fr-FR"/>
        </w:rPr>
        <w:t>’</w:t>
      </w:r>
      <w:r w:rsidRPr="003B1303" w:rsidR="005C61A7">
        <w:rPr>
          <w:lang w:val="fr-FR"/>
        </w:rPr>
        <w:t xml:space="preserve">exclusion </w:t>
      </w:r>
      <w:r w:rsidRPr="003B1303" w:rsidR="00573704">
        <w:rPr>
          <w:lang w:val="fr-FR"/>
        </w:rPr>
        <w:t>du procès</w:t>
      </w:r>
      <w:r w:rsidRPr="003B1303" w:rsidR="001A5F56">
        <w:rPr>
          <w:lang w:val="fr-FR"/>
        </w:rPr>
        <w:t xml:space="preserve">. </w:t>
      </w:r>
      <w:r w:rsidRPr="003B1303" w:rsidR="004B28BF">
        <w:rPr>
          <w:lang w:val="fr-FR"/>
        </w:rPr>
        <w:t>Elle constate que, p</w:t>
      </w:r>
      <w:r w:rsidRPr="003B1303" w:rsidR="008F0E50">
        <w:rPr>
          <w:lang w:val="fr-FR"/>
        </w:rPr>
        <w:t>ar son ordonnance de procédure du 27</w:t>
      </w:r>
      <w:r w:rsidRPr="003B1303" w:rsidR="00C32045">
        <w:rPr>
          <w:lang w:val="fr-FR"/>
        </w:rPr>
        <w:t> </w:t>
      </w:r>
      <w:r w:rsidRPr="003B1303" w:rsidR="008F0E50">
        <w:rPr>
          <w:lang w:val="fr-FR"/>
        </w:rPr>
        <w:t>janvier 2011, la juge de première instance a rejeté lesdites demandes au motif que les allégations de mauvais traitement</w:t>
      </w:r>
      <w:r w:rsidRPr="003B1303" w:rsidR="00C32045">
        <w:rPr>
          <w:lang w:val="fr-FR"/>
        </w:rPr>
        <w:t>s</w:t>
      </w:r>
      <w:r w:rsidRPr="003B1303" w:rsidR="008F0E50">
        <w:rPr>
          <w:lang w:val="fr-FR"/>
        </w:rPr>
        <w:t xml:space="preserve"> étaient </w:t>
      </w:r>
      <w:r w:rsidRPr="003B1303" w:rsidR="00FF7456">
        <w:rPr>
          <w:lang w:val="fr-FR"/>
        </w:rPr>
        <w:t>in</w:t>
      </w:r>
      <w:r w:rsidRPr="003B1303" w:rsidR="001306C4">
        <w:rPr>
          <w:lang w:val="fr-FR"/>
        </w:rPr>
        <w:t xml:space="preserve">fondées </w:t>
      </w:r>
      <w:r w:rsidRPr="003B1303" w:rsidR="008F0E50">
        <w:rPr>
          <w:lang w:val="fr-FR"/>
        </w:rPr>
        <w:t xml:space="preserve">(paragraphes </w:t>
      </w:r>
      <w:r w:rsidRPr="003B1303" w:rsidR="008F0E50">
        <w:rPr>
          <w:lang w:val="fr-FR"/>
        </w:rPr>
        <w:fldChar w:fldCharType="begin"/>
      </w:r>
      <w:r w:rsidRPr="003B1303" w:rsidR="008F0E50">
        <w:rPr>
          <w:lang w:val="fr-FR"/>
        </w:rPr>
        <w:instrText xml:space="preserve"> REF ord27jmot \h  \* MERGEFORMAT </w:instrText>
      </w:r>
      <w:r w:rsidRPr="003B1303" w:rsidR="008F0E50">
        <w:rPr>
          <w:lang w:val="fr-FR"/>
        </w:rPr>
      </w:r>
      <w:r w:rsidRPr="003B1303" w:rsidR="008F0E50">
        <w:rPr>
          <w:lang w:val="fr-FR"/>
        </w:rPr>
        <w:fldChar w:fldCharType="separate"/>
      </w:r>
      <w:r w:rsidR="003B1303">
        <w:rPr>
          <w:lang w:val="fr-FR"/>
        </w:rPr>
        <w:t>88</w:t>
      </w:r>
      <w:r w:rsidRPr="003B1303" w:rsidR="008F0E50">
        <w:rPr>
          <w:lang w:val="fr-FR"/>
        </w:rPr>
        <w:fldChar w:fldCharType="end"/>
      </w:r>
      <w:r w:rsidRPr="003B1303" w:rsidR="008F0E50">
        <w:rPr>
          <w:lang w:val="fr-FR"/>
        </w:rPr>
        <w:noBreakHyphen/>
      </w:r>
      <w:r w:rsidRPr="003B1303" w:rsidR="008F0E50">
        <w:rPr>
          <w:lang w:val="fr-FR"/>
        </w:rPr>
        <w:fldChar w:fldCharType="begin"/>
      </w:r>
      <w:r w:rsidRPr="003B1303" w:rsidR="008F0E50">
        <w:rPr>
          <w:lang w:val="fr-FR"/>
        </w:rPr>
        <w:instrText xml:space="preserve"> REF ord27jmot1 \h  \* MERGEFORMAT </w:instrText>
      </w:r>
      <w:r w:rsidRPr="003B1303" w:rsidR="008F0E50">
        <w:rPr>
          <w:lang w:val="fr-FR"/>
        </w:rPr>
      </w:r>
      <w:r w:rsidRPr="003B1303" w:rsidR="008F0E50">
        <w:rPr>
          <w:lang w:val="fr-FR"/>
        </w:rPr>
        <w:fldChar w:fldCharType="separate"/>
      </w:r>
      <w:r w:rsidR="003B1303">
        <w:rPr>
          <w:lang w:val="fr-FR"/>
        </w:rPr>
        <w:t>89</w:t>
      </w:r>
      <w:r w:rsidRPr="003B1303" w:rsidR="008F0E50">
        <w:rPr>
          <w:lang w:val="fr-FR"/>
        </w:rPr>
        <w:fldChar w:fldCharType="end"/>
      </w:r>
      <w:r w:rsidRPr="003B1303" w:rsidR="008F0E50">
        <w:rPr>
          <w:lang w:val="fr-FR"/>
        </w:rPr>
        <w:t xml:space="preserve"> ci</w:t>
      </w:r>
      <w:r w:rsidRPr="003B1303" w:rsidR="008F0E50">
        <w:rPr>
          <w:lang w:val="fr-FR"/>
        </w:rPr>
        <w:noBreakHyphen/>
        <w:t>dessus).</w:t>
      </w:r>
    </w:p>
    <w:p w:rsidRPr="003B1303" w:rsidR="00A33020" w:rsidP="003B1303" w:rsidRDefault="00310E5A">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173</w:t>
      </w:r>
      <w:r w:rsidRPr="003B1303">
        <w:rPr>
          <w:lang w:val="fr-FR"/>
        </w:rPr>
        <w:fldChar w:fldCharType="end"/>
      </w:r>
      <w:r w:rsidRPr="003B1303">
        <w:rPr>
          <w:lang w:val="fr-FR"/>
        </w:rPr>
        <w:t>.  </w:t>
      </w:r>
      <w:r w:rsidRPr="003B1303" w:rsidR="008F0E50">
        <w:rPr>
          <w:lang w:val="fr-FR"/>
        </w:rPr>
        <w:t>La Cour rappelle qu</w:t>
      </w:r>
      <w:r w:rsidRPr="003B1303" w:rsidR="003B1303">
        <w:rPr>
          <w:lang w:val="fr-FR"/>
        </w:rPr>
        <w:t>’</w:t>
      </w:r>
      <w:r w:rsidRPr="003B1303" w:rsidR="008F0E50">
        <w:rPr>
          <w:lang w:val="fr-FR"/>
        </w:rPr>
        <w:t>il revient en principe aux juridictions nationales d</w:t>
      </w:r>
      <w:r w:rsidRPr="003B1303" w:rsidR="003B1303">
        <w:rPr>
          <w:lang w:val="fr-FR"/>
        </w:rPr>
        <w:t>’</w:t>
      </w:r>
      <w:r w:rsidRPr="003B1303" w:rsidR="008F0E50">
        <w:rPr>
          <w:lang w:val="fr-FR"/>
        </w:rPr>
        <w:t>apprécier les éléments rassemblés par elles (</w:t>
      </w:r>
      <w:r w:rsidRPr="003B1303" w:rsidR="008F0E50">
        <w:rPr>
          <w:i/>
          <w:lang w:val="fr-FR"/>
        </w:rPr>
        <w:t>Vidal c. Belgique</w:t>
      </w:r>
      <w:r w:rsidRPr="003B1303" w:rsidR="008F0E50">
        <w:rPr>
          <w:lang w:val="fr-FR"/>
        </w:rPr>
        <w:t>, 22 avril 1992, § 33, série A n</w:t>
      </w:r>
      <w:r w:rsidRPr="003B1303" w:rsidR="008F0E50">
        <w:rPr>
          <w:vertAlign w:val="superscript"/>
          <w:lang w:val="fr-FR"/>
        </w:rPr>
        <w:t>o</w:t>
      </w:r>
      <w:r w:rsidRPr="003B1303" w:rsidR="008F0E50">
        <w:rPr>
          <w:lang w:val="fr-FR"/>
        </w:rPr>
        <w:t> 235</w:t>
      </w:r>
      <w:r w:rsidRPr="003B1303" w:rsidR="008F0E50">
        <w:rPr>
          <w:lang w:val="fr-FR"/>
        </w:rPr>
        <w:noBreakHyphen/>
        <w:t xml:space="preserve">B). </w:t>
      </w:r>
      <w:r w:rsidRPr="003B1303" w:rsidR="00B742E8">
        <w:rPr>
          <w:lang w:val="fr-FR"/>
        </w:rPr>
        <w:t>Elle</w:t>
      </w:r>
      <w:r w:rsidRPr="003B1303" w:rsidR="008F0E50">
        <w:rPr>
          <w:lang w:val="fr-FR"/>
        </w:rPr>
        <w:t xml:space="preserve"> n</w:t>
      </w:r>
      <w:r w:rsidRPr="003B1303" w:rsidR="003B1303">
        <w:rPr>
          <w:lang w:val="fr-FR"/>
        </w:rPr>
        <w:t>’</w:t>
      </w:r>
      <w:r w:rsidRPr="003B1303" w:rsidR="008F0E50">
        <w:rPr>
          <w:lang w:val="fr-FR"/>
        </w:rPr>
        <w:t>a pas à s</w:t>
      </w:r>
      <w:r w:rsidRPr="003B1303" w:rsidR="003B1303">
        <w:rPr>
          <w:lang w:val="fr-FR"/>
        </w:rPr>
        <w:t>’</w:t>
      </w:r>
      <w:r w:rsidRPr="003B1303" w:rsidR="008F0E50">
        <w:rPr>
          <w:lang w:val="fr-FR"/>
        </w:rPr>
        <w:t>ériger en juge de quatrième instance et les juridictions internes sont</w:t>
      </w:r>
      <w:r w:rsidRPr="003B1303" w:rsidR="001306C4">
        <w:rPr>
          <w:lang w:val="fr-FR"/>
        </w:rPr>
        <w:t xml:space="preserve"> </w:t>
      </w:r>
      <w:r w:rsidRPr="003B1303" w:rsidR="008F0E50">
        <w:rPr>
          <w:lang w:val="fr-FR"/>
        </w:rPr>
        <w:t>mieux placées</w:t>
      </w:r>
      <w:r w:rsidRPr="003B1303" w:rsidR="001306C4">
        <w:rPr>
          <w:lang w:val="fr-FR"/>
        </w:rPr>
        <w:t xml:space="preserve"> </w:t>
      </w:r>
      <w:r w:rsidRPr="003B1303" w:rsidR="008F0E50">
        <w:rPr>
          <w:lang w:val="fr-FR"/>
        </w:rPr>
        <w:t>pour apprécier l</w:t>
      </w:r>
      <w:r w:rsidRPr="003B1303" w:rsidR="00FF7456">
        <w:rPr>
          <w:lang w:val="fr-FR"/>
        </w:rPr>
        <w:t>es preuves et</w:t>
      </w:r>
      <w:r w:rsidRPr="003B1303" w:rsidR="00B742E8">
        <w:rPr>
          <w:lang w:val="fr-FR"/>
        </w:rPr>
        <w:t>,</w:t>
      </w:r>
      <w:r w:rsidRPr="003B1303" w:rsidR="00FF7456">
        <w:rPr>
          <w:lang w:val="fr-FR"/>
        </w:rPr>
        <w:t xml:space="preserve"> notamment, la</w:t>
      </w:r>
      <w:r w:rsidRPr="003B1303" w:rsidR="008F0E50">
        <w:rPr>
          <w:lang w:val="fr-FR"/>
        </w:rPr>
        <w:t xml:space="preserve"> crédibilité de</w:t>
      </w:r>
      <w:r w:rsidRPr="003B1303" w:rsidR="00B742E8">
        <w:rPr>
          <w:lang w:val="fr-FR"/>
        </w:rPr>
        <w:t>s</w:t>
      </w:r>
      <w:r w:rsidRPr="003B1303" w:rsidR="008F0E50">
        <w:rPr>
          <w:lang w:val="fr-FR"/>
        </w:rPr>
        <w:t xml:space="preserve"> témoins. Dans le cas d</w:t>
      </w:r>
      <w:r w:rsidRPr="003B1303" w:rsidR="003B1303">
        <w:rPr>
          <w:lang w:val="fr-FR"/>
        </w:rPr>
        <w:t>’</w:t>
      </w:r>
      <w:r w:rsidRPr="003B1303" w:rsidR="008F0E50">
        <w:rPr>
          <w:lang w:val="fr-FR"/>
        </w:rPr>
        <w:t xml:space="preserve">espèce, en </w:t>
      </w:r>
      <w:r w:rsidRPr="003B1303" w:rsidR="004A5046">
        <w:rPr>
          <w:lang w:val="fr-FR"/>
        </w:rPr>
        <w:t xml:space="preserve">rejetant </w:t>
      </w:r>
      <w:r w:rsidRPr="003B1303" w:rsidR="00606944">
        <w:rPr>
          <w:lang w:val="fr-FR"/>
        </w:rPr>
        <w:t>les allégations de mauvais traitements formulées par les requérants</w:t>
      </w:r>
      <w:r w:rsidRPr="003B1303" w:rsidR="00D10F1E">
        <w:rPr>
          <w:lang w:val="fr-FR"/>
        </w:rPr>
        <w:t>,</w:t>
      </w:r>
      <w:r w:rsidRPr="003B1303" w:rsidR="004A5046">
        <w:rPr>
          <w:lang w:val="fr-FR"/>
        </w:rPr>
        <w:t xml:space="preserve"> </w:t>
      </w:r>
      <w:r w:rsidRPr="003B1303" w:rsidR="00845E8A">
        <w:rPr>
          <w:lang w:val="fr-FR"/>
        </w:rPr>
        <w:t>la juge</w:t>
      </w:r>
      <w:r w:rsidRPr="003B1303" w:rsidR="004A5046">
        <w:rPr>
          <w:lang w:val="fr-FR"/>
        </w:rPr>
        <w:t xml:space="preserve"> ne s</w:t>
      </w:r>
      <w:r w:rsidRPr="003B1303" w:rsidR="003B1303">
        <w:rPr>
          <w:lang w:val="fr-FR"/>
        </w:rPr>
        <w:t>’</w:t>
      </w:r>
      <w:r w:rsidRPr="003B1303" w:rsidR="004A5046">
        <w:rPr>
          <w:lang w:val="fr-FR"/>
        </w:rPr>
        <w:t>est pas simplement référée aux refus d</w:t>
      </w:r>
      <w:r w:rsidRPr="003B1303" w:rsidR="003B1303">
        <w:rPr>
          <w:lang w:val="fr-FR"/>
        </w:rPr>
        <w:t>’</w:t>
      </w:r>
      <w:r w:rsidRPr="003B1303" w:rsidR="004A5046">
        <w:rPr>
          <w:lang w:val="fr-FR"/>
        </w:rPr>
        <w:t>ouvrir une enquête pénale adoptés à la suite des vérifications préliminaires</w:t>
      </w:r>
      <w:r w:rsidRPr="003B1303" w:rsidR="00D10F1E">
        <w:rPr>
          <w:lang w:val="fr-FR"/>
        </w:rPr>
        <w:t>,</w:t>
      </w:r>
      <w:r w:rsidRPr="003B1303" w:rsidR="004A5046">
        <w:rPr>
          <w:lang w:val="fr-FR"/>
        </w:rPr>
        <w:t xml:space="preserve"> comme </w:t>
      </w:r>
      <w:r w:rsidRPr="003B1303" w:rsidR="00845E8A">
        <w:rPr>
          <w:lang w:val="fr-FR"/>
        </w:rPr>
        <w:t>c</w:t>
      </w:r>
      <w:r w:rsidRPr="003B1303" w:rsidR="003B1303">
        <w:rPr>
          <w:lang w:val="fr-FR"/>
        </w:rPr>
        <w:t>’</w:t>
      </w:r>
      <w:r w:rsidRPr="003B1303" w:rsidR="00845E8A">
        <w:rPr>
          <w:lang w:val="fr-FR"/>
        </w:rPr>
        <w:t xml:space="preserve">était le cas </w:t>
      </w:r>
      <w:r w:rsidRPr="003B1303" w:rsidR="004A5046">
        <w:rPr>
          <w:lang w:val="fr-FR"/>
        </w:rPr>
        <w:t>dans d</w:t>
      </w:r>
      <w:r w:rsidRPr="003B1303" w:rsidR="003B1303">
        <w:rPr>
          <w:lang w:val="fr-FR"/>
        </w:rPr>
        <w:t>’</w:t>
      </w:r>
      <w:r w:rsidRPr="003B1303" w:rsidR="004A5046">
        <w:rPr>
          <w:lang w:val="fr-FR"/>
        </w:rPr>
        <w:t xml:space="preserve">autres affaires de ce type </w:t>
      </w:r>
      <w:r w:rsidRPr="003B1303" w:rsidR="00772FC9">
        <w:rPr>
          <w:lang w:val="fr-FR"/>
        </w:rPr>
        <w:t xml:space="preserve">que </w:t>
      </w:r>
      <w:r w:rsidRPr="003B1303" w:rsidR="00845E8A">
        <w:rPr>
          <w:lang w:val="fr-FR"/>
        </w:rPr>
        <w:t>la Cour</w:t>
      </w:r>
      <w:r w:rsidRPr="003B1303" w:rsidR="004A5046">
        <w:rPr>
          <w:lang w:val="fr-FR"/>
        </w:rPr>
        <w:t xml:space="preserve"> a eu l</w:t>
      </w:r>
      <w:r w:rsidRPr="003B1303" w:rsidR="003B1303">
        <w:rPr>
          <w:lang w:val="fr-FR"/>
        </w:rPr>
        <w:t>’</w:t>
      </w:r>
      <w:r w:rsidRPr="003B1303" w:rsidR="004A5046">
        <w:rPr>
          <w:lang w:val="fr-FR"/>
        </w:rPr>
        <w:t>occasion d</w:t>
      </w:r>
      <w:r w:rsidRPr="003B1303" w:rsidR="003B1303">
        <w:rPr>
          <w:lang w:val="fr-FR"/>
        </w:rPr>
        <w:t>’</w:t>
      </w:r>
      <w:r w:rsidRPr="003B1303" w:rsidR="004A5046">
        <w:rPr>
          <w:lang w:val="fr-FR"/>
        </w:rPr>
        <w:t>examiner (voir, à titre d</w:t>
      </w:r>
      <w:r w:rsidRPr="003B1303" w:rsidR="003B1303">
        <w:rPr>
          <w:lang w:val="fr-FR"/>
        </w:rPr>
        <w:t>’</w:t>
      </w:r>
      <w:r w:rsidRPr="003B1303" w:rsidR="004A5046">
        <w:rPr>
          <w:lang w:val="fr-FR"/>
        </w:rPr>
        <w:t xml:space="preserve">exemple, </w:t>
      </w:r>
      <w:proofErr w:type="spellStart"/>
      <w:r w:rsidRPr="003B1303" w:rsidR="002F1359">
        <w:rPr>
          <w:i/>
          <w:lang w:val="fr-FR"/>
        </w:rPr>
        <w:t>Abdulkadyrov</w:t>
      </w:r>
      <w:proofErr w:type="spellEnd"/>
      <w:r w:rsidRPr="003B1303" w:rsidR="002F1359">
        <w:rPr>
          <w:i/>
          <w:lang w:val="fr-FR"/>
        </w:rPr>
        <w:t xml:space="preserve"> et </w:t>
      </w:r>
      <w:proofErr w:type="spellStart"/>
      <w:r w:rsidRPr="003B1303" w:rsidR="002F1359">
        <w:rPr>
          <w:i/>
          <w:lang w:val="fr-FR"/>
        </w:rPr>
        <w:t>Dakhtayev</w:t>
      </w:r>
      <w:proofErr w:type="spellEnd"/>
      <w:r w:rsidRPr="003B1303" w:rsidR="002F1359">
        <w:rPr>
          <w:i/>
          <w:lang w:val="fr-FR"/>
        </w:rPr>
        <w:t xml:space="preserve"> c. Russie</w:t>
      </w:r>
      <w:r w:rsidRPr="003B1303" w:rsidR="002F1359">
        <w:rPr>
          <w:lang w:val="fr-FR"/>
        </w:rPr>
        <w:t>, n</w:t>
      </w:r>
      <w:r w:rsidRPr="003B1303" w:rsidR="002F1359">
        <w:rPr>
          <w:vertAlign w:val="superscript"/>
          <w:lang w:val="fr-FR"/>
        </w:rPr>
        <w:t>o</w:t>
      </w:r>
      <w:r w:rsidRPr="003B1303" w:rsidR="002F1359">
        <w:rPr>
          <w:lang w:val="fr-FR"/>
        </w:rPr>
        <w:t xml:space="preserve"> 35061/04, § 79, 10 juillet 2018, </w:t>
      </w:r>
      <w:r w:rsidRPr="003B1303" w:rsidR="00772FC9">
        <w:rPr>
          <w:lang w:val="fr-FR"/>
        </w:rPr>
        <w:t xml:space="preserve">et </w:t>
      </w:r>
      <w:proofErr w:type="spellStart"/>
      <w:r w:rsidRPr="003B1303" w:rsidR="004A5046">
        <w:rPr>
          <w:i/>
          <w:lang w:val="fr-FR"/>
        </w:rPr>
        <w:t>Turbylev</w:t>
      </w:r>
      <w:proofErr w:type="spellEnd"/>
      <w:r w:rsidRPr="003B1303" w:rsidR="00EF502D">
        <w:rPr>
          <w:lang w:val="fr-FR"/>
        </w:rPr>
        <w:t>, précité</w:t>
      </w:r>
      <w:r w:rsidRPr="003B1303" w:rsidR="004A5046">
        <w:rPr>
          <w:lang w:val="fr-FR"/>
        </w:rPr>
        <w:t xml:space="preserve">, § 87). </w:t>
      </w:r>
      <w:r w:rsidRPr="003B1303" w:rsidR="00845E8A">
        <w:rPr>
          <w:lang w:val="fr-FR"/>
        </w:rPr>
        <w:t xml:space="preserve">La </w:t>
      </w:r>
      <w:r w:rsidRPr="003B1303" w:rsidR="00772FC9">
        <w:rPr>
          <w:lang w:val="fr-FR"/>
        </w:rPr>
        <w:t xml:space="preserve">Cour relève que la </w:t>
      </w:r>
      <w:r w:rsidRPr="003B1303" w:rsidR="00845E8A">
        <w:rPr>
          <w:lang w:val="fr-FR"/>
        </w:rPr>
        <w:t xml:space="preserve">juge </w:t>
      </w:r>
      <w:r w:rsidRPr="003B1303" w:rsidR="004A5046">
        <w:rPr>
          <w:lang w:val="fr-FR"/>
        </w:rPr>
        <w:t>a accédé aux demandes de la défense d</w:t>
      </w:r>
      <w:r w:rsidRPr="003B1303" w:rsidR="003B1303">
        <w:rPr>
          <w:lang w:val="fr-FR"/>
        </w:rPr>
        <w:t>’</w:t>
      </w:r>
      <w:r w:rsidRPr="003B1303" w:rsidR="004A5046">
        <w:rPr>
          <w:lang w:val="fr-FR"/>
        </w:rPr>
        <w:t xml:space="preserve">auditionner des témoins </w:t>
      </w:r>
      <w:r w:rsidRPr="003B1303" w:rsidR="00845E8A">
        <w:rPr>
          <w:lang w:val="fr-FR"/>
        </w:rPr>
        <w:t xml:space="preserve">qui auraient pu étayer </w:t>
      </w:r>
      <w:r w:rsidRPr="003B1303" w:rsidR="004A5046">
        <w:rPr>
          <w:lang w:val="fr-FR"/>
        </w:rPr>
        <w:t>les allégations de mauvais traitements</w:t>
      </w:r>
      <w:r w:rsidRPr="003B1303" w:rsidR="00845E8A">
        <w:rPr>
          <w:lang w:val="fr-FR"/>
        </w:rPr>
        <w:t xml:space="preserve"> formulées par les intéressés</w:t>
      </w:r>
      <w:r w:rsidRPr="003B1303" w:rsidR="00210341">
        <w:rPr>
          <w:lang w:val="fr-FR"/>
        </w:rPr>
        <w:t xml:space="preserve"> et</w:t>
      </w:r>
      <w:r w:rsidRPr="003B1303" w:rsidR="00845E8A">
        <w:rPr>
          <w:lang w:val="fr-FR"/>
        </w:rPr>
        <w:t xml:space="preserve"> a examiné un </w:t>
      </w:r>
      <w:r w:rsidRPr="003B1303" w:rsidR="00210341">
        <w:rPr>
          <w:lang w:val="fr-FR"/>
        </w:rPr>
        <w:t>certain nombre d</w:t>
      </w:r>
      <w:r w:rsidRPr="003B1303" w:rsidR="003B1303">
        <w:rPr>
          <w:lang w:val="fr-FR"/>
        </w:rPr>
        <w:t>’</w:t>
      </w:r>
      <w:r w:rsidRPr="003B1303" w:rsidR="00210341">
        <w:rPr>
          <w:lang w:val="fr-FR"/>
        </w:rPr>
        <w:t xml:space="preserve">éléments dans le but de vérifier </w:t>
      </w:r>
      <w:r w:rsidRPr="003B1303" w:rsidR="001568CD">
        <w:rPr>
          <w:lang w:val="fr-FR"/>
        </w:rPr>
        <w:t>la version</w:t>
      </w:r>
      <w:r w:rsidRPr="003B1303" w:rsidR="00210341">
        <w:rPr>
          <w:lang w:val="fr-FR"/>
        </w:rPr>
        <w:t xml:space="preserve"> des intéressé</w:t>
      </w:r>
      <w:r w:rsidRPr="003B1303" w:rsidR="005F1DCC">
        <w:rPr>
          <w:lang w:val="fr-FR"/>
        </w:rPr>
        <w:t>s</w:t>
      </w:r>
      <w:r w:rsidRPr="003B1303" w:rsidR="00210341">
        <w:rPr>
          <w:lang w:val="fr-FR"/>
        </w:rPr>
        <w:t xml:space="preserve"> </w:t>
      </w:r>
      <w:r w:rsidRPr="003B1303" w:rsidR="00845E8A">
        <w:rPr>
          <w:lang w:val="fr-FR"/>
        </w:rPr>
        <w:t xml:space="preserve">(paragraphes </w:t>
      </w:r>
      <w:r w:rsidRPr="003B1303" w:rsidR="00845E8A">
        <w:rPr>
          <w:lang w:val="fr-FR"/>
        </w:rPr>
        <w:fldChar w:fldCharType="begin"/>
      </w:r>
      <w:r w:rsidRPr="003B1303" w:rsidR="00845E8A">
        <w:rPr>
          <w:lang w:val="fr-FR"/>
        </w:rPr>
        <w:instrText xml:space="preserve"> REF temFo \h </w:instrText>
      </w:r>
      <w:r w:rsidRPr="003B1303" w:rsidR="006C36C2">
        <w:rPr>
          <w:lang w:val="fr-FR"/>
        </w:rPr>
        <w:instrText xml:space="preserve"> \* MERGEFORMAT </w:instrText>
      </w:r>
      <w:r w:rsidRPr="003B1303" w:rsidR="00845E8A">
        <w:rPr>
          <w:lang w:val="fr-FR"/>
        </w:rPr>
      </w:r>
      <w:r w:rsidRPr="003B1303" w:rsidR="00845E8A">
        <w:rPr>
          <w:lang w:val="fr-FR"/>
        </w:rPr>
        <w:fldChar w:fldCharType="separate"/>
      </w:r>
      <w:r w:rsidR="003B1303">
        <w:rPr>
          <w:lang w:val="fr-FR"/>
        </w:rPr>
        <w:t>75</w:t>
      </w:r>
      <w:r w:rsidRPr="003B1303" w:rsidR="00845E8A">
        <w:rPr>
          <w:lang w:val="fr-FR"/>
        </w:rPr>
        <w:fldChar w:fldCharType="end"/>
      </w:r>
      <w:r w:rsidRPr="003B1303" w:rsidR="00845E8A">
        <w:rPr>
          <w:lang w:val="fr-FR"/>
        </w:rPr>
        <w:noBreakHyphen/>
      </w:r>
      <w:r w:rsidRPr="003B1303" w:rsidR="00845E8A">
        <w:rPr>
          <w:lang w:val="fr-FR"/>
        </w:rPr>
        <w:fldChar w:fldCharType="begin"/>
      </w:r>
      <w:r w:rsidRPr="003B1303" w:rsidR="00845E8A">
        <w:rPr>
          <w:lang w:val="fr-FR"/>
        </w:rPr>
        <w:instrText xml:space="preserve"> REF elemadm2 \h </w:instrText>
      </w:r>
      <w:r w:rsidRPr="003B1303" w:rsidR="006C36C2">
        <w:rPr>
          <w:lang w:val="fr-FR"/>
        </w:rPr>
        <w:instrText xml:space="preserve"> \* MERGEFORMAT </w:instrText>
      </w:r>
      <w:r w:rsidRPr="003B1303" w:rsidR="00845E8A">
        <w:rPr>
          <w:lang w:val="fr-FR"/>
        </w:rPr>
      </w:r>
      <w:r w:rsidRPr="003B1303" w:rsidR="00845E8A">
        <w:rPr>
          <w:lang w:val="fr-FR"/>
        </w:rPr>
        <w:fldChar w:fldCharType="separate"/>
      </w:r>
      <w:r w:rsidR="003B1303">
        <w:rPr>
          <w:lang w:val="fr-FR"/>
        </w:rPr>
        <w:t>86</w:t>
      </w:r>
      <w:r w:rsidRPr="003B1303" w:rsidR="00845E8A">
        <w:rPr>
          <w:lang w:val="fr-FR"/>
        </w:rPr>
        <w:fldChar w:fldCharType="end"/>
      </w:r>
      <w:r w:rsidRPr="003B1303" w:rsidR="00845E8A">
        <w:rPr>
          <w:lang w:val="fr-FR"/>
        </w:rPr>
        <w:t xml:space="preserve"> ci</w:t>
      </w:r>
      <w:r w:rsidRPr="003B1303" w:rsidR="00845E8A">
        <w:rPr>
          <w:lang w:val="fr-FR"/>
        </w:rPr>
        <w:noBreakHyphen/>
        <w:t>dessus)</w:t>
      </w:r>
      <w:r w:rsidRPr="003B1303" w:rsidR="004A5046">
        <w:rPr>
          <w:lang w:val="fr-FR"/>
        </w:rPr>
        <w:t>.</w:t>
      </w:r>
      <w:r w:rsidRPr="003B1303" w:rsidR="005E2BDD">
        <w:rPr>
          <w:lang w:val="fr-FR"/>
        </w:rPr>
        <w:t xml:space="preserve"> </w:t>
      </w:r>
      <w:r w:rsidRPr="003B1303" w:rsidR="008F0E50">
        <w:rPr>
          <w:lang w:val="fr-FR"/>
        </w:rPr>
        <w:t>Eu égard aux éléments dont elle dispose, la Cour n</w:t>
      </w:r>
      <w:r w:rsidRPr="003B1303" w:rsidR="003B1303">
        <w:rPr>
          <w:lang w:val="fr-FR"/>
        </w:rPr>
        <w:t>’</w:t>
      </w:r>
      <w:r w:rsidRPr="003B1303" w:rsidR="008F0E50">
        <w:rPr>
          <w:lang w:val="fr-FR"/>
        </w:rPr>
        <w:t>e</w:t>
      </w:r>
      <w:r w:rsidRPr="003B1303" w:rsidR="00573704">
        <w:rPr>
          <w:lang w:val="fr-FR"/>
        </w:rPr>
        <w:t>st</w:t>
      </w:r>
      <w:r w:rsidRPr="003B1303" w:rsidR="008F0E50">
        <w:rPr>
          <w:lang w:val="fr-FR"/>
        </w:rPr>
        <w:t xml:space="preserve"> </w:t>
      </w:r>
      <w:r w:rsidRPr="003B1303" w:rsidR="00573704">
        <w:rPr>
          <w:lang w:val="fr-FR"/>
        </w:rPr>
        <w:t xml:space="preserve">pas en mesure de </w:t>
      </w:r>
      <w:r w:rsidRPr="003B1303" w:rsidR="008F0E50">
        <w:rPr>
          <w:lang w:val="fr-FR"/>
        </w:rPr>
        <w:t>remettre en cause l</w:t>
      </w:r>
      <w:r w:rsidRPr="003B1303" w:rsidR="00752878">
        <w:rPr>
          <w:lang w:val="fr-FR"/>
        </w:rPr>
        <w:t>es</w:t>
      </w:r>
      <w:r w:rsidRPr="003B1303" w:rsidR="008F0E50">
        <w:rPr>
          <w:lang w:val="fr-FR"/>
        </w:rPr>
        <w:t xml:space="preserve"> conclusions de</w:t>
      </w:r>
      <w:r w:rsidRPr="003B1303" w:rsidR="00752878">
        <w:rPr>
          <w:lang w:val="fr-FR"/>
        </w:rPr>
        <w:t xml:space="preserve"> la juge nationale </w:t>
      </w:r>
      <w:r w:rsidRPr="003B1303" w:rsidR="005E2BDD">
        <w:rPr>
          <w:lang w:val="fr-FR"/>
        </w:rPr>
        <w:t xml:space="preserve">auxquelles elle </w:t>
      </w:r>
      <w:r w:rsidRPr="003B1303" w:rsidR="00202B06">
        <w:rPr>
          <w:lang w:val="fr-FR"/>
        </w:rPr>
        <w:t>est</w:t>
      </w:r>
      <w:r w:rsidRPr="003B1303" w:rsidR="005E2BDD">
        <w:rPr>
          <w:lang w:val="fr-FR"/>
        </w:rPr>
        <w:t xml:space="preserve"> parvenu</w:t>
      </w:r>
      <w:r w:rsidRPr="003B1303" w:rsidR="00B742E8">
        <w:rPr>
          <w:lang w:val="fr-FR"/>
        </w:rPr>
        <w:t>e</w:t>
      </w:r>
      <w:r w:rsidRPr="003B1303" w:rsidR="005E2BDD">
        <w:rPr>
          <w:lang w:val="fr-FR"/>
        </w:rPr>
        <w:t xml:space="preserve"> dans sa décision du 27 janvier 2011 </w:t>
      </w:r>
      <w:r w:rsidRPr="003B1303" w:rsidR="00B92522">
        <w:rPr>
          <w:lang w:val="fr-FR"/>
        </w:rPr>
        <w:t xml:space="preserve">quant à la crédibilité </w:t>
      </w:r>
      <w:r w:rsidRPr="003B1303" w:rsidR="00B742E8">
        <w:rPr>
          <w:lang w:val="fr-FR"/>
        </w:rPr>
        <w:t xml:space="preserve">des témoins susmentionnés </w:t>
      </w:r>
      <w:r w:rsidRPr="003B1303" w:rsidR="00210341">
        <w:rPr>
          <w:lang w:val="fr-FR"/>
        </w:rPr>
        <w:t>ou quant à la valeur probante des documents soumis par les parties à l</w:t>
      </w:r>
      <w:r w:rsidRPr="003B1303" w:rsidR="003B1303">
        <w:rPr>
          <w:lang w:val="fr-FR"/>
        </w:rPr>
        <w:t>’</w:t>
      </w:r>
      <w:r w:rsidRPr="003B1303" w:rsidR="00210341">
        <w:rPr>
          <w:lang w:val="fr-FR"/>
        </w:rPr>
        <w:t>appui de leurs thèses</w:t>
      </w:r>
      <w:r w:rsidRPr="003B1303" w:rsidR="008F0E50">
        <w:rPr>
          <w:lang w:val="fr-FR"/>
        </w:rPr>
        <w:t>.</w:t>
      </w:r>
      <w:r w:rsidRPr="003B1303" w:rsidR="00D161BF">
        <w:rPr>
          <w:lang w:val="fr-FR"/>
        </w:rPr>
        <w:t xml:space="preserve"> </w:t>
      </w:r>
      <w:r w:rsidRPr="003B1303" w:rsidR="007D20D1">
        <w:rPr>
          <w:lang w:val="fr-FR"/>
        </w:rPr>
        <w:t>La Cour tient à souligner cependant que ces considérations ne remettent pas en cause le constat de violation du volet procédural de l</w:t>
      </w:r>
      <w:r w:rsidRPr="003B1303" w:rsidR="003B1303">
        <w:rPr>
          <w:lang w:val="fr-FR"/>
        </w:rPr>
        <w:t>’</w:t>
      </w:r>
      <w:r w:rsidRPr="003B1303" w:rsidR="007D20D1">
        <w:rPr>
          <w:lang w:val="fr-FR"/>
        </w:rPr>
        <w:t xml:space="preserve">article 3 de la Convention auquel elle est parvenue au paragraphe </w:t>
      </w:r>
      <w:r w:rsidRPr="003B1303" w:rsidR="007D20D1">
        <w:rPr>
          <w:lang w:val="fr-FR"/>
        </w:rPr>
        <w:fldChar w:fldCharType="begin"/>
      </w:r>
      <w:r w:rsidRPr="003B1303" w:rsidR="007D20D1">
        <w:rPr>
          <w:lang w:val="fr-FR"/>
        </w:rPr>
        <w:instrText xml:space="preserve"> REF a3concl \h </w:instrText>
      </w:r>
      <w:r w:rsidRPr="003B1303" w:rsidR="00947BCC">
        <w:rPr>
          <w:lang w:val="fr-FR"/>
        </w:rPr>
        <w:instrText xml:space="preserve"> \* MERGEFORMAT </w:instrText>
      </w:r>
      <w:r w:rsidRPr="003B1303" w:rsidR="007D20D1">
        <w:rPr>
          <w:lang w:val="fr-FR"/>
        </w:rPr>
      </w:r>
      <w:r w:rsidRPr="003B1303" w:rsidR="007D20D1">
        <w:rPr>
          <w:lang w:val="fr-FR"/>
        </w:rPr>
        <w:fldChar w:fldCharType="separate"/>
      </w:r>
      <w:r w:rsidR="003B1303">
        <w:rPr>
          <w:lang w:val="fr-FR"/>
        </w:rPr>
        <w:t>131</w:t>
      </w:r>
      <w:r w:rsidRPr="003B1303" w:rsidR="007D20D1">
        <w:rPr>
          <w:lang w:val="fr-FR"/>
        </w:rPr>
        <w:fldChar w:fldCharType="end"/>
      </w:r>
      <w:r w:rsidRPr="003B1303" w:rsidR="007D20D1">
        <w:rPr>
          <w:lang w:val="fr-FR"/>
        </w:rPr>
        <w:t xml:space="preserve"> ci</w:t>
      </w:r>
      <w:r w:rsidRPr="003B1303" w:rsidR="007D20D1">
        <w:rPr>
          <w:lang w:val="fr-FR"/>
        </w:rPr>
        <w:noBreakHyphen/>
        <w:t>dessus. En effet, l</w:t>
      </w:r>
      <w:r w:rsidRPr="003B1303" w:rsidR="003B1303">
        <w:rPr>
          <w:lang w:val="fr-FR"/>
        </w:rPr>
        <w:t>’</w:t>
      </w:r>
      <w:r w:rsidRPr="003B1303" w:rsidR="007D20D1">
        <w:rPr>
          <w:lang w:val="fr-FR"/>
        </w:rPr>
        <w:t>examen auquel s</w:t>
      </w:r>
      <w:r w:rsidRPr="003B1303" w:rsidR="003B1303">
        <w:rPr>
          <w:lang w:val="fr-FR"/>
        </w:rPr>
        <w:t>’</w:t>
      </w:r>
      <w:r w:rsidRPr="003B1303" w:rsidR="007D20D1">
        <w:rPr>
          <w:lang w:val="fr-FR"/>
        </w:rPr>
        <w:t xml:space="preserve">est livrée la juge nationale se limitait </w:t>
      </w:r>
      <w:r w:rsidRPr="003B1303" w:rsidR="0008739B">
        <w:rPr>
          <w:lang w:val="fr-FR"/>
        </w:rPr>
        <w:t xml:space="preserve">exclusivement </w:t>
      </w:r>
      <w:r w:rsidRPr="003B1303" w:rsidR="007D20D1">
        <w:rPr>
          <w:lang w:val="fr-FR"/>
        </w:rPr>
        <w:t>à l</w:t>
      </w:r>
      <w:r w:rsidRPr="003B1303" w:rsidR="003B1303">
        <w:rPr>
          <w:lang w:val="fr-FR"/>
        </w:rPr>
        <w:t>’</w:t>
      </w:r>
      <w:r w:rsidRPr="003B1303" w:rsidR="007D20D1">
        <w:rPr>
          <w:lang w:val="fr-FR"/>
        </w:rPr>
        <w:t>appréciation de l</w:t>
      </w:r>
      <w:r w:rsidRPr="003B1303" w:rsidR="003B1303">
        <w:rPr>
          <w:lang w:val="fr-FR"/>
        </w:rPr>
        <w:t>’</w:t>
      </w:r>
      <w:r w:rsidRPr="003B1303" w:rsidR="007D20D1">
        <w:rPr>
          <w:lang w:val="fr-FR"/>
        </w:rPr>
        <w:t>admissibilité des preuves et ne pouvait remplacer une enquête officielle effective qui</w:t>
      </w:r>
      <w:r w:rsidRPr="003B1303" w:rsidR="00E15D03">
        <w:rPr>
          <w:lang w:val="fr-FR"/>
        </w:rPr>
        <w:t xml:space="preserve">, </w:t>
      </w:r>
      <w:r w:rsidRPr="003B1303" w:rsidR="007D20D1">
        <w:rPr>
          <w:lang w:val="fr-FR"/>
        </w:rPr>
        <w:t>pour être compatible avec l</w:t>
      </w:r>
      <w:r w:rsidRPr="003B1303" w:rsidR="003B1303">
        <w:rPr>
          <w:lang w:val="fr-FR"/>
        </w:rPr>
        <w:t>’</w:t>
      </w:r>
      <w:r w:rsidRPr="003B1303" w:rsidR="007D20D1">
        <w:rPr>
          <w:lang w:val="fr-FR"/>
        </w:rPr>
        <w:t>article 3 de la Convention, d</w:t>
      </w:r>
      <w:r w:rsidRPr="003B1303" w:rsidR="0008739B">
        <w:rPr>
          <w:lang w:val="fr-FR"/>
        </w:rPr>
        <w:t>evait</w:t>
      </w:r>
      <w:r w:rsidRPr="003B1303" w:rsidR="007D20D1">
        <w:rPr>
          <w:lang w:val="fr-FR"/>
        </w:rPr>
        <w:t xml:space="preserve"> pouvoir mener à l</w:t>
      </w:r>
      <w:r w:rsidRPr="003B1303" w:rsidR="003B1303">
        <w:rPr>
          <w:lang w:val="fr-FR"/>
        </w:rPr>
        <w:t>’</w:t>
      </w:r>
      <w:r w:rsidRPr="003B1303" w:rsidR="007D20D1">
        <w:rPr>
          <w:lang w:val="fr-FR"/>
        </w:rPr>
        <w:t>identification et à la punition des responsables (</w:t>
      </w:r>
      <w:proofErr w:type="spellStart"/>
      <w:r w:rsidRPr="003B1303" w:rsidR="007D20D1">
        <w:rPr>
          <w:i/>
          <w:lang w:val="fr-FR"/>
        </w:rPr>
        <w:t>Jeronovičs</w:t>
      </w:r>
      <w:proofErr w:type="spellEnd"/>
      <w:r w:rsidRPr="003B1303" w:rsidR="007D20D1">
        <w:rPr>
          <w:i/>
          <w:lang w:val="fr-FR"/>
        </w:rPr>
        <w:t xml:space="preserve"> c. Lettonie</w:t>
      </w:r>
      <w:r w:rsidRPr="003B1303" w:rsidR="007D20D1">
        <w:rPr>
          <w:lang w:val="fr-FR"/>
        </w:rPr>
        <w:t xml:space="preserve"> [GC], n</w:t>
      </w:r>
      <w:r w:rsidRPr="003B1303" w:rsidR="007D20D1">
        <w:rPr>
          <w:vertAlign w:val="superscript"/>
          <w:lang w:val="fr-FR"/>
        </w:rPr>
        <w:t>o</w:t>
      </w:r>
      <w:r w:rsidRPr="003B1303" w:rsidR="007D20D1">
        <w:rPr>
          <w:lang w:val="fr-FR"/>
        </w:rPr>
        <w:t xml:space="preserve"> 44898/10, § 10</w:t>
      </w:r>
      <w:r w:rsidRPr="003B1303" w:rsidR="00E15D03">
        <w:rPr>
          <w:lang w:val="fr-FR"/>
        </w:rPr>
        <w:t>3</w:t>
      </w:r>
      <w:r w:rsidRPr="003B1303" w:rsidR="007D20D1">
        <w:rPr>
          <w:lang w:val="fr-FR"/>
        </w:rPr>
        <w:t>, 5 juillet 2016).</w:t>
      </w:r>
    </w:p>
    <w:p w:rsidRPr="003B1303" w:rsidR="0085148A" w:rsidP="003B1303" w:rsidRDefault="0021034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174</w:t>
      </w:r>
      <w:r w:rsidRPr="003B1303">
        <w:rPr>
          <w:lang w:val="fr-FR"/>
        </w:rPr>
        <w:fldChar w:fldCharType="end"/>
      </w:r>
      <w:r w:rsidRPr="003B1303">
        <w:rPr>
          <w:lang w:val="fr-FR"/>
        </w:rPr>
        <w:t>.  </w:t>
      </w:r>
      <w:r w:rsidRPr="003B1303" w:rsidR="00A33020">
        <w:rPr>
          <w:lang w:val="fr-FR"/>
        </w:rPr>
        <w:t>Il s</w:t>
      </w:r>
      <w:r w:rsidRPr="003B1303" w:rsidR="003B1303">
        <w:rPr>
          <w:lang w:val="fr-FR"/>
        </w:rPr>
        <w:t>’</w:t>
      </w:r>
      <w:r w:rsidRPr="003B1303" w:rsidR="00A33020">
        <w:rPr>
          <w:lang w:val="fr-FR"/>
        </w:rPr>
        <w:t>ensuit que le grief tiré par les requérants de l</w:t>
      </w:r>
      <w:r w:rsidRPr="003B1303" w:rsidR="003B1303">
        <w:rPr>
          <w:lang w:val="fr-FR"/>
        </w:rPr>
        <w:t>’</w:t>
      </w:r>
      <w:r w:rsidRPr="003B1303" w:rsidR="00A33020">
        <w:rPr>
          <w:lang w:val="fr-FR"/>
        </w:rPr>
        <w:t>article 6 § 1 de la Convention concernant l</w:t>
      </w:r>
      <w:r w:rsidRPr="003B1303" w:rsidR="003B1303">
        <w:rPr>
          <w:lang w:val="fr-FR"/>
        </w:rPr>
        <w:t>’</w:t>
      </w:r>
      <w:r w:rsidRPr="003B1303" w:rsidR="00A33020">
        <w:rPr>
          <w:lang w:val="fr-FR"/>
        </w:rPr>
        <w:t xml:space="preserve">utilisation dans le procès pénal dirigé à leur encontre </w:t>
      </w:r>
      <w:r w:rsidRPr="003B1303" w:rsidR="005D024B">
        <w:rPr>
          <w:lang w:val="fr-FR"/>
        </w:rPr>
        <w:t>d</w:t>
      </w:r>
      <w:r w:rsidRPr="003B1303" w:rsidR="003B1303">
        <w:rPr>
          <w:lang w:val="fr-FR"/>
        </w:rPr>
        <w:t>’</w:t>
      </w:r>
      <w:r w:rsidRPr="003B1303" w:rsidR="00A33020">
        <w:rPr>
          <w:lang w:val="fr-FR"/>
        </w:rPr>
        <w:t xml:space="preserve">éléments de preuve obtenus </w:t>
      </w:r>
      <w:r w:rsidRPr="003B1303" w:rsidR="005D024B">
        <w:rPr>
          <w:lang w:val="fr-FR"/>
        </w:rPr>
        <w:t xml:space="preserve">selon eux </w:t>
      </w:r>
      <w:r w:rsidRPr="003B1303" w:rsidR="00A33020">
        <w:rPr>
          <w:lang w:val="fr-FR"/>
        </w:rPr>
        <w:t>par la contrainte est manifestement mal fondé et qu</w:t>
      </w:r>
      <w:r w:rsidRPr="003B1303" w:rsidR="003B1303">
        <w:rPr>
          <w:lang w:val="fr-FR"/>
        </w:rPr>
        <w:t>’</w:t>
      </w:r>
      <w:r w:rsidRPr="003B1303" w:rsidR="00A33020">
        <w:rPr>
          <w:lang w:val="fr-FR"/>
        </w:rPr>
        <w:t>il doit être rejeté, en application de l</w:t>
      </w:r>
      <w:r w:rsidRPr="003B1303" w:rsidR="003B1303">
        <w:rPr>
          <w:lang w:val="fr-FR"/>
        </w:rPr>
        <w:t>’</w:t>
      </w:r>
      <w:r w:rsidRPr="003B1303" w:rsidR="00A33020">
        <w:rPr>
          <w:lang w:val="fr-FR"/>
        </w:rPr>
        <w:t>article 35 §§ 3 a) et 4 de la Convention.</w:t>
      </w:r>
    </w:p>
    <w:p w:rsidRPr="003B1303" w:rsidR="00DD1D0E" w:rsidP="003B1303" w:rsidRDefault="00210341">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175</w:t>
      </w:r>
      <w:r w:rsidRPr="003B1303">
        <w:rPr>
          <w:lang w:val="fr-FR"/>
        </w:rPr>
        <w:fldChar w:fldCharType="end"/>
      </w:r>
      <w:r w:rsidRPr="003B1303">
        <w:rPr>
          <w:lang w:val="fr-FR"/>
        </w:rPr>
        <w:t>.  Constatant en revanche que le grief du premier requérant relatif au respect de son droit d</w:t>
      </w:r>
      <w:r w:rsidRPr="003B1303" w:rsidR="003B1303">
        <w:rPr>
          <w:lang w:val="fr-FR"/>
        </w:rPr>
        <w:t>’</w:t>
      </w:r>
      <w:r w:rsidRPr="003B1303">
        <w:rPr>
          <w:lang w:val="fr-FR"/>
        </w:rPr>
        <w:t>être assisté par les avocates de son choix lors de l</w:t>
      </w:r>
      <w:r w:rsidRPr="003B1303" w:rsidR="003B1303">
        <w:rPr>
          <w:lang w:val="fr-FR"/>
        </w:rPr>
        <w:t>’</w:t>
      </w:r>
      <w:r w:rsidRPr="003B1303">
        <w:rPr>
          <w:lang w:val="fr-FR"/>
        </w:rPr>
        <w:t>interrogatoire du 15 avril 2008 et à l</w:t>
      </w:r>
      <w:r w:rsidRPr="003B1303" w:rsidR="003B1303">
        <w:rPr>
          <w:lang w:val="fr-FR"/>
        </w:rPr>
        <w:t>’</w:t>
      </w:r>
      <w:r w:rsidRPr="003B1303">
        <w:rPr>
          <w:lang w:val="fr-FR"/>
        </w:rPr>
        <w:t>inefficacité de l</w:t>
      </w:r>
      <w:r w:rsidRPr="003B1303" w:rsidR="003B1303">
        <w:rPr>
          <w:lang w:val="fr-FR"/>
        </w:rPr>
        <w:t>’</w:t>
      </w:r>
      <w:r w:rsidRPr="003B1303">
        <w:rPr>
          <w:lang w:val="fr-FR"/>
        </w:rPr>
        <w:t>avocate commise d</w:t>
      </w:r>
      <w:r w:rsidRPr="003B1303" w:rsidR="003B1303">
        <w:rPr>
          <w:lang w:val="fr-FR"/>
        </w:rPr>
        <w:t>’</w:t>
      </w:r>
      <w:r w:rsidRPr="003B1303">
        <w:rPr>
          <w:lang w:val="fr-FR"/>
        </w:rPr>
        <w:t>office n</w:t>
      </w:r>
      <w:r w:rsidRPr="003B1303" w:rsidR="003B1303">
        <w:rPr>
          <w:lang w:val="fr-FR"/>
        </w:rPr>
        <w:t>’</w:t>
      </w:r>
      <w:r w:rsidRPr="003B1303">
        <w:rPr>
          <w:lang w:val="fr-FR"/>
        </w:rPr>
        <w:t>est pas manifestement mal fondé au sens de l</w:t>
      </w:r>
      <w:r w:rsidRPr="003B1303" w:rsidR="003B1303">
        <w:rPr>
          <w:lang w:val="fr-FR"/>
        </w:rPr>
        <w:t>’</w:t>
      </w:r>
      <w:r w:rsidRPr="003B1303">
        <w:rPr>
          <w:lang w:val="fr-FR"/>
        </w:rPr>
        <w:t>article 35 § 3 a) de la Convention et qu</w:t>
      </w:r>
      <w:r w:rsidRPr="003B1303" w:rsidR="003B1303">
        <w:rPr>
          <w:lang w:val="fr-FR"/>
        </w:rPr>
        <w:t>’</w:t>
      </w:r>
      <w:r w:rsidRPr="003B1303">
        <w:rPr>
          <w:lang w:val="fr-FR"/>
        </w:rPr>
        <w:t>il ne se heurte par ailleurs à aucun autre motif d</w:t>
      </w:r>
      <w:r w:rsidRPr="003B1303" w:rsidR="003B1303">
        <w:rPr>
          <w:lang w:val="fr-FR"/>
        </w:rPr>
        <w:t>’</w:t>
      </w:r>
      <w:r w:rsidRPr="003B1303">
        <w:rPr>
          <w:lang w:val="fr-FR"/>
        </w:rPr>
        <w:t>irrecevabilité, la Cour le déclare recevable.</w:t>
      </w:r>
    </w:p>
    <w:p w:rsidRPr="003B1303" w:rsidR="00A33020" w:rsidP="003B1303" w:rsidRDefault="00DD1D0E">
      <w:pPr>
        <w:pStyle w:val="ECHRHeading4"/>
        <w:rPr>
          <w:lang w:val="fr-FR"/>
        </w:rPr>
      </w:pPr>
      <w:r w:rsidRPr="003B1303">
        <w:rPr>
          <w:lang w:val="fr-FR"/>
        </w:rPr>
        <w:t xml:space="preserve">b)  Sur </w:t>
      </w:r>
      <w:r w:rsidRPr="003B1303" w:rsidR="00A33020">
        <w:rPr>
          <w:lang w:val="fr-FR"/>
        </w:rPr>
        <w:t>le fond</w:t>
      </w:r>
    </w:p>
    <w:p w:rsidRPr="003B1303" w:rsidR="0085148A" w:rsidP="003B1303" w:rsidRDefault="00310E5A">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176</w:t>
      </w:r>
      <w:r w:rsidRPr="003B1303">
        <w:rPr>
          <w:lang w:val="fr-FR"/>
        </w:rPr>
        <w:fldChar w:fldCharType="end"/>
      </w:r>
      <w:r w:rsidRPr="003B1303">
        <w:rPr>
          <w:lang w:val="fr-FR"/>
        </w:rPr>
        <w:t>.  </w:t>
      </w:r>
      <w:r w:rsidRPr="003B1303" w:rsidR="00596743">
        <w:rPr>
          <w:lang w:val="fr-FR"/>
        </w:rPr>
        <w:t>La Cour examinera cet aspect de l</w:t>
      </w:r>
      <w:r w:rsidRPr="003B1303" w:rsidR="003B1303">
        <w:rPr>
          <w:lang w:val="fr-FR"/>
        </w:rPr>
        <w:t>’</w:t>
      </w:r>
      <w:r w:rsidRPr="003B1303" w:rsidR="00596743">
        <w:rPr>
          <w:lang w:val="fr-FR"/>
        </w:rPr>
        <w:t>affaire à la lumière des principes applicables en matière d</w:t>
      </w:r>
      <w:r w:rsidRPr="003B1303" w:rsidR="008313BD">
        <w:rPr>
          <w:lang w:val="fr-FR"/>
        </w:rPr>
        <w:t>e</w:t>
      </w:r>
      <w:r w:rsidRPr="003B1303" w:rsidR="00856C8F">
        <w:rPr>
          <w:lang w:val="fr-FR"/>
        </w:rPr>
        <w:t xml:space="preserve"> droit </w:t>
      </w:r>
      <w:r w:rsidRPr="003B1303" w:rsidR="00D3555A">
        <w:rPr>
          <w:lang w:val="fr-FR"/>
        </w:rPr>
        <w:t>d</w:t>
      </w:r>
      <w:r w:rsidRPr="003B1303" w:rsidR="003B1303">
        <w:rPr>
          <w:lang w:val="fr-FR"/>
        </w:rPr>
        <w:t>’</w:t>
      </w:r>
      <w:r w:rsidRPr="003B1303" w:rsidR="00D3555A">
        <w:rPr>
          <w:lang w:val="fr-FR"/>
        </w:rPr>
        <w:t xml:space="preserve">accès à un avocat et </w:t>
      </w:r>
      <w:r w:rsidRPr="003B1303" w:rsidR="00F77D26">
        <w:rPr>
          <w:lang w:val="fr-FR"/>
        </w:rPr>
        <w:t>d</w:t>
      </w:r>
      <w:r w:rsidRPr="003B1303" w:rsidR="003B1303">
        <w:rPr>
          <w:lang w:val="fr-FR"/>
        </w:rPr>
        <w:t>’</w:t>
      </w:r>
      <w:r w:rsidRPr="003B1303" w:rsidR="00F77D26">
        <w:rPr>
          <w:lang w:val="fr-FR"/>
        </w:rPr>
        <w:t xml:space="preserve">équité de la procédure </w:t>
      </w:r>
      <w:r w:rsidRPr="003B1303" w:rsidR="00A6183E">
        <w:rPr>
          <w:lang w:val="fr-FR"/>
        </w:rPr>
        <w:t xml:space="preserve">pénale prise </w:t>
      </w:r>
      <w:r w:rsidRPr="003B1303" w:rsidR="00F77D26">
        <w:rPr>
          <w:lang w:val="fr-FR"/>
        </w:rPr>
        <w:t>dans son ensemble</w:t>
      </w:r>
      <w:r w:rsidRPr="003B1303" w:rsidR="008313BD">
        <w:rPr>
          <w:lang w:val="fr-FR"/>
        </w:rPr>
        <w:t>,</w:t>
      </w:r>
      <w:r w:rsidRPr="003B1303" w:rsidR="005B78BF">
        <w:rPr>
          <w:lang w:val="fr-FR"/>
        </w:rPr>
        <w:t xml:space="preserve"> réitérés récemment </w:t>
      </w:r>
      <w:r w:rsidRPr="003B1303" w:rsidR="00596743">
        <w:rPr>
          <w:lang w:val="fr-FR"/>
        </w:rPr>
        <w:t xml:space="preserve">dans </w:t>
      </w:r>
      <w:r w:rsidRPr="003B1303" w:rsidR="005B78BF">
        <w:rPr>
          <w:lang w:val="fr-FR"/>
        </w:rPr>
        <w:t>l</w:t>
      </w:r>
      <w:r w:rsidRPr="003B1303" w:rsidR="003B1303">
        <w:rPr>
          <w:lang w:val="fr-FR"/>
        </w:rPr>
        <w:t>’</w:t>
      </w:r>
      <w:r w:rsidRPr="003B1303" w:rsidR="00596743">
        <w:rPr>
          <w:lang w:val="fr-FR"/>
        </w:rPr>
        <w:t xml:space="preserve">arrêt </w:t>
      </w:r>
      <w:proofErr w:type="spellStart"/>
      <w:r w:rsidRPr="003B1303" w:rsidR="00596743">
        <w:rPr>
          <w:i/>
          <w:lang w:val="fr-FR"/>
        </w:rPr>
        <w:t>Beuze</w:t>
      </w:r>
      <w:proofErr w:type="spellEnd"/>
      <w:r w:rsidRPr="003B1303" w:rsidR="00596743">
        <w:rPr>
          <w:i/>
          <w:lang w:val="fr-FR"/>
        </w:rPr>
        <w:t xml:space="preserve"> c. Belgique</w:t>
      </w:r>
      <w:r w:rsidRPr="003B1303" w:rsidR="00596743">
        <w:rPr>
          <w:lang w:val="fr-FR"/>
        </w:rPr>
        <w:t xml:space="preserve"> ([GC], n</w:t>
      </w:r>
      <w:r w:rsidRPr="003B1303" w:rsidR="00596743">
        <w:rPr>
          <w:vertAlign w:val="superscript"/>
          <w:lang w:val="fr-FR"/>
        </w:rPr>
        <w:t>o </w:t>
      </w:r>
      <w:r w:rsidRPr="003B1303" w:rsidR="00596743">
        <w:rPr>
          <w:lang w:val="fr-FR"/>
        </w:rPr>
        <w:t>71409/10, §§ 119</w:t>
      </w:r>
      <w:r w:rsidRPr="003B1303" w:rsidR="00596743">
        <w:rPr>
          <w:lang w:val="fr-FR"/>
        </w:rPr>
        <w:noBreakHyphen/>
        <w:t>150, 9 septembre 2018).</w:t>
      </w:r>
    </w:p>
    <w:p w:rsidRPr="003B1303" w:rsidR="009C6CF5" w:rsidP="003B1303" w:rsidRDefault="009C6CF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177</w:t>
      </w:r>
      <w:r w:rsidRPr="003B1303">
        <w:rPr>
          <w:lang w:val="fr-FR"/>
        </w:rPr>
        <w:fldChar w:fldCharType="end"/>
      </w:r>
      <w:r w:rsidRPr="003B1303">
        <w:rPr>
          <w:lang w:val="fr-FR"/>
        </w:rPr>
        <w:t xml:space="preserve">.  À titre liminaire, </w:t>
      </w:r>
      <w:r w:rsidRPr="003B1303" w:rsidR="008313BD">
        <w:rPr>
          <w:lang w:val="fr-FR"/>
        </w:rPr>
        <w:t>elle</w:t>
      </w:r>
      <w:r w:rsidRPr="003B1303">
        <w:rPr>
          <w:lang w:val="fr-FR"/>
        </w:rPr>
        <w:t xml:space="preserve"> note qu</w:t>
      </w:r>
      <w:r w:rsidRPr="003B1303" w:rsidR="003B1303">
        <w:rPr>
          <w:lang w:val="fr-FR"/>
        </w:rPr>
        <w:t>’</w:t>
      </w:r>
      <w:r w:rsidRPr="003B1303">
        <w:rPr>
          <w:lang w:val="fr-FR"/>
        </w:rPr>
        <w:t>il ne prête pas à controverse entre les parties que</w:t>
      </w:r>
      <w:r w:rsidRPr="003B1303" w:rsidR="008313BD">
        <w:rPr>
          <w:lang w:val="fr-FR"/>
        </w:rPr>
        <w:t>,</w:t>
      </w:r>
      <w:r w:rsidRPr="003B1303">
        <w:rPr>
          <w:lang w:val="fr-FR"/>
        </w:rPr>
        <w:t xml:space="preserve"> depuis le 1</w:t>
      </w:r>
      <w:r w:rsidRPr="003B1303" w:rsidR="00C32045">
        <w:rPr>
          <w:lang w:val="fr-FR"/>
        </w:rPr>
        <w:t>0</w:t>
      </w:r>
      <w:r w:rsidRPr="003B1303">
        <w:rPr>
          <w:lang w:val="fr-FR"/>
        </w:rPr>
        <w:t xml:space="preserve"> avril 2008</w:t>
      </w:r>
      <w:r w:rsidRPr="003B1303" w:rsidR="008313BD">
        <w:rPr>
          <w:lang w:val="fr-FR"/>
        </w:rPr>
        <w:t>,</w:t>
      </w:r>
      <w:r w:rsidRPr="003B1303">
        <w:rPr>
          <w:lang w:val="fr-FR"/>
        </w:rPr>
        <w:t xml:space="preserve"> le </w:t>
      </w:r>
      <w:r w:rsidRPr="003B1303" w:rsidR="00C32045">
        <w:rPr>
          <w:lang w:val="fr-FR"/>
        </w:rPr>
        <w:t xml:space="preserve">premier </w:t>
      </w:r>
      <w:r w:rsidRPr="003B1303">
        <w:rPr>
          <w:lang w:val="fr-FR"/>
        </w:rPr>
        <w:t>requérant faisait l</w:t>
      </w:r>
      <w:r w:rsidRPr="003B1303" w:rsidR="003B1303">
        <w:rPr>
          <w:lang w:val="fr-FR"/>
        </w:rPr>
        <w:t>’</w:t>
      </w:r>
      <w:r w:rsidRPr="003B1303">
        <w:rPr>
          <w:lang w:val="fr-FR"/>
        </w:rPr>
        <w:t>objet d</w:t>
      </w:r>
      <w:r w:rsidRPr="003B1303" w:rsidR="003B1303">
        <w:rPr>
          <w:lang w:val="fr-FR"/>
        </w:rPr>
        <w:t>’</w:t>
      </w:r>
      <w:r w:rsidRPr="003B1303">
        <w:rPr>
          <w:lang w:val="fr-FR"/>
        </w:rPr>
        <w:t>une « accusation en matière pénale » au sens de l</w:t>
      </w:r>
      <w:r w:rsidRPr="003B1303" w:rsidR="003B1303">
        <w:rPr>
          <w:lang w:val="fr-FR"/>
        </w:rPr>
        <w:t>’</w:t>
      </w:r>
      <w:r w:rsidRPr="003B1303">
        <w:rPr>
          <w:lang w:val="fr-FR"/>
        </w:rPr>
        <w:t>article 6 de la Convention et qu</w:t>
      </w:r>
      <w:r w:rsidRPr="003B1303" w:rsidR="003B1303">
        <w:rPr>
          <w:lang w:val="fr-FR"/>
        </w:rPr>
        <w:t>’</w:t>
      </w:r>
      <w:r w:rsidRPr="003B1303">
        <w:rPr>
          <w:lang w:val="fr-FR"/>
        </w:rPr>
        <w:t xml:space="preserve">il devait bénéficier </w:t>
      </w:r>
      <w:r w:rsidRPr="003B1303" w:rsidR="008A6C15">
        <w:rPr>
          <w:lang w:val="fr-FR"/>
        </w:rPr>
        <w:t>des garanties découlant des paragraphes 1 et 3 de cette disposition, à savoir du droit à l</w:t>
      </w:r>
      <w:r w:rsidRPr="003B1303" w:rsidR="003B1303">
        <w:rPr>
          <w:lang w:val="fr-FR"/>
        </w:rPr>
        <w:t>’</w:t>
      </w:r>
      <w:r w:rsidRPr="003B1303" w:rsidR="008A6C15">
        <w:rPr>
          <w:lang w:val="fr-FR"/>
        </w:rPr>
        <w:t>assistance d</w:t>
      </w:r>
      <w:r w:rsidRPr="003B1303" w:rsidR="003B1303">
        <w:rPr>
          <w:lang w:val="fr-FR"/>
        </w:rPr>
        <w:t>’</w:t>
      </w:r>
      <w:r w:rsidRPr="003B1303" w:rsidR="008A6C15">
        <w:rPr>
          <w:lang w:val="fr-FR"/>
        </w:rPr>
        <w:t>un avocat ainsi que du droit à être informé de ce même droit et du droit de garder le silence et de ne pas témoigner contre soi-même. Il ressort par ailleurs du procès</w:t>
      </w:r>
      <w:r w:rsidRPr="003B1303" w:rsidR="008A6C15">
        <w:rPr>
          <w:lang w:val="fr-FR"/>
        </w:rPr>
        <w:noBreakHyphen/>
        <w:t>verbal de la mise en examen du premier requérant du 11</w:t>
      </w:r>
      <w:r w:rsidRPr="003B1303" w:rsidR="00C32045">
        <w:rPr>
          <w:lang w:val="fr-FR"/>
        </w:rPr>
        <w:t> </w:t>
      </w:r>
      <w:r w:rsidRPr="003B1303" w:rsidR="008A6C15">
        <w:rPr>
          <w:lang w:val="fr-FR"/>
        </w:rPr>
        <w:t>avril 2008 qu</w:t>
      </w:r>
      <w:r w:rsidRPr="003B1303" w:rsidR="003B1303">
        <w:rPr>
          <w:lang w:val="fr-FR"/>
        </w:rPr>
        <w:t>’</w:t>
      </w:r>
      <w:r w:rsidRPr="003B1303" w:rsidR="005F1DCC">
        <w:rPr>
          <w:lang w:val="fr-FR"/>
        </w:rPr>
        <w:t>il</w:t>
      </w:r>
      <w:r w:rsidRPr="003B1303" w:rsidR="008A6C15">
        <w:rPr>
          <w:lang w:val="fr-FR"/>
        </w:rPr>
        <w:t xml:space="preserve"> a été informé de l</w:t>
      </w:r>
      <w:r w:rsidRPr="003B1303" w:rsidR="003B1303">
        <w:rPr>
          <w:lang w:val="fr-FR"/>
        </w:rPr>
        <w:t>’</w:t>
      </w:r>
      <w:r w:rsidRPr="003B1303" w:rsidR="008A6C15">
        <w:rPr>
          <w:lang w:val="fr-FR"/>
        </w:rPr>
        <w:t>ensemble de ses droits procéduraux : il a choisi deux avocates pour assurer sa défense</w:t>
      </w:r>
      <w:r w:rsidRPr="003B1303" w:rsidR="00F1193E">
        <w:rPr>
          <w:lang w:val="fr-FR"/>
        </w:rPr>
        <w:t xml:space="preserve"> et,</w:t>
      </w:r>
      <w:r w:rsidRPr="003B1303" w:rsidR="008A6C15">
        <w:rPr>
          <w:lang w:val="fr-FR"/>
        </w:rPr>
        <w:t xml:space="preserve"> </w:t>
      </w:r>
      <w:r w:rsidRPr="003B1303" w:rsidR="00FE2D4A">
        <w:rPr>
          <w:lang w:val="fr-FR"/>
        </w:rPr>
        <w:t xml:space="preserve">interrogé le même jour en tant </w:t>
      </w:r>
      <w:r w:rsidRPr="003B1303" w:rsidR="00F1193E">
        <w:rPr>
          <w:lang w:val="fr-FR"/>
        </w:rPr>
        <w:t xml:space="preserve">que </w:t>
      </w:r>
      <w:r w:rsidRPr="003B1303" w:rsidR="00FE2D4A">
        <w:rPr>
          <w:lang w:val="fr-FR"/>
        </w:rPr>
        <w:t xml:space="preserve">personne mise en examen, </w:t>
      </w:r>
      <w:r w:rsidRPr="003B1303" w:rsidR="008A6C15">
        <w:rPr>
          <w:lang w:val="fr-FR"/>
        </w:rPr>
        <w:t>il a nié son implication dans le meurtre de S. (paragraphe</w:t>
      </w:r>
      <w:r w:rsidRPr="003B1303" w:rsidR="00790A06">
        <w:rPr>
          <w:lang w:val="fr-FR"/>
        </w:rPr>
        <w:t>s</w:t>
      </w:r>
      <w:r w:rsidRPr="003B1303" w:rsidR="008A6C15">
        <w:rPr>
          <w:lang w:val="fr-FR"/>
        </w:rPr>
        <w:t xml:space="preserve"> </w:t>
      </w:r>
      <w:r w:rsidRPr="003B1303" w:rsidR="00790A06">
        <w:rPr>
          <w:lang w:val="fr-FR"/>
        </w:rPr>
        <w:fldChar w:fldCharType="begin"/>
      </w:r>
      <w:r w:rsidRPr="003B1303" w:rsidR="00790A06">
        <w:rPr>
          <w:lang w:val="fr-FR"/>
        </w:rPr>
        <w:instrText xml:space="preserve"> REF arresR11 \h </w:instrText>
      </w:r>
      <w:r w:rsidRPr="003B1303" w:rsidR="00790A06">
        <w:rPr>
          <w:lang w:val="fr-FR"/>
        </w:rPr>
      </w:r>
      <w:r w:rsidRPr="003B1303" w:rsidR="00790A06">
        <w:rPr>
          <w:lang w:val="fr-FR"/>
        </w:rPr>
        <w:fldChar w:fldCharType="separate"/>
      </w:r>
      <w:r w:rsidR="003B1303">
        <w:rPr>
          <w:noProof/>
          <w:lang w:val="fr-FR"/>
        </w:rPr>
        <w:t>9</w:t>
      </w:r>
      <w:r w:rsidRPr="003B1303" w:rsidR="00790A06">
        <w:rPr>
          <w:lang w:val="fr-FR"/>
        </w:rPr>
        <w:fldChar w:fldCharType="end"/>
      </w:r>
      <w:r w:rsidRPr="003B1303" w:rsidR="00790A06">
        <w:rPr>
          <w:lang w:val="fr-FR"/>
        </w:rPr>
        <w:noBreakHyphen/>
      </w:r>
      <w:r w:rsidRPr="003B1303" w:rsidR="00C32045">
        <w:rPr>
          <w:lang w:val="fr-FR"/>
        </w:rPr>
        <w:fldChar w:fldCharType="begin"/>
      </w:r>
      <w:r w:rsidRPr="003B1303" w:rsidR="00C32045">
        <w:rPr>
          <w:lang w:val="fr-FR"/>
        </w:rPr>
        <w:instrText xml:space="preserve"> REF arresR1 \h </w:instrText>
      </w:r>
      <w:r w:rsidRPr="003B1303" w:rsidR="00C47AAA">
        <w:rPr>
          <w:lang w:val="fr-FR"/>
        </w:rPr>
        <w:instrText xml:space="preserve"> \* MERGEFORMAT </w:instrText>
      </w:r>
      <w:r w:rsidRPr="003B1303" w:rsidR="00C32045">
        <w:rPr>
          <w:lang w:val="fr-FR"/>
        </w:rPr>
      </w:r>
      <w:r w:rsidRPr="003B1303" w:rsidR="00C32045">
        <w:rPr>
          <w:lang w:val="fr-FR"/>
        </w:rPr>
        <w:fldChar w:fldCharType="separate"/>
      </w:r>
      <w:r w:rsidR="003B1303">
        <w:rPr>
          <w:noProof/>
          <w:lang w:val="fr-FR"/>
        </w:rPr>
        <w:t>10</w:t>
      </w:r>
      <w:r w:rsidRPr="003B1303" w:rsidR="00C32045">
        <w:rPr>
          <w:lang w:val="fr-FR"/>
        </w:rPr>
        <w:fldChar w:fldCharType="end"/>
      </w:r>
      <w:r w:rsidRPr="003B1303" w:rsidR="00C32045">
        <w:rPr>
          <w:lang w:val="fr-FR"/>
        </w:rPr>
        <w:t xml:space="preserve"> </w:t>
      </w:r>
      <w:r w:rsidRPr="003B1303" w:rsidR="008A6C15">
        <w:rPr>
          <w:lang w:val="fr-FR"/>
        </w:rPr>
        <w:t>ci</w:t>
      </w:r>
      <w:r w:rsidRPr="003B1303" w:rsidR="008A6C15">
        <w:rPr>
          <w:lang w:val="fr-FR"/>
        </w:rPr>
        <w:noBreakHyphen/>
        <w:t>dessus).</w:t>
      </w:r>
      <w:r w:rsidRPr="003B1303" w:rsidR="00FE2D4A">
        <w:rPr>
          <w:lang w:val="fr-FR"/>
        </w:rPr>
        <w:t xml:space="preserve"> I</w:t>
      </w:r>
      <w:r w:rsidRPr="003B1303" w:rsidR="008A6C15">
        <w:rPr>
          <w:lang w:val="fr-FR"/>
        </w:rPr>
        <w:t xml:space="preserve">l a </w:t>
      </w:r>
      <w:r w:rsidRPr="003B1303" w:rsidR="00FE2D4A">
        <w:rPr>
          <w:lang w:val="fr-FR"/>
        </w:rPr>
        <w:t>également fait usage de son droit de remplacer l</w:t>
      </w:r>
      <w:r w:rsidRPr="003B1303" w:rsidR="003B1303">
        <w:rPr>
          <w:lang w:val="fr-FR"/>
        </w:rPr>
        <w:t>’</w:t>
      </w:r>
      <w:r w:rsidRPr="003B1303" w:rsidR="00FE2D4A">
        <w:rPr>
          <w:lang w:val="fr-FR"/>
        </w:rPr>
        <w:t>avocate P. par l</w:t>
      </w:r>
      <w:r w:rsidRPr="003B1303" w:rsidR="003B1303">
        <w:rPr>
          <w:lang w:val="fr-FR"/>
        </w:rPr>
        <w:t>’</w:t>
      </w:r>
      <w:r w:rsidRPr="003B1303" w:rsidR="00FE2D4A">
        <w:rPr>
          <w:lang w:val="fr-FR"/>
        </w:rPr>
        <w:t xml:space="preserve">avocate Ch. (paragraphe </w:t>
      </w:r>
      <w:r w:rsidRPr="003B1303" w:rsidR="00C32045">
        <w:rPr>
          <w:lang w:val="fr-FR"/>
        </w:rPr>
        <w:fldChar w:fldCharType="begin"/>
      </w:r>
      <w:r w:rsidRPr="003B1303" w:rsidR="00C32045">
        <w:rPr>
          <w:lang w:val="fr-FR"/>
        </w:rPr>
        <w:instrText xml:space="preserve"> REF rempavR1 \h </w:instrText>
      </w:r>
      <w:r w:rsidRPr="003B1303" w:rsidR="00C47AAA">
        <w:rPr>
          <w:lang w:val="fr-FR"/>
        </w:rPr>
        <w:instrText xml:space="preserve"> \* MERGEFORMAT </w:instrText>
      </w:r>
      <w:r w:rsidRPr="003B1303" w:rsidR="00C32045">
        <w:rPr>
          <w:lang w:val="fr-FR"/>
        </w:rPr>
      </w:r>
      <w:r w:rsidRPr="003B1303" w:rsidR="00C32045">
        <w:rPr>
          <w:lang w:val="fr-FR"/>
        </w:rPr>
        <w:fldChar w:fldCharType="separate"/>
      </w:r>
      <w:r w:rsidR="003B1303">
        <w:rPr>
          <w:noProof/>
          <w:lang w:val="fr-FR"/>
        </w:rPr>
        <w:t>12</w:t>
      </w:r>
      <w:r w:rsidRPr="003B1303" w:rsidR="00C32045">
        <w:rPr>
          <w:lang w:val="fr-FR"/>
        </w:rPr>
        <w:fldChar w:fldCharType="end"/>
      </w:r>
      <w:r w:rsidRPr="003B1303" w:rsidR="00C32045">
        <w:rPr>
          <w:lang w:val="fr-FR"/>
        </w:rPr>
        <w:t xml:space="preserve"> </w:t>
      </w:r>
      <w:r w:rsidRPr="003B1303" w:rsidR="00FE2D4A">
        <w:rPr>
          <w:lang w:val="fr-FR"/>
        </w:rPr>
        <w:t>ci</w:t>
      </w:r>
      <w:r w:rsidRPr="003B1303" w:rsidR="00FE2D4A">
        <w:rPr>
          <w:lang w:val="fr-FR"/>
        </w:rPr>
        <w:noBreakHyphen/>
        <w:t>dessus).</w:t>
      </w:r>
    </w:p>
    <w:p w:rsidRPr="003B1303" w:rsidR="008F23B0" w:rsidP="003B1303" w:rsidRDefault="00E63D9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178</w:t>
      </w:r>
      <w:r w:rsidRPr="003B1303">
        <w:rPr>
          <w:lang w:val="fr-FR"/>
        </w:rPr>
        <w:fldChar w:fldCharType="end"/>
      </w:r>
      <w:r w:rsidRPr="003B1303">
        <w:rPr>
          <w:lang w:val="fr-FR"/>
        </w:rPr>
        <w:t>.  </w:t>
      </w:r>
      <w:r w:rsidRPr="003B1303" w:rsidR="00FE2D4A">
        <w:rPr>
          <w:lang w:val="fr-FR"/>
        </w:rPr>
        <w:t>La Cour note également qu</w:t>
      </w:r>
      <w:r w:rsidRPr="003B1303" w:rsidR="003B1303">
        <w:rPr>
          <w:lang w:val="fr-FR"/>
        </w:rPr>
        <w:t>’</w:t>
      </w:r>
      <w:r w:rsidRPr="003B1303" w:rsidR="00FE2D4A">
        <w:rPr>
          <w:lang w:val="fr-FR"/>
        </w:rPr>
        <w:t>il n</w:t>
      </w:r>
      <w:r w:rsidRPr="003B1303" w:rsidR="003B1303">
        <w:rPr>
          <w:lang w:val="fr-FR"/>
        </w:rPr>
        <w:t>’</w:t>
      </w:r>
      <w:r w:rsidRPr="003B1303" w:rsidR="00FE2D4A">
        <w:rPr>
          <w:lang w:val="fr-FR"/>
        </w:rPr>
        <w:t>est pas contesté par les parties que, lors de l</w:t>
      </w:r>
      <w:r w:rsidRPr="003B1303" w:rsidR="003B1303">
        <w:rPr>
          <w:lang w:val="fr-FR"/>
        </w:rPr>
        <w:t>’</w:t>
      </w:r>
      <w:r w:rsidRPr="003B1303" w:rsidR="00FE2D4A">
        <w:rPr>
          <w:lang w:val="fr-FR"/>
        </w:rPr>
        <w:t>interrogatoire du 15 avril 2008, le premier requérant n</w:t>
      </w:r>
      <w:r w:rsidRPr="003B1303" w:rsidR="003B1303">
        <w:rPr>
          <w:lang w:val="fr-FR"/>
        </w:rPr>
        <w:t>’</w:t>
      </w:r>
      <w:r w:rsidRPr="003B1303" w:rsidR="00FE2D4A">
        <w:rPr>
          <w:lang w:val="fr-FR"/>
        </w:rPr>
        <w:t xml:space="preserve">a pas été assisté par les avocates de son choix, </w:t>
      </w:r>
      <w:proofErr w:type="spellStart"/>
      <w:r w:rsidRPr="003B1303" w:rsidR="00FE2D4A">
        <w:rPr>
          <w:lang w:val="fr-FR"/>
        </w:rPr>
        <w:t>Ye</w:t>
      </w:r>
      <w:proofErr w:type="spellEnd"/>
      <w:r w:rsidRPr="003B1303" w:rsidR="00FE2D4A">
        <w:rPr>
          <w:lang w:val="fr-FR"/>
        </w:rPr>
        <w:t xml:space="preserve">. </w:t>
      </w:r>
      <w:proofErr w:type="gramStart"/>
      <w:r w:rsidRPr="003B1303" w:rsidR="00FE2D4A">
        <w:rPr>
          <w:lang w:val="fr-FR"/>
        </w:rPr>
        <w:t>et</w:t>
      </w:r>
      <w:proofErr w:type="gramEnd"/>
      <w:r w:rsidRPr="003B1303" w:rsidR="00FE2D4A">
        <w:rPr>
          <w:lang w:val="fr-FR"/>
        </w:rPr>
        <w:t xml:space="preserve"> Ch., mais par Ku., une avocate commise d</w:t>
      </w:r>
      <w:r w:rsidRPr="003B1303" w:rsidR="003B1303">
        <w:rPr>
          <w:lang w:val="fr-FR"/>
        </w:rPr>
        <w:t>’</w:t>
      </w:r>
      <w:r w:rsidRPr="003B1303" w:rsidR="00FE2D4A">
        <w:rPr>
          <w:lang w:val="fr-FR"/>
        </w:rPr>
        <w:t>office. Le Gouvernement soutient que l</w:t>
      </w:r>
      <w:r w:rsidRPr="003B1303" w:rsidR="003B1303">
        <w:rPr>
          <w:lang w:val="fr-FR"/>
        </w:rPr>
        <w:t>’</w:t>
      </w:r>
      <w:r w:rsidRPr="003B1303" w:rsidR="00FE2D4A">
        <w:rPr>
          <w:lang w:val="fr-FR"/>
        </w:rPr>
        <w:t xml:space="preserve">intéressé a consenti par écrit </w:t>
      </w:r>
      <w:r w:rsidRPr="003B1303" w:rsidR="00A05FCF">
        <w:rPr>
          <w:lang w:val="fr-FR"/>
        </w:rPr>
        <w:t xml:space="preserve">à </w:t>
      </w:r>
      <w:r w:rsidRPr="003B1303" w:rsidR="00FE2D4A">
        <w:rPr>
          <w:lang w:val="fr-FR"/>
        </w:rPr>
        <w:t xml:space="preserve">être représenté par cette dernière lors </w:t>
      </w:r>
      <w:r w:rsidRPr="003B1303" w:rsidR="0066692F">
        <w:rPr>
          <w:lang w:val="fr-FR"/>
        </w:rPr>
        <w:t>cet</w:t>
      </w:r>
      <w:r w:rsidRPr="003B1303" w:rsidR="00FE2D4A">
        <w:rPr>
          <w:lang w:val="fr-FR"/>
        </w:rPr>
        <w:t xml:space="preserve"> interrogatoire et que son droit </w:t>
      </w:r>
      <w:r w:rsidRPr="003B1303">
        <w:rPr>
          <w:lang w:val="fr-FR"/>
        </w:rPr>
        <w:t>d</w:t>
      </w:r>
      <w:r w:rsidRPr="003B1303" w:rsidR="003B1303">
        <w:rPr>
          <w:lang w:val="fr-FR"/>
        </w:rPr>
        <w:t>’</w:t>
      </w:r>
      <w:r w:rsidRPr="003B1303">
        <w:rPr>
          <w:lang w:val="fr-FR"/>
        </w:rPr>
        <w:t xml:space="preserve">accès à </w:t>
      </w:r>
      <w:r w:rsidRPr="003B1303" w:rsidR="00573704">
        <w:rPr>
          <w:lang w:val="fr-FR"/>
        </w:rPr>
        <w:t xml:space="preserve">un avocat </w:t>
      </w:r>
      <w:r w:rsidRPr="003B1303" w:rsidR="00FE2D4A">
        <w:rPr>
          <w:lang w:val="fr-FR"/>
        </w:rPr>
        <w:t xml:space="preserve">a donc été respecté. Le </w:t>
      </w:r>
      <w:r w:rsidRPr="003B1303" w:rsidR="009B512A">
        <w:rPr>
          <w:lang w:val="fr-FR"/>
        </w:rPr>
        <w:t xml:space="preserve">premier </w:t>
      </w:r>
      <w:r w:rsidRPr="003B1303" w:rsidR="00FE2D4A">
        <w:rPr>
          <w:lang w:val="fr-FR"/>
        </w:rPr>
        <w:t xml:space="preserve">requérant allègue que </w:t>
      </w:r>
      <w:r w:rsidRPr="003B1303" w:rsidR="009B512A">
        <w:rPr>
          <w:lang w:val="fr-FR"/>
        </w:rPr>
        <w:t xml:space="preserve">son </w:t>
      </w:r>
      <w:r w:rsidRPr="003B1303" w:rsidR="00FE2D4A">
        <w:rPr>
          <w:lang w:val="fr-FR"/>
        </w:rPr>
        <w:t>consentement n</w:t>
      </w:r>
      <w:r w:rsidRPr="003B1303" w:rsidR="003B1303">
        <w:rPr>
          <w:lang w:val="fr-FR"/>
        </w:rPr>
        <w:t>’</w:t>
      </w:r>
      <w:r w:rsidRPr="003B1303" w:rsidR="00A05FCF">
        <w:rPr>
          <w:lang w:val="fr-FR"/>
        </w:rPr>
        <w:t>a</w:t>
      </w:r>
      <w:r w:rsidRPr="003B1303" w:rsidR="00FE2D4A">
        <w:rPr>
          <w:lang w:val="fr-FR"/>
        </w:rPr>
        <w:t xml:space="preserve"> pas </w:t>
      </w:r>
      <w:r w:rsidRPr="003B1303" w:rsidR="00A05FCF">
        <w:rPr>
          <w:lang w:val="fr-FR"/>
        </w:rPr>
        <w:t xml:space="preserve">été </w:t>
      </w:r>
      <w:r w:rsidRPr="003B1303" w:rsidR="009B512A">
        <w:rPr>
          <w:lang w:val="fr-FR"/>
        </w:rPr>
        <w:t xml:space="preserve">libre </w:t>
      </w:r>
      <w:r w:rsidRPr="003B1303" w:rsidR="00FE2D4A">
        <w:rPr>
          <w:lang w:val="fr-FR"/>
        </w:rPr>
        <w:t>et</w:t>
      </w:r>
      <w:r w:rsidRPr="003B1303" w:rsidR="00F1193E">
        <w:rPr>
          <w:lang w:val="fr-FR"/>
        </w:rPr>
        <w:t>, en outre, que</w:t>
      </w:r>
      <w:r w:rsidRPr="003B1303" w:rsidR="00FE2D4A">
        <w:rPr>
          <w:lang w:val="fr-FR"/>
        </w:rPr>
        <w:t xml:space="preserve"> l</w:t>
      </w:r>
      <w:r w:rsidRPr="003B1303" w:rsidR="003B1303">
        <w:rPr>
          <w:lang w:val="fr-FR"/>
        </w:rPr>
        <w:t>’</w:t>
      </w:r>
      <w:r w:rsidRPr="003B1303" w:rsidR="00FE2D4A">
        <w:rPr>
          <w:lang w:val="fr-FR"/>
        </w:rPr>
        <w:t xml:space="preserve">assistance de Ku. </w:t>
      </w:r>
      <w:proofErr w:type="gramStart"/>
      <w:r w:rsidRPr="003B1303" w:rsidR="00FE2D4A">
        <w:rPr>
          <w:lang w:val="fr-FR"/>
        </w:rPr>
        <w:t>n</w:t>
      </w:r>
      <w:r w:rsidRPr="003B1303" w:rsidR="003B1303">
        <w:rPr>
          <w:lang w:val="fr-FR"/>
        </w:rPr>
        <w:t>’</w:t>
      </w:r>
      <w:r w:rsidRPr="003B1303" w:rsidR="00FE2D4A">
        <w:rPr>
          <w:lang w:val="fr-FR"/>
        </w:rPr>
        <w:t>a</w:t>
      </w:r>
      <w:proofErr w:type="gramEnd"/>
      <w:r w:rsidRPr="003B1303" w:rsidR="00FE2D4A">
        <w:rPr>
          <w:lang w:val="fr-FR"/>
        </w:rPr>
        <w:t xml:space="preserve"> pas été effective.</w:t>
      </w:r>
    </w:p>
    <w:p w:rsidRPr="003B1303" w:rsidR="00FE2D4A" w:rsidP="003B1303" w:rsidRDefault="00E63D9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179</w:t>
      </w:r>
      <w:r w:rsidRPr="003B1303">
        <w:rPr>
          <w:lang w:val="fr-FR"/>
        </w:rPr>
        <w:fldChar w:fldCharType="end"/>
      </w:r>
      <w:r w:rsidRPr="003B1303">
        <w:rPr>
          <w:lang w:val="fr-FR"/>
        </w:rPr>
        <w:t>.  </w:t>
      </w:r>
      <w:r w:rsidRPr="003B1303" w:rsidR="00FE2D4A">
        <w:rPr>
          <w:rStyle w:val="ECHRParaChar"/>
          <w:lang w:val="fr-FR"/>
        </w:rPr>
        <w:t>La Cour doit donc rechercher s</w:t>
      </w:r>
      <w:r w:rsidRPr="003B1303" w:rsidR="003B1303">
        <w:rPr>
          <w:rStyle w:val="ECHRParaChar"/>
          <w:lang w:val="fr-FR"/>
        </w:rPr>
        <w:t>’</w:t>
      </w:r>
      <w:r w:rsidRPr="003B1303" w:rsidR="00FE2D4A">
        <w:rPr>
          <w:rStyle w:val="ECHRParaChar"/>
          <w:lang w:val="fr-FR"/>
        </w:rPr>
        <w:t xml:space="preserve">il </w:t>
      </w:r>
      <w:r w:rsidRPr="003B1303">
        <w:rPr>
          <w:rStyle w:val="ECHRParaChar"/>
          <w:lang w:val="fr-FR"/>
        </w:rPr>
        <w:t xml:space="preserve">y a eu </w:t>
      </w:r>
      <w:r w:rsidRPr="003B1303" w:rsidR="00FE2D4A">
        <w:rPr>
          <w:rStyle w:val="ECHRParaChar"/>
          <w:lang w:val="fr-FR"/>
        </w:rPr>
        <w:t>en l</w:t>
      </w:r>
      <w:r w:rsidRPr="003B1303" w:rsidR="003B1303">
        <w:rPr>
          <w:rStyle w:val="ECHRParaChar"/>
          <w:lang w:val="fr-FR"/>
        </w:rPr>
        <w:t>’</w:t>
      </w:r>
      <w:r w:rsidRPr="003B1303" w:rsidR="00FE2D4A">
        <w:rPr>
          <w:rStyle w:val="ECHRParaChar"/>
          <w:lang w:val="fr-FR"/>
        </w:rPr>
        <w:t xml:space="preserve">espèce </w:t>
      </w:r>
      <w:r w:rsidRPr="003B1303" w:rsidR="00F65BBB">
        <w:rPr>
          <w:rStyle w:val="ECHRParaChar"/>
          <w:lang w:val="fr-FR"/>
        </w:rPr>
        <w:t>des</w:t>
      </w:r>
      <w:r w:rsidRPr="003B1303" w:rsidR="00FE2D4A">
        <w:rPr>
          <w:rStyle w:val="ECHRParaChar"/>
          <w:lang w:val="fr-FR"/>
        </w:rPr>
        <w:t xml:space="preserve"> restriction</w:t>
      </w:r>
      <w:r w:rsidRPr="003B1303" w:rsidR="00F65BBB">
        <w:rPr>
          <w:rStyle w:val="ECHRParaChar"/>
          <w:lang w:val="fr-FR"/>
        </w:rPr>
        <w:t>s</w:t>
      </w:r>
      <w:r w:rsidRPr="003B1303" w:rsidR="00FE2D4A">
        <w:rPr>
          <w:rStyle w:val="ECHRParaChar"/>
          <w:lang w:val="fr-FR"/>
        </w:rPr>
        <w:t xml:space="preserve"> </w:t>
      </w:r>
      <w:r w:rsidRPr="003B1303">
        <w:rPr>
          <w:rStyle w:val="ECHRParaChar"/>
          <w:lang w:val="fr-FR"/>
        </w:rPr>
        <w:t xml:space="preserve">au </w:t>
      </w:r>
      <w:r w:rsidRPr="003B1303" w:rsidR="00FE2D4A">
        <w:rPr>
          <w:rStyle w:val="ECHRParaChar"/>
          <w:lang w:val="fr-FR"/>
        </w:rPr>
        <w:t xml:space="preserve">droit </w:t>
      </w:r>
      <w:r w:rsidRPr="003B1303" w:rsidR="008F23B0">
        <w:rPr>
          <w:rStyle w:val="ECHRParaChar"/>
          <w:lang w:val="fr-FR"/>
        </w:rPr>
        <w:t xml:space="preserve">du </w:t>
      </w:r>
      <w:r w:rsidRPr="003B1303" w:rsidR="009B512A">
        <w:rPr>
          <w:rStyle w:val="ECHRParaChar"/>
          <w:lang w:val="fr-FR"/>
        </w:rPr>
        <w:t xml:space="preserve">premier </w:t>
      </w:r>
      <w:r w:rsidRPr="003B1303" w:rsidR="008F23B0">
        <w:rPr>
          <w:rStyle w:val="ECHRParaChar"/>
          <w:lang w:val="fr-FR"/>
        </w:rPr>
        <w:t xml:space="preserve">requérant à bénéficier </w:t>
      </w:r>
      <w:r w:rsidRPr="003B1303" w:rsidR="00FE2D4A">
        <w:rPr>
          <w:rStyle w:val="ECHRParaChar"/>
          <w:lang w:val="fr-FR"/>
        </w:rPr>
        <w:t>d</w:t>
      </w:r>
      <w:r w:rsidRPr="003B1303" w:rsidR="009B512A">
        <w:rPr>
          <w:rStyle w:val="ECHRParaChar"/>
          <w:lang w:val="fr-FR"/>
        </w:rPr>
        <w:t>e l</w:t>
      </w:r>
      <w:r w:rsidRPr="003B1303" w:rsidR="003B1303">
        <w:rPr>
          <w:rStyle w:val="ECHRParaChar"/>
          <w:lang w:val="fr-FR"/>
        </w:rPr>
        <w:t>’</w:t>
      </w:r>
      <w:r w:rsidRPr="003B1303" w:rsidR="00FE2D4A">
        <w:rPr>
          <w:rStyle w:val="ECHRParaChar"/>
          <w:lang w:val="fr-FR"/>
        </w:rPr>
        <w:t>accès à l</w:t>
      </w:r>
      <w:r w:rsidRPr="003B1303" w:rsidR="003B1303">
        <w:rPr>
          <w:rStyle w:val="ECHRParaChar"/>
          <w:lang w:val="fr-FR"/>
        </w:rPr>
        <w:t>’</w:t>
      </w:r>
      <w:r w:rsidRPr="003B1303" w:rsidR="00FE2D4A">
        <w:rPr>
          <w:rStyle w:val="ECHRParaChar"/>
          <w:lang w:val="fr-FR"/>
        </w:rPr>
        <w:t xml:space="preserve">avocat </w:t>
      </w:r>
      <w:r w:rsidRPr="003B1303" w:rsidR="008F23B0">
        <w:rPr>
          <w:rStyle w:val="ECHRParaChar"/>
          <w:lang w:val="fr-FR"/>
        </w:rPr>
        <w:t xml:space="preserve">de son choix </w:t>
      </w:r>
      <w:r w:rsidRPr="003B1303" w:rsidR="00FE2D4A">
        <w:rPr>
          <w:rStyle w:val="ECHRParaChar"/>
          <w:lang w:val="fr-FR"/>
        </w:rPr>
        <w:t>et si</w:t>
      </w:r>
      <w:r w:rsidRPr="003B1303" w:rsidR="008F23B0">
        <w:rPr>
          <w:rStyle w:val="ECHRParaChar"/>
          <w:lang w:val="fr-FR"/>
        </w:rPr>
        <w:t>, le cas échéant,</w:t>
      </w:r>
      <w:r w:rsidRPr="003B1303" w:rsidR="00FE2D4A">
        <w:rPr>
          <w:rStyle w:val="ECHRParaChar"/>
          <w:lang w:val="fr-FR"/>
        </w:rPr>
        <w:t xml:space="preserve"> ce</w:t>
      </w:r>
      <w:r w:rsidRPr="003B1303" w:rsidR="00F65BBB">
        <w:rPr>
          <w:rStyle w:val="ECHRParaChar"/>
          <w:lang w:val="fr-FR"/>
        </w:rPr>
        <w:t>s</w:t>
      </w:r>
      <w:r w:rsidRPr="003B1303" w:rsidR="00FE2D4A">
        <w:rPr>
          <w:rStyle w:val="ECHRParaChar"/>
          <w:lang w:val="fr-FR"/>
        </w:rPr>
        <w:t xml:space="preserve"> restriction</w:t>
      </w:r>
      <w:r w:rsidRPr="003B1303" w:rsidR="00F65BBB">
        <w:rPr>
          <w:rStyle w:val="ECHRParaChar"/>
          <w:lang w:val="fr-FR"/>
        </w:rPr>
        <w:t>s</w:t>
      </w:r>
      <w:r w:rsidRPr="003B1303" w:rsidR="00FE2D4A">
        <w:rPr>
          <w:rStyle w:val="ECHRParaChar"/>
          <w:lang w:val="fr-FR"/>
        </w:rPr>
        <w:t xml:space="preserve"> </w:t>
      </w:r>
      <w:r w:rsidRPr="003B1303" w:rsidR="00F65BBB">
        <w:rPr>
          <w:rStyle w:val="ECHRParaChar"/>
          <w:lang w:val="fr-FR"/>
        </w:rPr>
        <w:t>ont</w:t>
      </w:r>
      <w:r w:rsidRPr="003B1303" w:rsidR="00FE2D4A">
        <w:rPr>
          <w:rStyle w:val="ECHRParaChar"/>
          <w:lang w:val="fr-FR"/>
        </w:rPr>
        <w:t xml:space="preserve"> eu un impact </w:t>
      </w:r>
      <w:r w:rsidRPr="003B1303" w:rsidR="008F23B0">
        <w:rPr>
          <w:rStyle w:val="ECHRParaChar"/>
          <w:lang w:val="fr-FR"/>
        </w:rPr>
        <w:t>sur</w:t>
      </w:r>
      <w:r w:rsidRPr="003B1303" w:rsidR="00FE2D4A">
        <w:rPr>
          <w:rStyle w:val="ECHRParaChar"/>
          <w:lang w:val="fr-FR"/>
        </w:rPr>
        <w:t xml:space="preserve"> l</w:t>
      </w:r>
      <w:r w:rsidRPr="003B1303" w:rsidR="003B1303">
        <w:rPr>
          <w:rStyle w:val="ECHRParaChar"/>
          <w:lang w:val="fr-FR"/>
        </w:rPr>
        <w:t>’</w:t>
      </w:r>
      <w:r w:rsidRPr="003B1303" w:rsidR="00FE2D4A">
        <w:rPr>
          <w:rStyle w:val="ECHRParaChar"/>
          <w:lang w:val="fr-FR"/>
        </w:rPr>
        <w:t>équité de la procédure pénale prise dans son ensemble</w:t>
      </w:r>
      <w:r w:rsidRPr="003B1303" w:rsidR="008F23B0">
        <w:rPr>
          <w:rStyle w:val="ECHRParaChar"/>
          <w:lang w:val="fr-FR"/>
        </w:rPr>
        <w:t xml:space="preserve"> </w:t>
      </w:r>
      <w:r w:rsidRPr="003B1303" w:rsidR="00947BCC">
        <w:rPr>
          <w:rStyle w:val="ECHRParaChar"/>
          <w:lang w:val="fr-FR"/>
        </w:rPr>
        <w:t>(</w:t>
      </w:r>
      <w:proofErr w:type="spellStart"/>
      <w:r w:rsidRPr="003B1303" w:rsidR="00947BCC">
        <w:rPr>
          <w:rStyle w:val="ECHRParaChar"/>
          <w:i/>
          <w:lang w:val="fr-FR"/>
        </w:rPr>
        <w:t>Beuze</w:t>
      </w:r>
      <w:proofErr w:type="spellEnd"/>
      <w:r w:rsidRPr="003B1303" w:rsidR="00947BCC">
        <w:rPr>
          <w:rStyle w:val="ECHRParaChar"/>
          <w:lang w:val="fr-FR"/>
        </w:rPr>
        <w:t xml:space="preserve">, précité, § 150 </w:t>
      </w:r>
      <w:r w:rsidRPr="003B1303" w:rsidR="00947BCC">
        <w:rPr>
          <w:rStyle w:val="ECHRParaChar"/>
          <w:i/>
          <w:lang w:val="fr-FR"/>
        </w:rPr>
        <w:t>in fine</w:t>
      </w:r>
      <w:r w:rsidRPr="003B1303" w:rsidR="00947BCC">
        <w:rPr>
          <w:rStyle w:val="ECHRParaChar"/>
          <w:lang w:val="fr-FR"/>
        </w:rPr>
        <w:t> ; pour le cas de figure où il s</w:t>
      </w:r>
      <w:r w:rsidRPr="003B1303" w:rsidR="003B1303">
        <w:rPr>
          <w:rStyle w:val="ECHRParaChar"/>
          <w:lang w:val="fr-FR"/>
        </w:rPr>
        <w:t>’</w:t>
      </w:r>
      <w:r w:rsidRPr="003B1303" w:rsidR="00947BCC">
        <w:rPr>
          <w:rStyle w:val="ECHRParaChar"/>
          <w:lang w:val="fr-FR"/>
        </w:rPr>
        <w:t>agissait d</w:t>
      </w:r>
      <w:r w:rsidRPr="003B1303" w:rsidR="003B1303">
        <w:rPr>
          <w:rStyle w:val="ECHRParaChar"/>
          <w:lang w:val="fr-FR"/>
        </w:rPr>
        <w:t>’</w:t>
      </w:r>
      <w:r w:rsidRPr="003B1303" w:rsidR="00947BCC">
        <w:rPr>
          <w:rStyle w:val="ECHRParaChar"/>
          <w:lang w:val="fr-FR"/>
        </w:rPr>
        <w:t>un refus de choix de l</w:t>
      </w:r>
      <w:r w:rsidRPr="003B1303" w:rsidR="003B1303">
        <w:rPr>
          <w:rStyle w:val="ECHRParaChar"/>
          <w:lang w:val="fr-FR"/>
        </w:rPr>
        <w:t>’</w:t>
      </w:r>
      <w:r w:rsidRPr="003B1303" w:rsidR="00947BCC">
        <w:rPr>
          <w:rStyle w:val="ECHRParaChar"/>
          <w:lang w:val="fr-FR"/>
        </w:rPr>
        <w:t xml:space="preserve">avocat, voir </w:t>
      </w:r>
      <w:proofErr w:type="spellStart"/>
      <w:r w:rsidRPr="003B1303" w:rsidR="00947BCC">
        <w:rPr>
          <w:rStyle w:val="ECHRParaChar"/>
          <w:i/>
          <w:lang w:val="fr-FR"/>
        </w:rPr>
        <w:t>Dvorski</w:t>
      </w:r>
      <w:proofErr w:type="spellEnd"/>
      <w:r w:rsidRPr="003B1303" w:rsidR="00947BCC">
        <w:rPr>
          <w:rStyle w:val="ECHRParaChar"/>
          <w:i/>
          <w:lang w:val="fr-FR"/>
        </w:rPr>
        <w:t xml:space="preserve"> c. Croatie</w:t>
      </w:r>
      <w:r w:rsidRPr="003B1303" w:rsidR="00947BCC">
        <w:rPr>
          <w:rStyle w:val="ECHRParaChar"/>
          <w:lang w:val="fr-FR"/>
        </w:rPr>
        <w:t xml:space="preserve"> [GC], n</w:t>
      </w:r>
      <w:r w:rsidRPr="003B1303" w:rsidR="00947BCC">
        <w:rPr>
          <w:rStyle w:val="ECHRParaChar"/>
          <w:vertAlign w:val="superscript"/>
          <w:lang w:val="fr-FR"/>
        </w:rPr>
        <w:t>o</w:t>
      </w:r>
      <w:r w:rsidRPr="003B1303" w:rsidR="000B50F0">
        <w:rPr>
          <w:rStyle w:val="ECHRParaChar"/>
          <w:lang w:val="fr-FR"/>
        </w:rPr>
        <w:t> </w:t>
      </w:r>
      <w:r w:rsidRPr="003B1303" w:rsidR="00947BCC">
        <w:rPr>
          <w:rStyle w:val="ECHRParaChar"/>
          <w:lang w:val="fr-FR"/>
        </w:rPr>
        <w:t>25703/11, §§ 83</w:t>
      </w:r>
      <w:r w:rsidRPr="003B1303" w:rsidR="00947BCC">
        <w:rPr>
          <w:rStyle w:val="ECHRParaChar"/>
          <w:lang w:val="fr-FR"/>
        </w:rPr>
        <w:noBreakHyphen/>
        <w:t>113, CEDH 2015).</w:t>
      </w:r>
    </w:p>
    <w:p w:rsidRPr="003B1303" w:rsidR="009C6CF5" w:rsidP="003B1303" w:rsidRDefault="009C6CF5">
      <w:pPr>
        <w:pStyle w:val="ECHRHeading5"/>
        <w:rPr>
          <w:lang w:val="fr-FR"/>
        </w:rPr>
      </w:pPr>
      <w:r w:rsidRPr="003B1303">
        <w:rPr>
          <w:lang w:val="fr-FR"/>
        </w:rPr>
        <w:t>i.</w:t>
      </w:r>
      <w:r w:rsidRPr="003B1303" w:rsidR="00A57324">
        <w:rPr>
          <w:lang w:val="fr-FR"/>
        </w:rPr>
        <w:t>  </w:t>
      </w:r>
      <w:r w:rsidRPr="003B1303">
        <w:rPr>
          <w:lang w:val="fr-FR"/>
        </w:rPr>
        <w:t>Existence et ampleur de</w:t>
      </w:r>
      <w:r w:rsidRPr="003B1303" w:rsidR="009B512A">
        <w:rPr>
          <w:lang w:val="fr-FR"/>
        </w:rPr>
        <w:t>s</w:t>
      </w:r>
      <w:r w:rsidRPr="003B1303">
        <w:rPr>
          <w:lang w:val="fr-FR"/>
        </w:rPr>
        <w:t xml:space="preserve"> restriction</w:t>
      </w:r>
      <w:r w:rsidRPr="003B1303" w:rsidR="00F65BBB">
        <w:rPr>
          <w:lang w:val="fr-FR"/>
        </w:rPr>
        <w:t>s</w:t>
      </w:r>
    </w:p>
    <w:p w:rsidRPr="003B1303" w:rsidR="00E707DA" w:rsidP="003B1303" w:rsidRDefault="00F77D26">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180</w:t>
      </w:r>
      <w:r w:rsidRPr="003B1303">
        <w:rPr>
          <w:lang w:val="fr-FR"/>
        </w:rPr>
        <w:fldChar w:fldCharType="end"/>
      </w:r>
      <w:r w:rsidRPr="003B1303">
        <w:rPr>
          <w:lang w:val="fr-FR"/>
        </w:rPr>
        <w:t>.  </w:t>
      </w:r>
      <w:r w:rsidRPr="003B1303" w:rsidR="008F23B0">
        <w:rPr>
          <w:lang w:val="fr-FR"/>
        </w:rPr>
        <w:t>La Cour estime que la thèse du Gouvernement revient à dire que l</w:t>
      </w:r>
      <w:r w:rsidRPr="003B1303" w:rsidR="003B1303">
        <w:rPr>
          <w:lang w:val="fr-FR"/>
        </w:rPr>
        <w:t>’</w:t>
      </w:r>
      <w:r w:rsidRPr="003B1303" w:rsidR="008F23B0">
        <w:rPr>
          <w:lang w:val="fr-FR"/>
        </w:rPr>
        <w:t xml:space="preserve">accord écrit du </w:t>
      </w:r>
      <w:r w:rsidRPr="003B1303" w:rsidR="00D408A1">
        <w:rPr>
          <w:lang w:val="fr-FR"/>
        </w:rPr>
        <w:t xml:space="preserve">premier </w:t>
      </w:r>
      <w:r w:rsidRPr="003B1303" w:rsidR="008F23B0">
        <w:rPr>
          <w:lang w:val="fr-FR"/>
        </w:rPr>
        <w:t>requérant en vue d</w:t>
      </w:r>
      <w:r w:rsidRPr="003B1303" w:rsidR="003B1303">
        <w:rPr>
          <w:lang w:val="fr-FR"/>
        </w:rPr>
        <w:t>’</w:t>
      </w:r>
      <w:r w:rsidRPr="003B1303" w:rsidR="008F23B0">
        <w:rPr>
          <w:lang w:val="fr-FR"/>
        </w:rPr>
        <w:t>être assisté par l</w:t>
      </w:r>
      <w:r w:rsidRPr="003B1303" w:rsidR="003B1303">
        <w:rPr>
          <w:lang w:val="fr-FR"/>
        </w:rPr>
        <w:t>’</w:t>
      </w:r>
      <w:r w:rsidRPr="003B1303" w:rsidR="008F23B0">
        <w:rPr>
          <w:lang w:val="fr-FR"/>
        </w:rPr>
        <w:t>avocate commise d</w:t>
      </w:r>
      <w:r w:rsidRPr="003B1303" w:rsidR="003B1303">
        <w:rPr>
          <w:lang w:val="fr-FR"/>
        </w:rPr>
        <w:t>’</w:t>
      </w:r>
      <w:r w:rsidRPr="003B1303" w:rsidR="008F23B0">
        <w:rPr>
          <w:lang w:val="fr-FR"/>
        </w:rPr>
        <w:t xml:space="preserve">office Ku. </w:t>
      </w:r>
      <w:proofErr w:type="gramStart"/>
      <w:r w:rsidRPr="003B1303" w:rsidR="00D408A1">
        <w:rPr>
          <w:lang w:val="fr-FR"/>
        </w:rPr>
        <w:t>équivalait</w:t>
      </w:r>
      <w:proofErr w:type="gramEnd"/>
      <w:r w:rsidRPr="003B1303" w:rsidR="00D408A1">
        <w:rPr>
          <w:lang w:val="fr-FR"/>
        </w:rPr>
        <w:t xml:space="preserve"> </w:t>
      </w:r>
      <w:r w:rsidRPr="003B1303" w:rsidR="008F23B0">
        <w:rPr>
          <w:lang w:val="fr-FR"/>
        </w:rPr>
        <w:t xml:space="preserve">à une renonciation </w:t>
      </w:r>
      <w:r w:rsidRPr="003B1303" w:rsidR="00BC6135">
        <w:rPr>
          <w:lang w:val="fr-FR"/>
        </w:rPr>
        <w:t xml:space="preserve">implicite </w:t>
      </w:r>
      <w:r w:rsidRPr="003B1303" w:rsidR="00D408A1">
        <w:rPr>
          <w:lang w:val="fr-FR"/>
        </w:rPr>
        <w:t>de l</w:t>
      </w:r>
      <w:r w:rsidRPr="003B1303" w:rsidR="003B1303">
        <w:rPr>
          <w:lang w:val="fr-FR"/>
        </w:rPr>
        <w:t>’</w:t>
      </w:r>
      <w:r w:rsidRPr="003B1303" w:rsidR="00D408A1">
        <w:rPr>
          <w:lang w:val="fr-FR"/>
        </w:rPr>
        <w:t xml:space="preserve">intéressé </w:t>
      </w:r>
      <w:r w:rsidRPr="003B1303" w:rsidR="008F23B0">
        <w:rPr>
          <w:lang w:val="fr-FR"/>
        </w:rPr>
        <w:t>à son droit d</w:t>
      </w:r>
      <w:r w:rsidRPr="003B1303" w:rsidR="003B1303">
        <w:rPr>
          <w:lang w:val="fr-FR"/>
        </w:rPr>
        <w:t>’</w:t>
      </w:r>
      <w:r w:rsidRPr="003B1303" w:rsidR="008F23B0">
        <w:rPr>
          <w:lang w:val="fr-FR"/>
        </w:rPr>
        <w:t xml:space="preserve">être </w:t>
      </w:r>
      <w:r w:rsidRPr="003B1303" w:rsidR="00C32045">
        <w:rPr>
          <w:lang w:val="fr-FR"/>
        </w:rPr>
        <w:t>assisté</w:t>
      </w:r>
      <w:r w:rsidRPr="003B1303" w:rsidR="008F23B0">
        <w:rPr>
          <w:lang w:val="fr-FR"/>
        </w:rPr>
        <w:t xml:space="preserve"> par </w:t>
      </w:r>
      <w:r w:rsidRPr="003B1303" w:rsidR="00E707DA">
        <w:rPr>
          <w:lang w:val="fr-FR"/>
        </w:rPr>
        <w:t xml:space="preserve">les avocates de son choix. </w:t>
      </w:r>
      <w:r w:rsidRPr="003B1303" w:rsidR="00D408A1">
        <w:rPr>
          <w:lang w:val="fr-FR"/>
        </w:rPr>
        <w:t>Elle</w:t>
      </w:r>
      <w:r w:rsidRPr="003B1303" w:rsidR="00E707DA">
        <w:rPr>
          <w:lang w:val="fr-FR"/>
        </w:rPr>
        <w:t xml:space="preserve"> rappelle qu</w:t>
      </w:r>
      <w:r w:rsidRPr="003B1303" w:rsidR="003B1303">
        <w:rPr>
          <w:lang w:val="fr-FR"/>
        </w:rPr>
        <w:t>’</w:t>
      </w:r>
      <w:r w:rsidRPr="003B1303" w:rsidR="00E707DA">
        <w:rPr>
          <w:lang w:val="fr-FR"/>
        </w:rPr>
        <w:t xml:space="preserve">une renonciation à </w:t>
      </w:r>
      <w:r w:rsidRPr="003B1303" w:rsidR="00D408A1">
        <w:rPr>
          <w:lang w:val="fr-FR"/>
        </w:rPr>
        <w:t>l</w:t>
      </w:r>
      <w:r w:rsidRPr="003B1303" w:rsidR="003B1303">
        <w:rPr>
          <w:lang w:val="fr-FR"/>
        </w:rPr>
        <w:t>’</w:t>
      </w:r>
      <w:r w:rsidRPr="003B1303" w:rsidR="00E707DA">
        <w:rPr>
          <w:lang w:val="fr-FR"/>
        </w:rPr>
        <w:t>un des droits protégés par la Convention doit se trouver établie de manière non équivoque et être entourée d</w:t>
      </w:r>
      <w:r w:rsidRPr="003B1303" w:rsidR="003B1303">
        <w:rPr>
          <w:lang w:val="fr-FR"/>
        </w:rPr>
        <w:t>’</w:t>
      </w:r>
      <w:r w:rsidRPr="003B1303" w:rsidR="00E707DA">
        <w:rPr>
          <w:lang w:val="fr-FR"/>
        </w:rPr>
        <w:t>un minimum de garanties correspondant à sa gravité ; elle n</w:t>
      </w:r>
      <w:r w:rsidRPr="003B1303" w:rsidR="003B1303">
        <w:rPr>
          <w:lang w:val="fr-FR"/>
        </w:rPr>
        <w:t>’</w:t>
      </w:r>
      <w:r w:rsidRPr="003B1303" w:rsidR="00E707DA">
        <w:rPr>
          <w:lang w:val="fr-FR"/>
        </w:rPr>
        <w:t>a pas besoin d</w:t>
      </w:r>
      <w:r w:rsidRPr="003B1303" w:rsidR="003B1303">
        <w:rPr>
          <w:lang w:val="fr-FR"/>
        </w:rPr>
        <w:t>’</w:t>
      </w:r>
      <w:r w:rsidRPr="003B1303" w:rsidR="00E707DA">
        <w:rPr>
          <w:lang w:val="fr-FR"/>
        </w:rPr>
        <w:t>être explicite mais elle doit être volontaire, consciente et éclairée (</w:t>
      </w:r>
      <w:proofErr w:type="spellStart"/>
      <w:r w:rsidRPr="003B1303" w:rsidR="00E707DA">
        <w:rPr>
          <w:i/>
          <w:lang w:val="fr-FR"/>
        </w:rPr>
        <w:t>Simeonovi</w:t>
      </w:r>
      <w:proofErr w:type="spellEnd"/>
      <w:r w:rsidRPr="003B1303" w:rsidR="00E707DA">
        <w:rPr>
          <w:lang w:val="fr-FR"/>
        </w:rPr>
        <w:t>, précité, § 115).</w:t>
      </w:r>
    </w:p>
    <w:p w:rsidRPr="003B1303" w:rsidR="0085148A" w:rsidP="003B1303" w:rsidRDefault="00E63D9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181</w:t>
      </w:r>
      <w:r w:rsidRPr="003B1303">
        <w:rPr>
          <w:lang w:val="fr-FR"/>
        </w:rPr>
        <w:fldChar w:fldCharType="end"/>
      </w:r>
      <w:r w:rsidRPr="003B1303">
        <w:rPr>
          <w:lang w:val="fr-FR"/>
        </w:rPr>
        <w:t>.  </w:t>
      </w:r>
      <w:r w:rsidRPr="003B1303" w:rsidR="00BC6135">
        <w:rPr>
          <w:lang w:val="fr-FR"/>
        </w:rPr>
        <w:t>Compte tenu d</w:t>
      </w:r>
      <w:r w:rsidRPr="003B1303" w:rsidR="00935835">
        <w:rPr>
          <w:lang w:val="fr-FR"/>
        </w:rPr>
        <w:t xml:space="preserve">es motifs exposés </w:t>
      </w:r>
      <w:r w:rsidRPr="003B1303" w:rsidR="008F23B0">
        <w:rPr>
          <w:lang w:val="fr-FR"/>
        </w:rPr>
        <w:t>aux paragraphes</w:t>
      </w:r>
      <w:r w:rsidRPr="003B1303" w:rsidR="00C32045">
        <w:rPr>
          <w:lang w:val="fr-FR"/>
        </w:rPr>
        <w:t xml:space="preserve"> </w:t>
      </w:r>
      <w:r w:rsidRPr="003B1303" w:rsidR="00C32045">
        <w:rPr>
          <w:lang w:val="fr-FR"/>
        </w:rPr>
        <w:fldChar w:fldCharType="begin"/>
      </w:r>
      <w:r w:rsidRPr="003B1303" w:rsidR="00C32045">
        <w:rPr>
          <w:lang w:val="fr-FR"/>
        </w:rPr>
        <w:instrText xml:space="preserve"> REF motA3req1 \h </w:instrText>
      </w:r>
      <w:r w:rsidRPr="003B1303" w:rsidR="00C47AAA">
        <w:rPr>
          <w:lang w:val="fr-FR"/>
        </w:rPr>
        <w:instrText xml:space="preserve"> \* MERGEFORMAT </w:instrText>
      </w:r>
      <w:r w:rsidRPr="003B1303" w:rsidR="00C32045">
        <w:rPr>
          <w:lang w:val="fr-FR"/>
        </w:rPr>
      </w:r>
      <w:r w:rsidRPr="003B1303" w:rsidR="00C32045">
        <w:rPr>
          <w:lang w:val="fr-FR"/>
        </w:rPr>
        <w:fldChar w:fldCharType="separate"/>
      </w:r>
      <w:r w:rsidR="003B1303">
        <w:rPr>
          <w:noProof/>
          <w:lang w:val="fr-FR"/>
        </w:rPr>
        <w:t>133</w:t>
      </w:r>
      <w:r w:rsidRPr="003B1303" w:rsidR="00C32045">
        <w:rPr>
          <w:lang w:val="fr-FR"/>
        </w:rPr>
        <w:fldChar w:fldCharType="end"/>
      </w:r>
      <w:r w:rsidRPr="003B1303" w:rsidR="00C32045">
        <w:rPr>
          <w:lang w:val="fr-FR"/>
        </w:rPr>
        <w:noBreakHyphen/>
      </w:r>
      <w:r w:rsidRPr="003B1303" w:rsidR="00C32045">
        <w:rPr>
          <w:lang w:val="fr-FR"/>
        </w:rPr>
        <w:fldChar w:fldCharType="begin"/>
      </w:r>
      <w:r w:rsidRPr="003B1303" w:rsidR="00C32045">
        <w:rPr>
          <w:lang w:val="fr-FR"/>
        </w:rPr>
        <w:instrText xml:space="preserve"> REF motA3req12 \h </w:instrText>
      </w:r>
      <w:r w:rsidRPr="003B1303" w:rsidR="00C47AAA">
        <w:rPr>
          <w:lang w:val="fr-FR"/>
        </w:rPr>
        <w:instrText xml:space="preserve"> \* MERGEFORMAT </w:instrText>
      </w:r>
      <w:r w:rsidRPr="003B1303" w:rsidR="00C32045">
        <w:rPr>
          <w:lang w:val="fr-FR"/>
        </w:rPr>
      </w:r>
      <w:r w:rsidRPr="003B1303" w:rsidR="00C32045">
        <w:rPr>
          <w:lang w:val="fr-FR"/>
        </w:rPr>
        <w:fldChar w:fldCharType="separate"/>
      </w:r>
      <w:r w:rsidR="003B1303">
        <w:rPr>
          <w:noProof/>
          <w:lang w:val="fr-FR"/>
        </w:rPr>
        <w:t>134</w:t>
      </w:r>
      <w:r w:rsidRPr="003B1303" w:rsidR="00C32045">
        <w:rPr>
          <w:lang w:val="fr-FR"/>
        </w:rPr>
        <w:fldChar w:fldCharType="end"/>
      </w:r>
      <w:r w:rsidRPr="003B1303" w:rsidR="008F23B0">
        <w:rPr>
          <w:lang w:val="fr-FR"/>
        </w:rPr>
        <w:t xml:space="preserve"> </w:t>
      </w:r>
      <w:r w:rsidRPr="003B1303" w:rsidR="00935835">
        <w:rPr>
          <w:lang w:val="fr-FR"/>
        </w:rPr>
        <w:t>ci</w:t>
      </w:r>
      <w:r w:rsidRPr="003B1303" w:rsidR="00935835">
        <w:rPr>
          <w:lang w:val="fr-FR"/>
        </w:rPr>
        <w:noBreakHyphen/>
        <w:t xml:space="preserve">dessus, la Cour ne </w:t>
      </w:r>
      <w:r w:rsidRPr="003B1303" w:rsidR="007042B8">
        <w:rPr>
          <w:lang w:val="fr-FR"/>
        </w:rPr>
        <w:t>peut conclure</w:t>
      </w:r>
      <w:r w:rsidRPr="003B1303" w:rsidR="00935835">
        <w:rPr>
          <w:lang w:val="fr-FR"/>
        </w:rPr>
        <w:t xml:space="preserve"> que </w:t>
      </w:r>
      <w:r w:rsidRPr="003B1303" w:rsidR="00554BE9">
        <w:rPr>
          <w:lang w:val="fr-FR"/>
        </w:rPr>
        <w:t>l</w:t>
      </w:r>
      <w:r w:rsidRPr="003B1303" w:rsidR="003B1303">
        <w:rPr>
          <w:lang w:val="fr-FR"/>
        </w:rPr>
        <w:t>’</w:t>
      </w:r>
      <w:r w:rsidRPr="003B1303" w:rsidR="00554BE9">
        <w:rPr>
          <w:lang w:val="fr-FR"/>
        </w:rPr>
        <w:t xml:space="preserve">avocate Ku. </w:t>
      </w:r>
      <w:proofErr w:type="gramStart"/>
      <w:r w:rsidRPr="003B1303" w:rsidR="00554BE9">
        <w:rPr>
          <w:lang w:val="fr-FR"/>
        </w:rPr>
        <w:t>a</w:t>
      </w:r>
      <w:proofErr w:type="gramEnd"/>
      <w:r w:rsidRPr="003B1303" w:rsidR="00554BE9">
        <w:rPr>
          <w:lang w:val="fr-FR"/>
        </w:rPr>
        <w:t xml:space="preserve"> été imposée au </w:t>
      </w:r>
      <w:r w:rsidRPr="003B1303" w:rsidR="0001065C">
        <w:rPr>
          <w:lang w:val="fr-FR"/>
        </w:rPr>
        <w:t xml:space="preserve">premier </w:t>
      </w:r>
      <w:r w:rsidRPr="003B1303" w:rsidR="00935835">
        <w:rPr>
          <w:lang w:val="fr-FR"/>
        </w:rPr>
        <w:t xml:space="preserve">requérant sous </w:t>
      </w:r>
      <w:r w:rsidRPr="003B1303" w:rsidR="00C32045">
        <w:rPr>
          <w:lang w:val="fr-FR"/>
        </w:rPr>
        <w:t xml:space="preserve">la </w:t>
      </w:r>
      <w:r w:rsidRPr="003B1303" w:rsidR="00935835">
        <w:rPr>
          <w:lang w:val="fr-FR"/>
        </w:rPr>
        <w:t>coercition</w:t>
      </w:r>
      <w:r w:rsidRPr="003B1303" w:rsidR="00E707DA">
        <w:rPr>
          <w:lang w:val="fr-FR"/>
        </w:rPr>
        <w:t xml:space="preserve"> </w:t>
      </w:r>
      <w:r w:rsidRPr="003B1303" w:rsidR="00554BE9">
        <w:rPr>
          <w:lang w:val="fr-FR"/>
        </w:rPr>
        <w:t xml:space="preserve">ni </w:t>
      </w:r>
      <w:r w:rsidRPr="003B1303" w:rsidR="00E707DA">
        <w:rPr>
          <w:lang w:val="fr-FR"/>
        </w:rPr>
        <w:t>que sa renonciation à l</w:t>
      </w:r>
      <w:r w:rsidRPr="003B1303" w:rsidR="003B1303">
        <w:rPr>
          <w:lang w:val="fr-FR"/>
        </w:rPr>
        <w:t>’</w:t>
      </w:r>
      <w:r w:rsidRPr="003B1303" w:rsidR="00E707DA">
        <w:rPr>
          <w:lang w:val="fr-FR"/>
        </w:rPr>
        <w:t>assistance des avocates de son choix ét</w:t>
      </w:r>
      <w:r w:rsidRPr="003B1303" w:rsidR="00554BE9">
        <w:rPr>
          <w:lang w:val="fr-FR"/>
        </w:rPr>
        <w:t>ait</w:t>
      </w:r>
      <w:r w:rsidRPr="003B1303" w:rsidR="00E707DA">
        <w:rPr>
          <w:lang w:val="fr-FR"/>
        </w:rPr>
        <w:t xml:space="preserve"> </w:t>
      </w:r>
      <w:r w:rsidRPr="003B1303" w:rsidR="00554BE9">
        <w:rPr>
          <w:lang w:val="fr-FR"/>
        </w:rPr>
        <w:t>in</w:t>
      </w:r>
      <w:r w:rsidRPr="003B1303" w:rsidR="00E707DA">
        <w:rPr>
          <w:lang w:val="fr-FR"/>
        </w:rPr>
        <w:t xml:space="preserve">volontaire. Toutefois, </w:t>
      </w:r>
      <w:r w:rsidRPr="003B1303" w:rsidR="00ED7092">
        <w:rPr>
          <w:lang w:val="fr-FR"/>
        </w:rPr>
        <w:t>elle</w:t>
      </w:r>
      <w:r w:rsidRPr="003B1303" w:rsidR="00E707DA">
        <w:rPr>
          <w:lang w:val="fr-FR"/>
        </w:rPr>
        <w:t xml:space="preserve"> estime </w:t>
      </w:r>
      <w:r w:rsidRPr="003B1303" w:rsidR="00ED7092">
        <w:rPr>
          <w:lang w:val="fr-FR"/>
        </w:rPr>
        <w:t xml:space="preserve">que cette renonciation </w:t>
      </w:r>
      <w:r w:rsidRPr="003B1303" w:rsidR="00E707DA">
        <w:rPr>
          <w:lang w:val="fr-FR"/>
        </w:rPr>
        <w:t>n</w:t>
      </w:r>
      <w:r w:rsidRPr="003B1303" w:rsidR="003B1303">
        <w:rPr>
          <w:lang w:val="fr-FR"/>
        </w:rPr>
        <w:t>’</w:t>
      </w:r>
      <w:r w:rsidRPr="003B1303" w:rsidR="00E707DA">
        <w:rPr>
          <w:lang w:val="fr-FR"/>
        </w:rPr>
        <w:t xml:space="preserve">a pas </w:t>
      </w:r>
      <w:r w:rsidRPr="003B1303" w:rsidR="0001065C">
        <w:rPr>
          <w:lang w:val="fr-FR"/>
        </w:rPr>
        <w:t>été « </w:t>
      </w:r>
      <w:r w:rsidRPr="003B1303">
        <w:rPr>
          <w:lang w:val="fr-FR"/>
        </w:rPr>
        <w:t>conscient</w:t>
      </w:r>
      <w:r w:rsidRPr="003B1303" w:rsidR="007042B8">
        <w:rPr>
          <w:lang w:val="fr-FR"/>
        </w:rPr>
        <w:t>e</w:t>
      </w:r>
      <w:r w:rsidRPr="003B1303" w:rsidR="007E45D9">
        <w:rPr>
          <w:lang w:val="fr-FR"/>
        </w:rPr>
        <w:t xml:space="preserve"> et </w:t>
      </w:r>
      <w:r w:rsidRPr="003B1303" w:rsidR="0001065C">
        <w:rPr>
          <w:lang w:val="fr-FR"/>
        </w:rPr>
        <w:t>éclairé</w:t>
      </w:r>
      <w:r w:rsidRPr="003B1303" w:rsidR="00ED7092">
        <w:rPr>
          <w:lang w:val="fr-FR"/>
        </w:rPr>
        <w:t>e</w:t>
      </w:r>
      <w:r w:rsidRPr="003B1303" w:rsidR="0001065C">
        <w:rPr>
          <w:lang w:val="fr-FR"/>
        </w:rPr>
        <w:t xml:space="preserve"> ». En effet, </w:t>
      </w:r>
      <w:r w:rsidRPr="003B1303" w:rsidR="00ED7092">
        <w:rPr>
          <w:lang w:val="fr-FR"/>
        </w:rPr>
        <w:t>elle</w:t>
      </w:r>
      <w:r w:rsidRPr="003B1303">
        <w:rPr>
          <w:lang w:val="fr-FR"/>
        </w:rPr>
        <w:t xml:space="preserve"> relève qu</w:t>
      </w:r>
      <w:r w:rsidRPr="003B1303" w:rsidR="00ED7092">
        <w:rPr>
          <w:lang w:val="fr-FR"/>
        </w:rPr>
        <w:t xml:space="preserve">e, </w:t>
      </w:r>
      <w:r w:rsidRPr="003B1303" w:rsidR="0001065C">
        <w:rPr>
          <w:lang w:val="fr-FR"/>
        </w:rPr>
        <w:t>avant la tenue de l</w:t>
      </w:r>
      <w:r w:rsidRPr="003B1303" w:rsidR="003B1303">
        <w:rPr>
          <w:lang w:val="fr-FR"/>
        </w:rPr>
        <w:t>’</w:t>
      </w:r>
      <w:r w:rsidRPr="003B1303" w:rsidR="0001065C">
        <w:rPr>
          <w:lang w:val="fr-FR"/>
        </w:rPr>
        <w:t>interrogatoire du 15 avril 2008</w:t>
      </w:r>
      <w:r w:rsidRPr="003B1303" w:rsidR="00ED7092">
        <w:rPr>
          <w:lang w:val="fr-FR"/>
        </w:rPr>
        <w:t>,</w:t>
      </w:r>
      <w:r w:rsidRPr="003B1303" w:rsidR="0001065C">
        <w:rPr>
          <w:lang w:val="fr-FR"/>
        </w:rPr>
        <w:t xml:space="preserve"> l</w:t>
      </w:r>
      <w:r w:rsidRPr="003B1303" w:rsidR="003B1303">
        <w:rPr>
          <w:lang w:val="fr-FR"/>
        </w:rPr>
        <w:t>’</w:t>
      </w:r>
      <w:r w:rsidRPr="003B1303" w:rsidR="0001065C">
        <w:rPr>
          <w:lang w:val="fr-FR"/>
        </w:rPr>
        <w:t>enquêteur B. a</w:t>
      </w:r>
      <w:r w:rsidRPr="003B1303" w:rsidR="007E45D9">
        <w:rPr>
          <w:lang w:val="fr-FR"/>
        </w:rPr>
        <w:t>vait</w:t>
      </w:r>
      <w:r w:rsidRPr="003B1303" w:rsidR="0001065C">
        <w:rPr>
          <w:lang w:val="fr-FR"/>
        </w:rPr>
        <w:t xml:space="preserve"> informé le premier requérant que ses avocates n</w:t>
      </w:r>
      <w:r w:rsidRPr="003B1303" w:rsidR="003B1303">
        <w:rPr>
          <w:lang w:val="fr-FR"/>
        </w:rPr>
        <w:t>’</w:t>
      </w:r>
      <w:r w:rsidRPr="003B1303" w:rsidR="0001065C">
        <w:rPr>
          <w:lang w:val="fr-FR"/>
        </w:rPr>
        <w:t>étaient pas disponibles</w:t>
      </w:r>
      <w:r w:rsidRPr="003B1303" w:rsidR="007E45D9">
        <w:rPr>
          <w:lang w:val="fr-FR"/>
        </w:rPr>
        <w:t xml:space="preserve"> (paragraphe</w:t>
      </w:r>
      <w:r w:rsidRPr="003B1303" w:rsidR="007042B8">
        <w:rPr>
          <w:lang w:val="fr-FR"/>
        </w:rPr>
        <w:t xml:space="preserve"> </w:t>
      </w:r>
      <w:r w:rsidRPr="003B1303" w:rsidR="007042B8">
        <w:rPr>
          <w:lang w:val="fr-FR"/>
        </w:rPr>
        <w:fldChar w:fldCharType="begin"/>
      </w:r>
      <w:r w:rsidRPr="003B1303" w:rsidR="007042B8">
        <w:rPr>
          <w:lang w:val="fr-FR"/>
        </w:rPr>
        <w:instrText xml:space="preserve"> REF posprocpreq \h </w:instrText>
      </w:r>
      <w:r w:rsidRPr="003B1303" w:rsidR="00C47AAA">
        <w:rPr>
          <w:lang w:val="fr-FR"/>
        </w:rPr>
        <w:instrText xml:space="preserve"> \* MERGEFORMAT </w:instrText>
      </w:r>
      <w:r w:rsidRPr="003B1303" w:rsidR="007042B8">
        <w:rPr>
          <w:lang w:val="fr-FR"/>
        </w:rPr>
      </w:r>
      <w:r w:rsidRPr="003B1303" w:rsidR="007042B8">
        <w:rPr>
          <w:lang w:val="fr-FR"/>
        </w:rPr>
        <w:fldChar w:fldCharType="separate"/>
      </w:r>
      <w:r w:rsidR="003B1303">
        <w:rPr>
          <w:noProof/>
          <w:lang w:val="fr-FR"/>
        </w:rPr>
        <w:t>71</w:t>
      </w:r>
      <w:r w:rsidRPr="003B1303" w:rsidR="007042B8">
        <w:rPr>
          <w:lang w:val="fr-FR"/>
        </w:rPr>
        <w:fldChar w:fldCharType="end"/>
      </w:r>
      <w:r w:rsidRPr="003B1303" w:rsidR="007E45D9">
        <w:rPr>
          <w:lang w:val="fr-FR"/>
        </w:rPr>
        <w:t xml:space="preserve"> ci</w:t>
      </w:r>
      <w:r w:rsidRPr="003B1303" w:rsidR="007E45D9">
        <w:rPr>
          <w:lang w:val="fr-FR"/>
        </w:rPr>
        <w:noBreakHyphen/>
        <w:t>dessus)</w:t>
      </w:r>
      <w:r w:rsidRPr="003B1303" w:rsidR="0001065C">
        <w:rPr>
          <w:lang w:val="fr-FR"/>
        </w:rPr>
        <w:t>. Cependant, lors du procès pénal, l</w:t>
      </w:r>
      <w:r w:rsidRPr="003B1303" w:rsidR="003B1303">
        <w:rPr>
          <w:lang w:val="fr-FR"/>
        </w:rPr>
        <w:t>’</w:t>
      </w:r>
      <w:r w:rsidRPr="003B1303" w:rsidR="0001065C">
        <w:rPr>
          <w:lang w:val="fr-FR"/>
        </w:rPr>
        <w:t>enquêteur B. a reconnu qu</w:t>
      </w:r>
      <w:r w:rsidRPr="003B1303" w:rsidR="003B1303">
        <w:rPr>
          <w:lang w:val="fr-FR"/>
        </w:rPr>
        <w:t>’</w:t>
      </w:r>
      <w:r w:rsidRPr="003B1303" w:rsidR="0001065C">
        <w:rPr>
          <w:lang w:val="fr-FR"/>
        </w:rPr>
        <w:t>il n</w:t>
      </w:r>
      <w:r w:rsidRPr="003B1303" w:rsidR="003B1303">
        <w:rPr>
          <w:lang w:val="fr-FR"/>
        </w:rPr>
        <w:t>’</w:t>
      </w:r>
      <w:r w:rsidRPr="003B1303" w:rsidR="0001065C">
        <w:rPr>
          <w:lang w:val="fr-FR"/>
        </w:rPr>
        <w:t>avait pas informé l</w:t>
      </w:r>
      <w:r w:rsidRPr="003B1303" w:rsidR="003B1303">
        <w:rPr>
          <w:lang w:val="fr-FR"/>
        </w:rPr>
        <w:t>’</w:t>
      </w:r>
      <w:r w:rsidRPr="003B1303" w:rsidR="0001065C">
        <w:rPr>
          <w:lang w:val="fr-FR"/>
        </w:rPr>
        <w:t xml:space="preserve">avocate </w:t>
      </w:r>
      <w:proofErr w:type="spellStart"/>
      <w:r w:rsidRPr="003B1303" w:rsidR="0001065C">
        <w:rPr>
          <w:lang w:val="fr-FR"/>
        </w:rPr>
        <w:t>Ye</w:t>
      </w:r>
      <w:proofErr w:type="spellEnd"/>
      <w:r w:rsidRPr="003B1303" w:rsidR="0001065C">
        <w:rPr>
          <w:lang w:val="fr-FR"/>
        </w:rPr>
        <w:t>., choisie par le premier requérant, de la tenue, le 15 avril 2008, de l</w:t>
      </w:r>
      <w:r w:rsidRPr="003B1303" w:rsidR="003B1303">
        <w:rPr>
          <w:lang w:val="fr-FR"/>
        </w:rPr>
        <w:t>’</w:t>
      </w:r>
      <w:r w:rsidRPr="003B1303" w:rsidR="0001065C">
        <w:rPr>
          <w:lang w:val="fr-FR"/>
        </w:rPr>
        <w:t xml:space="preserve">interrogatoire </w:t>
      </w:r>
      <w:r w:rsidRPr="003B1303" w:rsidR="00ED7092">
        <w:rPr>
          <w:lang w:val="fr-FR"/>
        </w:rPr>
        <w:t>de l</w:t>
      </w:r>
      <w:r w:rsidRPr="003B1303" w:rsidR="003B1303">
        <w:rPr>
          <w:lang w:val="fr-FR"/>
        </w:rPr>
        <w:t>’</w:t>
      </w:r>
      <w:r w:rsidRPr="003B1303" w:rsidR="00ED7092">
        <w:rPr>
          <w:lang w:val="fr-FR"/>
        </w:rPr>
        <w:t>intéressé</w:t>
      </w:r>
      <w:r w:rsidRPr="003B1303" w:rsidR="0001065C">
        <w:rPr>
          <w:lang w:val="fr-FR"/>
        </w:rPr>
        <w:t xml:space="preserve"> (paragraphe </w:t>
      </w:r>
      <w:r w:rsidRPr="003B1303" w:rsidR="0001065C">
        <w:rPr>
          <w:lang w:val="fr-FR"/>
        </w:rPr>
        <w:fldChar w:fldCharType="begin"/>
      </w:r>
      <w:r w:rsidRPr="003B1303" w:rsidR="0001065C">
        <w:rPr>
          <w:lang w:val="fr-FR"/>
        </w:rPr>
        <w:instrText xml:space="preserve"> REF temofpol \h  \* MERGEFORMAT </w:instrText>
      </w:r>
      <w:r w:rsidRPr="003B1303" w:rsidR="0001065C">
        <w:rPr>
          <w:lang w:val="fr-FR"/>
        </w:rPr>
      </w:r>
      <w:r w:rsidRPr="003B1303" w:rsidR="0001065C">
        <w:rPr>
          <w:lang w:val="fr-FR"/>
        </w:rPr>
        <w:fldChar w:fldCharType="separate"/>
      </w:r>
      <w:r w:rsidR="003B1303">
        <w:rPr>
          <w:lang w:val="fr-FR"/>
        </w:rPr>
        <w:t>84</w:t>
      </w:r>
      <w:r w:rsidRPr="003B1303" w:rsidR="0001065C">
        <w:rPr>
          <w:lang w:val="fr-FR"/>
        </w:rPr>
        <w:fldChar w:fldCharType="end"/>
      </w:r>
      <w:r w:rsidRPr="003B1303" w:rsidR="0001065C">
        <w:rPr>
          <w:lang w:val="fr-FR"/>
        </w:rPr>
        <w:t xml:space="preserve"> ci</w:t>
      </w:r>
      <w:r w:rsidRPr="003B1303" w:rsidR="0001065C">
        <w:rPr>
          <w:lang w:val="fr-FR"/>
        </w:rPr>
        <w:noBreakHyphen/>
        <w:t xml:space="preserve">dessus). En même temps, la </w:t>
      </w:r>
      <w:proofErr w:type="gramStart"/>
      <w:r w:rsidRPr="003B1303" w:rsidR="0001065C">
        <w:rPr>
          <w:lang w:val="fr-FR"/>
        </w:rPr>
        <w:t>Cour relève</w:t>
      </w:r>
      <w:proofErr w:type="gramEnd"/>
      <w:r w:rsidRPr="003B1303" w:rsidR="0001065C">
        <w:rPr>
          <w:lang w:val="fr-FR"/>
        </w:rPr>
        <w:t xml:space="preserve"> que l</w:t>
      </w:r>
      <w:r w:rsidRPr="003B1303" w:rsidR="003B1303">
        <w:rPr>
          <w:lang w:val="fr-FR"/>
        </w:rPr>
        <w:t>’</w:t>
      </w:r>
      <w:r w:rsidRPr="003B1303" w:rsidR="0001065C">
        <w:rPr>
          <w:lang w:val="fr-FR"/>
        </w:rPr>
        <w:t xml:space="preserve">avocate </w:t>
      </w:r>
      <w:proofErr w:type="spellStart"/>
      <w:r w:rsidRPr="003B1303" w:rsidR="0001065C">
        <w:rPr>
          <w:lang w:val="fr-FR"/>
        </w:rPr>
        <w:t>Ye</w:t>
      </w:r>
      <w:proofErr w:type="spellEnd"/>
      <w:r w:rsidRPr="003B1303" w:rsidR="0001065C">
        <w:rPr>
          <w:lang w:val="fr-FR"/>
        </w:rPr>
        <w:t xml:space="preserve">. </w:t>
      </w:r>
      <w:proofErr w:type="gramStart"/>
      <w:r w:rsidRPr="003B1303" w:rsidR="0001065C">
        <w:rPr>
          <w:lang w:val="fr-FR"/>
        </w:rPr>
        <w:t>n</w:t>
      </w:r>
      <w:r w:rsidRPr="003B1303" w:rsidR="003B1303">
        <w:rPr>
          <w:lang w:val="fr-FR"/>
        </w:rPr>
        <w:t>’</w:t>
      </w:r>
      <w:r w:rsidRPr="003B1303" w:rsidR="0001065C">
        <w:rPr>
          <w:lang w:val="fr-FR"/>
        </w:rPr>
        <w:t>a</w:t>
      </w:r>
      <w:proofErr w:type="gramEnd"/>
      <w:r w:rsidRPr="003B1303" w:rsidR="0001065C">
        <w:rPr>
          <w:lang w:val="fr-FR"/>
        </w:rPr>
        <w:t xml:space="preserve"> pas eu accès à son client les 14, 16, 17 et 18 avril 2008 sous prétexte que l</w:t>
      </w:r>
      <w:r w:rsidRPr="003B1303" w:rsidR="003B1303">
        <w:rPr>
          <w:lang w:val="fr-FR"/>
        </w:rPr>
        <w:t>’</w:t>
      </w:r>
      <w:r w:rsidRPr="003B1303" w:rsidR="0001065C">
        <w:rPr>
          <w:lang w:val="fr-FR"/>
        </w:rPr>
        <w:t>intéressé avait été mis en attente de transfert en dehors de la maison d</w:t>
      </w:r>
      <w:r w:rsidRPr="003B1303" w:rsidR="003B1303">
        <w:rPr>
          <w:lang w:val="fr-FR"/>
        </w:rPr>
        <w:t>’</w:t>
      </w:r>
      <w:r w:rsidRPr="003B1303" w:rsidR="0001065C">
        <w:rPr>
          <w:lang w:val="fr-FR"/>
        </w:rPr>
        <w:t>arrêt sur réquisition de l</w:t>
      </w:r>
      <w:r w:rsidRPr="003B1303" w:rsidR="003B1303">
        <w:rPr>
          <w:lang w:val="fr-FR"/>
        </w:rPr>
        <w:t>’</w:t>
      </w:r>
      <w:r w:rsidRPr="003B1303" w:rsidR="0001065C">
        <w:rPr>
          <w:lang w:val="fr-FR"/>
        </w:rPr>
        <w:t xml:space="preserve">enquêteur M. (paragraphe </w:t>
      </w:r>
      <w:r w:rsidRPr="003B1303" w:rsidR="0001065C">
        <w:rPr>
          <w:lang w:val="fr-FR"/>
        </w:rPr>
        <w:fldChar w:fldCharType="begin"/>
      </w:r>
      <w:r w:rsidRPr="003B1303" w:rsidR="0001065C">
        <w:rPr>
          <w:lang w:val="fr-FR"/>
        </w:rPr>
        <w:instrText xml:space="preserve"> REF accav1 \h  \* MERGEFORMAT </w:instrText>
      </w:r>
      <w:r w:rsidRPr="003B1303" w:rsidR="0001065C">
        <w:rPr>
          <w:lang w:val="fr-FR"/>
        </w:rPr>
      </w:r>
      <w:r w:rsidRPr="003B1303" w:rsidR="0001065C">
        <w:rPr>
          <w:lang w:val="fr-FR"/>
        </w:rPr>
        <w:fldChar w:fldCharType="separate"/>
      </w:r>
      <w:r w:rsidR="003B1303">
        <w:rPr>
          <w:lang w:val="fr-FR"/>
        </w:rPr>
        <w:t>19</w:t>
      </w:r>
      <w:r w:rsidRPr="003B1303" w:rsidR="0001065C">
        <w:rPr>
          <w:lang w:val="fr-FR"/>
        </w:rPr>
        <w:fldChar w:fldCharType="end"/>
      </w:r>
      <w:r w:rsidRPr="003B1303" w:rsidR="0001065C">
        <w:rPr>
          <w:lang w:val="fr-FR"/>
        </w:rPr>
        <w:t xml:space="preserve"> ci</w:t>
      </w:r>
      <w:r w:rsidRPr="003B1303" w:rsidR="0001065C">
        <w:rPr>
          <w:lang w:val="fr-FR"/>
        </w:rPr>
        <w:noBreakHyphen/>
        <w:t>dessus)</w:t>
      </w:r>
      <w:r w:rsidRPr="003B1303" w:rsidR="001568CD">
        <w:rPr>
          <w:lang w:val="fr-FR"/>
        </w:rPr>
        <w:t>. Or, il s</w:t>
      </w:r>
      <w:r w:rsidRPr="003B1303" w:rsidR="003B1303">
        <w:rPr>
          <w:lang w:val="fr-FR"/>
        </w:rPr>
        <w:t>’</w:t>
      </w:r>
      <w:r w:rsidRPr="003B1303" w:rsidR="001568CD">
        <w:rPr>
          <w:lang w:val="fr-FR"/>
        </w:rPr>
        <w:t xml:space="preserve">avère </w:t>
      </w:r>
      <w:r w:rsidRPr="003B1303" w:rsidR="0001065C">
        <w:rPr>
          <w:lang w:val="fr-FR"/>
        </w:rPr>
        <w:t>qu</w:t>
      </w:r>
      <w:r w:rsidRPr="003B1303" w:rsidR="00ED7092">
        <w:rPr>
          <w:lang w:val="fr-FR"/>
        </w:rPr>
        <w:t>e</w:t>
      </w:r>
      <w:r w:rsidRPr="003B1303" w:rsidR="0001065C">
        <w:rPr>
          <w:lang w:val="fr-FR"/>
        </w:rPr>
        <w:t xml:space="preserve"> </w:t>
      </w:r>
      <w:r w:rsidRPr="003B1303" w:rsidR="00ED7092">
        <w:rPr>
          <w:lang w:val="fr-FR"/>
        </w:rPr>
        <w:t xml:space="preserve">le 15 avril 2008, </w:t>
      </w:r>
      <w:r w:rsidRPr="003B1303" w:rsidR="0001065C">
        <w:rPr>
          <w:lang w:val="fr-FR"/>
        </w:rPr>
        <w:t>le premier requérant a été interrogé au sein de cette même maison d</w:t>
      </w:r>
      <w:r w:rsidRPr="003B1303" w:rsidR="003B1303">
        <w:rPr>
          <w:lang w:val="fr-FR"/>
        </w:rPr>
        <w:t>’</w:t>
      </w:r>
      <w:r w:rsidRPr="003B1303" w:rsidR="0001065C">
        <w:rPr>
          <w:lang w:val="fr-FR"/>
        </w:rPr>
        <w:t>arrêt par l</w:t>
      </w:r>
      <w:r w:rsidRPr="003B1303" w:rsidR="003B1303">
        <w:rPr>
          <w:lang w:val="fr-FR"/>
        </w:rPr>
        <w:t>’</w:t>
      </w:r>
      <w:r w:rsidRPr="003B1303" w:rsidR="0001065C">
        <w:rPr>
          <w:lang w:val="fr-FR"/>
        </w:rPr>
        <w:t xml:space="preserve">enquêteur B. </w:t>
      </w:r>
      <w:r w:rsidRPr="003B1303" w:rsidR="001B1728">
        <w:rPr>
          <w:lang w:val="fr-FR"/>
        </w:rPr>
        <w:t>Aux yeux de la Cour, l</w:t>
      </w:r>
      <w:r w:rsidRPr="003B1303" w:rsidR="003B1303">
        <w:rPr>
          <w:lang w:val="fr-FR"/>
        </w:rPr>
        <w:t>’</w:t>
      </w:r>
      <w:r w:rsidRPr="003B1303" w:rsidR="001B1728">
        <w:rPr>
          <w:lang w:val="fr-FR"/>
        </w:rPr>
        <w:t>information erronée, communiqué</w:t>
      </w:r>
      <w:r w:rsidRPr="003B1303" w:rsidR="00613AAF">
        <w:rPr>
          <w:lang w:val="fr-FR"/>
        </w:rPr>
        <w:t>e</w:t>
      </w:r>
      <w:r w:rsidRPr="003B1303" w:rsidR="001B1728">
        <w:rPr>
          <w:lang w:val="fr-FR"/>
        </w:rPr>
        <w:t xml:space="preserve"> au premier requérant par l</w:t>
      </w:r>
      <w:r w:rsidRPr="003B1303" w:rsidR="003B1303">
        <w:rPr>
          <w:lang w:val="fr-FR"/>
        </w:rPr>
        <w:t>’</w:t>
      </w:r>
      <w:r w:rsidRPr="003B1303" w:rsidR="001B1728">
        <w:rPr>
          <w:lang w:val="fr-FR"/>
        </w:rPr>
        <w:t>enquêteur B.</w:t>
      </w:r>
      <w:r w:rsidRPr="003B1303" w:rsidR="00573704">
        <w:rPr>
          <w:lang w:val="fr-FR"/>
        </w:rPr>
        <w:t>,</w:t>
      </w:r>
      <w:r w:rsidRPr="003B1303" w:rsidR="001B1728">
        <w:rPr>
          <w:lang w:val="fr-FR"/>
        </w:rPr>
        <w:t xml:space="preserve"> quant à la disponibilité des avocates choisies par l</w:t>
      </w:r>
      <w:r w:rsidRPr="003B1303" w:rsidR="003B1303">
        <w:rPr>
          <w:lang w:val="fr-FR"/>
        </w:rPr>
        <w:t>’</w:t>
      </w:r>
      <w:r w:rsidRPr="003B1303" w:rsidR="001B1728">
        <w:rPr>
          <w:lang w:val="fr-FR"/>
        </w:rPr>
        <w:t>intéressé</w:t>
      </w:r>
      <w:r w:rsidRPr="003B1303" w:rsidR="00ED7092">
        <w:rPr>
          <w:lang w:val="fr-FR"/>
        </w:rPr>
        <w:t>,</w:t>
      </w:r>
      <w:r w:rsidRPr="003B1303" w:rsidR="001B1728">
        <w:rPr>
          <w:lang w:val="fr-FR"/>
        </w:rPr>
        <w:t xml:space="preserve"> n</w:t>
      </w:r>
      <w:r w:rsidRPr="003B1303" w:rsidR="003B1303">
        <w:rPr>
          <w:lang w:val="fr-FR"/>
        </w:rPr>
        <w:t>’</w:t>
      </w:r>
      <w:r w:rsidRPr="003B1303" w:rsidR="001B1728">
        <w:rPr>
          <w:lang w:val="fr-FR"/>
        </w:rPr>
        <w:t xml:space="preserve">a pas permis à ce dernier de donner son accord </w:t>
      </w:r>
      <w:r w:rsidRPr="003B1303" w:rsidR="00A05FCF">
        <w:rPr>
          <w:lang w:val="fr-FR"/>
        </w:rPr>
        <w:t>pour</w:t>
      </w:r>
      <w:r w:rsidRPr="003B1303" w:rsidR="001B1728">
        <w:rPr>
          <w:lang w:val="fr-FR"/>
        </w:rPr>
        <w:t xml:space="preserve"> être représenté par l</w:t>
      </w:r>
      <w:r w:rsidRPr="003B1303" w:rsidR="003B1303">
        <w:rPr>
          <w:lang w:val="fr-FR"/>
        </w:rPr>
        <w:t>’</w:t>
      </w:r>
      <w:r w:rsidRPr="003B1303" w:rsidR="001B1728">
        <w:rPr>
          <w:lang w:val="fr-FR"/>
        </w:rPr>
        <w:t xml:space="preserve">avocate Ku. </w:t>
      </w:r>
      <w:proofErr w:type="gramStart"/>
      <w:r w:rsidRPr="003B1303" w:rsidR="001B1728">
        <w:rPr>
          <w:lang w:val="fr-FR"/>
        </w:rPr>
        <w:t>en</w:t>
      </w:r>
      <w:proofErr w:type="gramEnd"/>
      <w:r w:rsidRPr="003B1303" w:rsidR="001B1728">
        <w:rPr>
          <w:lang w:val="fr-FR"/>
        </w:rPr>
        <w:t xml:space="preserve"> toute connaissance de cause.</w:t>
      </w:r>
    </w:p>
    <w:p w:rsidRPr="003B1303" w:rsidR="009C6CF5" w:rsidP="003B1303" w:rsidRDefault="00E63D98">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182</w:t>
      </w:r>
      <w:r w:rsidRPr="003B1303">
        <w:rPr>
          <w:lang w:val="fr-FR"/>
        </w:rPr>
        <w:fldChar w:fldCharType="end"/>
      </w:r>
      <w:r w:rsidRPr="003B1303">
        <w:rPr>
          <w:lang w:val="fr-FR"/>
        </w:rPr>
        <w:t>.  </w:t>
      </w:r>
      <w:r w:rsidRPr="003B1303" w:rsidR="00E707DA">
        <w:rPr>
          <w:lang w:val="fr-FR"/>
        </w:rPr>
        <w:t>La Cour estime ensuite que la question de savoir si le</w:t>
      </w:r>
      <w:r w:rsidRPr="003B1303" w:rsidR="002206BB">
        <w:rPr>
          <w:lang w:val="fr-FR"/>
        </w:rPr>
        <w:t xml:space="preserve"> premier</w:t>
      </w:r>
      <w:r w:rsidRPr="003B1303" w:rsidR="00E707DA">
        <w:rPr>
          <w:lang w:val="fr-FR"/>
        </w:rPr>
        <w:t xml:space="preserve"> requérant pouvait </w:t>
      </w:r>
      <w:r w:rsidRPr="003B1303" w:rsidR="007E58F1">
        <w:rPr>
          <w:lang w:val="fr-FR"/>
        </w:rPr>
        <w:t xml:space="preserve">ou non </w:t>
      </w:r>
      <w:r w:rsidRPr="003B1303" w:rsidR="00E707DA">
        <w:rPr>
          <w:lang w:val="fr-FR"/>
        </w:rPr>
        <w:t xml:space="preserve">prévoir les conséquences de son comportement est intrinsèquement liée à </w:t>
      </w:r>
      <w:r w:rsidRPr="003B1303" w:rsidR="007E58F1">
        <w:rPr>
          <w:lang w:val="fr-FR"/>
        </w:rPr>
        <w:t xml:space="preserve">la question </w:t>
      </w:r>
      <w:r w:rsidRPr="003B1303" w:rsidR="00E707DA">
        <w:rPr>
          <w:lang w:val="fr-FR"/>
        </w:rPr>
        <w:t>relative à l</w:t>
      </w:r>
      <w:r w:rsidRPr="003B1303" w:rsidR="003B1303">
        <w:rPr>
          <w:lang w:val="fr-FR"/>
        </w:rPr>
        <w:t>’</w:t>
      </w:r>
      <w:r w:rsidRPr="003B1303" w:rsidR="00E707DA">
        <w:rPr>
          <w:lang w:val="fr-FR"/>
        </w:rPr>
        <w:t>efficacité de l</w:t>
      </w:r>
      <w:r w:rsidRPr="003B1303" w:rsidR="003B1303">
        <w:rPr>
          <w:lang w:val="fr-FR"/>
        </w:rPr>
        <w:t>’</w:t>
      </w:r>
      <w:r w:rsidRPr="003B1303" w:rsidR="00E707DA">
        <w:rPr>
          <w:lang w:val="fr-FR"/>
        </w:rPr>
        <w:t>assistance juridique de l</w:t>
      </w:r>
      <w:r w:rsidRPr="003B1303" w:rsidR="003B1303">
        <w:rPr>
          <w:lang w:val="fr-FR"/>
        </w:rPr>
        <w:t>’</w:t>
      </w:r>
      <w:r w:rsidRPr="003B1303" w:rsidR="00E707DA">
        <w:rPr>
          <w:lang w:val="fr-FR"/>
        </w:rPr>
        <w:t>avocate commise d</w:t>
      </w:r>
      <w:r w:rsidRPr="003B1303" w:rsidR="003B1303">
        <w:rPr>
          <w:lang w:val="fr-FR"/>
        </w:rPr>
        <w:t>’</w:t>
      </w:r>
      <w:r w:rsidRPr="003B1303" w:rsidR="00E707DA">
        <w:rPr>
          <w:lang w:val="fr-FR"/>
        </w:rPr>
        <w:t xml:space="preserve">office Ku. </w:t>
      </w:r>
      <w:r w:rsidRPr="003B1303" w:rsidR="00476F5B">
        <w:rPr>
          <w:lang w:val="fr-FR"/>
        </w:rPr>
        <w:t>Elle</w:t>
      </w:r>
      <w:r w:rsidRPr="003B1303" w:rsidR="00E707DA">
        <w:rPr>
          <w:lang w:val="fr-FR"/>
        </w:rPr>
        <w:t xml:space="preserve"> rappelle que l</w:t>
      </w:r>
      <w:r w:rsidRPr="003B1303" w:rsidR="003B1303">
        <w:rPr>
          <w:lang w:val="fr-FR"/>
        </w:rPr>
        <w:t>’</w:t>
      </w:r>
      <w:r w:rsidRPr="003B1303" w:rsidR="00E707DA">
        <w:rPr>
          <w:lang w:val="fr-FR"/>
        </w:rPr>
        <w:t>une des tâches principales de l</w:t>
      </w:r>
      <w:r w:rsidRPr="003B1303" w:rsidR="003B1303">
        <w:rPr>
          <w:lang w:val="fr-FR"/>
        </w:rPr>
        <w:t>’</w:t>
      </w:r>
      <w:r w:rsidRPr="003B1303" w:rsidR="00E707DA">
        <w:rPr>
          <w:lang w:val="fr-FR"/>
        </w:rPr>
        <w:t>avocat au stade de la garde à vue et de l</w:t>
      </w:r>
      <w:r w:rsidRPr="003B1303" w:rsidR="003B1303">
        <w:rPr>
          <w:lang w:val="fr-FR"/>
        </w:rPr>
        <w:t>’</w:t>
      </w:r>
      <w:r w:rsidRPr="003B1303" w:rsidR="00E707DA">
        <w:rPr>
          <w:lang w:val="fr-FR"/>
        </w:rPr>
        <w:t>enquête consiste à veiller au respect du droit de tout accusé de ne pas s</w:t>
      </w:r>
      <w:r w:rsidRPr="003B1303" w:rsidR="003B1303">
        <w:rPr>
          <w:lang w:val="fr-FR"/>
        </w:rPr>
        <w:t>’</w:t>
      </w:r>
      <w:r w:rsidRPr="003B1303" w:rsidR="00E707DA">
        <w:rPr>
          <w:lang w:val="fr-FR"/>
        </w:rPr>
        <w:t>incriminer lui-même et de garder le silence (</w:t>
      </w:r>
      <w:proofErr w:type="spellStart"/>
      <w:r w:rsidRPr="003B1303" w:rsidR="00E707DA">
        <w:rPr>
          <w:i/>
          <w:lang w:val="fr-FR"/>
        </w:rPr>
        <w:t>Beuze</w:t>
      </w:r>
      <w:proofErr w:type="spellEnd"/>
      <w:r w:rsidRPr="003B1303" w:rsidR="00F71E02">
        <w:rPr>
          <w:lang w:val="fr-FR"/>
        </w:rPr>
        <w:t>, précité, § 128). La désignation d</w:t>
      </w:r>
      <w:r w:rsidRPr="003B1303" w:rsidR="003B1303">
        <w:rPr>
          <w:lang w:val="fr-FR"/>
        </w:rPr>
        <w:t>’</w:t>
      </w:r>
      <w:r w:rsidRPr="003B1303" w:rsidR="00F71E02">
        <w:rPr>
          <w:lang w:val="fr-FR"/>
        </w:rPr>
        <w:t>un conseil n</w:t>
      </w:r>
      <w:r w:rsidRPr="003B1303" w:rsidR="003B1303">
        <w:rPr>
          <w:lang w:val="fr-FR"/>
        </w:rPr>
        <w:t>’</w:t>
      </w:r>
      <w:r w:rsidRPr="003B1303" w:rsidR="00F71E02">
        <w:rPr>
          <w:lang w:val="fr-FR"/>
        </w:rPr>
        <w:t>assure pas à elle seule l</w:t>
      </w:r>
      <w:r w:rsidRPr="003B1303" w:rsidR="003B1303">
        <w:rPr>
          <w:lang w:val="fr-FR"/>
        </w:rPr>
        <w:t>’</w:t>
      </w:r>
      <w:r w:rsidRPr="003B1303" w:rsidR="00F71E02">
        <w:rPr>
          <w:lang w:val="fr-FR"/>
        </w:rPr>
        <w:t>effectivité de l</w:t>
      </w:r>
      <w:r w:rsidRPr="003B1303" w:rsidR="003B1303">
        <w:rPr>
          <w:lang w:val="fr-FR"/>
        </w:rPr>
        <w:t>’</w:t>
      </w:r>
      <w:r w:rsidRPr="003B1303" w:rsidR="00F71E02">
        <w:rPr>
          <w:lang w:val="fr-FR"/>
        </w:rPr>
        <w:t>assistance qu</w:t>
      </w:r>
      <w:r w:rsidRPr="003B1303" w:rsidR="003B1303">
        <w:rPr>
          <w:lang w:val="fr-FR"/>
        </w:rPr>
        <w:t>’</w:t>
      </w:r>
      <w:r w:rsidRPr="003B1303" w:rsidR="00F71E02">
        <w:rPr>
          <w:lang w:val="fr-FR"/>
        </w:rPr>
        <w:t>il peut procurer à l</w:t>
      </w:r>
      <w:r w:rsidRPr="003B1303" w:rsidR="003B1303">
        <w:rPr>
          <w:lang w:val="fr-FR"/>
        </w:rPr>
        <w:t>’</w:t>
      </w:r>
      <w:r w:rsidRPr="003B1303" w:rsidR="00F71E02">
        <w:rPr>
          <w:lang w:val="fr-FR"/>
        </w:rPr>
        <w:t xml:space="preserve">accusé, laquelle suppose le respect de plusieurs exigences </w:t>
      </w:r>
      <w:r w:rsidRPr="003B1303" w:rsidR="00476F5B">
        <w:rPr>
          <w:lang w:val="fr-FR"/>
        </w:rPr>
        <w:t>(</w:t>
      </w:r>
      <w:r w:rsidRPr="003B1303" w:rsidR="00476F5B">
        <w:rPr>
          <w:i/>
          <w:lang w:val="fr-FR"/>
        </w:rPr>
        <w:t>idem</w:t>
      </w:r>
      <w:r w:rsidRPr="003B1303" w:rsidR="00476F5B">
        <w:rPr>
          <w:lang w:val="fr-FR"/>
        </w:rPr>
        <w:t>, § 132)</w:t>
      </w:r>
      <w:r w:rsidRPr="003B1303" w:rsidR="00E707DA">
        <w:rPr>
          <w:lang w:val="fr-FR"/>
        </w:rPr>
        <w:t xml:space="preserve">. </w:t>
      </w:r>
      <w:r w:rsidRPr="003B1303" w:rsidR="00F71E02">
        <w:rPr>
          <w:lang w:val="fr-FR"/>
        </w:rPr>
        <w:t>La</w:t>
      </w:r>
      <w:r w:rsidRPr="003B1303" w:rsidR="007E58F1">
        <w:rPr>
          <w:iCs/>
          <w:lang w:val="fr-FR"/>
        </w:rPr>
        <w:t xml:space="preserve"> </w:t>
      </w:r>
      <w:r w:rsidRPr="003B1303" w:rsidR="00F71E02">
        <w:rPr>
          <w:lang w:val="fr-FR"/>
        </w:rPr>
        <w:t>présence physique d</w:t>
      </w:r>
      <w:r w:rsidRPr="003B1303" w:rsidR="003B1303">
        <w:rPr>
          <w:lang w:val="fr-FR"/>
        </w:rPr>
        <w:t>’</w:t>
      </w:r>
      <w:r w:rsidRPr="003B1303" w:rsidR="00F71E02">
        <w:rPr>
          <w:lang w:val="fr-FR"/>
        </w:rPr>
        <w:t xml:space="preserve">un avocat durant les auditions initiales menées par la police et durant les interrogatoires ultérieurs menés au cours de la procédure antérieure à la phase de jugement doit </w:t>
      </w:r>
      <w:r w:rsidRPr="003B1303" w:rsidR="008879A2">
        <w:rPr>
          <w:lang w:val="fr-FR"/>
        </w:rPr>
        <w:t xml:space="preserve">lui </w:t>
      </w:r>
      <w:r w:rsidRPr="003B1303" w:rsidR="00F71E02">
        <w:rPr>
          <w:lang w:val="fr-FR"/>
        </w:rPr>
        <w:t>permettre de fournir une assistance effective et concrète et non seulement abstraite de par sa présence, et notamment de veiller à ce qu</w:t>
      </w:r>
      <w:r w:rsidRPr="003B1303" w:rsidR="003B1303">
        <w:rPr>
          <w:lang w:val="fr-FR"/>
        </w:rPr>
        <w:t>’</w:t>
      </w:r>
      <w:r w:rsidRPr="003B1303" w:rsidR="00F71E02">
        <w:rPr>
          <w:lang w:val="fr-FR"/>
        </w:rPr>
        <w:t>il ne soit pas porté atteinte aux droits de la défense du suspect interrogé</w:t>
      </w:r>
      <w:r w:rsidRPr="003B1303" w:rsidR="00476F5B">
        <w:rPr>
          <w:lang w:val="fr-FR"/>
        </w:rPr>
        <w:t xml:space="preserve"> (</w:t>
      </w:r>
      <w:r w:rsidRPr="003B1303" w:rsidR="00476F5B">
        <w:rPr>
          <w:i/>
          <w:lang w:val="fr-FR"/>
        </w:rPr>
        <w:t>idem</w:t>
      </w:r>
      <w:r w:rsidRPr="003B1303" w:rsidR="00476F5B">
        <w:rPr>
          <w:lang w:val="fr-FR"/>
        </w:rPr>
        <w:t>, § 134)</w:t>
      </w:r>
      <w:r w:rsidRPr="003B1303" w:rsidR="00F71E02">
        <w:rPr>
          <w:lang w:val="fr-FR"/>
        </w:rPr>
        <w:t>.</w:t>
      </w:r>
    </w:p>
    <w:p w:rsidRPr="003B1303" w:rsidR="0085148A" w:rsidP="003B1303" w:rsidRDefault="00E6074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183</w:t>
      </w:r>
      <w:r w:rsidRPr="003B1303">
        <w:rPr>
          <w:lang w:val="fr-FR"/>
        </w:rPr>
        <w:fldChar w:fldCharType="end"/>
      </w:r>
      <w:r w:rsidRPr="003B1303">
        <w:rPr>
          <w:lang w:val="fr-FR"/>
        </w:rPr>
        <w:t>.  </w:t>
      </w:r>
      <w:r w:rsidRPr="003B1303" w:rsidR="00E66212">
        <w:rPr>
          <w:lang w:val="fr-FR"/>
        </w:rPr>
        <w:t xml:space="preserve">Or </w:t>
      </w:r>
      <w:r w:rsidRPr="003B1303" w:rsidR="00DD1D0E">
        <w:rPr>
          <w:lang w:val="fr-FR"/>
        </w:rPr>
        <w:t xml:space="preserve">la </w:t>
      </w:r>
      <w:proofErr w:type="gramStart"/>
      <w:r w:rsidRPr="003B1303" w:rsidR="00DD1D0E">
        <w:rPr>
          <w:lang w:val="fr-FR"/>
        </w:rPr>
        <w:t>Cour considère</w:t>
      </w:r>
      <w:proofErr w:type="gramEnd"/>
      <w:r w:rsidRPr="003B1303" w:rsidR="00DD1D0E">
        <w:rPr>
          <w:lang w:val="fr-FR"/>
        </w:rPr>
        <w:t xml:space="preserve"> que la </w:t>
      </w:r>
      <w:r w:rsidRPr="003B1303" w:rsidR="007E45D9">
        <w:rPr>
          <w:lang w:val="fr-FR"/>
        </w:rPr>
        <w:t xml:space="preserve">présence </w:t>
      </w:r>
      <w:r w:rsidRPr="003B1303" w:rsidR="00DD1D0E">
        <w:rPr>
          <w:lang w:val="fr-FR"/>
        </w:rPr>
        <w:t xml:space="preserve">de </w:t>
      </w:r>
      <w:r w:rsidRPr="003B1303" w:rsidR="00E66212">
        <w:rPr>
          <w:lang w:val="fr-FR"/>
        </w:rPr>
        <w:t>l</w:t>
      </w:r>
      <w:r w:rsidRPr="003B1303" w:rsidR="003B1303">
        <w:rPr>
          <w:lang w:val="fr-FR"/>
        </w:rPr>
        <w:t>’</w:t>
      </w:r>
      <w:r w:rsidRPr="003B1303" w:rsidR="00E66212">
        <w:rPr>
          <w:lang w:val="fr-FR"/>
        </w:rPr>
        <w:t>avocate Ku.</w:t>
      </w:r>
      <w:r w:rsidRPr="003B1303" w:rsidR="00DD1D0E">
        <w:rPr>
          <w:lang w:val="fr-FR"/>
        </w:rPr>
        <w:t xml:space="preserve"> </w:t>
      </w:r>
      <w:proofErr w:type="gramStart"/>
      <w:r w:rsidRPr="003B1303" w:rsidR="00E66212">
        <w:rPr>
          <w:lang w:val="fr-FR"/>
        </w:rPr>
        <w:t>à</w:t>
      </w:r>
      <w:proofErr w:type="gramEnd"/>
      <w:r w:rsidRPr="003B1303" w:rsidR="00E66212">
        <w:rPr>
          <w:lang w:val="fr-FR"/>
        </w:rPr>
        <w:t xml:space="preserve"> l</w:t>
      </w:r>
      <w:r w:rsidRPr="003B1303" w:rsidR="003B1303">
        <w:rPr>
          <w:lang w:val="fr-FR"/>
        </w:rPr>
        <w:t>’</w:t>
      </w:r>
      <w:r w:rsidRPr="003B1303" w:rsidR="00E66212">
        <w:rPr>
          <w:lang w:val="fr-FR"/>
        </w:rPr>
        <w:t xml:space="preserve">interrogatoire du premier requérant </w:t>
      </w:r>
      <w:r w:rsidRPr="003B1303" w:rsidR="007E58F1">
        <w:rPr>
          <w:lang w:val="fr-FR"/>
        </w:rPr>
        <w:t xml:space="preserve">le </w:t>
      </w:r>
      <w:r w:rsidRPr="003B1303" w:rsidR="00613AAF">
        <w:rPr>
          <w:lang w:val="fr-FR"/>
        </w:rPr>
        <w:t>15 </w:t>
      </w:r>
      <w:r w:rsidRPr="003B1303" w:rsidR="00E66212">
        <w:rPr>
          <w:lang w:val="fr-FR"/>
        </w:rPr>
        <w:t>avril 2008</w:t>
      </w:r>
      <w:r w:rsidRPr="003B1303" w:rsidR="00DD1D0E">
        <w:rPr>
          <w:lang w:val="fr-FR"/>
        </w:rPr>
        <w:t xml:space="preserve"> n</w:t>
      </w:r>
      <w:r w:rsidRPr="003B1303" w:rsidR="003B1303">
        <w:rPr>
          <w:lang w:val="fr-FR"/>
        </w:rPr>
        <w:t>’</w:t>
      </w:r>
      <w:r w:rsidRPr="003B1303" w:rsidR="00E66212">
        <w:rPr>
          <w:lang w:val="fr-FR"/>
        </w:rPr>
        <w:t>a pas</w:t>
      </w:r>
      <w:r w:rsidRPr="003B1303" w:rsidR="00DD1D0E">
        <w:rPr>
          <w:lang w:val="fr-FR"/>
        </w:rPr>
        <w:t xml:space="preserve"> constitu</w:t>
      </w:r>
      <w:r w:rsidRPr="003B1303" w:rsidR="00E66212">
        <w:rPr>
          <w:lang w:val="fr-FR"/>
        </w:rPr>
        <w:t>é</w:t>
      </w:r>
      <w:r w:rsidRPr="003B1303" w:rsidR="00DD1D0E">
        <w:rPr>
          <w:lang w:val="fr-FR"/>
        </w:rPr>
        <w:t xml:space="preserve"> une garantie suffisante pour </w:t>
      </w:r>
      <w:r w:rsidRPr="003B1303" w:rsidR="00E66212">
        <w:rPr>
          <w:lang w:val="fr-FR"/>
        </w:rPr>
        <w:t xml:space="preserve">protéger les droits </w:t>
      </w:r>
      <w:r w:rsidRPr="003B1303" w:rsidR="00613AAF">
        <w:rPr>
          <w:lang w:val="fr-FR"/>
        </w:rPr>
        <w:t>de l</w:t>
      </w:r>
      <w:r w:rsidRPr="003B1303" w:rsidR="003B1303">
        <w:rPr>
          <w:lang w:val="fr-FR"/>
        </w:rPr>
        <w:t>’</w:t>
      </w:r>
      <w:r w:rsidRPr="003B1303" w:rsidR="00613AAF">
        <w:rPr>
          <w:lang w:val="fr-FR"/>
        </w:rPr>
        <w:t>intéressé</w:t>
      </w:r>
      <w:r w:rsidRPr="003B1303" w:rsidR="00E66212">
        <w:rPr>
          <w:lang w:val="fr-FR"/>
        </w:rPr>
        <w:t xml:space="preserve">, notamment celui </w:t>
      </w:r>
      <w:r w:rsidRPr="003B1303" w:rsidR="00A05FCF">
        <w:rPr>
          <w:lang w:val="fr-FR"/>
        </w:rPr>
        <w:t>de bénéficier de l</w:t>
      </w:r>
      <w:r w:rsidRPr="003B1303" w:rsidR="003B1303">
        <w:rPr>
          <w:lang w:val="fr-FR"/>
        </w:rPr>
        <w:t>’</w:t>
      </w:r>
      <w:r w:rsidRPr="003B1303" w:rsidR="00A05FCF">
        <w:rPr>
          <w:lang w:val="fr-FR"/>
        </w:rPr>
        <w:t>assistance de l</w:t>
      </w:r>
      <w:r w:rsidRPr="003B1303" w:rsidR="003B1303">
        <w:rPr>
          <w:lang w:val="fr-FR"/>
        </w:rPr>
        <w:t>’</w:t>
      </w:r>
      <w:r w:rsidRPr="003B1303" w:rsidR="00A05FCF">
        <w:rPr>
          <w:lang w:val="fr-FR"/>
        </w:rPr>
        <w:t xml:space="preserve">avocat de son choix ainsi que de </w:t>
      </w:r>
      <w:r w:rsidRPr="003B1303" w:rsidR="00E66212">
        <w:rPr>
          <w:lang w:val="fr-FR"/>
        </w:rPr>
        <w:t>ne pas s</w:t>
      </w:r>
      <w:r w:rsidRPr="003B1303" w:rsidR="003B1303">
        <w:rPr>
          <w:lang w:val="fr-FR"/>
        </w:rPr>
        <w:t>’</w:t>
      </w:r>
      <w:r w:rsidRPr="003B1303" w:rsidR="00E66212">
        <w:rPr>
          <w:lang w:val="fr-FR"/>
        </w:rPr>
        <w:t>incriminer lui-même et de garder le silence</w:t>
      </w:r>
      <w:r w:rsidRPr="003B1303" w:rsidR="00DD1D0E">
        <w:rPr>
          <w:lang w:val="fr-FR"/>
        </w:rPr>
        <w:t>. Elle s</w:t>
      </w:r>
      <w:r w:rsidRPr="003B1303" w:rsidR="003B1303">
        <w:rPr>
          <w:lang w:val="fr-FR"/>
        </w:rPr>
        <w:t>’</w:t>
      </w:r>
      <w:r w:rsidRPr="003B1303" w:rsidR="00DD1D0E">
        <w:rPr>
          <w:lang w:val="fr-FR"/>
        </w:rPr>
        <w:t xml:space="preserve">appuie </w:t>
      </w:r>
      <w:r w:rsidRPr="003B1303" w:rsidR="00BC6135">
        <w:rPr>
          <w:lang w:val="fr-FR"/>
        </w:rPr>
        <w:t>notamment</w:t>
      </w:r>
      <w:r w:rsidRPr="003B1303" w:rsidR="00DD1D0E">
        <w:rPr>
          <w:lang w:val="fr-FR"/>
        </w:rPr>
        <w:t xml:space="preserve"> sur les conclusions du conseil disciplinaire du barreau de la région d</w:t>
      </w:r>
      <w:r w:rsidRPr="003B1303" w:rsidR="003B1303">
        <w:rPr>
          <w:lang w:val="fr-FR"/>
        </w:rPr>
        <w:t>’</w:t>
      </w:r>
      <w:r w:rsidRPr="003B1303" w:rsidR="00DD1D0E">
        <w:rPr>
          <w:lang w:val="fr-FR"/>
        </w:rPr>
        <w:t>Irkoutsk qui a établi que l</w:t>
      </w:r>
      <w:r w:rsidRPr="003B1303" w:rsidR="003B1303">
        <w:rPr>
          <w:lang w:val="fr-FR"/>
        </w:rPr>
        <w:t>’</w:t>
      </w:r>
      <w:r w:rsidRPr="003B1303" w:rsidR="00DD1D0E">
        <w:rPr>
          <w:lang w:val="fr-FR"/>
        </w:rPr>
        <w:t>avocate Ku. avait imposé sa représentation au premier requérant en agissant sur la base de ses relations personnelles avec l</w:t>
      </w:r>
      <w:r w:rsidRPr="003B1303" w:rsidR="003B1303">
        <w:rPr>
          <w:lang w:val="fr-FR"/>
        </w:rPr>
        <w:t>’</w:t>
      </w:r>
      <w:r w:rsidRPr="003B1303" w:rsidR="00DD1D0E">
        <w:rPr>
          <w:lang w:val="fr-FR"/>
        </w:rPr>
        <w:t>enquêteur B., qu</w:t>
      </w:r>
      <w:r w:rsidRPr="003B1303" w:rsidR="003B1303">
        <w:rPr>
          <w:lang w:val="fr-FR"/>
        </w:rPr>
        <w:t>’</w:t>
      </w:r>
      <w:r w:rsidRPr="003B1303" w:rsidR="00DD1D0E">
        <w:rPr>
          <w:lang w:val="fr-FR"/>
        </w:rPr>
        <w:t>elle n</w:t>
      </w:r>
      <w:r w:rsidRPr="003B1303" w:rsidR="003B1303">
        <w:rPr>
          <w:lang w:val="fr-FR"/>
        </w:rPr>
        <w:t>’</w:t>
      </w:r>
      <w:r w:rsidRPr="003B1303" w:rsidR="00DD1D0E">
        <w:rPr>
          <w:lang w:val="fr-FR"/>
        </w:rPr>
        <w:t>avait assuré aucune assistance juridique au premier requérant, qu</w:t>
      </w:r>
      <w:r w:rsidRPr="003B1303" w:rsidR="003B1303">
        <w:rPr>
          <w:lang w:val="fr-FR"/>
        </w:rPr>
        <w:t>’</w:t>
      </w:r>
      <w:r w:rsidRPr="003B1303" w:rsidR="00DD1D0E">
        <w:rPr>
          <w:lang w:val="fr-FR"/>
        </w:rPr>
        <w:t>elle s</w:t>
      </w:r>
      <w:r w:rsidRPr="003B1303" w:rsidR="003B1303">
        <w:rPr>
          <w:lang w:val="fr-FR"/>
        </w:rPr>
        <w:t>’</w:t>
      </w:r>
      <w:r w:rsidRPr="003B1303" w:rsidR="00DD1D0E">
        <w:rPr>
          <w:lang w:val="fr-FR"/>
        </w:rPr>
        <w:t xml:space="preserve">était immiscée dans la représentation juridique assurée par les avocates de son choix </w:t>
      </w:r>
      <w:proofErr w:type="spellStart"/>
      <w:r w:rsidRPr="003B1303" w:rsidR="00DD1D0E">
        <w:rPr>
          <w:lang w:val="fr-FR"/>
        </w:rPr>
        <w:t>Ye</w:t>
      </w:r>
      <w:proofErr w:type="spellEnd"/>
      <w:r w:rsidRPr="003B1303" w:rsidR="00DD1D0E">
        <w:rPr>
          <w:lang w:val="fr-FR"/>
        </w:rPr>
        <w:t xml:space="preserve">. </w:t>
      </w:r>
      <w:proofErr w:type="gramStart"/>
      <w:r w:rsidRPr="003B1303" w:rsidR="00DD1D0E">
        <w:rPr>
          <w:lang w:val="fr-FR"/>
        </w:rPr>
        <w:t>et</w:t>
      </w:r>
      <w:proofErr w:type="gramEnd"/>
      <w:r w:rsidRPr="003B1303" w:rsidR="00DD1D0E">
        <w:rPr>
          <w:lang w:val="fr-FR"/>
        </w:rPr>
        <w:t xml:space="preserve"> Ch. et qu</w:t>
      </w:r>
      <w:r w:rsidRPr="003B1303" w:rsidR="003B1303">
        <w:rPr>
          <w:lang w:val="fr-FR"/>
        </w:rPr>
        <w:t>’</w:t>
      </w:r>
      <w:r w:rsidRPr="003B1303" w:rsidR="00DD1D0E">
        <w:rPr>
          <w:lang w:val="fr-FR"/>
        </w:rPr>
        <w:t>elle avait contribué à formaliser les déclarations auto-incriminantes du premier requérant lors de l</w:t>
      </w:r>
      <w:r w:rsidRPr="003B1303" w:rsidR="003B1303">
        <w:rPr>
          <w:lang w:val="fr-FR"/>
        </w:rPr>
        <w:t>’</w:t>
      </w:r>
      <w:r w:rsidRPr="003B1303" w:rsidR="00DD1D0E">
        <w:rPr>
          <w:lang w:val="fr-FR"/>
        </w:rPr>
        <w:t xml:space="preserve">interrogatoire du 15 avril 2008, ce qui avait nui à </w:t>
      </w:r>
      <w:r w:rsidRPr="003B1303" w:rsidR="000875F8">
        <w:rPr>
          <w:lang w:val="fr-FR"/>
        </w:rPr>
        <w:t xml:space="preserve">sa </w:t>
      </w:r>
      <w:r w:rsidRPr="003B1303" w:rsidR="00DD1D0E">
        <w:rPr>
          <w:lang w:val="fr-FR"/>
        </w:rPr>
        <w:t xml:space="preserve">défense. </w:t>
      </w:r>
      <w:r w:rsidRPr="003B1303" w:rsidR="00B00CD5">
        <w:rPr>
          <w:lang w:val="fr-FR"/>
        </w:rPr>
        <w:t>Compte tenu de</w:t>
      </w:r>
      <w:r w:rsidRPr="003B1303" w:rsidR="00E42743">
        <w:rPr>
          <w:lang w:val="fr-FR"/>
        </w:rPr>
        <w:t xml:space="preserve"> la gravité des actes de l</w:t>
      </w:r>
      <w:r w:rsidRPr="003B1303" w:rsidR="003B1303">
        <w:rPr>
          <w:lang w:val="fr-FR"/>
        </w:rPr>
        <w:t>’</w:t>
      </w:r>
      <w:r w:rsidRPr="003B1303" w:rsidR="00E42743">
        <w:rPr>
          <w:lang w:val="fr-FR"/>
        </w:rPr>
        <w:t xml:space="preserve">avocate Ku., le conseil disciplinaire a imposé la sanction la plus lourde </w:t>
      </w:r>
      <w:r w:rsidRPr="003B1303" w:rsidR="00B00CD5">
        <w:rPr>
          <w:lang w:val="fr-FR"/>
        </w:rPr>
        <w:t xml:space="preserve">possible </w:t>
      </w:r>
      <w:r w:rsidRPr="003B1303" w:rsidR="00E42743">
        <w:rPr>
          <w:lang w:val="fr-FR"/>
        </w:rPr>
        <w:t>à son égard</w:t>
      </w:r>
      <w:r w:rsidRPr="003B1303" w:rsidR="007E45D9">
        <w:rPr>
          <w:lang w:val="fr-FR"/>
        </w:rPr>
        <w:t xml:space="preserve">, </w:t>
      </w:r>
      <w:r w:rsidRPr="003B1303" w:rsidR="00B00CD5">
        <w:rPr>
          <w:lang w:val="fr-FR"/>
        </w:rPr>
        <w:t>à savoir</w:t>
      </w:r>
      <w:r w:rsidRPr="003B1303" w:rsidR="00E42743">
        <w:rPr>
          <w:lang w:val="fr-FR"/>
        </w:rPr>
        <w:t xml:space="preserve"> l</w:t>
      </w:r>
      <w:r w:rsidRPr="003B1303" w:rsidR="003B1303">
        <w:rPr>
          <w:lang w:val="fr-FR"/>
        </w:rPr>
        <w:t>’</w:t>
      </w:r>
      <w:r w:rsidRPr="003B1303" w:rsidR="00E42743">
        <w:rPr>
          <w:lang w:val="fr-FR"/>
        </w:rPr>
        <w:t xml:space="preserve">exclusion du barreau (paragraphes </w:t>
      </w:r>
      <w:r w:rsidRPr="003B1303" w:rsidR="00E42743">
        <w:rPr>
          <w:lang w:val="fr-FR"/>
        </w:rPr>
        <w:fldChar w:fldCharType="begin"/>
      </w:r>
      <w:r w:rsidRPr="003B1303" w:rsidR="00E42743">
        <w:rPr>
          <w:lang w:val="fr-FR"/>
        </w:rPr>
        <w:instrText xml:space="preserve"> REF consdis1 \h  \* MERGEFORMAT </w:instrText>
      </w:r>
      <w:r w:rsidRPr="003B1303" w:rsidR="00E42743">
        <w:rPr>
          <w:lang w:val="fr-FR"/>
        </w:rPr>
      </w:r>
      <w:r w:rsidRPr="003B1303" w:rsidR="00E42743">
        <w:rPr>
          <w:lang w:val="fr-FR"/>
        </w:rPr>
        <w:fldChar w:fldCharType="separate"/>
      </w:r>
      <w:r w:rsidR="003B1303">
        <w:rPr>
          <w:lang w:val="fr-FR"/>
        </w:rPr>
        <w:t>30</w:t>
      </w:r>
      <w:r w:rsidRPr="003B1303" w:rsidR="00E42743">
        <w:rPr>
          <w:lang w:val="fr-FR"/>
        </w:rPr>
        <w:fldChar w:fldCharType="end"/>
      </w:r>
      <w:r w:rsidRPr="003B1303" w:rsidR="00E42743">
        <w:rPr>
          <w:lang w:val="fr-FR"/>
        </w:rPr>
        <w:noBreakHyphen/>
      </w:r>
      <w:r w:rsidRPr="003B1303" w:rsidR="00E42743">
        <w:rPr>
          <w:lang w:val="fr-FR"/>
        </w:rPr>
        <w:fldChar w:fldCharType="begin"/>
      </w:r>
      <w:r w:rsidRPr="003B1303" w:rsidR="00E42743">
        <w:rPr>
          <w:lang w:val="fr-FR"/>
        </w:rPr>
        <w:instrText xml:space="preserve"> REF consdis4 \h  \* MERGEFORMAT </w:instrText>
      </w:r>
      <w:r w:rsidRPr="003B1303" w:rsidR="00E42743">
        <w:rPr>
          <w:lang w:val="fr-FR"/>
        </w:rPr>
      </w:r>
      <w:r w:rsidRPr="003B1303" w:rsidR="00E42743">
        <w:rPr>
          <w:lang w:val="fr-FR"/>
        </w:rPr>
        <w:fldChar w:fldCharType="separate"/>
      </w:r>
      <w:r w:rsidR="003B1303">
        <w:rPr>
          <w:lang w:val="fr-FR"/>
        </w:rPr>
        <w:t>33</w:t>
      </w:r>
      <w:r w:rsidRPr="003B1303" w:rsidR="00E42743">
        <w:rPr>
          <w:lang w:val="fr-FR"/>
        </w:rPr>
        <w:fldChar w:fldCharType="end"/>
      </w:r>
      <w:r w:rsidRPr="003B1303" w:rsidR="00E42743">
        <w:rPr>
          <w:lang w:val="fr-FR"/>
        </w:rPr>
        <w:t xml:space="preserve"> ci</w:t>
      </w:r>
      <w:r w:rsidRPr="003B1303" w:rsidR="00E42743">
        <w:rPr>
          <w:lang w:val="fr-FR"/>
        </w:rPr>
        <w:noBreakHyphen/>
        <w:t>dessus).</w:t>
      </w:r>
    </w:p>
    <w:p w:rsidRPr="003B1303" w:rsidR="00F65BBB"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184</w:t>
      </w:r>
      <w:r w:rsidRPr="003B1303">
        <w:rPr>
          <w:lang w:val="fr-FR"/>
        </w:rPr>
        <w:fldChar w:fldCharType="end"/>
      </w:r>
      <w:r w:rsidRPr="003B1303">
        <w:rPr>
          <w:lang w:val="fr-FR"/>
        </w:rPr>
        <w:t>.  Il s</w:t>
      </w:r>
      <w:r w:rsidRPr="003B1303" w:rsidR="003B1303">
        <w:rPr>
          <w:lang w:val="fr-FR"/>
        </w:rPr>
        <w:t>’</w:t>
      </w:r>
      <w:r w:rsidRPr="003B1303">
        <w:rPr>
          <w:lang w:val="fr-FR"/>
        </w:rPr>
        <w:t>ensuit que</w:t>
      </w:r>
      <w:r w:rsidRPr="003B1303" w:rsidR="002A3D1B">
        <w:rPr>
          <w:lang w:val="fr-FR"/>
        </w:rPr>
        <w:t>,</w:t>
      </w:r>
      <w:r w:rsidRPr="003B1303">
        <w:rPr>
          <w:lang w:val="fr-FR"/>
        </w:rPr>
        <w:t xml:space="preserve"> lorsque le </w:t>
      </w:r>
      <w:r w:rsidRPr="003B1303" w:rsidR="002206BB">
        <w:rPr>
          <w:lang w:val="fr-FR"/>
        </w:rPr>
        <w:t xml:space="preserve">premier </w:t>
      </w:r>
      <w:r w:rsidRPr="003B1303">
        <w:rPr>
          <w:lang w:val="fr-FR"/>
        </w:rPr>
        <w:t>requérant a donné son accord pour être assisté par l</w:t>
      </w:r>
      <w:r w:rsidRPr="003B1303" w:rsidR="003B1303">
        <w:rPr>
          <w:lang w:val="fr-FR"/>
        </w:rPr>
        <w:t>’</w:t>
      </w:r>
      <w:r w:rsidRPr="003B1303">
        <w:rPr>
          <w:lang w:val="fr-FR"/>
        </w:rPr>
        <w:t>avocate Ku.</w:t>
      </w:r>
      <w:r w:rsidRPr="003B1303" w:rsidR="005E3CCA">
        <w:rPr>
          <w:lang w:val="fr-FR"/>
        </w:rPr>
        <w:t>,</w:t>
      </w:r>
      <w:r w:rsidRPr="003B1303">
        <w:rPr>
          <w:lang w:val="fr-FR"/>
        </w:rPr>
        <w:t xml:space="preserve"> celle</w:t>
      </w:r>
      <w:r w:rsidRPr="003B1303">
        <w:rPr>
          <w:lang w:val="fr-FR"/>
        </w:rPr>
        <w:noBreakHyphen/>
        <w:t>ci ne l</w:t>
      </w:r>
      <w:r w:rsidRPr="003B1303" w:rsidR="003B1303">
        <w:rPr>
          <w:lang w:val="fr-FR"/>
        </w:rPr>
        <w:t>’</w:t>
      </w:r>
      <w:r w:rsidRPr="003B1303">
        <w:rPr>
          <w:lang w:val="fr-FR"/>
        </w:rPr>
        <w:t xml:space="preserve">a </w:t>
      </w:r>
      <w:r w:rsidRPr="003B1303" w:rsidR="002A3D1B">
        <w:rPr>
          <w:lang w:val="fr-FR"/>
        </w:rPr>
        <w:t xml:space="preserve">pas </w:t>
      </w:r>
      <w:r w:rsidRPr="003B1303">
        <w:rPr>
          <w:lang w:val="fr-FR"/>
        </w:rPr>
        <w:t xml:space="preserve">conseillé sur les conséquences de son comportement </w:t>
      </w:r>
      <w:r w:rsidRPr="003B1303" w:rsidR="002A3D1B">
        <w:rPr>
          <w:lang w:val="fr-FR"/>
        </w:rPr>
        <w:t>et</w:t>
      </w:r>
      <w:r w:rsidRPr="003B1303" w:rsidR="005E3CCA">
        <w:rPr>
          <w:lang w:val="fr-FR"/>
        </w:rPr>
        <w:t xml:space="preserve"> n</w:t>
      </w:r>
      <w:r w:rsidRPr="003B1303" w:rsidR="003B1303">
        <w:rPr>
          <w:lang w:val="fr-FR"/>
        </w:rPr>
        <w:t>’</w:t>
      </w:r>
      <w:r w:rsidRPr="003B1303" w:rsidR="005E3CCA">
        <w:rPr>
          <w:lang w:val="fr-FR"/>
        </w:rPr>
        <w:t>a</w:t>
      </w:r>
      <w:r w:rsidRPr="003B1303">
        <w:rPr>
          <w:lang w:val="fr-FR"/>
        </w:rPr>
        <w:t>, de manière générale, assuré aucune assistance judiciaire. La Cour rappelle que la vulnérabilité des suspects peut se trouver amplifiée par le fait que la législation en matière de procédure pénale tend à devenir de plus en plus complexe (</w:t>
      </w:r>
      <w:r w:rsidRPr="003B1303" w:rsidR="005252F6">
        <w:rPr>
          <w:i/>
          <w:lang w:val="fr-FR"/>
        </w:rPr>
        <w:t>Ibrahim et autres c. Royaume-Uni</w:t>
      </w:r>
      <w:r w:rsidRPr="003B1303" w:rsidR="005252F6">
        <w:rPr>
          <w:lang w:val="fr-FR"/>
        </w:rPr>
        <w:t xml:space="preserve"> [GC], n</w:t>
      </w:r>
      <w:r w:rsidRPr="003B1303" w:rsidR="005252F6">
        <w:rPr>
          <w:vertAlign w:val="superscript"/>
          <w:lang w:val="fr-FR"/>
        </w:rPr>
        <w:t>os</w:t>
      </w:r>
      <w:r w:rsidRPr="003B1303" w:rsidR="005252F6">
        <w:rPr>
          <w:lang w:val="fr-FR"/>
        </w:rPr>
        <w:t xml:space="preserve"> 50541/08 et 3 autres, § 253, 13 septembre 2016</w:t>
      </w:r>
      <w:r w:rsidRPr="003B1303">
        <w:rPr>
          <w:lang w:val="fr-FR"/>
        </w:rPr>
        <w:t>). Il ressort de la décision du conseil disciplinaire que la désignation de l</w:t>
      </w:r>
      <w:r w:rsidRPr="003B1303" w:rsidR="003B1303">
        <w:rPr>
          <w:lang w:val="fr-FR"/>
        </w:rPr>
        <w:t>’</w:t>
      </w:r>
      <w:r w:rsidRPr="003B1303">
        <w:rPr>
          <w:lang w:val="fr-FR"/>
        </w:rPr>
        <w:t xml:space="preserve">avocate Ku. </w:t>
      </w:r>
      <w:proofErr w:type="gramStart"/>
      <w:r w:rsidRPr="003B1303">
        <w:rPr>
          <w:lang w:val="fr-FR"/>
        </w:rPr>
        <w:t>était</w:t>
      </w:r>
      <w:proofErr w:type="gramEnd"/>
      <w:r w:rsidRPr="003B1303">
        <w:rPr>
          <w:lang w:val="fr-FR"/>
        </w:rPr>
        <w:t xml:space="preserve"> contraire à l</w:t>
      </w:r>
      <w:r w:rsidRPr="003B1303" w:rsidR="003B1303">
        <w:rPr>
          <w:lang w:val="fr-FR"/>
        </w:rPr>
        <w:t>’</w:t>
      </w:r>
      <w:r w:rsidRPr="003B1303">
        <w:rPr>
          <w:lang w:val="fr-FR"/>
        </w:rPr>
        <w:t>article 7 § 1 alinéa 4 de la loi sur l</w:t>
      </w:r>
      <w:r w:rsidRPr="003B1303" w:rsidR="003B1303">
        <w:rPr>
          <w:lang w:val="fr-FR"/>
        </w:rPr>
        <w:t>’</w:t>
      </w:r>
      <w:r w:rsidRPr="003B1303">
        <w:rPr>
          <w:lang w:val="fr-FR"/>
        </w:rPr>
        <w:t>exercice de la profession d</w:t>
      </w:r>
      <w:r w:rsidRPr="003B1303" w:rsidR="003B1303">
        <w:rPr>
          <w:lang w:val="fr-FR"/>
        </w:rPr>
        <w:t>’</w:t>
      </w:r>
      <w:r w:rsidRPr="003B1303">
        <w:rPr>
          <w:lang w:val="fr-FR"/>
        </w:rPr>
        <w:t xml:space="preserve">avocat et </w:t>
      </w:r>
      <w:r w:rsidRPr="003B1303" w:rsidR="005E3CCA">
        <w:rPr>
          <w:lang w:val="fr-FR"/>
        </w:rPr>
        <w:t xml:space="preserve">que Ku. </w:t>
      </w:r>
      <w:proofErr w:type="gramStart"/>
      <w:r w:rsidRPr="003B1303" w:rsidR="0066692F">
        <w:rPr>
          <w:lang w:val="fr-FR"/>
        </w:rPr>
        <w:t>aurait</w:t>
      </w:r>
      <w:proofErr w:type="gramEnd"/>
      <w:r w:rsidRPr="003B1303" w:rsidR="0066692F">
        <w:rPr>
          <w:lang w:val="fr-FR"/>
        </w:rPr>
        <w:t xml:space="preserve"> dû</w:t>
      </w:r>
      <w:r w:rsidRPr="003B1303">
        <w:rPr>
          <w:lang w:val="fr-FR"/>
        </w:rPr>
        <w:t xml:space="preserve"> s</w:t>
      </w:r>
      <w:r w:rsidRPr="003B1303" w:rsidR="003B1303">
        <w:rPr>
          <w:lang w:val="fr-FR"/>
        </w:rPr>
        <w:t>’</w:t>
      </w:r>
      <w:r w:rsidRPr="003B1303">
        <w:rPr>
          <w:lang w:val="fr-FR"/>
        </w:rPr>
        <w:t>abstenir de s</w:t>
      </w:r>
      <w:r w:rsidRPr="003B1303" w:rsidR="003B1303">
        <w:rPr>
          <w:lang w:val="fr-FR"/>
        </w:rPr>
        <w:t>’</w:t>
      </w:r>
      <w:r w:rsidRPr="003B1303">
        <w:rPr>
          <w:lang w:val="fr-FR"/>
        </w:rPr>
        <w:t xml:space="preserve">immiscer dans la représentation juridique assurée par les avocates </w:t>
      </w:r>
      <w:proofErr w:type="spellStart"/>
      <w:r w:rsidRPr="003B1303" w:rsidR="0066692F">
        <w:rPr>
          <w:lang w:val="fr-FR"/>
        </w:rPr>
        <w:t>Ye</w:t>
      </w:r>
      <w:proofErr w:type="spellEnd"/>
      <w:r w:rsidRPr="003B1303" w:rsidR="0066692F">
        <w:rPr>
          <w:lang w:val="fr-FR"/>
        </w:rPr>
        <w:t xml:space="preserve">. </w:t>
      </w:r>
      <w:proofErr w:type="gramStart"/>
      <w:r w:rsidRPr="003B1303" w:rsidR="0066692F">
        <w:rPr>
          <w:lang w:val="fr-FR"/>
        </w:rPr>
        <w:t>et</w:t>
      </w:r>
      <w:proofErr w:type="gramEnd"/>
      <w:r w:rsidRPr="003B1303" w:rsidR="0066692F">
        <w:rPr>
          <w:lang w:val="fr-FR"/>
        </w:rPr>
        <w:t xml:space="preserve"> Ch. </w:t>
      </w:r>
      <w:r w:rsidRPr="003B1303">
        <w:rPr>
          <w:lang w:val="fr-FR"/>
        </w:rPr>
        <w:t>conformément au code de déontologie de l</w:t>
      </w:r>
      <w:r w:rsidRPr="003B1303" w:rsidR="003B1303">
        <w:rPr>
          <w:lang w:val="fr-FR"/>
        </w:rPr>
        <w:t>’</w:t>
      </w:r>
      <w:r w:rsidRPr="003B1303">
        <w:rPr>
          <w:lang w:val="fr-FR"/>
        </w:rPr>
        <w:t>avocat (paragraphe</w:t>
      </w:r>
      <w:r w:rsidRPr="003B1303" w:rsidR="00790A06">
        <w:rPr>
          <w:lang w:val="fr-FR"/>
        </w:rPr>
        <w:t>s</w:t>
      </w:r>
      <w:r w:rsidRPr="003B1303" w:rsidR="007042B8">
        <w:rPr>
          <w:lang w:val="fr-FR"/>
        </w:rPr>
        <w:t xml:space="preserve"> </w:t>
      </w:r>
      <w:r w:rsidRPr="003B1303" w:rsidR="007042B8">
        <w:rPr>
          <w:lang w:val="fr-FR"/>
        </w:rPr>
        <w:fldChar w:fldCharType="begin"/>
      </w:r>
      <w:r w:rsidRPr="003B1303" w:rsidR="007042B8">
        <w:rPr>
          <w:lang w:val="fr-FR"/>
        </w:rPr>
        <w:instrText xml:space="preserve"> REF consdis3 \h </w:instrText>
      </w:r>
      <w:r w:rsidRPr="003B1303" w:rsidR="00C47AAA">
        <w:rPr>
          <w:lang w:val="fr-FR"/>
        </w:rPr>
        <w:instrText xml:space="preserve"> \* MERGEFORMAT </w:instrText>
      </w:r>
      <w:r w:rsidRPr="003B1303" w:rsidR="007042B8">
        <w:rPr>
          <w:lang w:val="fr-FR"/>
        </w:rPr>
      </w:r>
      <w:r w:rsidRPr="003B1303" w:rsidR="007042B8">
        <w:rPr>
          <w:lang w:val="fr-FR"/>
        </w:rPr>
        <w:fldChar w:fldCharType="separate"/>
      </w:r>
      <w:r w:rsidR="003B1303">
        <w:rPr>
          <w:noProof/>
          <w:lang w:val="fr-FR"/>
        </w:rPr>
        <w:t>32</w:t>
      </w:r>
      <w:r w:rsidRPr="003B1303" w:rsidR="007042B8">
        <w:rPr>
          <w:lang w:val="fr-FR"/>
        </w:rPr>
        <w:fldChar w:fldCharType="end"/>
      </w:r>
      <w:r w:rsidRPr="003B1303" w:rsidR="00790A06">
        <w:rPr>
          <w:lang w:val="fr-FR"/>
        </w:rPr>
        <w:noBreakHyphen/>
      </w:r>
      <w:r w:rsidRPr="003B1303" w:rsidR="00790A06">
        <w:rPr>
          <w:lang w:val="fr-FR"/>
        </w:rPr>
        <w:fldChar w:fldCharType="begin"/>
      </w:r>
      <w:r w:rsidRPr="003B1303" w:rsidR="00790A06">
        <w:rPr>
          <w:lang w:val="fr-FR"/>
        </w:rPr>
        <w:instrText xml:space="preserve"> REF consdis4 \h </w:instrText>
      </w:r>
      <w:r w:rsidRPr="003B1303" w:rsidR="00790A06">
        <w:rPr>
          <w:lang w:val="fr-FR"/>
        </w:rPr>
      </w:r>
      <w:r w:rsidRPr="003B1303" w:rsidR="00790A06">
        <w:rPr>
          <w:lang w:val="fr-FR"/>
        </w:rPr>
        <w:fldChar w:fldCharType="separate"/>
      </w:r>
      <w:r w:rsidR="003B1303">
        <w:rPr>
          <w:noProof/>
          <w:lang w:val="fr-FR"/>
        </w:rPr>
        <w:t>33</w:t>
      </w:r>
      <w:r w:rsidRPr="003B1303" w:rsidR="00790A06">
        <w:rPr>
          <w:lang w:val="fr-FR"/>
        </w:rPr>
        <w:fldChar w:fldCharType="end"/>
      </w:r>
      <w:r w:rsidRPr="003B1303">
        <w:rPr>
          <w:lang w:val="fr-FR"/>
        </w:rPr>
        <w:t xml:space="preserve"> ci</w:t>
      </w:r>
      <w:r w:rsidRPr="003B1303">
        <w:rPr>
          <w:lang w:val="fr-FR"/>
        </w:rPr>
        <w:noBreakHyphen/>
        <w:t xml:space="preserve">dessus). La Cour estime que la connaissance des règles </w:t>
      </w:r>
      <w:r w:rsidRPr="003B1303" w:rsidR="000875F8">
        <w:rPr>
          <w:lang w:val="fr-FR"/>
        </w:rPr>
        <w:t>relatives à</w:t>
      </w:r>
      <w:r w:rsidRPr="003B1303">
        <w:rPr>
          <w:lang w:val="fr-FR"/>
        </w:rPr>
        <w:t xml:space="preserve"> la désignation d</w:t>
      </w:r>
      <w:r w:rsidRPr="003B1303" w:rsidR="003B1303">
        <w:rPr>
          <w:lang w:val="fr-FR"/>
        </w:rPr>
        <w:t>’</w:t>
      </w:r>
      <w:r w:rsidRPr="003B1303">
        <w:rPr>
          <w:lang w:val="fr-FR"/>
        </w:rPr>
        <w:t xml:space="preserve">un avocat et </w:t>
      </w:r>
      <w:r w:rsidRPr="003B1303" w:rsidR="000875F8">
        <w:rPr>
          <w:lang w:val="fr-FR"/>
        </w:rPr>
        <w:t xml:space="preserve">le </w:t>
      </w:r>
      <w:r w:rsidRPr="003B1303">
        <w:rPr>
          <w:lang w:val="fr-FR"/>
        </w:rPr>
        <w:t>respect de celle</w:t>
      </w:r>
      <w:r w:rsidRPr="003B1303" w:rsidR="000875F8">
        <w:rPr>
          <w:lang w:val="fr-FR"/>
        </w:rPr>
        <w:t>s</w:t>
      </w:r>
      <w:r w:rsidRPr="003B1303">
        <w:rPr>
          <w:lang w:val="fr-FR"/>
        </w:rPr>
        <w:noBreakHyphen/>
        <w:t>ci ne pouvai</w:t>
      </w:r>
      <w:r w:rsidRPr="003B1303" w:rsidR="008879A2">
        <w:rPr>
          <w:lang w:val="fr-FR"/>
        </w:rPr>
        <w:t>en</w:t>
      </w:r>
      <w:r w:rsidRPr="003B1303">
        <w:rPr>
          <w:lang w:val="fr-FR"/>
        </w:rPr>
        <w:t xml:space="preserve">t </w:t>
      </w:r>
      <w:r w:rsidRPr="003B1303" w:rsidR="000875F8">
        <w:rPr>
          <w:lang w:val="fr-FR"/>
        </w:rPr>
        <w:t xml:space="preserve">être </w:t>
      </w:r>
      <w:proofErr w:type="gramStart"/>
      <w:r w:rsidRPr="003B1303" w:rsidR="000875F8">
        <w:rPr>
          <w:lang w:val="fr-FR"/>
        </w:rPr>
        <w:t>opposable</w:t>
      </w:r>
      <w:r w:rsidRPr="003B1303" w:rsidR="008879A2">
        <w:rPr>
          <w:lang w:val="fr-FR"/>
        </w:rPr>
        <w:t>s</w:t>
      </w:r>
      <w:proofErr w:type="gramEnd"/>
      <w:r w:rsidRPr="003B1303" w:rsidR="000875F8">
        <w:rPr>
          <w:lang w:val="fr-FR"/>
        </w:rPr>
        <w:t xml:space="preserve"> </w:t>
      </w:r>
      <w:r w:rsidRPr="003B1303">
        <w:rPr>
          <w:lang w:val="fr-FR"/>
        </w:rPr>
        <w:t xml:space="preserve">au </w:t>
      </w:r>
      <w:r w:rsidRPr="003B1303" w:rsidR="002206BB">
        <w:rPr>
          <w:lang w:val="fr-FR"/>
        </w:rPr>
        <w:t xml:space="preserve">premier </w:t>
      </w:r>
      <w:r w:rsidRPr="003B1303">
        <w:rPr>
          <w:lang w:val="fr-FR"/>
        </w:rPr>
        <w:t>requérant</w:t>
      </w:r>
      <w:r w:rsidRPr="003B1303" w:rsidR="005E3CCA">
        <w:rPr>
          <w:lang w:val="fr-FR"/>
        </w:rPr>
        <w:t> ;</w:t>
      </w:r>
      <w:r w:rsidRPr="003B1303">
        <w:rPr>
          <w:lang w:val="fr-FR"/>
        </w:rPr>
        <w:t xml:space="preserve"> le cas contraire viderait d</w:t>
      </w:r>
      <w:r w:rsidRPr="003B1303" w:rsidR="00865A8E">
        <w:rPr>
          <w:lang w:val="fr-FR"/>
        </w:rPr>
        <w:t>e</w:t>
      </w:r>
      <w:r w:rsidRPr="003B1303">
        <w:rPr>
          <w:lang w:val="fr-FR"/>
        </w:rPr>
        <w:t xml:space="preserve"> sens la représentation juridique elle-même.</w:t>
      </w:r>
    </w:p>
    <w:p w:rsidRPr="003B1303" w:rsidR="0085148A"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185</w:t>
      </w:r>
      <w:r w:rsidRPr="003B1303">
        <w:rPr>
          <w:lang w:val="fr-FR"/>
        </w:rPr>
        <w:fldChar w:fldCharType="end"/>
      </w:r>
      <w:r w:rsidRPr="003B1303">
        <w:rPr>
          <w:lang w:val="fr-FR"/>
        </w:rPr>
        <w:t xml:space="preserve">.  Eu égard à ces éléments, </w:t>
      </w:r>
      <w:r w:rsidRPr="003B1303" w:rsidR="005E3CCA">
        <w:rPr>
          <w:lang w:val="fr-FR"/>
        </w:rPr>
        <w:t>elle considère</w:t>
      </w:r>
      <w:r w:rsidRPr="003B1303">
        <w:rPr>
          <w:lang w:val="fr-FR"/>
        </w:rPr>
        <w:t xml:space="preserve"> que le </w:t>
      </w:r>
      <w:r w:rsidRPr="003B1303" w:rsidR="002206BB">
        <w:rPr>
          <w:lang w:val="fr-FR"/>
        </w:rPr>
        <w:t xml:space="preserve">premier </w:t>
      </w:r>
      <w:r w:rsidRPr="003B1303">
        <w:rPr>
          <w:lang w:val="fr-FR"/>
        </w:rPr>
        <w:t>requérant ne saurait passer pour avoir valablement renoncé à son droit d</w:t>
      </w:r>
      <w:r w:rsidRPr="003B1303" w:rsidR="003B1303">
        <w:rPr>
          <w:lang w:val="fr-FR"/>
        </w:rPr>
        <w:t>’</w:t>
      </w:r>
      <w:r w:rsidRPr="003B1303">
        <w:rPr>
          <w:lang w:val="fr-FR"/>
        </w:rPr>
        <w:t xml:space="preserve">être représenté par </w:t>
      </w:r>
      <w:r w:rsidRPr="003B1303" w:rsidR="0066692F">
        <w:rPr>
          <w:lang w:val="fr-FR"/>
        </w:rPr>
        <w:t xml:space="preserve">un </w:t>
      </w:r>
      <w:r w:rsidRPr="003B1303">
        <w:rPr>
          <w:lang w:val="fr-FR"/>
        </w:rPr>
        <w:t>avocat de son choix. Dans la mesure où il n</w:t>
      </w:r>
      <w:r w:rsidRPr="003B1303" w:rsidR="003B1303">
        <w:rPr>
          <w:lang w:val="fr-FR"/>
        </w:rPr>
        <w:t>’</w:t>
      </w:r>
      <w:r w:rsidRPr="003B1303">
        <w:rPr>
          <w:lang w:val="fr-FR"/>
        </w:rPr>
        <w:t>a pas eu accès aux avocates de son choix</w:t>
      </w:r>
      <w:r w:rsidRPr="003B1303" w:rsidR="005E3CCA">
        <w:rPr>
          <w:lang w:val="fr-FR"/>
        </w:rPr>
        <w:t>,</w:t>
      </w:r>
      <w:r w:rsidRPr="003B1303">
        <w:rPr>
          <w:lang w:val="fr-FR"/>
        </w:rPr>
        <w:t xml:space="preserve"> </w:t>
      </w:r>
      <w:proofErr w:type="spellStart"/>
      <w:r w:rsidRPr="003B1303">
        <w:rPr>
          <w:lang w:val="fr-FR"/>
        </w:rPr>
        <w:t>Ye</w:t>
      </w:r>
      <w:proofErr w:type="spellEnd"/>
      <w:r w:rsidRPr="003B1303">
        <w:rPr>
          <w:lang w:val="fr-FR"/>
        </w:rPr>
        <w:t xml:space="preserve">. </w:t>
      </w:r>
      <w:proofErr w:type="gramStart"/>
      <w:r w:rsidRPr="003B1303">
        <w:rPr>
          <w:lang w:val="fr-FR"/>
        </w:rPr>
        <w:t>et</w:t>
      </w:r>
      <w:proofErr w:type="gramEnd"/>
      <w:r w:rsidRPr="003B1303">
        <w:rPr>
          <w:lang w:val="fr-FR"/>
        </w:rPr>
        <w:t xml:space="preserve"> Ch.</w:t>
      </w:r>
      <w:r w:rsidRPr="003B1303" w:rsidR="005E3CCA">
        <w:rPr>
          <w:lang w:val="fr-FR"/>
        </w:rPr>
        <w:t>,</w:t>
      </w:r>
      <w:r w:rsidRPr="003B1303">
        <w:rPr>
          <w:lang w:val="fr-FR"/>
        </w:rPr>
        <w:t xml:space="preserve"> lors de l</w:t>
      </w:r>
      <w:r w:rsidRPr="003B1303" w:rsidR="003B1303">
        <w:rPr>
          <w:lang w:val="fr-FR"/>
        </w:rPr>
        <w:t>’</w:t>
      </w:r>
      <w:r w:rsidRPr="003B1303">
        <w:rPr>
          <w:lang w:val="fr-FR"/>
        </w:rPr>
        <w:t>interrogatoire du 15 avril 2008 et où l</w:t>
      </w:r>
      <w:r w:rsidRPr="003B1303" w:rsidR="003B1303">
        <w:rPr>
          <w:lang w:val="fr-FR"/>
        </w:rPr>
        <w:t>’</w:t>
      </w:r>
      <w:r w:rsidRPr="003B1303">
        <w:rPr>
          <w:lang w:val="fr-FR"/>
        </w:rPr>
        <w:t>assistance de l</w:t>
      </w:r>
      <w:r w:rsidRPr="003B1303" w:rsidR="003B1303">
        <w:rPr>
          <w:lang w:val="fr-FR"/>
        </w:rPr>
        <w:t>’</w:t>
      </w:r>
      <w:r w:rsidRPr="003B1303">
        <w:rPr>
          <w:lang w:val="fr-FR"/>
        </w:rPr>
        <w:t>avocate commise d</w:t>
      </w:r>
      <w:r w:rsidRPr="003B1303" w:rsidR="003B1303">
        <w:rPr>
          <w:lang w:val="fr-FR"/>
        </w:rPr>
        <w:t>’</w:t>
      </w:r>
      <w:r w:rsidRPr="003B1303">
        <w:rPr>
          <w:lang w:val="fr-FR"/>
        </w:rPr>
        <w:t xml:space="preserve">office Ku. </w:t>
      </w:r>
      <w:proofErr w:type="gramStart"/>
      <w:r w:rsidRPr="003B1303">
        <w:rPr>
          <w:lang w:val="fr-FR"/>
        </w:rPr>
        <w:t>n</w:t>
      </w:r>
      <w:r w:rsidRPr="003B1303" w:rsidR="003B1303">
        <w:rPr>
          <w:lang w:val="fr-FR"/>
        </w:rPr>
        <w:t>’</w:t>
      </w:r>
      <w:r w:rsidRPr="003B1303">
        <w:rPr>
          <w:lang w:val="fr-FR"/>
        </w:rPr>
        <w:t>a</w:t>
      </w:r>
      <w:proofErr w:type="gramEnd"/>
      <w:r w:rsidRPr="003B1303">
        <w:rPr>
          <w:lang w:val="fr-FR"/>
        </w:rPr>
        <w:t xml:space="preserve"> pas été effective, la Cour considère que le droit d</w:t>
      </w:r>
      <w:r w:rsidRPr="003B1303" w:rsidR="003B1303">
        <w:rPr>
          <w:lang w:val="fr-FR"/>
        </w:rPr>
        <w:t>’</w:t>
      </w:r>
      <w:r w:rsidRPr="003B1303">
        <w:rPr>
          <w:lang w:val="fr-FR"/>
        </w:rPr>
        <w:t xml:space="preserve">accès </w:t>
      </w:r>
      <w:r w:rsidRPr="003B1303" w:rsidR="002206BB">
        <w:rPr>
          <w:lang w:val="fr-FR"/>
        </w:rPr>
        <w:t xml:space="preserve">du premier requérant </w:t>
      </w:r>
      <w:r w:rsidRPr="003B1303">
        <w:rPr>
          <w:lang w:val="fr-FR"/>
        </w:rPr>
        <w:t xml:space="preserve">à </w:t>
      </w:r>
      <w:r w:rsidRPr="003B1303" w:rsidR="0066692F">
        <w:rPr>
          <w:lang w:val="fr-FR"/>
        </w:rPr>
        <w:t xml:space="preserve">un </w:t>
      </w:r>
      <w:r w:rsidRPr="003B1303">
        <w:rPr>
          <w:lang w:val="fr-FR"/>
        </w:rPr>
        <w:t xml:space="preserve">avocat </w:t>
      </w:r>
      <w:r w:rsidRPr="003B1303" w:rsidR="001661C3">
        <w:rPr>
          <w:lang w:val="fr-FR"/>
        </w:rPr>
        <w:t xml:space="preserve">de son choix </w:t>
      </w:r>
      <w:r w:rsidRPr="003B1303">
        <w:rPr>
          <w:lang w:val="fr-FR"/>
        </w:rPr>
        <w:t>a été restreint.</w:t>
      </w:r>
    </w:p>
    <w:p w:rsidRPr="003B1303" w:rsidR="00F65BBB" w:rsidP="003B1303" w:rsidRDefault="00F65BBB">
      <w:pPr>
        <w:pStyle w:val="ECHRHeading5"/>
        <w:rPr>
          <w:lang w:val="fr-FR"/>
        </w:rPr>
      </w:pPr>
      <w:r w:rsidRPr="003B1303">
        <w:rPr>
          <w:lang w:val="fr-FR"/>
        </w:rPr>
        <w:t>ii.</w:t>
      </w:r>
      <w:r w:rsidRPr="003B1303" w:rsidR="005E3CCA">
        <w:rPr>
          <w:lang w:val="fr-FR"/>
        </w:rPr>
        <w:t>  </w:t>
      </w:r>
      <w:r w:rsidRPr="003B1303">
        <w:rPr>
          <w:lang w:val="fr-FR"/>
        </w:rPr>
        <w:t>Existence de raisons impérieuses</w:t>
      </w:r>
    </w:p>
    <w:p w:rsidRPr="003B1303" w:rsidR="0085148A"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186</w:t>
      </w:r>
      <w:r w:rsidRPr="003B1303">
        <w:rPr>
          <w:lang w:val="fr-FR"/>
        </w:rPr>
        <w:fldChar w:fldCharType="end"/>
      </w:r>
      <w:r w:rsidRPr="003B1303">
        <w:rPr>
          <w:lang w:val="fr-FR"/>
        </w:rPr>
        <w:t xml:space="preserve">.  La Cour rappelle que les restrictions </w:t>
      </w:r>
      <w:r w:rsidRPr="003B1303" w:rsidR="00EA2516">
        <w:rPr>
          <w:lang w:val="fr-FR"/>
        </w:rPr>
        <w:t xml:space="preserve">au droit </w:t>
      </w:r>
      <w:r w:rsidRPr="003B1303">
        <w:rPr>
          <w:lang w:val="fr-FR"/>
        </w:rPr>
        <w:t>d</w:t>
      </w:r>
      <w:r w:rsidRPr="003B1303" w:rsidR="003B1303">
        <w:rPr>
          <w:lang w:val="fr-FR"/>
        </w:rPr>
        <w:t>’</w:t>
      </w:r>
      <w:r w:rsidRPr="003B1303">
        <w:rPr>
          <w:lang w:val="fr-FR"/>
        </w:rPr>
        <w:t>accès à un avocat ne sont permises que dans des cas exceptionnels, qu</w:t>
      </w:r>
      <w:r w:rsidRPr="003B1303" w:rsidR="003B1303">
        <w:rPr>
          <w:lang w:val="fr-FR"/>
        </w:rPr>
        <w:t>’</w:t>
      </w:r>
      <w:r w:rsidRPr="003B1303">
        <w:rPr>
          <w:lang w:val="fr-FR"/>
        </w:rPr>
        <w:t>elles doivent être de nature temporaire et qu</w:t>
      </w:r>
      <w:r w:rsidRPr="003B1303" w:rsidR="003B1303">
        <w:rPr>
          <w:lang w:val="fr-FR"/>
        </w:rPr>
        <w:t>’</w:t>
      </w:r>
      <w:r w:rsidRPr="003B1303">
        <w:rPr>
          <w:lang w:val="fr-FR"/>
        </w:rPr>
        <w:t>elles doivent reposer sur une appréciation individuelle des circonstances particulières du cas d</w:t>
      </w:r>
      <w:r w:rsidRPr="003B1303" w:rsidR="003B1303">
        <w:rPr>
          <w:lang w:val="fr-FR"/>
        </w:rPr>
        <w:t>’</w:t>
      </w:r>
      <w:r w:rsidRPr="003B1303">
        <w:rPr>
          <w:lang w:val="fr-FR"/>
        </w:rPr>
        <w:t>espèce (</w:t>
      </w:r>
      <w:proofErr w:type="spellStart"/>
      <w:r w:rsidRPr="003B1303">
        <w:rPr>
          <w:i/>
          <w:lang w:val="fr-FR"/>
        </w:rPr>
        <w:t>Beuze</w:t>
      </w:r>
      <w:proofErr w:type="spellEnd"/>
      <w:r w:rsidRPr="003B1303">
        <w:rPr>
          <w:lang w:val="fr-FR"/>
        </w:rPr>
        <w:t>, précité, § 142).</w:t>
      </w:r>
    </w:p>
    <w:p w:rsidRPr="003B1303" w:rsidR="0085148A"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187</w:t>
      </w:r>
      <w:r w:rsidRPr="003B1303">
        <w:rPr>
          <w:lang w:val="fr-FR"/>
        </w:rPr>
        <w:fldChar w:fldCharType="end"/>
      </w:r>
      <w:r w:rsidRPr="003B1303">
        <w:rPr>
          <w:lang w:val="fr-FR"/>
        </w:rPr>
        <w:t>. </w:t>
      </w:r>
      <w:r w:rsidRPr="003B1303" w:rsidR="002C0FE1">
        <w:rPr>
          <w:lang w:val="fr-FR"/>
        </w:rPr>
        <w:t> </w:t>
      </w:r>
      <w:r w:rsidRPr="003B1303">
        <w:rPr>
          <w:lang w:val="fr-FR"/>
        </w:rPr>
        <w:t>Le Gouvernement n</w:t>
      </w:r>
      <w:r w:rsidRPr="003B1303" w:rsidR="003B1303">
        <w:rPr>
          <w:lang w:val="fr-FR"/>
        </w:rPr>
        <w:t>’</w:t>
      </w:r>
      <w:r w:rsidRPr="003B1303">
        <w:rPr>
          <w:lang w:val="fr-FR"/>
        </w:rPr>
        <w:t>a pas fait état de telles circonstances exceptionnelles et il n</w:t>
      </w:r>
      <w:r w:rsidRPr="003B1303" w:rsidR="003B1303">
        <w:rPr>
          <w:lang w:val="fr-FR"/>
        </w:rPr>
        <w:t>’</w:t>
      </w:r>
      <w:r w:rsidRPr="003B1303">
        <w:rPr>
          <w:lang w:val="fr-FR"/>
        </w:rPr>
        <w:t>appartient pas à la Cour de rechercher de son propre chef si elles existaient en l</w:t>
      </w:r>
      <w:r w:rsidRPr="003B1303" w:rsidR="003B1303">
        <w:rPr>
          <w:lang w:val="fr-FR"/>
        </w:rPr>
        <w:t>’</w:t>
      </w:r>
      <w:r w:rsidRPr="003B1303">
        <w:rPr>
          <w:lang w:val="fr-FR"/>
        </w:rPr>
        <w:t>espèce. La Cour ne voit aucune « raison impérieuse » qui aurait pu justifier de restreindre l</w:t>
      </w:r>
      <w:r w:rsidRPr="003B1303" w:rsidR="003B1303">
        <w:rPr>
          <w:lang w:val="fr-FR"/>
        </w:rPr>
        <w:t>’</w:t>
      </w:r>
      <w:r w:rsidRPr="003B1303">
        <w:rPr>
          <w:lang w:val="fr-FR"/>
        </w:rPr>
        <w:t xml:space="preserve">accès du </w:t>
      </w:r>
      <w:r w:rsidRPr="003B1303" w:rsidR="002C0FE1">
        <w:rPr>
          <w:lang w:val="fr-FR"/>
        </w:rPr>
        <w:t xml:space="preserve">premier </w:t>
      </w:r>
      <w:r w:rsidRPr="003B1303">
        <w:rPr>
          <w:lang w:val="fr-FR"/>
        </w:rPr>
        <w:t>requérant aux avocates de son choix lors de l</w:t>
      </w:r>
      <w:r w:rsidRPr="003B1303" w:rsidR="003B1303">
        <w:rPr>
          <w:lang w:val="fr-FR"/>
        </w:rPr>
        <w:t>’</w:t>
      </w:r>
      <w:r w:rsidRPr="003B1303">
        <w:rPr>
          <w:lang w:val="fr-FR"/>
        </w:rPr>
        <w:t>interrogatoire du 15 avril 2008 : il n</w:t>
      </w:r>
      <w:r w:rsidRPr="003B1303" w:rsidR="003B1303">
        <w:rPr>
          <w:lang w:val="fr-FR"/>
        </w:rPr>
        <w:t>’</w:t>
      </w:r>
      <w:r w:rsidRPr="003B1303">
        <w:rPr>
          <w:lang w:val="fr-FR"/>
        </w:rPr>
        <w:t>a pas été allégué, par exemple, qu</w:t>
      </w:r>
      <w:r w:rsidRPr="003B1303" w:rsidR="003B1303">
        <w:rPr>
          <w:lang w:val="fr-FR"/>
        </w:rPr>
        <w:t>’</w:t>
      </w:r>
      <w:r w:rsidRPr="003B1303">
        <w:rPr>
          <w:lang w:val="fr-FR"/>
        </w:rPr>
        <w:t>il existait un risque imminent pour la vie, l</w:t>
      </w:r>
      <w:r w:rsidRPr="003B1303" w:rsidR="003B1303">
        <w:rPr>
          <w:lang w:val="fr-FR"/>
        </w:rPr>
        <w:t>’</w:t>
      </w:r>
      <w:r w:rsidRPr="003B1303">
        <w:rPr>
          <w:lang w:val="fr-FR"/>
        </w:rPr>
        <w:t>intégrité physique ou la sécurité d</w:t>
      </w:r>
      <w:r w:rsidRPr="003B1303" w:rsidR="003B1303">
        <w:rPr>
          <w:lang w:val="fr-FR"/>
        </w:rPr>
        <w:t>’</w:t>
      </w:r>
      <w:r w:rsidRPr="003B1303">
        <w:rPr>
          <w:lang w:val="fr-FR"/>
        </w:rPr>
        <w:t xml:space="preserve">autrui (voir, </w:t>
      </w:r>
      <w:r w:rsidRPr="003B1303">
        <w:rPr>
          <w:i/>
          <w:lang w:val="fr-FR"/>
        </w:rPr>
        <w:t>a contrario</w:t>
      </w:r>
      <w:r w:rsidRPr="003B1303">
        <w:rPr>
          <w:lang w:val="fr-FR"/>
        </w:rPr>
        <w:t xml:space="preserve">, </w:t>
      </w:r>
      <w:r w:rsidRPr="003B1303">
        <w:rPr>
          <w:i/>
          <w:lang w:val="fr-FR"/>
        </w:rPr>
        <w:t>Ibrahim et autres</w:t>
      </w:r>
      <w:r w:rsidRPr="003B1303">
        <w:rPr>
          <w:lang w:val="fr-FR"/>
        </w:rPr>
        <w:t>, précité, § 276).</w:t>
      </w:r>
    </w:p>
    <w:p w:rsidRPr="003B1303" w:rsidR="00F65BBB" w:rsidP="003B1303" w:rsidRDefault="00F65BBB">
      <w:pPr>
        <w:pStyle w:val="ECHRHeading5"/>
        <w:rPr>
          <w:lang w:val="fr-FR"/>
        </w:rPr>
      </w:pPr>
      <w:r w:rsidRPr="003B1303">
        <w:rPr>
          <w:lang w:val="fr-FR"/>
        </w:rPr>
        <w:t>iii.</w:t>
      </w:r>
      <w:r w:rsidRPr="003B1303" w:rsidR="00A46098">
        <w:rPr>
          <w:lang w:val="fr-FR"/>
        </w:rPr>
        <w:t>  </w:t>
      </w:r>
      <w:r w:rsidRPr="003B1303">
        <w:rPr>
          <w:lang w:val="fr-FR"/>
        </w:rPr>
        <w:t>Respect de l</w:t>
      </w:r>
      <w:r w:rsidRPr="003B1303" w:rsidR="003B1303">
        <w:rPr>
          <w:lang w:val="fr-FR"/>
        </w:rPr>
        <w:t>’</w:t>
      </w:r>
      <w:r w:rsidRPr="003B1303">
        <w:rPr>
          <w:lang w:val="fr-FR"/>
        </w:rPr>
        <w:t>équité globale du procès</w:t>
      </w:r>
    </w:p>
    <w:p w:rsidRPr="003B1303" w:rsidR="00F65BBB"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188</w:t>
      </w:r>
      <w:r w:rsidRPr="003B1303">
        <w:rPr>
          <w:lang w:val="fr-FR"/>
        </w:rPr>
        <w:fldChar w:fldCharType="end"/>
      </w:r>
      <w:r w:rsidRPr="003B1303">
        <w:rPr>
          <w:lang w:val="fr-FR"/>
        </w:rPr>
        <w:t>.  La Cour doit à présent rechercher si l</w:t>
      </w:r>
      <w:r w:rsidRPr="003B1303" w:rsidR="003B1303">
        <w:rPr>
          <w:lang w:val="fr-FR"/>
        </w:rPr>
        <w:t>’</w:t>
      </w:r>
      <w:r w:rsidRPr="003B1303">
        <w:rPr>
          <w:lang w:val="fr-FR"/>
        </w:rPr>
        <w:t xml:space="preserve">impossibilité pour le </w:t>
      </w:r>
      <w:r w:rsidRPr="003B1303" w:rsidR="002C0FE1">
        <w:rPr>
          <w:lang w:val="fr-FR"/>
        </w:rPr>
        <w:t xml:space="preserve">premier </w:t>
      </w:r>
      <w:r w:rsidRPr="003B1303">
        <w:rPr>
          <w:lang w:val="fr-FR"/>
        </w:rPr>
        <w:t>requérant de bénéficier de l</w:t>
      </w:r>
      <w:r w:rsidRPr="003B1303" w:rsidR="003B1303">
        <w:rPr>
          <w:lang w:val="fr-FR"/>
        </w:rPr>
        <w:t>’</w:t>
      </w:r>
      <w:r w:rsidRPr="003B1303">
        <w:rPr>
          <w:lang w:val="fr-FR"/>
        </w:rPr>
        <w:t>assistance des avocates de son choix pendant l</w:t>
      </w:r>
      <w:r w:rsidRPr="003B1303" w:rsidR="003B1303">
        <w:rPr>
          <w:lang w:val="fr-FR"/>
        </w:rPr>
        <w:t>’</w:t>
      </w:r>
      <w:r w:rsidRPr="003B1303">
        <w:rPr>
          <w:lang w:val="fr-FR"/>
        </w:rPr>
        <w:t>interrogatoire du 15 avril 2008 a eu pour effet de nuire irrémédiablement à l</w:t>
      </w:r>
      <w:r w:rsidRPr="003B1303" w:rsidR="003B1303">
        <w:rPr>
          <w:lang w:val="fr-FR"/>
        </w:rPr>
        <w:t>’</w:t>
      </w:r>
      <w:r w:rsidRPr="003B1303">
        <w:rPr>
          <w:lang w:val="fr-FR"/>
        </w:rPr>
        <w:t xml:space="preserve">équité du procès pénal </w:t>
      </w:r>
      <w:r w:rsidRPr="003B1303" w:rsidR="002C0FE1">
        <w:rPr>
          <w:lang w:val="fr-FR"/>
        </w:rPr>
        <w:t>de l</w:t>
      </w:r>
      <w:r w:rsidRPr="003B1303" w:rsidR="003B1303">
        <w:rPr>
          <w:lang w:val="fr-FR"/>
        </w:rPr>
        <w:t>’</w:t>
      </w:r>
      <w:r w:rsidRPr="003B1303" w:rsidR="002C0FE1">
        <w:rPr>
          <w:lang w:val="fr-FR"/>
        </w:rPr>
        <w:t xml:space="preserve">intéressé </w:t>
      </w:r>
      <w:r w:rsidRPr="003B1303">
        <w:rPr>
          <w:lang w:val="fr-FR"/>
        </w:rPr>
        <w:t>considéré dans son ensemble. L</w:t>
      </w:r>
      <w:r w:rsidRPr="003B1303" w:rsidR="003B1303">
        <w:rPr>
          <w:lang w:val="fr-FR"/>
        </w:rPr>
        <w:t>’</w:t>
      </w:r>
      <w:r w:rsidRPr="003B1303">
        <w:rPr>
          <w:lang w:val="fr-FR"/>
        </w:rPr>
        <w:t>absence en l</w:t>
      </w:r>
      <w:r w:rsidRPr="003B1303" w:rsidR="003B1303">
        <w:rPr>
          <w:lang w:val="fr-FR"/>
        </w:rPr>
        <w:t>’</w:t>
      </w:r>
      <w:r w:rsidRPr="003B1303">
        <w:rPr>
          <w:lang w:val="fr-FR"/>
        </w:rPr>
        <w:t xml:space="preserve">espèce de « raisons impérieuses » qui auraient pu </w:t>
      </w:r>
      <w:proofErr w:type="gramStart"/>
      <w:r w:rsidRPr="003B1303">
        <w:rPr>
          <w:lang w:val="fr-FR"/>
        </w:rPr>
        <w:t>justifier</w:t>
      </w:r>
      <w:proofErr w:type="gramEnd"/>
      <w:r w:rsidRPr="003B1303">
        <w:rPr>
          <w:lang w:val="fr-FR"/>
        </w:rPr>
        <w:t xml:space="preserve"> de restreindre l</w:t>
      </w:r>
      <w:r w:rsidRPr="003B1303" w:rsidR="003B1303">
        <w:rPr>
          <w:lang w:val="fr-FR"/>
        </w:rPr>
        <w:t>’</w:t>
      </w:r>
      <w:r w:rsidRPr="003B1303">
        <w:rPr>
          <w:lang w:val="fr-FR"/>
        </w:rPr>
        <w:t xml:space="preserve">accès du </w:t>
      </w:r>
      <w:r w:rsidRPr="003B1303" w:rsidR="002C0FE1">
        <w:rPr>
          <w:lang w:val="fr-FR"/>
        </w:rPr>
        <w:t xml:space="preserve">premier </w:t>
      </w:r>
      <w:r w:rsidRPr="003B1303">
        <w:rPr>
          <w:lang w:val="fr-FR"/>
        </w:rPr>
        <w:t>requérant à ses avocates oblige la Cour à se livrer à un examen très strict de l</w:t>
      </w:r>
      <w:r w:rsidRPr="003B1303" w:rsidR="003B1303">
        <w:rPr>
          <w:lang w:val="fr-FR"/>
        </w:rPr>
        <w:t>’</w:t>
      </w:r>
      <w:r w:rsidRPr="003B1303">
        <w:rPr>
          <w:lang w:val="fr-FR"/>
        </w:rPr>
        <w:t>équité de la procédure. Il appartient au Gouvernement de démontrer de manière convaincante que le requérant a néanmoins bénéficié d</w:t>
      </w:r>
      <w:r w:rsidRPr="003B1303" w:rsidR="003B1303">
        <w:rPr>
          <w:lang w:val="fr-FR"/>
        </w:rPr>
        <w:t>’</w:t>
      </w:r>
      <w:r w:rsidRPr="003B1303">
        <w:rPr>
          <w:lang w:val="fr-FR"/>
        </w:rPr>
        <w:t>un procès pénal équitable (</w:t>
      </w:r>
      <w:proofErr w:type="spellStart"/>
      <w:r w:rsidRPr="003B1303">
        <w:rPr>
          <w:i/>
          <w:lang w:val="fr-FR"/>
        </w:rPr>
        <w:t>Beuze</w:t>
      </w:r>
      <w:proofErr w:type="spellEnd"/>
      <w:r w:rsidRPr="003B1303">
        <w:rPr>
          <w:lang w:val="fr-FR"/>
        </w:rPr>
        <w:t>, précité, § 165). La Cour examinera, dans la mesure où ils sont pertinents en l</w:t>
      </w:r>
      <w:r w:rsidRPr="003B1303" w:rsidR="003B1303">
        <w:rPr>
          <w:lang w:val="fr-FR"/>
        </w:rPr>
        <w:t>’</w:t>
      </w:r>
      <w:r w:rsidRPr="003B1303">
        <w:rPr>
          <w:lang w:val="fr-FR"/>
        </w:rPr>
        <w:t>espèce, les différents facteurs découlant de sa jurisprudence tels qu</w:t>
      </w:r>
      <w:r w:rsidRPr="003B1303" w:rsidR="003B1303">
        <w:rPr>
          <w:lang w:val="fr-FR"/>
        </w:rPr>
        <w:t>’</w:t>
      </w:r>
      <w:r w:rsidRPr="003B1303">
        <w:rPr>
          <w:lang w:val="fr-FR"/>
        </w:rPr>
        <w:t xml:space="preserve">ils ressortent des arrêts </w:t>
      </w:r>
      <w:r w:rsidRPr="003B1303">
        <w:rPr>
          <w:i/>
          <w:iCs/>
          <w:lang w:val="fr-FR"/>
        </w:rPr>
        <w:t>Ibrahim et autres</w:t>
      </w:r>
      <w:r w:rsidRPr="003B1303" w:rsidR="002C0FE1">
        <w:rPr>
          <w:lang w:val="fr-FR"/>
        </w:rPr>
        <w:t xml:space="preserve"> </w:t>
      </w:r>
      <w:r w:rsidRPr="003B1303">
        <w:rPr>
          <w:lang w:val="fr-FR"/>
        </w:rPr>
        <w:t>et</w:t>
      </w:r>
      <w:r w:rsidRPr="003B1303" w:rsidR="002C0FE1">
        <w:rPr>
          <w:lang w:val="fr-FR"/>
        </w:rPr>
        <w:t xml:space="preserve"> </w:t>
      </w:r>
      <w:proofErr w:type="spellStart"/>
      <w:r w:rsidRPr="003B1303">
        <w:rPr>
          <w:i/>
          <w:iCs/>
          <w:lang w:val="fr-FR"/>
        </w:rPr>
        <w:t>Simeonovi</w:t>
      </w:r>
      <w:proofErr w:type="spellEnd"/>
      <w:r w:rsidRPr="003B1303" w:rsidR="002C0FE1">
        <w:rPr>
          <w:lang w:val="fr-FR"/>
        </w:rPr>
        <w:t xml:space="preserve"> précités </w:t>
      </w:r>
      <w:r w:rsidRPr="003B1303">
        <w:rPr>
          <w:lang w:val="fr-FR"/>
        </w:rPr>
        <w:t>et sont rappelés au paragraphe</w:t>
      </w:r>
      <w:r w:rsidRPr="003B1303" w:rsidR="002C0FE1">
        <w:rPr>
          <w:lang w:val="fr-FR"/>
        </w:rPr>
        <w:t> </w:t>
      </w:r>
      <w:r w:rsidRPr="003B1303">
        <w:rPr>
          <w:lang w:val="fr-FR"/>
        </w:rPr>
        <w:t>150 de l</w:t>
      </w:r>
      <w:r w:rsidRPr="003B1303" w:rsidR="003B1303">
        <w:rPr>
          <w:lang w:val="fr-FR"/>
        </w:rPr>
        <w:t>’</w:t>
      </w:r>
      <w:r w:rsidRPr="003B1303">
        <w:rPr>
          <w:lang w:val="fr-FR"/>
        </w:rPr>
        <w:t xml:space="preserve">arrêt </w:t>
      </w:r>
      <w:proofErr w:type="spellStart"/>
      <w:r w:rsidRPr="003B1303">
        <w:rPr>
          <w:i/>
          <w:lang w:val="fr-FR"/>
        </w:rPr>
        <w:t>Beuze</w:t>
      </w:r>
      <w:proofErr w:type="spellEnd"/>
      <w:r w:rsidRPr="003B1303">
        <w:rPr>
          <w:lang w:val="fr-FR"/>
        </w:rPr>
        <w:t xml:space="preserve"> précité.</w:t>
      </w:r>
    </w:p>
    <w:p w:rsidRPr="003B1303" w:rsidR="00F65BBB" w:rsidP="003B1303" w:rsidRDefault="00F65BBB">
      <w:pPr>
        <w:pStyle w:val="ECHRHeading6"/>
        <w:rPr>
          <w:lang w:val="fr-FR"/>
        </w:rPr>
      </w:pPr>
      <w:r w:rsidRPr="003B1303">
        <w:rPr>
          <w:lang w:val="fr-FR"/>
        </w:rPr>
        <w:t xml:space="preserve">α)  La vulnérabilité du </w:t>
      </w:r>
      <w:r w:rsidRPr="003B1303" w:rsidR="002C0FE1">
        <w:rPr>
          <w:lang w:val="fr-FR"/>
        </w:rPr>
        <w:t xml:space="preserve">premier </w:t>
      </w:r>
      <w:r w:rsidRPr="003B1303">
        <w:rPr>
          <w:lang w:val="fr-FR"/>
        </w:rPr>
        <w:t>requérant et les circonstances dans lesquelles les preuves ont été obtenues</w:t>
      </w:r>
    </w:p>
    <w:p w:rsidRPr="003B1303" w:rsidR="00F65BBB"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189</w:t>
      </w:r>
      <w:r w:rsidRPr="003B1303">
        <w:rPr>
          <w:lang w:val="fr-FR"/>
        </w:rPr>
        <w:fldChar w:fldCharType="end"/>
      </w:r>
      <w:r w:rsidRPr="003B1303">
        <w:rPr>
          <w:lang w:val="fr-FR"/>
        </w:rPr>
        <w:t>.  La Cour rappelle qu</w:t>
      </w:r>
      <w:r w:rsidRPr="003B1303" w:rsidR="003B1303">
        <w:rPr>
          <w:lang w:val="fr-FR"/>
        </w:rPr>
        <w:t>’</w:t>
      </w:r>
      <w:r w:rsidRPr="003B1303">
        <w:rPr>
          <w:lang w:val="fr-FR"/>
        </w:rPr>
        <w:t>elle n</w:t>
      </w:r>
      <w:r w:rsidRPr="003B1303" w:rsidR="003B1303">
        <w:rPr>
          <w:lang w:val="fr-FR"/>
        </w:rPr>
        <w:t>’</w:t>
      </w:r>
      <w:r w:rsidRPr="003B1303">
        <w:rPr>
          <w:lang w:val="fr-FR"/>
        </w:rPr>
        <w:t xml:space="preserve">a pas </w:t>
      </w:r>
      <w:r w:rsidRPr="003B1303" w:rsidR="002C0FE1">
        <w:rPr>
          <w:lang w:val="fr-FR"/>
        </w:rPr>
        <w:t>conclu à la</w:t>
      </w:r>
      <w:r w:rsidRPr="003B1303">
        <w:rPr>
          <w:lang w:val="fr-FR"/>
        </w:rPr>
        <w:t xml:space="preserve"> violation de l</w:t>
      </w:r>
      <w:r w:rsidRPr="003B1303" w:rsidR="003B1303">
        <w:rPr>
          <w:lang w:val="fr-FR"/>
        </w:rPr>
        <w:t>’</w:t>
      </w:r>
      <w:r w:rsidRPr="003B1303">
        <w:rPr>
          <w:lang w:val="fr-FR"/>
        </w:rPr>
        <w:t xml:space="preserve">article 3 de la Convention sous son aspect matériel quant aux allégations de mauvais traitements </w:t>
      </w:r>
      <w:r w:rsidRPr="003B1303" w:rsidR="002C0FE1">
        <w:rPr>
          <w:lang w:val="fr-FR"/>
        </w:rPr>
        <w:t xml:space="preserve">formulées par le </w:t>
      </w:r>
      <w:r w:rsidRPr="003B1303">
        <w:rPr>
          <w:lang w:val="fr-FR"/>
        </w:rPr>
        <w:t xml:space="preserve">premier requérant (paragraphe </w:t>
      </w:r>
      <w:r w:rsidRPr="003B1303">
        <w:rPr>
          <w:lang w:val="fr-FR"/>
        </w:rPr>
        <w:fldChar w:fldCharType="begin"/>
      </w:r>
      <w:r w:rsidRPr="003B1303">
        <w:rPr>
          <w:lang w:val="fr-FR"/>
        </w:rPr>
        <w:instrText xml:space="preserve"> REF a3concl1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138</w:t>
      </w:r>
      <w:r w:rsidRPr="003B1303">
        <w:rPr>
          <w:lang w:val="fr-FR"/>
        </w:rPr>
        <w:fldChar w:fldCharType="end"/>
      </w:r>
      <w:r w:rsidRPr="003B1303">
        <w:rPr>
          <w:lang w:val="fr-FR"/>
        </w:rPr>
        <w:t xml:space="preserve"> ci</w:t>
      </w:r>
      <w:r w:rsidRPr="003B1303">
        <w:rPr>
          <w:lang w:val="fr-FR"/>
        </w:rPr>
        <w:noBreakHyphen/>
        <w:t xml:space="preserve">dessus). </w:t>
      </w:r>
      <w:r w:rsidRPr="003B1303" w:rsidR="004C63F6">
        <w:rPr>
          <w:lang w:val="fr-FR"/>
        </w:rPr>
        <w:t>Elle estime qu</w:t>
      </w:r>
      <w:r w:rsidRPr="003B1303" w:rsidR="003B1303">
        <w:rPr>
          <w:lang w:val="fr-FR"/>
        </w:rPr>
        <w:t>’</w:t>
      </w:r>
      <w:r w:rsidRPr="003B1303" w:rsidR="004C63F6">
        <w:rPr>
          <w:lang w:val="fr-FR"/>
        </w:rPr>
        <w:t>a</w:t>
      </w:r>
      <w:r w:rsidRPr="003B1303">
        <w:rPr>
          <w:lang w:val="fr-FR"/>
        </w:rPr>
        <w:t xml:space="preserve">ucune autre circonstance particulière </w:t>
      </w:r>
      <w:r w:rsidRPr="003B1303" w:rsidR="00EA2516">
        <w:rPr>
          <w:lang w:val="fr-FR"/>
        </w:rPr>
        <w:t>n</w:t>
      </w:r>
      <w:r w:rsidRPr="003B1303" w:rsidR="003B1303">
        <w:rPr>
          <w:lang w:val="fr-FR"/>
        </w:rPr>
        <w:t>’</w:t>
      </w:r>
      <w:r w:rsidRPr="003B1303" w:rsidR="00EA2516">
        <w:rPr>
          <w:lang w:val="fr-FR"/>
        </w:rPr>
        <w:t xml:space="preserve">indique </w:t>
      </w:r>
      <w:r w:rsidRPr="003B1303" w:rsidR="004C63F6">
        <w:rPr>
          <w:lang w:val="fr-FR"/>
        </w:rPr>
        <w:t xml:space="preserve">que, </w:t>
      </w:r>
      <w:r w:rsidRPr="003B1303">
        <w:rPr>
          <w:lang w:val="fr-FR"/>
        </w:rPr>
        <w:t>lors de l</w:t>
      </w:r>
      <w:r w:rsidRPr="003B1303" w:rsidR="003B1303">
        <w:rPr>
          <w:lang w:val="fr-FR"/>
        </w:rPr>
        <w:t>’</w:t>
      </w:r>
      <w:r w:rsidRPr="003B1303">
        <w:rPr>
          <w:lang w:val="fr-FR"/>
        </w:rPr>
        <w:t>interrogatoire du 15 avril 2008</w:t>
      </w:r>
      <w:r w:rsidRPr="003B1303" w:rsidR="004C63F6">
        <w:rPr>
          <w:lang w:val="fr-FR"/>
        </w:rPr>
        <w:t>,</w:t>
      </w:r>
      <w:r w:rsidRPr="003B1303">
        <w:rPr>
          <w:lang w:val="fr-FR"/>
        </w:rPr>
        <w:t xml:space="preserve"> le premier requérant </w:t>
      </w:r>
      <w:r w:rsidRPr="003B1303" w:rsidR="00EA2516">
        <w:rPr>
          <w:lang w:val="fr-FR"/>
        </w:rPr>
        <w:t>se trouvait</w:t>
      </w:r>
      <w:r w:rsidRPr="003B1303">
        <w:rPr>
          <w:lang w:val="fr-FR"/>
        </w:rPr>
        <w:t xml:space="preserve"> dans un état de vulnérabilité particulière plus important que celui dans lequel se trouvent généralement les personnes interrogées par des enquêteurs</w:t>
      </w:r>
      <w:r w:rsidRPr="003B1303" w:rsidR="004C63F6">
        <w:rPr>
          <w:lang w:val="fr-FR"/>
        </w:rPr>
        <w:t>.</w:t>
      </w:r>
    </w:p>
    <w:p w:rsidRPr="003B1303" w:rsidR="00F65BBB" w:rsidP="003B1303" w:rsidRDefault="00F65BBB">
      <w:pPr>
        <w:pStyle w:val="ECHRHeading6"/>
        <w:rPr>
          <w:lang w:val="fr-FR"/>
        </w:rPr>
      </w:pPr>
      <w:r w:rsidRPr="003B1303">
        <w:rPr>
          <w:lang w:val="fr-FR"/>
        </w:rPr>
        <w:t>β)  Le dispositif légal encadrant la procédure antérieure à la phase de jugement et l</w:t>
      </w:r>
      <w:r w:rsidRPr="003B1303" w:rsidR="003B1303">
        <w:rPr>
          <w:lang w:val="fr-FR"/>
        </w:rPr>
        <w:t>’</w:t>
      </w:r>
      <w:r w:rsidRPr="003B1303">
        <w:rPr>
          <w:lang w:val="fr-FR"/>
        </w:rPr>
        <w:t>admissibilité des preuves ainsi que la possibilité de contester les preuves recueillies et leur production</w:t>
      </w:r>
    </w:p>
    <w:bookmarkStart w:name="motA63cadm1" w:id="74"/>
    <w:p w:rsidRPr="003B1303" w:rsidR="00F65BBB"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190</w:t>
      </w:r>
      <w:r w:rsidRPr="003B1303">
        <w:rPr>
          <w:lang w:val="fr-FR"/>
        </w:rPr>
        <w:fldChar w:fldCharType="end"/>
      </w:r>
      <w:bookmarkEnd w:id="74"/>
      <w:r w:rsidRPr="003B1303">
        <w:rPr>
          <w:lang w:val="fr-FR"/>
        </w:rPr>
        <w:t xml:space="preserve">.  La Cour note que le </w:t>
      </w:r>
      <w:r w:rsidRPr="003B1303" w:rsidR="00D36096">
        <w:rPr>
          <w:lang w:val="fr-FR"/>
        </w:rPr>
        <w:t xml:space="preserve">premier </w:t>
      </w:r>
      <w:r w:rsidRPr="003B1303">
        <w:rPr>
          <w:lang w:val="fr-FR"/>
        </w:rPr>
        <w:t>requérant a pu rencontrer les avocates de son choix le 21 avril 2008 et que</w:t>
      </w:r>
      <w:r w:rsidRPr="003B1303" w:rsidR="00D36096">
        <w:rPr>
          <w:lang w:val="fr-FR"/>
        </w:rPr>
        <w:t>,</w:t>
      </w:r>
      <w:r w:rsidRPr="003B1303">
        <w:rPr>
          <w:lang w:val="fr-FR"/>
        </w:rPr>
        <w:t xml:space="preserve"> lors d</w:t>
      </w:r>
      <w:r w:rsidRPr="003B1303" w:rsidR="00823AAD">
        <w:rPr>
          <w:lang w:val="fr-FR"/>
        </w:rPr>
        <w:t>es interrogatoires des 25 et 30 </w:t>
      </w:r>
      <w:r w:rsidRPr="003B1303">
        <w:rPr>
          <w:lang w:val="fr-FR"/>
        </w:rPr>
        <w:t>mai 2008</w:t>
      </w:r>
      <w:r w:rsidRPr="003B1303" w:rsidR="00D36096">
        <w:rPr>
          <w:lang w:val="fr-FR"/>
        </w:rPr>
        <w:t>,</w:t>
      </w:r>
      <w:r w:rsidRPr="003B1303">
        <w:rPr>
          <w:lang w:val="fr-FR"/>
        </w:rPr>
        <w:t xml:space="preserve"> il </w:t>
      </w:r>
      <w:r w:rsidRPr="003B1303" w:rsidR="00D36096">
        <w:rPr>
          <w:lang w:val="fr-FR"/>
        </w:rPr>
        <w:t xml:space="preserve">a rétracté </w:t>
      </w:r>
      <w:r w:rsidRPr="003B1303">
        <w:rPr>
          <w:lang w:val="fr-FR"/>
        </w:rPr>
        <w:t xml:space="preserve">ses aveux </w:t>
      </w:r>
      <w:r w:rsidRPr="003B1303" w:rsidR="00D36096">
        <w:rPr>
          <w:lang w:val="fr-FR"/>
        </w:rPr>
        <w:t>antérieurs</w:t>
      </w:r>
      <w:r w:rsidRPr="003B1303">
        <w:rPr>
          <w:lang w:val="fr-FR"/>
        </w:rPr>
        <w:t xml:space="preserve">. </w:t>
      </w:r>
      <w:r w:rsidRPr="003B1303" w:rsidR="00D36096">
        <w:rPr>
          <w:lang w:val="fr-FR"/>
        </w:rPr>
        <w:t>Elle constate que l</w:t>
      </w:r>
      <w:r w:rsidRPr="003B1303" w:rsidR="003B1303">
        <w:rPr>
          <w:lang w:val="fr-FR"/>
        </w:rPr>
        <w:t>’</w:t>
      </w:r>
      <w:r w:rsidRPr="003B1303" w:rsidR="00D36096">
        <w:rPr>
          <w:lang w:val="fr-FR"/>
        </w:rPr>
        <w:t xml:space="preserve">intéressé </w:t>
      </w:r>
      <w:r w:rsidRPr="003B1303">
        <w:rPr>
          <w:lang w:val="fr-FR"/>
        </w:rPr>
        <w:t>semble avoir pu contester la désignation de l</w:t>
      </w:r>
      <w:r w:rsidRPr="003B1303" w:rsidR="003B1303">
        <w:rPr>
          <w:lang w:val="fr-FR"/>
        </w:rPr>
        <w:t>’</w:t>
      </w:r>
      <w:r w:rsidRPr="003B1303">
        <w:rPr>
          <w:lang w:val="fr-FR"/>
        </w:rPr>
        <w:t>avocate commise d</w:t>
      </w:r>
      <w:r w:rsidRPr="003B1303" w:rsidR="003B1303">
        <w:rPr>
          <w:lang w:val="fr-FR"/>
        </w:rPr>
        <w:t>’</w:t>
      </w:r>
      <w:r w:rsidRPr="003B1303">
        <w:rPr>
          <w:lang w:val="fr-FR"/>
        </w:rPr>
        <w:t xml:space="preserve">office Ku. </w:t>
      </w:r>
      <w:proofErr w:type="gramStart"/>
      <w:r w:rsidRPr="003B1303">
        <w:rPr>
          <w:lang w:val="fr-FR"/>
        </w:rPr>
        <w:t>devant</w:t>
      </w:r>
      <w:proofErr w:type="gramEnd"/>
      <w:r w:rsidRPr="003B1303">
        <w:rPr>
          <w:lang w:val="fr-FR"/>
        </w:rPr>
        <w:t xml:space="preserve"> le tribunal de l</w:t>
      </w:r>
      <w:r w:rsidRPr="003B1303" w:rsidR="003B1303">
        <w:rPr>
          <w:lang w:val="fr-FR"/>
        </w:rPr>
        <w:t>’</w:t>
      </w:r>
      <w:r w:rsidRPr="003B1303">
        <w:rPr>
          <w:lang w:val="fr-FR"/>
        </w:rPr>
        <w:t>arrondissement Oktiabrski de la ville d</w:t>
      </w:r>
      <w:r w:rsidRPr="003B1303" w:rsidR="003B1303">
        <w:rPr>
          <w:lang w:val="fr-FR"/>
        </w:rPr>
        <w:t>’</w:t>
      </w:r>
      <w:r w:rsidRPr="003B1303">
        <w:rPr>
          <w:lang w:val="fr-FR"/>
        </w:rPr>
        <w:t xml:space="preserve">Irkoutsk (paragraphe </w:t>
      </w:r>
      <w:r w:rsidRPr="003B1303">
        <w:rPr>
          <w:lang w:val="fr-FR"/>
        </w:rPr>
        <w:fldChar w:fldCharType="begin"/>
      </w:r>
      <w:r w:rsidRPr="003B1303">
        <w:rPr>
          <w:lang w:val="fr-FR"/>
        </w:rPr>
        <w:instrText xml:space="preserve"> REF dectrib14mai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22</w:t>
      </w:r>
      <w:r w:rsidRPr="003B1303">
        <w:rPr>
          <w:lang w:val="fr-FR"/>
        </w:rPr>
        <w:fldChar w:fldCharType="end"/>
      </w:r>
      <w:r w:rsidRPr="003B1303">
        <w:rPr>
          <w:lang w:val="fr-FR"/>
        </w:rPr>
        <w:t xml:space="preserve"> ci</w:t>
      </w:r>
      <w:r w:rsidRPr="003B1303">
        <w:rPr>
          <w:lang w:val="fr-FR"/>
        </w:rPr>
        <w:noBreakHyphen/>
        <w:t>dessus). Ne disposant pa</w:t>
      </w:r>
      <w:r w:rsidRPr="003B1303" w:rsidR="00823AAD">
        <w:rPr>
          <w:lang w:val="fr-FR"/>
        </w:rPr>
        <w:t>s de copie de la décision du 14 </w:t>
      </w:r>
      <w:r w:rsidRPr="003B1303">
        <w:rPr>
          <w:lang w:val="fr-FR"/>
        </w:rPr>
        <w:t>mai 2008, la Cour n</w:t>
      </w:r>
      <w:r w:rsidRPr="003B1303" w:rsidR="003B1303">
        <w:rPr>
          <w:lang w:val="fr-FR"/>
        </w:rPr>
        <w:t>’</w:t>
      </w:r>
      <w:r w:rsidRPr="003B1303">
        <w:rPr>
          <w:lang w:val="fr-FR"/>
        </w:rPr>
        <w:t>est pas en mesure de vérifier l</w:t>
      </w:r>
      <w:r w:rsidRPr="003B1303" w:rsidR="003B1303">
        <w:rPr>
          <w:lang w:val="fr-FR"/>
        </w:rPr>
        <w:t>’</w:t>
      </w:r>
      <w:r w:rsidRPr="003B1303">
        <w:rPr>
          <w:lang w:val="fr-FR"/>
        </w:rPr>
        <w:t>ampleur de l</w:t>
      </w:r>
      <w:r w:rsidRPr="003B1303" w:rsidR="003B1303">
        <w:rPr>
          <w:lang w:val="fr-FR"/>
        </w:rPr>
        <w:t>’</w:t>
      </w:r>
      <w:r w:rsidRPr="003B1303">
        <w:rPr>
          <w:lang w:val="fr-FR"/>
        </w:rPr>
        <w:t>analyse à laquelle s</w:t>
      </w:r>
      <w:r w:rsidRPr="003B1303" w:rsidR="003B1303">
        <w:rPr>
          <w:lang w:val="fr-FR"/>
        </w:rPr>
        <w:t>’</w:t>
      </w:r>
      <w:r w:rsidRPr="003B1303">
        <w:rPr>
          <w:lang w:val="fr-FR"/>
        </w:rPr>
        <w:t>est livrée cette juridiction. Quoi qu</w:t>
      </w:r>
      <w:r w:rsidRPr="003B1303" w:rsidR="003B1303">
        <w:rPr>
          <w:lang w:val="fr-FR"/>
        </w:rPr>
        <w:t>’</w:t>
      </w:r>
      <w:r w:rsidRPr="003B1303">
        <w:rPr>
          <w:lang w:val="fr-FR"/>
        </w:rPr>
        <w:t xml:space="preserve">il en soit, </w:t>
      </w:r>
      <w:r w:rsidRPr="003B1303" w:rsidR="00D36096">
        <w:rPr>
          <w:lang w:val="fr-FR"/>
        </w:rPr>
        <w:t>elle estime que</w:t>
      </w:r>
      <w:r w:rsidRPr="003B1303">
        <w:rPr>
          <w:lang w:val="fr-FR"/>
        </w:rPr>
        <w:t xml:space="preserve"> cet élément </w:t>
      </w:r>
      <w:r w:rsidRPr="003B1303" w:rsidR="00D36096">
        <w:rPr>
          <w:lang w:val="fr-FR"/>
        </w:rPr>
        <w:t>n</w:t>
      </w:r>
      <w:r w:rsidRPr="003B1303" w:rsidR="003B1303">
        <w:rPr>
          <w:lang w:val="fr-FR"/>
        </w:rPr>
        <w:t>’</w:t>
      </w:r>
      <w:r w:rsidRPr="003B1303" w:rsidR="00D36096">
        <w:rPr>
          <w:lang w:val="fr-FR"/>
        </w:rPr>
        <w:t xml:space="preserve">est pas </w:t>
      </w:r>
      <w:r w:rsidRPr="003B1303">
        <w:rPr>
          <w:lang w:val="fr-FR"/>
        </w:rPr>
        <w:t xml:space="preserve">décisif </w:t>
      </w:r>
      <w:r w:rsidRPr="003B1303" w:rsidR="00D36096">
        <w:rPr>
          <w:lang w:val="fr-FR"/>
        </w:rPr>
        <w:t xml:space="preserve">pour les </w:t>
      </w:r>
      <w:r w:rsidRPr="003B1303">
        <w:rPr>
          <w:lang w:val="fr-FR"/>
        </w:rPr>
        <w:t>motifs suivants.</w:t>
      </w:r>
    </w:p>
    <w:p w:rsidRPr="003B1303" w:rsidR="0085148A"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191</w:t>
      </w:r>
      <w:r w:rsidRPr="003B1303">
        <w:rPr>
          <w:lang w:val="fr-FR"/>
        </w:rPr>
        <w:fldChar w:fldCharType="end"/>
      </w:r>
      <w:r w:rsidRPr="003B1303">
        <w:rPr>
          <w:lang w:val="fr-FR"/>
        </w:rPr>
        <w:t>.  </w:t>
      </w:r>
      <w:r w:rsidRPr="003B1303" w:rsidR="00732418">
        <w:rPr>
          <w:lang w:val="fr-FR"/>
        </w:rPr>
        <w:t>La Cour indique que, comme elle l</w:t>
      </w:r>
      <w:r w:rsidRPr="003B1303" w:rsidR="003B1303">
        <w:rPr>
          <w:lang w:val="fr-FR"/>
        </w:rPr>
        <w:t>’</w:t>
      </w:r>
      <w:r w:rsidRPr="003B1303" w:rsidR="00732418">
        <w:rPr>
          <w:lang w:val="fr-FR"/>
        </w:rPr>
        <w:t>a</w:t>
      </w:r>
      <w:r w:rsidRPr="003B1303">
        <w:rPr>
          <w:lang w:val="fr-FR"/>
        </w:rPr>
        <w:t xml:space="preserve"> rappelé dans l</w:t>
      </w:r>
      <w:r w:rsidRPr="003B1303" w:rsidR="003B1303">
        <w:rPr>
          <w:lang w:val="fr-FR"/>
        </w:rPr>
        <w:t>’</w:t>
      </w:r>
      <w:r w:rsidRPr="003B1303">
        <w:rPr>
          <w:lang w:val="fr-FR"/>
        </w:rPr>
        <w:t>arrêt</w:t>
      </w:r>
      <w:r w:rsidRPr="003B1303" w:rsidR="00AF47A9">
        <w:rPr>
          <w:lang w:val="fr-FR"/>
        </w:rPr>
        <w:t xml:space="preserve"> </w:t>
      </w:r>
      <w:r w:rsidRPr="003B1303">
        <w:rPr>
          <w:i/>
          <w:iCs/>
          <w:lang w:val="fr-FR"/>
        </w:rPr>
        <w:t xml:space="preserve">Ibrahim et autres </w:t>
      </w:r>
      <w:r w:rsidRPr="003B1303">
        <w:rPr>
          <w:lang w:val="fr-FR"/>
        </w:rPr>
        <w:t>(précité, § 254), les griefs tirés</w:t>
      </w:r>
      <w:r w:rsidRPr="003B1303" w:rsidR="00732418">
        <w:rPr>
          <w:lang w:val="fr-FR"/>
        </w:rPr>
        <w:t>,</w:t>
      </w:r>
      <w:r w:rsidRPr="003B1303">
        <w:rPr>
          <w:lang w:val="fr-FR"/>
        </w:rPr>
        <w:t xml:space="preserve"> sur le terrain de l</w:t>
      </w:r>
      <w:r w:rsidRPr="003B1303" w:rsidR="003B1303">
        <w:rPr>
          <w:lang w:val="fr-FR"/>
        </w:rPr>
        <w:t>’</w:t>
      </w:r>
      <w:r w:rsidRPr="003B1303">
        <w:rPr>
          <w:lang w:val="fr-FR"/>
        </w:rPr>
        <w:t>article 6</w:t>
      </w:r>
      <w:r w:rsidRPr="003B1303" w:rsidR="00AF47A9">
        <w:rPr>
          <w:lang w:val="fr-FR"/>
        </w:rPr>
        <w:t xml:space="preserve"> de la Convention</w:t>
      </w:r>
      <w:r w:rsidRPr="003B1303">
        <w:rPr>
          <w:lang w:val="fr-FR"/>
        </w:rPr>
        <w:t>, de la phase de l</w:t>
      </w:r>
      <w:r w:rsidRPr="003B1303" w:rsidR="003B1303">
        <w:rPr>
          <w:lang w:val="fr-FR"/>
        </w:rPr>
        <w:t>’</w:t>
      </w:r>
      <w:r w:rsidRPr="003B1303">
        <w:rPr>
          <w:lang w:val="fr-FR"/>
        </w:rPr>
        <w:t>enquête se matérialisent souvent pendant la phase de jugement elle-même lorsque l</w:t>
      </w:r>
      <w:r w:rsidRPr="003B1303" w:rsidR="003B1303">
        <w:rPr>
          <w:lang w:val="fr-FR"/>
        </w:rPr>
        <w:t>’</w:t>
      </w:r>
      <w:r w:rsidRPr="003B1303">
        <w:rPr>
          <w:lang w:val="fr-FR"/>
        </w:rPr>
        <w:t>accusation demande l</w:t>
      </w:r>
      <w:r w:rsidRPr="003B1303" w:rsidR="003B1303">
        <w:rPr>
          <w:lang w:val="fr-FR"/>
        </w:rPr>
        <w:t>’</w:t>
      </w:r>
      <w:r w:rsidRPr="003B1303">
        <w:rPr>
          <w:lang w:val="fr-FR"/>
        </w:rPr>
        <w:t>admission d</w:t>
      </w:r>
      <w:r w:rsidRPr="003B1303" w:rsidR="003B1303">
        <w:rPr>
          <w:lang w:val="fr-FR"/>
        </w:rPr>
        <w:t>’</w:t>
      </w:r>
      <w:r w:rsidRPr="003B1303">
        <w:rPr>
          <w:lang w:val="fr-FR"/>
        </w:rPr>
        <w:t>éléments recueillis pendant ladite phase – phase pendant laquelle les restrictions aux droits consacrés à l</w:t>
      </w:r>
      <w:r w:rsidRPr="003B1303" w:rsidR="003B1303">
        <w:rPr>
          <w:lang w:val="fr-FR"/>
        </w:rPr>
        <w:t>’</w:t>
      </w:r>
      <w:r w:rsidRPr="003B1303">
        <w:rPr>
          <w:lang w:val="fr-FR"/>
        </w:rPr>
        <w:t>article 6 sont intervenues – et que la défense s</w:t>
      </w:r>
      <w:r w:rsidRPr="003B1303" w:rsidR="003B1303">
        <w:rPr>
          <w:lang w:val="fr-FR"/>
        </w:rPr>
        <w:t>’</w:t>
      </w:r>
      <w:r w:rsidRPr="003B1303">
        <w:rPr>
          <w:lang w:val="fr-FR"/>
        </w:rPr>
        <w:t>y oppose. En l</w:t>
      </w:r>
      <w:r w:rsidRPr="003B1303" w:rsidR="003B1303">
        <w:rPr>
          <w:lang w:val="fr-FR"/>
        </w:rPr>
        <w:t>’</w:t>
      </w:r>
      <w:r w:rsidRPr="003B1303">
        <w:rPr>
          <w:lang w:val="fr-FR"/>
        </w:rPr>
        <w:t xml:space="preserve">espèce, </w:t>
      </w:r>
      <w:r w:rsidRPr="003B1303" w:rsidR="00732418">
        <w:rPr>
          <w:lang w:val="fr-FR"/>
        </w:rPr>
        <w:t xml:space="preserve">elle relève que </w:t>
      </w:r>
      <w:r w:rsidRPr="003B1303">
        <w:rPr>
          <w:lang w:val="fr-FR"/>
        </w:rPr>
        <w:t>l</w:t>
      </w:r>
      <w:r w:rsidRPr="003B1303" w:rsidR="003B1303">
        <w:rPr>
          <w:lang w:val="fr-FR"/>
        </w:rPr>
        <w:t>’</w:t>
      </w:r>
      <w:r w:rsidRPr="003B1303">
        <w:rPr>
          <w:lang w:val="fr-FR"/>
        </w:rPr>
        <w:t>admissibilité du procès</w:t>
      </w:r>
      <w:r w:rsidRPr="003B1303">
        <w:rPr>
          <w:lang w:val="fr-FR"/>
        </w:rPr>
        <w:noBreakHyphen/>
        <w:t>verbal de l</w:t>
      </w:r>
      <w:r w:rsidRPr="003B1303" w:rsidR="003B1303">
        <w:rPr>
          <w:lang w:val="fr-FR"/>
        </w:rPr>
        <w:t>’</w:t>
      </w:r>
      <w:r w:rsidRPr="003B1303">
        <w:rPr>
          <w:lang w:val="fr-FR"/>
        </w:rPr>
        <w:t xml:space="preserve">interrogatoire du premier requérant du 15 avril 2008 a fait débat lors des audiences de la cour régionale entre le 25 octobre 2010 et le 27 janvier 2011. </w:t>
      </w:r>
      <w:r w:rsidRPr="003B1303" w:rsidR="00732418">
        <w:rPr>
          <w:lang w:val="fr-FR"/>
        </w:rPr>
        <w:t>Elle constate que l</w:t>
      </w:r>
      <w:r w:rsidRPr="003B1303">
        <w:rPr>
          <w:lang w:val="fr-FR"/>
        </w:rPr>
        <w:t xml:space="preserve">e premier requérant </w:t>
      </w:r>
      <w:r w:rsidRPr="003B1303" w:rsidR="00732418">
        <w:rPr>
          <w:lang w:val="fr-FR"/>
        </w:rPr>
        <w:t xml:space="preserve">a demandé </w:t>
      </w:r>
      <w:r w:rsidRPr="003B1303">
        <w:rPr>
          <w:lang w:val="fr-FR"/>
        </w:rPr>
        <w:t>l</w:t>
      </w:r>
      <w:r w:rsidRPr="003B1303" w:rsidR="003B1303">
        <w:rPr>
          <w:lang w:val="fr-FR"/>
        </w:rPr>
        <w:t>’</w:t>
      </w:r>
      <w:r w:rsidRPr="003B1303">
        <w:rPr>
          <w:lang w:val="fr-FR"/>
        </w:rPr>
        <w:t>exclusion dudit procès</w:t>
      </w:r>
      <w:r w:rsidRPr="003B1303">
        <w:rPr>
          <w:lang w:val="fr-FR"/>
        </w:rPr>
        <w:noBreakHyphen/>
        <w:t xml:space="preserve">verbal des preuves à charge </w:t>
      </w:r>
      <w:r w:rsidRPr="003B1303" w:rsidR="00732418">
        <w:rPr>
          <w:lang w:val="fr-FR"/>
        </w:rPr>
        <w:t>en invoquant</w:t>
      </w:r>
      <w:r w:rsidRPr="003B1303">
        <w:rPr>
          <w:lang w:val="fr-FR"/>
        </w:rPr>
        <w:t>, entre autres, les restrictions d</w:t>
      </w:r>
      <w:r w:rsidRPr="003B1303" w:rsidR="003B1303">
        <w:rPr>
          <w:lang w:val="fr-FR"/>
        </w:rPr>
        <w:t>’</w:t>
      </w:r>
      <w:r w:rsidRPr="003B1303">
        <w:rPr>
          <w:lang w:val="fr-FR"/>
        </w:rPr>
        <w:t>accès aux avocates de son choix et l</w:t>
      </w:r>
      <w:r w:rsidRPr="003B1303" w:rsidR="003B1303">
        <w:rPr>
          <w:lang w:val="fr-FR"/>
        </w:rPr>
        <w:t>’</w:t>
      </w:r>
      <w:r w:rsidRPr="003B1303">
        <w:rPr>
          <w:lang w:val="fr-FR"/>
        </w:rPr>
        <w:t xml:space="preserve">inefficacité de </w:t>
      </w:r>
      <w:r w:rsidRPr="003B1303" w:rsidR="00732418">
        <w:rPr>
          <w:lang w:val="fr-FR"/>
        </w:rPr>
        <w:t>l</w:t>
      </w:r>
      <w:r w:rsidRPr="003B1303" w:rsidR="003B1303">
        <w:rPr>
          <w:lang w:val="fr-FR"/>
        </w:rPr>
        <w:t>’</w:t>
      </w:r>
      <w:r w:rsidRPr="003B1303" w:rsidR="00732418">
        <w:rPr>
          <w:lang w:val="fr-FR"/>
        </w:rPr>
        <w:t xml:space="preserve">avocate </w:t>
      </w:r>
      <w:r w:rsidRPr="003B1303">
        <w:rPr>
          <w:lang w:val="fr-FR"/>
        </w:rPr>
        <w:t>commise d</w:t>
      </w:r>
      <w:r w:rsidRPr="003B1303" w:rsidR="003B1303">
        <w:rPr>
          <w:lang w:val="fr-FR"/>
        </w:rPr>
        <w:t>’</w:t>
      </w:r>
      <w:r w:rsidRPr="003B1303">
        <w:rPr>
          <w:lang w:val="fr-FR"/>
        </w:rPr>
        <w:t xml:space="preserve">office </w:t>
      </w:r>
      <w:r w:rsidRPr="003B1303" w:rsidR="00202B06">
        <w:rPr>
          <w:lang w:val="fr-FR"/>
        </w:rPr>
        <w:t>établies</w:t>
      </w:r>
      <w:r w:rsidRPr="003B1303">
        <w:rPr>
          <w:lang w:val="fr-FR"/>
        </w:rPr>
        <w:t xml:space="preserve"> par le conseil disciplinaire du barreau de la région d</w:t>
      </w:r>
      <w:r w:rsidRPr="003B1303" w:rsidR="003B1303">
        <w:rPr>
          <w:lang w:val="fr-FR"/>
        </w:rPr>
        <w:t>’</w:t>
      </w:r>
      <w:r w:rsidRPr="003B1303">
        <w:rPr>
          <w:lang w:val="fr-FR"/>
        </w:rPr>
        <w:t xml:space="preserve">Irkoutsk. Par la décision du 27 janvier 2011, la juge </w:t>
      </w:r>
      <w:r w:rsidRPr="003B1303" w:rsidR="00732418">
        <w:rPr>
          <w:lang w:val="fr-FR"/>
        </w:rPr>
        <w:t xml:space="preserve">a rejeté cette </w:t>
      </w:r>
      <w:r w:rsidRPr="003B1303">
        <w:rPr>
          <w:lang w:val="fr-FR"/>
        </w:rPr>
        <w:t xml:space="preserve">demande (paragraphe </w:t>
      </w:r>
      <w:r w:rsidRPr="003B1303">
        <w:rPr>
          <w:lang w:val="fr-FR"/>
        </w:rPr>
        <w:fldChar w:fldCharType="begin"/>
      </w:r>
      <w:r w:rsidRPr="003B1303">
        <w:rPr>
          <w:lang w:val="fr-FR"/>
        </w:rPr>
        <w:instrText xml:space="preserve"> REF posprocpreq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71</w:t>
      </w:r>
      <w:r w:rsidRPr="003B1303">
        <w:rPr>
          <w:lang w:val="fr-FR"/>
        </w:rPr>
        <w:fldChar w:fldCharType="end"/>
      </w:r>
      <w:r w:rsidRPr="003B1303">
        <w:rPr>
          <w:lang w:val="fr-FR"/>
        </w:rPr>
        <w:t xml:space="preserve"> ci</w:t>
      </w:r>
      <w:r w:rsidRPr="003B1303">
        <w:rPr>
          <w:lang w:val="fr-FR"/>
        </w:rPr>
        <w:noBreakHyphen/>
        <w:t>dessus).</w:t>
      </w:r>
    </w:p>
    <w:p w:rsidRPr="003B1303" w:rsidR="00F65BBB"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192</w:t>
      </w:r>
      <w:r w:rsidRPr="003B1303">
        <w:rPr>
          <w:lang w:val="fr-FR"/>
        </w:rPr>
        <w:fldChar w:fldCharType="end"/>
      </w:r>
      <w:r w:rsidRPr="003B1303">
        <w:rPr>
          <w:lang w:val="fr-FR"/>
        </w:rPr>
        <w:t>.  </w:t>
      </w:r>
      <w:r w:rsidRPr="003B1303" w:rsidR="00732418">
        <w:rPr>
          <w:lang w:val="fr-FR"/>
        </w:rPr>
        <w:t>La Cour considère qu</w:t>
      </w:r>
      <w:r w:rsidRPr="003B1303" w:rsidR="003B1303">
        <w:rPr>
          <w:lang w:val="fr-FR"/>
        </w:rPr>
        <w:t>’</w:t>
      </w:r>
      <w:r w:rsidRPr="003B1303" w:rsidR="00732418">
        <w:rPr>
          <w:lang w:val="fr-FR"/>
        </w:rPr>
        <w:t>i</w:t>
      </w:r>
      <w:r w:rsidRPr="003B1303">
        <w:rPr>
          <w:lang w:val="fr-FR"/>
        </w:rPr>
        <w:t>l y a toutefois lieu de constater que la juge n</w:t>
      </w:r>
      <w:r w:rsidRPr="003B1303" w:rsidR="003B1303">
        <w:rPr>
          <w:lang w:val="fr-FR"/>
        </w:rPr>
        <w:t>’</w:t>
      </w:r>
      <w:r w:rsidRPr="003B1303">
        <w:rPr>
          <w:lang w:val="fr-FR"/>
        </w:rPr>
        <w:t>a pas examiné la question de l</w:t>
      </w:r>
      <w:r w:rsidRPr="003B1303" w:rsidR="003B1303">
        <w:rPr>
          <w:lang w:val="fr-FR"/>
        </w:rPr>
        <w:t>’</w:t>
      </w:r>
      <w:r w:rsidRPr="003B1303">
        <w:rPr>
          <w:lang w:val="fr-FR"/>
        </w:rPr>
        <w:t>efficacité de l</w:t>
      </w:r>
      <w:r w:rsidRPr="003B1303" w:rsidR="003B1303">
        <w:rPr>
          <w:lang w:val="fr-FR"/>
        </w:rPr>
        <w:t>’</w:t>
      </w:r>
      <w:r w:rsidRPr="003B1303">
        <w:rPr>
          <w:lang w:val="fr-FR"/>
        </w:rPr>
        <w:t>assistance juridique de l</w:t>
      </w:r>
      <w:r w:rsidRPr="003B1303" w:rsidR="003B1303">
        <w:rPr>
          <w:lang w:val="fr-FR"/>
        </w:rPr>
        <w:t>’</w:t>
      </w:r>
      <w:r w:rsidRPr="003B1303">
        <w:rPr>
          <w:lang w:val="fr-FR"/>
        </w:rPr>
        <w:t>avocate commise d</w:t>
      </w:r>
      <w:r w:rsidRPr="003B1303" w:rsidR="003B1303">
        <w:rPr>
          <w:lang w:val="fr-FR"/>
        </w:rPr>
        <w:t>’</w:t>
      </w:r>
      <w:r w:rsidRPr="003B1303">
        <w:rPr>
          <w:lang w:val="fr-FR"/>
        </w:rPr>
        <w:t>office Ku. Dans sa décision du 27 janvier 2011</w:t>
      </w:r>
      <w:r w:rsidRPr="003B1303" w:rsidR="00EA2516">
        <w:rPr>
          <w:lang w:val="fr-FR"/>
        </w:rPr>
        <w:t>,</w:t>
      </w:r>
      <w:r w:rsidRPr="003B1303">
        <w:rPr>
          <w:lang w:val="fr-FR"/>
        </w:rPr>
        <w:t xml:space="preserve"> en sa partie relative à la représentation juridique de l</w:t>
      </w:r>
      <w:r w:rsidRPr="003B1303" w:rsidR="003B1303">
        <w:rPr>
          <w:lang w:val="fr-FR"/>
        </w:rPr>
        <w:t>’</w:t>
      </w:r>
      <w:r w:rsidRPr="003B1303">
        <w:rPr>
          <w:lang w:val="fr-FR"/>
        </w:rPr>
        <w:t>intéressé, la juge s</w:t>
      </w:r>
      <w:r w:rsidRPr="003B1303" w:rsidR="003B1303">
        <w:rPr>
          <w:lang w:val="fr-FR"/>
        </w:rPr>
        <w:t>’</w:t>
      </w:r>
      <w:r w:rsidRPr="003B1303">
        <w:rPr>
          <w:lang w:val="fr-FR"/>
        </w:rPr>
        <w:t xml:space="preserve">est simplement référée au fait que le premier requérant avait donné un accord écrit pour être représenté par Ku. </w:t>
      </w:r>
      <w:proofErr w:type="gramStart"/>
      <w:r w:rsidRPr="003B1303">
        <w:rPr>
          <w:lang w:val="fr-FR"/>
        </w:rPr>
        <w:t>ainsi</w:t>
      </w:r>
      <w:proofErr w:type="gramEnd"/>
      <w:r w:rsidRPr="003B1303">
        <w:rPr>
          <w:lang w:val="fr-FR"/>
        </w:rPr>
        <w:t xml:space="preserve"> qu</w:t>
      </w:r>
      <w:r w:rsidRPr="003B1303" w:rsidR="003B1303">
        <w:rPr>
          <w:lang w:val="fr-FR"/>
        </w:rPr>
        <w:t>’</w:t>
      </w:r>
      <w:r w:rsidRPr="003B1303">
        <w:rPr>
          <w:lang w:val="fr-FR"/>
        </w:rPr>
        <w:t>à la décision du tribunal de l</w:t>
      </w:r>
      <w:r w:rsidRPr="003B1303" w:rsidR="003B1303">
        <w:rPr>
          <w:lang w:val="fr-FR"/>
        </w:rPr>
        <w:t>’</w:t>
      </w:r>
      <w:r w:rsidRPr="003B1303">
        <w:rPr>
          <w:lang w:val="fr-FR"/>
        </w:rPr>
        <w:t xml:space="preserve">arrondissement Oktiabrski </w:t>
      </w:r>
      <w:r w:rsidRPr="003B1303" w:rsidR="004E76FD">
        <w:rPr>
          <w:lang w:val="fr-FR"/>
        </w:rPr>
        <w:t>de la ville d</w:t>
      </w:r>
      <w:r w:rsidRPr="003B1303" w:rsidR="003B1303">
        <w:rPr>
          <w:lang w:val="fr-FR"/>
        </w:rPr>
        <w:t>’</w:t>
      </w:r>
      <w:r w:rsidRPr="003B1303" w:rsidR="004E76FD">
        <w:rPr>
          <w:lang w:val="fr-FR"/>
        </w:rPr>
        <w:t xml:space="preserve">Irkoutsk </w:t>
      </w:r>
      <w:r w:rsidRPr="003B1303">
        <w:rPr>
          <w:lang w:val="fr-FR"/>
        </w:rPr>
        <w:t>du 14 mai 2008 par laquelle la contestation de l</w:t>
      </w:r>
      <w:r w:rsidRPr="003B1303" w:rsidR="003B1303">
        <w:rPr>
          <w:lang w:val="fr-FR"/>
        </w:rPr>
        <w:t>’</w:t>
      </w:r>
      <w:r w:rsidRPr="003B1303">
        <w:rPr>
          <w:lang w:val="fr-FR"/>
        </w:rPr>
        <w:t xml:space="preserve">intéressé à cet égard avait été rejetée (paragraphe </w:t>
      </w:r>
      <w:r w:rsidRPr="003B1303">
        <w:rPr>
          <w:lang w:val="fr-FR"/>
        </w:rPr>
        <w:fldChar w:fldCharType="begin"/>
      </w:r>
      <w:r w:rsidRPr="003B1303">
        <w:rPr>
          <w:lang w:val="fr-FR"/>
        </w:rPr>
        <w:instrText xml:space="preserve"> REF ord27jmot1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89</w:t>
      </w:r>
      <w:r w:rsidRPr="003B1303">
        <w:rPr>
          <w:lang w:val="fr-FR"/>
        </w:rPr>
        <w:fldChar w:fldCharType="end"/>
      </w:r>
      <w:r w:rsidRPr="003B1303">
        <w:rPr>
          <w:lang w:val="fr-FR"/>
        </w:rPr>
        <w:t xml:space="preserve"> ci</w:t>
      </w:r>
      <w:r w:rsidRPr="003B1303">
        <w:rPr>
          <w:lang w:val="fr-FR"/>
        </w:rPr>
        <w:noBreakHyphen/>
        <w:t>dessus). Toutefois, la juge n</w:t>
      </w:r>
      <w:r w:rsidRPr="003B1303" w:rsidR="003B1303">
        <w:rPr>
          <w:lang w:val="fr-FR"/>
        </w:rPr>
        <w:t>’</w:t>
      </w:r>
      <w:r w:rsidRPr="003B1303">
        <w:rPr>
          <w:lang w:val="fr-FR"/>
        </w:rPr>
        <w:t>a pas procédé à une analyse, pourtant nécessaire, de l</w:t>
      </w:r>
      <w:r w:rsidRPr="003B1303" w:rsidR="003B1303">
        <w:rPr>
          <w:lang w:val="fr-FR"/>
        </w:rPr>
        <w:t>’</w:t>
      </w:r>
      <w:r w:rsidRPr="003B1303">
        <w:rPr>
          <w:lang w:val="fr-FR"/>
        </w:rPr>
        <w:t>incidence de la décision du conseil disciplinaire du barreau de la région d</w:t>
      </w:r>
      <w:r w:rsidRPr="003B1303" w:rsidR="003B1303">
        <w:rPr>
          <w:lang w:val="fr-FR"/>
        </w:rPr>
        <w:t>’</w:t>
      </w:r>
      <w:r w:rsidRPr="003B1303">
        <w:rPr>
          <w:lang w:val="fr-FR"/>
        </w:rPr>
        <w:t xml:space="preserve">Irkoutsk du 18 février 2009 en </w:t>
      </w:r>
      <w:r w:rsidRPr="003B1303" w:rsidR="008879A2">
        <w:rPr>
          <w:lang w:val="fr-FR"/>
        </w:rPr>
        <w:t xml:space="preserve">ce </w:t>
      </w:r>
      <w:r w:rsidRPr="003B1303">
        <w:rPr>
          <w:lang w:val="fr-FR"/>
        </w:rPr>
        <w:t>qui concerne l</w:t>
      </w:r>
      <w:r w:rsidRPr="003B1303" w:rsidR="003B1303">
        <w:rPr>
          <w:lang w:val="fr-FR"/>
        </w:rPr>
        <w:t>’</w:t>
      </w:r>
      <w:r w:rsidRPr="003B1303">
        <w:rPr>
          <w:lang w:val="fr-FR"/>
        </w:rPr>
        <w:t>efficacité de l</w:t>
      </w:r>
      <w:r w:rsidRPr="003B1303" w:rsidR="003B1303">
        <w:rPr>
          <w:lang w:val="fr-FR"/>
        </w:rPr>
        <w:t>’</w:t>
      </w:r>
      <w:r w:rsidRPr="003B1303">
        <w:rPr>
          <w:lang w:val="fr-FR"/>
        </w:rPr>
        <w:t xml:space="preserve">assistance juridique de Ku. La Cour note que cette décision a été adoptée plusieurs mois après le rejet de la contestation </w:t>
      </w:r>
      <w:r w:rsidRPr="003B1303" w:rsidR="00386C1A">
        <w:rPr>
          <w:lang w:val="fr-FR"/>
        </w:rPr>
        <w:t>du premier requérant</w:t>
      </w:r>
      <w:r w:rsidRPr="003B1303">
        <w:rPr>
          <w:lang w:val="fr-FR"/>
        </w:rPr>
        <w:t xml:space="preserve"> par le tribunal de l</w:t>
      </w:r>
      <w:r w:rsidRPr="003B1303" w:rsidR="003B1303">
        <w:rPr>
          <w:lang w:val="fr-FR"/>
        </w:rPr>
        <w:t>’</w:t>
      </w:r>
      <w:r w:rsidRPr="003B1303">
        <w:rPr>
          <w:lang w:val="fr-FR"/>
        </w:rPr>
        <w:t xml:space="preserve">arrondissement Oktiabrski </w:t>
      </w:r>
      <w:r w:rsidRPr="003B1303" w:rsidR="0064475B">
        <w:rPr>
          <w:lang w:val="fr-FR"/>
        </w:rPr>
        <w:t>de la ville d</w:t>
      </w:r>
      <w:r w:rsidRPr="003B1303" w:rsidR="003B1303">
        <w:rPr>
          <w:lang w:val="fr-FR"/>
        </w:rPr>
        <w:t>’</w:t>
      </w:r>
      <w:r w:rsidRPr="003B1303" w:rsidR="0064475B">
        <w:rPr>
          <w:lang w:val="fr-FR"/>
        </w:rPr>
        <w:t>Irkoutsk</w:t>
      </w:r>
      <w:r w:rsidRPr="003B1303" w:rsidR="00EA2516">
        <w:rPr>
          <w:lang w:val="fr-FR"/>
        </w:rPr>
        <w:t xml:space="preserve">. </w:t>
      </w:r>
      <w:r w:rsidRPr="003B1303" w:rsidR="008879A2">
        <w:rPr>
          <w:lang w:val="fr-FR"/>
        </w:rPr>
        <w:t>Il s</w:t>
      </w:r>
      <w:r w:rsidRPr="003B1303" w:rsidR="003B1303">
        <w:rPr>
          <w:lang w:val="fr-FR"/>
        </w:rPr>
        <w:t>’</w:t>
      </w:r>
      <w:r w:rsidRPr="003B1303" w:rsidR="008879A2">
        <w:rPr>
          <w:lang w:val="fr-FR"/>
        </w:rPr>
        <w:t>agissait</w:t>
      </w:r>
      <w:r w:rsidRPr="003B1303">
        <w:rPr>
          <w:lang w:val="fr-FR"/>
        </w:rPr>
        <w:t xml:space="preserve"> donc </w:t>
      </w:r>
      <w:r w:rsidRPr="003B1303" w:rsidR="008879A2">
        <w:rPr>
          <w:lang w:val="fr-FR"/>
        </w:rPr>
        <w:t>d</w:t>
      </w:r>
      <w:r w:rsidRPr="003B1303" w:rsidR="003B1303">
        <w:rPr>
          <w:lang w:val="fr-FR"/>
        </w:rPr>
        <w:t>’</w:t>
      </w:r>
      <w:r w:rsidRPr="003B1303">
        <w:rPr>
          <w:lang w:val="fr-FR"/>
        </w:rPr>
        <w:t>un élément pertinent nouveau qui n</w:t>
      </w:r>
      <w:r w:rsidRPr="003B1303" w:rsidR="003B1303">
        <w:rPr>
          <w:lang w:val="fr-FR"/>
        </w:rPr>
        <w:t>’</w:t>
      </w:r>
      <w:r w:rsidRPr="003B1303">
        <w:rPr>
          <w:lang w:val="fr-FR"/>
        </w:rPr>
        <w:t>a</w:t>
      </w:r>
      <w:r w:rsidRPr="003B1303" w:rsidR="00386C1A">
        <w:rPr>
          <w:lang w:val="fr-FR"/>
        </w:rPr>
        <w:t>vait</w:t>
      </w:r>
      <w:r w:rsidRPr="003B1303">
        <w:rPr>
          <w:lang w:val="fr-FR"/>
        </w:rPr>
        <w:t xml:space="preserve"> pas encore fait l</w:t>
      </w:r>
      <w:r w:rsidRPr="003B1303" w:rsidR="003B1303">
        <w:rPr>
          <w:lang w:val="fr-FR"/>
        </w:rPr>
        <w:t>’</w:t>
      </w:r>
      <w:r w:rsidRPr="003B1303">
        <w:rPr>
          <w:lang w:val="fr-FR"/>
        </w:rPr>
        <w:t>objet d</w:t>
      </w:r>
      <w:r w:rsidRPr="003B1303" w:rsidR="003B1303">
        <w:rPr>
          <w:lang w:val="fr-FR"/>
        </w:rPr>
        <w:t>’</w:t>
      </w:r>
      <w:r w:rsidRPr="003B1303">
        <w:rPr>
          <w:lang w:val="fr-FR"/>
        </w:rPr>
        <w:t xml:space="preserve">une appréciation aux fins de la recevabilité des preuves dans le cadre de la procédure pénale dirigée à </w:t>
      </w:r>
      <w:r w:rsidRPr="003B1303" w:rsidR="00386C1A">
        <w:rPr>
          <w:lang w:val="fr-FR"/>
        </w:rPr>
        <w:t>l</w:t>
      </w:r>
      <w:r w:rsidRPr="003B1303" w:rsidR="003B1303">
        <w:rPr>
          <w:lang w:val="fr-FR"/>
        </w:rPr>
        <w:t>’</w:t>
      </w:r>
      <w:r w:rsidRPr="003B1303">
        <w:rPr>
          <w:lang w:val="fr-FR"/>
        </w:rPr>
        <w:t>encontre</w:t>
      </w:r>
      <w:r w:rsidRPr="003B1303" w:rsidR="00386C1A">
        <w:rPr>
          <w:lang w:val="fr-FR"/>
        </w:rPr>
        <w:t xml:space="preserve"> de l</w:t>
      </w:r>
      <w:r w:rsidRPr="003B1303" w:rsidR="003B1303">
        <w:rPr>
          <w:lang w:val="fr-FR"/>
        </w:rPr>
        <w:t>’</w:t>
      </w:r>
      <w:r w:rsidRPr="003B1303" w:rsidR="00386C1A">
        <w:rPr>
          <w:lang w:val="fr-FR"/>
        </w:rPr>
        <w:t>intéressé</w:t>
      </w:r>
      <w:r w:rsidRPr="003B1303">
        <w:rPr>
          <w:lang w:val="fr-FR"/>
        </w:rPr>
        <w:t>.</w:t>
      </w:r>
    </w:p>
    <w:p w:rsidRPr="003B1303" w:rsidR="00F65BBB"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193</w:t>
      </w:r>
      <w:r w:rsidRPr="003B1303">
        <w:rPr>
          <w:lang w:val="fr-FR"/>
        </w:rPr>
        <w:fldChar w:fldCharType="end"/>
      </w:r>
      <w:r w:rsidRPr="003B1303">
        <w:rPr>
          <w:lang w:val="fr-FR"/>
        </w:rPr>
        <w:t xml:space="preserve">.  Il est </w:t>
      </w:r>
      <w:r w:rsidRPr="003B1303" w:rsidR="00D17205">
        <w:rPr>
          <w:lang w:val="fr-FR"/>
        </w:rPr>
        <w:t xml:space="preserve">également </w:t>
      </w:r>
      <w:r w:rsidRPr="003B1303">
        <w:rPr>
          <w:lang w:val="fr-FR"/>
        </w:rPr>
        <w:t>à noter</w:t>
      </w:r>
      <w:r w:rsidRPr="003B1303" w:rsidR="0081267D">
        <w:rPr>
          <w:lang w:val="fr-FR"/>
        </w:rPr>
        <w:t>,</w:t>
      </w:r>
      <w:r w:rsidRPr="003B1303">
        <w:rPr>
          <w:lang w:val="fr-FR"/>
        </w:rPr>
        <w:t xml:space="preserve"> dans ce contexte</w:t>
      </w:r>
      <w:r w:rsidRPr="003B1303" w:rsidR="0081267D">
        <w:rPr>
          <w:lang w:val="fr-FR"/>
        </w:rPr>
        <w:t>,</w:t>
      </w:r>
      <w:r w:rsidRPr="003B1303">
        <w:rPr>
          <w:lang w:val="fr-FR"/>
        </w:rPr>
        <w:t xml:space="preserve"> que les débats quant à la recevabilité des preuves se déroulaient en l</w:t>
      </w:r>
      <w:r w:rsidRPr="003B1303" w:rsidR="003B1303">
        <w:rPr>
          <w:lang w:val="fr-FR"/>
        </w:rPr>
        <w:t>’</w:t>
      </w:r>
      <w:r w:rsidRPr="003B1303">
        <w:rPr>
          <w:lang w:val="fr-FR"/>
        </w:rPr>
        <w:t>absence des jurés</w:t>
      </w:r>
      <w:r w:rsidRPr="003B1303" w:rsidR="00D17205">
        <w:rPr>
          <w:lang w:val="fr-FR"/>
        </w:rPr>
        <w:t xml:space="preserve"> et</w:t>
      </w:r>
      <w:r w:rsidRPr="003B1303">
        <w:rPr>
          <w:lang w:val="fr-FR"/>
        </w:rPr>
        <w:t xml:space="preserve"> ces derniers </w:t>
      </w:r>
      <w:r w:rsidRPr="003B1303" w:rsidR="00D17205">
        <w:rPr>
          <w:lang w:val="fr-FR"/>
        </w:rPr>
        <w:t>n</w:t>
      </w:r>
      <w:r w:rsidRPr="003B1303" w:rsidR="003B1303">
        <w:rPr>
          <w:lang w:val="fr-FR"/>
        </w:rPr>
        <w:t>’</w:t>
      </w:r>
      <w:r w:rsidRPr="003B1303" w:rsidR="00D17205">
        <w:rPr>
          <w:lang w:val="fr-FR"/>
        </w:rPr>
        <w:t xml:space="preserve">ont </w:t>
      </w:r>
      <w:r w:rsidRPr="003B1303">
        <w:rPr>
          <w:lang w:val="fr-FR"/>
        </w:rPr>
        <w:t>pas été informés des circonstances dans lesquelles le procès-verbal de l</w:t>
      </w:r>
      <w:r w:rsidRPr="003B1303" w:rsidR="003B1303">
        <w:rPr>
          <w:lang w:val="fr-FR"/>
        </w:rPr>
        <w:t>’</w:t>
      </w:r>
      <w:r w:rsidRPr="003B1303">
        <w:rPr>
          <w:lang w:val="fr-FR"/>
        </w:rPr>
        <w:t>interrogatoire du premier requérant du 15 avril 2008 avait été dressé.</w:t>
      </w:r>
    </w:p>
    <w:bookmarkStart w:name="motA63cadm2" w:id="75"/>
    <w:p w:rsidRPr="003B1303" w:rsidR="00F65BBB"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194</w:t>
      </w:r>
      <w:r w:rsidRPr="003B1303">
        <w:rPr>
          <w:lang w:val="fr-FR"/>
        </w:rPr>
        <w:fldChar w:fldCharType="end"/>
      </w:r>
      <w:bookmarkEnd w:id="75"/>
      <w:r w:rsidRPr="003B1303">
        <w:rPr>
          <w:lang w:val="fr-FR"/>
        </w:rPr>
        <w:t>.  En ce qui concerne l</w:t>
      </w:r>
      <w:r w:rsidRPr="003B1303" w:rsidR="003B1303">
        <w:rPr>
          <w:lang w:val="fr-FR"/>
        </w:rPr>
        <w:t>’</w:t>
      </w:r>
      <w:r w:rsidRPr="003B1303">
        <w:rPr>
          <w:lang w:val="fr-FR"/>
        </w:rPr>
        <w:t xml:space="preserve">évaluation faite ensuite par la Cour suprême de la Fédération de Russie, la Cour </w:t>
      </w:r>
      <w:r w:rsidRPr="003B1303" w:rsidR="0081267D">
        <w:rPr>
          <w:lang w:val="fr-FR"/>
        </w:rPr>
        <w:t xml:space="preserve">constate </w:t>
      </w:r>
      <w:r w:rsidRPr="003B1303">
        <w:rPr>
          <w:lang w:val="fr-FR"/>
        </w:rPr>
        <w:t>qu</w:t>
      </w:r>
      <w:r w:rsidRPr="003B1303" w:rsidR="003B1303">
        <w:rPr>
          <w:lang w:val="fr-FR"/>
        </w:rPr>
        <w:t>’</w:t>
      </w:r>
      <w:r w:rsidRPr="003B1303">
        <w:rPr>
          <w:lang w:val="fr-FR"/>
        </w:rPr>
        <w:t>elle a fait siennes les conclusions auxquelles la juge était parvenu</w:t>
      </w:r>
      <w:r w:rsidRPr="003B1303" w:rsidR="00FF147E">
        <w:rPr>
          <w:lang w:val="fr-FR"/>
        </w:rPr>
        <w:t>e</w:t>
      </w:r>
      <w:r w:rsidRPr="003B1303">
        <w:rPr>
          <w:lang w:val="fr-FR"/>
        </w:rPr>
        <w:t xml:space="preserve"> dans sa décision du 27 janvier 2011, sans procéder à une analyse supplémentaire (paragraphe </w:t>
      </w:r>
      <w:r w:rsidRPr="003B1303" w:rsidR="00D237D2">
        <w:rPr>
          <w:lang w:val="fr-FR"/>
        </w:rPr>
        <w:fldChar w:fldCharType="begin"/>
      </w:r>
      <w:r w:rsidRPr="003B1303" w:rsidR="00D237D2">
        <w:rPr>
          <w:lang w:val="fr-FR"/>
        </w:rPr>
        <w:instrText xml:space="preserve"> REF jugcoursup \h </w:instrText>
      </w:r>
      <w:r w:rsidRPr="003B1303" w:rsidR="00C47AAA">
        <w:rPr>
          <w:lang w:val="fr-FR"/>
        </w:rPr>
        <w:instrText xml:space="preserve"> \* MERGEFORMAT </w:instrText>
      </w:r>
      <w:r w:rsidRPr="003B1303" w:rsidR="00D237D2">
        <w:rPr>
          <w:lang w:val="fr-FR"/>
        </w:rPr>
      </w:r>
      <w:r w:rsidRPr="003B1303" w:rsidR="00D237D2">
        <w:rPr>
          <w:lang w:val="fr-FR"/>
        </w:rPr>
        <w:fldChar w:fldCharType="separate"/>
      </w:r>
      <w:r w:rsidR="003B1303">
        <w:rPr>
          <w:noProof/>
          <w:lang w:val="fr-FR"/>
        </w:rPr>
        <w:t>104</w:t>
      </w:r>
      <w:r w:rsidRPr="003B1303" w:rsidR="00D237D2">
        <w:rPr>
          <w:lang w:val="fr-FR"/>
        </w:rPr>
        <w:fldChar w:fldCharType="end"/>
      </w:r>
      <w:r w:rsidRPr="003B1303" w:rsidR="00D237D2">
        <w:rPr>
          <w:lang w:val="fr-FR"/>
        </w:rPr>
        <w:t xml:space="preserve"> </w:t>
      </w:r>
      <w:r w:rsidRPr="003B1303">
        <w:rPr>
          <w:lang w:val="fr-FR"/>
        </w:rPr>
        <w:t>ci</w:t>
      </w:r>
      <w:r w:rsidRPr="003B1303">
        <w:rPr>
          <w:lang w:val="fr-FR"/>
        </w:rPr>
        <w:noBreakHyphen/>
        <w:t>dessus).</w:t>
      </w:r>
    </w:p>
    <w:p w:rsidRPr="003B1303" w:rsidR="00F65BBB" w:rsidP="003B1303" w:rsidRDefault="00F65BBB">
      <w:pPr>
        <w:pStyle w:val="ECHRHeading6"/>
        <w:rPr>
          <w:lang w:val="fr-FR"/>
        </w:rPr>
      </w:pPr>
      <w:r w:rsidRPr="003B1303">
        <w:rPr>
          <w:lang w:val="fr-FR"/>
        </w:rPr>
        <w:t>γ)  La nature des dépositions et le point de savoir s</w:t>
      </w:r>
      <w:r w:rsidRPr="003B1303" w:rsidR="003B1303">
        <w:rPr>
          <w:lang w:val="fr-FR"/>
        </w:rPr>
        <w:t>’</w:t>
      </w:r>
      <w:r w:rsidRPr="003B1303">
        <w:rPr>
          <w:lang w:val="fr-FR"/>
        </w:rPr>
        <w:t>il y a eu prompte rétractation ou rectification</w:t>
      </w:r>
    </w:p>
    <w:p w:rsidRPr="003B1303" w:rsidR="00F65BBB"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195</w:t>
      </w:r>
      <w:r w:rsidRPr="003B1303">
        <w:rPr>
          <w:lang w:val="fr-FR"/>
        </w:rPr>
        <w:fldChar w:fldCharType="end"/>
      </w:r>
      <w:r w:rsidRPr="003B1303">
        <w:rPr>
          <w:lang w:val="fr-FR"/>
        </w:rPr>
        <w:t>.  </w:t>
      </w:r>
      <w:r w:rsidRPr="003B1303" w:rsidR="008827C5">
        <w:rPr>
          <w:lang w:val="fr-FR"/>
        </w:rPr>
        <w:t>La Cour note que, l</w:t>
      </w:r>
      <w:r w:rsidRPr="003B1303">
        <w:rPr>
          <w:lang w:val="fr-FR"/>
        </w:rPr>
        <w:t xml:space="preserve">ors de son interrogatoire du 15 avril 2008, le </w:t>
      </w:r>
      <w:r w:rsidRPr="003B1303" w:rsidR="008827C5">
        <w:rPr>
          <w:lang w:val="fr-FR"/>
        </w:rPr>
        <w:t xml:space="preserve">premier </w:t>
      </w:r>
      <w:r w:rsidRPr="003B1303">
        <w:rPr>
          <w:lang w:val="fr-FR"/>
        </w:rPr>
        <w:t>requérant a avoué qu</w:t>
      </w:r>
      <w:r w:rsidRPr="003B1303" w:rsidR="003B1303">
        <w:rPr>
          <w:lang w:val="fr-FR"/>
        </w:rPr>
        <w:t>’</w:t>
      </w:r>
      <w:r w:rsidRPr="003B1303">
        <w:rPr>
          <w:lang w:val="fr-FR"/>
        </w:rPr>
        <w:t>il avait commandité l</w:t>
      </w:r>
      <w:r w:rsidRPr="003B1303" w:rsidR="003B1303">
        <w:rPr>
          <w:lang w:val="fr-FR"/>
        </w:rPr>
        <w:t>’</w:t>
      </w:r>
      <w:r w:rsidRPr="003B1303">
        <w:rPr>
          <w:lang w:val="fr-FR"/>
        </w:rPr>
        <w:t>assassinat de S. Ces déclarations étaient donc clairement auto</w:t>
      </w:r>
      <w:r w:rsidRPr="003B1303">
        <w:rPr>
          <w:lang w:val="fr-FR"/>
        </w:rPr>
        <w:noBreakHyphen/>
        <w:t xml:space="preserve">incriminantes (voir, à titre de comparaison, </w:t>
      </w:r>
      <w:proofErr w:type="spellStart"/>
      <w:r w:rsidRPr="003B1303">
        <w:rPr>
          <w:i/>
          <w:lang w:val="fr-FR"/>
        </w:rPr>
        <w:t>Beuze</w:t>
      </w:r>
      <w:proofErr w:type="spellEnd"/>
      <w:r w:rsidRPr="003B1303">
        <w:rPr>
          <w:lang w:val="fr-FR"/>
        </w:rPr>
        <w:t>, précité, §§ 177</w:t>
      </w:r>
      <w:r w:rsidRPr="003B1303">
        <w:rPr>
          <w:lang w:val="fr-FR"/>
        </w:rPr>
        <w:noBreakHyphen/>
        <w:t xml:space="preserve">181). La Cour relève également que le </w:t>
      </w:r>
      <w:r w:rsidRPr="003B1303" w:rsidR="008827C5">
        <w:rPr>
          <w:lang w:val="fr-FR"/>
        </w:rPr>
        <w:t xml:space="preserve">premier </w:t>
      </w:r>
      <w:r w:rsidRPr="003B1303">
        <w:rPr>
          <w:lang w:val="fr-FR"/>
        </w:rPr>
        <w:t xml:space="preserve">requérant </w:t>
      </w:r>
      <w:r w:rsidRPr="003B1303" w:rsidR="008827C5">
        <w:rPr>
          <w:lang w:val="fr-FR"/>
        </w:rPr>
        <w:t xml:space="preserve">a rétracté </w:t>
      </w:r>
      <w:r w:rsidRPr="003B1303">
        <w:rPr>
          <w:lang w:val="fr-FR"/>
        </w:rPr>
        <w:t>ses déclarations auto</w:t>
      </w:r>
      <w:r w:rsidRPr="003B1303">
        <w:rPr>
          <w:lang w:val="fr-FR"/>
        </w:rPr>
        <w:noBreakHyphen/>
        <w:t>incriminantes le 2</w:t>
      </w:r>
      <w:r w:rsidRPr="003B1303" w:rsidR="004D4963">
        <w:rPr>
          <w:lang w:val="fr-FR"/>
        </w:rPr>
        <w:t>6</w:t>
      </w:r>
      <w:r w:rsidRPr="003B1303">
        <w:rPr>
          <w:lang w:val="fr-FR"/>
        </w:rPr>
        <w:t xml:space="preserve"> mai 2008 (paragraphe</w:t>
      </w:r>
      <w:r w:rsidRPr="003B1303" w:rsidR="004D4963">
        <w:rPr>
          <w:lang w:val="fr-FR"/>
        </w:rPr>
        <w:t xml:space="preserve"> </w:t>
      </w:r>
      <w:r w:rsidRPr="003B1303" w:rsidR="004D4963">
        <w:rPr>
          <w:lang w:val="fr-FR"/>
        </w:rPr>
        <w:fldChar w:fldCharType="begin"/>
      </w:r>
      <w:r w:rsidRPr="003B1303" w:rsidR="004D4963">
        <w:rPr>
          <w:lang w:val="fr-FR"/>
        </w:rPr>
        <w:instrText xml:space="preserve"> REF interr26mai \h </w:instrText>
      </w:r>
      <w:r w:rsidRPr="003B1303" w:rsidR="00C47AAA">
        <w:rPr>
          <w:lang w:val="fr-FR"/>
        </w:rPr>
        <w:instrText xml:space="preserve"> \* MERGEFORMAT </w:instrText>
      </w:r>
      <w:r w:rsidRPr="003B1303" w:rsidR="004D4963">
        <w:rPr>
          <w:lang w:val="fr-FR"/>
        </w:rPr>
      </w:r>
      <w:r w:rsidRPr="003B1303" w:rsidR="004D4963">
        <w:rPr>
          <w:lang w:val="fr-FR"/>
        </w:rPr>
        <w:fldChar w:fldCharType="separate"/>
      </w:r>
      <w:r w:rsidR="003B1303">
        <w:rPr>
          <w:noProof/>
          <w:lang w:val="fr-FR"/>
        </w:rPr>
        <w:t>23</w:t>
      </w:r>
      <w:r w:rsidRPr="003B1303" w:rsidR="004D4963">
        <w:rPr>
          <w:lang w:val="fr-FR"/>
        </w:rPr>
        <w:fldChar w:fldCharType="end"/>
      </w:r>
      <w:r w:rsidRPr="003B1303">
        <w:rPr>
          <w:lang w:val="fr-FR"/>
        </w:rPr>
        <w:t xml:space="preserve"> ci</w:t>
      </w:r>
      <w:r w:rsidRPr="003B1303">
        <w:rPr>
          <w:lang w:val="fr-FR"/>
        </w:rPr>
        <w:noBreakHyphen/>
        <w:t>dessus) et qu</w:t>
      </w:r>
      <w:r w:rsidRPr="003B1303" w:rsidR="003B1303">
        <w:rPr>
          <w:lang w:val="fr-FR"/>
        </w:rPr>
        <w:t>’</w:t>
      </w:r>
      <w:r w:rsidRPr="003B1303">
        <w:rPr>
          <w:lang w:val="fr-FR"/>
        </w:rPr>
        <w:t xml:space="preserve">il </w:t>
      </w:r>
      <w:r w:rsidRPr="003B1303" w:rsidR="008827C5">
        <w:rPr>
          <w:lang w:val="fr-FR"/>
        </w:rPr>
        <w:t xml:space="preserve">a plaidé </w:t>
      </w:r>
      <w:r w:rsidRPr="003B1303">
        <w:rPr>
          <w:lang w:val="fr-FR"/>
        </w:rPr>
        <w:t>non coupable pendant le reste de l</w:t>
      </w:r>
      <w:r w:rsidRPr="003B1303" w:rsidR="003B1303">
        <w:rPr>
          <w:lang w:val="fr-FR"/>
        </w:rPr>
        <w:t>’</w:t>
      </w:r>
      <w:r w:rsidRPr="003B1303">
        <w:rPr>
          <w:lang w:val="fr-FR"/>
        </w:rPr>
        <w:t>enquête et tout au long de l</w:t>
      </w:r>
      <w:r w:rsidRPr="003B1303" w:rsidR="003B1303">
        <w:rPr>
          <w:lang w:val="fr-FR"/>
        </w:rPr>
        <w:t>’</w:t>
      </w:r>
      <w:r w:rsidRPr="003B1303">
        <w:rPr>
          <w:lang w:val="fr-FR"/>
        </w:rPr>
        <w:t>examen judiciaire de l</w:t>
      </w:r>
      <w:r w:rsidRPr="003B1303" w:rsidR="003B1303">
        <w:rPr>
          <w:lang w:val="fr-FR"/>
        </w:rPr>
        <w:t>’</w:t>
      </w:r>
      <w:r w:rsidRPr="003B1303">
        <w:rPr>
          <w:lang w:val="fr-FR"/>
        </w:rPr>
        <w:t xml:space="preserve">affaire pénale dirigée à son encontre (paragraphe </w:t>
      </w:r>
      <w:r w:rsidRPr="003B1303" w:rsidR="00032CBD">
        <w:rPr>
          <w:lang w:val="fr-FR"/>
        </w:rPr>
        <w:fldChar w:fldCharType="begin"/>
      </w:r>
      <w:r w:rsidRPr="003B1303" w:rsidR="00032CBD">
        <w:rPr>
          <w:lang w:val="fr-FR"/>
        </w:rPr>
        <w:instrText xml:space="preserve"> REF  preuvjur2 \h  \* MERGEFORMAT </w:instrText>
      </w:r>
      <w:r w:rsidRPr="003B1303" w:rsidR="00032CBD">
        <w:rPr>
          <w:lang w:val="fr-FR"/>
        </w:rPr>
      </w:r>
      <w:r w:rsidRPr="003B1303" w:rsidR="00032CBD">
        <w:rPr>
          <w:lang w:val="fr-FR"/>
        </w:rPr>
        <w:fldChar w:fldCharType="separate"/>
      </w:r>
      <w:r w:rsidR="003B1303">
        <w:rPr>
          <w:noProof/>
          <w:lang w:val="fr-FR"/>
        </w:rPr>
        <w:t>92</w:t>
      </w:r>
      <w:r w:rsidRPr="003B1303" w:rsidR="00032CBD">
        <w:rPr>
          <w:lang w:val="fr-FR"/>
        </w:rPr>
        <w:fldChar w:fldCharType="end"/>
      </w:r>
      <w:r w:rsidRPr="003B1303">
        <w:rPr>
          <w:lang w:val="fr-FR"/>
        </w:rPr>
        <w:t xml:space="preserve"> ci</w:t>
      </w:r>
      <w:r w:rsidRPr="003B1303">
        <w:rPr>
          <w:lang w:val="fr-FR"/>
        </w:rPr>
        <w:noBreakHyphen/>
        <w:t>dessus).</w:t>
      </w:r>
    </w:p>
    <w:p w:rsidRPr="003B1303" w:rsidR="00F65BBB" w:rsidP="003B1303" w:rsidRDefault="00F65BBB">
      <w:pPr>
        <w:pStyle w:val="ECHRHeading6"/>
        <w:rPr>
          <w:lang w:val="fr-FR"/>
        </w:rPr>
      </w:pPr>
      <w:r w:rsidRPr="003B1303">
        <w:rPr>
          <w:lang w:val="fr-FR"/>
        </w:rPr>
        <w:t>δ)  L</w:t>
      </w:r>
      <w:r w:rsidRPr="003B1303" w:rsidR="003B1303">
        <w:rPr>
          <w:lang w:val="fr-FR"/>
        </w:rPr>
        <w:t>’</w:t>
      </w:r>
      <w:r w:rsidRPr="003B1303">
        <w:rPr>
          <w:lang w:val="fr-FR"/>
        </w:rPr>
        <w:t>utilisation des preuves</w:t>
      </w:r>
      <w:r w:rsidRPr="003B1303" w:rsidR="000C7879">
        <w:rPr>
          <w:lang w:val="fr-FR"/>
        </w:rPr>
        <w:t xml:space="preserve"> et </w:t>
      </w:r>
      <w:r w:rsidRPr="003B1303" w:rsidR="00047678">
        <w:rPr>
          <w:lang w:val="fr-FR"/>
        </w:rPr>
        <w:t xml:space="preserve">en particulier </w:t>
      </w:r>
      <w:r w:rsidRPr="003B1303" w:rsidR="000C7879">
        <w:rPr>
          <w:lang w:val="fr-FR"/>
        </w:rPr>
        <w:t>la question</w:t>
      </w:r>
      <w:r w:rsidRPr="003B1303" w:rsidR="00047678">
        <w:rPr>
          <w:lang w:val="fr-FR"/>
        </w:rPr>
        <w:t xml:space="preserve"> de savoir si elles sont une partie intégrante ou importante des pièces à charge sur lesquelles s</w:t>
      </w:r>
      <w:r w:rsidRPr="003B1303" w:rsidR="003B1303">
        <w:rPr>
          <w:lang w:val="fr-FR"/>
        </w:rPr>
        <w:t>’</w:t>
      </w:r>
      <w:r w:rsidRPr="003B1303" w:rsidR="00047678">
        <w:rPr>
          <w:lang w:val="fr-FR"/>
        </w:rPr>
        <w:t xml:space="preserve">est fondée la condamnation, ainsi que la force des autres éléments du dossier, et </w:t>
      </w:r>
      <w:r w:rsidRPr="003B1303">
        <w:rPr>
          <w:lang w:val="fr-FR"/>
        </w:rPr>
        <w:t>la teneur des instructions et éclaircissements donnés au jury</w:t>
      </w:r>
    </w:p>
    <w:p w:rsidRPr="003B1303" w:rsidR="0085148A"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196</w:t>
      </w:r>
      <w:r w:rsidRPr="003B1303">
        <w:rPr>
          <w:lang w:val="fr-FR"/>
        </w:rPr>
        <w:fldChar w:fldCharType="end"/>
      </w:r>
      <w:r w:rsidRPr="003B1303">
        <w:rPr>
          <w:lang w:val="fr-FR"/>
        </w:rPr>
        <w:t>.  La Cour note que, selon le procès</w:t>
      </w:r>
      <w:r w:rsidRPr="003B1303">
        <w:rPr>
          <w:lang w:val="fr-FR"/>
        </w:rPr>
        <w:noBreakHyphen/>
        <w:t xml:space="preserve">verbal </w:t>
      </w:r>
      <w:r w:rsidRPr="003B1303" w:rsidR="0081267D">
        <w:rPr>
          <w:lang w:val="fr-FR"/>
        </w:rPr>
        <w:t xml:space="preserve">relatif à la </w:t>
      </w:r>
      <w:r w:rsidRPr="003B1303">
        <w:rPr>
          <w:lang w:val="fr-FR"/>
        </w:rPr>
        <w:t>mise en examen du premier requérant du 11 avril 2008, les autorités chargées de l</w:t>
      </w:r>
      <w:r w:rsidRPr="003B1303" w:rsidR="003B1303">
        <w:rPr>
          <w:lang w:val="fr-FR"/>
        </w:rPr>
        <w:t>’</w:t>
      </w:r>
      <w:r w:rsidRPr="003B1303">
        <w:rPr>
          <w:lang w:val="fr-FR"/>
        </w:rPr>
        <w:t>enquête disposaient d</w:t>
      </w:r>
      <w:r w:rsidRPr="003B1303" w:rsidR="003B1303">
        <w:rPr>
          <w:lang w:val="fr-FR"/>
        </w:rPr>
        <w:t>’</w:t>
      </w:r>
      <w:r w:rsidRPr="003B1303">
        <w:rPr>
          <w:lang w:val="fr-FR"/>
        </w:rPr>
        <w:t>un nombre d</w:t>
      </w:r>
      <w:r w:rsidRPr="003B1303" w:rsidR="003B1303">
        <w:rPr>
          <w:lang w:val="fr-FR"/>
        </w:rPr>
        <w:t>’</w:t>
      </w:r>
      <w:r w:rsidRPr="003B1303">
        <w:rPr>
          <w:lang w:val="fr-FR"/>
        </w:rPr>
        <w:t xml:space="preserve">éléments leur permettant de croire que le </w:t>
      </w:r>
      <w:r w:rsidRPr="003B1303" w:rsidR="00E62D25">
        <w:rPr>
          <w:lang w:val="fr-FR"/>
        </w:rPr>
        <w:t xml:space="preserve">premier </w:t>
      </w:r>
      <w:r w:rsidRPr="003B1303">
        <w:rPr>
          <w:lang w:val="fr-FR"/>
        </w:rPr>
        <w:t>requérant avait commandité l</w:t>
      </w:r>
      <w:r w:rsidRPr="003B1303" w:rsidR="003B1303">
        <w:rPr>
          <w:lang w:val="fr-FR"/>
        </w:rPr>
        <w:t>’</w:t>
      </w:r>
      <w:r w:rsidRPr="003B1303">
        <w:rPr>
          <w:lang w:val="fr-FR"/>
        </w:rPr>
        <w:t>assassinat de S. et qu</w:t>
      </w:r>
      <w:r w:rsidRPr="003B1303" w:rsidR="003B1303">
        <w:rPr>
          <w:lang w:val="fr-FR"/>
        </w:rPr>
        <w:t>’</w:t>
      </w:r>
      <w:r w:rsidRPr="003B1303">
        <w:rPr>
          <w:lang w:val="fr-FR"/>
        </w:rPr>
        <w:t>il s</w:t>
      </w:r>
      <w:r w:rsidRPr="003B1303" w:rsidR="003B1303">
        <w:rPr>
          <w:lang w:val="fr-FR"/>
        </w:rPr>
        <w:t>’</w:t>
      </w:r>
      <w:r w:rsidRPr="003B1303">
        <w:rPr>
          <w:lang w:val="fr-FR"/>
        </w:rPr>
        <w:t xml:space="preserve">était adressé à </w:t>
      </w:r>
      <w:r w:rsidRPr="003B1303" w:rsidR="00817002">
        <w:rPr>
          <w:lang w:val="fr-FR"/>
        </w:rPr>
        <w:t>V. Mol.</w:t>
      </w:r>
      <w:r w:rsidRPr="003B1303">
        <w:rPr>
          <w:lang w:val="fr-FR"/>
        </w:rPr>
        <w:t xml:space="preserve"> </w:t>
      </w:r>
      <w:proofErr w:type="gramStart"/>
      <w:r w:rsidRPr="003B1303" w:rsidR="00E62D25">
        <w:rPr>
          <w:lang w:val="fr-FR"/>
        </w:rPr>
        <w:t>pour</w:t>
      </w:r>
      <w:proofErr w:type="gramEnd"/>
      <w:r w:rsidRPr="003B1303" w:rsidR="00E62D25">
        <w:rPr>
          <w:lang w:val="fr-FR"/>
        </w:rPr>
        <w:t xml:space="preserve"> que celui-ci se charge</w:t>
      </w:r>
      <w:r w:rsidRPr="003B1303">
        <w:rPr>
          <w:lang w:val="fr-FR"/>
        </w:rPr>
        <w:t xml:space="preserve"> de son organisation (paragraphe </w:t>
      </w:r>
      <w:r w:rsidRPr="003B1303">
        <w:rPr>
          <w:lang w:val="fr-FR"/>
        </w:rPr>
        <w:fldChar w:fldCharType="begin"/>
      </w:r>
      <w:r w:rsidRPr="003B1303">
        <w:rPr>
          <w:lang w:val="fr-FR"/>
        </w:rPr>
        <w:instrText xml:space="preserve"> REF actac11avr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11</w:t>
      </w:r>
      <w:r w:rsidRPr="003B1303">
        <w:rPr>
          <w:lang w:val="fr-FR"/>
        </w:rPr>
        <w:fldChar w:fldCharType="end"/>
      </w:r>
      <w:r w:rsidRPr="003B1303">
        <w:rPr>
          <w:lang w:val="fr-FR"/>
        </w:rPr>
        <w:t xml:space="preserve"> ci</w:t>
      </w:r>
      <w:r w:rsidRPr="003B1303">
        <w:rPr>
          <w:lang w:val="fr-FR"/>
        </w:rPr>
        <w:noBreakHyphen/>
        <w:t xml:space="preserve">dessus). </w:t>
      </w:r>
      <w:r w:rsidRPr="003B1303" w:rsidR="00E62D25">
        <w:rPr>
          <w:lang w:val="fr-FR"/>
        </w:rPr>
        <w:t>Elle relève que</w:t>
      </w:r>
      <w:r w:rsidRPr="003B1303">
        <w:rPr>
          <w:lang w:val="fr-FR"/>
        </w:rPr>
        <w:t>, dans ses aveux réitérés lors de l</w:t>
      </w:r>
      <w:r w:rsidRPr="003B1303" w:rsidR="003B1303">
        <w:rPr>
          <w:lang w:val="fr-FR"/>
        </w:rPr>
        <w:t>’</w:t>
      </w:r>
      <w:r w:rsidRPr="003B1303">
        <w:rPr>
          <w:lang w:val="fr-FR"/>
        </w:rPr>
        <w:t>interrogatoire du 15 avril 2008, le premier requérant a déclaré qu</w:t>
      </w:r>
      <w:r w:rsidRPr="003B1303" w:rsidR="003B1303">
        <w:rPr>
          <w:lang w:val="fr-FR"/>
        </w:rPr>
        <w:t>’</w:t>
      </w:r>
      <w:r w:rsidRPr="003B1303">
        <w:rPr>
          <w:lang w:val="fr-FR"/>
        </w:rPr>
        <w:t>il avait commandité l</w:t>
      </w:r>
      <w:r w:rsidRPr="003B1303" w:rsidR="003B1303">
        <w:rPr>
          <w:lang w:val="fr-FR"/>
        </w:rPr>
        <w:t>’</w:t>
      </w:r>
      <w:r w:rsidRPr="003B1303">
        <w:rPr>
          <w:lang w:val="fr-FR"/>
        </w:rPr>
        <w:t xml:space="preserve">assassinat en commun avec </w:t>
      </w:r>
      <w:proofErr w:type="spellStart"/>
      <w:r w:rsidRPr="003B1303">
        <w:rPr>
          <w:lang w:val="fr-FR"/>
        </w:rPr>
        <w:t>Kh</w:t>
      </w:r>
      <w:proofErr w:type="spellEnd"/>
      <w:r w:rsidRPr="003B1303">
        <w:rPr>
          <w:lang w:val="fr-FR"/>
        </w:rPr>
        <w:t xml:space="preserve">. </w:t>
      </w:r>
      <w:r w:rsidRPr="003B1303" w:rsidR="00E62D25">
        <w:rPr>
          <w:lang w:val="fr-FR"/>
        </w:rPr>
        <w:t>en raison de</w:t>
      </w:r>
      <w:r w:rsidRPr="003B1303">
        <w:rPr>
          <w:lang w:val="fr-FR"/>
        </w:rPr>
        <w:t xml:space="preserve"> l</w:t>
      </w:r>
      <w:r w:rsidRPr="003B1303" w:rsidR="003B1303">
        <w:rPr>
          <w:lang w:val="fr-FR"/>
        </w:rPr>
        <w:t>’</w:t>
      </w:r>
      <w:r w:rsidRPr="003B1303">
        <w:rPr>
          <w:lang w:val="fr-FR"/>
        </w:rPr>
        <w:t xml:space="preserve">animosité </w:t>
      </w:r>
      <w:r w:rsidRPr="003B1303" w:rsidR="00E62D25">
        <w:rPr>
          <w:lang w:val="fr-FR"/>
        </w:rPr>
        <w:t>qu</w:t>
      </w:r>
      <w:r w:rsidRPr="003B1303" w:rsidR="003B1303">
        <w:rPr>
          <w:lang w:val="fr-FR"/>
        </w:rPr>
        <w:t>’</w:t>
      </w:r>
      <w:r w:rsidRPr="003B1303" w:rsidR="00E62D25">
        <w:rPr>
          <w:lang w:val="fr-FR"/>
        </w:rPr>
        <w:t>ils</w:t>
      </w:r>
      <w:r w:rsidRPr="003B1303">
        <w:rPr>
          <w:lang w:val="fr-FR"/>
        </w:rPr>
        <w:t xml:space="preserve"> éprouvaient </w:t>
      </w:r>
      <w:r w:rsidRPr="003B1303" w:rsidR="00E62D25">
        <w:rPr>
          <w:lang w:val="fr-FR"/>
        </w:rPr>
        <w:t xml:space="preserve">tous les deux </w:t>
      </w:r>
      <w:r w:rsidRPr="003B1303">
        <w:rPr>
          <w:lang w:val="fr-FR"/>
        </w:rPr>
        <w:t>à l</w:t>
      </w:r>
      <w:r w:rsidRPr="003B1303" w:rsidR="003B1303">
        <w:rPr>
          <w:lang w:val="fr-FR"/>
        </w:rPr>
        <w:t>’</w:t>
      </w:r>
      <w:r w:rsidRPr="003B1303">
        <w:rPr>
          <w:lang w:val="fr-FR"/>
        </w:rPr>
        <w:t xml:space="preserve">égard de </w:t>
      </w:r>
      <w:r w:rsidRPr="003B1303" w:rsidR="00E62D25">
        <w:rPr>
          <w:lang w:val="fr-FR"/>
        </w:rPr>
        <w:t xml:space="preserve">S. </w:t>
      </w:r>
      <w:r w:rsidRPr="003B1303">
        <w:rPr>
          <w:lang w:val="fr-FR"/>
        </w:rPr>
        <w:t xml:space="preserve">(paragraphes </w:t>
      </w:r>
      <w:r w:rsidRPr="003B1303">
        <w:rPr>
          <w:lang w:val="fr-FR"/>
        </w:rPr>
        <w:fldChar w:fldCharType="begin"/>
      </w:r>
      <w:r w:rsidRPr="003B1303">
        <w:rPr>
          <w:lang w:val="fr-FR"/>
        </w:rPr>
        <w:instrText xml:space="preserve"> REF aveu14r1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15</w:t>
      </w:r>
      <w:r w:rsidRPr="003B1303">
        <w:rPr>
          <w:lang w:val="fr-FR"/>
        </w:rPr>
        <w:fldChar w:fldCharType="end"/>
      </w:r>
      <w:r w:rsidRPr="003B1303">
        <w:rPr>
          <w:lang w:val="fr-FR"/>
        </w:rPr>
        <w:t xml:space="preserve"> et </w:t>
      </w:r>
      <w:r w:rsidRPr="003B1303">
        <w:rPr>
          <w:lang w:val="fr-FR"/>
        </w:rPr>
        <w:fldChar w:fldCharType="begin"/>
      </w:r>
      <w:r w:rsidRPr="003B1303">
        <w:rPr>
          <w:lang w:val="fr-FR"/>
        </w:rPr>
        <w:instrText xml:space="preserve"> REF interR115av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17</w:t>
      </w:r>
      <w:r w:rsidRPr="003B1303">
        <w:rPr>
          <w:lang w:val="fr-FR"/>
        </w:rPr>
        <w:fldChar w:fldCharType="end"/>
      </w:r>
      <w:r w:rsidRPr="003B1303">
        <w:rPr>
          <w:lang w:val="fr-FR"/>
        </w:rPr>
        <w:t xml:space="preserve"> ci</w:t>
      </w:r>
      <w:r w:rsidRPr="003B1303">
        <w:rPr>
          <w:lang w:val="fr-FR"/>
        </w:rPr>
        <w:noBreakHyphen/>
        <w:t xml:space="preserve">dessus). Il a donc fourni aux enquêteurs une trame qui a nécessairement </w:t>
      </w:r>
      <w:r w:rsidRPr="003B1303" w:rsidR="0081267D">
        <w:rPr>
          <w:lang w:val="fr-FR"/>
        </w:rPr>
        <w:t xml:space="preserve">nourri </w:t>
      </w:r>
      <w:r w:rsidRPr="003B1303">
        <w:rPr>
          <w:lang w:val="fr-FR"/>
        </w:rPr>
        <w:t>l</w:t>
      </w:r>
      <w:r w:rsidRPr="003B1303" w:rsidR="003B1303">
        <w:rPr>
          <w:lang w:val="fr-FR"/>
        </w:rPr>
        <w:t>’</w:t>
      </w:r>
      <w:r w:rsidRPr="003B1303">
        <w:rPr>
          <w:lang w:val="fr-FR"/>
        </w:rPr>
        <w:t>acte d</w:t>
      </w:r>
      <w:r w:rsidRPr="003B1303" w:rsidR="003B1303">
        <w:rPr>
          <w:lang w:val="fr-FR"/>
        </w:rPr>
        <w:t>’</w:t>
      </w:r>
      <w:r w:rsidRPr="003B1303">
        <w:rPr>
          <w:lang w:val="fr-FR"/>
        </w:rPr>
        <w:t>accusation. En effet, l</w:t>
      </w:r>
      <w:r w:rsidRPr="003B1303" w:rsidR="003B1303">
        <w:rPr>
          <w:lang w:val="fr-FR"/>
        </w:rPr>
        <w:t>’</w:t>
      </w:r>
      <w:r w:rsidRPr="003B1303">
        <w:rPr>
          <w:lang w:val="fr-FR"/>
        </w:rPr>
        <w:t xml:space="preserve">accusation a cherché à prouver la culpabilité du premier requérant et </w:t>
      </w:r>
      <w:r w:rsidRPr="003B1303" w:rsidR="00E62D25">
        <w:rPr>
          <w:lang w:val="fr-FR"/>
        </w:rPr>
        <w:t xml:space="preserve">à </w:t>
      </w:r>
      <w:r w:rsidRPr="003B1303">
        <w:rPr>
          <w:lang w:val="fr-FR"/>
        </w:rPr>
        <w:t xml:space="preserve">démontrer, à travers </w:t>
      </w:r>
      <w:r w:rsidRPr="003B1303" w:rsidR="00202B06">
        <w:rPr>
          <w:lang w:val="fr-FR"/>
        </w:rPr>
        <w:t>les</w:t>
      </w:r>
      <w:r w:rsidRPr="003B1303">
        <w:rPr>
          <w:lang w:val="fr-FR"/>
        </w:rPr>
        <w:t xml:space="preserve"> dépositions de plusieurs témoins et </w:t>
      </w:r>
      <w:r w:rsidRPr="003B1303" w:rsidR="00202B06">
        <w:rPr>
          <w:lang w:val="fr-FR"/>
        </w:rPr>
        <w:t>les</w:t>
      </w:r>
      <w:r w:rsidRPr="003B1303">
        <w:rPr>
          <w:lang w:val="fr-FR"/>
        </w:rPr>
        <w:t xml:space="preserve"> preuves documentaires, l</w:t>
      </w:r>
      <w:r w:rsidRPr="003B1303" w:rsidR="003B1303">
        <w:rPr>
          <w:lang w:val="fr-FR"/>
        </w:rPr>
        <w:t>’</w:t>
      </w:r>
      <w:r w:rsidRPr="003B1303">
        <w:rPr>
          <w:lang w:val="fr-FR"/>
        </w:rPr>
        <w:t>existence tant de liens d</w:t>
      </w:r>
      <w:r w:rsidRPr="003B1303" w:rsidR="003B1303">
        <w:rPr>
          <w:lang w:val="fr-FR"/>
        </w:rPr>
        <w:t>’</w:t>
      </w:r>
      <w:r w:rsidRPr="003B1303">
        <w:rPr>
          <w:lang w:val="fr-FR"/>
        </w:rPr>
        <w:t>amitié entre l</w:t>
      </w:r>
      <w:r w:rsidRPr="003B1303" w:rsidR="003B1303">
        <w:rPr>
          <w:lang w:val="fr-FR"/>
        </w:rPr>
        <w:t>’</w:t>
      </w:r>
      <w:r w:rsidRPr="003B1303">
        <w:rPr>
          <w:lang w:val="fr-FR"/>
        </w:rPr>
        <w:t xml:space="preserve">intéressé et </w:t>
      </w:r>
      <w:proofErr w:type="spellStart"/>
      <w:r w:rsidRPr="003B1303">
        <w:rPr>
          <w:lang w:val="fr-FR"/>
        </w:rPr>
        <w:t>Kh</w:t>
      </w:r>
      <w:proofErr w:type="spellEnd"/>
      <w:r w:rsidRPr="003B1303">
        <w:rPr>
          <w:lang w:val="fr-FR"/>
        </w:rPr>
        <w:t xml:space="preserve">. que de relations conflictuelles qui </w:t>
      </w:r>
      <w:r w:rsidRPr="003B1303" w:rsidR="00E62D25">
        <w:rPr>
          <w:lang w:val="fr-FR"/>
        </w:rPr>
        <w:t xml:space="preserve">seraient </w:t>
      </w:r>
      <w:r w:rsidRPr="003B1303">
        <w:rPr>
          <w:lang w:val="fr-FR"/>
        </w:rPr>
        <w:t>apparu</w:t>
      </w:r>
      <w:r w:rsidRPr="003B1303" w:rsidR="00E62D25">
        <w:rPr>
          <w:lang w:val="fr-FR"/>
        </w:rPr>
        <w:t>es</w:t>
      </w:r>
      <w:r w:rsidRPr="003B1303">
        <w:rPr>
          <w:lang w:val="fr-FR"/>
        </w:rPr>
        <w:t xml:space="preserve"> </w:t>
      </w:r>
      <w:r w:rsidRPr="003B1303" w:rsidR="00E62D25">
        <w:rPr>
          <w:lang w:val="fr-FR"/>
        </w:rPr>
        <w:t>tant entre le premier requérant et</w:t>
      </w:r>
      <w:r w:rsidRPr="003B1303">
        <w:rPr>
          <w:lang w:val="fr-FR"/>
        </w:rPr>
        <w:t xml:space="preserve"> la victime </w:t>
      </w:r>
      <w:r w:rsidRPr="003B1303" w:rsidR="00E62D25">
        <w:rPr>
          <w:lang w:val="fr-FR"/>
        </w:rPr>
        <w:t>qu</w:t>
      </w:r>
      <w:r w:rsidRPr="003B1303" w:rsidR="003B1303">
        <w:rPr>
          <w:lang w:val="fr-FR"/>
        </w:rPr>
        <w:t>’</w:t>
      </w:r>
      <w:r w:rsidRPr="003B1303" w:rsidR="00E62D25">
        <w:rPr>
          <w:lang w:val="fr-FR"/>
        </w:rPr>
        <w:t>entre le</w:t>
      </w:r>
      <w:r w:rsidRPr="003B1303">
        <w:rPr>
          <w:lang w:val="fr-FR"/>
        </w:rPr>
        <w:t xml:space="preserve"> premier requérant et </w:t>
      </w:r>
      <w:proofErr w:type="spellStart"/>
      <w:r w:rsidRPr="003B1303">
        <w:rPr>
          <w:lang w:val="fr-FR"/>
        </w:rPr>
        <w:t>Kh</w:t>
      </w:r>
      <w:proofErr w:type="spellEnd"/>
      <w:r w:rsidRPr="003B1303">
        <w:rPr>
          <w:lang w:val="fr-FR"/>
        </w:rPr>
        <w:t xml:space="preserve">. (paragraphes </w:t>
      </w:r>
      <w:r w:rsidRPr="003B1303">
        <w:rPr>
          <w:lang w:val="fr-FR"/>
        </w:rPr>
        <w:fldChar w:fldCharType="begin"/>
      </w:r>
      <w:r w:rsidRPr="003B1303">
        <w:rPr>
          <w:lang w:val="fr-FR"/>
        </w:rPr>
        <w:instrText xml:space="preserve"> REF procprevdoc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98</w:t>
      </w:r>
      <w:r w:rsidRPr="003B1303">
        <w:rPr>
          <w:lang w:val="fr-FR"/>
        </w:rPr>
        <w:fldChar w:fldCharType="end"/>
      </w:r>
      <w:r w:rsidRPr="003B1303">
        <w:rPr>
          <w:lang w:val="fr-FR"/>
        </w:rPr>
        <w:noBreakHyphen/>
      </w:r>
      <w:r w:rsidRPr="003B1303">
        <w:rPr>
          <w:lang w:val="fr-FR"/>
        </w:rPr>
        <w:fldChar w:fldCharType="begin"/>
      </w:r>
      <w:r w:rsidRPr="003B1303">
        <w:rPr>
          <w:lang w:val="fr-FR"/>
        </w:rPr>
        <w:instrText xml:space="preserve"> REF procdecltem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99</w:t>
      </w:r>
      <w:r w:rsidRPr="003B1303">
        <w:rPr>
          <w:lang w:val="fr-FR"/>
        </w:rPr>
        <w:fldChar w:fldCharType="end"/>
      </w:r>
      <w:r w:rsidRPr="003B1303">
        <w:rPr>
          <w:lang w:val="fr-FR"/>
        </w:rPr>
        <w:t xml:space="preserve"> ci</w:t>
      </w:r>
      <w:r w:rsidRPr="003B1303">
        <w:rPr>
          <w:lang w:val="fr-FR"/>
        </w:rPr>
        <w:noBreakHyphen/>
        <w:t>dessus).</w:t>
      </w:r>
    </w:p>
    <w:p w:rsidRPr="003B1303" w:rsidR="0085148A"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197</w:t>
      </w:r>
      <w:r w:rsidRPr="003B1303">
        <w:rPr>
          <w:lang w:val="fr-FR"/>
        </w:rPr>
        <w:fldChar w:fldCharType="end"/>
      </w:r>
      <w:r w:rsidRPr="003B1303">
        <w:rPr>
          <w:lang w:val="fr-FR"/>
        </w:rPr>
        <w:t>. </w:t>
      </w:r>
      <w:r w:rsidRPr="003B1303" w:rsidR="00BE4EEA">
        <w:rPr>
          <w:lang w:val="fr-FR"/>
        </w:rPr>
        <w:t> </w:t>
      </w:r>
      <w:r w:rsidRPr="003B1303">
        <w:rPr>
          <w:lang w:val="fr-FR"/>
        </w:rPr>
        <w:t>La Cour note que, outre les déclarations auto</w:t>
      </w:r>
      <w:r w:rsidRPr="003B1303">
        <w:rPr>
          <w:lang w:val="fr-FR"/>
        </w:rPr>
        <w:noBreakHyphen/>
        <w:t xml:space="preserve">incriminantes du </w:t>
      </w:r>
      <w:r w:rsidRPr="003B1303" w:rsidR="00D237D2">
        <w:rPr>
          <w:lang w:val="fr-FR"/>
        </w:rPr>
        <w:t xml:space="preserve">premier </w:t>
      </w:r>
      <w:r w:rsidRPr="003B1303">
        <w:rPr>
          <w:lang w:val="fr-FR"/>
        </w:rPr>
        <w:t xml:space="preserve">requérant </w:t>
      </w:r>
      <w:r w:rsidRPr="003B1303" w:rsidR="00C552AB">
        <w:rPr>
          <w:lang w:val="fr-FR"/>
        </w:rPr>
        <w:t>du</w:t>
      </w:r>
      <w:r w:rsidRPr="003B1303">
        <w:rPr>
          <w:lang w:val="fr-FR"/>
        </w:rPr>
        <w:t xml:space="preserve"> 15 avril 2008, l</w:t>
      </w:r>
      <w:r w:rsidRPr="003B1303" w:rsidR="003B1303">
        <w:rPr>
          <w:lang w:val="fr-FR"/>
        </w:rPr>
        <w:t>’</w:t>
      </w:r>
      <w:r w:rsidRPr="003B1303">
        <w:rPr>
          <w:lang w:val="fr-FR"/>
        </w:rPr>
        <w:t xml:space="preserve">accusation </w:t>
      </w:r>
      <w:r w:rsidRPr="003B1303" w:rsidR="002B4762">
        <w:rPr>
          <w:lang w:val="fr-FR"/>
        </w:rPr>
        <w:t xml:space="preserve">a présenté </w:t>
      </w:r>
      <w:r w:rsidRPr="003B1303">
        <w:rPr>
          <w:lang w:val="fr-FR"/>
        </w:rPr>
        <w:t>au jury d</w:t>
      </w:r>
      <w:r w:rsidRPr="003B1303" w:rsidR="003B1303">
        <w:rPr>
          <w:lang w:val="fr-FR"/>
        </w:rPr>
        <w:t>’</w:t>
      </w:r>
      <w:r w:rsidRPr="003B1303">
        <w:rPr>
          <w:lang w:val="fr-FR"/>
        </w:rPr>
        <w:t xml:space="preserve">autres preuves à charge, parmi lesquelles figuraient les déclarations faites par </w:t>
      </w:r>
      <w:r w:rsidRPr="003B1303" w:rsidR="00BE7736">
        <w:rPr>
          <w:lang w:val="fr-FR"/>
        </w:rPr>
        <w:t xml:space="preserve">le second requérant et par </w:t>
      </w:r>
      <w:r w:rsidRPr="003B1303">
        <w:rPr>
          <w:lang w:val="fr-FR"/>
        </w:rPr>
        <w:t xml:space="preserve">les coaccusés </w:t>
      </w:r>
      <w:r w:rsidRPr="003B1303" w:rsidR="00817002">
        <w:rPr>
          <w:lang w:val="fr-FR"/>
        </w:rPr>
        <w:t>D. Che.</w:t>
      </w:r>
      <w:r w:rsidRPr="003B1303" w:rsidR="00AA3DD8">
        <w:rPr>
          <w:lang w:val="fr-FR"/>
        </w:rPr>
        <w:t xml:space="preserve">, </w:t>
      </w:r>
      <w:r w:rsidRPr="003B1303" w:rsidR="00817002">
        <w:rPr>
          <w:lang w:val="fr-FR"/>
        </w:rPr>
        <w:t>E. Mas.</w:t>
      </w:r>
      <w:r w:rsidRPr="003B1303" w:rsidR="00AA3DD8">
        <w:rPr>
          <w:lang w:val="fr-FR"/>
        </w:rPr>
        <w:t>, A. </w:t>
      </w:r>
      <w:proofErr w:type="spellStart"/>
      <w:r w:rsidRPr="003B1303" w:rsidR="00AA3DD8">
        <w:rPr>
          <w:lang w:val="fr-FR"/>
        </w:rPr>
        <w:t>Kur</w:t>
      </w:r>
      <w:proofErr w:type="spellEnd"/>
      <w:r w:rsidRPr="003B1303" w:rsidR="00AA3DD8">
        <w:rPr>
          <w:lang w:val="fr-FR"/>
        </w:rPr>
        <w:t xml:space="preserve">. </w:t>
      </w:r>
      <w:proofErr w:type="gramStart"/>
      <w:r w:rsidRPr="003B1303" w:rsidR="00AA3DD8">
        <w:rPr>
          <w:lang w:val="fr-FR"/>
        </w:rPr>
        <w:t>et</w:t>
      </w:r>
      <w:proofErr w:type="gramEnd"/>
      <w:r w:rsidRPr="003B1303" w:rsidR="00AA3DD8">
        <w:rPr>
          <w:lang w:val="fr-FR"/>
        </w:rPr>
        <w:t xml:space="preserve"> </w:t>
      </w:r>
      <w:r w:rsidRPr="003B1303" w:rsidR="00817002">
        <w:rPr>
          <w:lang w:val="fr-FR"/>
        </w:rPr>
        <w:t>A. </w:t>
      </w:r>
      <w:proofErr w:type="spellStart"/>
      <w:r w:rsidRPr="003B1303" w:rsidR="00817002">
        <w:rPr>
          <w:lang w:val="fr-FR"/>
        </w:rPr>
        <w:t>Kal</w:t>
      </w:r>
      <w:proofErr w:type="spellEnd"/>
      <w:r w:rsidRPr="003B1303" w:rsidR="00817002">
        <w:rPr>
          <w:lang w:val="fr-FR"/>
        </w:rPr>
        <w:t>.</w:t>
      </w:r>
      <w:r w:rsidRPr="003B1303" w:rsidR="00AA3DD8">
        <w:rPr>
          <w:lang w:val="fr-FR"/>
        </w:rPr>
        <w:t xml:space="preserve"> </w:t>
      </w:r>
      <w:proofErr w:type="gramStart"/>
      <w:r w:rsidRPr="003B1303">
        <w:rPr>
          <w:lang w:val="fr-FR"/>
        </w:rPr>
        <w:t>au</w:t>
      </w:r>
      <w:proofErr w:type="gramEnd"/>
      <w:r w:rsidRPr="003B1303">
        <w:rPr>
          <w:lang w:val="fr-FR"/>
        </w:rPr>
        <w:t xml:space="preserve"> stade de l</w:t>
      </w:r>
      <w:r w:rsidRPr="003B1303" w:rsidR="003B1303">
        <w:rPr>
          <w:lang w:val="fr-FR"/>
        </w:rPr>
        <w:t>’</w:t>
      </w:r>
      <w:r w:rsidRPr="003B1303">
        <w:rPr>
          <w:lang w:val="fr-FR"/>
        </w:rPr>
        <w:t xml:space="preserve">enquête pénale ainsi les déclarations faites par les témoins </w:t>
      </w:r>
      <w:proofErr w:type="spellStart"/>
      <w:r w:rsidRPr="003B1303">
        <w:rPr>
          <w:lang w:val="fr-FR"/>
        </w:rPr>
        <w:t>Bir</w:t>
      </w:r>
      <w:proofErr w:type="spellEnd"/>
      <w:r w:rsidRPr="003B1303">
        <w:rPr>
          <w:lang w:val="fr-FR"/>
        </w:rPr>
        <w:t xml:space="preserve">. </w:t>
      </w:r>
      <w:proofErr w:type="gramStart"/>
      <w:r w:rsidRPr="003B1303">
        <w:rPr>
          <w:lang w:val="fr-FR"/>
        </w:rPr>
        <w:t>et</w:t>
      </w:r>
      <w:proofErr w:type="gramEnd"/>
      <w:r w:rsidRPr="003B1303">
        <w:rPr>
          <w:lang w:val="fr-FR"/>
        </w:rPr>
        <w:t xml:space="preserve"> Sh. en audience judiciaire (paragraphes </w:t>
      </w:r>
      <w:r w:rsidRPr="003B1303">
        <w:rPr>
          <w:lang w:val="fr-FR"/>
        </w:rPr>
        <w:fldChar w:fldCharType="begin"/>
      </w:r>
      <w:r w:rsidRPr="003B1303">
        <w:rPr>
          <w:lang w:val="fr-FR"/>
        </w:rPr>
        <w:instrText xml:space="preserve"> REF preuv1 \h </w:instrText>
      </w:r>
      <w:r w:rsidRPr="003B1303" w:rsidR="00C47AAA">
        <w:rPr>
          <w:lang w:val="fr-FR"/>
        </w:rPr>
        <w:instrText xml:space="preserve"> \* MERGEFORMAT </w:instrText>
      </w:r>
      <w:r w:rsidRPr="003B1303">
        <w:rPr>
          <w:lang w:val="fr-FR"/>
        </w:rPr>
      </w:r>
      <w:r w:rsidRPr="003B1303">
        <w:rPr>
          <w:lang w:val="fr-FR"/>
        </w:rPr>
        <w:fldChar w:fldCharType="separate"/>
      </w:r>
      <w:r w:rsidR="003B1303">
        <w:rPr>
          <w:noProof/>
          <w:lang w:val="fr-FR"/>
        </w:rPr>
        <w:t>94</w:t>
      </w:r>
      <w:r w:rsidRPr="003B1303">
        <w:rPr>
          <w:lang w:val="fr-FR"/>
        </w:rPr>
        <w:fldChar w:fldCharType="end"/>
      </w:r>
      <w:r w:rsidRPr="003B1303" w:rsidR="00047678">
        <w:rPr>
          <w:lang w:val="fr-FR"/>
        </w:rPr>
        <w:noBreakHyphen/>
      </w:r>
      <w:r w:rsidRPr="003B1303" w:rsidR="00047678">
        <w:rPr>
          <w:lang w:val="fr-FR"/>
        </w:rPr>
        <w:fldChar w:fldCharType="begin"/>
      </w:r>
      <w:r w:rsidRPr="003B1303" w:rsidR="00047678">
        <w:rPr>
          <w:lang w:val="fr-FR"/>
        </w:rPr>
        <w:instrText xml:space="preserve"> REF proclecdep \h </w:instrText>
      </w:r>
      <w:r w:rsidRPr="003B1303" w:rsidR="00C47AAA">
        <w:rPr>
          <w:lang w:val="fr-FR"/>
        </w:rPr>
        <w:instrText xml:space="preserve"> \* MERGEFORMAT </w:instrText>
      </w:r>
      <w:r w:rsidRPr="003B1303" w:rsidR="00047678">
        <w:rPr>
          <w:lang w:val="fr-FR"/>
        </w:rPr>
      </w:r>
      <w:r w:rsidRPr="003B1303" w:rsidR="00047678">
        <w:rPr>
          <w:lang w:val="fr-FR"/>
        </w:rPr>
        <w:fldChar w:fldCharType="separate"/>
      </w:r>
      <w:r w:rsidR="003B1303">
        <w:rPr>
          <w:noProof/>
          <w:lang w:val="fr-FR"/>
        </w:rPr>
        <w:t>96</w:t>
      </w:r>
      <w:r w:rsidRPr="003B1303" w:rsidR="00047678">
        <w:rPr>
          <w:lang w:val="fr-FR"/>
        </w:rPr>
        <w:fldChar w:fldCharType="end"/>
      </w:r>
      <w:r w:rsidRPr="003B1303" w:rsidR="00047678">
        <w:rPr>
          <w:lang w:val="fr-FR"/>
        </w:rPr>
        <w:t xml:space="preserve"> ci</w:t>
      </w:r>
      <w:r w:rsidRPr="003B1303" w:rsidR="00047678">
        <w:rPr>
          <w:lang w:val="fr-FR"/>
        </w:rPr>
        <w:noBreakHyphen/>
        <w:t>dessus)</w:t>
      </w:r>
      <w:r w:rsidRPr="003B1303">
        <w:rPr>
          <w:lang w:val="fr-FR"/>
        </w:rPr>
        <w:t>.</w:t>
      </w:r>
      <w:r w:rsidRPr="003B1303" w:rsidR="00047678">
        <w:rPr>
          <w:lang w:val="fr-FR"/>
        </w:rPr>
        <w:t xml:space="preserve"> </w:t>
      </w:r>
      <w:r w:rsidRPr="003B1303" w:rsidR="003D01F4">
        <w:rPr>
          <w:lang w:val="fr-FR"/>
        </w:rPr>
        <w:t>Elle</w:t>
      </w:r>
      <w:r w:rsidRPr="003B1303" w:rsidR="00047678">
        <w:rPr>
          <w:lang w:val="fr-FR"/>
        </w:rPr>
        <w:t xml:space="preserve"> </w:t>
      </w:r>
      <w:r w:rsidRPr="003B1303" w:rsidR="00C552AB">
        <w:rPr>
          <w:lang w:val="fr-FR"/>
        </w:rPr>
        <w:t xml:space="preserve">constate toutefois </w:t>
      </w:r>
      <w:r w:rsidRPr="003B1303" w:rsidR="00047678">
        <w:rPr>
          <w:lang w:val="fr-FR"/>
        </w:rPr>
        <w:t xml:space="preserve">que tous les accusés ont plaidé non coupable </w:t>
      </w:r>
      <w:r w:rsidRPr="003B1303" w:rsidR="00C552AB">
        <w:rPr>
          <w:lang w:val="fr-FR"/>
        </w:rPr>
        <w:t xml:space="preserve">pendant le procès </w:t>
      </w:r>
      <w:r w:rsidRPr="003B1303" w:rsidR="00047678">
        <w:rPr>
          <w:lang w:val="fr-FR"/>
        </w:rPr>
        <w:t xml:space="preserve">et que </w:t>
      </w:r>
      <w:r w:rsidRPr="003B1303" w:rsidR="009711D3">
        <w:rPr>
          <w:lang w:val="fr-FR"/>
        </w:rPr>
        <w:t xml:space="preserve">le second requérant et </w:t>
      </w:r>
      <w:r w:rsidRPr="003B1303" w:rsidR="00047678">
        <w:rPr>
          <w:lang w:val="fr-FR"/>
        </w:rPr>
        <w:t xml:space="preserve">les coaccusés </w:t>
      </w:r>
      <w:r w:rsidRPr="003B1303" w:rsidR="00235152">
        <w:rPr>
          <w:lang w:val="fr-FR"/>
        </w:rPr>
        <w:t>E. Mas., A. </w:t>
      </w:r>
      <w:proofErr w:type="spellStart"/>
      <w:r w:rsidRPr="003B1303" w:rsidR="00235152">
        <w:rPr>
          <w:lang w:val="fr-FR"/>
        </w:rPr>
        <w:t>Kal</w:t>
      </w:r>
      <w:proofErr w:type="spellEnd"/>
      <w:r w:rsidRPr="003B1303" w:rsidR="00235152">
        <w:rPr>
          <w:lang w:val="fr-FR"/>
        </w:rPr>
        <w:t xml:space="preserve">. </w:t>
      </w:r>
      <w:proofErr w:type="gramStart"/>
      <w:r w:rsidRPr="003B1303" w:rsidR="00235152">
        <w:rPr>
          <w:lang w:val="fr-FR"/>
        </w:rPr>
        <w:t>et</w:t>
      </w:r>
      <w:proofErr w:type="gramEnd"/>
      <w:r w:rsidRPr="003B1303" w:rsidR="00235152">
        <w:rPr>
          <w:lang w:val="fr-FR"/>
        </w:rPr>
        <w:t xml:space="preserve"> D. Che.</w:t>
      </w:r>
      <w:r w:rsidRPr="003B1303" w:rsidR="00047678">
        <w:rPr>
          <w:lang w:val="fr-FR"/>
        </w:rPr>
        <w:t xml:space="preserve"> </w:t>
      </w:r>
      <w:proofErr w:type="gramStart"/>
      <w:r w:rsidRPr="003B1303" w:rsidR="00865A8E">
        <w:rPr>
          <w:lang w:val="fr-FR"/>
        </w:rPr>
        <w:t>se</w:t>
      </w:r>
      <w:proofErr w:type="gramEnd"/>
      <w:r w:rsidRPr="003B1303" w:rsidR="00865A8E">
        <w:rPr>
          <w:lang w:val="fr-FR"/>
        </w:rPr>
        <w:t xml:space="preserve"> sont rétracté de </w:t>
      </w:r>
      <w:r w:rsidRPr="003B1303" w:rsidR="00047678">
        <w:rPr>
          <w:lang w:val="fr-FR"/>
        </w:rPr>
        <w:t>leurs dépositions faites au stade de l</w:t>
      </w:r>
      <w:r w:rsidRPr="003B1303" w:rsidR="003B1303">
        <w:rPr>
          <w:lang w:val="fr-FR"/>
        </w:rPr>
        <w:t>’</w:t>
      </w:r>
      <w:r w:rsidRPr="003B1303" w:rsidR="00047678">
        <w:rPr>
          <w:lang w:val="fr-FR"/>
        </w:rPr>
        <w:t xml:space="preserve">enquête </w:t>
      </w:r>
      <w:r w:rsidRPr="003B1303" w:rsidR="00C552AB">
        <w:rPr>
          <w:lang w:val="fr-FR"/>
        </w:rPr>
        <w:t>qui</w:t>
      </w:r>
      <w:r w:rsidRPr="003B1303" w:rsidR="00047678">
        <w:rPr>
          <w:lang w:val="fr-FR"/>
        </w:rPr>
        <w:t xml:space="preserve"> incrimin</w:t>
      </w:r>
      <w:r w:rsidRPr="003B1303" w:rsidR="00C552AB">
        <w:rPr>
          <w:lang w:val="fr-FR"/>
        </w:rPr>
        <w:t>aient</w:t>
      </w:r>
      <w:r w:rsidRPr="003B1303" w:rsidR="00047678">
        <w:rPr>
          <w:lang w:val="fr-FR"/>
        </w:rPr>
        <w:t xml:space="preserve"> le premier requérant (paragraphe</w:t>
      </w:r>
      <w:r w:rsidRPr="003B1303" w:rsidR="00235152">
        <w:rPr>
          <w:lang w:val="fr-FR"/>
        </w:rPr>
        <w:t xml:space="preserve">s </w:t>
      </w:r>
      <w:r w:rsidRPr="003B1303" w:rsidR="00032CBD">
        <w:rPr>
          <w:lang w:val="fr-FR"/>
        </w:rPr>
        <w:fldChar w:fldCharType="begin"/>
      </w:r>
      <w:r w:rsidRPr="003B1303" w:rsidR="00032CBD">
        <w:rPr>
          <w:lang w:val="fr-FR"/>
        </w:rPr>
        <w:instrText xml:space="preserve"> REF  demlect1 \h  \* MERGEFORMAT </w:instrText>
      </w:r>
      <w:r w:rsidRPr="003B1303" w:rsidR="00032CBD">
        <w:rPr>
          <w:lang w:val="fr-FR"/>
        </w:rPr>
      </w:r>
      <w:r w:rsidRPr="003B1303" w:rsidR="00032CBD">
        <w:rPr>
          <w:lang w:val="fr-FR"/>
        </w:rPr>
        <w:fldChar w:fldCharType="separate"/>
      </w:r>
      <w:r w:rsidR="003B1303">
        <w:rPr>
          <w:noProof/>
          <w:lang w:val="fr-FR"/>
        </w:rPr>
        <w:t>73</w:t>
      </w:r>
      <w:r w:rsidRPr="003B1303" w:rsidR="00032CBD">
        <w:rPr>
          <w:lang w:val="fr-FR"/>
        </w:rPr>
        <w:fldChar w:fldCharType="end"/>
      </w:r>
      <w:r w:rsidRPr="003B1303" w:rsidR="00235152">
        <w:rPr>
          <w:lang w:val="fr-FR"/>
        </w:rPr>
        <w:t xml:space="preserve"> et </w:t>
      </w:r>
      <w:r w:rsidRPr="003B1303" w:rsidR="00047678">
        <w:rPr>
          <w:lang w:val="fr-FR"/>
        </w:rPr>
        <w:fldChar w:fldCharType="begin"/>
      </w:r>
      <w:r w:rsidRPr="003B1303" w:rsidR="00047678">
        <w:rPr>
          <w:lang w:val="fr-FR"/>
        </w:rPr>
        <w:instrText xml:space="preserve"> REF procposacc \h </w:instrText>
      </w:r>
      <w:r w:rsidRPr="003B1303" w:rsidR="00C47AAA">
        <w:rPr>
          <w:lang w:val="fr-FR"/>
        </w:rPr>
        <w:instrText xml:space="preserve"> \* MERGEFORMAT </w:instrText>
      </w:r>
      <w:r w:rsidRPr="003B1303" w:rsidR="00047678">
        <w:rPr>
          <w:lang w:val="fr-FR"/>
        </w:rPr>
      </w:r>
      <w:r w:rsidRPr="003B1303" w:rsidR="00047678">
        <w:rPr>
          <w:lang w:val="fr-FR"/>
        </w:rPr>
        <w:fldChar w:fldCharType="separate"/>
      </w:r>
      <w:r w:rsidR="003B1303">
        <w:rPr>
          <w:noProof/>
          <w:lang w:val="fr-FR"/>
        </w:rPr>
        <w:t>97</w:t>
      </w:r>
      <w:r w:rsidRPr="003B1303" w:rsidR="00047678">
        <w:rPr>
          <w:lang w:val="fr-FR"/>
        </w:rPr>
        <w:fldChar w:fldCharType="end"/>
      </w:r>
      <w:r w:rsidRPr="003B1303" w:rsidR="00047678">
        <w:rPr>
          <w:lang w:val="fr-FR"/>
        </w:rPr>
        <w:t xml:space="preserve"> ci</w:t>
      </w:r>
      <w:r w:rsidRPr="003B1303" w:rsidR="00047678">
        <w:rPr>
          <w:lang w:val="fr-FR"/>
        </w:rPr>
        <w:noBreakHyphen/>
        <w:t>dessus).</w:t>
      </w:r>
      <w:r w:rsidRPr="003B1303" w:rsidR="00165394">
        <w:rPr>
          <w:lang w:val="fr-FR"/>
        </w:rPr>
        <w:t xml:space="preserve"> </w:t>
      </w:r>
      <w:r w:rsidRPr="003B1303" w:rsidR="00C552AB">
        <w:rPr>
          <w:lang w:val="fr-FR"/>
        </w:rPr>
        <w:t xml:space="preserve">Elle relève également que le témoignage de Sh. ne concernait pas directement le premier requérant (paragraphe </w:t>
      </w:r>
      <w:r w:rsidRPr="003B1303" w:rsidR="00C552AB">
        <w:rPr>
          <w:lang w:val="fr-FR"/>
        </w:rPr>
        <w:fldChar w:fldCharType="begin"/>
      </w:r>
      <w:r w:rsidRPr="003B1303" w:rsidR="00C552AB">
        <w:rPr>
          <w:lang w:val="fr-FR"/>
        </w:rPr>
        <w:instrText xml:space="preserve"> REF proctemsh \h </w:instrText>
      </w:r>
      <w:r w:rsidRPr="003B1303" w:rsidR="00C552AB">
        <w:rPr>
          <w:lang w:val="fr-FR"/>
        </w:rPr>
      </w:r>
      <w:r w:rsidRPr="003B1303" w:rsidR="00C552AB">
        <w:rPr>
          <w:lang w:val="fr-FR"/>
        </w:rPr>
        <w:fldChar w:fldCharType="separate"/>
      </w:r>
      <w:r w:rsidR="003B1303">
        <w:rPr>
          <w:noProof/>
          <w:lang w:val="fr-FR"/>
        </w:rPr>
        <w:t>95</w:t>
      </w:r>
      <w:r w:rsidRPr="003B1303" w:rsidR="00C552AB">
        <w:rPr>
          <w:lang w:val="fr-FR"/>
        </w:rPr>
        <w:fldChar w:fldCharType="end"/>
      </w:r>
      <w:r w:rsidRPr="003B1303" w:rsidR="00C552AB">
        <w:rPr>
          <w:lang w:val="fr-FR"/>
        </w:rPr>
        <w:t xml:space="preserve"> ci</w:t>
      </w:r>
      <w:r w:rsidRPr="003B1303" w:rsidR="00C552AB">
        <w:rPr>
          <w:lang w:val="fr-FR"/>
        </w:rPr>
        <w:noBreakHyphen/>
        <w:t xml:space="preserve">dessus). </w:t>
      </w:r>
      <w:r w:rsidRPr="003B1303" w:rsidR="00165394">
        <w:rPr>
          <w:lang w:val="fr-FR"/>
        </w:rPr>
        <w:t xml:space="preserve">Les autres éléments à charge présentés au jury </w:t>
      </w:r>
      <w:r w:rsidRPr="003B1303" w:rsidR="00410A83">
        <w:rPr>
          <w:lang w:val="fr-FR"/>
        </w:rPr>
        <w:t>ne démontraient pas</w:t>
      </w:r>
      <w:r w:rsidRPr="003B1303" w:rsidR="00C552AB">
        <w:rPr>
          <w:lang w:val="fr-FR"/>
        </w:rPr>
        <w:t>, non plus,</w:t>
      </w:r>
      <w:r w:rsidRPr="003B1303" w:rsidR="00410A83">
        <w:rPr>
          <w:lang w:val="fr-FR"/>
        </w:rPr>
        <w:t xml:space="preserve"> l</w:t>
      </w:r>
      <w:r w:rsidRPr="003B1303" w:rsidR="003B1303">
        <w:rPr>
          <w:lang w:val="fr-FR"/>
        </w:rPr>
        <w:t>’</w:t>
      </w:r>
      <w:r w:rsidRPr="003B1303" w:rsidR="00410A83">
        <w:rPr>
          <w:lang w:val="fr-FR"/>
        </w:rPr>
        <w:t xml:space="preserve">implication </w:t>
      </w:r>
      <w:r w:rsidRPr="003B1303" w:rsidR="00C552AB">
        <w:rPr>
          <w:lang w:val="fr-FR"/>
        </w:rPr>
        <w:t xml:space="preserve">directe </w:t>
      </w:r>
      <w:r w:rsidRPr="003B1303" w:rsidR="00410A83">
        <w:rPr>
          <w:lang w:val="fr-FR"/>
        </w:rPr>
        <w:t>du premier requérant dans la commission de l</w:t>
      </w:r>
      <w:r w:rsidRPr="003B1303" w:rsidR="003B1303">
        <w:rPr>
          <w:lang w:val="fr-FR"/>
        </w:rPr>
        <w:t>’</w:t>
      </w:r>
      <w:r w:rsidRPr="003B1303" w:rsidR="00410A83">
        <w:rPr>
          <w:lang w:val="fr-FR"/>
        </w:rPr>
        <w:t xml:space="preserve">assassinat de S. </w:t>
      </w:r>
      <w:r w:rsidRPr="003B1303" w:rsidR="00165394">
        <w:rPr>
          <w:lang w:val="fr-FR"/>
        </w:rPr>
        <w:t xml:space="preserve">(paragraphes </w:t>
      </w:r>
      <w:r w:rsidRPr="003B1303" w:rsidR="00165394">
        <w:rPr>
          <w:lang w:val="fr-FR"/>
        </w:rPr>
        <w:fldChar w:fldCharType="begin"/>
      </w:r>
      <w:r w:rsidRPr="003B1303" w:rsidR="00165394">
        <w:rPr>
          <w:lang w:val="fr-FR"/>
        </w:rPr>
        <w:instrText xml:space="preserve"> REF procprevdoc \h  \* MERGEFORMAT </w:instrText>
      </w:r>
      <w:r w:rsidRPr="003B1303" w:rsidR="00165394">
        <w:rPr>
          <w:lang w:val="fr-FR"/>
        </w:rPr>
      </w:r>
      <w:r w:rsidRPr="003B1303" w:rsidR="00165394">
        <w:rPr>
          <w:lang w:val="fr-FR"/>
        </w:rPr>
        <w:fldChar w:fldCharType="separate"/>
      </w:r>
      <w:r w:rsidR="003B1303">
        <w:rPr>
          <w:lang w:val="fr-FR"/>
        </w:rPr>
        <w:t>98</w:t>
      </w:r>
      <w:r w:rsidRPr="003B1303" w:rsidR="00165394">
        <w:rPr>
          <w:lang w:val="fr-FR"/>
        </w:rPr>
        <w:fldChar w:fldCharType="end"/>
      </w:r>
      <w:r w:rsidRPr="003B1303" w:rsidR="00165394">
        <w:rPr>
          <w:lang w:val="fr-FR"/>
        </w:rPr>
        <w:noBreakHyphen/>
      </w:r>
      <w:r w:rsidRPr="003B1303" w:rsidR="00165394">
        <w:rPr>
          <w:lang w:val="fr-FR"/>
        </w:rPr>
        <w:fldChar w:fldCharType="begin"/>
      </w:r>
      <w:r w:rsidRPr="003B1303" w:rsidR="00165394">
        <w:rPr>
          <w:lang w:val="fr-FR"/>
        </w:rPr>
        <w:instrText xml:space="preserve"> REF procdecltem \h  \* MERGEFORMAT </w:instrText>
      </w:r>
      <w:r w:rsidRPr="003B1303" w:rsidR="00165394">
        <w:rPr>
          <w:lang w:val="fr-FR"/>
        </w:rPr>
      </w:r>
      <w:r w:rsidRPr="003B1303" w:rsidR="00165394">
        <w:rPr>
          <w:lang w:val="fr-FR"/>
        </w:rPr>
        <w:fldChar w:fldCharType="separate"/>
      </w:r>
      <w:r w:rsidR="003B1303">
        <w:rPr>
          <w:lang w:val="fr-FR"/>
        </w:rPr>
        <w:t>99</w:t>
      </w:r>
      <w:r w:rsidRPr="003B1303" w:rsidR="00165394">
        <w:rPr>
          <w:lang w:val="fr-FR"/>
        </w:rPr>
        <w:fldChar w:fldCharType="end"/>
      </w:r>
      <w:r w:rsidRPr="003B1303" w:rsidR="00165394">
        <w:rPr>
          <w:lang w:val="fr-FR"/>
        </w:rPr>
        <w:t xml:space="preserve"> ci</w:t>
      </w:r>
      <w:r w:rsidRPr="003B1303" w:rsidR="00165394">
        <w:rPr>
          <w:lang w:val="fr-FR"/>
        </w:rPr>
        <w:noBreakHyphen/>
        <w:t>dessus).</w:t>
      </w:r>
      <w:r w:rsidRPr="003B1303" w:rsidR="00047678">
        <w:rPr>
          <w:lang w:val="fr-FR"/>
        </w:rPr>
        <w:t xml:space="preserve"> </w:t>
      </w:r>
      <w:r w:rsidRPr="003B1303" w:rsidR="00C552AB">
        <w:rPr>
          <w:lang w:val="fr-FR"/>
        </w:rPr>
        <w:t>Il s</w:t>
      </w:r>
      <w:r w:rsidRPr="003B1303" w:rsidR="003B1303">
        <w:rPr>
          <w:lang w:val="fr-FR"/>
        </w:rPr>
        <w:t>’</w:t>
      </w:r>
      <w:r w:rsidRPr="003B1303" w:rsidR="00C552AB">
        <w:rPr>
          <w:lang w:val="fr-FR"/>
        </w:rPr>
        <w:t xml:space="preserve">ensuit </w:t>
      </w:r>
      <w:r w:rsidRPr="003B1303" w:rsidR="004D4963">
        <w:rPr>
          <w:lang w:val="fr-FR"/>
        </w:rPr>
        <w:t xml:space="preserve">que </w:t>
      </w:r>
      <w:r w:rsidRPr="003B1303" w:rsidR="00B81B2E">
        <w:rPr>
          <w:lang w:val="fr-FR"/>
        </w:rPr>
        <w:t>l</w:t>
      </w:r>
      <w:r w:rsidRPr="003B1303" w:rsidR="004D4963">
        <w:rPr>
          <w:lang w:val="fr-FR"/>
        </w:rPr>
        <w:t>es déclarations auto</w:t>
      </w:r>
      <w:r w:rsidRPr="003B1303" w:rsidR="004D4963">
        <w:rPr>
          <w:lang w:val="fr-FR"/>
        </w:rPr>
        <w:noBreakHyphen/>
        <w:t xml:space="preserve">incriminantes </w:t>
      </w:r>
      <w:r w:rsidRPr="003B1303" w:rsidR="00B81B2E">
        <w:rPr>
          <w:lang w:val="fr-FR"/>
        </w:rPr>
        <w:t xml:space="preserve">du premier requérant </w:t>
      </w:r>
      <w:r w:rsidRPr="003B1303" w:rsidR="004D4963">
        <w:rPr>
          <w:lang w:val="fr-FR"/>
        </w:rPr>
        <w:t>du 15</w:t>
      </w:r>
      <w:r w:rsidRPr="003B1303" w:rsidR="001526E7">
        <w:rPr>
          <w:lang w:val="fr-FR"/>
        </w:rPr>
        <w:t> </w:t>
      </w:r>
      <w:r w:rsidRPr="003B1303" w:rsidR="004D4963">
        <w:rPr>
          <w:lang w:val="fr-FR"/>
        </w:rPr>
        <w:t xml:space="preserve">avril 2008 </w:t>
      </w:r>
      <w:r w:rsidRPr="003B1303" w:rsidR="002D56BA">
        <w:rPr>
          <w:lang w:val="fr-FR"/>
        </w:rPr>
        <w:t>constituaient une</w:t>
      </w:r>
      <w:r w:rsidRPr="003B1303" w:rsidR="00C552AB">
        <w:rPr>
          <w:lang w:val="fr-FR"/>
        </w:rPr>
        <w:t xml:space="preserve"> partie importante des preuves sur lesquelles repose sa condamnation</w:t>
      </w:r>
      <w:r w:rsidRPr="003B1303" w:rsidR="004D4963">
        <w:rPr>
          <w:lang w:val="fr-FR"/>
        </w:rPr>
        <w:t>.</w:t>
      </w:r>
    </w:p>
    <w:p w:rsidRPr="003B1303" w:rsidR="00F65BBB" w:rsidP="003B1303" w:rsidRDefault="00F65BB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198</w:t>
      </w:r>
      <w:r w:rsidRPr="003B1303">
        <w:rPr>
          <w:lang w:val="fr-FR"/>
        </w:rPr>
        <w:fldChar w:fldCharType="end"/>
      </w:r>
      <w:r w:rsidRPr="003B1303">
        <w:rPr>
          <w:lang w:val="fr-FR"/>
        </w:rPr>
        <w:t>.  Cela étant, la Cour relève que, dans ses instructions au jury, la juge présidente n</w:t>
      </w:r>
      <w:r w:rsidRPr="003B1303" w:rsidR="003B1303">
        <w:rPr>
          <w:lang w:val="fr-FR"/>
        </w:rPr>
        <w:t>’</w:t>
      </w:r>
      <w:r w:rsidRPr="003B1303">
        <w:rPr>
          <w:lang w:val="fr-FR"/>
        </w:rPr>
        <w:t xml:space="preserve">a énoncé aucune mise en garde </w:t>
      </w:r>
      <w:r w:rsidRPr="003B1303" w:rsidR="00BC6135">
        <w:rPr>
          <w:lang w:val="fr-FR"/>
        </w:rPr>
        <w:t xml:space="preserve">particulière </w:t>
      </w:r>
      <w:r w:rsidRPr="003B1303">
        <w:rPr>
          <w:lang w:val="fr-FR"/>
        </w:rPr>
        <w:t>à prendre dans le cadre du délibéré quant au poids à attribuer aux déclarations faites par le premier requérant lors de son interrogatoire du 15 avril 2008.</w:t>
      </w:r>
    </w:p>
    <w:p w:rsidRPr="003B1303" w:rsidR="0085148A" w:rsidP="003B1303" w:rsidRDefault="00F65BBB">
      <w:pPr>
        <w:pStyle w:val="ECHRPara"/>
        <w:rPr>
          <w:noProof/>
          <w:lang w:val="fr-FR"/>
        </w:rPr>
      </w:pPr>
      <w:r w:rsidRPr="003B1303">
        <w:rPr>
          <w:noProof/>
          <w:lang w:val="fr-FR"/>
        </w:rPr>
        <w:fldChar w:fldCharType="begin"/>
      </w:r>
      <w:r w:rsidRPr="003B1303">
        <w:rPr>
          <w:noProof/>
          <w:lang w:val="fr-FR"/>
        </w:rPr>
        <w:instrText xml:space="preserve"> SEQ level0 \*arabic </w:instrText>
      </w:r>
      <w:r w:rsidRPr="003B1303">
        <w:rPr>
          <w:noProof/>
          <w:lang w:val="fr-FR"/>
        </w:rPr>
        <w:fldChar w:fldCharType="separate"/>
      </w:r>
      <w:r w:rsidR="003B1303">
        <w:rPr>
          <w:noProof/>
          <w:lang w:val="fr-FR"/>
        </w:rPr>
        <w:t>199</w:t>
      </w:r>
      <w:r w:rsidRPr="003B1303">
        <w:rPr>
          <w:noProof/>
          <w:lang w:val="fr-FR"/>
        </w:rPr>
        <w:fldChar w:fldCharType="end"/>
      </w:r>
      <w:r w:rsidRPr="003B1303">
        <w:rPr>
          <w:noProof/>
          <w:lang w:val="fr-FR"/>
        </w:rPr>
        <w:t>.  S</w:t>
      </w:r>
      <w:r w:rsidRPr="003B1303" w:rsidR="003B1303">
        <w:rPr>
          <w:noProof/>
          <w:lang w:val="fr-FR"/>
        </w:rPr>
        <w:t>’</w:t>
      </w:r>
      <w:r w:rsidRPr="003B1303">
        <w:rPr>
          <w:noProof/>
          <w:lang w:val="fr-FR"/>
        </w:rPr>
        <w:t>il est vrai qu</w:t>
      </w:r>
      <w:r w:rsidRPr="003B1303" w:rsidR="003B1303">
        <w:rPr>
          <w:noProof/>
          <w:lang w:val="fr-FR"/>
        </w:rPr>
        <w:t>’</w:t>
      </w:r>
      <w:r w:rsidRPr="003B1303">
        <w:rPr>
          <w:noProof/>
          <w:lang w:val="fr-FR"/>
        </w:rPr>
        <w:t>il faut tenir compte des particularités de la procédure devant les cours d</w:t>
      </w:r>
      <w:r w:rsidRPr="003B1303" w:rsidR="003B1303">
        <w:rPr>
          <w:noProof/>
          <w:lang w:val="fr-FR"/>
        </w:rPr>
        <w:t>’</w:t>
      </w:r>
      <w:r w:rsidRPr="003B1303">
        <w:rPr>
          <w:noProof/>
          <w:lang w:val="fr-FR"/>
        </w:rPr>
        <w:t>assises avec la participation d</w:t>
      </w:r>
      <w:r w:rsidRPr="003B1303" w:rsidR="003B1303">
        <w:rPr>
          <w:noProof/>
          <w:lang w:val="fr-FR"/>
        </w:rPr>
        <w:t>’</w:t>
      </w:r>
      <w:r w:rsidRPr="003B1303">
        <w:rPr>
          <w:noProof/>
          <w:lang w:val="fr-FR"/>
        </w:rPr>
        <w:t>un jury populaire, qui décide seul de la culpabilité de l</w:t>
      </w:r>
      <w:r w:rsidRPr="003B1303" w:rsidR="003B1303">
        <w:rPr>
          <w:noProof/>
          <w:lang w:val="fr-FR"/>
        </w:rPr>
        <w:t>’</w:t>
      </w:r>
      <w:r w:rsidRPr="003B1303">
        <w:rPr>
          <w:noProof/>
          <w:lang w:val="fr-FR"/>
        </w:rPr>
        <w:t>accusé, la Cour rappelle avoir souligné, dans le contexte d</w:t>
      </w:r>
      <w:r w:rsidRPr="003B1303" w:rsidR="003B1303">
        <w:rPr>
          <w:noProof/>
          <w:lang w:val="fr-FR"/>
        </w:rPr>
        <w:t>’</w:t>
      </w:r>
      <w:r w:rsidRPr="003B1303">
        <w:rPr>
          <w:noProof/>
          <w:lang w:val="fr-FR"/>
        </w:rPr>
        <w:t>affaires concernant la compréhension par l</w:t>
      </w:r>
      <w:r w:rsidRPr="003B1303" w:rsidR="003B1303">
        <w:rPr>
          <w:noProof/>
          <w:lang w:val="fr-FR"/>
        </w:rPr>
        <w:t>’</w:t>
      </w:r>
      <w:r w:rsidRPr="003B1303">
        <w:rPr>
          <w:noProof/>
          <w:lang w:val="fr-FR"/>
        </w:rPr>
        <w:t>accusé de la motivation du verdict, l</w:t>
      </w:r>
      <w:r w:rsidRPr="003B1303" w:rsidR="003B1303">
        <w:rPr>
          <w:noProof/>
          <w:lang w:val="fr-FR"/>
        </w:rPr>
        <w:t>’</w:t>
      </w:r>
      <w:r w:rsidRPr="003B1303">
        <w:rPr>
          <w:noProof/>
          <w:lang w:val="fr-FR"/>
        </w:rPr>
        <w:t xml:space="preserve">importance des instructions ou </w:t>
      </w:r>
      <w:r w:rsidRPr="003B1303" w:rsidR="00D2097D">
        <w:rPr>
          <w:noProof/>
          <w:lang w:val="fr-FR"/>
        </w:rPr>
        <w:t xml:space="preserve">des </w:t>
      </w:r>
      <w:r w:rsidRPr="003B1303">
        <w:rPr>
          <w:noProof/>
          <w:lang w:val="fr-FR"/>
        </w:rPr>
        <w:t>éclaircissements donnés par le président de la cour d</w:t>
      </w:r>
      <w:r w:rsidRPr="003B1303" w:rsidR="003B1303">
        <w:rPr>
          <w:noProof/>
          <w:lang w:val="fr-FR"/>
        </w:rPr>
        <w:t>’</w:t>
      </w:r>
      <w:r w:rsidRPr="003B1303">
        <w:rPr>
          <w:noProof/>
          <w:lang w:val="fr-FR"/>
        </w:rPr>
        <w:t>assises aux jurés quant aux problèmes juridiques posés ou aux éléments de preuve produits (</w:t>
      </w:r>
      <w:r w:rsidRPr="003B1303">
        <w:rPr>
          <w:i/>
          <w:noProof/>
          <w:lang w:val="fr-FR"/>
        </w:rPr>
        <w:t>Beuze</w:t>
      </w:r>
      <w:r w:rsidRPr="003B1303">
        <w:rPr>
          <w:noProof/>
          <w:lang w:val="fr-FR"/>
        </w:rPr>
        <w:t>, précité, § 188, et les arrêts auxquels il renvoie). Les instructions et éclaircissements donnés au jury peuvent revêtir de l</w:t>
      </w:r>
      <w:r w:rsidRPr="003B1303" w:rsidR="003B1303">
        <w:rPr>
          <w:noProof/>
          <w:lang w:val="fr-FR"/>
        </w:rPr>
        <w:t>’</w:t>
      </w:r>
      <w:r w:rsidRPr="003B1303">
        <w:rPr>
          <w:noProof/>
          <w:lang w:val="fr-FR"/>
        </w:rPr>
        <w:t>importance afin de permettre à ses membres de mesurer les conséquences de lacunes procédurales survenues au stade de l</w:t>
      </w:r>
      <w:r w:rsidRPr="003B1303" w:rsidR="003B1303">
        <w:rPr>
          <w:noProof/>
          <w:lang w:val="fr-FR"/>
        </w:rPr>
        <w:t>’</w:t>
      </w:r>
      <w:r w:rsidRPr="003B1303">
        <w:rPr>
          <w:noProof/>
          <w:lang w:val="fr-FR"/>
        </w:rPr>
        <w:t>enquête sur l</w:t>
      </w:r>
      <w:r w:rsidRPr="003B1303" w:rsidR="003B1303">
        <w:rPr>
          <w:noProof/>
          <w:lang w:val="fr-FR"/>
        </w:rPr>
        <w:t>’</w:t>
      </w:r>
      <w:r w:rsidRPr="003B1303">
        <w:rPr>
          <w:noProof/>
          <w:lang w:val="fr-FR"/>
        </w:rPr>
        <w:t>équité du procès pénal (</w:t>
      </w:r>
      <w:r w:rsidRPr="003B1303">
        <w:rPr>
          <w:i/>
          <w:iCs/>
          <w:noProof/>
          <w:lang w:val="fr-FR"/>
        </w:rPr>
        <w:t>ibidem</w:t>
      </w:r>
      <w:r w:rsidRPr="003B1303">
        <w:rPr>
          <w:noProof/>
          <w:lang w:val="fr-FR"/>
        </w:rPr>
        <w:t>).</w:t>
      </w:r>
      <w:r w:rsidRPr="003B1303" w:rsidDel="00613AAF">
        <w:rPr>
          <w:noProof/>
          <w:lang w:val="fr-FR"/>
        </w:rPr>
        <w:t xml:space="preserve"> </w:t>
      </w:r>
      <w:r w:rsidRPr="003B1303">
        <w:rPr>
          <w:noProof/>
          <w:lang w:val="fr-FR"/>
        </w:rPr>
        <w:t>Or la Cour constate que, dans ses instructions au jury, la juge présidente a souligné à plusieurs reprises que les aspects relatifs au déroulement de l</w:t>
      </w:r>
      <w:r w:rsidRPr="003B1303" w:rsidR="003B1303">
        <w:rPr>
          <w:noProof/>
          <w:lang w:val="fr-FR"/>
        </w:rPr>
        <w:t>’</w:t>
      </w:r>
      <w:r w:rsidRPr="003B1303">
        <w:rPr>
          <w:noProof/>
          <w:lang w:val="fr-FR"/>
        </w:rPr>
        <w:t>enquête pénale et les circonstances dans lesquelles les autorités chargées de l</w:t>
      </w:r>
      <w:r w:rsidRPr="003B1303" w:rsidR="003B1303">
        <w:rPr>
          <w:noProof/>
          <w:lang w:val="fr-FR"/>
        </w:rPr>
        <w:t>’</w:t>
      </w:r>
      <w:r w:rsidRPr="003B1303">
        <w:rPr>
          <w:noProof/>
          <w:lang w:val="fr-FR"/>
        </w:rPr>
        <w:t xml:space="preserve">enquête </w:t>
      </w:r>
      <w:r w:rsidRPr="003B1303" w:rsidR="00D2097D">
        <w:rPr>
          <w:noProof/>
          <w:lang w:val="fr-FR"/>
        </w:rPr>
        <w:t xml:space="preserve">avaient </w:t>
      </w:r>
      <w:r w:rsidRPr="003B1303">
        <w:rPr>
          <w:noProof/>
          <w:lang w:val="fr-FR"/>
        </w:rPr>
        <w:t xml:space="preserve">obtenu les preuves ne devaient </w:t>
      </w:r>
      <w:r w:rsidRPr="003B1303" w:rsidR="00D237D2">
        <w:rPr>
          <w:noProof/>
          <w:lang w:val="fr-FR"/>
        </w:rPr>
        <w:t xml:space="preserve">pas </w:t>
      </w:r>
      <w:r w:rsidRPr="003B1303">
        <w:rPr>
          <w:noProof/>
          <w:lang w:val="fr-FR"/>
        </w:rPr>
        <w:t>être pris en compte aux fins de l</w:t>
      </w:r>
      <w:r w:rsidRPr="003B1303" w:rsidR="00AA3DD8">
        <w:rPr>
          <w:noProof/>
          <w:lang w:val="fr-FR"/>
        </w:rPr>
        <w:t xml:space="preserve">eur </w:t>
      </w:r>
      <w:r w:rsidRPr="003B1303">
        <w:rPr>
          <w:noProof/>
          <w:lang w:val="fr-FR"/>
        </w:rPr>
        <w:t>appréciation. Il s</w:t>
      </w:r>
      <w:r w:rsidRPr="003B1303" w:rsidR="003B1303">
        <w:rPr>
          <w:noProof/>
          <w:lang w:val="fr-FR"/>
        </w:rPr>
        <w:t>’</w:t>
      </w:r>
      <w:r w:rsidRPr="003B1303">
        <w:rPr>
          <w:noProof/>
          <w:lang w:val="fr-FR"/>
        </w:rPr>
        <w:t xml:space="preserve">ensuit que le jury </w:t>
      </w:r>
      <w:r w:rsidRPr="003B1303" w:rsidR="00D2097D">
        <w:rPr>
          <w:noProof/>
          <w:lang w:val="fr-FR"/>
        </w:rPr>
        <w:t>n</w:t>
      </w:r>
      <w:r w:rsidRPr="003B1303" w:rsidR="003B1303">
        <w:rPr>
          <w:noProof/>
          <w:lang w:val="fr-FR"/>
        </w:rPr>
        <w:t>’</w:t>
      </w:r>
      <w:r w:rsidRPr="003B1303" w:rsidR="00D2097D">
        <w:rPr>
          <w:noProof/>
          <w:lang w:val="fr-FR"/>
        </w:rPr>
        <w:t xml:space="preserve">a </w:t>
      </w:r>
      <w:r w:rsidRPr="003B1303">
        <w:rPr>
          <w:noProof/>
          <w:lang w:val="fr-FR"/>
        </w:rPr>
        <w:t>pas été informé d</w:t>
      </w:r>
      <w:r w:rsidRPr="003B1303" w:rsidR="003B1303">
        <w:rPr>
          <w:noProof/>
          <w:lang w:val="fr-FR"/>
        </w:rPr>
        <w:t>’</w:t>
      </w:r>
      <w:r w:rsidRPr="003B1303">
        <w:rPr>
          <w:noProof/>
          <w:lang w:val="fr-FR"/>
        </w:rPr>
        <w:t xml:space="preserve">éléments qui </w:t>
      </w:r>
      <w:r w:rsidRPr="003B1303" w:rsidR="00D2097D">
        <w:rPr>
          <w:noProof/>
          <w:lang w:val="fr-FR"/>
        </w:rPr>
        <w:t xml:space="preserve">auraient pu </w:t>
      </w:r>
      <w:r w:rsidRPr="003B1303">
        <w:rPr>
          <w:noProof/>
          <w:lang w:val="fr-FR"/>
        </w:rPr>
        <w:t>le guider dans l</w:t>
      </w:r>
      <w:r w:rsidRPr="003B1303" w:rsidR="003B1303">
        <w:rPr>
          <w:noProof/>
          <w:lang w:val="fr-FR"/>
        </w:rPr>
        <w:t>’</w:t>
      </w:r>
      <w:r w:rsidRPr="003B1303">
        <w:rPr>
          <w:noProof/>
          <w:lang w:val="fr-FR"/>
        </w:rPr>
        <w:t xml:space="preserve">appréciation de la portée des déclarations faites par le </w:t>
      </w:r>
      <w:r w:rsidRPr="003B1303" w:rsidR="004C3EAE">
        <w:rPr>
          <w:noProof/>
          <w:lang w:val="fr-FR"/>
        </w:rPr>
        <w:t xml:space="preserve">premier </w:t>
      </w:r>
      <w:r w:rsidRPr="003B1303">
        <w:rPr>
          <w:noProof/>
          <w:lang w:val="fr-FR"/>
        </w:rPr>
        <w:t xml:space="preserve">requérant le 15 avril 2008 </w:t>
      </w:r>
      <w:r w:rsidRPr="003B1303" w:rsidR="00DF3ED3">
        <w:rPr>
          <w:noProof/>
          <w:lang w:val="fr-FR"/>
        </w:rPr>
        <w:t xml:space="preserve">alors </w:t>
      </w:r>
      <w:r w:rsidRPr="003B1303">
        <w:rPr>
          <w:noProof/>
          <w:lang w:val="fr-FR"/>
        </w:rPr>
        <w:t xml:space="preserve">que son </w:t>
      </w:r>
      <w:r w:rsidRPr="003B1303" w:rsidR="00D237D2">
        <w:rPr>
          <w:noProof/>
          <w:lang w:val="fr-FR"/>
        </w:rPr>
        <w:t>droit d</w:t>
      </w:r>
      <w:r w:rsidRPr="003B1303" w:rsidR="003B1303">
        <w:rPr>
          <w:noProof/>
          <w:lang w:val="fr-FR"/>
        </w:rPr>
        <w:t>’</w:t>
      </w:r>
      <w:r w:rsidRPr="003B1303">
        <w:rPr>
          <w:noProof/>
          <w:lang w:val="fr-FR"/>
        </w:rPr>
        <w:t>accès aux avocates de son choix était restreint</w:t>
      </w:r>
      <w:r w:rsidRPr="003B1303" w:rsidR="004D4963">
        <w:rPr>
          <w:noProof/>
          <w:lang w:val="fr-FR"/>
        </w:rPr>
        <w:t xml:space="preserve"> (voir, </w:t>
      </w:r>
      <w:r w:rsidRPr="003B1303" w:rsidR="004D4963">
        <w:rPr>
          <w:i/>
          <w:noProof/>
          <w:lang w:val="fr-FR"/>
        </w:rPr>
        <w:t>a contrario</w:t>
      </w:r>
      <w:r w:rsidRPr="003B1303" w:rsidR="004D4963">
        <w:rPr>
          <w:noProof/>
          <w:lang w:val="fr-FR"/>
        </w:rPr>
        <w:t xml:space="preserve">, </w:t>
      </w:r>
      <w:r w:rsidRPr="003B1303" w:rsidR="004D4963">
        <w:rPr>
          <w:i/>
          <w:noProof/>
          <w:lang w:val="fr-FR"/>
        </w:rPr>
        <w:t>Ibrahim et autres</w:t>
      </w:r>
      <w:r w:rsidRPr="003B1303" w:rsidR="004D4963">
        <w:rPr>
          <w:noProof/>
          <w:lang w:val="fr-FR"/>
        </w:rPr>
        <w:t>, précité, §§ 283 et 292)</w:t>
      </w:r>
      <w:r w:rsidRPr="003B1303">
        <w:rPr>
          <w:noProof/>
          <w:lang w:val="fr-FR"/>
        </w:rPr>
        <w:t>. Par ailleurs, la Cour suprême de la Fédération de Russie n</w:t>
      </w:r>
      <w:r w:rsidRPr="003B1303" w:rsidR="003B1303">
        <w:rPr>
          <w:noProof/>
          <w:lang w:val="fr-FR"/>
        </w:rPr>
        <w:t>’</w:t>
      </w:r>
      <w:r w:rsidRPr="003B1303">
        <w:rPr>
          <w:noProof/>
          <w:lang w:val="fr-FR"/>
        </w:rPr>
        <w:t xml:space="preserve">a pas non plus examiné </w:t>
      </w:r>
      <w:r w:rsidRPr="003B1303" w:rsidR="008B13E5">
        <w:rPr>
          <w:noProof/>
          <w:lang w:val="fr-FR"/>
        </w:rPr>
        <w:t>l</w:t>
      </w:r>
      <w:r w:rsidRPr="003B1303" w:rsidR="003B1303">
        <w:rPr>
          <w:noProof/>
          <w:lang w:val="fr-FR"/>
        </w:rPr>
        <w:t>’</w:t>
      </w:r>
      <w:r w:rsidRPr="003B1303" w:rsidR="008B13E5">
        <w:rPr>
          <w:noProof/>
          <w:lang w:val="fr-FR"/>
        </w:rPr>
        <w:t xml:space="preserve">incidence </w:t>
      </w:r>
      <w:r w:rsidRPr="003B1303" w:rsidR="00DF3ED3">
        <w:rPr>
          <w:noProof/>
          <w:lang w:val="fr-FR"/>
        </w:rPr>
        <w:t xml:space="preserve">concrète </w:t>
      </w:r>
      <w:r w:rsidRPr="003B1303">
        <w:rPr>
          <w:noProof/>
          <w:lang w:val="fr-FR"/>
        </w:rPr>
        <w:t>de cette circonsta</w:t>
      </w:r>
      <w:r w:rsidRPr="003B1303" w:rsidR="00D2097D">
        <w:rPr>
          <w:noProof/>
          <w:lang w:val="fr-FR"/>
        </w:rPr>
        <w:t>n</w:t>
      </w:r>
      <w:r w:rsidRPr="003B1303">
        <w:rPr>
          <w:noProof/>
          <w:lang w:val="fr-FR"/>
        </w:rPr>
        <w:t>ce sur la décision du jury.</w:t>
      </w:r>
    </w:p>
    <w:p w:rsidRPr="003B1303" w:rsidR="00F65BBB" w:rsidP="003B1303" w:rsidRDefault="00F65BBB">
      <w:pPr>
        <w:pStyle w:val="ECHRPara"/>
        <w:rPr>
          <w:noProof/>
          <w:lang w:val="fr-FR"/>
        </w:rPr>
      </w:pPr>
      <w:r w:rsidRPr="003B1303">
        <w:rPr>
          <w:noProof/>
          <w:lang w:val="fr-FR"/>
        </w:rPr>
        <w:fldChar w:fldCharType="begin"/>
      </w:r>
      <w:r w:rsidRPr="003B1303">
        <w:rPr>
          <w:noProof/>
          <w:lang w:val="fr-FR"/>
        </w:rPr>
        <w:instrText xml:space="preserve"> SEQ level0 \*arabic </w:instrText>
      </w:r>
      <w:r w:rsidRPr="003B1303">
        <w:rPr>
          <w:noProof/>
          <w:lang w:val="fr-FR"/>
        </w:rPr>
        <w:fldChar w:fldCharType="separate"/>
      </w:r>
      <w:r w:rsidR="003B1303">
        <w:rPr>
          <w:noProof/>
          <w:lang w:val="fr-FR"/>
        </w:rPr>
        <w:t>200</w:t>
      </w:r>
      <w:r w:rsidRPr="003B1303">
        <w:rPr>
          <w:noProof/>
          <w:lang w:val="fr-FR"/>
        </w:rPr>
        <w:fldChar w:fldCharType="end"/>
      </w:r>
      <w:r w:rsidRPr="003B1303">
        <w:rPr>
          <w:noProof/>
          <w:lang w:val="fr-FR"/>
        </w:rPr>
        <w:t xml:space="preserve">.  Aussi la Cour estime-t-elle que </w:t>
      </w:r>
      <w:r w:rsidRPr="003B1303" w:rsidR="004C3EAE">
        <w:rPr>
          <w:noProof/>
          <w:lang w:val="fr-FR"/>
        </w:rPr>
        <w:t>l</w:t>
      </w:r>
      <w:r w:rsidRPr="003B1303" w:rsidR="003B1303">
        <w:rPr>
          <w:noProof/>
          <w:lang w:val="fr-FR"/>
        </w:rPr>
        <w:t>’</w:t>
      </w:r>
      <w:r w:rsidRPr="003B1303" w:rsidR="004C3EAE">
        <w:rPr>
          <w:noProof/>
          <w:lang w:val="fr-FR"/>
        </w:rPr>
        <w:t>absence totale</w:t>
      </w:r>
      <w:r w:rsidRPr="003B1303">
        <w:rPr>
          <w:noProof/>
          <w:lang w:val="fr-FR"/>
        </w:rPr>
        <w:t xml:space="preserve"> en l</w:t>
      </w:r>
      <w:r w:rsidRPr="003B1303" w:rsidR="003B1303">
        <w:rPr>
          <w:noProof/>
          <w:lang w:val="fr-FR"/>
        </w:rPr>
        <w:t>’</w:t>
      </w:r>
      <w:r w:rsidRPr="003B1303">
        <w:rPr>
          <w:noProof/>
          <w:lang w:val="fr-FR"/>
        </w:rPr>
        <w:t>espèce d</w:t>
      </w:r>
      <w:r w:rsidRPr="003B1303" w:rsidR="003B1303">
        <w:rPr>
          <w:noProof/>
          <w:lang w:val="fr-FR"/>
        </w:rPr>
        <w:t>’</w:t>
      </w:r>
      <w:r w:rsidRPr="003B1303">
        <w:rPr>
          <w:noProof/>
          <w:lang w:val="fr-FR"/>
        </w:rPr>
        <w:t>instructions et d</w:t>
      </w:r>
      <w:r w:rsidRPr="003B1303" w:rsidR="003B1303">
        <w:rPr>
          <w:noProof/>
          <w:lang w:val="fr-FR"/>
        </w:rPr>
        <w:t>’</w:t>
      </w:r>
      <w:r w:rsidRPr="003B1303">
        <w:rPr>
          <w:noProof/>
          <w:lang w:val="fr-FR"/>
        </w:rPr>
        <w:t>éclaircissements donnés au jury quant à la manière d</w:t>
      </w:r>
      <w:r w:rsidRPr="003B1303" w:rsidR="003B1303">
        <w:rPr>
          <w:noProof/>
          <w:lang w:val="fr-FR"/>
        </w:rPr>
        <w:t>’</w:t>
      </w:r>
      <w:r w:rsidRPr="003B1303">
        <w:rPr>
          <w:noProof/>
          <w:lang w:val="fr-FR"/>
        </w:rPr>
        <w:t xml:space="preserve">apprécier les déclarations faites par le </w:t>
      </w:r>
      <w:r w:rsidRPr="003B1303" w:rsidR="004C3EAE">
        <w:rPr>
          <w:noProof/>
          <w:lang w:val="fr-FR"/>
        </w:rPr>
        <w:t xml:space="preserve">premier </w:t>
      </w:r>
      <w:r w:rsidRPr="003B1303">
        <w:rPr>
          <w:noProof/>
          <w:lang w:val="fr-FR"/>
        </w:rPr>
        <w:t xml:space="preserve">requérant le 15 avril 2008 par rapport aux autres éléments du dossier </w:t>
      </w:r>
      <w:r w:rsidRPr="003B1303" w:rsidR="0060422F">
        <w:rPr>
          <w:noProof/>
          <w:lang w:val="fr-FR"/>
        </w:rPr>
        <w:t xml:space="preserve">ainsi que </w:t>
      </w:r>
      <w:r w:rsidRPr="003B1303">
        <w:rPr>
          <w:noProof/>
          <w:lang w:val="fr-FR"/>
        </w:rPr>
        <w:t>leur valeur probante, alors qu</w:t>
      </w:r>
      <w:r w:rsidRPr="003B1303" w:rsidR="003B1303">
        <w:rPr>
          <w:noProof/>
          <w:lang w:val="fr-FR"/>
        </w:rPr>
        <w:t>’</w:t>
      </w:r>
      <w:r w:rsidRPr="003B1303">
        <w:rPr>
          <w:noProof/>
          <w:lang w:val="fr-FR"/>
        </w:rPr>
        <w:t>elles avaient été recueillies en l</w:t>
      </w:r>
      <w:r w:rsidRPr="003B1303" w:rsidR="003B1303">
        <w:rPr>
          <w:noProof/>
          <w:lang w:val="fr-FR"/>
        </w:rPr>
        <w:t>’</w:t>
      </w:r>
      <w:r w:rsidRPr="003B1303">
        <w:rPr>
          <w:noProof/>
          <w:lang w:val="fr-FR"/>
        </w:rPr>
        <w:t xml:space="preserve">absence des avocates de son choix, </w:t>
      </w:r>
      <w:r w:rsidRPr="003B1303" w:rsidR="00DF3ED3">
        <w:rPr>
          <w:noProof/>
          <w:lang w:val="fr-FR"/>
        </w:rPr>
        <w:t xml:space="preserve">constitue </w:t>
      </w:r>
      <w:r w:rsidRPr="003B1303">
        <w:rPr>
          <w:noProof/>
          <w:lang w:val="fr-FR"/>
        </w:rPr>
        <w:t>une carence importante.</w:t>
      </w:r>
    </w:p>
    <w:p w:rsidRPr="003B1303" w:rsidR="00F65BBB" w:rsidP="003B1303" w:rsidRDefault="00F65BBB">
      <w:pPr>
        <w:pStyle w:val="ECHRHeading6"/>
        <w:rPr>
          <w:noProof/>
          <w:lang w:val="fr-FR"/>
        </w:rPr>
      </w:pPr>
      <w:r w:rsidRPr="003B1303">
        <w:rPr>
          <w:lang w:val="fr-FR"/>
        </w:rPr>
        <w:t>ε)  L</w:t>
      </w:r>
      <w:r w:rsidRPr="003B1303" w:rsidR="003B1303">
        <w:rPr>
          <w:lang w:val="fr-FR"/>
        </w:rPr>
        <w:t>’</w:t>
      </w:r>
      <w:r w:rsidRPr="003B1303">
        <w:rPr>
          <w:lang w:val="fr-FR"/>
        </w:rPr>
        <w:t>importance</w:t>
      </w:r>
      <w:r w:rsidRPr="003B1303">
        <w:rPr>
          <w:noProof/>
          <w:lang w:val="fr-FR"/>
        </w:rPr>
        <w:t xml:space="preserve"> de l</w:t>
      </w:r>
      <w:r w:rsidRPr="003B1303" w:rsidR="003B1303">
        <w:rPr>
          <w:noProof/>
          <w:lang w:val="fr-FR"/>
        </w:rPr>
        <w:t>’</w:t>
      </w:r>
      <w:r w:rsidRPr="003B1303">
        <w:rPr>
          <w:noProof/>
          <w:lang w:val="fr-FR"/>
        </w:rPr>
        <w:t>intérêt public</w:t>
      </w:r>
    </w:p>
    <w:p w:rsidRPr="003B1303" w:rsidR="00F65BBB" w:rsidP="003B1303" w:rsidRDefault="00F65BBB">
      <w:pPr>
        <w:pStyle w:val="ECHRPara"/>
        <w:rPr>
          <w:noProof/>
          <w:lang w:val="fr-FR"/>
        </w:rPr>
      </w:pPr>
      <w:r w:rsidRPr="003B1303">
        <w:rPr>
          <w:noProof/>
          <w:lang w:val="fr-FR"/>
        </w:rPr>
        <w:fldChar w:fldCharType="begin"/>
      </w:r>
      <w:r w:rsidRPr="003B1303">
        <w:rPr>
          <w:noProof/>
          <w:lang w:val="fr-FR"/>
        </w:rPr>
        <w:instrText xml:space="preserve"> SEQ level0 \*arabic </w:instrText>
      </w:r>
      <w:r w:rsidRPr="003B1303">
        <w:rPr>
          <w:noProof/>
          <w:lang w:val="fr-FR"/>
        </w:rPr>
        <w:fldChar w:fldCharType="separate"/>
      </w:r>
      <w:r w:rsidR="003B1303">
        <w:rPr>
          <w:noProof/>
          <w:lang w:val="fr-FR"/>
        </w:rPr>
        <w:t>201</w:t>
      </w:r>
      <w:r w:rsidRPr="003B1303">
        <w:rPr>
          <w:noProof/>
          <w:lang w:val="fr-FR"/>
        </w:rPr>
        <w:fldChar w:fldCharType="end"/>
      </w:r>
      <w:r w:rsidRPr="003B1303">
        <w:rPr>
          <w:noProof/>
          <w:lang w:val="fr-FR"/>
        </w:rPr>
        <w:t>.  Il ne fait aucun doute que de solides considérations d</w:t>
      </w:r>
      <w:r w:rsidRPr="003B1303" w:rsidR="003B1303">
        <w:rPr>
          <w:noProof/>
          <w:lang w:val="fr-FR"/>
        </w:rPr>
        <w:t>’</w:t>
      </w:r>
      <w:r w:rsidRPr="003B1303">
        <w:rPr>
          <w:noProof/>
          <w:lang w:val="fr-FR"/>
        </w:rPr>
        <w:t xml:space="preserve">intérêt public justifiaient la poursuite du </w:t>
      </w:r>
      <w:r w:rsidRPr="003B1303" w:rsidR="00D237D2">
        <w:rPr>
          <w:noProof/>
          <w:lang w:val="fr-FR"/>
        </w:rPr>
        <w:t xml:space="preserve">premier </w:t>
      </w:r>
      <w:r w:rsidRPr="003B1303">
        <w:rPr>
          <w:noProof/>
          <w:lang w:val="fr-FR"/>
        </w:rPr>
        <w:t xml:space="preserve">requérant, celui-ci étant poursuivi notamment pour </w:t>
      </w:r>
      <w:r w:rsidRPr="003B1303" w:rsidR="00D237D2">
        <w:rPr>
          <w:noProof/>
          <w:lang w:val="fr-FR"/>
        </w:rPr>
        <w:t>organisation d</w:t>
      </w:r>
      <w:r w:rsidRPr="003B1303" w:rsidR="003B1303">
        <w:rPr>
          <w:noProof/>
          <w:lang w:val="fr-FR"/>
        </w:rPr>
        <w:t>’</w:t>
      </w:r>
      <w:r w:rsidRPr="003B1303" w:rsidR="00D237D2">
        <w:rPr>
          <w:noProof/>
          <w:lang w:val="fr-FR"/>
        </w:rPr>
        <w:t>une atteinte à la vie d</w:t>
      </w:r>
      <w:r w:rsidRPr="003B1303" w:rsidR="003B1303">
        <w:rPr>
          <w:noProof/>
          <w:lang w:val="fr-FR"/>
        </w:rPr>
        <w:t>’</w:t>
      </w:r>
      <w:r w:rsidRPr="003B1303" w:rsidR="00D237D2">
        <w:rPr>
          <w:noProof/>
          <w:lang w:val="fr-FR"/>
        </w:rPr>
        <w:t>un magistrat</w:t>
      </w:r>
      <w:r w:rsidRPr="003B1303">
        <w:rPr>
          <w:noProof/>
          <w:lang w:val="fr-FR"/>
        </w:rPr>
        <w:t>.</w:t>
      </w:r>
    </w:p>
    <w:p w:rsidRPr="003B1303" w:rsidR="00F65BBB" w:rsidP="003B1303" w:rsidRDefault="00F65BBB">
      <w:pPr>
        <w:pStyle w:val="ECHRHeading6"/>
        <w:rPr>
          <w:noProof/>
          <w:lang w:val="fr-FR"/>
        </w:rPr>
      </w:pPr>
      <w:r w:rsidRPr="003B1303">
        <w:rPr>
          <w:noProof/>
          <w:lang w:val="fr-FR"/>
        </w:rPr>
        <w:t>ζ)  L</w:t>
      </w:r>
      <w:r w:rsidRPr="003B1303" w:rsidR="003B1303">
        <w:rPr>
          <w:noProof/>
          <w:lang w:val="fr-FR"/>
        </w:rPr>
        <w:t>’</w:t>
      </w:r>
      <w:r w:rsidRPr="003B1303">
        <w:rPr>
          <w:noProof/>
          <w:lang w:val="fr-FR"/>
        </w:rPr>
        <w:t>existence dans le droit et la pratique internes d</w:t>
      </w:r>
      <w:r w:rsidRPr="003B1303" w:rsidR="003B1303">
        <w:rPr>
          <w:noProof/>
          <w:lang w:val="fr-FR"/>
        </w:rPr>
        <w:t>’</w:t>
      </w:r>
      <w:r w:rsidRPr="003B1303">
        <w:rPr>
          <w:noProof/>
          <w:lang w:val="fr-FR"/>
        </w:rPr>
        <w:t>autres garanties procédurales</w:t>
      </w:r>
    </w:p>
    <w:p w:rsidRPr="003B1303" w:rsidR="00F65BBB" w:rsidP="003B1303" w:rsidRDefault="00F65BBB">
      <w:pPr>
        <w:pStyle w:val="ECHRPara"/>
        <w:rPr>
          <w:noProof/>
          <w:lang w:val="fr-FR"/>
        </w:rPr>
      </w:pPr>
      <w:r w:rsidRPr="003B1303">
        <w:rPr>
          <w:noProof/>
          <w:lang w:val="fr-FR"/>
        </w:rPr>
        <w:fldChar w:fldCharType="begin"/>
      </w:r>
      <w:r w:rsidRPr="003B1303">
        <w:rPr>
          <w:noProof/>
          <w:lang w:val="fr-FR"/>
        </w:rPr>
        <w:instrText xml:space="preserve"> SEQ level0 \*arabic </w:instrText>
      </w:r>
      <w:r w:rsidRPr="003B1303">
        <w:rPr>
          <w:noProof/>
          <w:lang w:val="fr-FR"/>
        </w:rPr>
        <w:fldChar w:fldCharType="separate"/>
      </w:r>
      <w:r w:rsidR="003B1303">
        <w:rPr>
          <w:noProof/>
          <w:lang w:val="fr-FR"/>
        </w:rPr>
        <w:t>202</w:t>
      </w:r>
      <w:r w:rsidRPr="003B1303">
        <w:rPr>
          <w:noProof/>
          <w:lang w:val="fr-FR"/>
        </w:rPr>
        <w:fldChar w:fldCharType="end"/>
      </w:r>
      <w:r w:rsidRPr="003B1303">
        <w:rPr>
          <w:noProof/>
          <w:lang w:val="fr-FR"/>
        </w:rPr>
        <w:t>.  La Cour rappelle que ce n</w:t>
      </w:r>
      <w:r w:rsidRPr="003B1303" w:rsidR="003B1303">
        <w:rPr>
          <w:noProof/>
          <w:lang w:val="fr-FR"/>
        </w:rPr>
        <w:t>’</w:t>
      </w:r>
      <w:r w:rsidRPr="003B1303">
        <w:rPr>
          <w:noProof/>
          <w:lang w:val="fr-FR"/>
        </w:rPr>
        <w:t>est pas l</w:t>
      </w:r>
      <w:r w:rsidRPr="003B1303" w:rsidR="003B1303">
        <w:rPr>
          <w:noProof/>
          <w:lang w:val="fr-FR"/>
        </w:rPr>
        <w:t>’</w:t>
      </w:r>
      <w:r w:rsidRPr="003B1303">
        <w:rPr>
          <w:noProof/>
          <w:lang w:val="fr-FR"/>
        </w:rPr>
        <w:t>existence en soi de garanties prévues </w:t>
      </w:r>
      <w:r w:rsidRPr="003B1303">
        <w:rPr>
          <w:i/>
          <w:iCs/>
          <w:noProof/>
          <w:lang w:val="fr-FR"/>
        </w:rPr>
        <w:t>in abstracto</w:t>
      </w:r>
      <w:r w:rsidRPr="003B1303">
        <w:rPr>
          <w:noProof/>
          <w:lang w:val="fr-FR"/>
        </w:rPr>
        <w:t> par des dispositions légales qui peut assurer l</w:t>
      </w:r>
      <w:r w:rsidRPr="003B1303" w:rsidR="003B1303">
        <w:rPr>
          <w:noProof/>
          <w:lang w:val="fr-FR"/>
        </w:rPr>
        <w:t>’</w:t>
      </w:r>
      <w:r w:rsidRPr="003B1303">
        <w:rPr>
          <w:noProof/>
          <w:lang w:val="fr-FR"/>
        </w:rPr>
        <w:t>équité globale de la procédure. Seul l</w:t>
      </w:r>
      <w:r w:rsidRPr="003B1303" w:rsidR="003B1303">
        <w:rPr>
          <w:noProof/>
          <w:lang w:val="fr-FR"/>
        </w:rPr>
        <w:t>’</w:t>
      </w:r>
      <w:r w:rsidRPr="003B1303">
        <w:rPr>
          <w:noProof/>
          <w:lang w:val="fr-FR"/>
        </w:rPr>
        <w:t>examen de leur application au cas d</w:t>
      </w:r>
      <w:r w:rsidRPr="003B1303" w:rsidR="003B1303">
        <w:rPr>
          <w:noProof/>
          <w:lang w:val="fr-FR"/>
        </w:rPr>
        <w:t>’</w:t>
      </w:r>
      <w:r w:rsidRPr="003B1303">
        <w:rPr>
          <w:noProof/>
          <w:lang w:val="fr-FR"/>
        </w:rPr>
        <w:t xml:space="preserve">espèce permet de déterminer si la procédure </w:t>
      </w:r>
      <w:r w:rsidRPr="003B1303" w:rsidR="00DF3ED3">
        <w:rPr>
          <w:noProof/>
          <w:lang w:val="fr-FR"/>
        </w:rPr>
        <w:t xml:space="preserve">est </w:t>
      </w:r>
      <w:r w:rsidRPr="003B1303">
        <w:rPr>
          <w:noProof/>
          <w:lang w:val="fr-FR"/>
        </w:rPr>
        <w:t>équitable dans son ensemble (</w:t>
      </w:r>
      <w:r w:rsidRPr="003B1303">
        <w:rPr>
          <w:i/>
          <w:noProof/>
          <w:lang w:val="fr-FR"/>
        </w:rPr>
        <w:t>Beuze</w:t>
      </w:r>
      <w:r w:rsidRPr="003B1303">
        <w:rPr>
          <w:noProof/>
          <w:lang w:val="fr-FR"/>
        </w:rPr>
        <w:t>, précité, § 192). En l</w:t>
      </w:r>
      <w:r w:rsidRPr="003B1303" w:rsidR="003B1303">
        <w:rPr>
          <w:noProof/>
          <w:lang w:val="fr-FR"/>
        </w:rPr>
        <w:t>’</w:t>
      </w:r>
      <w:r w:rsidRPr="003B1303">
        <w:rPr>
          <w:noProof/>
          <w:lang w:val="fr-FR"/>
        </w:rPr>
        <w:t xml:space="preserve">occurrence, la Cour note que le </w:t>
      </w:r>
      <w:r w:rsidRPr="003B1303" w:rsidR="008D7DB7">
        <w:rPr>
          <w:noProof/>
          <w:lang w:val="fr-FR"/>
        </w:rPr>
        <w:t xml:space="preserve">premier </w:t>
      </w:r>
      <w:r w:rsidRPr="003B1303">
        <w:rPr>
          <w:noProof/>
          <w:lang w:val="fr-FR"/>
        </w:rPr>
        <w:t>requérant a</w:t>
      </w:r>
      <w:r w:rsidRPr="003B1303" w:rsidR="00D237D2">
        <w:rPr>
          <w:noProof/>
          <w:lang w:val="fr-FR"/>
        </w:rPr>
        <w:t xml:space="preserve"> </w:t>
      </w:r>
      <w:r w:rsidRPr="003B1303">
        <w:rPr>
          <w:noProof/>
          <w:lang w:val="fr-FR"/>
        </w:rPr>
        <w:t xml:space="preserve">introduit un recours </w:t>
      </w:r>
      <w:r w:rsidRPr="003B1303" w:rsidR="002B69B2">
        <w:rPr>
          <w:noProof/>
          <w:lang w:val="fr-FR"/>
        </w:rPr>
        <w:t>judiciaire</w:t>
      </w:r>
      <w:r w:rsidRPr="003B1303">
        <w:rPr>
          <w:noProof/>
          <w:lang w:val="fr-FR"/>
        </w:rPr>
        <w:t xml:space="preserve"> </w:t>
      </w:r>
      <w:r w:rsidRPr="003B1303" w:rsidR="008D7DB7">
        <w:rPr>
          <w:noProof/>
          <w:lang w:val="fr-FR"/>
        </w:rPr>
        <w:t>et qu</w:t>
      </w:r>
      <w:r w:rsidRPr="003B1303" w:rsidR="003B1303">
        <w:rPr>
          <w:noProof/>
          <w:lang w:val="fr-FR"/>
        </w:rPr>
        <w:t>’</w:t>
      </w:r>
      <w:r w:rsidRPr="003B1303" w:rsidR="008D7DB7">
        <w:rPr>
          <w:noProof/>
          <w:lang w:val="fr-FR"/>
        </w:rPr>
        <w:t>il a</w:t>
      </w:r>
      <w:r w:rsidRPr="003B1303">
        <w:rPr>
          <w:noProof/>
          <w:lang w:val="fr-FR"/>
        </w:rPr>
        <w:t xml:space="preserve"> déposé une plainte au</w:t>
      </w:r>
      <w:r w:rsidRPr="003B1303" w:rsidR="008D7DB7">
        <w:rPr>
          <w:noProof/>
          <w:lang w:val="fr-FR"/>
        </w:rPr>
        <w:t>près du</w:t>
      </w:r>
      <w:r w:rsidRPr="003B1303">
        <w:rPr>
          <w:noProof/>
          <w:lang w:val="fr-FR"/>
        </w:rPr>
        <w:t xml:space="preserve"> conseil disciplinaire du barreau de la région d</w:t>
      </w:r>
      <w:r w:rsidRPr="003B1303" w:rsidR="003B1303">
        <w:rPr>
          <w:noProof/>
          <w:lang w:val="fr-FR"/>
        </w:rPr>
        <w:t>’</w:t>
      </w:r>
      <w:r w:rsidRPr="003B1303">
        <w:rPr>
          <w:noProof/>
          <w:lang w:val="fr-FR"/>
        </w:rPr>
        <w:t>Irkoutsk afin de contester la restriction d</w:t>
      </w:r>
      <w:r w:rsidRPr="003B1303" w:rsidR="003B1303">
        <w:rPr>
          <w:noProof/>
          <w:lang w:val="fr-FR"/>
        </w:rPr>
        <w:t>’</w:t>
      </w:r>
      <w:r w:rsidRPr="003B1303">
        <w:rPr>
          <w:noProof/>
          <w:lang w:val="fr-FR"/>
        </w:rPr>
        <w:t>accès aux avocates de son choix et l</w:t>
      </w:r>
      <w:r w:rsidRPr="003B1303" w:rsidR="003B1303">
        <w:rPr>
          <w:noProof/>
          <w:lang w:val="fr-FR"/>
        </w:rPr>
        <w:t>’</w:t>
      </w:r>
      <w:r w:rsidRPr="003B1303">
        <w:rPr>
          <w:noProof/>
          <w:lang w:val="fr-FR"/>
        </w:rPr>
        <w:t>inefficacité de l</w:t>
      </w:r>
      <w:r w:rsidRPr="003B1303" w:rsidR="003B1303">
        <w:rPr>
          <w:noProof/>
          <w:lang w:val="fr-FR"/>
        </w:rPr>
        <w:t>’</w:t>
      </w:r>
      <w:r w:rsidRPr="003B1303">
        <w:rPr>
          <w:noProof/>
          <w:lang w:val="fr-FR"/>
        </w:rPr>
        <w:t>avocate commise d</w:t>
      </w:r>
      <w:r w:rsidRPr="003B1303" w:rsidR="003B1303">
        <w:rPr>
          <w:noProof/>
          <w:lang w:val="fr-FR"/>
        </w:rPr>
        <w:t>’</w:t>
      </w:r>
      <w:r w:rsidRPr="003B1303">
        <w:rPr>
          <w:noProof/>
          <w:lang w:val="fr-FR"/>
        </w:rPr>
        <w:t>office. Cependant, la Cour s</w:t>
      </w:r>
      <w:r w:rsidRPr="003B1303" w:rsidR="003B1303">
        <w:rPr>
          <w:noProof/>
          <w:lang w:val="fr-FR"/>
        </w:rPr>
        <w:t>’</w:t>
      </w:r>
      <w:r w:rsidRPr="003B1303">
        <w:rPr>
          <w:noProof/>
          <w:lang w:val="fr-FR"/>
        </w:rPr>
        <w:t>est déjà prononcé</w:t>
      </w:r>
      <w:r w:rsidRPr="003B1303" w:rsidR="008D7DB7">
        <w:rPr>
          <w:noProof/>
          <w:lang w:val="fr-FR"/>
        </w:rPr>
        <w:t>e</w:t>
      </w:r>
      <w:r w:rsidRPr="003B1303">
        <w:rPr>
          <w:noProof/>
          <w:lang w:val="fr-FR"/>
        </w:rPr>
        <w:t xml:space="preserve"> sur ces </w:t>
      </w:r>
      <w:r w:rsidRPr="003B1303" w:rsidR="008D7DB7">
        <w:rPr>
          <w:noProof/>
          <w:lang w:val="fr-FR"/>
        </w:rPr>
        <w:t xml:space="preserve">garanties </w:t>
      </w:r>
      <w:r w:rsidRPr="003B1303">
        <w:rPr>
          <w:noProof/>
          <w:lang w:val="fr-FR"/>
        </w:rPr>
        <w:t xml:space="preserve">dans son examen de la présente espèce (paragraphes </w:t>
      </w:r>
      <w:r w:rsidRPr="003B1303" w:rsidR="00D237D2">
        <w:rPr>
          <w:noProof/>
          <w:lang w:val="fr-FR"/>
        </w:rPr>
        <w:fldChar w:fldCharType="begin"/>
      </w:r>
      <w:r w:rsidRPr="003B1303" w:rsidR="00D237D2">
        <w:rPr>
          <w:noProof/>
          <w:lang w:val="fr-FR"/>
        </w:rPr>
        <w:instrText xml:space="preserve"> REF motA63cadm1 \h </w:instrText>
      </w:r>
      <w:r w:rsidRPr="003B1303" w:rsidR="00C47AAA">
        <w:rPr>
          <w:noProof/>
          <w:lang w:val="fr-FR"/>
        </w:rPr>
        <w:instrText xml:space="preserve"> \* MERGEFORMAT </w:instrText>
      </w:r>
      <w:r w:rsidRPr="003B1303" w:rsidR="00D237D2">
        <w:rPr>
          <w:noProof/>
          <w:lang w:val="fr-FR"/>
        </w:rPr>
      </w:r>
      <w:r w:rsidRPr="003B1303" w:rsidR="00D237D2">
        <w:rPr>
          <w:noProof/>
          <w:lang w:val="fr-FR"/>
        </w:rPr>
        <w:fldChar w:fldCharType="separate"/>
      </w:r>
      <w:r w:rsidR="003B1303">
        <w:rPr>
          <w:noProof/>
          <w:lang w:val="fr-FR"/>
        </w:rPr>
        <w:t>190</w:t>
      </w:r>
      <w:r w:rsidRPr="003B1303" w:rsidR="00D237D2">
        <w:rPr>
          <w:noProof/>
          <w:lang w:val="fr-FR"/>
        </w:rPr>
        <w:fldChar w:fldCharType="end"/>
      </w:r>
      <w:r w:rsidRPr="003B1303" w:rsidR="00D237D2">
        <w:rPr>
          <w:noProof/>
          <w:lang w:val="fr-FR"/>
        </w:rPr>
        <w:noBreakHyphen/>
      </w:r>
      <w:r w:rsidRPr="003B1303" w:rsidR="00D237D2">
        <w:rPr>
          <w:noProof/>
          <w:lang w:val="fr-FR"/>
        </w:rPr>
        <w:fldChar w:fldCharType="begin"/>
      </w:r>
      <w:r w:rsidRPr="003B1303" w:rsidR="00D237D2">
        <w:rPr>
          <w:noProof/>
          <w:lang w:val="fr-FR"/>
        </w:rPr>
        <w:instrText xml:space="preserve"> REF motA63cadm2 \h </w:instrText>
      </w:r>
      <w:r w:rsidRPr="003B1303" w:rsidR="00C47AAA">
        <w:rPr>
          <w:noProof/>
          <w:lang w:val="fr-FR"/>
        </w:rPr>
        <w:instrText xml:space="preserve"> \* MERGEFORMAT </w:instrText>
      </w:r>
      <w:r w:rsidRPr="003B1303" w:rsidR="00D237D2">
        <w:rPr>
          <w:noProof/>
          <w:lang w:val="fr-FR"/>
        </w:rPr>
      </w:r>
      <w:r w:rsidRPr="003B1303" w:rsidR="00D237D2">
        <w:rPr>
          <w:noProof/>
          <w:lang w:val="fr-FR"/>
        </w:rPr>
        <w:fldChar w:fldCharType="separate"/>
      </w:r>
      <w:r w:rsidR="003B1303">
        <w:rPr>
          <w:noProof/>
          <w:lang w:val="fr-FR"/>
        </w:rPr>
        <w:t>194</w:t>
      </w:r>
      <w:r w:rsidRPr="003B1303" w:rsidR="00D237D2">
        <w:rPr>
          <w:noProof/>
          <w:lang w:val="fr-FR"/>
        </w:rPr>
        <w:fldChar w:fldCharType="end"/>
      </w:r>
      <w:r w:rsidRPr="003B1303" w:rsidR="00D237D2">
        <w:rPr>
          <w:noProof/>
          <w:lang w:val="fr-FR"/>
        </w:rPr>
        <w:t xml:space="preserve"> </w:t>
      </w:r>
      <w:r w:rsidRPr="003B1303">
        <w:rPr>
          <w:noProof/>
          <w:lang w:val="fr-FR"/>
        </w:rPr>
        <w:t>ci</w:t>
      </w:r>
      <w:r w:rsidRPr="003B1303">
        <w:rPr>
          <w:noProof/>
          <w:lang w:val="fr-FR"/>
        </w:rPr>
        <w:noBreakHyphen/>
        <w:t>dessus).</w:t>
      </w:r>
    </w:p>
    <w:p w:rsidRPr="003B1303" w:rsidR="0085148A" w:rsidP="003B1303" w:rsidRDefault="00F65BBB">
      <w:pPr>
        <w:pStyle w:val="ECHRHeading6"/>
        <w:rPr>
          <w:noProof/>
          <w:lang w:val="fr-FR"/>
        </w:rPr>
      </w:pPr>
      <w:r w:rsidRPr="003B1303">
        <w:rPr>
          <w:noProof/>
          <w:lang w:val="fr-FR"/>
        </w:rPr>
        <w:t>η)  Conclusion</w:t>
      </w:r>
    </w:p>
    <w:p w:rsidRPr="003B1303" w:rsidR="0085148A" w:rsidP="003B1303" w:rsidRDefault="00F65BBB">
      <w:pPr>
        <w:pStyle w:val="ECHRPara"/>
        <w:rPr>
          <w:noProof/>
          <w:lang w:val="fr-FR"/>
        </w:rPr>
      </w:pPr>
      <w:r w:rsidRPr="003B1303">
        <w:rPr>
          <w:noProof/>
          <w:lang w:val="fr-FR"/>
        </w:rPr>
        <w:fldChar w:fldCharType="begin"/>
      </w:r>
      <w:r w:rsidRPr="003B1303">
        <w:rPr>
          <w:noProof/>
          <w:lang w:val="fr-FR"/>
        </w:rPr>
        <w:instrText xml:space="preserve"> SEQ level0 \*arabic </w:instrText>
      </w:r>
      <w:r w:rsidRPr="003B1303">
        <w:rPr>
          <w:noProof/>
          <w:lang w:val="fr-FR"/>
        </w:rPr>
        <w:fldChar w:fldCharType="separate"/>
      </w:r>
      <w:r w:rsidR="003B1303">
        <w:rPr>
          <w:noProof/>
          <w:lang w:val="fr-FR"/>
        </w:rPr>
        <w:t>203</w:t>
      </w:r>
      <w:r w:rsidRPr="003B1303">
        <w:rPr>
          <w:noProof/>
          <w:lang w:val="fr-FR"/>
        </w:rPr>
        <w:fldChar w:fldCharType="end"/>
      </w:r>
      <w:r w:rsidRPr="003B1303">
        <w:rPr>
          <w:noProof/>
          <w:lang w:val="fr-FR"/>
        </w:rPr>
        <w:t>.  Eu égard à ce qui précède, la Cour estime que la procédure pénale menée à l</w:t>
      </w:r>
      <w:r w:rsidRPr="003B1303" w:rsidR="003B1303">
        <w:rPr>
          <w:noProof/>
          <w:lang w:val="fr-FR"/>
        </w:rPr>
        <w:t>’</w:t>
      </w:r>
      <w:r w:rsidRPr="003B1303">
        <w:rPr>
          <w:noProof/>
          <w:lang w:val="fr-FR"/>
        </w:rPr>
        <w:t>égard du premier requérant, considérée dans son ensemble, n</w:t>
      </w:r>
      <w:r w:rsidRPr="003B1303" w:rsidR="003B1303">
        <w:rPr>
          <w:noProof/>
          <w:lang w:val="fr-FR"/>
        </w:rPr>
        <w:t>’</w:t>
      </w:r>
      <w:r w:rsidRPr="003B1303">
        <w:rPr>
          <w:noProof/>
          <w:lang w:val="fr-FR"/>
        </w:rPr>
        <w:t xml:space="preserve">a pas permis de remédier à la lacune procédurale survenue durant la phase préalable au procès, </w:t>
      </w:r>
      <w:r w:rsidRPr="003B1303" w:rsidR="002130B2">
        <w:rPr>
          <w:noProof/>
          <w:lang w:val="fr-FR"/>
        </w:rPr>
        <w:t>et notamment</w:t>
      </w:r>
      <w:r w:rsidRPr="003B1303">
        <w:rPr>
          <w:noProof/>
          <w:lang w:val="fr-FR"/>
        </w:rPr>
        <w:t xml:space="preserve"> à la restriction </w:t>
      </w:r>
      <w:r w:rsidRPr="003B1303" w:rsidR="002130B2">
        <w:rPr>
          <w:noProof/>
          <w:lang w:val="fr-FR"/>
        </w:rPr>
        <w:t>du</w:t>
      </w:r>
      <w:r w:rsidRPr="003B1303">
        <w:rPr>
          <w:noProof/>
          <w:lang w:val="fr-FR"/>
        </w:rPr>
        <w:t xml:space="preserve"> droit d</w:t>
      </w:r>
      <w:r w:rsidRPr="003B1303" w:rsidR="003B1303">
        <w:rPr>
          <w:noProof/>
          <w:lang w:val="fr-FR"/>
        </w:rPr>
        <w:t>’</w:t>
      </w:r>
      <w:r w:rsidRPr="003B1303">
        <w:rPr>
          <w:noProof/>
          <w:lang w:val="fr-FR"/>
        </w:rPr>
        <w:t xml:space="preserve">accès </w:t>
      </w:r>
      <w:r w:rsidRPr="003B1303" w:rsidR="002130B2">
        <w:rPr>
          <w:noProof/>
          <w:lang w:val="fr-FR"/>
        </w:rPr>
        <w:t>de l</w:t>
      </w:r>
      <w:r w:rsidRPr="003B1303" w:rsidR="003B1303">
        <w:rPr>
          <w:noProof/>
          <w:lang w:val="fr-FR"/>
        </w:rPr>
        <w:t>’</w:t>
      </w:r>
      <w:r w:rsidRPr="003B1303" w:rsidR="002130B2">
        <w:rPr>
          <w:noProof/>
          <w:lang w:val="fr-FR"/>
        </w:rPr>
        <w:t xml:space="preserve">intéressé </w:t>
      </w:r>
      <w:r w:rsidRPr="003B1303" w:rsidR="00D237D2">
        <w:rPr>
          <w:noProof/>
          <w:lang w:val="fr-FR"/>
        </w:rPr>
        <w:t>aux</w:t>
      </w:r>
      <w:r w:rsidRPr="003B1303">
        <w:rPr>
          <w:noProof/>
          <w:lang w:val="fr-FR"/>
        </w:rPr>
        <w:t xml:space="preserve"> avocat</w:t>
      </w:r>
      <w:r w:rsidRPr="003B1303" w:rsidR="00D237D2">
        <w:rPr>
          <w:noProof/>
          <w:lang w:val="fr-FR"/>
        </w:rPr>
        <w:t>es</w:t>
      </w:r>
      <w:r w:rsidRPr="003B1303">
        <w:rPr>
          <w:noProof/>
          <w:lang w:val="fr-FR"/>
        </w:rPr>
        <w:t xml:space="preserve"> de son choix lors de l</w:t>
      </w:r>
      <w:r w:rsidRPr="003B1303" w:rsidR="003B1303">
        <w:rPr>
          <w:noProof/>
          <w:lang w:val="fr-FR"/>
        </w:rPr>
        <w:t>’</w:t>
      </w:r>
      <w:r w:rsidRPr="003B1303">
        <w:rPr>
          <w:noProof/>
          <w:lang w:val="fr-FR"/>
        </w:rPr>
        <w:t>interrogatoire du 15 avril 2008.</w:t>
      </w:r>
    </w:p>
    <w:p w:rsidRPr="003B1303" w:rsidR="0085148A" w:rsidP="003B1303" w:rsidRDefault="00F65BBB">
      <w:pPr>
        <w:pStyle w:val="ECHRPara"/>
        <w:rPr>
          <w:noProof/>
          <w:lang w:val="fr-FR"/>
        </w:rPr>
      </w:pPr>
      <w:r w:rsidRPr="003B1303">
        <w:rPr>
          <w:noProof/>
          <w:lang w:val="fr-FR"/>
        </w:rPr>
        <w:fldChar w:fldCharType="begin"/>
      </w:r>
      <w:r w:rsidRPr="003B1303">
        <w:rPr>
          <w:noProof/>
          <w:lang w:val="fr-FR"/>
        </w:rPr>
        <w:instrText xml:space="preserve"> SEQ level0 \*arabic </w:instrText>
      </w:r>
      <w:r w:rsidRPr="003B1303">
        <w:rPr>
          <w:noProof/>
          <w:lang w:val="fr-FR"/>
        </w:rPr>
        <w:fldChar w:fldCharType="separate"/>
      </w:r>
      <w:r w:rsidR="003B1303">
        <w:rPr>
          <w:noProof/>
          <w:lang w:val="fr-FR"/>
        </w:rPr>
        <w:t>204</w:t>
      </w:r>
      <w:r w:rsidRPr="003B1303">
        <w:rPr>
          <w:noProof/>
          <w:lang w:val="fr-FR"/>
        </w:rPr>
        <w:fldChar w:fldCharType="end"/>
      </w:r>
      <w:r w:rsidRPr="003B1303">
        <w:rPr>
          <w:noProof/>
          <w:lang w:val="fr-FR"/>
        </w:rPr>
        <w:t>.  Partant, il y a eu violation de l</w:t>
      </w:r>
      <w:r w:rsidRPr="003B1303" w:rsidR="003B1303">
        <w:rPr>
          <w:noProof/>
          <w:lang w:val="fr-FR"/>
        </w:rPr>
        <w:t>’</w:t>
      </w:r>
      <w:r w:rsidRPr="003B1303">
        <w:rPr>
          <w:noProof/>
          <w:lang w:val="fr-FR"/>
        </w:rPr>
        <w:t>article 6 §§ 1 et 3 c) de la Convention en ce qui concerne le premier requérant.</w:t>
      </w:r>
    </w:p>
    <w:p w:rsidRPr="003B1303" w:rsidR="00E77CB3" w:rsidP="003B1303" w:rsidRDefault="00E11AC3">
      <w:pPr>
        <w:pStyle w:val="ECHRHeading1"/>
        <w:rPr>
          <w:lang w:val="fr-FR"/>
        </w:rPr>
      </w:pPr>
      <w:r w:rsidRPr="003B1303">
        <w:rPr>
          <w:lang w:val="fr-FR"/>
        </w:rPr>
        <w:t>V</w:t>
      </w:r>
      <w:r w:rsidRPr="003B1303" w:rsidR="00E77CB3">
        <w:rPr>
          <w:lang w:val="fr-FR"/>
        </w:rPr>
        <w:t>.  SUR L</w:t>
      </w:r>
      <w:r w:rsidRPr="003B1303" w:rsidR="003B1303">
        <w:rPr>
          <w:lang w:val="fr-FR"/>
        </w:rPr>
        <w:t>’</w:t>
      </w:r>
      <w:r w:rsidRPr="003B1303" w:rsidR="00E77CB3">
        <w:rPr>
          <w:lang w:val="fr-FR"/>
        </w:rPr>
        <w:t>APPLICATION DE L</w:t>
      </w:r>
      <w:r w:rsidRPr="003B1303" w:rsidR="003B1303">
        <w:rPr>
          <w:lang w:val="fr-FR"/>
        </w:rPr>
        <w:t>’</w:t>
      </w:r>
      <w:r w:rsidRPr="003B1303" w:rsidR="00E77CB3">
        <w:rPr>
          <w:lang w:val="fr-FR"/>
        </w:rPr>
        <w:t>ARTICLE 41 DE LA CONVENTION</w:t>
      </w:r>
    </w:p>
    <w:p w:rsidRPr="003B1303" w:rsidR="00E77CB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205</w:t>
      </w:r>
      <w:r w:rsidRPr="003B1303">
        <w:rPr>
          <w:lang w:val="fr-FR"/>
        </w:rPr>
        <w:fldChar w:fldCharType="end"/>
      </w:r>
      <w:r w:rsidRPr="003B1303" w:rsidR="00E77CB3">
        <w:rPr>
          <w:lang w:val="fr-FR"/>
        </w:rPr>
        <w:t>.  Aux termes de l</w:t>
      </w:r>
      <w:r w:rsidRPr="003B1303" w:rsidR="003B1303">
        <w:rPr>
          <w:lang w:val="fr-FR"/>
        </w:rPr>
        <w:t>’</w:t>
      </w:r>
      <w:r w:rsidRPr="003B1303" w:rsidR="00E77CB3">
        <w:rPr>
          <w:lang w:val="fr-FR"/>
        </w:rPr>
        <w:t>article 41 de la Convention,</w:t>
      </w:r>
    </w:p>
    <w:p w:rsidRPr="003B1303" w:rsidR="00E77CB3" w:rsidP="003B1303" w:rsidRDefault="00E77CB3">
      <w:pPr>
        <w:pStyle w:val="ECHRParaQuote"/>
        <w:keepNext/>
        <w:keepLines/>
        <w:rPr>
          <w:lang w:val="fr-FR"/>
        </w:rPr>
      </w:pPr>
      <w:r w:rsidRPr="003B1303">
        <w:rPr>
          <w:lang w:val="fr-FR"/>
        </w:rPr>
        <w:t>« Si la Cour déclare qu</w:t>
      </w:r>
      <w:r w:rsidRPr="003B1303" w:rsidR="003B1303">
        <w:rPr>
          <w:lang w:val="fr-FR"/>
        </w:rPr>
        <w:t>’</w:t>
      </w:r>
      <w:r w:rsidRPr="003B1303">
        <w:rPr>
          <w:lang w:val="fr-FR"/>
        </w:rPr>
        <w:t>il y a eu violation de la Convention ou de ses Protocoles, et si le droit interne de la Haute Partie contractante ne permet d</w:t>
      </w:r>
      <w:r w:rsidRPr="003B1303" w:rsidR="003B1303">
        <w:rPr>
          <w:lang w:val="fr-FR"/>
        </w:rPr>
        <w:t>’</w:t>
      </w:r>
      <w:r w:rsidRPr="003B1303">
        <w:rPr>
          <w:lang w:val="fr-FR"/>
        </w:rPr>
        <w:t>effacer qu</w:t>
      </w:r>
      <w:r w:rsidRPr="003B1303" w:rsidR="003B1303">
        <w:rPr>
          <w:lang w:val="fr-FR"/>
        </w:rPr>
        <w:t>’</w:t>
      </w:r>
      <w:r w:rsidRPr="003B1303">
        <w:rPr>
          <w:lang w:val="fr-FR"/>
        </w:rPr>
        <w:t>imparfaitement les conséquences de cette violation, la Cour accorde à la partie lésée, s</w:t>
      </w:r>
      <w:r w:rsidRPr="003B1303" w:rsidR="003B1303">
        <w:rPr>
          <w:lang w:val="fr-FR"/>
        </w:rPr>
        <w:t>’</w:t>
      </w:r>
      <w:r w:rsidRPr="003B1303">
        <w:rPr>
          <w:lang w:val="fr-FR"/>
        </w:rPr>
        <w:t>il y a lieu, une satisfaction équitable. »</w:t>
      </w:r>
    </w:p>
    <w:p w:rsidRPr="003B1303" w:rsidR="00E77CB3" w:rsidP="003B1303" w:rsidRDefault="00E77CB3">
      <w:pPr>
        <w:pStyle w:val="ECHRHeading2"/>
        <w:rPr>
          <w:lang w:val="fr-FR"/>
        </w:rPr>
      </w:pPr>
      <w:r w:rsidRPr="003B1303">
        <w:rPr>
          <w:lang w:val="fr-FR"/>
        </w:rPr>
        <w:t>A.  Dommage</w:t>
      </w:r>
    </w:p>
    <w:p w:rsidRPr="003B1303" w:rsidR="00266FF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206</w:t>
      </w:r>
      <w:r w:rsidRPr="003B1303">
        <w:rPr>
          <w:lang w:val="fr-FR"/>
        </w:rPr>
        <w:fldChar w:fldCharType="end"/>
      </w:r>
      <w:r w:rsidRPr="003B1303" w:rsidR="00E77CB3">
        <w:rPr>
          <w:lang w:val="fr-FR"/>
        </w:rPr>
        <w:t>.  </w:t>
      </w:r>
      <w:r w:rsidRPr="003B1303" w:rsidR="001E1F54">
        <w:rPr>
          <w:lang w:val="fr-FR"/>
        </w:rPr>
        <w:t>Le</w:t>
      </w:r>
      <w:r w:rsidRPr="003B1303" w:rsidR="004C0536">
        <w:rPr>
          <w:lang w:val="fr-FR"/>
        </w:rPr>
        <w:t xml:space="preserve"> premier et le second</w:t>
      </w:r>
      <w:r w:rsidRPr="003B1303">
        <w:rPr>
          <w:lang w:val="fr-FR"/>
        </w:rPr>
        <w:t xml:space="preserve"> requérant</w:t>
      </w:r>
      <w:r w:rsidRPr="003B1303" w:rsidR="00163CB4">
        <w:rPr>
          <w:lang w:val="fr-FR"/>
        </w:rPr>
        <w:t xml:space="preserve"> réclame</w:t>
      </w:r>
      <w:r w:rsidRPr="003B1303">
        <w:rPr>
          <w:lang w:val="fr-FR"/>
        </w:rPr>
        <w:t>nt</w:t>
      </w:r>
      <w:r w:rsidRPr="003B1303" w:rsidR="00163CB4">
        <w:rPr>
          <w:lang w:val="fr-FR"/>
        </w:rPr>
        <w:t xml:space="preserve"> </w:t>
      </w:r>
      <w:r w:rsidRPr="003B1303" w:rsidR="004E79D2">
        <w:rPr>
          <w:lang w:val="fr-FR"/>
        </w:rPr>
        <w:t xml:space="preserve">respectivement </w:t>
      </w:r>
      <w:r w:rsidRPr="003B1303" w:rsidR="00564B67">
        <w:rPr>
          <w:lang w:val="fr-FR"/>
        </w:rPr>
        <w:t xml:space="preserve">2 500 000 </w:t>
      </w:r>
      <w:r w:rsidRPr="003B1303" w:rsidR="001E1F54">
        <w:rPr>
          <w:lang w:val="fr-FR"/>
        </w:rPr>
        <w:t>et 50</w:t>
      </w:r>
      <w:r w:rsidRPr="003B1303" w:rsidR="00AA7CB6">
        <w:rPr>
          <w:lang w:val="fr-FR"/>
        </w:rPr>
        <w:t> </w:t>
      </w:r>
      <w:r w:rsidRPr="003B1303" w:rsidR="001E1F54">
        <w:rPr>
          <w:lang w:val="fr-FR"/>
        </w:rPr>
        <w:t>000</w:t>
      </w:r>
      <w:r w:rsidRPr="003B1303" w:rsidR="00AA7CB6">
        <w:rPr>
          <w:lang w:val="fr-FR"/>
        </w:rPr>
        <w:t> </w:t>
      </w:r>
      <w:r w:rsidRPr="003B1303" w:rsidR="00163CB4">
        <w:rPr>
          <w:lang w:val="fr-FR"/>
        </w:rPr>
        <w:t>euros (EUR) au titre du préjudice moral qu</w:t>
      </w:r>
      <w:r w:rsidRPr="003B1303" w:rsidR="003B1303">
        <w:rPr>
          <w:lang w:val="fr-FR"/>
        </w:rPr>
        <w:t>’</w:t>
      </w:r>
      <w:r w:rsidRPr="003B1303">
        <w:rPr>
          <w:lang w:val="fr-FR"/>
        </w:rPr>
        <w:t>ils</w:t>
      </w:r>
      <w:r w:rsidRPr="003B1303" w:rsidR="00163CB4">
        <w:rPr>
          <w:lang w:val="fr-FR"/>
        </w:rPr>
        <w:t xml:space="preserve"> estime</w:t>
      </w:r>
      <w:r w:rsidRPr="003B1303">
        <w:rPr>
          <w:lang w:val="fr-FR"/>
        </w:rPr>
        <w:t>nt</w:t>
      </w:r>
      <w:r w:rsidRPr="003B1303" w:rsidR="00163CB4">
        <w:rPr>
          <w:lang w:val="fr-FR"/>
        </w:rPr>
        <w:t xml:space="preserve"> avoir subi.</w:t>
      </w:r>
    </w:p>
    <w:p w:rsidRPr="003B1303" w:rsidR="00BE4C83" w:rsidP="003B1303" w:rsidRDefault="00266FF3">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207</w:t>
      </w:r>
      <w:r w:rsidRPr="003B1303">
        <w:rPr>
          <w:lang w:val="fr-FR"/>
        </w:rPr>
        <w:fldChar w:fldCharType="end"/>
      </w:r>
      <w:r w:rsidRPr="003B1303">
        <w:rPr>
          <w:lang w:val="fr-FR"/>
        </w:rPr>
        <w:t>.  Le Gouvernement estime que, s</w:t>
      </w:r>
      <w:r w:rsidRPr="003B1303" w:rsidR="003B1303">
        <w:rPr>
          <w:lang w:val="fr-FR"/>
        </w:rPr>
        <w:t>’</w:t>
      </w:r>
      <w:r w:rsidRPr="003B1303">
        <w:rPr>
          <w:lang w:val="fr-FR"/>
        </w:rPr>
        <w:t>agissant du premier requérant, si la Cour conclut à la violation de la Convention, le montant à octroyer au titre de la satisfaction équitable doit être établi en conformité avec la jurisprudence de la Cour</w:t>
      </w:r>
      <w:r w:rsidRPr="003B1303" w:rsidR="004C5A9B">
        <w:rPr>
          <w:lang w:val="fr-FR"/>
        </w:rPr>
        <w:t>, et,</w:t>
      </w:r>
      <w:r w:rsidRPr="003B1303">
        <w:rPr>
          <w:lang w:val="fr-FR"/>
        </w:rPr>
        <w:t xml:space="preserve"> s</w:t>
      </w:r>
      <w:r w:rsidRPr="003B1303" w:rsidR="003B1303">
        <w:rPr>
          <w:lang w:val="fr-FR"/>
        </w:rPr>
        <w:t>’</w:t>
      </w:r>
      <w:r w:rsidRPr="003B1303">
        <w:rPr>
          <w:lang w:val="fr-FR"/>
        </w:rPr>
        <w:t xml:space="preserve">agissant du second requérant, que le montant revendiqué </w:t>
      </w:r>
      <w:r w:rsidRPr="003B1303" w:rsidR="004C5A9B">
        <w:rPr>
          <w:lang w:val="fr-FR"/>
        </w:rPr>
        <w:t>par celui</w:t>
      </w:r>
      <w:r w:rsidRPr="003B1303" w:rsidR="004C5A9B">
        <w:rPr>
          <w:lang w:val="fr-FR"/>
        </w:rPr>
        <w:noBreakHyphen/>
        <w:t xml:space="preserve">ci </w:t>
      </w:r>
      <w:r w:rsidRPr="003B1303">
        <w:rPr>
          <w:lang w:val="fr-FR"/>
        </w:rPr>
        <w:t>est e</w:t>
      </w:r>
      <w:r w:rsidRPr="003B1303" w:rsidR="004C5A9B">
        <w:rPr>
          <w:lang w:val="fr-FR"/>
        </w:rPr>
        <w:t>xcessif</w:t>
      </w:r>
      <w:r w:rsidRPr="003B1303">
        <w:rPr>
          <w:lang w:val="fr-FR"/>
        </w:rPr>
        <w:t xml:space="preserve"> en comparaison avec les sommes accordées dans des affaires similaires.</w:t>
      </w:r>
    </w:p>
    <w:p w:rsidRPr="003B1303" w:rsidR="00266FF3" w:rsidP="003B1303" w:rsidRDefault="004C5A9B">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208</w:t>
      </w:r>
      <w:r w:rsidRPr="003B1303">
        <w:rPr>
          <w:lang w:val="fr-FR"/>
        </w:rPr>
        <w:fldChar w:fldCharType="end"/>
      </w:r>
      <w:r w:rsidRPr="003B1303">
        <w:rPr>
          <w:lang w:val="fr-FR"/>
        </w:rPr>
        <w:t>.  </w:t>
      </w:r>
      <w:r w:rsidRPr="003B1303" w:rsidR="00AA7CB6">
        <w:rPr>
          <w:lang w:val="fr-FR"/>
        </w:rPr>
        <w:t>Eu égard aux</w:t>
      </w:r>
      <w:r w:rsidRPr="003B1303">
        <w:rPr>
          <w:lang w:val="fr-FR"/>
        </w:rPr>
        <w:t xml:space="preserve"> circonstances de la présente espèce et </w:t>
      </w:r>
      <w:r w:rsidRPr="003B1303" w:rsidR="00AA7CB6">
        <w:rPr>
          <w:lang w:val="fr-FR"/>
        </w:rPr>
        <w:t>aux</w:t>
      </w:r>
      <w:r w:rsidRPr="003B1303">
        <w:rPr>
          <w:lang w:val="fr-FR"/>
        </w:rPr>
        <w:t xml:space="preserve"> constat</w:t>
      </w:r>
      <w:r w:rsidRPr="003B1303" w:rsidR="00AA7CB6">
        <w:rPr>
          <w:lang w:val="fr-FR"/>
        </w:rPr>
        <w:t>s</w:t>
      </w:r>
      <w:r w:rsidRPr="003B1303">
        <w:rPr>
          <w:lang w:val="fr-FR"/>
        </w:rPr>
        <w:t xml:space="preserve"> de violations de la Convention auxquels elle </w:t>
      </w:r>
      <w:r w:rsidRPr="003B1303" w:rsidR="00470102">
        <w:rPr>
          <w:lang w:val="fr-FR"/>
        </w:rPr>
        <w:t>est</w:t>
      </w:r>
      <w:r w:rsidRPr="003B1303">
        <w:rPr>
          <w:lang w:val="fr-FR"/>
        </w:rPr>
        <w:t xml:space="preserve"> parvenu</w:t>
      </w:r>
      <w:r w:rsidRPr="003B1303" w:rsidR="00470102">
        <w:rPr>
          <w:lang w:val="fr-FR"/>
        </w:rPr>
        <w:t>e</w:t>
      </w:r>
      <w:r w:rsidRPr="003B1303">
        <w:rPr>
          <w:lang w:val="fr-FR"/>
        </w:rPr>
        <w:t xml:space="preserve">, la Cour considère que tant le premier que le second </w:t>
      </w:r>
      <w:r w:rsidRPr="003B1303" w:rsidR="00A236D8">
        <w:rPr>
          <w:lang w:val="fr-FR"/>
        </w:rPr>
        <w:t xml:space="preserve">requérant </w:t>
      </w:r>
      <w:r w:rsidRPr="003B1303" w:rsidR="004B3EBF">
        <w:rPr>
          <w:lang w:val="fr-FR"/>
        </w:rPr>
        <w:t>ont</w:t>
      </w:r>
      <w:r w:rsidRPr="003B1303">
        <w:rPr>
          <w:lang w:val="fr-FR"/>
        </w:rPr>
        <w:t xml:space="preserve"> connu une détresse, une frustration et un sentiment d</w:t>
      </w:r>
      <w:r w:rsidRPr="003B1303" w:rsidR="003B1303">
        <w:rPr>
          <w:lang w:val="fr-FR"/>
        </w:rPr>
        <w:t>’</w:t>
      </w:r>
      <w:r w:rsidRPr="003B1303">
        <w:rPr>
          <w:lang w:val="fr-FR"/>
        </w:rPr>
        <w:t xml:space="preserve">injustice qui ne sauraient être réparés par le seul constat de violation. </w:t>
      </w:r>
      <w:r w:rsidRPr="003B1303" w:rsidR="00AA7CB6">
        <w:rPr>
          <w:lang w:val="fr-FR"/>
        </w:rPr>
        <w:t>Compte tenu de</w:t>
      </w:r>
      <w:r w:rsidRPr="003B1303">
        <w:rPr>
          <w:lang w:val="fr-FR"/>
        </w:rPr>
        <w:t xml:space="preserve"> l</w:t>
      </w:r>
      <w:r w:rsidRPr="003B1303" w:rsidR="003B1303">
        <w:rPr>
          <w:lang w:val="fr-FR"/>
        </w:rPr>
        <w:t>’</w:t>
      </w:r>
      <w:r w:rsidRPr="003B1303">
        <w:rPr>
          <w:lang w:val="fr-FR"/>
        </w:rPr>
        <w:t xml:space="preserve">ensemble des éléments dont elle dispose, </w:t>
      </w:r>
      <w:r w:rsidRPr="003B1303" w:rsidR="00AA7CB6">
        <w:rPr>
          <w:lang w:val="fr-FR"/>
        </w:rPr>
        <w:t>elle</w:t>
      </w:r>
      <w:r w:rsidRPr="003B1303">
        <w:rPr>
          <w:lang w:val="fr-FR"/>
        </w:rPr>
        <w:t xml:space="preserve"> estime qu</w:t>
      </w:r>
      <w:r w:rsidRPr="003B1303" w:rsidR="003B1303">
        <w:rPr>
          <w:lang w:val="fr-FR"/>
        </w:rPr>
        <w:t>’</w:t>
      </w:r>
      <w:r w:rsidRPr="003B1303">
        <w:rPr>
          <w:lang w:val="fr-FR"/>
        </w:rPr>
        <w:t>il y a lieu d</w:t>
      </w:r>
      <w:r w:rsidRPr="003B1303" w:rsidR="003B1303">
        <w:rPr>
          <w:lang w:val="fr-FR"/>
        </w:rPr>
        <w:t>’</w:t>
      </w:r>
      <w:r w:rsidRPr="003B1303" w:rsidR="007722A7">
        <w:rPr>
          <w:lang w:val="fr-FR"/>
        </w:rPr>
        <w:t xml:space="preserve">allouer </w:t>
      </w:r>
      <w:r w:rsidRPr="003B1303" w:rsidR="008879A2">
        <w:rPr>
          <w:lang w:val="fr-FR"/>
        </w:rPr>
        <w:t>22 200 </w:t>
      </w:r>
      <w:r w:rsidRPr="003B1303" w:rsidR="004C0536">
        <w:rPr>
          <w:lang w:val="fr-FR"/>
        </w:rPr>
        <w:t xml:space="preserve">EUR </w:t>
      </w:r>
      <w:r w:rsidRPr="003B1303" w:rsidR="00814403">
        <w:rPr>
          <w:lang w:val="fr-FR"/>
        </w:rPr>
        <w:t xml:space="preserve">au premier requérant et </w:t>
      </w:r>
      <w:r w:rsidRPr="003B1303" w:rsidR="008879A2">
        <w:rPr>
          <w:lang w:val="fr-FR"/>
        </w:rPr>
        <w:t xml:space="preserve">15 000 </w:t>
      </w:r>
      <w:r w:rsidRPr="003B1303">
        <w:rPr>
          <w:lang w:val="fr-FR"/>
        </w:rPr>
        <w:t>EUR</w:t>
      </w:r>
      <w:r w:rsidRPr="003B1303" w:rsidR="004B3EBF">
        <w:rPr>
          <w:lang w:val="fr-FR"/>
        </w:rPr>
        <w:t xml:space="preserve"> </w:t>
      </w:r>
      <w:r w:rsidRPr="003B1303" w:rsidR="00F716E0">
        <w:rPr>
          <w:lang w:val="fr-FR"/>
        </w:rPr>
        <w:t xml:space="preserve">au second requérant </w:t>
      </w:r>
      <w:r w:rsidRPr="003B1303">
        <w:rPr>
          <w:lang w:val="fr-FR"/>
        </w:rPr>
        <w:t>pour dommage moral.</w:t>
      </w:r>
    </w:p>
    <w:p w:rsidRPr="003B1303" w:rsidR="00163CB4" w:rsidP="003B1303" w:rsidRDefault="004B3EB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209</w:t>
      </w:r>
      <w:r w:rsidRPr="003B1303">
        <w:rPr>
          <w:lang w:val="fr-FR"/>
        </w:rPr>
        <w:fldChar w:fldCharType="end"/>
      </w:r>
      <w:r w:rsidRPr="003B1303">
        <w:rPr>
          <w:lang w:val="fr-FR"/>
        </w:rPr>
        <w:t>.  </w:t>
      </w:r>
      <w:r w:rsidRPr="003B1303" w:rsidR="00564B67">
        <w:rPr>
          <w:lang w:val="fr-FR"/>
        </w:rPr>
        <w:t>Le premier requérant réclame en outre 4 158 00</w:t>
      </w:r>
      <w:r w:rsidRPr="003B1303" w:rsidR="00AA7CB6">
        <w:rPr>
          <w:lang w:val="fr-FR"/>
        </w:rPr>
        <w:t>0</w:t>
      </w:r>
      <w:r w:rsidRPr="003B1303" w:rsidR="00564B67">
        <w:rPr>
          <w:lang w:val="fr-FR"/>
        </w:rPr>
        <w:t xml:space="preserve"> roubles russes (RUB) </w:t>
      </w:r>
      <w:r w:rsidRPr="003B1303" w:rsidR="00AA7CB6">
        <w:rPr>
          <w:lang w:val="fr-FR"/>
        </w:rPr>
        <w:t>pour le</w:t>
      </w:r>
      <w:r w:rsidRPr="003B1303" w:rsidR="00564B67">
        <w:rPr>
          <w:lang w:val="fr-FR"/>
        </w:rPr>
        <w:t xml:space="preserve"> préjudice matériel </w:t>
      </w:r>
      <w:r w:rsidRPr="003B1303" w:rsidR="00AA7CB6">
        <w:rPr>
          <w:lang w:val="fr-FR"/>
        </w:rPr>
        <w:t>qu</w:t>
      </w:r>
      <w:r w:rsidRPr="003B1303" w:rsidR="003B1303">
        <w:rPr>
          <w:lang w:val="fr-FR"/>
        </w:rPr>
        <w:t>’</w:t>
      </w:r>
      <w:r w:rsidRPr="003B1303" w:rsidR="00AA7CB6">
        <w:rPr>
          <w:lang w:val="fr-FR"/>
        </w:rPr>
        <w:t>il aurait subi en raison de</w:t>
      </w:r>
      <w:r w:rsidRPr="003B1303" w:rsidR="002A7ED2">
        <w:rPr>
          <w:lang w:val="fr-FR"/>
        </w:rPr>
        <w:t xml:space="preserve"> la p</w:t>
      </w:r>
      <w:r w:rsidRPr="003B1303" w:rsidR="00104506">
        <w:rPr>
          <w:lang w:val="fr-FR"/>
        </w:rPr>
        <w:t>erte</w:t>
      </w:r>
      <w:r w:rsidRPr="003B1303" w:rsidR="00564B67">
        <w:rPr>
          <w:lang w:val="fr-FR"/>
        </w:rPr>
        <w:t xml:space="preserve"> de </w:t>
      </w:r>
      <w:r w:rsidRPr="003B1303" w:rsidR="00AA7CB6">
        <w:rPr>
          <w:lang w:val="fr-FR"/>
        </w:rPr>
        <w:t xml:space="preserve">ses </w:t>
      </w:r>
      <w:r w:rsidRPr="003B1303" w:rsidR="00A236D8">
        <w:rPr>
          <w:lang w:val="fr-FR"/>
        </w:rPr>
        <w:t>salaires</w:t>
      </w:r>
      <w:r w:rsidRPr="003B1303" w:rsidR="00564B67">
        <w:rPr>
          <w:lang w:val="fr-FR"/>
        </w:rPr>
        <w:t xml:space="preserve"> du fait de </w:t>
      </w:r>
      <w:r w:rsidRPr="003B1303" w:rsidR="00F04697">
        <w:rPr>
          <w:lang w:val="fr-FR"/>
        </w:rPr>
        <w:t>sa</w:t>
      </w:r>
      <w:r w:rsidRPr="003B1303" w:rsidR="00564B67">
        <w:rPr>
          <w:lang w:val="fr-FR"/>
        </w:rPr>
        <w:t xml:space="preserve"> détention provisoire </w:t>
      </w:r>
      <w:r w:rsidRPr="003B1303" w:rsidR="00F04697">
        <w:rPr>
          <w:lang w:val="fr-FR"/>
        </w:rPr>
        <w:t xml:space="preserve">ainsi que de sa condamnation </w:t>
      </w:r>
      <w:r w:rsidRPr="003B1303" w:rsidR="00D34899">
        <w:rPr>
          <w:lang w:val="fr-FR"/>
        </w:rPr>
        <w:t>à une peine privative de liberté à l</w:t>
      </w:r>
      <w:r w:rsidRPr="003B1303" w:rsidR="003B1303">
        <w:rPr>
          <w:lang w:val="fr-FR"/>
        </w:rPr>
        <w:t>’</w:t>
      </w:r>
      <w:r w:rsidRPr="003B1303" w:rsidR="00D34899">
        <w:rPr>
          <w:lang w:val="fr-FR"/>
        </w:rPr>
        <w:t xml:space="preserve">issue du procès </w:t>
      </w:r>
      <w:r w:rsidRPr="003B1303" w:rsidR="00104506">
        <w:rPr>
          <w:lang w:val="fr-FR"/>
        </w:rPr>
        <w:t>pénal</w:t>
      </w:r>
      <w:r w:rsidRPr="003B1303" w:rsidR="00D34899">
        <w:rPr>
          <w:lang w:val="fr-FR"/>
        </w:rPr>
        <w:t xml:space="preserve"> à son encontre</w:t>
      </w:r>
      <w:r w:rsidRPr="003B1303" w:rsidR="00104506">
        <w:rPr>
          <w:lang w:val="fr-FR"/>
        </w:rPr>
        <w:t>. Il soumet à l</w:t>
      </w:r>
      <w:r w:rsidRPr="003B1303" w:rsidR="003B1303">
        <w:rPr>
          <w:lang w:val="fr-FR"/>
        </w:rPr>
        <w:t>’</w:t>
      </w:r>
      <w:r w:rsidRPr="003B1303" w:rsidR="00104506">
        <w:rPr>
          <w:lang w:val="fr-FR"/>
        </w:rPr>
        <w:t xml:space="preserve">appui de sa demande </w:t>
      </w:r>
      <w:r w:rsidRPr="003B1303" w:rsidR="004C0536">
        <w:rPr>
          <w:lang w:val="fr-FR"/>
        </w:rPr>
        <w:t>d</w:t>
      </w:r>
      <w:r w:rsidRPr="003B1303" w:rsidR="00104506">
        <w:rPr>
          <w:lang w:val="fr-FR"/>
        </w:rPr>
        <w:t xml:space="preserve">es données concernant ses revenus professionnels </w:t>
      </w:r>
      <w:r w:rsidRPr="003B1303" w:rsidR="001B7921">
        <w:rPr>
          <w:lang w:val="fr-FR"/>
        </w:rPr>
        <w:t>pendant la période du mois de février 2007 au mois d</w:t>
      </w:r>
      <w:r w:rsidRPr="003B1303" w:rsidR="003B1303">
        <w:rPr>
          <w:lang w:val="fr-FR"/>
        </w:rPr>
        <w:t>’</w:t>
      </w:r>
      <w:r w:rsidRPr="003B1303" w:rsidR="001B7921">
        <w:rPr>
          <w:lang w:val="fr-FR"/>
        </w:rPr>
        <w:t>avril 2008</w:t>
      </w:r>
      <w:r w:rsidRPr="003B1303" w:rsidR="00814403">
        <w:rPr>
          <w:lang w:val="fr-FR"/>
        </w:rPr>
        <w:t>.</w:t>
      </w:r>
    </w:p>
    <w:p w:rsidRPr="003B1303" w:rsidR="00BE4C83" w:rsidP="003B1303" w:rsidRDefault="00B10DE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210</w:t>
      </w:r>
      <w:r w:rsidRPr="003B1303">
        <w:rPr>
          <w:lang w:val="fr-FR"/>
        </w:rPr>
        <w:fldChar w:fldCharType="end"/>
      </w:r>
      <w:r w:rsidRPr="003B1303">
        <w:rPr>
          <w:lang w:val="fr-FR"/>
        </w:rPr>
        <w:t>.  Le Gouvernement ne s</w:t>
      </w:r>
      <w:r w:rsidRPr="003B1303" w:rsidR="003B1303">
        <w:rPr>
          <w:lang w:val="fr-FR"/>
        </w:rPr>
        <w:t>’</w:t>
      </w:r>
      <w:r w:rsidRPr="003B1303">
        <w:rPr>
          <w:lang w:val="fr-FR"/>
        </w:rPr>
        <w:t>est pas prononcé sur ce point.</w:t>
      </w:r>
    </w:p>
    <w:p w:rsidRPr="003B1303" w:rsidR="00C00798"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211</w:t>
      </w:r>
      <w:r w:rsidRPr="003B1303">
        <w:rPr>
          <w:lang w:val="fr-FR"/>
        </w:rPr>
        <w:fldChar w:fldCharType="end"/>
      </w:r>
      <w:r w:rsidRPr="003B1303" w:rsidR="00E77CB3">
        <w:rPr>
          <w:lang w:val="fr-FR"/>
        </w:rPr>
        <w:t>.  </w:t>
      </w:r>
      <w:r w:rsidRPr="003B1303" w:rsidR="00BC64C5">
        <w:rPr>
          <w:lang w:val="fr-FR"/>
        </w:rPr>
        <w:t>S</w:t>
      </w:r>
      <w:r w:rsidRPr="003B1303" w:rsidR="003B1303">
        <w:rPr>
          <w:lang w:val="fr-FR"/>
        </w:rPr>
        <w:t>’</w:t>
      </w:r>
      <w:r w:rsidRPr="003B1303" w:rsidR="00BC64C5">
        <w:rPr>
          <w:lang w:val="fr-FR"/>
        </w:rPr>
        <w:t>agissant des prétentions du premier requérant en ce qu</w:t>
      </w:r>
      <w:r w:rsidRPr="003B1303" w:rsidR="003B1303">
        <w:rPr>
          <w:lang w:val="fr-FR"/>
        </w:rPr>
        <w:t>’</w:t>
      </w:r>
      <w:r w:rsidRPr="003B1303" w:rsidR="00BC64C5">
        <w:rPr>
          <w:lang w:val="fr-FR"/>
        </w:rPr>
        <w:t xml:space="preserve">elles se rapportent </w:t>
      </w:r>
      <w:r w:rsidRPr="003B1303" w:rsidR="00EA407A">
        <w:rPr>
          <w:lang w:val="fr-FR"/>
        </w:rPr>
        <w:t>à la perte de</w:t>
      </w:r>
      <w:r w:rsidRPr="003B1303" w:rsidR="00C00798">
        <w:rPr>
          <w:lang w:val="fr-FR"/>
        </w:rPr>
        <w:t xml:space="preserve"> revenus </w:t>
      </w:r>
      <w:r w:rsidRPr="003B1303" w:rsidR="003D0BD4">
        <w:rPr>
          <w:lang w:val="fr-FR"/>
        </w:rPr>
        <w:t xml:space="preserve">alléguée </w:t>
      </w:r>
      <w:r w:rsidRPr="003B1303" w:rsidR="00BC64C5">
        <w:rPr>
          <w:lang w:val="fr-FR"/>
        </w:rPr>
        <w:t xml:space="preserve">du fait de sa </w:t>
      </w:r>
      <w:r w:rsidRPr="003B1303" w:rsidR="00EA407A">
        <w:rPr>
          <w:lang w:val="fr-FR"/>
        </w:rPr>
        <w:t xml:space="preserve">détention provisoire et de sa </w:t>
      </w:r>
      <w:r w:rsidRPr="003B1303" w:rsidR="00BC64C5">
        <w:rPr>
          <w:lang w:val="fr-FR"/>
        </w:rPr>
        <w:t>condamnation à une peine d</w:t>
      </w:r>
      <w:r w:rsidRPr="003B1303" w:rsidR="003B1303">
        <w:rPr>
          <w:lang w:val="fr-FR"/>
        </w:rPr>
        <w:t>’</w:t>
      </w:r>
      <w:r w:rsidRPr="003B1303" w:rsidR="00BC64C5">
        <w:rPr>
          <w:lang w:val="fr-FR"/>
        </w:rPr>
        <w:t>emprisonnement</w:t>
      </w:r>
      <w:r w:rsidRPr="003B1303" w:rsidR="00C00798">
        <w:rPr>
          <w:lang w:val="fr-FR"/>
        </w:rPr>
        <w:t>, la Cour rappelle qu</w:t>
      </w:r>
      <w:r w:rsidRPr="003B1303" w:rsidR="003B1303">
        <w:rPr>
          <w:lang w:val="fr-FR"/>
        </w:rPr>
        <w:t>’</w:t>
      </w:r>
      <w:r w:rsidRPr="003B1303" w:rsidR="00C00798">
        <w:rPr>
          <w:lang w:val="fr-FR"/>
        </w:rPr>
        <w:t>il doit y avoir un lien de causalité manifeste entre le dommage allégué par le requérant et la violation de la Convention (</w:t>
      </w:r>
      <w:proofErr w:type="spellStart"/>
      <w:r w:rsidRPr="003B1303" w:rsidR="00C00798">
        <w:rPr>
          <w:i/>
          <w:iCs/>
          <w:lang w:val="fr-FR"/>
        </w:rPr>
        <w:t>Barberà</w:t>
      </w:r>
      <w:proofErr w:type="spellEnd"/>
      <w:r w:rsidRPr="003B1303" w:rsidR="00C00798">
        <w:rPr>
          <w:i/>
          <w:iCs/>
          <w:lang w:val="fr-FR"/>
        </w:rPr>
        <w:t xml:space="preserve">, </w:t>
      </w:r>
      <w:proofErr w:type="spellStart"/>
      <w:r w:rsidRPr="003B1303" w:rsidR="00C00798">
        <w:rPr>
          <w:i/>
          <w:iCs/>
          <w:lang w:val="fr-FR"/>
        </w:rPr>
        <w:t>Messegué</w:t>
      </w:r>
      <w:proofErr w:type="spellEnd"/>
      <w:r w:rsidRPr="003B1303" w:rsidR="00C00798">
        <w:rPr>
          <w:i/>
          <w:iCs/>
          <w:lang w:val="fr-FR"/>
        </w:rPr>
        <w:t xml:space="preserve"> et </w:t>
      </w:r>
      <w:proofErr w:type="spellStart"/>
      <w:r w:rsidRPr="003B1303" w:rsidR="00C00798">
        <w:rPr>
          <w:i/>
          <w:iCs/>
          <w:lang w:val="fr-FR"/>
        </w:rPr>
        <w:t>Jabardo</w:t>
      </w:r>
      <w:proofErr w:type="spellEnd"/>
      <w:r w:rsidRPr="003B1303" w:rsidR="00C00798">
        <w:rPr>
          <w:i/>
          <w:iCs/>
          <w:lang w:val="fr-FR"/>
        </w:rPr>
        <w:t xml:space="preserve"> c</w:t>
      </w:r>
      <w:r w:rsidRPr="003B1303" w:rsidR="00D237D2">
        <w:rPr>
          <w:i/>
          <w:iCs/>
          <w:lang w:val="fr-FR"/>
        </w:rPr>
        <w:t>. </w:t>
      </w:r>
      <w:r w:rsidRPr="003B1303" w:rsidR="00C00798">
        <w:rPr>
          <w:i/>
          <w:iCs/>
          <w:lang w:val="fr-FR"/>
        </w:rPr>
        <w:t>Espagne</w:t>
      </w:r>
      <w:r w:rsidRPr="003B1303" w:rsidR="00C00798">
        <w:rPr>
          <w:lang w:val="fr-FR"/>
        </w:rPr>
        <w:t> (article 50), 13 juin 1994, série A n</w:t>
      </w:r>
      <w:r w:rsidRPr="003B1303" w:rsidR="00C00798">
        <w:rPr>
          <w:vertAlign w:val="superscript"/>
          <w:lang w:val="fr-FR"/>
        </w:rPr>
        <w:t>o</w:t>
      </w:r>
      <w:r w:rsidRPr="003B1303" w:rsidR="00C00798">
        <w:rPr>
          <w:lang w:val="fr-FR"/>
        </w:rPr>
        <w:t> 285-C, pp. 57-58,</w:t>
      </w:r>
      <w:r w:rsidRPr="003B1303" w:rsidR="00823AAD">
        <w:rPr>
          <w:lang w:val="fr-FR"/>
        </w:rPr>
        <w:t xml:space="preserve"> §§ 16</w:t>
      </w:r>
      <w:r w:rsidRPr="003B1303" w:rsidR="00823AAD">
        <w:rPr>
          <w:lang w:val="fr-FR"/>
        </w:rPr>
        <w:noBreakHyphen/>
      </w:r>
      <w:r w:rsidRPr="003B1303" w:rsidR="00C00798">
        <w:rPr>
          <w:lang w:val="fr-FR"/>
        </w:rPr>
        <w:t>20).</w:t>
      </w:r>
    </w:p>
    <w:p w:rsidRPr="003B1303" w:rsidR="00104506" w:rsidP="003B1303" w:rsidRDefault="00B10DE5">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212</w:t>
      </w:r>
      <w:r w:rsidRPr="003B1303">
        <w:rPr>
          <w:lang w:val="fr-FR"/>
        </w:rPr>
        <w:fldChar w:fldCharType="end"/>
      </w:r>
      <w:r w:rsidRPr="003B1303">
        <w:rPr>
          <w:lang w:val="fr-FR"/>
        </w:rPr>
        <w:t>.  </w:t>
      </w:r>
      <w:r w:rsidRPr="003B1303" w:rsidR="00C00798">
        <w:rPr>
          <w:lang w:val="fr-FR"/>
        </w:rPr>
        <w:t>En l</w:t>
      </w:r>
      <w:r w:rsidRPr="003B1303" w:rsidR="003B1303">
        <w:rPr>
          <w:lang w:val="fr-FR"/>
        </w:rPr>
        <w:t>’</w:t>
      </w:r>
      <w:r w:rsidRPr="003B1303" w:rsidR="00C00798">
        <w:rPr>
          <w:lang w:val="fr-FR"/>
        </w:rPr>
        <w:t xml:space="preserve">espèce, </w:t>
      </w:r>
      <w:r w:rsidRPr="003B1303" w:rsidR="003D0BD4">
        <w:rPr>
          <w:lang w:val="fr-FR"/>
        </w:rPr>
        <w:t>elle</w:t>
      </w:r>
      <w:r w:rsidRPr="003B1303" w:rsidR="00C00798">
        <w:rPr>
          <w:lang w:val="fr-FR"/>
        </w:rPr>
        <w:t xml:space="preserve"> n</w:t>
      </w:r>
      <w:r w:rsidRPr="003B1303" w:rsidR="003B1303">
        <w:rPr>
          <w:lang w:val="fr-FR"/>
        </w:rPr>
        <w:t>’</w:t>
      </w:r>
      <w:r w:rsidRPr="003B1303" w:rsidR="00C00798">
        <w:rPr>
          <w:lang w:val="fr-FR"/>
        </w:rPr>
        <w:t>aperçoit pas de lien de causalité entre la violation de l</w:t>
      </w:r>
      <w:r w:rsidRPr="003B1303" w:rsidR="003B1303">
        <w:rPr>
          <w:lang w:val="fr-FR"/>
        </w:rPr>
        <w:t>’</w:t>
      </w:r>
      <w:r w:rsidRPr="003B1303" w:rsidR="00C00798">
        <w:rPr>
          <w:lang w:val="fr-FR"/>
        </w:rPr>
        <w:t>article 5 §</w:t>
      </w:r>
      <w:r w:rsidRPr="003B1303" w:rsidR="00412A7D">
        <w:rPr>
          <w:lang w:val="fr-FR"/>
        </w:rPr>
        <w:t xml:space="preserve">§ 1, </w:t>
      </w:r>
      <w:r w:rsidRPr="003B1303" w:rsidR="00C00798">
        <w:rPr>
          <w:lang w:val="fr-FR"/>
        </w:rPr>
        <w:t xml:space="preserve">3 </w:t>
      </w:r>
      <w:r w:rsidRPr="003B1303" w:rsidR="00412A7D">
        <w:rPr>
          <w:lang w:val="fr-FR"/>
        </w:rPr>
        <w:t xml:space="preserve">et 4 </w:t>
      </w:r>
      <w:r w:rsidRPr="003B1303" w:rsidR="00C00798">
        <w:rPr>
          <w:lang w:val="fr-FR"/>
        </w:rPr>
        <w:t xml:space="preserve">de la Convention </w:t>
      </w:r>
      <w:r w:rsidRPr="003B1303" w:rsidR="00412A7D">
        <w:rPr>
          <w:lang w:val="fr-FR"/>
        </w:rPr>
        <w:t>et les sommes réclamées</w:t>
      </w:r>
      <w:r w:rsidRPr="003B1303" w:rsidDel="00412A7D" w:rsidR="00412A7D">
        <w:rPr>
          <w:lang w:val="fr-FR"/>
        </w:rPr>
        <w:t xml:space="preserve"> </w:t>
      </w:r>
      <w:r w:rsidRPr="003B1303" w:rsidR="00F256B7">
        <w:rPr>
          <w:lang w:val="fr-FR"/>
        </w:rPr>
        <w:t>(</w:t>
      </w:r>
      <w:r w:rsidRPr="003B1303" w:rsidR="00412A7D">
        <w:rPr>
          <w:i/>
          <w:lang w:val="fr-FR"/>
        </w:rPr>
        <w:t>Nikolova c. Bulgarie</w:t>
      </w:r>
      <w:r w:rsidRPr="003B1303" w:rsidR="00412A7D">
        <w:rPr>
          <w:lang w:val="fr-FR"/>
        </w:rPr>
        <w:t xml:space="preserve"> [GC], n</w:t>
      </w:r>
      <w:r w:rsidRPr="003B1303" w:rsidR="00412A7D">
        <w:rPr>
          <w:vertAlign w:val="superscript"/>
          <w:lang w:val="fr-FR"/>
        </w:rPr>
        <w:t>o</w:t>
      </w:r>
      <w:r w:rsidRPr="003B1303" w:rsidR="00412A7D">
        <w:rPr>
          <w:lang w:val="fr-FR"/>
        </w:rPr>
        <w:t> 31195/96, § 73, CEDH 1999</w:t>
      </w:r>
      <w:r w:rsidRPr="003B1303" w:rsidR="00412A7D">
        <w:rPr>
          <w:lang w:val="fr-FR"/>
        </w:rPr>
        <w:noBreakHyphen/>
        <w:t xml:space="preserve">II). La Cour ne saurait </w:t>
      </w:r>
      <w:r w:rsidRPr="003B1303" w:rsidR="006B5688">
        <w:rPr>
          <w:lang w:val="fr-FR"/>
        </w:rPr>
        <w:t xml:space="preserve">pas non plus </w:t>
      </w:r>
      <w:r w:rsidRPr="003B1303" w:rsidR="00412A7D">
        <w:rPr>
          <w:lang w:val="fr-FR"/>
        </w:rPr>
        <w:t>spéculer sur le résultat auquel la procédure pénale dirigée à l</w:t>
      </w:r>
      <w:r w:rsidRPr="003B1303" w:rsidR="003B1303">
        <w:rPr>
          <w:lang w:val="fr-FR"/>
        </w:rPr>
        <w:t>’</w:t>
      </w:r>
      <w:r w:rsidRPr="003B1303" w:rsidR="00412A7D">
        <w:rPr>
          <w:lang w:val="fr-FR"/>
        </w:rPr>
        <w:t>encontre du premier requérant aurait abouti si la violation de l</w:t>
      </w:r>
      <w:r w:rsidRPr="003B1303" w:rsidR="003B1303">
        <w:rPr>
          <w:lang w:val="fr-FR"/>
        </w:rPr>
        <w:t>’</w:t>
      </w:r>
      <w:r w:rsidRPr="003B1303" w:rsidR="00412A7D">
        <w:rPr>
          <w:lang w:val="fr-FR"/>
        </w:rPr>
        <w:t>article 6 §§ 1 et 3</w:t>
      </w:r>
      <w:r w:rsidRPr="003B1303" w:rsidR="00D237D2">
        <w:rPr>
          <w:lang w:val="fr-FR"/>
        </w:rPr>
        <w:t> </w:t>
      </w:r>
      <w:r w:rsidRPr="003B1303" w:rsidR="00412A7D">
        <w:rPr>
          <w:lang w:val="fr-FR"/>
        </w:rPr>
        <w:t>c) de la Convention n</w:t>
      </w:r>
      <w:r w:rsidRPr="003B1303" w:rsidR="003B1303">
        <w:rPr>
          <w:lang w:val="fr-FR"/>
        </w:rPr>
        <w:t>’</w:t>
      </w:r>
      <w:r w:rsidRPr="003B1303" w:rsidR="00412A7D">
        <w:rPr>
          <w:lang w:val="fr-FR"/>
        </w:rPr>
        <w:t xml:space="preserve">avait pas eu lieu (voir, par exemple, </w:t>
      </w:r>
      <w:proofErr w:type="spellStart"/>
      <w:r w:rsidRPr="003B1303" w:rsidR="00412A7D">
        <w:rPr>
          <w:i/>
          <w:iCs/>
          <w:lang w:val="fr-FR"/>
        </w:rPr>
        <w:t>Mantovanelli</w:t>
      </w:r>
      <w:proofErr w:type="spellEnd"/>
      <w:r w:rsidRPr="003B1303" w:rsidR="00412A7D">
        <w:rPr>
          <w:i/>
          <w:iCs/>
          <w:lang w:val="fr-FR"/>
        </w:rPr>
        <w:t xml:space="preserve"> c. France</w:t>
      </w:r>
      <w:r w:rsidRPr="003B1303" w:rsidR="00412A7D">
        <w:rPr>
          <w:lang w:val="fr-FR"/>
        </w:rPr>
        <w:t>, 18 mars 1997, § 40, </w:t>
      </w:r>
      <w:r w:rsidRPr="003B1303" w:rsidR="00412A7D">
        <w:rPr>
          <w:i/>
          <w:iCs/>
          <w:lang w:val="fr-FR"/>
        </w:rPr>
        <w:t>Recueil </w:t>
      </w:r>
      <w:r w:rsidRPr="003B1303" w:rsidR="00412A7D">
        <w:rPr>
          <w:lang w:val="fr-FR"/>
        </w:rPr>
        <w:t>1997</w:t>
      </w:r>
      <w:r w:rsidRPr="003B1303" w:rsidR="00412A7D">
        <w:rPr>
          <w:lang w:val="fr-FR"/>
        </w:rPr>
        <w:noBreakHyphen/>
        <w:t xml:space="preserve">II). </w:t>
      </w:r>
      <w:r w:rsidRPr="003B1303" w:rsidR="00C00798">
        <w:rPr>
          <w:lang w:val="fr-FR"/>
        </w:rPr>
        <w:t xml:space="preserve">Il convient donc de rejeter les prétentions du premier requérant </w:t>
      </w:r>
      <w:r w:rsidRPr="003B1303" w:rsidR="00EA407A">
        <w:rPr>
          <w:lang w:val="fr-FR"/>
        </w:rPr>
        <w:t>à ce titre</w:t>
      </w:r>
      <w:r w:rsidRPr="003B1303" w:rsidR="00C00798">
        <w:rPr>
          <w:lang w:val="fr-FR"/>
        </w:rPr>
        <w:t>.</w:t>
      </w:r>
    </w:p>
    <w:p w:rsidRPr="003B1303" w:rsidR="00E77CB3" w:rsidP="003B1303" w:rsidRDefault="00E77CB3">
      <w:pPr>
        <w:pStyle w:val="ECHRHeading2"/>
        <w:rPr>
          <w:lang w:val="fr-FR"/>
        </w:rPr>
      </w:pPr>
      <w:r w:rsidRPr="003B1303">
        <w:rPr>
          <w:lang w:val="fr-FR"/>
        </w:rPr>
        <w:t>B.  Frais et dépens</w:t>
      </w:r>
    </w:p>
    <w:p w:rsidRPr="003B1303" w:rsidR="00BE4C8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213</w:t>
      </w:r>
      <w:r w:rsidRPr="003B1303">
        <w:rPr>
          <w:lang w:val="fr-FR"/>
        </w:rPr>
        <w:fldChar w:fldCharType="end"/>
      </w:r>
      <w:r w:rsidRPr="003B1303" w:rsidR="00E77CB3">
        <w:rPr>
          <w:lang w:val="fr-FR"/>
        </w:rPr>
        <w:t>.  </w:t>
      </w:r>
      <w:r w:rsidRPr="003B1303" w:rsidR="001E1F54">
        <w:rPr>
          <w:lang w:val="fr-FR"/>
        </w:rPr>
        <w:t>Le</w:t>
      </w:r>
      <w:r w:rsidRPr="003B1303" w:rsidR="00564B67">
        <w:rPr>
          <w:lang w:val="fr-FR"/>
        </w:rPr>
        <w:t xml:space="preserve"> premier et le</w:t>
      </w:r>
      <w:r w:rsidRPr="003B1303" w:rsidR="001E1F54">
        <w:rPr>
          <w:lang w:val="fr-FR"/>
        </w:rPr>
        <w:t xml:space="preserve"> second</w:t>
      </w:r>
      <w:r w:rsidRPr="003B1303">
        <w:rPr>
          <w:lang w:val="fr-FR"/>
        </w:rPr>
        <w:t xml:space="preserve"> requérant</w:t>
      </w:r>
      <w:r w:rsidRPr="003B1303" w:rsidR="00E77CB3">
        <w:rPr>
          <w:lang w:val="fr-FR"/>
        </w:rPr>
        <w:t xml:space="preserve"> demand</w:t>
      </w:r>
      <w:r w:rsidRPr="003B1303" w:rsidR="001E1F54">
        <w:rPr>
          <w:lang w:val="fr-FR"/>
        </w:rPr>
        <w:t>e</w:t>
      </w:r>
      <w:r w:rsidRPr="003B1303" w:rsidR="003B069D">
        <w:rPr>
          <w:lang w:val="fr-FR"/>
        </w:rPr>
        <w:t>nt</w:t>
      </w:r>
      <w:r w:rsidRPr="003B1303" w:rsidR="001E1F54">
        <w:rPr>
          <w:lang w:val="fr-FR"/>
        </w:rPr>
        <w:t xml:space="preserve"> </w:t>
      </w:r>
      <w:r w:rsidRPr="003B1303" w:rsidR="00564B67">
        <w:rPr>
          <w:lang w:val="fr-FR"/>
        </w:rPr>
        <w:t xml:space="preserve">3 750 et </w:t>
      </w:r>
      <w:r w:rsidRPr="003B1303" w:rsidR="001E1F54">
        <w:rPr>
          <w:lang w:val="fr-FR"/>
        </w:rPr>
        <w:t>3 700</w:t>
      </w:r>
      <w:r w:rsidRPr="003B1303" w:rsidR="00E77CB3">
        <w:rPr>
          <w:lang w:val="fr-FR"/>
        </w:rPr>
        <w:t xml:space="preserve"> EUR</w:t>
      </w:r>
      <w:r w:rsidRPr="003B1303" w:rsidR="00564B67">
        <w:rPr>
          <w:lang w:val="fr-FR"/>
        </w:rPr>
        <w:t xml:space="preserve"> respectivement</w:t>
      </w:r>
      <w:r w:rsidRPr="003B1303" w:rsidR="00E77CB3">
        <w:rPr>
          <w:lang w:val="fr-FR"/>
        </w:rPr>
        <w:t xml:space="preserve"> pour les frais et dépens </w:t>
      </w:r>
      <w:r w:rsidRPr="003B1303" w:rsidR="00AA7CB6">
        <w:rPr>
          <w:lang w:val="fr-FR"/>
        </w:rPr>
        <w:t>qu</w:t>
      </w:r>
      <w:r w:rsidRPr="003B1303" w:rsidR="003B1303">
        <w:rPr>
          <w:lang w:val="fr-FR"/>
        </w:rPr>
        <w:t>’</w:t>
      </w:r>
      <w:r w:rsidRPr="003B1303" w:rsidR="00AA7CB6">
        <w:rPr>
          <w:lang w:val="fr-FR"/>
        </w:rPr>
        <w:t xml:space="preserve">ils disent avoir </w:t>
      </w:r>
      <w:r w:rsidRPr="003B1303" w:rsidR="00E77CB3">
        <w:rPr>
          <w:lang w:val="fr-FR"/>
        </w:rPr>
        <w:t>engagés devant la Cour</w:t>
      </w:r>
      <w:r w:rsidRPr="003B1303" w:rsidR="00D83782">
        <w:rPr>
          <w:lang w:val="fr-FR"/>
        </w:rPr>
        <w:t xml:space="preserve">. </w:t>
      </w:r>
      <w:r w:rsidRPr="003B1303" w:rsidR="001E1F54">
        <w:rPr>
          <w:lang w:val="fr-FR"/>
        </w:rPr>
        <w:t>Il</w:t>
      </w:r>
      <w:r w:rsidRPr="003B1303" w:rsidR="003B069D">
        <w:rPr>
          <w:lang w:val="fr-FR"/>
        </w:rPr>
        <w:t>s</w:t>
      </w:r>
      <w:r w:rsidRPr="003B1303" w:rsidR="001E1F54">
        <w:rPr>
          <w:lang w:val="fr-FR"/>
        </w:rPr>
        <w:t xml:space="preserve"> </w:t>
      </w:r>
      <w:r w:rsidRPr="003B1303" w:rsidR="00AA7CB6">
        <w:rPr>
          <w:lang w:val="fr-FR"/>
        </w:rPr>
        <w:t>sollicitent</w:t>
      </w:r>
      <w:r w:rsidRPr="003B1303" w:rsidR="001E1F54">
        <w:rPr>
          <w:lang w:val="fr-FR"/>
        </w:rPr>
        <w:t xml:space="preserve"> par ailleurs que le montant octroyé par la Cour soit versé directement sur le compte bancaire de </w:t>
      </w:r>
      <w:r w:rsidRPr="003B1303" w:rsidR="00564B67">
        <w:rPr>
          <w:lang w:val="fr-FR"/>
        </w:rPr>
        <w:t>leur représentant</w:t>
      </w:r>
      <w:r w:rsidRPr="003B1303" w:rsidR="003A7E28">
        <w:rPr>
          <w:lang w:val="fr-FR"/>
        </w:rPr>
        <w:t>e</w:t>
      </w:r>
      <w:r w:rsidRPr="003B1303" w:rsidR="00AA7CB6">
        <w:rPr>
          <w:lang w:val="fr-FR"/>
        </w:rPr>
        <w:t>,</w:t>
      </w:r>
      <w:r w:rsidRPr="003B1303" w:rsidR="00564B67">
        <w:rPr>
          <w:lang w:val="fr-FR"/>
        </w:rPr>
        <w:t xml:space="preserve"> </w:t>
      </w:r>
      <w:r w:rsidRPr="003B1303" w:rsidR="00D83782">
        <w:rPr>
          <w:lang w:val="fr-FR"/>
        </w:rPr>
        <w:t>M</w:t>
      </w:r>
      <w:r w:rsidRPr="003B1303" w:rsidR="00494620">
        <w:rPr>
          <w:vertAlign w:val="superscript"/>
          <w:lang w:val="fr-FR"/>
        </w:rPr>
        <w:t>m</w:t>
      </w:r>
      <w:r w:rsidRPr="003B1303" w:rsidR="00D83782">
        <w:rPr>
          <w:vertAlign w:val="superscript"/>
          <w:lang w:val="fr-FR"/>
        </w:rPr>
        <w:t>e</w:t>
      </w:r>
      <w:r w:rsidRPr="003B1303" w:rsidR="003B069D">
        <w:rPr>
          <w:lang w:val="fr-FR"/>
        </w:rPr>
        <w:t> Y.V. </w:t>
      </w:r>
      <w:r w:rsidRPr="003B1303" w:rsidR="00D83782">
        <w:rPr>
          <w:lang w:val="fr-FR"/>
        </w:rPr>
        <w:t>Yefremova.</w:t>
      </w:r>
    </w:p>
    <w:p w:rsidRPr="003B1303" w:rsidR="00BE4C83" w:rsidP="003B1303" w:rsidRDefault="00F04697">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214</w:t>
      </w:r>
      <w:r w:rsidRPr="003B1303">
        <w:rPr>
          <w:lang w:val="fr-FR"/>
        </w:rPr>
        <w:fldChar w:fldCharType="end"/>
      </w:r>
      <w:r w:rsidRPr="003B1303">
        <w:rPr>
          <w:lang w:val="fr-FR"/>
        </w:rPr>
        <w:t>.  </w:t>
      </w:r>
      <w:r w:rsidRPr="003B1303" w:rsidR="00564B67">
        <w:rPr>
          <w:lang w:val="fr-FR"/>
        </w:rPr>
        <w:t xml:space="preserve">Le premier requérant demande en outre 1 850 000 RUB pour les frais et dépens </w:t>
      </w:r>
      <w:r w:rsidRPr="003B1303" w:rsidR="003A7E28">
        <w:rPr>
          <w:lang w:val="fr-FR"/>
        </w:rPr>
        <w:t>qu</w:t>
      </w:r>
      <w:r w:rsidRPr="003B1303" w:rsidR="003B1303">
        <w:rPr>
          <w:lang w:val="fr-FR"/>
        </w:rPr>
        <w:t>’</w:t>
      </w:r>
      <w:r w:rsidRPr="003B1303" w:rsidR="003A7E28">
        <w:rPr>
          <w:lang w:val="fr-FR"/>
        </w:rPr>
        <w:t xml:space="preserve">il aurait </w:t>
      </w:r>
      <w:r w:rsidRPr="003B1303" w:rsidR="00564B67">
        <w:rPr>
          <w:lang w:val="fr-FR"/>
        </w:rPr>
        <w:t>engagés devant le</w:t>
      </w:r>
      <w:r w:rsidRPr="003B1303">
        <w:rPr>
          <w:lang w:val="fr-FR"/>
        </w:rPr>
        <w:t>s juridictions internes</w:t>
      </w:r>
      <w:r w:rsidRPr="003B1303" w:rsidR="00104506">
        <w:rPr>
          <w:lang w:val="fr-FR"/>
        </w:rPr>
        <w:t xml:space="preserve">. </w:t>
      </w:r>
      <w:r w:rsidRPr="003B1303" w:rsidR="00896C2F">
        <w:rPr>
          <w:lang w:val="fr-FR"/>
        </w:rPr>
        <w:t>Il soumet à cet égard des copies de convention d</w:t>
      </w:r>
      <w:r w:rsidRPr="003B1303" w:rsidR="003B1303">
        <w:rPr>
          <w:lang w:val="fr-FR"/>
        </w:rPr>
        <w:t>’</w:t>
      </w:r>
      <w:r w:rsidRPr="003B1303" w:rsidR="00896C2F">
        <w:rPr>
          <w:lang w:val="fr-FR"/>
        </w:rPr>
        <w:t>assistance juridique conclue</w:t>
      </w:r>
      <w:r w:rsidRPr="003B1303" w:rsidR="001B7921">
        <w:rPr>
          <w:lang w:val="fr-FR"/>
        </w:rPr>
        <w:t>s</w:t>
      </w:r>
      <w:r w:rsidRPr="003B1303" w:rsidR="00896C2F">
        <w:rPr>
          <w:lang w:val="fr-FR"/>
        </w:rPr>
        <w:t xml:space="preserve"> avec ses avocates</w:t>
      </w:r>
      <w:r w:rsidRPr="003B1303" w:rsidR="003A7E28">
        <w:rPr>
          <w:lang w:val="fr-FR"/>
        </w:rPr>
        <w:t>,</w:t>
      </w:r>
      <w:r w:rsidRPr="003B1303" w:rsidR="00896C2F">
        <w:rPr>
          <w:lang w:val="fr-FR"/>
        </w:rPr>
        <w:t xml:space="preserve"> M</w:t>
      </w:r>
      <w:r w:rsidRPr="003B1303" w:rsidR="00896C2F">
        <w:rPr>
          <w:vertAlign w:val="superscript"/>
          <w:lang w:val="fr-FR"/>
        </w:rPr>
        <w:t>es</w:t>
      </w:r>
      <w:r w:rsidRPr="003B1303" w:rsidR="00896C2F">
        <w:rPr>
          <w:lang w:val="fr-FR"/>
        </w:rPr>
        <w:t xml:space="preserve"> </w:t>
      </w:r>
      <w:proofErr w:type="spellStart"/>
      <w:r w:rsidRPr="003B1303" w:rsidR="00896C2F">
        <w:rPr>
          <w:lang w:val="fr-FR"/>
        </w:rPr>
        <w:t>Ye</w:t>
      </w:r>
      <w:proofErr w:type="spellEnd"/>
      <w:r w:rsidRPr="003B1303" w:rsidR="00896C2F">
        <w:rPr>
          <w:lang w:val="fr-FR"/>
        </w:rPr>
        <w:t xml:space="preserve">. </w:t>
      </w:r>
      <w:proofErr w:type="gramStart"/>
      <w:r w:rsidRPr="003B1303" w:rsidR="00896C2F">
        <w:rPr>
          <w:lang w:val="fr-FR"/>
        </w:rPr>
        <w:t>et</w:t>
      </w:r>
      <w:proofErr w:type="gramEnd"/>
      <w:r w:rsidRPr="003B1303" w:rsidR="00896C2F">
        <w:rPr>
          <w:lang w:val="fr-FR"/>
        </w:rPr>
        <w:t xml:space="preserve"> F.</w:t>
      </w:r>
      <w:r w:rsidRPr="003B1303" w:rsidR="003A7E28">
        <w:rPr>
          <w:lang w:val="fr-FR"/>
        </w:rPr>
        <w:t>,</w:t>
      </w:r>
      <w:r w:rsidRPr="003B1303" w:rsidR="00896C2F">
        <w:rPr>
          <w:lang w:val="fr-FR"/>
        </w:rPr>
        <w:t xml:space="preserve"> le 11 avril 2008</w:t>
      </w:r>
      <w:r w:rsidRPr="003B1303" w:rsidR="00557AF0">
        <w:rPr>
          <w:lang w:val="fr-FR"/>
        </w:rPr>
        <w:t xml:space="preserve"> et le 1</w:t>
      </w:r>
      <w:r w:rsidRPr="003B1303" w:rsidR="00557AF0">
        <w:rPr>
          <w:vertAlign w:val="superscript"/>
          <w:lang w:val="fr-FR"/>
        </w:rPr>
        <w:t>er</w:t>
      </w:r>
      <w:r w:rsidRPr="003B1303" w:rsidR="00557AF0">
        <w:rPr>
          <w:lang w:val="fr-FR"/>
        </w:rPr>
        <w:t xml:space="preserve"> février 2010 respectivement</w:t>
      </w:r>
      <w:r w:rsidRPr="003B1303" w:rsidR="00896C2F">
        <w:rPr>
          <w:lang w:val="fr-FR"/>
        </w:rPr>
        <w:t>.</w:t>
      </w:r>
    </w:p>
    <w:p w:rsidRPr="003B1303" w:rsidR="00BE4C83" w:rsidP="003B1303" w:rsidRDefault="004C0536">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215</w:t>
      </w:r>
      <w:r w:rsidRPr="003B1303">
        <w:rPr>
          <w:lang w:val="fr-FR"/>
        </w:rPr>
        <w:fldChar w:fldCharType="end"/>
      </w:r>
      <w:r w:rsidRPr="003B1303">
        <w:rPr>
          <w:lang w:val="fr-FR"/>
        </w:rPr>
        <w:t xml:space="preserve">.  Le Gouvernement estime que les montants réclamés </w:t>
      </w:r>
      <w:r w:rsidRPr="003B1303" w:rsidR="00A236D8">
        <w:rPr>
          <w:lang w:val="fr-FR"/>
        </w:rPr>
        <w:t xml:space="preserve">au titre des frais engagés devant la Cour </w:t>
      </w:r>
      <w:r w:rsidRPr="003B1303">
        <w:rPr>
          <w:lang w:val="fr-FR"/>
        </w:rPr>
        <w:t>sont excessifs eu égard à la complexité de l</w:t>
      </w:r>
      <w:r w:rsidRPr="003B1303" w:rsidR="003B1303">
        <w:rPr>
          <w:lang w:val="fr-FR"/>
        </w:rPr>
        <w:t>’</w:t>
      </w:r>
      <w:r w:rsidRPr="003B1303">
        <w:rPr>
          <w:lang w:val="fr-FR"/>
        </w:rPr>
        <w:t>affaire</w:t>
      </w:r>
      <w:r w:rsidRPr="003B1303" w:rsidR="003A7E28">
        <w:rPr>
          <w:lang w:val="fr-FR"/>
        </w:rPr>
        <w:t>,</w:t>
      </w:r>
      <w:r w:rsidRPr="003B1303">
        <w:rPr>
          <w:lang w:val="fr-FR"/>
        </w:rPr>
        <w:t xml:space="preserve"> qu</w:t>
      </w:r>
      <w:r w:rsidRPr="003B1303" w:rsidR="003B1303">
        <w:rPr>
          <w:lang w:val="fr-FR"/>
        </w:rPr>
        <w:t>’</w:t>
      </w:r>
      <w:r w:rsidRPr="003B1303" w:rsidR="003A7E28">
        <w:rPr>
          <w:lang w:val="fr-FR"/>
        </w:rPr>
        <w:t>il</w:t>
      </w:r>
      <w:r w:rsidRPr="003B1303">
        <w:rPr>
          <w:lang w:val="fr-FR"/>
        </w:rPr>
        <w:t xml:space="preserve"> qualifie de faible</w:t>
      </w:r>
      <w:r w:rsidRPr="003B1303" w:rsidR="003A7E28">
        <w:rPr>
          <w:lang w:val="fr-FR"/>
        </w:rPr>
        <w:t>,</w:t>
      </w:r>
      <w:r w:rsidRPr="003B1303">
        <w:rPr>
          <w:lang w:val="fr-FR"/>
        </w:rPr>
        <w:t xml:space="preserve"> et au volume du travail que devait accomplir de ce fait la représentante des requérants.</w:t>
      </w:r>
    </w:p>
    <w:p w:rsidRPr="003B1303" w:rsidR="00896C2F" w:rsidP="003B1303" w:rsidRDefault="00896C2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216</w:t>
      </w:r>
      <w:r w:rsidRPr="003B1303">
        <w:rPr>
          <w:lang w:val="fr-FR"/>
        </w:rPr>
        <w:fldChar w:fldCharType="end"/>
      </w:r>
      <w:r w:rsidRPr="003B1303">
        <w:rPr>
          <w:lang w:val="fr-FR"/>
        </w:rPr>
        <w:t>.  S</w:t>
      </w:r>
      <w:r w:rsidRPr="003B1303" w:rsidR="003B1303">
        <w:rPr>
          <w:lang w:val="fr-FR"/>
        </w:rPr>
        <w:t>’</w:t>
      </w:r>
      <w:r w:rsidRPr="003B1303">
        <w:rPr>
          <w:lang w:val="fr-FR"/>
        </w:rPr>
        <w:t>agissant des frais et dépens exposés devant les juridictions nationales</w:t>
      </w:r>
      <w:r w:rsidRPr="003B1303" w:rsidR="003B069D">
        <w:rPr>
          <w:lang w:val="fr-FR"/>
        </w:rPr>
        <w:t xml:space="preserve"> par le premier requérant</w:t>
      </w:r>
      <w:r w:rsidRPr="003B1303">
        <w:rPr>
          <w:lang w:val="fr-FR"/>
        </w:rPr>
        <w:t>, la Cour rappelle que, selon sa jurisprudence, un requérant ne peut obtenir le remboursement de ses frais et dépens que dans la mesure où se trouvent établis leur réalité, leur nécessité et le caractère raisonnable de leur taux ; en vertu de l</w:t>
      </w:r>
      <w:r w:rsidRPr="003B1303" w:rsidR="003B1303">
        <w:rPr>
          <w:lang w:val="fr-FR"/>
        </w:rPr>
        <w:t>’</w:t>
      </w:r>
      <w:r w:rsidRPr="003B1303">
        <w:rPr>
          <w:lang w:val="fr-FR"/>
        </w:rPr>
        <w:t>article 60 §§ 2 et 3 du règlement de la Cour, il doit soumettre des prétentions chiffrées et ventilées par rubriques et accompagnées des justificatifs pertinents, faute de quoi la Cour peut rejeter tout ou une partie de celles-ci (</w:t>
      </w:r>
      <w:proofErr w:type="spellStart"/>
      <w:r w:rsidRPr="003B1303">
        <w:rPr>
          <w:i/>
          <w:lang w:val="fr-FR"/>
        </w:rPr>
        <w:t>Mazelié</w:t>
      </w:r>
      <w:proofErr w:type="spellEnd"/>
      <w:r w:rsidRPr="003B1303">
        <w:rPr>
          <w:i/>
          <w:lang w:val="fr-FR"/>
        </w:rPr>
        <w:t xml:space="preserve"> c. France</w:t>
      </w:r>
      <w:r w:rsidRPr="003B1303">
        <w:rPr>
          <w:lang w:val="fr-FR"/>
        </w:rPr>
        <w:t>, n</w:t>
      </w:r>
      <w:r w:rsidRPr="003B1303">
        <w:rPr>
          <w:vertAlign w:val="superscript"/>
          <w:lang w:val="fr-FR"/>
        </w:rPr>
        <w:t>o</w:t>
      </w:r>
      <w:r w:rsidRPr="003B1303" w:rsidR="002B69B2">
        <w:rPr>
          <w:vertAlign w:val="superscript"/>
          <w:lang w:val="fr-FR"/>
        </w:rPr>
        <w:t> </w:t>
      </w:r>
      <w:r w:rsidRPr="003B1303" w:rsidR="00AA3DD8">
        <w:rPr>
          <w:lang w:val="fr-FR"/>
        </w:rPr>
        <w:t>5356/04</w:t>
      </w:r>
      <w:r w:rsidRPr="003B1303">
        <w:rPr>
          <w:lang w:val="fr-FR"/>
        </w:rPr>
        <w:t>, § 39, 27 juin 2006).</w:t>
      </w:r>
    </w:p>
    <w:p w:rsidRPr="003B1303" w:rsidR="00BE4C83" w:rsidP="003B1303" w:rsidRDefault="00896C2F">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217</w:t>
      </w:r>
      <w:r w:rsidRPr="003B1303">
        <w:rPr>
          <w:lang w:val="fr-FR"/>
        </w:rPr>
        <w:fldChar w:fldCharType="end"/>
      </w:r>
      <w:r w:rsidRPr="003B1303">
        <w:rPr>
          <w:lang w:val="fr-FR"/>
        </w:rPr>
        <w:t>.  En l</w:t>
      </w:r>
      <w:r w:rsidRPr="003B1303" w:rsidR="003B1303">
        <w:rPr>
          <w:lang w:val="fr-FR"/>
        </w:rPr>
        <w:t>’</w:t>
      </w:r>
      <w:r w:rsidRPr="003B1303">
        <w:rPr>
          <w:lang w:val="fr-FR"/>
        </w:rPr>
        <w:t xml:space="preserve">occurrence, les prétentions du premier requérant </w:t>
      </w:r>
      <w:r w:rsidRPr="003B1303" w:rsidR="000769AD">
        <w:rPr>
          <w:lang w:val="fr-FR"/>
        </w:rPr>
        <w:t>afférentes aux frais engagés devant les juridictions internes</w:t>
      </w:r>
      <w:r w:rsidRPr="003B1303" w:rsidR="003B069D">
        <w:rPr>
          <w:lang w:val="fr-FR"/>
        </w:rPr>
        <w:t xml:space="preserve"> </w:t>
      </w:r>
      <w:r w:rsidRPr="003B1303" w:rsidR="00104506">
        <w:rPr>
          <w:lang w:val="fr-FR"/>
        </w:rPr>
        <w:t xml:space="preserve">ne sont pas </w:t>
      </w:r>
      <w:r w:rsidRPr="003B1303" w:rsidR="00D34899">
        <w:rPr>
          <w:lang w:val="fr-FR"/>
        </w:rPr>
        <w:t>ventilé</w:t>
      </w:r>
      <w:r w:rsidRPr="003B1303" w:rsidR="000769AD">
        <w:rPr>
          <w:lang w:val="fr-FR"/>
        </w:rPr>
        <w:t>e</w:t>
      </w:r>
      <w:r w:rsidRPr="003B1303" w:rsidR="00D34899">
        <w:rPr>
          <w:lang w:val="fr-FR"/>
        </w:rPr>
        <w:t xml:space="preserve">s par rubriques et </w:t>
      </w:r>
      <w:r w:rsidRPr="003B1303" w:rsidR="000769AD">
        <w:rPr>
          <w:lang w:val="fr-FR"/>
        </w:rPr>
        <w:t>elles</w:t>
      </w:r>
      <w:r w:rsidRPr="003B1303" w:rsidR="00D34899">
        <w:rPr>
          <w:lang w:val="fr-FR"/>
        </w:rPr>
        <w:t xml:space="preserve"> ne sont </w:t>
      </w:r>
      <w:r w:rsidRPr="003B1303" w:rsidR="00301A55">
        <w:rPr>
          <w:lang w:val="fr-FR"/>
        </w:rPr>
        <w:t xml:space="preserve">pas </w:t>
      </w:r>
      <w:r w:rsidRPr="003B1303" w:rsidR="00104506">
        <w:rPr>
          <w:lang w:val="fr-FR"/>
        </w:rPr>
        <w:t>non plus étayé</w:t>
      </w:r>
      <w:r w:rsidRPr="003B1303" w:rsidR="00CF6C88">
        <w:rPr>
          <w:lang w:val="fr-FR"/>
        </w:rPr>
        <w:t>e</w:t>
      </w:r>
      <w:r w:rsidRPr="003B1303" w:rsidR="00104506">
        <w:rPr>
          <w:lang w:val="fr-FR"/>
        </w:rPr>
        <w:t xml:space="preserve">s par des justificatifs précis à cet égard. La Cour rejette donc </w:t>
      </w:r>
      <w:r w:rsidRPr="003B1303" w:rsidR="000769AD">
        <w:rPr>
          <w:lang w:val="fr-FR"/>
        </w:rPr>
        <w:t>cette partie des</w:t>
      </w:r>
      <w:r w:rsidRPr="003B1303" w:rsidR="00104506">
        <w:rPr>
          <w:lang w:val="fr-FR"/>
        </w:rPr>
        <w:t xml:space="preserve"> prétentions du premier </w:t>
      </w:r>
      <w:r w:rsidRPr="003B1303">
        <w:rPr>
          <w:lang w:val="fr-FR"/>
        </w:rPr>
        <w:t>requérant.</w:t>
      </w:r>
    </w:p>
    <w:p w:rsidRPr="003B1303" w:rsidR="00D83782"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218</w:t>
      </w:r>
      <w:r w:rsidRPr="003B1303">
        <w:rPr>
          <w:lang w:val="fr-FR"/>
        </w:rPr>
        <w:fldChar w:fldCharType="end"/>
      </w:r>
      <w:r w:rsidRPr="003B1303" w:rsidR="00E77CB3">
        <w:rPr>
          <w:lang w:val="fr-FR"/>
        </w:rPr>
        <w:t>.  </w:t>
      </w:r>
      <w:r w:rsidRPr="003B1303" w:rsidR="00896C2F">
        <w:rPr>
          <w:lang w:val="fr-FR"/>
        </w:rPr>
        <w:t>S</w:t>
      </w:r>
      <w:r w:rsidRPr="003B1303" w:rsidR="003B1303">
        <w:rPr>
          <w:lang w:val="fr-FR"/>
        </w:rPr>
        <w:t>’</w:t>
      </w:r>
      <w:r w:rsidRPr="003B1303" w:rsidR="00896C2F">
        <w:rPr>
          <w:lang w:val="fr-FR"/>
        </w:rPr>
        <w:t xml:space="preserve">agissant des frais de représentation </w:t>
      </w:r>
      <w:r w:rsidRPr="003B1303" w:rsidR="00D34899">
        <w:rPr>
          <w:lang w:val="fr-FR"/>
        </w:rPr>
        <w:t>engagés par le</w:t>
      </w:r>
      <w:r w:rsidRPr="003B1303" w:rsidR="003A7E28">
        <w:rPr>
          <w:lang w:val="fr-FR"/>
        </w:rPr>
        <w:t>s</w:t>
      </w:r>
      <w:r w:rsidRPr="003B1303" w:rsidR="00D34899">
        <w:rPr>
          <w:lang w:val="fr-FR"/>
        </w:rPr>
        <w:t xml:space="preserve"> requérant</w:t>
      </w:r>
      <w:r w:rsidRPr="003B1303" w:rsidR="003A7E28">
        <w:rPr>
          <w:lang w:val="fr-FR"/>
        </w:rPr>
        <w:t>s</w:t>
      </w:r>
      <w:r w:rsidRPr="003B1303" w:rsidR="00D34899">
        <w:rPr>
          <w:lang w:val="fr-FR"/>
        </w:rPr>
        <w:t xml:space="preserve"> pour la procédure devant elle</w:t>
      </w:r>
      <w:r w:rsidRPr="003B1303" w:rsidR="00896C2F">
        <w:rPr>
          <w:lang w:val="fr-FR"/>
        </w:rPr>
        <w:t xml:space="preserve">, </w:t>
      </w:r>
      <w:r w:rsidRPr="003B1303" w:rsidR="00D34899">
        <w:rPr>
          <w:lang w:val="fr-FR"/>
        </w:rPr>
        <w:t>eu égard aux</w:t>
      </w:r>
      <w:r w:rsidRPr="003B1303" w:rsidR="00E77CB3">
        <w:rPr>
          <w:lang w:val="fr-FR"/>
        </w:rPr>
        <w:t xml:space="preserve"> documents </w:t>
      </w:r>
      <w:r w:rsidRPr="003B1303" w:rsidR="00D576CF">
        <w:rPr>
          <w:lang w:val="fr-FR"/>
        </w:rPr>
        <w:t>dont elle dispose</w:t>
      </w:r>
      <w:r w:rsidRPr="003B1303" w:rsidR="00E77CB3">
        <w:rPr>
          <w:lang w:val="fr-FR"/>
        </w:rPr>
        <w:t xml:space="preserve"> et </w:t>
      </w:r>
      <w:r w:rsidRPr="003B1303" w:rsidR="00D34899">
        <w:rPr>
          <w:lang w:val="fr-FR"/>
        </w:rPr>
        <w:t>à</w:t>
      </w:r>
      <w:r w:rsidRPr="003B1303" w:rsidR="00E77CB3">
        <w:rPr>
          <w:lang w:val="fr-FR"/>
        </w:rPr>
        <w:t xml:space="preserve"> sa jurisprudence, la Cour </w:t>
      </w:r>
      <w:r w:rsidRPr="003B1303" w:rsidR="00D83782">
        <w:rPr>
          <w:lang w:val="fr-FR"/>
        </w:rPr>
        <w:t>estime raisonnable</w:t>
      </w:r>
      <w:r w:rsidRPr="003B1303" w:rsidR="003B12EC">
        <w:rPr>
          <w:lang w:val="fr-FR"/>
        </w:rPr>
        <w:t>s</w:t>
      </w:r>
      <w:r w:rsidRPr="003B1303" w:rsidR="00D83782">
        <w:rPr>
          <w:lang w:val="fr-FR"/>
        </w:rPr>
        <w:t xml:space="preserve"> l</w:t>
      </w:r>
      <w:r w:rsidRPr="003B1303" w:rsidR="00557AF0">
        <w:rPr>
          <w:lang w:val="fr-FR"/>
        </w:rPr>
        <w:t>es</w:t>
      </w:r>
      <w:r w:rsidRPr="003B1303" w:rsidR="00D83782">
        <w:rPr>
          <w:lang w:val="fr-FR"/>
        </w:rPr>
        <w:t xml:space="preserve"> somme</w:t>
      </w:r>
      <w:r w:rsidRPr="003B1303" w:rsidR="00557AF0">
        <w:rPr>
          <w:lang w:val="fr-FR"/>
        </w:rPr>
        <w:t>s</w:t>
      </w:r>
      <w:r w:rsidRPr="003B1303" w:rsidR="00D83782">
        <w:rPr>
          <w:lang w:val="fr-FR"/>
        </w:rPr>
        <w:t xml:space="preserve"> de </w:t>
      </w:r>
      <w:r w:rsidRPr="003B1303" w:rsidR="000769AD">
        <w:rPr>
          <w:lang w:val="fr-FR"/>
        </w:rPr>
        <w:t xml:space="preserve">2 200 et </w:t>
      </w:r>
      <w:r w:rsidRPr="003B1303" w:rsidR="00266FF3">
        <w:rPr>
          <w:lang w:val="fr-FR"/>
        </w:rPr>
        <w:t>1</w:t>
      </w:r>
      <w:r w:rsidRPr="003B1303" w:rsidR="00494620">
        <w:rPr>
          <w:lang w:val="fr-FR"/>
        </w:rPr>
        <w:t> </w:t>
      </w:r>
      <w:r w:rsidRPr="003B1303" w:rsidR="00266FF3">
        <w:rPr>
          <w:lang w:val="fr-FR"/>
        </w:rPr>
        <w:t>900</w:t>
      </w:r>
      <w:r w:rsidRPr="003B1303" w:rsidR="003A7E28">
        <w:rPr>
          <w:lang w:val="fr-FR"/>
        </w:rPr>
        <w:t> </w:t>
      </w:r>
      <w:r w:rsidRPr="003B1303" w:rsidR="00D83782">
        <w:rPr>
          <w:lang w:val="fr-FR"/>
        </w:rPr>
        <w:t>EUR</w:t>
      </w:r>
      <w:r w:rsidRPr="003B1303" w:rsidR="00557AF0">
        <w:rPr>
          <w:lang w:val="fr-FR"/>
        </w:rPr>
        <w:t xml:space="preserve"> respectivement. D</w:t>
      </w:r>
      <w:r w:rsidRPr="003B1303" w:rsidR="00D83782">
        <w:rPr>
          <w:lang w:val="fr-FR"/>
        </w:rPr>
        <w:t>édui</w:t>
      </w:r>
      <w:r w:rsidRPr="003B1303" w:rsidR="00557AF0">
        <w:rPr>
          <w:lang w:val="fr-FR"/>
        </w:rPr>
        <w:t>sant le</w:t>
      </w:r>
      <w:r w:rsidRPr="003B1303" w:rsidR="00D83782">
        <w:rPr>
          <w:lang w:val="fr-FR"/>
        </w:rPr>
        <w:t xml:space="preserve">s </w:t>
      </w:r>
      <w:r w:rsidRPr="003B1303" w:rsidR="00266FF3">
        <w:rPr>
          <w:lang w:val="fr-FR"/>
        </w:rPr>
        <w:t>850</w:t>
      </w:r>
      <w:r w:rsidRPr="003B1303" w:rsidR="00D83782">
        <w:rPr>
          <w:lang w:val="fr-FR"/>
        </w:rPr>
        <w:t xml:space="preserve"> EUR </w:t>
      </w:r>
      <w:r w:rsidRPr="003B1303" w:rsidR="00D34899">
        <w:rPr>
          <w:lang w:val="fr-FR"/>
        </w:rPr>
        <w:t>accordé</w:t>
      </w:r>
      <w:r w:rsidRPr="003B1303" w:rsidR="00557AF0">
        <w:rPr>
          <w:lang w:val="fr-FR"/>
        </w:rPr>
        <w:t>s</w:t>
      </w:r>
      <w:r w:rsidRPr="003B1303" w:rsidR="00D34899">
        <w:rPr>
          <w:lang w:val="fr-FR"/>
        </w:rPr>
        <w:t xml:space="preserve"> à chacun des requérants</w:t>
      </w:r>
      <w:r w:rsidRPr="003B1303" w:rsidR="00557AF0">
        <w:rPr>
          <w:lang w:val="fr-FR"/>
        </w:rPr>
        <w:t xml:space="preserve"> dans le cadre de l</w:t>
      </w:r>
      <w:r w:rsidRPr="003B1303" w:rsidR="003B1303">
        <w:rPr>
          <w:lang w:val="fr-FR"/>
        </w:rPr>
        <w:t>’</w:t>
      </w:r>
      <w:r w:rsidRPr="003B1303" w:rsidR="00557AF0">
        <w:rPr>
          <w:lang w:val="fr-FR"/>
        </w:rPr>
        <w:t>assistance judiciaire et déjà versés à M</w:t>
      </w:r>
      <w:r w:rsidRPr="003B1303" w:rsidR="00557AF0">
        <w:rPr>
          <w:vertAlign w:val="superscript"/>
          <w:lang w:val="fr-FR"/>
        </w:rPr>
        <w:t>e</w:t>
      </w:r>
      <w:r w:rsidRPr="003B1303" w:rsidR="00557AF0">
        <w:rPr>
          <w:lang w:val="fr-FR"/>
        </w:rPr>
        <w:t> Y.V.</w:t>
      </w:r>
      <w:r w:rsidRPr="003B1303" w:rsidR="00BB5417">
        <w:rPr>
          <w:lang w:val="fr-FR"/>
        </w:rPr>
        <w:t> </w:t>
      </w:r>
      <w:r w:rsidRPr="003B1303" w:rsidR="00557AF0">
        <w:rPr>
          <w:lang w:val="fr-FR"/>
        </w:rPr>
        <w:t>Yefremova, la Cour</w:t>
      </w:r>
      <w:r w:rsidRPr="003B1303" w:rsidR="00D83782">
        <w:rPr>
          <w:lang w:val="fr-FR"/>
        </w:rPr>
        <w:t xml:space="preserve"> accorde donc au</w:t>
      </w:r>
      <w:r w:rsidRPr="003B1303" w:rsidR="00266FF3">
        <w:rPr>
          <w:lang w:val="fr-FR"/>
        </w:rPr>
        <w:t xml:space="preserve"> premier et au second requérant 1</w:t>
      </w:r>
      <w:r w:rsidRPr="003B1303" w:rsidR="003A7E28">
        <w:rPr>
          <w:lang w:val="fr-FR"/>
        </w:rPr>
        <w:t> </w:t>
      </w:r>
      <w:r w:rsidRPr="003B1303" w:rsidR="00266FF3">
        <w:rPr>
          <w:lang w:val="fr-FR"/>
        </w:rPr>
        <w:t>350</w:t>
      </w:r>
      <w:r w:rsidRPr="003B1303" w:rsidR="003A7E28">
        <w:rPr>
          <w:lang w:val="fr-FR"/>
        </w:rPr>
        <w:t> </w:t>
      </w:r>
      <w:r w:rsidRPr="003B1303" w:rsidR="00266FF3">
        <w:rPr>
          <w:lang w:val="fr-FR"/>
        </w:rPr>
        <w:t>et 1</w:t>
      </w:r>
      <w:r w:rsidRPr="003B1303" w:rsidR="00BB5417">
        <w:rPr>
          <w:lang w:val="fr-FR"/>
        </w:rPr>
        <w:t> </w:t>
      </w:r>
      <w:r w:rsidRPr="003B1303" w:rsidR="00266FF3">
        <w:rPr>
          <w:lang w:val="fr-FR"/>
        </w:rPr>
        <w:t>050</w:t>
      </w:r>
      <w:r w:rsidRPr="003B1303" w:rsidR="00D83782">
        <w:rPr>
          <w:lang w:val="fr-FR"/>
        </w:rPr>
        <w:t xml:space="preserve"> EUR </w:t>
      </w:r>
      <w:r w:rsidRPr="003B1303" w:rsidR="00266FF3">
        <w:rPr>
          <w:lang w:val="fr-FR"/>
        </w:rPr>
        <w:t xml:space="preserve">respectivement </w:t>
      </w:r>
      <w:r w:rsidRPr="003B1303" w:rsidR="00D83782">
        <w:rPr>
          <w:lang w:val="fr-FR"/>
        </w:rPr>
        <w:t xml:space="preserve">au titre des frais et dépens pour la procédure devant elle, à verser sur le compte bancaire de </w:t>
      </w:r>
      <w:r w:rsidRPr="003B1303" w:rsidR="00D34899">
        <w:rPr>
          <w:lang w:val="fr-FR"/>
        </w:rPr>
        <w:t>M</w:t>
      </w:r>
      <w:r w:rsidRPr="003B1303" w:rsidR="00D34899">
        <w:rPr>
          <w:vertAlign w:val="superscript"/>
          <w:lang w:val="fr-FR"/>
        </w:rPr>
        <w:t>e</w:t>
      </w:r>
      <w:r w:rsidRPr="003B1303" w:rsidR="00266FF3">
        <w:rPr>
          <w:lang w:val="fr-FR"/>
        </w:rPr>
        <w:t> Y.V. </w:t>
      </w:r>
      <w:r w:rsidRPr="003B1303" w:rsidR="00D34899">
        <w:rPr>
          <w:lang w:val="fr-FR"/>
        </w:rPr>
        <w:t>Yefremova</w:t>
      </w:r>
      <w:r w:rsidRPr="003B1303" w:rsidR="00896C2F">
        <w:rPr>
          <w:lang w:val="fr-FR"/>
        </w:rPr>
        <w:t>.</w:t>
      </w:r>
    </w:p>
    <w:p w:rsidRPr="003B1303" w:rsidR="00E77CB3" w:rsidP="003B1303" w:rsidRDefault="00E77CB3">
      <w:pPr>
        <w:pStyle w:val="ECHRHeading2"/>
        <w:rPr>
          <w:lang w:val="fr-FR"/>
        </w:rPr>
      </w:pPr>
      <w:r w:rsidRPr="003B1303">
        <w:rPr>
          <w:lang w:val="fr-FR"/>
        </w:rPr>
        <w:t>C.  Intérêts moratoires</w:t>
      </w:r>
    </w:p>
    <w:p w:rsidRPr="003B1303" w:rsidR="00E77CB3" w:rsidP="003B1303" w:rsidRDefault="00687C74">
      <w:pPr>
        <w:pStyle w:val="ECHRPara"/>
        <w:rPr>
          <w:lang w:val="fr-FR"/>
        </w:rPr>
      </w:pPr>
      <w:r w:rsidRPr="003B1303">
        <w:rPr>
          <w:lang w:val="fr-FR"/>
        </w:rPr>
        <w:fldChar w:fldCharType="begin"/>
      </w:r>
      <w:r w:rsidRPr="003B1303">
        <w:rPr>
          <w:lang w:val="fr-FR"/>
        </w:rPr>
        <w:instrText xml:space="preserve"> SEQ level0 \*arabic </w:instrText>
      </w:r>
      <w:r w:rsidRPr="003B1303">
        <w:rPr>
          <w:lang w:val="fr-FR"/>
        </w:rPr>
        <w:fldChar w:fldCharType="separate"/>
      </w:r>
      <w:r w:rsidR="003B1303">
        <w:rPr>
          <w:noProof/>
          <w:lang w:val="fr-FR"/>
        </w:rPr>
        <w:t>219</w:t>
      </w:r>
      <w:r w:rsidRPr="003B1303">
        <w:rPr>
          <w:lang w:val="fr-FR"/>
        </w:rPr>
        <w:fldChar w:fldCharType="end"/>
      </w:r>
      <w:r w:rsidRPr="003B1303" w:rsidR="00E77CB3">
        <w:rPr>
          <w:lang w:val="fr-FR"/>
        </w:rPr>
        <w:t>.  La Cour juge approprié de calquer le taux des intérêts moratoires sur le taux d</w:t>
      </w:r>
      <w:r w:rsidRPr="003B1303" w:rsidR="003B1303">
        <w:rPr>
          <w:lang w:val="fr-FR"/>
        </w:rPr>
        <w:t>’</w:t>
      </w:r>
      <w:r w:rsidRPr="003B1303" w:rsidR="00E77CB3">
        <w:rPr>
          <w:lang w:val="fr-FR"/>
        </w:rPr>
        <w:t>intérêt de la facilité de prêt marginal de la Banque centrale européenne majoré de trois points de pourcentage.</w:t>
      </w:r>
    </w:p>
    <w:p w:rsidRPr="003B1303" w:rsidR="00E77CB3" w:rsidP="003B1303" w:rsidRDefault="00E77CB3">
      <w:pPr>
        <w:pStyle w:val="ECHRTitle1"/>
        <w:rPr>
          <w:lang w:val="fr-FR"/>
        </w:rPr>
      </w:pPr>
      <w:r w:rsidRPr="003B1303">
        <w:rPr>
          <w:lang w:val="fr-FR"/>
        </w:rPr>
        <w:t>PAR CES MOTIFS, LA COUR</w:t>
      </w:r>
      <w:r w:rsidRPr="003B1303" w:rsidR="00687C74">
        <w:rPr>
          <w:lang w:val="fr-FR"/>
        </w:rPr>
        <w:t>, À L</w:t>
      </w:r>
      <w:r w:rsidRPr="003B1303" w:rsidR="003B1303">
        <w:rPr>
          <w:lang w:val="fr-FR"/>
        </w:rPr>
        <w:t>’</w:t>
      </w:r>
      <w:r w:rsidRPr="003B1303" w:rsidR="00687C74">
        <w:rPr>
          <w:lang w:val="fr-FR"/>
        </w:rPr>
        <w:t>UNANIMITÉ,</w:t>
      </w:r>
    </w:p>
    <w:p w:rsidRPr="003B1303" w:rsidR="0085148A" w:rsidP="003B1303" w:rsidRDefault="0085148A">
      <w:pPr>
        <w:pStyle w:val="JuList"/>
        <w:rPr>
          <w:lang w:val="fr-FR"/>
        </w:rPr>
      </w:pPr>
      <w:r w:rsidRPr="003B1303">
        <w:rPr>
          <w:lang w:val="fr-FR"/>
        </w:rPr>
        <w:t>1.  </w:t>
      </w:r>
      <w:r w:rsidRPr="003B1303">
        <w:rPr>
          <w:i/>
          <w:iCs/>
          <w:lang w:val="fr-FR"/>
        </w:rPr>
        <w:t>Décide</w:t>
      </w:r>
      <w:r w:rsidRPr="003B1303">
        <w:rPr>
          <w:lang w:val="fr-FR"/>
        </w:rPr>
        <w:t> de joindre les requêtes ;</w:t>
      </w:r>
    </w:p>
    <w:p w:rsidRPr="003B1303" w:rsidR="0085148A" w:rsidP="003B1303" w:rsidRDefault="0085148A">
      <w:pPr>
        <w:pStyle w:val="JuList"/>
        <w:rPr>
          <w:lang w:val="fr-FR"/>
        </w:rPr>
      </w:pPr>
    </w:p>
    <w:p w:rsidRPr="003B1303" w:rsidR="0085148A" w:rsidP="003B1303" w:rsidRDefault="0085148A">
      <w:pPr>
        <w:pStyle w:val="JuList"/>
        <w:rPr>
          <w:lang w:val="fr-FR"/>
        </w:rPr>
      </w:pPr>
      <w:r w:rsidRPr="003B1303">
        <w:rPr>
          <w:lang w:val="fr-FR"/>
        </w:rPr>
        <w:t>2.</w:t>
      </w:r>
      <w:r w:rsidRPr="003B1303">
        <w:rPr>
          <w:i/>
          <w:lang w:val="fr-FR"/>
        </w:rPr>
        <w:t>  Déclare</w:t>
      </w:r>
      <w:r w:rsidRPr="003B1303">
        <w:rPr>
          <w:lang w:val="fr-FR"/>
        </w:rPr>
        <w:t xml:space="preserve"> les requêtes recevables, en ce qui concerne le premier et le second requérant, quant aux griefs tirés de l</w:t>
      </w:r>
      <w:r w:rsidRPr="003B1303" w:rsidR="003B1303">
        <w:rPr>
          <w:lang w:val="fr-FR"/>
        </w:rPr>
        <w:t>’</w:t>
      </w:r>
      <w:r w:rsidRPr="003B1303">
        <w:rPr>
          <w:lang w:val="fr-FR"/>
        </w:rPr>
        <w:t>article 3 de la Convention relatifs aux allégations de mauvais traitements qu</w:t>
      </w:r>
      <w:r w:rsidRPr="003B1303" w:rsidR="003B1303">
        <w:rPr>
          <w:lang w:val="fr-FR"/>
        </w:rPr>
        <w:t>’</w:t>
      </w:r>
      <w:r w:rsidRPr="003B1303">
        <w:rPr>
          <w:lang w:val="fr-FR"/>
        </w:rPr>
        <w:t>ils disent avoir subi du 13 au 15 avril 2008 et du 12 au 25 avril 2008 respectivement et à l</w:t>
      </w:r>
      <w:r w:rsidRPr="003B1303" w:rsidR="003B1303">
        <w:rPr>
          <w:lang w:val="fr-FR"/>
        </w:rPr>
        <w:t>’</w:t>
      </w:r>
      <w:r w:rsidRPr="003B1303">
        <w:rPr>
          <w:lang w:val="fr-FR"/>
        </w:rPr>
        <w:t>absence d</w:t>
      </w:r>
      <w:r w:rsidRPr="003B1303" w:rsidR="003B1303">
        <w:rPr>
          <w:lang w:val="fr-FR"/>
        </w:rPr>
        <w:t>’</w:t>
      </w:r>
      <w:r w:rsidRPr="003B1303">
        <w:rPr>
          <w:lang w:val="fr-FR"/>
        </w:rPr>
        <w:t>une enquête effective sur leurs allégations respectives, et, en ce qui concerne le premier requérant, quant aux griefs tirés de l</w:t>
      </w:r>
      <w:r w:rsidRPr="003B1303" w:rsidR="003B1303">
        <w:rPr>
          <w:lang w:val="fr-FR"/>
        </w:rPr>
        <w:t>’</w:t>
      </w:r>
      <w:r w:rsidRPr="003B1303">
        <w:rPr>
          <w:lang w:val="fr-FR"/>
        </w:rPr>
        <w:t>article 3 de la Convention relatif aux conditions de sa détention dans la maison d</w:t>
      </w:r>
      <w:r w:rsidRPr="003B1303" w:rsidR="003B1303">
        <w:rPr>
          <w:lang w:val="fr-FR"/>
        </w:rPr>
        <w:t>’</w:t>
      </w:r>
      <w:r w:rsidRPr="003B1303">
        <w:rPr>
          <w:lang w:val="fr-FR"/>
        </w:rPr>
        <w:t>arrêt n</w:t>
      </w:r>
      <w:r w:rsidRPr="003B1303">
        <w:rPr>
          <w:vertAlign w:val="superscript"/>
          <w:lang w:val="fr-FR"/>
        </w:rPr>
        <w:t>o</w:t>
      </w:r>
      <w:r w:rsidRPr="003B1303">
        <w:rPr>
          <w:lang w:val="fr-FR"/>
        </w:rPr>
        <w:t> IZ-38/1, de l</w:t>
      </w:r>
      <w:r w:rsidRPr="003B1303" w:rsidR="003B1303">
        <w:rPr>
          <w:lang w:val="fr-FR"/>
        </w:rPr>
        <w:t>’</w:t>
      </w:r>
      <w:r w:rsidRPr="003B1303">
        <w:rPr>
          <w:lang w:val="fr-FR"/>
        </w:rPr>
        <w:t>article 5 §§ 1, 3 et 4 de la Convention ainsi que de l</w:t>
      </w:r>
      <w:r w:rsidRPr="003B1303" w:rsidR="003B1303">
        <w:rPr>
          <w:lang w:val="fr-FR"/>
        </w:rPr>
        <w:t>’</w:t>
      </w:r>
      <w:r w:rsidRPr="003B1303">
        <w:rPr>
          <w:lang w:val="fr-FR"/>
        </w:rPr>
        <w:t>article 6 §§ 1 et 3 c) de la Convention relatif au droit à l</w:t>
      </w:r>
      <w:r w:rsidRPr="003B1303" w:rsidR="003B1303">
        <w:rPr>
          <w:lang w:val="fr-FR"/>
        </w:rPr>
        <w:t>’</w:t>
      </w:r>
      <w:r w:rsidRPr="003B1303">
        <w:rPr>
          <w:lang w:val="fr-FR"/>
        </w:rPr>
        <w:t>assistance d</w:t>
      </w:r>
      <w:r w:rsidRPr="003B1303" w:rsidR="003B1303">
        <w:rPr>
          <w:lang w:val="fr-FR"/>
        </w:rPr>
        <w:t>’</w:t>
      </w:r>
      <w:r w:rsidRPr="003B1303">
        <w:rPr>
          <w:lang w:val="fr-FR"/>
        </w:rPr>
        <w:t>un défenseur de son choix, et irrecevables pour le surplus ;</w:t>
      </w:r>
    </w:p>
    <w:p w:rsidRPr="003B1303" w:rsidR="0085148A" w:rsidP="003B1303" w:rsidRDefault="0085148A">
      <w:pPr>
        <w:pStyle w:val="JuList"/>
        <w:rPr>
          <w:lang w:val="fr-FR"/>
        </w:rPr>
      </w:pPr>
    </w:p>
    <w:p w:rsidRPr="003B1303" w:rsidR="0085148A" w:rsidP="003B1303" w:rsidRDefault="0085148A">
      <w:pPr>
        <w:pStyle w:val="JuList"/>
        <w:rPr>
          <w:lang w:val="fr-FR"/>
        </w:rPr>
      </w:pPr>
      <w:r w:rsidRPr="003B1303">
        <w:rPr>
          <w:lang w:val="fr-FR"/>
        </w:rPr>
        <w:t>3.  </w:t>
      </w:r>
      <w:r w:rsidRPr="003B1303">
        <w:rPr>
          <w:i/>
          <w:lang w:val="fr-FR"/>
        </w:rPr>
        <w:t>Dit</w:t>
      </w:r>
      <w:r w:rsidRPr="003B1303">
        <w:rPr>
          <w:lang w:val="fr-FR"/>
        </w:rPr>
        <w:t xml:space="preserve"> qu</w:t>
      </w:r>
      <w:r w:rsidRPr="003B1303" w:rsidR="003B1303">
        <w:rPr>
          <w:lang w:val="fr-FR"/>
        </w:rPr>
        <w:t>’</w:t>
      </w:r>
      <w:r w:rsidRPr="003B1303">
        <w:rPr>
          <w:lang w:val="fr-FR"/>
        </w:rPr>
        <w:t>il y a eu violation de l</w:t>
      </w:r>
      <w:r w:rsidRPr="003B1303" w:rsidR="003B1303">
        <w:rPr>
          <w:lang w:val="fr-FR"/>
        </w:rPr>
        <w:t>’</w:t>
      </w:r>
      <w:r w:rsidRPr="003B1303">
        <w:rPr>
          <w:lang w:val="fr-FR"/>
        </w:rPr>
        <w:t>article 3 de la Convention sous son volet procédural à raison de l</w:t>
      </w:r>
      <w:r w:rsidRPr="003B1303" w:rsidR="003B1303">
        <w:rPr>
          <w:lang w:val="fr-FR"/>
        </w:rPr>
        <w:t>’</w:t>
      </w:r>
      <w:r w:rsidRPr="003B1303">
        <w:rPr>
          <w:lang w:val="fr-FR"/>
        </w:rPr>
        <w:t>absence d</w:t>
      </w:r>
      <w:r w:rsidRPr="003B1303" w:rsidR="003B1303">
        <w:rPr>
          <w:lang w:val="fr-FR"/>
        </w:rPr>
        <w:t>’</w:t>
      </w:r>
      <w:r w:rsidRPr="003B1303">
        <w:rPr>
          <w:lang w:val="fr-FR"/>
        </w:rPr>
        <w:t>une enquête effective sur les allégations de mauvais traitements des requérants ;</w:t>
      </w:r>
    </w:p>
    <w:p w:rsidRPr="003B1303" w:rsidR="0085148A" w:rsidP="003B1303" w:rsidRDefault="0085148A">
      <w:pPr>
        <w:pStyle w:val="JuList"/>
        <w:rPr>
          <w:lang w:val="fr-FR"/>
        </w:rPr>
      </w:pPr>
    </w:p>
    <w:p w:rsidRPr="003B1303" w:rsidR="0085148A" w:rsidP="003B1303" w:rsidRDefault="0085148A">
      <w:pPr>
        <w:pStyle w:val="JuList"/>
        <w:rPr>
          <w:lang w:val="fr-FR"/>
        </w:rPr>
      </w:pPr>
      <w:r w:rsidRPr="003B1303">
        <w:rPr>
          <w:lang w:val="fr-FR"/>
        </w:rPr>
        <w:t>4.  </w:t>
      </w:r>
      <w:r w:rsidRPr="003B1303">
        <w:rPr>
          <w:i/>
          <w:lang w:val="fr-FR"/>
        </w:rPr>
        <w:t>Dit</w:t>
      </w:r>
      <w:r w:rsidRPr="003B1303">
        <w:rPr>
          <w:lang w:val="fr-FR"/>
        </w:rPr>
        <w:t xml:space="preserve"> qu</w:t>
      </w:r>
      <w:r w:rsidRPr="003B1303" w:rsidR="003B1303">
        <w:rPr>
          <w:lang w:val="fr-FR"/>
        </w:rPr>
        <w:t>’</w:t>
      </w:r>
      <w:r w:rsidRPr="003B1303">
        <w:rPr>
          <w:lang w:val="fr-FR"/>
        </w:rPr>
        <w:t>il n</w:t>
      </w:r>
      <w:r w:rsidRPr="003B1303" w:rsidR="003B1303">
        <w:rPr>
          <w:lang w:val="fr-FR"/>
        </w:rPr>
        <w:t>’</w:t>
      </w:r>
      <w:r w:rsidRPr="003B1303">
        <w:rPr>
          <w:lang w:val="fr-FR"/>
        </w:rPr>
        <w:t>y a pas eu violation de l</w:t>
      </w:r>
      <w:r w:rsidRPr="003B1303" w:rsidR="003B1303">
        <w:rPr>
          <w:lang w:val="fr-FR"/>
        </w:rPr>
        <w:t>’</w:t>
      </w:r>
      <w:r w:rsidRPr="003B1303">
        <w:rPr>
          <w:lang w:val="fr-FR"/>
        </w:rPr>
        <w:t>article 3 de la Convention sous son volet matériel en ce qui concerne les allégations de mauvais traitements du premier et du second requérant qu</w:t>
      </w:r>
      <w:r w:rsidRPr="003B1303" w:rsidR="003B1303">
        <w:rPr>
          <w:lang w:val="fr-FR"/>
        </w:rPr>
        <w:t>’</w:t>
      </w:r>
      <w:r w:rsidRPr="003B1303">
        <w:rPr>
          <w:lang w:val="fr-FR"/>
        </w:rPr>
        <w:t>il</w:t>
      </w:r>
      <w:r w:rsidRPr="003B1303" w:rsidR="00823AAD">
        <w:rPr>
          <w:lang w:val="fr-FR"/>
        </w:rPr>
        <w:t>s disent avoir subi du 13 au 15 </w:t>
      </w:r>
      <w:r w:rsidRPr="003B1303">
        <w:rPr>
          <w:lang w:val="fr-FR"/>
        </w:rPr>
        <w:t>avril 2008 et du 12 au 25 avril 2008 respectivement ;</w:t>
      </w:r>
    </w:p>
    <w:p w:rsidRPr="003B1303" w:rsidR="0085148A" w:rsidP="003B1303" w:rsidRDefault="0085148A">
      <w:pPr>
        <w:pStyle w:val="JuList"/>
        <w:rPr>
          <w:lang w:val="fr-FR"/>
        </w:rPr>
      </w:pPr>
    </w:p>
    <w:p w:rsidRPr="003B1303" w:rsidR="0085148A" w:rsidP="003B1303" w:rsidRDefault="0085148A">
      <w:pPr>
        <w:pStyle w:val="JuList"/>
        <w:rPr>
          <w:lang w:val="fr-FR"/>
        </w:rPr>
      </w:pPr>
      <w:r w:rsidRPr="003B1303">
        <w:rPr>
          <w:lang w:val="fr-FR"/>
        </w:rPr>
        <w:t>5.  </w:t>
      </w:r>
      <w:r w:rsidRPr="003B1303">
        <w:rPr>
          <w:i/>
          <w:lang w:val="fr-FR"/>
        </w:rPr>
        <w:t>Dit</w:t>
      </w:r>
      <w:r w:rsidRPr="003B1303">
        <w:rPr>
          <w:lang w:val="fr-FR"/>
        </w:rPr>
        <w:t xml:space="preserve"> qu</w:t>
      </w:r>
      <w:r w:rsidRPr="003B1303" w:rsidR="003B1303">
        <w:rPr>
          <w:lang w:val="fr-FR"/>
        </w:rPr>
        <w:t>’</w:t>
      </w:r>
      <w:r w:rsidRPr="003B1303">
        <w:rPr>
          <w:lang w:val="fr-FR"/>
        </w:rPr>
        <w:t>il y a eu violation de l</w:t>
      </w:r>
      <w:r w:rsidRPr="003B1303" w:rsidR="003B1303">
        <w:rPr>
          <w:lang w:val="fr-FR"/>
        </w:rPr>
        <w:t>’</w:t>
      </w:r>
      <w:r w:rsidRPr="003B1303">
        <w:rPr>
          <w:lang w:val="fr-FR"/>
        </w:rPr>
        <w:t>article 3 de la Convention, en ce qui concerne le premier requérant, à raison des conditions de sa détention du 11 avril 2008 au 13 avril 2012 ;</w:t>
      </w:r>
    </w:p>
    <w:p w:rsidRPr="003B1303" w:rsidR="0085148A" w:rsidP="003B1303" w:rsidRDefault="0085148A">
      <w:pPr>
        <w:pStyle w:val="JuList"/>
        <w:rPr>
          <w:lang w:val="fr-FR"/>
        </w:rPr>
      </w:pPr>
    </w:p>
    <w:p w:rsidRPr="003B1303" w:rsidR="0085148A" w:rsidP="003B1303" w:rsidRDefault="0085148A">
      <w:pPr>
        <w:pStyle w:val="JuList"/>
        <w:rPr>
          <w:lang w:val="fr-FR"/>
        </w:rPr>
      </w:pPr>
      <w:r w:rsidRPr="003B1303">
        <w:rPr>
          <w:lang w:val="fr-FR"/>
        </w:rPr>
        <w:t>6.  </w:t>
      </w:r>
      <w:r w:rsidRPr="003B1303">
        <w:rPr>
          <w:i/>
          <w:lang w:val="fr-FR"/>
        </w:rPr>
        <w:t>Dit</w:t>
      </w:r>
      <w:r w:rsidRPr="003B1303">
        <w:rPr>
          <w:lang w:val="fr-FR"/>
        </w:rPr>
        <w:t xml:space="preserve"> qu</w:t>
      </w:r>
      <w:r w:rsidRPr="003B1303" w:rsidR="003B1303">
        <w:rPr>
          <w:lang w:val="fr-FR"/>
        </w:rPr>
        <w:t>’</w:t>
      </w:r>
      <w:r w:rsidRPr="003B1303">
        <w:rPr>
          <w:lang w:val="fr-FR"/>
        </w:rPr>
        <w:t>il y a eu violation de l</w:t>
      </w:r>
      <w:r w:rsidRPr="003B1303" w:rsidR="003B1303">
        <w:rPr>
          <w:lang w:val="fr-FR"/>
        </w:rPr>
        <w:t>’</w:t>
      </w:r>
      <w:r w:rsidRPr="003B1303">
        <w:rPr>
          <w:lang w:val="fr-FR"/>
        </w:rPr>
        <w:t>article 5 § 1 de la Convention en ce qui concerne le premier requérant ;</w:t>
      </w:r>
    </w:p>
    <w:p w:rsidRPr="003B1303" w:rsidR="0085148A" w:rsidP="003B1303" w:rsidRDefault="0085148A">
      <w:pPr>
        <w:pStyle w:val="JuList"/>
        <w:rPr>
          <w:lang w:val="fr-FR"/>
        </w:rPr>
      </w:pPr>
    </w:p>
    <w:p w:rsidRPr="003B1303" w:rsidR="0085148A" w:rsidP="003B1303" w:rsidRDefault="0085148A">
      <w:pPr>
        <w:pStyle w:val="JuList"/>
        <w:rPr>
          <w:lang w:val="fr-FR"/>
        </w:rPr>
      </w:pPr>
      <w:r w:rsidRPr="003B1303">
        <w:rPr>
          <w:lang w:val="fr-FR"/>
        </w:rPr>
        <w:t>7.  </w:t>
      </w:r>
      <w:r w:rsidRPr="003B1303">
        <w:rPr>
          <w:i/>
          <w:lang w:val="fr-FR"/>
        </w:rPr>
        <w:t>Dit</w:t>
      </w:r>
      <w:r w:rsidRPr="003B1303">
        <w:rPr>
          <w:lang w:val="fr-FR"/>
        </w:rPr>
        <w:t xml:space="preserve"> qu</w:t>
      </w:r>
      <w:r w:rsidRPr="003B1303" w:rsidR="003B1303">
        <w:rPr>
          <w:lang w:val="fr-FR"/>
        </w:rPr>
        <w:t>’</w:t>
      </w:r>
      <w:r w:rsidRPr="003B1303">
        <w:rPr>
          <w:lang w:val="fr-FR"/>
        </w:rPr>
        <w:t>il y a eu violation de l</w:t>
      </w:r>
      <w:r w:rsidRPr="003B1303" w:rsidR="003B1303">
        <w:rPr>
          <w:lang w:val="fr-FR"/>
        </w:rPr>
        <w:t>’</w:t>
      </w:r>
      <w:r w:rsidRPr="003B1303">
        <w:rPr>
          <w:lang w:val="fr-FR"/>
        </w:rPr>
        <w:t>article 5 § 3 de la Convention en ce qui concerne le premier requérant ;</w:t>
      </w:r>
    </w:p>
    <w:p w:rsidRPr="003B1303" w:rsidR="0085148A" w:rsidP="003B1303" w:rsidRDefault="0085148A">
      <w:pPr>
        <w:pStyle w:val="JuList"/>
        <w:rPr>
          <w:lang w:val="fr-FR"/>
        </w:rPr>
      </w:pPr>
    </w:p>
    <w:p w:rsidRPr="003B1303" w:rsidR="0085148A" w:rsidP="003B1303" w:rsidRDefault="0085148A">
      <w:pPr>
        <w:pStyle w:val="JuList"/>
        <w:rPr>
          <w:lang w:val="fr-FR"/>
        </w:rPr>
      </w:pPr>
      <w:r w:rsidRPr="003B1303">
        <w:rPr>
          <w:lang w:val="fr-FR"/>
        </w:rPr>
        <w:t>8.  </w:t>
      </w:r>
      <w:r w:rsidRPr="003B1303">
        <w:rPr>
          <w:i/>
          <w:lang w:val="fr-FR"/>
        </w:rPr>
        <w:t>Dit</w:t>
      </w:r>
      <w:r w:rsidRPr="003B1303">
        <w:rPr>
          <w:lang w:val="fr-FR"/>
        </w:rPr>
        <w:t xml:space="preserve"> qu</w:t>
      </w:r>
      <w:r w:rsidRPr="003B1303" w:rsidR="003B1303">
        <w:rPr>
          <w:lang w:val="fr-FR"/>
        </w:rPr>
        <w:t>’</w:t>
      </w:r>
      <w:r w:rsidRPr="003B1303">
        <w:rPr>
          <w:lang w:val="fr-FR"/>
        </w:rPr>
        <w:t>il y a eu violation de l</w:t>
      </w:r>
      <w:r w:rsidRPr="003B1303" w:rsidR="003B1303">
        <w:rPr>
          <w:lang w:val="fr-FR"/>
        </w:rPr>
        <w:t>’</w:t>
      </w:r>
      <w:r w:rsidRPr="003B1303">
        <w:rPr>
          <w:lang w:val="fr-FR"/>
        </w:rPr>
        <w:t>article 5 § 4 de la Convention en ce qui concerne le premier requérant ;</w:t>
      </w:r>
    </w:p>
    <w:p w:rsidRPr="003B1303" w:rsidR="0085148A" w:rsidP="003B1303" w:rsidRDefault="0085148A">
      <w:pPr>
        <w:pStyle w:val="JuList"/>
        <w:rPr>
          <w:lang w:val="fr-FR"/>
        </w:rPr>
      </w:pPr>
    </w:p>
    <w:p w:rsidRPr="003B1303" w:rsidR="0085148A" w:rsidP="003B1303" w:rsidRDefault="0085148A">
      <w:pPr>
        <w:pStyle w:val="JuList"/>
        <w:rPr>
          <w:lang w:val="fr-FR"/>
        </w:rPr>
      </w:pPr>
      <w:r w:rsidRPr="003B1303">
        <w:rPr>
          <w:lang w:val="fr-FR"/>
        </w:rPr>
        <w:t>9.  </w:t>
      </w:r>
      <w:r w:rsidRPr="003B1303">
        <w:rPr>
          <w:i/>
          <w:lang w:val="fr-FR"/>
        </w:rPr>
        <w:t>Dit</w:t>
      </w:r>
      <w:r w:rsidRPr="003B1303">
        <w:rPr>
          <w:lang w:val="fr-FR"/>
        </w:rPr>
        <w:t xml:space="preserve"> qu</w:t>
      </w:r>
      <w:r w:rsidRPr="003B1303" w:rsidR="003B1303">
        <w:rPr>
          <w:lang w:val="fr-FR"/>
        </w:rPr>
        <w:t>’</w:t>
      </w:r>
      <w:r w:rsidRPr="003B1303">
        <w:rPr>
          <w:lang w:val="fr-FR"/>
        </w:rPr>
        <w:t>il y a eu violation de l</w:t>
      </w:r>
      <w:r w:rsidRPr="003B1303" w:rsidR="003B1303">
        <w:rPr>
          <w:lang w:val="fr-FR"/>
        </w:rPr>
        <w:t>’</w:t>
      </w:r>
      <w:r w:rsidRPr="003B1303">
        <w:rPr>
          <w:lang w:val="fr-FR"/>
        </w:rPr>
        <w:t>article 6 §§ 1 et 3 c) de la Convention en ce qui concerne le premier requérant ;</w:t>
      </w:r>
    </w:p>
    <w:p w:rsidRPr="003B1303" w:rsidR="0085148A" w:rsidP="003B1303" w:rsidRDefault="0085148A">
      <w:pPr>
        <w:pStyle w:val="JuList"/>
        <w:rPr>
          <w:lang w:val="fr-FR"/>
        </w:rPr>
      </w:pPr>
    </w:p>
    <w:p w:rsidRPr="003B1303" w:rsidR="00BE4EEA" w:rsidP="003B1303" w:rsidRDefault="0085148A">
      <w:pPr>
        <w:pStyle w:val="JuList"/>
        <w:rPr>
          <w:lang w:val="fr-FR"/>
        </w:rPr>
      </w:pPr>
      <w:r w:rsidRPr="003B1303">
        <w:rPr>
          <w:lang w:val="fr-FR"/>
        </w:rPr>
        <w:t>10.  </w:t>
      </w:r>
      <w:r w:rsidRPr="003B1303">
        <w:rPr>
          <w:i/>
          <w:lang w:val="fr-FR"/>
        </w:rPr>
        <w:t>Dit</w:t>
      </w:r>
    </w:p>
    <w:p w:rsidRPr="003B1303" w:rsidR="0085148A" w:rsidP="003B1303" w:rsidRDefault="0085148A">
      <w:pPr>
        <w:pStyle w:val="JuLista"/>
        <w:rPr>
          <w:lang w:val="fr-FR"/>
        </w:rPr>
      </w:pPr>
      <w:r w:rsidRPr="003B1303">
        <w:rPr>
          <w:lang w:val="fr-FR"/>
        </w:rPr>
        <w:t>a)  que l</w:t>
      </w:r>
      <w:r w:rsidRPr="003B1303" w:rsidR="003B1303">
        <w:rPr>
          <w:lang w:val="fr-FR"/>
        </w:rPr>
        <w:t>’</w:t>
      </w:r>
      <w:r w:rsidRPr="003B1303">
        <w:rPr>
          <w:lang w:val="fr-FR"/>
        </w:rPr>
        <w:t>État défendeur doit verser aux requérants, dans les trois mois à compter du jour où l</w:t>
      </w:r>
      <w:r w:rsidRPr="003B1303" w:rsidR="003B1303">
        <w:rPr>
          <w:lang w:val="fr-FR"/>
        </w:rPr>
        <w:t>’</w:t>
      </w:r>
      <w:r w:rsidRPr="003B1303">
        <w:rPr>
          <w:lang w:val="fr-FR"/>
        </w:rPr>
        <w:t>arrêt sera devenu définitif conformément à l</w:t>
      </w:r>
      <w:r w:rsidRPr="003B1303" w:rsidR="003B1303">
        <w:rPr>
          <w:lang w:val="fr-FR"/>
        </w:rPr>
        <w:t>’</w:t>
      </w:r>
      <w:r w:rsidRPr="003B1303">
        <w:rPr>
          <w:lang w:val="fr-FR"/>
        </w:rPr>
        <w:t xml:space="preserve">article 44 § 2 de la Convention, les sommes suivantes, à convertir </w:t>
      </w:r>
      <w:r w:rsidRPr="003B1303">
        <w:rPr>
          <w:bCs/>
          <w:lang w:val="fr-FR"/>
        </w:rPr>
        <w:t>dans la monnaie de l</w:t>
      </w:r>
      <w:r w:rsidRPr="003B1303" w:rsidR="003B1303">
        <w:rPr>
          <w:bCs/>
          <w:lang w:val="fr-FR"/>
        </w:rPr>
        <w:t>’</w:t>
      </w:r>
      <w:r w:rsidRPr="003B1303">
        <w:rPr>
          <w:bCs/>
          <w:lang w:val="fr-FR"/>
        </w:rPr>
        <w:t>État défendeur</w:t>
      </w:r>
      <w:r w:rsidRPr="003B1303">
        <w:rPr>
          <w:lang w:val="fr-FR"/>
        </w:rPr>
        <w:t xml:space="preserve"> au taux applicable à la date du règlement :</w:t>
      </w:r>
    </w:p>
    <w:p w:rsidRPr="003B1303" w:rsidR="0085148A" w:rsidP="003B1303" w:rsidRDefault="0085148A">
      <w:pPr>
        <w:pStyle w:val="JuListi"/>
        <w:rPr>
          <w:lang w:val="fr-FR" w:eastAsia="en-GB"/>
        </w:rPr>
      </w:pPr>
      <w:r w:rsidRPr="003B1303">
        <w:rPr>
          <w:lang w:val="fr-FR" w:eastAsia="en-GB"/>
        </w:rPr>
        <w:t>i.  22 200 EUR (vingt-deux mille deux cents euros) et 15 000 EUR (quinze mille euros), plus tout montant pouvant être dû à titre d</w:t>
      </w:r>
      <w:r w:rsidRPr="003B1303" w:rsidR="003B1303">
        <w:rPr>
          <w:lang w:val="fr-FR" w:eastAsia="en-GB"/>
        </w:rPr>
        <w:t>’</w:t>
      </w:r>
      <w:r w:rsidRPr="003B1303">
        <w:rPr>
          <w:lang w:val="fr-FR" w:eastAsia="en-GB"/>
        </w:rPr>
        <w:t>impôt, au premier et au second requérant respectivement pour dommage moral ;</w:t>
      </w:r>
    </w:p>
    <w:p w:rsidRPr="003B1303" w:rsidR="0085148A" w:rsidP="003B1303" w:rsidRDefault="0085148A">
      <w:pPr>
        <w:pStyle w:val="JuListi"/>
        <w:rPr>
          <w:lang w:val="fr-FR" w:eastAsia="en-GB"/>
        </w:rPr>
      </w:pPr>
      <w:r w:rsidRPr="003B1303">
        <w:rPr>
          <w:lang w:val="fr-FR" w:eastAsia="en-GB"/>
        </w:rPr>
        <w:t xml:space="preserve">ii.  1 350 EUR (mille trois cent cinquante euros) et 1 050 EUR (mille cinquante euros), plus tout montant pouvant être dû par </w:t>
      </w:r>
      <w:r w:rsidRPr="003B1303">
        <w:rPr>
          <w:lang w:val="fr-FR"/>
        </w:rPr>
        <w:t>les requérants</w:t>
      </w:r>
      <w:r w:rsidRPr="003B1303">
        <w:rPr>
          <w:lang w:val="fr-FR" w:eastAsia="en-GB"/>
        </w:rPr>
        <w:t xml:space="preserve"> à titre d</w:t>
      </w:r>
      <w:r w:rsidRPr="003B1303" w:rsidR="003B1303">
        <w:rPr>
          <w:lang w:val="fr-FR" w:eastAsia="en-GB"/>
        </w:rPr>
        <w:t>’</w:t>
      </w:r>
      <w:r w:rsidRPr="003B1303">
        <w:rPr>
          <w:lang w:val="fr-FR" w:eastAsia="en-GB"/>
        </w:rPr>
        <w:t>impôt, au premier et au second requérant respectivement pour frais et dépens, à verser sur le compte de bancaire de M</w:t>
      </w:r>
      <w:r w:rsidRPr="003B1303" w:rsidR="00494620">
        <w:rPr>
          <w:vertAlign w:val="superscript"/>
          <w:lang w:val="fr-FR" w:eastAsia="en-GB"/>
        </w:rPr>
        <w:t>m</w:t>
      </w:r>
      <w:r w:rsidRPr="003B1303">
        <w:rPr>
          <w:vertAlign w:val="superscript"/>
          <w:lang w:val="fr-FR" w:eastAsia="en-GB"/>
        </w:rPr>
        <w:t>e</w:t>
      </w:r>
      <w:r w:rsidRPr="003B1303">
        <w:rPr>
          <w:lang w:val="fr-FR" w:eastAsia="en-GB"/>
        </w:rPr>
        <w:t> Y.V. Yefremova ;</w:t>
      </w:r>
    </w:p>
    <w:p w:rsidRPr="003B1303" w:rsidR="0085148A" w:rsidP="003B1303" w:rsidRDefault="0085148A">
      <w:pPr>
        <w:pStyle w:val="JuLista"/>
        <w:rPr>
          <w:lang w:val="fr-FR"/>
        </w:rPr>
      </w:pPr>
      <w:r w:rsidRPr="003B1303">
        <w:rPr>
          <w:lang w:val="fr-FR"/>
        </w:rPr>
        <w:t>b)  qu</w:t>
      </w:r>
      <w:r w:rsidRPr="003B1303" w:rsidR="003B1303">
        <w:rPr>
          <w:lang w:val="fr-FR"/>
        </w:rPr>
        <w:t>’</w:t>
      </w:r>
      <w:r w:rsidRPr="003B1303">
        <w:rPr>
          <w:lang w:val="fr-FR"/>
        </w:rPr>
        <w:t>à compter de l</w:t>
      </w:r>
      <w:r w:rsidRPr="003B1303" w:rsidR="003B1303">
        <w:rPr>
          <w:lang w:val="fr-FR"/>
        </w:rPr>
        <w:t>’</w:t>
      </w:r>
      <w:r w:rsidRPr="003B1303">
        <w:rPr>
          <w:lang w:val="fr-FR"/>
        </w:rPr>
        <w:t>expiration dudit délai et jusqu</w:t>
      </w:r>
      <w:r w:rsidRPr="003B1303" w:rsidR="003B1303">
        <w:rPr>
          <w:lang w:val="fr-FR"/>
        </w:rPr>
        <w:t>’</w:t>
      </w:r>
      <w:r w:rsidRPr="003B1303">
        <w:rPr>
          <w:lang w:val="fr-FR"/>
        </w:rPr>
        <w:t>au versement, ces montants seront à majorer d</w:t>
      </w:r>
      <w:r w:rsidRPr="003B1303" w:rsidR="003B1303">
        <w:rPr>
          <w:lang w:val="fr-FR"/>
        </w:rPr>
        <w:t>’</w:t>
      </w:r>
      <w:r w:rsidRPr="003B1303">
        <w:rPr>
          <w:lang w:val="fr-FR"/>
        </w:rPr>
        <w:t>un intérêt simple à un taux égal à celui de la facilité de prêt marginal de la Banque centrale européenne applicable pendant cette période, augmenté de trois points de pourcentage ;</w:t>
      </w:r>
    </w:p>
    <w:p w:rsidRPr="003B1303" w:rsidR="0085148A" w:rsidP="003B1303" w:rsidRDefault="0085148A">
      <w:pPr>
        <w:pStyle w:val="JuLista"/>
        <w:rPr>
          <w:lang w:val="fr-FR"/>
        </w:rPr>
      </w:pPr>
    </w:p>
    <w:p w:rsidRPr="003B1303" w:rsidR="0085148A" w:rsidP="003B1303" w:rsidRDefault="0085148A">
      <w:pPr>
        <w:pStyle w:val="JuList"/>
        <w:rPr>
          <w:lang w:val="fr-FR"/>
        </w:rPr>
      </w:pPr>
      <w:r w:rsidRPr="003B1303">
        <w:rPr>
          <w:lang w:val="fr-FR"/>
        </w:rPr>
        <w:t>11.  </w:t>
      </w:r>
      <w:r w:rsidRPr="003B1303">
        <w:rPr>
          <w:i/>
          <w:lang w:val="fr-FR"/>
        </w:rPr>
        <w:t>Rejette</w:t>
      </w:r>
      <w:r w:rsidRPr="003B1303">
        <w:rPr>
          <w:lang w:val="fr-FR"/>
        </w:rPr>
        <w:t xml:space="preserve"> la demande de satisfaction équitable pour le surplus.</w:t>
      </w:r>
    </w:p>
    <w:p w:rsidRPr="003B1303" w:rsidR="00E77CB3" w:rsidP="003B1303" w:rsidRDefault="00E77CB3">
      <w:pPr>
        <w:pStyle w:val="JuParaLast"/>
        <w:keepNext w:val="0"/>
        <w:keepLines w:val="0"/>
        <w:rPr>
          <w:lang w:val="fr-FR"/>
        </w:rPr>
      </w:pPr>
      <w:r w:rsidRPr="003B1303">
        <w:rPr>
          <w:lang w:val="fr-FR"/>
        </w:rPr>
        <w:t>Fait en français, puis communiqué par écrit le </w:t>
      </w:r>
      <w:r w:rsidRPr="003B1303" w:rsidR="0085148A">
        <w:rPr>
          <w:lang w:val="fr-FR"/>
        </w:rPr>
        <w:t>5 février 2019</w:t>
      </w:r>
      <w:r w:rsidRPr="003B1303">
        <w:rPr>
          <w:lang w:val="fr-FR"/>
        </w:rPr>
        <w:t>, en application de l</w:t>
      </w:r>
      <w:r w:rsidRPr="003B1303" w:rsidR="003B1303">
        <w:rPr>
          <w:lang w:val="fr-FR"/>
        </w:rPr>
        <w:t>’</w:t>
      </w:r>
      <w:r w:rsidRPr="003B1303">
        <w:rPr>
          <w:lang w:val="fr-FR"/>
        </w:rPr>
        <w:t>article 77 §§ 2 et 3 du règlement</w:t>
      </w:r>
      <w:r w:rsidRPr="003B1303" w:rsidR="00AC0824">
        <w:rPr>
          <w:lang w:val="fr-FR"/>
        </w:rPr>
        <w:t xml:space="preserve"> de la Cour</w:t>
      </w:r>
      <w:r w:rsidRPr="003B1303">
        <w:rPr>
          <w:lang w:val="fr-FR"/>
        </w:rPr>
        <w:t>.</w:t>
      </w:r>
    </w:p>
    <w:p w:rsidRPr="003B1303" w:rsidR="004D15F3" w:rsidP="003B1303" w:rsidRDefault="00687C74">
      <w:pPr>
        <w:pStyle w:val="JuSigned"/>
        <w:rPr>
          <w:lang w:val="fr-FR"/>
        </w:rPr>
      </w:pPr>
      <w:r w:rsidRPr="003B1303">
        <w:rPr>
          <w:lang w:val="fr-FR"/>
        </w:rPr>
        <w:tab/>
        <w:t>Stephen Phillips</w:t>
      </w:r>
      <w:r w:rsidRPr="003B1303" w:rsidR="00E77CB3">
        <w:rPr>
          <w:lang w:val="fr-FR"/>
        </w:rPr>
        <w:tab/>
      </w:r>
      <w:r w:rsidRPr="003B1303" w:rsidR="00CB3E4C">
        <w:rPr>
          <w:lang w:val="fr-FR"/>
        </w:rPr>
        <w:t>Vincent A. De Gaetano</w:t>
      </w:r>
      <w:r w:rsidRPr="003B1303" w:rsidR="00E77CB3">
        <w:rPr>
          <w:lang w:val="fr-FR"/>
        </w:rPr>
        <w:br/>
      </w:r>
      <w:r w:rsidRPr="003B1303" w:rsidR="00E77CB3">
        <w:rPr>
          <w:lang w:val="fr-FR"/>
        </w:rPr>
        <w:tab/>
      </w:r>
      <w:r w:rsidRPr="003B1303">
        <w:rPr>
          <w:lang w:val="fr-FR"/>
        </w:rPr>
        <w:t>Greffier</w:t>
      </w:r>
      <w:r w:rsidRPr="003B1303" w:rsidR="00E77CB3">
        <w:rPr>
          <w:lang w:val="fr-FR"/>
        </w:rPr>
        <w:tab/>
      </w:r>
      <w:r w:rsidRPr="003B1303">
        <w:rPr>
          <w:lang w:val="fr-FR"/>
        </w:rPr>
        <w:t>Président</w:t>
      </w:r>
    </w:p>
    <w:sectPr w:rsidRPr="003B1303" w:rsidR="004D15F3" w:rsidSect="00D871A7">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C4" w:rsidRPr="001C3AE1" w:rsidRDefault="007E73C4" w:rsidP="00E77CB3">
      <w:pPr>
        <w:rPr>
          <w:lang w:val="fr-FR"/>
        </w:rPr>
      </w:pPr>
      <w:r w:rsidRPr="001C3AE1">
        <w:rPr>
          <w:lang w:val="fr-FR"/>
        </w:rPr>
        <w:separator/>
      </w:r>
    </w:p>
  </w:endnote>
  <w:endnote w:type="continuationSeparator" w:id="0">
    <w:p w:rsidR="007E73C4" w:rsidRPr="001C3AE1" w:rsidRDefault="007E73C4" w:rsidP="00E77CB3">
      <w:pPr>
        <w:rPr>
          <w:lang w:val="fr-FR"/>
        </w:rPr>
      </w:pPr>
      <w:r w:rsidRPr="001C3AE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C4" w:rsidRPr="00150BFA" w:rsidRDefault="007E73C4" w:rsidP="003A5E22">
    <w:pPr>
      <w:jc w:val="center"/>
    </w:pPr>
    <w:r>
      <w:rPr>
        <w:noProof/>
        <w:lang w:val="en-US" w:eastAsia="ja-JP"/>
      </w:rPr>
      <w:drawing>
        <wp:inline distT="0" distB="0" distL="0" distR="0" wp14:anchorId="714E5B86" wp14:editId="661A129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E73C4" w:rsidRDefault="007E7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C4" w:rsidRPr="001C3AE1" w:rsidRDefault="007E73C4" w:rsidP="00E77CB3">
      <w:pPr>
        <w:rPr>
          <w:lang w:val="fr-FR"/>
        </w:rPr>
      </w:pPr>
      <w:r w:rsidRPr="001C3AE1">
        <w:rPr>
          <w:lang w:val="fr-FR"/>
        </w:rPr>
        <w:separator/>
      </w:r>
    </w:p>
  </w:footnote>
  <w:footnote w:type="continuationSeparator" w:id="0">
    <w:p w:rsidR="007E73C4" w:rsidRPr="001C3AE1" w:rsidRDefault="007E73C4" w:rsidP="00E77CB3">
      <w:pPr>
        <w:rPr>
          <w:lang w:val="fr-FR"/>
        </w:rPr>
      </w:pPr>
      <w:r w:rsidRPr="001C3AE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C4" w:rsidRPr="0085148A" w:rsidRDefault="007E73C4" w:rsidP="0085148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C4" w:rsidRPr="00A45145" w:rsidRDefault="007E73C4" w:rsidP="003A5E22">
    <w:pPr>
      <w:jc w:val="center"/>
    </w:pPr>
    <w:r>
      <w:rPr>
        <w:noProof/>
        <w:lang w:val="en-US" w:eastAsia="ja-JP"/>
      </w:rPr>
      <w:drawing>
        <wp:inline distT="0" distB="0" distL="0" distR="0" wp14:anchorId="775E4266" wp14:editId="76264B5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E73C4" w:rsidRDefault="007E7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C4" w:rsidRPr="00A91879" w:rsidRDefault="007E73C4" w:rsidP="00C611D8">
    <w:pPr>
      <w:pStyle w:val="ECHRHeader"/>
      <w:rPr>
        <w:lang w:val="fr-FR"/>
      </w:rPr>
    </w:pPr>
    <w:r>
      <w:rPr>
        <w:rStyle w:val="PageNumber"/>
        <w:lang w:val="en-US"/>
      </w:rPr>
      <w:fldChar w:fldCharType="begin"/>
    </w:r>
    <w:r w:rsidRPr="00A91879">
      <w:rPr>
        <w:rStyle w:val="PageNumber"/>
        <w:lang w:val="fr-FR"/>
      </w:rPr>
      <w:instrText xml:space="preserve"> PAGE </w:instrText>
    </w:r>
    <w:r>
      <w:rPr>
        <w:rStyle w:val="PageNumber"/>
        <w:lang w:val="en-US"/>
      </w:rPr>
      <w:fldChar w:fldCharType="separate"/>
    </w:r>
    <w:r w:rsidR="003B1303">
      <w:rPr>
        <w:rStyle w:val="PageNumber"/>
        <w:noProof/>
        <w:lang w:val="fr-FR"/>
      </w:rPr>
      <w:t>40</w:t>
    </w:r>
    <w:r>
      <w:rPr>
        <w:rStyle w:val="PageNumber"/>
        <w:lang w:val="en-US"/>
      </w:rPr>
      <w:fldChar w:fldCharType="end"/>
    </w:r>
    <w:r w:rsidRPr="00A91879">
      <w:rPr>
        <w:rStyle w:val="PageNumber"/>
        <w:lang w:val="fr-FR"/>
      </w:rPr>
      <w:tab/>
    </w:r>
    <w:r>
      <w:rPr>
        <w:noProof/>
        <w:lang w:val="fr-FR"/>
      </w:rPr>
      <w:t>ARRÊT</w:t>
    </w:r>
    <w:r w:rsidRPr="00A91879">
      <w:rPr>
        <w:lang w:val="fr-FR"/>
      </w:rPr>
      <w:t xml:space="preserve"> </w:t>
    </w:r>
    <w:r w:rsidRPr="00DA1259">
      <w:rPr>
        <w:lang w:val="fr-FR"/>
      </w:rPr>
      <w:t xml:space="preserve">UTVENKO </w:t>
    </w:r>
    <w:r>
      <w:rPr>
        <w:lang w:val="fr-FR"/>
      </w:rPr>
      <w:t>ET</w:t>
    </w:r>
    <w:r w:rsidRPr="00DA1259">
      <w:rPr>
        <w:lang w:val="fr-FR"/>
      </w:rPr>
      <w:t xml:space="preserve"> BORISOV c. RUSSIE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C4" w:rsidRPr="001C3AE1" w:rsidRDefault="007E73C4" w:rsidP="00C63990">
    <w:pPr>
      <w:pStyle w:val="ECHRHeader"/>
      <w:rPr>
        <w:lang w:val="fr-FR"/>
      </w:rPr>
    </w:pPr>
    <w:r w:rsidRPr="001C3AE1">
      <w:rPr>
        <w:lang w:val="fr-FR"/>
      </w:rPr>
      <w:tab/>
    </w:r>
    <w:r>
      <w:rPr>
        <w:noProof/>
        <w:lang w:val="fr-FR"/>
      </w:rPr>
      <w:t>ARRÊT</w:t>
    </w:r>
    <w:r w:rsidRPr="00591EBD">
      <w:rPr>
        <w:lang w:val="fr-FR"/>
      </w:rPr>
      <w:t xml:space="preserve"> UTVENKO </w:t>
    </w:r>
    <w:r>
      <w:rPr>
        <w:lang w:val="fr-FR"/>
      </w:rPr>
      <w:t>ET</w:t>
    </w:r>
    <w:r w:rsidRPr="00591EBD">
      <w:rPr>
        <w:lang w:val="fr-FR"/>
      </w:rPr>
      <w:t xml:space="preserve"> BORISO</w:t>
    </w:r>
    <w:r>
      <w:rPr>
        <w:lang w:val="fr-FR"/>
      </w:rPr>
      <w:t xml:space="preserve">V </w:t>
    </w:r>
    <w:r w:rsidRPr="00DA1259">
      <w:rPr>
        <w:lang w:val="fr-FR"/>
      </w:rPr>
      <w:t>c. RUSSIE</w:t>
    </w:r>
    <w:r w:rsidRPr="00591EBD">
      <w:rP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3B1303">
      <w:rPr>
        <w:rStyle w:val="PageNumber"/>
        <w:noProof/>
        <w:lang w:val="fr-FR"/>
      </w:rPr>
      <w:t>41</w:t>
    </w:r>
    <w:r>
      <w:rPr>
        <w:rStyle w:val="PageNumbe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233879"/>
    <w:multiLevelType w:val="hybridMultilevel"/>
    <w:tmpl w:val="55F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num>
  <w:num w:numId="16">
    <w:abstractNumId w:val="14"/>
  </w:num>
  <w:num w:numId="17">
    <w:abstractNumId w:val="14"/>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687C74"/>
    <w:rsid w:val="00002340"/>
    <w:rsid w:val="00003A7B"/>
    <w:rsid w:val="000041F8"/>
    <w:rsid w:val="000042A8"/>
    <w:rsid w:val="00004308"/>
    <w:rsid w:val="00005BF0"/>
    <w:rsid w:val="00007154"/>
    <w:rsid w:val="000103AE"/>
    <w:rsid w:val="0001065C"/>
    <w:rsid w:val="00011D69"/>
    <w:rsid w:val="0001257C"/>
    <w:rsid w:val="00012AD3"/>
    <w:rsid w:val="00015543"/>
    <w:rsid w:val="00015C2D"/>
    <w:rsid w:val="00015F00"/>
    <w:rsid w:val="00016811"/>
    <w:rsid w:val="00022C1D"/>
    <w:rsid w:val="00025879"/>
    <w:rsid w:val="0002671C"/>
    <w:rsid w:val="00027ED6"/>
    <w:rsid w:val="00031347"/>
    <w:rsid w:val="00032C96"/>
    <w:rsid w:val="00032CBD"/>
    <w:rsid w:val="00032FE0"/>
    <w:rsid w:val="00034987"/>
    <w:rsid w:val="00035334"/>
    <w:rsid w:val="00035BFA"/>
    <w:rsid w:val="00037A0F"/>
    <w:rsid w:val="00037C1C"/>
    <w:rsid w:val="00043A74"/>
    <w:rsid w:val="00043B6E"/>
    <w:rsid w:val="000466E9"/>
    <w:rsid w:val="00047678"/>
    <w:rsid w:val="00047B44"/>
    <w:rsid w:val="00052C55"/>
    <w:rsid w:val="000602DF"/>
    <w:rsid w:val="00060790"/>
    <w:rsid w:val="00061B05"/>
    <w:rsid w:val="000632D5"/>
    <w:rsid w:val="000644EE"/>
    <w:rsid w:val="0006484E"/>
    <w:rsid w:val="00065680"/>
    <w:rsid w:val="00066A71"/>
    <w:rsid w:val="000706AA"/>
    <w:rsid w:val="00070C86"/>
    <w:rsid w:val="00075068"/>
    <w:rsid w:val="000769AD"/>
    <w:rsid w:val="0008242B"/>
    <w:rsid w:val="000833F2"/>
    <w:rsid w:val="0008739B"/>
    <w:rsid w:val="000875F8"/>
    <w:rsid w:val="000925AD"/>
    <w:rsid w:val="00093E1A"/>
    <w:rsid w:val="0009429F"/>
    <w:rsid w:val="000A0B15"/>
    <w:rsid w:val="000A24EB"/>
    <w:rsid w:val="000A7665"/>
    <w:rsid w:val="000B50F0"/>
    <w:rsid w:val="000B6923"/>
    <w:rsid w:val="000C00A4"/>
    <w:rsid w:val="000C1A19"/>
    <w:rsid w:val="000C5F3C"/>
    <w:rsid w:val="000C602E"/>
    <w:rsid w:val="000C6DCC"/>
    <w:rsid w:val="000C7879"/>
    <w:rsid w:val="000D47AA"/>
    <w:rsid w:val="000D721F"/>
    <w:rsid w:val="000E069B"/>
    <w:rsid w:val="000E0D04"/>
    <w:rsid w:val="000E0E82"/>
    <w:rsid w:val="000E1DC5"/>
    <w:rsid w:val="000E223F"/>
    <w:rsid w:val="000E5A6B"/>
    <w:rsid w:val="000E7D45"/>
    <w:rsid w:val="000F00EF"/>
    <w:rsid w:val="000F03DA"/>
    <w:rsid w:val="000F137D"/>
    <w:rsid w:val="000F490F"/>
    <w:rsid w:val="000F6378"/>
    <w:rsid w:val="000F63D4"/>
    <w:rsid w:val="000F6BB9"/>
    <w:rsid w:val="000F7851"/>
    <w:rsid w:val="001043BD"/>
    <w:rsid w:val="00104506"/>
    <w:rsid w:val="00104E23"/>
    <w:rsid w:val="00105730"/>
    <w:rsid w:val="0011073D"/>
    <w:rsid w:val="00111B0C"/>
    <w:rsid w:val="00112FF9"/>
    <w:rsid w:val="00116DC2"/>
    <w:rsid w:val="00116E2F"/>
    <w:rsid w:val="00117DA1"/>
    <w:rsid w:val="00120D6C"/>
    <w:rsid w:val="00124284"/>
    <w:rsid w:val="001255DB"/>
    <w:rsid w:val="001257EC"/>
    <w:rsid w:val="00127891"/>
    <w:rsid w:val="001306C4"/>
    <w:rsid w:val="00131CF4"/>
    <w:rsid w:val="00132695"/>
    <w:rsid w:val="00133D33"/>
    <w:rsid w:val="00134D64"/>
    <w:rsid w:val="00135A30"/>
    <w:rsid w:val="0013612C"/>
    <w:rsid w:val="00137FF6"/>
    <w:rsid w:val="00141650"/>
    <w:rsid w:val="00141CFC"/>
    <w:rsid w:val="00144B3C"/>
    <w:rsid w:val="001464B2"/>
    <w:rsid w:val="001507AB"/>
    <w:rsid w:val="001516A3"/>
    <w:rsid w:val="0015205C"/>
    <w:rsid w:val="001526E7"/>
    <w:rsid w:val="0015330A"/>
    <w:rsid w:val="00154F30"/>
    <w:rsid w:val="00154F7B"/>
    <w:rsid w:val="00155278"/>
    <w:rsid w:val="001568CD"/>
    <w:rsid w:val="00157518"/>
    <w:rsid w:val="0016174F"/>
    <w:rsid w:val="001619D7"/>
    <w:rsid w:val="00162A12"/>
    <w:rsid w:val="0016320F"/>
    <w:rsid w:val="00163CB4"/>
    <w:rsid w:val="00165394"/>
    <w:rsid w:val="0016611A"/>
    <w:rsid w:val="001661C3"/>
    <w:rsid w:val="00166530"/>
    <w:rsid w:val="001740FA"/>
    <w:rsid w:val="00174590"/>
    <w:rsid w:val="00175D93"/>
    <w:rsid w:val="00182C0E"/>
    <w:rsid w:val="001832BD"/>
    <w:rsid w:val="00183AC0"/>
    <w:rsid w:val="001876B8"/>
    <w:rsid w:val="001943B5"/>
    <w:rsid w:val="00195134"/>
    <w:rsid w:val="00195BFE"/>
    <w:rsid w:val="0019607A"/>
    <w:rsid w:val="001A041C"/>
    <w:rsid w:val="001A04D5"/>
    <w:rsid w:val="001A06D1"/>
    <w:rsid w:val="001A145B"/>
    <w:rsid w:val="001A17C1"/>
    <w:rsid w:val="001A3EF2"/>
    <w:rsid w:val="001A5F56"/>
    <w:rsid w:val="001A674C"/>
    <w:rsid w:val="001B1728"/>
    <w:rsid w:val="001B3B24"/>
    <w:rsid w:val="001B4719"/>
    <w:rsid w:val="001B4991"/>
    <w:rsid w:val="001B53E5"/>
    <w:rsid w:val="001B7851"/>
    <w:rsid w:val="001B7921"/>
    <w:rsid w:val="001C0F98"/>
    <w:rsid w:val="001C14FE"/>
    <w:rsid w:val="001C2A42"/>
    <w:rsid w:val="001C2E3F"/>
    <w:rsid w:val="001C3531"/>
    <w:rsid w:val="001C3AE1"/>
    <w:rsid w:val="001C41FA"/>
    <w:rsid w:val="001C7F6D"/>
    <w:rsid w:val="001D12EB"/>
    <w:rsid w:val="001D63ED"/>
    <w:rsid w:val="001D7348"/>
    <w:rsid w:val="001D74F4"/>
    <w:rsid w:val="001D7B03"/>
    <w:rsid w:val="001E035B"/>
    <w:rsid w:val="001E0961"/>
    <w:rsid w:val="001E0B6D"/>
    <w:rsid w:val="001E1F54"/>
    <w:rsid w:val="001E3EAE"/>
    <w:rsid w:val="001E6F32"/>
    <w:rsid w:val="001F2145"/>
    <w:rsid w:val="001F4E43"/>
    <w:rsid w:val="001F5733"/>
    <w:rsid w:val="001F585B"/>
    <w:rsid w:val="001F6262"/>
    <w:rsid w:val="001F67B0"/>
    <w:rsid w:val="001F6F11"/>
    <w:rsid w:val="001F72B2"/>
    <w:rsid w:val="001F7B3D"/>
    <w:rsid w:val="00200F7E"/>
    <w:rsid w:val="00201BC1"/>
    <w:rsid w:val="00202B06"/>
    <w:rsid w:val="002041BD"/>
    <w:rsid w:val="00204B2F"/>
    <w:rsid w:val="00205F9F"/>
    <w:rsid w:val="002065EF"/>
    <w:rsid w:val="00206B2A"/>
    <w:rsid w:val="00210326"/>
    <w:rsid w:val="00210338"/>
    <w:rsid w:val="00210341"/>
    <w:rsid w:val="00210831"/>
    <w:rsid w:val="002115FC"/>
    <w:rsid w:val="00211A14"/>
    <w:rsid w:val="002130B2"/>
    <w:rsid w:val="00213A89"/>
    <w:rsid w:val="00213EC6"/>
    <w:rsid w:val="0021423C"/>
    <w:rsid w:val="00215554"/>
    <w:rsid w:val="00216790"/>
    <w:rsid w:val="002206BB"/>
    <w:rsid w:val="0022152D"/>
    <w:rsid w:val="002217D1"/>
    <w:rsid w:val="00226A15"/>
    <w:rsid w:val="00230D00"/>
    <w:rsid w:val="00231DF7"/>
    <w:rsid w:val="00231FD1"/>
    <w:rsid w:val="002339E0"/>
    <w:rsid w:val="00233CF8"/>
    <w:rsid w:val="00234FF3"/>
    <w:rsid w:val="00235152"/>
    <w:rsid w:val="0023575D"/>
    <w:rsid w:val="0023656E"/>
    <w:rsid w:val="00237148"/>
    <w:rsid w:val="00241681"/>
    <w:rsid w:val="0024222D"/>
    <w:rsid w:val="00242F42"/>
    <w:rsid w:val="00243432"/>
    <w:rsid w:val="00244B0E"/>
    <w:rsid w:val="00244F6C"/>
    <w:rsid w:val="00246248"/>
    <w:rsid w:val="00246ABB"/>
    <w:rsid w:val="002532C5"/>
    <w:rsid w:val="002547F3"/>
    <w:rsid w:val="002572C1"/>
    <w:rsid w:val="00257B5C"/>
    <w:rsid w:val="00260C03"/>
    <w:rsid w:val="00261901"/>
    <w:rsid w:val="0026259A"/>
    <w:rsid w:val="0026540E"/>
    <w:rsid w:val="00266FF3"/>
    <w:rsid w:val="002702E2"/>
    <w:rsid w:val="00273918"/>
    <w:rsid w:val="00275123"/>
    <w:rsid w:val="00277519"/>
    <w:rsid w:val="00280EFF"/>
    <w:rsid w:val="00282240"/>
    <w:rsid w:val="00283F3B"/>
    <w:rsid w:val="00291379"/>
    <w:rsid w:val="002948AD"/>
    <w:rsid w:val="00297E20"/>
    <w:rsid w:val="002A01CC"/>
    <w:rsid w:val="002A03B6"/>
    <w:rsid w:val="002A3D1B"/>
    <w:rsid w:val="002A4BBA"/>
    <w:rsid w:val="002A61B1"/>
    <w:rsid w:val="002A663C"/>
    <w:rsid w:val="002A7ED2"/>
    <w:rsid w:val="002B444B"/>
    <w:rsid w:val="002B4762"/>
    <w:rsid w:val="002B5887"/>
    <w:rsid w:val="002B69B2"/>
    <w:rsid w:val="002C0E27"/>
    <w:rsid w:val="002C0FE1"/>
    <w:rsid w:val="002C13C4"/>
    <w:rsid w:val="002C3040"/>
    <w:rsid w:val="002C41E7"/>
    <w:rsid w:val="002C709D"/>
    <w:rsid w:val="002D022D"/>
    <w:rsid w:val="002D23B6"/>
    <w:rsid w:val="002D24BB"/>
    <w:rsid w:val="002D56BA"/>
    <w:rsid w:val="002E02CB"/>
    <w:rsid w:val="002E0C87"/>
    <w:rsid w:val="002E1FDB"/>
    <w:rsid w:val="002E4BC6"/>
    <w:rsid w:val="002E766F"/>
    <w:rsid w:val="002F134C"/>
    <w:rsid w:val="002F1359"/>
    <w:rsid w:val="002F2AF7"/>
    <w:rsid w:val="002F429F"/>
    <w:rsid w:val="002F7E1C"/>
    <w:rsid w:val="00301167"/>
    <w:rsid w:val="00301A55"/>
    <w:rsid w:val="00301A75"/>
    <w:rsid w:val="003027BF"/>
    <w:rsid w:val="00302F70"/>
    <w:rsid w:val="0030336F"/>
    <w:rsid w:val="0030375E"/>
    <w:rsid w:val="0030525A"/>
    <w:rsid w:val="00310E5A"/>
    <w:rsid w:val="00312A30"/>
    <w:rsid w:val="003137F7"/>
    <w:rsid w:val="003155C5"/>
    <w:rsid w:val="00316564"/>
    <w:rsid w:val="003175BA"/>
    <w:rsid w:val="00317A6E"/>
    <w:rsid w:val="0032059B"/>
    <w:rsid w:val="00320F72"/>
    <w:rsid w:val="0032463E"/>
    <w:rsid w:val="003252F0"/>
    <w:rsid w:val="00326224"/>
    <w:rsid w:val="00326D13"/>
    <w:rsid w:val="00332B30"/>
    <w:rsid w:val="00334A02"/>
    <w:rsid w:val="00337EE4"/>
    <w:rsid w:val="003409CD"/>
    <w:rsid w:val="00340FFD"/>
    <w:rsid w:val="003420DE"/>
    <w:rsid w:val="0034578A"/>
    <w:rsid w:val="00347339"/>
    <w:rsid w:val="00350222"/>
    <w:rsid w:val="003506B1"/>
    <w:rsid w:val="00354F8C"/>
    <w:rsid w:val="00354F99"/>
    <w:rsid w:val="00356AC7"/>
    <w:rsid w:val="00356BCE"/>
    <w:rsid w:val="00360179"/>
    <w:rsid w:val="003609FA"/>
    <w:rsid w:val="00360A90"/>
    <w:rsid w:val="003625E9"/>
    <w:rsid w:val="003668AF"/>
    <w:rsid w:val="003710C8"/>
    <w:rsid w:val="00371880"/>
    <w:rsid w:val="00371C85"/>
    <w:rsid w:val="0037393C"/>
    <w:rsid w:val="003750BE"/>
    <w:rsid w:val="0037746F"/>
    <w:rsid w:val="00381BEE"/>
    <w:rsid w:val="00383F4E"/>
    <w:rsid w:val="00384D70"/>
    <w:rsid w:val="00384FA2"/>
    <w:rsid w:val="00386415"/>
    <w:rsid w:val="0038670E"/>
    <w:rsid w:val="00386AA5"/>
    <w:rsid w:val="00386C1A"/>
    <w:rsid w:val="00387B9D"/>
    <w:rsid w:val="00392A8D"/>
    <w:rsid w:val="0039364F"/>
    <w:rsid w:val="00395A49"/>
    <w:rsid w:val="00396686"/>
    <w:rsid w:val="003969A6"/>
    <w:rsid w:val="0039778E"/>
    <w:rsid w:val="003A0EDF"/>
    <w:rsid w:val="003A565E"/>
    <w:rsid w:val="003A5E22"/>
    <w:rsid w:val="003A7E28"/>
    <w:rsid w:val="003B069D"/>
    <w:rsid w:val="003B12EC"/>
    <w:rsid w:val="003B1303"/>
    <w:rsid w:val="003B257F"/>
    <w:rsid w:val="003B2814"/>
    <w:rsid w:val="003B28FD"/>
    <w:rsid w:val="003B4941"/>
    <w:rsid w:val="003B75D0"/>
    <w:rsid w:val="003C0822"/>
    <w:rsid w:val="003C5714"/>
    <w:rsid w:val="003C635E"/>
    <w:rsid w:val="003C6B9F"/>
    <w:rsid w:val="003C6E2A"/>
    <w:rsid w:val="003C7338"/>
    <w:rsid w:val="003D01F4"/>
    <w:rsid w:val="003D0299"/>
    <w:rsid w:val="003D0BD4"/>
    <w:rsid w:val="003D3C39"/>
    <w:rsid w:val="003D4D37"/>
    <w:rsid w:val="003E0C93"/>
    <w:rsid w:val="003E39E2"/>
    <w:rsid w:val="003E5475"/>
    <w:rsid w:val="003E6D80"/>
    <w:rsid w:val="003F05FA"/>
    <w:rsid w:val="003F1BF9"/>
    <w:rsid w:val="003F244A"/>
    <w:rsid w:val="003F30B8"/>
    <w:rsid w:val="003F4C45"/>
    <w:rsid w:val="003F5F7B"/>
    <w:rsid w:val="003F7D64"/>
    <w:rsid w:val="00400527"/>
    <w:rsid w:val="0040065F"/>
    <w:rsid w:val="004010B5"/>
    <w:rsid w:val="00402CBD"/>
    <w:rsid w:val="00410A83"/>
    <w:rsid w:val="00411C88"/>
    <w:rsid w:val="00412A7D"/>
    <w:rsid w:val="00414300"/>
    <w:rsid w:val="004147EA"/>
    <w:rsid w:val="004229EB"/>
    <w:rsid w:val="004258B1"/>
    <w:rsid w:val="00425C67"/>
    <w:rsid w:val="00425FF8"/>
    <w:rsid w:val="00427E7A"/>
    <w:rsid w:val="00431E3F"/>
    <w:rsid w:val="00432DE4"/>
    <w:rsid w:val="004348EE"/>
    <w:rsid w:val="00434EC4"/>
    <w:rsid w:val="00436C49"/>
    <w:rsid w:val="00445366"/>
    <w:rsid w:val="004473CB"/>
    <w:rsid w:val="00447F5B"/>
    <w:rsid w:val="0045067D"/>
    <w:rsid w:val="004516E4"/>
    <w:rsid w:val="00451941"/>
    <w:rsid w:val="004549B2"/>
    <w:rsid w:val="00461DB0"/>
    <w:rsid w:val="00463114"/>
    <w:rsid w:val="00463926"/>
    <w:rsid w:val="00464C9A"/>
    <w:rsid w:val="00466118"/>
    <w:rsid w:val="00470102"/>
    <w:rsid w:val="00470E6F"/>
    <w:rsid w:val="004741F5"/>
    <w:rsid w:val="00474239"/>
    <w:rsid w:val="00474F3D"/>
    <w:rsid w:val="004763E8"/>
    <w:rsid w:val="00476F5B"/>
    <w:rsid w:val="00477E3A"/>
    <w:rsid w:val="00483E5F"/>
    <w:rsid w:val="00485FF9"/>
    <w:rsid w:val="004907F0"/>
    <w:rsid w:val="00490879"/>
    <w:rsid w:val="0049140B"/>
    <w:rsid w:val="00491E89"/>
    <w:rsid w:val="004923A5"/>
    <w:rsid w:val="00494620"/>
    <w:rsid w:val="00496BFB"/>
    <w:rsid w:val="00497C2C"/>
    <w:rsid w:val="004A01E5"/>
    <w:rsid w:val="004A0997"/>
    <w:rsid w:val="004A15C7"/>
    <w:rsid w:val="004A33FE"/>
    <w:rsid w:val="004A4174"/>
    <w:rsid w:val="004A45DC"/>
    <w:rsid w:val="004A5046"/>
    <w:rsid w:val="004A709E"/>
    <w:rsid w:val="004B013B"/>
    <w:rsid w:val="004B112B"/>
    <w:rsid w:val="004B168D"/>
    <w:rsid w:val="004B28BF"/>
    <w:rsid w:val="004B3D99"/>
    <w:rsid w:val="004B3EBF"/>
    <w:rsid w:val="004B6DA7"/>
    <w:rsid w:val="004C01E4"/>
    <w:rsid w:val="004C0536"/>
    <w:rsid w:val="004C086C"/>
    <w:rsid w:val="004C1F56"/>
    <w:rsid w:val="004C27BC"/>
    <w:rsid w:val="004C2AFD"/>
    <w:rsid w:val="004C39EA"/>
    <w:rsid w:val="004C3EAE"/>
    <w:rsid w:val="004C42A4"/>
    <w:rsid w:val="004C5A9B"/>
    <w:rsid w:val="004C636D"/>
    <w:rsid w:val="004C63F6"/>
    <w:rsid w:val="004C6A0D"/>
    <w:rsid w:val="004D15F3"/>
    <w:rsid w:val="004D3CEF"/>
    <w:rsid w:val="004D4963"/>
    <w:rsid w:val="004D5311"/>
    <w:rsid w:val="004D5DCC"/>
    <w:rsid w:val="004E02D9"/>
    <w:rsid w:val="004E12FF"/>
    <w:rsid w:val="004E2221"/>
    <w:rsid w:val="004E2FBD"/>
    <w:rsid w:val="004E6333"/>
    <w:rsid w:val="004E6C07"/>
    <w:rsid w:val="004E7186"/>
    <w:rsid w:val="004E7552"/>
    <w:rsid w:val="004E76FD"/>
    <w:rsid w:val="004E79D2"/>
    <w:rsid w:val="004F10AF"/>
    <w:rsid w:val="004F11A4"/>
    <w:rsid w:val="004F2389"/>
    <w:rsid w:val="004F2979"/>
    <w:rsid w:val="004F2A19"/>
    <w:rsid w:val="004F2D17"/>
    <w:rsid w:val="004F304D"/>
    <w:rsid w:val="004F6095"/>
    <w:rsid w:val="004F61BE"/>
    <w:rsid w:val="004F66B1"/>
    <w:rsid w:val="004F7575"/>
    <w:rsid w:val="005023C2"/>
    <w:rsid w:val="005029CE"/>
    <w:rsid w:val="00505A87"/>
    <w:rsid w:val="005107CF"/>
    <w:rsid w:val="00511C07"/>
    <w:rsid w:val="005173A6"/>
    <w:rsid w:val="00520BAA"/>
    <w:rsid w:val="0052506A"/>
    <w:rsid w:val="00525208"/>
    <w:rsid w:val="005252F6"/>
    <w:rsid w:val="005257A5"/>
    <w:rsid w:val="005264C0"/>
    <w:rsid w:val="00526A8A"/>
    <w:rsid w:val="00526C65"/>
    <w:rsid w:val="005300FC"/>
    <w:rsid w:val="00530117"/>
    <w:rsid w:val="00531DF2"/>
    <w:rsid w:val="00532C56"/>
    <w:rsid w:val="00536EF6"/>
    <w:rsid w:val="00540830"/>
    <w:rsid w:val="005428E5"/>
    <w:rsid w:val="005442EE"/>
    <w:rsid w:val="00546E1F"/>
    <w:rsid w:val="00547353"/>
    <w:rsid w:val="005474E7"/>
    <w:rsid w:val="00547704"/>
    <w:rsid w:val="005478CB"/>
    <w:rsid w:val="005512A3"/>
    <w:rsid w:val="0055306D"/>
    <w:rsid w:val="00553244"/>
    <w:rsid w:val="00553E3F"/>
    <w:rsid w:val="00554BE9"/>
    <w:rsid w:val="00555F56"/>
    <w:rsid w:val="00555F67"/>
    <w:rsid w:val="00557066"/>
    <w:rsid w:val="005578CE"/>
    <w:rsid w:val="00557AF0"/>
    <w:rsid w:val="00562781"/>
    <w:rsid w:val="00564B67"/>
    <w:rsid w:val="00566D37"/>
    <w:rsid w:val="00566E67"/>
    <w:rsid w:val="00567FB6"/>
    <w:rsid w:val="005702B4"/>
    <w:rsid w:val="0057271C"/>
    <w:rsid w:val="00572845"/>
    <w:rsid w:val="00573704"/>
    <w:rsid w:val="005744D2"/>
    <w:rsid w:val="00574C83"/>
    <w:rsid w:val="005760F8"/>
    <w:rsid w:val="005848BA"/>
    <w:rsid w:val="00585CCB"/>
    <w:rsid w:val="005917B1"/>
    <w:rsid w:val="00591EBD"/>
    <w:rsid w:val="0059214A"/>
    <w:rsid w:val="0059238B"/>
    <w:rsid w:val="00592482"/>
    <w:rsid w:val="00592772"/>
    <w:rsid w:val="0059574A"/>
    <w:rsid w:val="00595E52"/>
    <w:rsid w:val="00596468"/>
    <w:rsid w:val="00596743"/>
    <w:rsid w:val="00596ADE"/>
    <w:rsid w:val="005A02CB"/>
    <w:rsid w:val="005A1B9B"/>
    <w:rsid w:val="005A6751"/>
    <w:rsid w:val="005B092E"/>
    <w:rsid w:val="005B152C"/>
    <w:rsid w:val="005B1585"/>
    <w:rsid w:val="005B1EE0"/>
    <w:rsid w:val="005B2B24"/>
    <w:rsid w:val="005B4425"/>
    <w:rsid w:val="005B4B94"/>
    <w:rsid w:val="005B78BF"/>
    <w:rsid w:val="005C17E7"/>
    <w:rsid w:val="005C1E92"/>
    <w:rsid w:val="005C3EE8"/>
    <w:rsid w:val="005C406F"/>
    <w:rsid w:val="005C4D23"/>
    <w:rsid w:val="005C61A7"/>
    <w:rsid w:val="005D024B"/>
    <w:rsid w:val="005D31D2"/>
    <w:rsid w:val="005D34F9"/>
    <w:rsid w:val="005D4190"/>
    <w:rsid w:val="005D4B95"/>
    <w:rsid w:val="005D50A0"/>
    <w:rsid w:val="005D5482"/>
    <w:rsid w:val="005D67A3"/>
    <w:rsid w:val="005D7999"/>
    <w:rsid w:val="005E277B"/>
    <w:rsid w:val="005E2988"/>
    <w:rsid w:val="005E2BDD"/>
    <w:rsid w:val="005E3085"/>
    <w:rsid w:val="005E3331"/>
    <w:rsid w:val="005E3412"/>
    <w:rsid w:val="005E37C6"/>
    <w:rsid w:val="005E3CCA"/>
    <w:rsid w:val="005E40E1"/>
    <w:rsid w:val="005F1DCC"/>
    <w:rsid w:val="005F51E1"/>
    <w:rsid w:val="005F7109"/>
    <w:rsid w:val="0060422F"/>
    <w:rsid w:val="00604A69"/>
    <w:rsid w:val="00604B0B"/>
    <w:rsid w:val="00606944"/>
    <w:rsid w:val="00610A29"/>
    <w:rsid w:val="00611C80"/>
    <w:rsid w:val="00613AAF"/>
    <w:rsid w:val="00615BEA"/>
    <w:rsid w:val="00615E80"/>
    <w:rsid w:val="00617E0D"/>
    <w:rsid w:val="00620692"/>
    <w:rsid w:val="006210F0"/>
    <w:rsid w:val="00623D2D"/>
    <w:rsid w:val="006242CA"/>
    <w:rsid w:val="00627507"/>
    <w:rsid w:val="00633717"/>
    <w:rsid w:val="006344E1"/>
    <w:rsid w:val="00636801"/>
    <w:rsid w:val="00637BC2"/>
    <w:rsid w:val="00640053"/>
    <w:rsid w:val="00640470"/>
    <w:rsid w:val="00642808"/>
    <w:rsid w:val="0064475B"/>
    <w:rsid w:val="00646454"/>
    <w:rsid w:val="006508FE"/>
    <w:rsid w:val="00650EDD"/>
    <w:rsid w:val="0065298D"/>
    <w:rsid w:val="00653F63"/>
    <w:rsid w:val="006545C4"/>
    <w:rsid w:val="00657375"/>
    <w:rsid w:val="0066101E"/>
    <w:rsid w:val="00661098"/>
    <w:rsid w:val="0066157F"/>
    <w:rsid w:val="00661971"/>
    <w:rsid w:val="00661C87"/>
    <w:rsid w:val="00661CE8"/>
    <w:rsid w:val="006623D9"/>
    <w:rsid w:val="006624D1"/>
    <w:rsid w:val="0066550C"/>
    <w:rsid w:val="00665BBB"/>
    <w:rsid w:val="0066692F"/>
    <w:rsid w:val="00667B26"/>
    <w:rsid w:val="00667EFE"/>
    <w:rsid w:val="00667F18"/>
    <w:rsid w:val="006716F2"/>
    <w:rsid w:val="00681402"/>
    <w:rsid w:val="00682B21"/>
    <w:rsid w:val="00682BF2"/>
    <w:rsid w:val="006841D8"/>
    <w:rsid w:val="006842CD"/>
    <w:rsid w:val="00685464"/>
    <w:rsid w:val="006859CE"/>
    <w:rsid w:val="00685A22"/>
    <w:rsid w:val="00687C74"/>
    <w:rsid w:val="006905D9"/>
    <w:rsid w:val="00690DC4"/>
    <w:rsid w:val="00691270"/>
    <w:rsid w:val="00694A2E"/>
    <w:rsid w:val="00694BA8"/>
    <w:rsid w:val="006970B9"/>
    <w:rsid w:val="006A037C"/>
    <w:rsid w:val="006A0E9D"/>
    <w:rsid w:val="006A229E"/>
    <w:rsid w:val="006A36F4"/>
    <w:rsid w:val="006A406F"/>
    <w:rsid w:val="006A5D3A"/>
    <w:rsid w:val="006B1626"/>
    <w:rsid w:val="006B2FD0"/>
    <w:rsid w:val="006B5688"/>
    <w:rsid w:val="006C1BCB"/>
    <w:rsid w:val="006C2284"/>
    <w:rsid w:val="006C23D4"/>
    <w:rsid w:val="006C2EDA"/>
    <w:rsid w:val="006C36C2"/>
    <w:rsid w:val="006C64BE"/>
    <w:rsid w:val="006C75AE"/>
    <w:rsid w:val="006C7BB0"/>
    <w:rsid w:val="006D1854"/>
    <w:rsid w:val="006D3237"/>
    <w:rsid w:val="006D3F49"/>
    <w:rsid w:val="006D6136"/>
    <w:rsid w:val="006D6AD9"/>
    <w:rsid w:val="006D7E83"/>
    <w:rsid w:val="006E2E37"/>
    <w:rsid w:val="006E3CF1"/>
    <w:rsid w:val="006E5EBE"/>
    <w:rsid w:val="006E7E04"/>
    <w:rsid w:val="006E7E80"/>
    <w:rsid w:val="006F1EB1"/>
    <w:rsid w:val="006F40A2"/>
    <w:rsid w:val="006F48CA"/>
    <w:rsid w:val="006F64DD"/>
    <w:rsid w:val="00702D7B"/>
    <w:rsid w:val="007042B8"/>
    <w:rsid w:val="00706380"/>
    <w:rsid w:val="007107B2"/>
    <w:rsid w:val="00711B9F"/>
    <w:rsid w:val="007127C9"/>
    <w:rsid w:val="00715127"/>
    <w:rsid w:val="00715AD0"/>
    <w:rsid w:val="00715E8E"/>
    <w:rsid w:val="007177A5"/>
    <w:rsid w:val="0072333D"/>
    <w:rsid w:val="00723580"/>
    <w:rsid w:val="00723755"/>
    <w:rsid w:val="00727BD8"/>
    <w:rsid w:val="007311FC"/>
    <w:rsid w:val="0073136C"/>
    <w:rsid w:val="00731513"/>
    <w:rsid w:val="00731F0F"/>
    <w:rsid w:val="00732418"/>
    <w:rsid w:val="0073323F"/>
    <w:rsid w:val="00733250"/>
    <w:rsid w:val="00733D89"/>
    <w:rsid w:val="0074090A"/>
    <w:rsid w:val="00741404"/>
    <w:rsid w:val="00741BF0"/>
    <w:rsid w:val="007449E5"/>
    <w:rsid w:val="00744EAE"/>
    <w:rsid w:val="00747196"/>
    <w:rsid w:val="00747FF0"/>
    <w:rsid w:val="007513B3"/>
    <w:rsid w:val="00751961"/>
    <w:rsid w:val="0075239D"/>
    <w:rsid w:val="00752878"/>
    <w:rsid w:val="007544F9"/>
    <w:rsid w:val="00760090"/>
    <w:rsid w:val="00761874"/>
    <w:rsid w:val="007628EF"/>
    <w:rsid w:val="00764D4E"/>
    <w:rsid w:val="00765835"/>
    <w:rsid w:val="00765A1F"/>
    <w:rsid w:val="0076612D"/>
    <w:rsid w:val="007722A7"/>
    <w:rsid w:val="00772FC9"/>
    <w:rsid w:val="00773BA0"/>
    <w:rsid w:val="007759E5"/>
    <w:rsid w:val="00775B6D"/>
    <w:rsid w:val="00776B05"/>
    <w:rsid w:val="00776D68"/>
    <w:rsid w:val="00776F50"/>
    <w:rsid w:val="0078055B"/>
    <w:rsid w:val="00781C8C"/>
    <w:rsid w:val="007823F8"/>
    <w:rsid w:val="00782EF9"/>
    <w:rsid w:val="00782FCD"/>
    <w:rsid w:val="00784749"/>
    <w:rsid w:val="007850EE"/>
    <w:rsid w:val="00785B95"/>
    <w:rsid w:val="007864A4"/>
    <w:rsid w:val="0078724D"/>
    <w:rsid w:val="007902B6"/>
    <w:rsid w:val="00790A06"/>
    <w:rsid w:val="00790E96"/>
    <w:rsid w:val="00793366"/>
    <w:rsid w:val="00793A0F"/>
    <w:rsid w:val="007952DA"/>
    <w:rsid w:val="00795CAA"/>
    <w:rsid w:val="007A0725"/>
    <w:rsid w:val="007A4098"/>
    <w:rsid w:val="007A643A"/>
    <w:rsid w:val="007A716F"/>
    <w:rsid w:val="007B270A"/>
    <w:rsid w:val="007B4B56"/>
    <w:rsid w:val="007B5EE4"/>
    <w:rsid w:val="007C0695"/>
    <w:rsid w:val="007C1C7F"/>
    <w:rsid w:val="007C35BC"/>
    <w:rsid w:val="007C419A"/>
    <w:rsid w:val="007C4CC8"/>
    <w:rsid w:val="007C5300"/>
    <w:rsid w:val="007C5426"/>
    <w:rsid w:val="007C5798"/>
    <w:rsid w:val="007C622B"/>
    <w:rsid w:val="007D0F9C"/>
    <w:rsid w:val="007D20D1"/>
    <w:rsid w:val="007D4832"/>
    <w:rsid w:val="007D574F"/>
    <w:rsid w:val="007D6ED0"/>
    <w:rsid w:val="007E1B4D"/>
    <w:rsid w:val="007E21B2"/>
    <w:rsid w:val="007E2C4E"/>
    <w:rsid w:val="007E3ED4"/>
    <w:rsid w:val="007E45D9"/>
    <w:rsid w:val="007E48C2"/>
    <w:rsid w:val="007E58F1"/>
    <w:rsid w:val="007E5FBE"/>
    <w:rsid w:val="007E73C4"/>
    <w:rsid w:val="007E74AF"/>
    <w:rsid w:val="007F1905"/>
    <w:rsid w:val="007F1DC0"/>
    <w:rsid w:val="007F1EAC"/>
    <w:rsid w:val="007F4F51"/>
    <w:rsid w:val="007F57B0"/>
    <w:rsid w:val="00801300"/>
    <w:rsid w:val="00801478"/>
    <w:rsid w:val="00802C64"/>
    <w:rsid w:val="00804545"/>
    <w:rsid w:val="0080497B"/>
    <w:rsid w:val="00805E52"/>
    <w:rsid w:val="00805F9B"/>
    <w:rsid w:val="008061D0"/>
    <w:rsid w:val="00807D12"/>
    <w:rsid w:val="00810B38"/>
    <w:rsid w:val="008121A7"/>
    <w:rsid w:val="0081267D"/>
    <w:rsid w:val="00812F66"/>
    <w:rsid w:val="00814403"/>
    <w:rsid w:val="00817002"/>
    <w:rsid w:val="008204C7"/>
    <w:rsid w:val="00820992"/>
    <w:rsid w:val="00823602"/>
    <w:rsid w:val="00823AAD"/>
    <w:rsid w:val="008255F5"/>
    <w:rsid w:val="0083014E"/>
    <w:rsid w:val="00831248"/>
    <w:rsid w:val="008313BD"/>
    <w:rsid w:val="0083214A"/>
    <w:rsid w:val="008323C4"/>
    <w:rsid w:val="0083388D"/>
    <w:rsid w:val="00834220"/>
    <w:rsid w:val="00834F15"/>
    <w:rsid w:val="00836CE3"/>
    <w:rsid w:val="0084088E"/>
    <w:rsid w:val="0084206D"/>
    <w:rsid w:val="0084351A"/>
    <w:rsid w:val="00844C8F"/>
    <w:rsid w:val="00844E08"/>
    <w:rsid w:val="00844F74"/>
    <w:rsid w:val="00845723"/>
    <w:rsid w:val="00845E8A"/>
    <w:rsid w:val="008460ED"/>
    <w:rsid w:val="00850EAF"/>
    <w:rsid w:val="0085148A"/>
    <w:rsid w:val="00851EF9"/>
    <w:rsid w:val="00856222"/>
    <w:rsid w:val="00856C8F"/>
    <w:rsid w:val="008577FD"/>
    <w:rsid w:val="00860B03"/>
    <w:rsid w:val="0086497A"/>
    <w:rsid w:val="00865A8E"/>
    <w:rsid w:val="00867AE9"/>
    <w:rsid w:val="00870D49"/>
    <w:rsid w:val="008713A1"/>
    <w:rsid w:val="00873859"/>
    <w:rsid w:val="008754AB"/>
    <w:rsid w:val="00875AB3"/>
    <w:rsid w:val="00877FD5"/>
    <w:rsid w:val="0088060C"/>
    <w:rsid w:val="00882149"/>
    <w:rsid w:val="008827C5"/>
    <w:rsid w:val="008851E6"/>
    <w:rsid w:val="008872AB"/>
    <w:rsid w:val="008872C7"/>
    <w:rsid w:val="00887454"/>
    <w:rsid w:val="008879A2"/>
    <w:rsid w:val="00892CE0"/>
    <w:rsid w:val="00893576"/>
    <w:rsid w:val="00893E73"/>
    <w:rsid w:val="00894F4F"/>
    <w:rsid w:val="00896C2F"/>
    <w:rsid w:val="008A38E0"/>
    <w:rsid w:val="008A3E4F"/>
    <w:rsid w:val="008A6C15"/>
    <w:rsid w:val="008B02DC"/>
    <w:rsid w:val="008B0BF6"/>
    <w:rsid w:val="008B13E5"/>
    <w:rsid w:val="008B24BA"/>
    <w:rsid w:val="008B28D5"/>
    <w:rsid w:val="008B3B02"/>
    <w:rsid w:val="008B4279"/>
    <w:rsid w:val="008B4960"/>
    <w:rsid w:val="008B57CE"/>
    <w:rsid w:val="008C1C88"/>
    <w:rsid w:val="008C26DE"/>
    <w:rsid w:val="008C2DAA"/>
    <w:rsid w:val="008C3765"/>
    <w:rsid w:val="008C48EF"/>
    <w:rsid w:val="008C50A7"/>
    <w:rsid w:val="008D095A"/>
    <w:rsid w:val="008D2225"/>
    <w:rsid w:val="008D4752"/>
    <w:rsid w:val="008D6A12"/>
    <w:rsid w:val="008D7298"/>
    <w:rsid w:val="008D7DB7"/>
    <w:rsid w:val="008E05DC"/>
    <w:rsid w:val="008E073A"/>
    <w:rsid w:val="008E271C"/>
    <w:rsid w:val="008E418E"/>
    <w:rsid w:val="008E5BC6"/>
    <w:rsid w:val="008E6A25"/>
    <w:rsid w:val="008F0595"/>
    <w:rsid w:val="008F0E50"/>
    <w:rsid w:val="008F23B0"/>
    <w:rsid w:val="008F5193"/>
    <w:rsid w:val="009013A7"/>
    <w:rsid w:val="009017FB"/>
    <w:rsid w:val="009017FC"/>
    <w:rsid w:val="00903E4E"/>
    <w:rsid w:val="0090506B"/>
    <w:rsid w:val="009050C9"/>
    <w:rsid w:val="009066FC"/>
    <w:rsid w:val="00910559"/>
    <w:rsid w:val="00912BF1"/>
    <w:rsid w:val="009130E4"/>
    <w:rsid w:val="009140A3"/>
    <w:rsid w:val="009144A2"/>
    <w:rsid w:val="00914899"/>
    <w:rsid w:val="0091510C"/>
    <w:rsid w:val="00915286"/>
    <w:rsid w:val="00916063"/>
    <w:rsid w:val="0091648C"/>
    <w:rsid w:val="009218FB"/>
    <w:rsid w:val="009248D2"/>
    <w:rsid w:val="009259AC"/>
    <w:rsid w:val="0092663C"/>
    <w:rsid w:val="00926AD5"/>
    <w:rsid w:val="00926F38"/>
    <w:rsid w:val="009274A3"/>
    <w:rsid w:val="00934301"/>
    <w:rsid w:val="00935835"/>
    <w:rsid w:val="00936C2D"/>
    <w:rsid w:val="00936CD1"/>
    <w:rsid w:val="009414EA"/>
    <w:rsid w:val="00941747"/>
    <w:rsid w:val="00941EFB"/>
    <w:rsid w:val="009421A7"/>
    <w:rsid w:val="00946AF1"/>
    <w:rsid w:val="00947AFB"/>
    <w:rsid w:val="00947BCC"/>
    <w:rsid w:val="00951D7D"/>
    <w:rsid w:val="00951E47"/>
    <w:rsid w:val="00952593"/>
    <w:rsid w:val="009528EC"/>
    <w:rsid w:val="00954253"/>
    <w:rsid w:val="009552B1"/>
    <w:rsid w:val="00955EA6"/>
    <w:rsid w:val="00957F44"/>
    <w:rsid w:val="009630C7"/>
    <w:rsid w:val="009677B6"/>
    <w:rsid w:val="00967BB9"/>
    <w:rsid w:val="009711D3"/>
    <w:rsid w:val="00971340"/>
    <w:rsid w:val="009717B9"/>
    <w:rsid w:val="00972B55"/>
    <w:rsid w:val="009743B7"/>
    <w:rsid w:val="0097613B"/>
    <w:rsid w:val="009776A2"/>
    <w:rsid w:val="00980E7C"/>
    <w:rsid w:val="009815A9"/>
    <w:rsid w:val="0098228B"/>
    <w:rsid w:val="009828DA"/>
    <w:rsid w:val="00985413"/>
    <w:rsid w:val="00985420"/>
    <w:rsid w:val="00985BAB"/>
    <w:rsid w:val="009875F6"/>
    <w:rsid w:val="00990608"/>
    <w:rsid w:val="00990934"/>
    <w:rsid w:val="00993DFC"/>
    <w:rsid w:val="009A2FC3"/>
    <w:rsid w:val="009A45BC"/>
    <w:rsid w:val="009A4BA7"/>
    <w:rsid w:val="009B07A3"/>
    <w:rsid w:val="009B1A55"/>
    <w:rsid w:val="009B1B5F"/>
    <w:rsid w:val="009B512A"/>
    <w:rsid w:val="009B6673"/>
    <w:rsid w:val="009B67A1"/>
    <w:rsid w:val="009B7909"/>
    <w:rsid w:val="009B7D9B"/>
    <w:rsid w:val="009C191B"/>
    <w:rsid w:val="009C1F1B"/>
    <w:rsid w:val="009C2152"/>
    <w:rsid w:val="009C2BD6"/>
    <w:rsid w:val="009C5881"/>
    <w:rsid w:val="009C6CF5"/>
    <w:rsid w:val="009C7288"/>
    <w:rsid w:val="009C73B8"/>
    <w:rsid w:val="009C7724"/>
    <w:rsid w:val="009D0DCE"/>
    <w:rsid w:val="009D16B0"/>
    <w:rsid w:val="009D19C5"/>
    <w:rsid w:val="009D1DB7"/>
    <w:rsid w:val="009E1F32"/>
    <w:rsid w:val="009E2D7C"/>
    <w:rsid w:val="009E776C"/>
    <w:rsid w:val="009F1D4E"/>
    <w:rsid w:val="009F5FE4"/>
    <w:rsid w:val="00A00144"/>
    <w:rsid w:val="00A05FCF"/>
    <w:rsid w:val="00A075DA"/>
    <w:rsid w:val="00A12BBB"/>
    <w:rsid w:val="00A12CD1"/>
    <w:rsid w:val="00A159A1"/>
    <w:rsid w:val="00A15C9E"/>
    <w:rsid w:val="00A1726E"/>
    <w:rsid w:val="00A204CF"/>
    <w:rsid w:val="00A236D8"/>
    <w:rsid w:val="00A23D49"/>
    <w:rsid w:val="00A27004"/>
    <w:rsid w:val="00A30C29"/>
    <w:rsid w:val="00A31892"/>
    <w:rsid w:val="00A33020"/>
    <w:rsid w:val="00A33742"/>
    <w:rsid w:val="00A34DD6"/>
    <w:rsid w:val="00A35DD1"/>
    <w:rsid w:val="00A36103"/>
    <w:rsid w:val="00A36819"/>
    <w:rsid w:val="00A36989"/>
    <w:rsid w:val="00A36B59"/>
    <w:rsid w:val="00A43308"/>
    <w:rsid w:val="00A43628"/>
    <w:rsid w:val="00A45E29"/>
    <w:rsid w:val="00A46098"/>
    <w:rsid w:val="00A52386"/>
    <w:rsid w:val="00A54192"/>
    <w:rsid w:val="00A57324"/>
    <w:rsid w:val="00A6035E"/>
    <w:rsid w:val="00A6144C"/>
    <w:rsid w:val="00A6183E"/>
    <w:rsid w:val="00A644BB"/>
    <w:rsid w:val="00A66617"/>
    <w:rsid w:val="00A671F8"/>
    <w:rsid w:val="00A673A4"/>
    <w:rsid w:val="00A67531"/>
    <w:rsid w:val="00A724AE"/>
    <w:rsid w:val="00A73329"/>
    <w:rsid w:val="00A74BC1"/>
    <w:rsid w:val="00A7761A"/>
    <w:rsid w:val="00A82359"/>
    <w:rsid w:val="00A837B6"/>
    <w:rsid w:val="00A84527"/>
    <w:rsid w:val="00A8486D"/>
    <w:rsid w:val="00A865D2"/>
    <w:rsid w:val="00A867E5"/>
    <w:rsid w:val="00A91879"/>
    <w:rsid w:val="00A93943"/>
    <w:rsid w:val="00A94C20"/>
    <w:rsid w:val="00A96ECE"/>
    <w:rsid w:val="00AA0C9F"/>
    <w:rsid w:val="00AA227F"/>
    <w:rsid w:val="00AA3BC7"/>
    <w:rsid w:val="00AA3DD8"/>
    <w:rsid w:val="00AA5216"/>
    <w:rsid w:val="00AA754A"/>
    <w:rsid w:val="00AA755B"/>
    <w:rsid w:val="00AA7CB6"/>
    <w:rsid w:val="00AB099E"/>
    <w:rsid w:val="00AB4268"/>
    <w:rsid w:val="00AB4328"/>
    <w:rsid w:val="00AB4FD9"/>
    <w:rsid w:val="00AB64C9"/>
    <w:rsid w:val="00AB71BE"/>
    <w:rsid w:val="00AC0167"/>
    <w:rsid w:val="00AC0824"/>
    <w:rsid w:val="00AC4EBF"/>
    <w:rsid w:val="00AC583B"/>
    <w:rsid w:val="00AD412E"/>
    <w:rsid w:val="00AD457B"/>
    <w:rsid w:val="00AD5353"/>
    <w:rsid w:val="00AD7572"/>
    <w:rsid w:val="00AD75AE"/>
    <w:rsid w:val="00AE0A2E"/>
    <w:rsid w:val="00AE0D6E"/>
    <w:rsid w:val="00AE354C"/>
    <w:rsid w:val="00AE587F"/>
    <w:rsid w:val="00AE72CF"/>
    <w:rsid w:val="00AF1DF6"/>
    <w:rsid w:val="00AF47A9"/>
    <w:rsid w:val="00AF4B07"/>
    <w:rsid w:val="00AF5CC8"/>
    <w:rsid w:val="00AF6186"/>
    <w:rsid w:val="00AF6985"/>
    <w:rsid w:val="00AF7A3A"/>
    <w:rsid w:val="00B00CD5"/>
    <w:rsid w:val="00B00D99"/>
    <w:rsid w:val="00B02CA3"/>
    <w:rsid w:val="00B042B6"/>
    <w:rsid w:val="00B04EAB"/>
    <w:rsid w:val="00B059D2"/>
    <w:rsid w:val="00B0723F"/>
    <w:rsid w:val="00B07958"/>
    <w:rsid w:val="00B10DE5"/>
    <w:rsid w:val="00B11767"/>
    <w:rsid w:val="00B12093"/>
    <w:rsid w:val="00B12ECC"/>
    <w:rsid w:val="00B152B9"/>
    <w:rsid w:val="00B15E0B"/>
    <w:rsid w:val="00B1604E"/>
    <w:rsid w:val="00B160DB"/>
    <w:rsid w:val="00B16D70"/>
    <w:rsid w:val="00B20836"/>
    <w:rsid w:val="00B210D6"/>
    <w:rsid w:val="00B225E2"/>
    <w:rsid w:val="00B235BB"/>
    <w:rsid w:val="00B27A44"/>
    <w:rsid w:val="00B30BBF"/>
    <w:rsid w:val="00B3130E"/>
    <w:rsid w:val="00B33A7C"/>
    <w:rsid w:val="00B33C03"/>
    <w:rsid w:val="00B373A5"/>
    <w:rsid w:val="00B40670"/>
    <w:rsid w:val="00B41AB4"/>
    <w:rsid w:val="00B44E56"/>
    <w:rsid w:val="00B44ECD"/>
    <w:rsid w:val="00B46543"/>
    <w:rsid w:val="00B46CF3"/>
    <w:rsid w:val="00B47D33"/>
    <w:rsid w:val="00B5032C"/>
    <w:rsid w:val="00B52767"/>
    <w:rsid w:val="00B52BE0"/>
    <w:rsid w:val="00B53740"/>
    <w:rsid w:val="00B54133"/>
    <w:rsid w:val="00B56079"/>
    <w:rsid w:val="00B566B5"/>
    <w:rsid w:val="00B61239"/>
    <w:rsid w:val="00B63E2E"/>
    <w:rsid w:val="00B63EB8"/>
    <w:rsid w:val="00B6407A"/>
    <w:rsid w:val="00B67302"/>
    <w:rsid w:val="00B701ED"/>
    <w:rsid w:val="00B72302"/>
    <w:rsid w:val="00B73992"/>
    <w:rsid w:val="00B742E8"/>
    <w:rsid w:val="00B757BA"/>
    <w:rsid w:val="00B75C63"/>
    <w:rsid w:val="00B76C56"/>
    <w:rsid w:val="00B8086C"/>
    <w:rsid w:val="00B81211"/>
    <w:rsid w:val="00B81B2E"/>
    <w:rsid w:val="00B82C12"/>
    <w:rsid w:val="00B85528"/>
    <w:rsid w:val="00B85A04"/>
    <w:rsid w:val="00B861B4"/>
    <w:rsid w:val="00B86DFE"/>
    <w:rsid w:val="00B90274"/>
    <w:rsid w:val="00B90990"/>
    <w:rsid w:val="00B9201B"/>
    <w:rsid w:val="00B922FF"/>
    <w:rsid w:val="00B92522"/>
    <w:rsid w:val="00B9281E"/>
    <w:rsid w:val="00B93925"/>
    <w:rsid w:val="00B93ECF"/>
    <w:rsid w:val="00B94BB8"/>
    <w:rsid w:val="00B95187"/>
    <w:rsid w:val="00B9776F"/>
    <w:rsid w:val="00B979AD"/>
    <w:rsid w:val="00BA098E"/>
    <w:rsid w:val="00BA2D55"/>
    <w:rsid w:val="00BA43AE"/>
    <w:rsid w:val="00BA5605"/>
    <w:rsid w:val="00BA71B1"/>
    <w:rsid w:val="00BA7AA9"/>
    <w:rsid w:val="00BA7FA0"/>
    <w:rsid w:val="00BB0375"/>
    <w:rsid w:val="00BB0637"/>
    <w:rsid w:val="00BB0EB7"/>
    <w:rsid w:val="00BB345F"/>
    <w:rsid w:val="00BB4AE3"/>
    <w:rsid w:val="00BB5417"/>
    <w:rsid w:val="00BB68EA"/>
    <w:rsid w:val="00BB6B56"/>
    <w:rsid w:val="00BC1C27"/>
    <w:rsid w:val="00BC47F6"/>
    <w:rsid w:val="00BC4A8F"/>
    <w:rsid w:val="00BC6135"/>
    <w:rsid w:val="00BC64C5"/>
    <w:rsid w:val="00BC6BBF"/>
    <w:rsid w:val="00BD01FD"/>
    <w:rsid w:val="00BD0653"/>
    <w:rsid w:val="00BD1572"/>
    <w:rsid w:val="00BD2D2E"/>
    <w:rsid w:val="00BD2E40"/>
    <w:rsid w:val="00BD72D9"/>
    <w:rsid w:val="00BE05AE"/>
    <w:rsid w:val="00BE14E3"/>
    <w:rsid w:val="00BE1A3E"/>
    <w:rsid w:val="00BE3774"/>
    <w:rsid w:val="00BE41E5"/>
    <w:rsid w:val="00BE4AA3"/>
    <w:rsid w:val="00BE4C83"/>
    <w:rsid w:val="00BE4EEA"/>
    <w:rsid w:val="00BE61A1"/>
    <w:rsid w:val="00BE7736"/>
    <w:rsid w:val="00BF3DC8"/>
    <w:rsid w:val="00BF4109"/>
    <w:rsid w:val="00BF4CC3"/>
    <w:rsid w:val="00BF76BF"/>
    <w:rsid w:val="00BF79B7"/>
    <w:rsid w:val="00C00798"/>
    <w:rsid w:val="00C044E0"/>
    <w:rsid w:val="00C054C7"/>
    <w:rsid w:val="00C057B5"/>
    <w:rsid w:val="00C06E15"/>
    <w:rsid w:val="00C113AD"/>
    <w:rsid w:val="00C11C2F"/>
    <w:rsid w:val="00C1262B"/>
    <w:rsid w:val="00C13A23"/>
    <w:rsid w:val="00C171C4"/>
    <w:rsid w:val="00C222AC"/>
    <w:rsid w:val="00C22687"/>
    <w:rsid w:val="00C232B9"/>
    <w:rsid w:val="00C24185"/>
    <w:rsid w:val="00C254EC"/>
    <w:rsid w:val="00C2730B"/>
    <w:rsid w:val="00C277F6"/>
    <w:rsid w:val="00C301AA"/>
    <w:rsid w:val="00C30C6E"/>
    <w:rsid w:val="00C32001"/>
    <w:rsid w:val="00C32045"/>
    <w:rsid w:val="00C32E4D"/>
    <w:rsid w:val="00C333A0"/>
    <w:rsid w:val="00C34D3C"/>
    <w:rsid w:val="00C35F65"/>
    <w:rsid w:val="00C36408"/>
    <w:rsid w:val="00C36A81"/>
    <w:rsid w:val="00C3746D"/>
    <w:rsid w:val="00C377BC"/>
    <w:rsid w:val="00C4069E"/>
    <w:rsid w:val="00C41006"/>
    <w:rsid w:val="00C41974"/>
    <w:rsid w:val="00C4331B"/>
    <w:rsid w:val="00C442AF"/>
    <w:rsid w:val="00C47AAA"/>
    <w:rsid w:val="00C510C8"/>
    <w:rsid w:val="00C513CE"/>
    <w:rsid w:val="00C5298A"/>
    <w:rsid w:val="00C53F4A"/>
    <w:rsid w:val="00C54125"/>
    <w:rsid w:val="00C552AB"/>
    <w:rsid w:val="00C55B54"/>
    <w:rsid w:val="00C6098E"/>
    <w:rsid w:val="00C611D8"/>
    <w:rsid w:val="00C6152C"/>
    <w:rsid w:val="00C63990"/>
    <w:rsid w:val="00C63F14"/>
    <w:rsid w:val="00C64E83"/>
    <w:rsid w:val="00C64EF6"/>
    <w:rsid w:val="00C65050"/>
    <w:rsid w:val="00C654DC"/>
    <w:rsid w:val="00C66B63"/>
    <w:rsid w:val="00C731F1"/>
    <w:rsid w:val="00C74810"/>
    <w:rsid w:val="00C7794A"/>
    <w:rsid w:val="00C808D2"/>
    <w:rsid w:val="00C820E4"/>
    <w:rsid w:val="00C90D68"/>
    <w:rsid w:val="00C91601"/>
    <w:rsid w:val="00C939FE"/>
    <w:rsid w:val="00C94037"/>
    <w:rsid w:val="00C94F96"/>
    <w:rsid w:val="00C97B48"/>
    <w:rsid w:val="00CA2495"/>
    <w:rsid w:val="00CA4BDA"/>
    <w:rsid w:val="00CB12AF"/>
    <w:rsid w:val="00CB1F66"/>
    <w:rsid w:val="00CB2951"/>
    <w:rsid w:val="00CB3E4C"/>
    <w:rsid w:val="00CB6051"/>
    <w:rsid w:val="00CB7317"/>
    <w:rsid w:val="00CC3FE5"/>
    <w:rsid w:val="00CC4B5D"/>
    <w:rsid w:val="00CC61B6"/>
    <w:rsid w:val="00CC71E6"/>
    <w:rsid w:val="00CD09AA"/>
    <w:rsid w:val="00CD16F8"/>
    <w:rsid w:val="00CD1A10"/>
    <w:rsid w:val="00CD282B"/>
    <w:rsid w:val="00CD4C35"/>
    <w:rsid w:val="00CD5BEE"/>
    <w:rsid w:val="00CD72B7"/>
    <w:rsid w:val="00CD7369"/>
    <w:rsid w:val="00CD785B"/>
    <w:rsid w:val="00CE0B0E"/>
    <w:rsid w:val="00CE2162"/>
    <w:rsid w:val="00CE2E37"/>
    <w:rsid w:val="00CE3831"/>
    <w:rsid w:val="00CE39EC"/>
    <w:rsid w:val="00CF410F"/>
    <w:rsid w:val="00CF6C88"/>
    <w:rsid w:val="00D00ABB"/>
    <w:rsid w:val="00D02EEC"/>
    <w:rsid w:val="00D03551"/>
    <w:rsid w:val="00D0400F"/>
    <w:rsid w:val="00D06A63"/>
    <w:rsid w:val="00D07E0E"/>
    <w:rsid w:val="00D10F1E"/>
    <w:rsid w:val="00D11478"/>
    <w:rsid w:val="00D12A41"/>
    <w:rsid w:val="00D14A13"/>
    <w:rsid w:val="00D15ED0"/>
    <w:rsid w:val="00D161BF"/>
    <w:rsid w:val="00D17205"/>
    <w:rsid w:val="00D2097D"/>
    <w:rsid w:val="00D21B3E"/>
    <w:rsid w:val="00D21FED"/>
    <w:rsid w:val="00D235C6"/>
    <w:rsid w:val="00D237D2"/>
    <w:rsid w:val="00D24251"/>
    <w:rsid w:val="00D250D7"/>
    <w:rsid w:val="00D25ECF"/>
    <w:rsid w:val="00D3010D"/>
    <w:rsid w:val="00D343E2"/>
    <w:rsid w:val="00D34899"/>
    <w:rsid w:val="00D351B5"/>
    <w:rsid w:val="00D3555A"/>
    <w:rsid w:val="00D36096"/>
    <w:rsid w:val="00D361A2"/>
    <w:rsid w:val="00D367F9"/>
    <w:rsid w:val="00D37C1F"/>
    <w:rsid w:val="00D408A1"/>
    <w:rsid w:val="00D42AFF"/>
    <w:rsid w:val="00D44A54"/>
    <w:rsid w:val="00D44C2E"/>
    <w:rsid w:val="00D45414"/>
    <w:rsid w:val="00D47880"/>
    <w:rsid w:val="00D47B9F"/>
    <w:rsid w:val="00D5413A"/>
    <w:rsid w:val="00D549A4"/>
    <w:rsid w:val="00D54C32"/>
    <w:rsid w:val="00D566BD"/>
    <w:rsid w:val="00D576CF"/>
    <w:rsid w:val="00D57A4D"/>
    <w:rsid w:val="00D57D97"/>
    <w:rsid w:val="00D601B8"/>
    <w:rsid w:val="00D60AA7"/>
    <w:rsid w:val="00D61809"/>
    <w:rsid w:val="00D636E6"/>
    <w:rsid w:val="00D63CE9"/>
    <w:rsid w:val="00D6435F"/>
    <w:rsid w:val="00D64E18"/>
    <w:rsid w:val="00D654DB"/>
    <w:rsid w:val="00D65F08"/>
    <w:rsid w:val="00D66B68"/>
    <w:rsid w:val="00D66DB8"/>
    <w:rsid w:val="00D67C22"/>
    <w:rsid w:val="00D7187A"/>
    <w:rsid w:val="00D718BC"/>
    <w:rsid w:val="00D72900"/>
    <w:rsid w:val="00D73589"/>
    <w:rsid w:val="00D75E28"/>
    <w:rsid w:val="00D7661A"/>
    <w:rsid w:val="00D772C2"/>
    <w:rsid w:val="00D8008E"/>
    <w:rsid w:val="00D82C45"/>
    <w:rsid w:val="00D83782"/>
    <w:rsid w:val="00D85EDF"/>
    <w:rsid w:val="00D871A7"/>
    <w:rsid w:val="00D87442"/>
    <w:rsid w:val="00D908A8"/>
    <w:rsid w:val="00D91606"/>
    <w:rsid w:val="00D939A2"/>
    <w:rsid w:val="00D977B6"/>
    <w:rsid w:val="00DA1259"/>
    <w:rsid w:val="00DA1FA2"/>
    <w:rsid w:val="00DA4A31"/>
    <w:rsid w:val="00DA4F06"/>
    <w:rsid w:val="00DA7B04"/>
    <w:rsid w:val="00DB0362"/>
    <w:rsid w:val="00DB0814"/>
    <w:rsid w:val="00DB0B26"/>
    <w:rsid w:val="00DB36C2"/>
    <w:rsid w:val="00DC169B"/>
    <w:rsid w:val="00DC2AB9"/>
    <w:rsid w:val="00DC4C98"/>
    <w:rsid w:val="00DC63F0"/>
    <w:rsid w:val="00DD0E69"/>
    <w:rsid w:val="00DD10A1"/>
    <w:rsid w:val="00DD1D0E"/>
    <w:rsid w:val="00DD4203"/>
    <w:rsid w:val="00DD4AAB"/>
    <w:rsid w:val="00DD5146"/>
    <w:rsid w:val="00DD6941"/>
    <w:rsid w:val="00DD6EE5"/>
    <w:rsid w:val="00DE0CDA"/>
    <w:rsid w:val="00DE386C"/>
    <w:rsid w:val="00DE3E8C"/>
    <w:rsid w:val="00DE4D35"/>
    <w:rsid w:val="00DE572F"/>
    <w:rsid w:val="00DE70E3"/>
    <w:rsid w:val="00DE7946"/>
    <w:rsid w:val="00DF08B3"/>
    <w:rsid w:val="00DF098B"/>
    <w:rsid w:val="00DF0D78"/>
    <w:rsid w:val="00DF11C4"/>
    <w:rsid w:val="00DF210C"/>
    <w:rsid w:val="00DF328C"/>
    <w:rsid w:val="00DF3ED3"/>
    <w:rsid w:val="00DF4B6A"/>
    <w:rsid w:val="00DF7020"/>
    <w:rsid w:val="00E01E65"/>
    <w:rsid w:val="00E0227B"/>
    <w:rsid w:val="00E02C09"/>
    <w:rsid w:val="00E03372"/>
    <w:rsid w:val="00E04D59"/>
    <w:rsid w:val="00E07DA1"/>
    <w:rsid w:val="00E11804"/>
    <w:rsid w:val="00E11AC3"/>
    <w:rsid w:val="00E123CB"/>
    <w:rsid w:val="00E143A1"/>
    <w:rsid w:val="00E1486C"/>
    <w:rsid w:val="00E14EDF"/>
    <w:rsid w:val="00E15D03"/>
    <w:rsid w:val="00E17130"/>
    <w:rsid w:val="00E177B5"/>
    <w:rsid w:val="00E20E13"/>
    <w:rsid w:val="00E2160A"/>
    <w:rsid w:val="00E21A02"/>
    <w:rsid w:val="00E21DBC"/>
    <w:rsid w:val="00E21E32"/>
    <w:rsid w:val="00E24BF8"/>
    <w:rsid w:val="00E24C98"/>
    <w:rsid w:val="00E26B99"/>
    <w:rsid w:val="00E275D7"/>
    <w:rsid w:val="00E27670"/>
    <w:rsid w:val="00E27DBE"/>
    <w:rsid w:val="00E30B4B"/>
    <w:rsid w:val="00E31471"/>
    <w:rsid w:val="00E32AB1"/>
    <w:rsid w:val="00E33981"/>
    <w:rsid w:val="00E36C71"/>
    <w:rsid w:val="00E373F5"/>
    <w:rsid w:val="00E37C32"/>
    <w:rsid w:val="00E40404"/>
    <w:rsid w:val="00E40595"/>
    <w:rsid w:val="00E42743"/>
    <w:rsid w:val="00E434B3"/>
    <w:rsid w:val="00E4529A"/>
    <w:rsid w:val="00E459C6"/>
    <w:rsid w:val="00E473EB"/>
    <w:rsid w:val="00E47589"/>
    <w:rsid w:val="00E479D2"/>
    <w:rsid w:val="00E5339A"/>
    <w:rsid w:val="00E6074F"/>
    <w:rsid w:val="00E614FD"/>
    <w:rsid w:val="00E62D25"/>
    <w:rsid w:val="00E63D98"/>
    <w:rsid w:val="00E64915"/>
    <w:rsid w:val="00E661D4"/>
    <w:rsid w:val="00E66212"/>
    <w:rsid w:val="00E66466"/>
    <w:rsid w:val="00E70091"/>
    <w:rsid w:val="00E707DA"/>
    <w:rsid w:val="00E720F5"/>
    <w:rsid w:val="00E72E7E"/>
    <w:rsid w:val="00E73A9F"/>
    <w:rsid w:val="00E76D47"/>
    <w:rsid w:val="00E77CB3"/>
    <w:rsid w:val="00E849F7"/>
    <w:rsid w:val="00E85534"/>
    <w:rsid w:val="00E86D88"/>
    <w:rsid w:val="00E90302"/>
    <w:rsid w:val="00E921DF"/>
    <w:rsid w:val="00E92366"/>
    <w:rsid w:val="00E96F84"/>
    <w:rsid w:val="00E97396"/>
    <w:rsid w:val="00EA185E"/>
    <w:rsid w:val="00EA2516"/>
    <w:rsid w:val="00EA26E7"/>
    <w:rsid w:val="00EA407A"/>
    <w:rsid w:val="00EA46BB"/>
    <w:rsid w:val="00EA47BC"/>
    <w:rsid w:val="00EA592A"/>
    <w:rsid w:val="00EA74F4"/>
    <w:rsid w:val="00EB14E4"/>
    <w:rsid w:val="00EB32A5"/>
    <w:rsid w:val="00EB34ED"/>
    <w:rsid w:val="00EB5DF6"/>
    <w:rsid w:val="00EB7BE0"/>
    <w:rsid w:val="00EB7E63"/>
    <w:rsid w:val="00EC0613"/>
    <w:rsid w:val="00EC1175"/>
    <w:rsid w:val="00EC315E"/>
    <w:rsid w:val="00EC3313"/>
    <w:rsid w:val="00EC39F6"/>
    <w:rsid w:val="00EC3D4C"/>
    <w:rsid w:val="00EC6609"/>
    <w:rsid w:val="00ED038F"/>
    <w:rsid w:val="00ED077C"/>
    <w:rsid w:val="00ED1190"/>
    <w:rsid w:val="00ED6544"/>
    <w:rsid w:val="00ED7092"/>
    <w:rsid w:val="00ED7B19"/>
    <w:rsid w:val="00EE0277"/>
    <w:rsid w:val="00EE28EC"/>
    <w:rsid w:val="00EE3E00"/>
    <w:rsid w:val="00EE5DD2"/>
    <w:rsid w:val="00EE76FA"/>
    <w:rsid w:val="00EF0A2E"/>
    <w:rsid w:val="00EF0C92"/>
    <w:rsid w:val="00EF0FDF"/>
    <w:rsid w:val="00EF1F97"/>
    <w:rsid w:val="00EF256B"/>
    <w:rsid w:val="00EF2A0C"/>
    <w:rsid w:val="00EF502D"/>
    <w:rsid w:val="00EF63C2"/>
    <w:rsid w:val="00EF6D98"/>
    <w:rsid w:val="00F00591"/>
    <w:rsid w:val="00F00A79"/>
    <w:rsid w:val="00F00E86"/>
    <w:rsid w:val="00F0322F"/>
    <w:rsid w:val="00F04697"/>
    <w:rsid w:val="00F05C73"/>
    <w:rsid w:val="00F07C1E"/>
    <w:rsid w:val="00F105DB"/>
    <w:rsid w:val="00F110F6"/>
    <w:rsid w:val="00F1121A"/>
    <w:rsid w:val="00F1193E"/>
    <w:rsid w:val="00F132BC"/>
    <w:rsid w:val="00F13D80"/>
    <w:rsid w:val="00F15007"/>
    <w:rsid w:val="00F16AAA"/>
    <w:rsid w:val="00F21161"/>
    <w:rsid w:val="00F218EF"/>
    <w:rsid w:val="00F21BC7"/>
    <w:rsid w:val="00F21E51"/>
    <w:rsid w:val="00F22746"/>
    <w:rsid w:val="00F24E83"/>
    <w:rsid w:val="00F256B7"/>
    <w:rsid w:val="00F266A2"/>
    <w:rsid w:val="00F32269"/>
    <w:rsid w:val="00F32BFE"/>
    <w:rsid w:val="00F3774B"/>
    <w:rsid w:val="00F43087"/>
    <w:rsid w:val="00F44741"/>
    <w:rsid w:val="00F539E3"/>
    <w:rsid w:val="00F53DAE"/>
    <w:rsid w:val="00F54377"/>
    <w:rsid w:val="00F55E68"/>
    <w:rsid w:val="00F56A6F"/>
    <w:rsid w:val="00F5709C"/>
    <w:rsid w:val="00F64EF1"/>
    <w:rsid w:val="00F65BBB"/>
    <w:rsid w:val="00F65FC7"/>
    <w:rsid w:val="00F66270"/>
    <w:rsid w:val="00F716E0"/>
    <w:rsid w:val="00F71E02"/>
    <w:rsid w:val="00F735B7"/>
    <w:rsid w:val="00F73C13"/>
    <w:rsid w:val="00F73DE2"/>
    <w:rsid w:val="00F76A60"/>
    <w:rsid w:val="00F77D26"/>
    <w:rsid w:val="00F83D0C"/>
    <w:rsid w:val="00F8765F"/>
    <w:rsid w:val="00F8794E"/>
    <w:rsid w:val="00F90767"/>
    <w:rsid w:val="00F917ED"/>
    <w:rsid w:val="00F94D11"/>
    <w:rsid w:val="00F96643"/>
    <w:rsid w:val="00F97029"/>
    <w:rsid w:val="00FA23C6"/>
    <w:rsid w:val="00FA3C96"/>
    <w:rsid w:val="00FA558A"/>
    <w:rsid w:val="00FA685B"/>
    <w:rsid w:val="00FB0C01"/>
    <w:rsid w:val="00FB1EC5"/>
    <w:rsid w:val="00FB2B45"/>
    <w:rsid w:val="00FB6D1A"/>
    <w:rsid w:val="00FC0EF5"/>
    <w:rsid w:val="00FC18F2"/>
    <w:rsid w:val="00FC39E5"/>
    <w:rsid w:val="00FC3A78"/>
    <w:rsid w:val="00FC5363"/>
    <w:rsid w:val="00FC63C9"/>
    <w:rsid w:val="00FD1005"/>
    <w:rsid w:val="00FD4672"/>
    <w:rsid w:val="00FD4D9C"/>
    <w:rsid w:val="00FD6C75"/>
    <w:rsid w:val="00FE2D4A"/>
    <w:rsid w:val="00FE5101"/>
    <w:rsid w:val="00FE71B3"/>
    <w:rsid w:val="00FF147E"/>
    <w:rsid w:val="00FF245F"/>
    <w:rsid w:val="00FF42C5"/>
    <w:rsid w:val="00FF4FA6"/>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B1303"/>
    <w:pPr>
      <w:jc w:val="both"/>
    </w:pPr>
    <w:rPr>
      <w:rFonts w:eastAsiaTheme="minorEastAsia"/>
      <w:sz w:val="24"/>
      <w:lang w:val="en-GB"/>
    </w:rPr>
  </w:style>
  <w:style w:type="paragraph" w:styleId="Heading1">
    <w:name w:val="heading 1"/>
    <w:basedOn w:val="Normal"/>
    <w:next w:val="Normal"/>
    <w:link w:val="Heading1Char"/>
    <w:uiPriority w:val="99"/>
    <w:semiHidden/>
    <w:rsid w:val="003B130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B130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B130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B130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B1303"/>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3B130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B1303"/>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3B1303"/>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3B1303"/>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1303"/>
    <w:rPr>
      <w:rFonts w:ascii="Tahoma" w:hAnsi="Tahoma" w:cs="Tahoma"/>
      <w:sz w:val="16"/>
      <w:szCs w:val="16"/>
    </w:rPr>
  </w:style>
  <w:style w:type="character" w:customStyle="1" w:styleId="BalloonTextChar">
    <w:name w:val="Balloon Text Char"/>
    <w:basedOn w:val="DefaultParagraphFont"/>
    <w:link w:val="BalloonText"/>
    <w:uiPriority w:val="99"/>
    <w:semiHidden/>
    <w:rsid w:val="003B1303"/>
    <w:rPr>
      <w:rFonts w:ascii="Tahoma" w:eastAsiaTheme="minorEastAsia" w:hAnsi="Tahoma" w:cs="Tahoma"/>
      <w:sz w:val="16"/>
      <w:szCs w:val="16"/>
      <w:lang w:val="en-GB"/>
    </w:rPr>
  </w:style>
  <w:style w:type="character" w:styleId="BookTitle">
    <w:name w:val="Book Title"/>
    <w:uiPriority w:val="99"/>
    <w:semiHidden/>
    <w:qFormat/>
    <w:rsid w:val="003B1303"/>
    <w:rPr>
      <w:i/>
      <w:iCs/>
      <w:smallCaps/>
      <w:spacing w:val="5"/>
    </w:rPr>
  </w:style>
  <w:style w:type="paragraph" w:customStyle="1" w:styleId="ECHRHeader">
    <w:name w:val="ECHR_Header"/>
    <w:aliases w:val="Ju_Header"/>
    <w:basedOn w:val="Header"/>
    <w:uiPriority w:val="4"/>
    <w:qFormat/>
    <w:rsid w:val="003B1303"/>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3B1303"/>
    <w:pPr>
      <w:jc w:val="left"/>
    </w:pPr>
    <w:rPr>
      <w:sz w:val="8"/>
    </w:rPr>
  </w:style>
  <w:style w:type="character" w:styleId="Strong">
    <w:name w:val="Strong"/>
    <w:uiPriority w:val="99"/>
    <w:semiHidden/>
    <w:qFormat/>
    <w:rsid w:val="003B1303"/>
    <w:rPr>
      <w:b/>
      <w:bCs/>
    </w:rPr>
  </w:style>
  <w:style w:type="paragraph" w:styleId="NoSpacing">
    <w:name w:val="No Spacing"/>
    <w:basedOn w:val="Normal"/>
    <w:link w:val="NoSpacingChar"/>
    <w:semiHidden/>
    <w:qFormat/>
    <w:rsid w:val="003B1303"/>
    <w:rPr>
      <w:sz w:val="22"/>
      <w:lang w:val="en-US"/>
    </w:rPr>
  </w:style>
  <w:style w:type="character" w:customStyle="1" w:styleId="NoSpacingChar">
    <w:name w:val="No Spacing Char"/>
    <w:basedOn w:val="DefaultParagraphFont"/>
    <w:link w:val="NoSpacing"/>
    <w:semiHidden/>
    <w:rsid w:val="003B1303"/>
    <w:rPr>
      <w:rFonts w:eastAsiaTheme="minorEastAsia"/>
    </w:rPr>
  </w:style>
  <w:style w:type="paragraph" w:customStyle="1" w:styleId="ECHRFooterLine">
    <w:name w:val="ECHR_Footer_Line"/>
    <w:aliases w:val="Footer_Line"/>
    <w:basedOn w:val="Normal"/>
    <w:next w:val="ECHRFooter"/>
    <w:uiPriority w:val="57"/>
    <w:semiHidden/>
    <w:rsid w:val="003B1303"/>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3B1303"/>
  </w:style>
  <w:style w:type="paragraph" w:customStyle="1" w:styleId="DecList">
    <w:name w:val="Dec_List"/>
    <w:basedOn w:val="Normal"/>
    <w:uiPriority w:val="9"/>
    <w:semiHidden/>
    <w:qFormat/>
    <w:rsid w:val="003B1303"/>
    <w:pPr>
      <w:spacing w:before="240"/>
      <w:ind w:left="284"/>
    </w:pPr>
  </w:style>
  <w:style w:type="paragraph" w:customStyle="1" w:styleId="DummyStyle">
    <w:name w:val="Dummy_Style"/>
    <w:basedOn w:val="Normal"/>
    <w:semiHidden/>
    <w:qFormat/>
    <w:rsid w:val="003B1303"/>
    <w:rPr>
      <w:color w:val="00B050"/>
    </w:rPr>
  </w:style>
  <w:style w:type="paragraph" w:customStyle="1" w:styleId="ECHRTitleCentre3">
    <w:name w:val="ECHR_Title_Centre_3"/>
    <w:aliases w:val="Ju_H_Article"/>
    <w:basedOn w:val="Normal"/>
    <w:next w:val="ECHRParaQuote"/>
    <w:uiPriority w:val="27"/>
    <w:qFormat/>
    <w:rsid w:val="003B130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3B1303"/>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3B1303"/>
    <w:pPr>
      <w:numPr>
        <w:numId w:val="34"/>
      </w:numPr>
      <w:jc w:val="left"/>
    </w:pPr>
    <w:rPr>
      <w:b/>
    </w:rPr>
  </w:style>
  <w:style w:type="paragraph" w:customStyle="1" w:styleId="JuCourt">
    <w:name w:val="Ju_Court"/>
    <w:basedOn w:val="Normal"/>
    <w:next w:val="Normal"/>
    <w:uiPriority w:val="16"/>
    <w:qFormat/>
    <w:rsid w:val="003B1303"/>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3B1303"/>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3B1303"/>
    <w:pPr>
      <w:spacing w:after="240"/>
      <w:jc w:val="center"/>
      <w:outlineLvl w:val="0"/>
    </w:pPr>
    <w:rPr>
      <w:rFonts w:asciiTheme="majorHAnsi" w:hAnsiTheme="majorHAnsi"/>
    </w:rPr>
  </w:style>
  <w:style w:type="character" w:customStyle="1" w:styleId="JUNAMES">
    <w:name w:val="JU_NAMES"/>
    <w:uiPriority w:val="17"/>
    <w:qFormat/>
    <w:rsid w:val="003B1303"/>
    <w:rPr>
      <w:caps w:val="0"/>
      <w:smallCaps/>
    </w:rPr>
  </w:style>
  <w:style w:type="paragraph" w:styleId="Title">
    <w:name w:val="Title"/>
    <w:basedOn w:val="Normal"/>
    <w:next w:val="Normal"/>
    <w:link w:val="TitleChar"/>
    <w:uiPriority w:val="99"/>
    <w:semiHidden/>
    <w:qFormat/>
    <w:rsid w:val="003B1303"/>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3B130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3B130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3B130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3B1303"/>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3B130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3B1303"/>
    <w:pPr>
      <w:keepNext/>
      <w:keepLines/>
      <w:spacing w:before="240" w:after="120"/>
      <w:ind w:left="1236"/>
    </w:pPr>
    <w:rPr>
      <w:sz w:val="20"/>
      <w:lang w:val="en-GB"/>
    </w:rPr>
  </w:style>
  <w:style w:type="paragraph" w:customStyle="1" w:styleId="JuParaSub">
    <w:name w:val="Ju_Para_Sub"/>
    <w:basedOn w:val="ECHRPara"/>
    <w:uiPriority w:val="13"/>
    <w:qFormat/>
    <w:rsid w:val="003B1303"/>
    <w:pPr>
      <w:ind w:left="284"/>
    </w:pPr>
  </w:style>
  <w:style w:type="paragraph" w:customStyle="1" w:styleId="JuQuotSub">
    <w:name w:val="Ju_Quot_Sub"/>
    <w:basedOn w:val="ECHRParaQuote"/>
    <w:uiPriority w:val="15"/>
    <w:qFormat/>
    <w:rsid w:val="003B1303"/>
    <w:pPr>
      <w:ind w:left="567"/>
    </w:pPr>
  </w:style>
  <w:style w:type="paragraph" w:customStyle="1" w:styleId="JuTitle">
    <w:name w:val="Ju_Title"/>
    <w:basedOn w:val="Normal"/>
    <w:next w:val="ECHRPara"/>
    <w:uiPriority w:val="3"/>
    <w:semiHidden/>
    <w:qFormat/>
    <w:rsid w:val="003B1303"/>
    <w:pPr>
      <w:spacing w:before="720" w:after="240"/>
      <w:jc w:val="center"/>
      <w:outlineLvl w:val="0"/>
    </w:pPr>
    <w:rPr>
      <w:rFonts w:asciiTheme="majorHAnsi" w:hAnsiTheme="majorHAnsi"/>
      <w:b/>
      <w:caps/>
    </w:rPr>
  </w:style>
  <w:style w:type="paragraph" w:styleId="Header">
    <w:name w:val="header"/>
    <w:basedOn w:val="Normal"/>
    <w:link w:val="HeaderChar"/>
    <w:uiPriority w:val="57"/>
    <w:semiHidden/>
    <w:rsid w:val="003B130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3B1303"/>
    <w:rPr>
      <w:sz w:val="24"/>
      <w:lang w:val="en-GB"/>
    </w:rPr>
  </w:style>
  <w:style w:type="character" w:customStyle="1" w:styleId="Heading1Char">
    <w:name w:val="Heading 1 Char"/>
    <w:basedOn w:val="DefaultParagraphFont"/>
    <w:link w:val="Heading1"/>
    <w:uiPriority w:val="99"/>
    <w:semiHidden/>
    <w:rsid w:val="003B1303"/>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3B130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3B130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3B1303"/>
    <w:rPr>
      <w:rFonts w:asciiTheme="majorHAnsi" w:eastAsiaTheme="majorEastAsia" w:hAnsiTheme="majorHAnsi" w:cstheme="majorBidi"/>
      <w:b/>
      <w:bCs/>
      <w:color w:val="4D4D4D"/>
      <w:sz w:val="26"/>
      <w:szCs w:val="26"/>
      <w:lang w:val="en-GB"/>
    </w:rPr>
  </w:style>
  <w:style w:type="paragraph" w:customStyle="1" w:styleId="OpiH1">
    <w:name w:val="Opi_H_1"/>
    <w:basedOn w:val="ECHRHeading2"/>
    <w:uiPriority w:val="42"/>
    <w:qFormat/>
    <w:rsid w:val="003B1303"/>
    <w:pPr>
      <w:ind w:left="635" w:hanging="357"/>
      <w:outlineLvl w:val="2"/>
    </w:pPr>
  </w:style>
  <w:style w:type="paragraph" w:customStyle="1" w:styleId="ECHRDecisionBody">
    <w:name w:val="ECHR_Decision_Body"/>
    <w:aliases w:val="Ju_Judges"/>
    <w:basedOn w:val="Normal"/>
    <w:uiPriority w:val="11"/>
    <w:qFormat/>
    <w:rsid w:val="003B1303"/>
    <w:pPr>
      <w:tabs>
        <w:tab w:val="left" w:pos="567"/>
        <w:tab w:val="left" w:pos="1134"/>
      </w:tabs>
      <w:jc w:val="left"/>
    </w:pPr>
  </w:style>
  <w:style w:type="character" w:customStyle="1" w:styleId="Heading3Char">
    <w:name w:val="Heading 3 Char"/>
    <w:basedOn w:val="DefaultParagraphFont"/>
    <w:link w:val="Heading3"/>
    <w:uiPriority w:val="99"/>
    <w:semiHidden/>
    <w:rsid w:val="003B1303"/>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
    <w:link w:val="ECHRParaChar"/>
    <w:uiPriority w:val="12"/>
    <w:qFormat/>
    <w:rsid w:val="003B1303"/>
    <w:pPr>
      <w:ind w:firstLine="284"/>
    </w:pPr>
  </w:style>
  <w:style w:type="character" w:customStyle="1" w:styleId="Heading4Char">
    <w:name w:val="Heading 4 Char"/>
    <w:basedOn w:val="DefaultParagraphFont"/>
    <w:link w:val="Heading4"/>
    <w:uiPriority w:val="99"/>
    <w:semiHidden/>
    <w:rsid w:val="003B1303"/>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3B1303"/>
    <w:rPr>
      <w:rFonts w:asciiTheme="majorHAnsi" w:eastAsiaTheme="majorEastAsia" w:hAnsiTheme="majorHAnsi" w:cstheme="majorBidi"/>
      <w:b/>
      <w:bCs/>
      <w:color w:val="808080"/>
    </w:rPr>
  </w:style>
  <w:style w:type="character" w:styleId="SubtleEmphasis">
    <w:name w:val="Subtle Emphasis"/>
    <w:uiPriority w:val="99"/>
    <w:semiHidden/>
    <w:qFormat/>
    <w:rsid w:val="003B1303"/>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3B1303"/>
    <w:pPr>
      <w:keepNext/>
      <w:keepLines/>
      <w:spacing w:before="720" w:after="240"/>
      <w:outlineLvl w:val="0"/>
    </w:pPr>
    <w:rPr>
      <w:rFonts w:asciiTheme="majorHAnsi" w:hAnsiTheme="majorHAnsi"/>
      <w:sz w:val="28"/>
    </w:rPr>
  </w:style>
  <w:style w:type="character" w:styleId="Emphasis">
    <w:name w:val="Emphasis"/>
    <w:uiPriority w:val="99"/>
    <w:semiHidden/>
    <w:qFormat/>
    <w:rsid w:val="003B1303"/>
    <w:rPr>
      <w:b/>
      <w:bCs/>
      <w:i/>
      <w:iCs/>
      <w:spacing w:val="10"/>
      <w:bdr w:val="none" w:sz="0" w:space="0" w:color="auto"/>
      <w:shd w:val="clear" w:color="auto" w:fill="auto"/>
    </w:rPr>
  </w:style>
  <w:style w:type="paragraph" w:styleId="Footer">
    <w:name w:val="footer"/>
    <w:basedOn w:val="Normal"/>
    <w:link w:val="FooterChar"/>
    <w:uiPriority w:val="57"/>
    <w:semiHidden/>
    <w:rsid w:val="003B130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3B1303"/>
    <w:rPr>
      <w:sz w:val="24"/>
      <w:lang w:val="en-GB"/>
    </w:rPr>
  </w:style>
  <w:style w:type="character" w:styleId="FootnoteReference">
    <w:name w:val="footnote reference"/>
    <w:basedOn w:val="DefaultParagraphFont"/>
    <w:uiPriority w:val="99"/>
    <w:semiHidden/>
    <w:rsid w:val="003B1303"/>
    <w:rPr>
      <w:vertAlign w:val="superscript"/>
    </w:rPr>
  </w:style>
  <w:style w:type="paragraph" w:styleId="FootnoteText">
    <w:name w:val="footnote text"/>
    <w:basedOn w:val="Normal"/>
    <w:link w:val="FootnoteTextChar"/>
    <w:uiPriority w:val="99"/>
    <w:semiHidden/>
    <w:rsid w:val="003B1303"/>
    <w:rPr>
      <w:sz w:val="20"/>
      <w:szCs w:val="20"/>
    </w:rPr>
  </w:style>
  <w:style w:type="character" w:customStyle="1" w:styleId="FootnoteTextChar">
    <w:name w:val="Footnote Text Char"/>
    <w:basedOn w:val="DefaultParagraphFont"/>
    <w:link w:val="FootnoteText"/>
    <w:uiPriority w:val="99"/>
    <w:semiHidden/>
    <w:rsid w:val="003B1303"/>
    <w:rPr>
      <w:rFonts w:eastAsiaTheme="minorEastAsia"/>
      <w:sz w:val="20"/>
      <w:szCs w:val="20"/>
      <w:lang w:val="en-GB"/>
    </w:rPr>
  </w:style>
  <w:style w:type="character" w:customStyle="1" w:styleId="Heading6Char">
    <w:name w:val="Heading 6 Char"/>
    <w:basedOn w:val="DefaultParagraphFont"/>
    <w:link w:val="Heading6"/>
    <w:uiPriority w:val="99"/>
    <w:semiHidden/>
    <w:rsid w:val="003B1303"/>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3B130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3B130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3B130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3B1303"/>
    <w:rPr>
      <w:color w:val="0072BC" w:themeColor="hyperlink"/>
      <w:u w:val="single"/>
    </w:rPr>
  </w:style>
  <w:style w:type="character" w:styleId="IntenseEmphasis">
    <w:name w:val="Intense Emphasis"/>
    <w:uiPriority w:val="99"/>
    <w:semiHidden/>
    <w:qFormat/>
    <w:rsid w:val="003B1303"/>
    <w:rPr>
      <w:b/>
      <w:bCs/>
    </w:rPr>
  </w:style>
  <w:style w:type="paragraph" w:styleId="IntenseQuote">
    <w:name w:val="Intense Quote"/>
    <w:basedOn w:val="Normal"/>
    <w:next w:val="Normal"/>
    <w:link w:val="IntenseQuoteChar"/>
    <w:uiPriority w:val="99"/>
    <w:semiHidden/>
    <w:qFormat/>
    <w:rsid w:val="003B1303"/>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3B1303"/>
    <w:rPr>
      <w:rFonts w:eastAsiaTheme="minorEastAsia"/>
      <w:b/>
      <w:bCs/>
      <w:i/>
      <w:iCs/>
      <w:lang w:bidi="en-US"/>
    </w:rPr>
  </w:style>
  <w:style w:type="character" w:styleId="IntenseReference">
    <w:name w:val="Intense Reference"/>
    <w:uiPriority w:val="99"/>
    <w:semiHidden/>
    <w:qFormat/>
    <w:rsid w:val="003B1303"/>
    <w:rPr>
      <w:smallCaps/>
      <w:spacing w:val="5"/>
      <w:u w:val="single"/>
    </w:rPr>
  </w:style>
  <w:style w:type="paragraph" w:styleId="ListParagraph">
    <w:name w:val="List Paragraph"/>
    <w:basedOn w:val="Normal"/>
    <w:uiPriority w:val="99"/>
    <w:semiHidden/>
    <w:qFormat/>
    <w:rsid w:val="003B1303"/>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B1303"/>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3B1303"/>
    <w:rPr>
      <w:rFonts w:eastAsiaTheme="minorEastAsia"/>
      <w:i/>
      <w:iCs/>
      <w:lang w:bidi="en-US"/>
    </w:rPr>
  </w:style>
  <w:style w:type="character" w:styleId="SubtleReference">
    <w:name w:val="Subtle Reference"/>
    <w:uiPriority w:val="99"/>
    <w:semiHidden/>
    <w:qFormat/>
    <w:rsid w:val="003B1303"/>
    <w:rPr>
      <w:smallCaps/>
    </w:rPr>
  </w:style>
  <w:style w:type="table" w:styleId="TableGrid">
    <w:name w:val="Table Grid"/>
    <w:basedOn w:val="TableNormal"/>
    <w:uiPriority w:val="59"/>
    <w:semiHidden/>
    <w:rsid w:val="003B130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B130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B130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B130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B1303"/>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B130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B130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B130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3B1303"/>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B130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3B1303"/>
    <w:pPr>
      <w:tabs>
        <w:tab w:val="center" w:pos="851"/>
        <w:tab w:val="center" w:pos="6407"/>
      </w:tabs>
      <w:spacing w:before="720"/>
      <w:jc w:val="left"/>
    </w:pPr>
  </w:style>
  <w:style w:type="paragraph" w:customStyle="1" w:styleId="JuParaLast">
    <w:name w:val="Ju_Para_Last"/>
    <w:basedOn w:val="Normal"/>
    <w:next w:val="ECHRPara"/>
    <w:uiPriority w:val="30"/>
    <w:qFormat/>
    <w:rsid w:val="003B1303"/>
    <w:pPr>
      <w:keepNext/>
      <w:keepLines/>
      <w:spacing w:before="240"/>
      <w:ind w:firstLine="284"/>
    </w:pPr>
  </w:style>
  <w:style w:type="paragraph" w:customStyle="1" w:styleId="JuCase">
    <w:name w:val="Ju_Case"/>
    <w:basedOn w:val="Normal"/>
    <w:next w:val="ECHRPara"/>
    <w:uiPriority w:val="10"/>
    <w:rsid w:val="003B1303"/>
    <w:pPr>
      <w:ind w:firstLine="284"/>
    </w:pPr>
    <w:rPr>
      <w:b/>
    </w:rPr>
  </w:style>
  <w:style w:type="paragraph" w:customStyle="1" w:styleId="JuList">
    <w:name w:val="Ju_List"/>
    <w:basedOn w:val="Normal"/>
    <w:uiPriority w:val="28"/>
    <w:qFormat/>
    <w:rsid w:val="003B1303"/>
    <w:pPr>
      <w:ind w:left="340" w:hanging="340"/>
    </w:pPr>
  </w:style>
  <w:style w:type="paragraph" w:customStyle="1" w:styleId="OpiHa">
    <w:name w:val="Opi_H_a"/>
    <w:basedOn w:val="ECHRHeading3"/>
    <w:uiPriority w:val="43"/>
    <w:qFormat/>
    <w:rsid w:val="003B1303"/>
    <w:pPr>
      <w:ind w:left="833" w:hanging="357"/>
      <w:outlineLvl w:val="3"/>
    </w:pPr>
    <w:rPr>
      <w:b/>
      <w:i w:val="0"/>
      <w:sz w:val="20"/>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3B1303"/>
    <w:pPr>
      <w:ind w:left="346" w:firstLine="0"/>
    </w:pPr>
  </w:style>
  <w:style w:type="paragraph" w:customStyle="1" w:styleId="JuListi">
    <w:name w:val="Ju_List_i"/>
    <w:basedOn w:val="Normal"/>
    <w:next w:val="JuLista"/>
    <w:uiPriority w:val="28"/>
    <w:qFormat/>
    <w:rsid w:val="003B1303"/>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basedOn w:val="DefaultParagraphFont"/>
    <w:uiPriority w:val="99"/>
    <w:semiHidden/>
    <w:rsid w:val="003B1303"/>
    <w:rPr>
      <w:vertAlign w:val="superscript"/>
    </w:rPr>
  </w:style>
  <w:style w:type="paragraph" w:styleId="EndnoteText">
    <w:name w:val="endnote text"/>
    <w:basedOn w:val="Normal"/>
    <w:link w:val="EndnoteTextChar"/>
    <w:uiPriority w:val="99"/>
    <w:semiHidden/>
    <w:rsid w:val="003B1303"/>
    <w:rPr>
      <w:sz w:val="20"/>
      <w:szCs w:val="20"/>
    </w:rPr>
  </w:style>
  <w:style w:type="character" w:customStyle="1" w:styleId="EndnoteTextChar">
    <w:name w:val="Endnote Text Char"/>
    <w:basedOn w:val="DefaultParagraphFont"/>
    <w:link w:val="EndnoteText"/>
    <w:uiPriority w:val="99"/>
    <w:semiHidden/>
    <w:rsid w:val="003B1303"/>
    <w:rPr>
      <w:rFonts w:eastAsiaTheme="minorEastAsia"/>
      <w:sz w:val="20"/>
      <w:szCs w:val="20"/>
      <w:lang w:val="en-GB"/>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HA0">
    <w:name w:val="Opi_H_A"/>
    <w:basedOn w:val="ECHRHeading1"/>
    <w:next w:val="OpiPara"/>
    <w:uiPriority w:val="41"/>
    <w:qFormat/>
    <w:rsid w:val="003B1303"/>
    <w:pPr>
      <w:tabs>
        <w:tab w:val="clear" w:pos="357"/>
      </w:tabs>
      <w:outlineLvl w:val="1"/>
    </w:pPr>
    <w:rPr>
      <w:b/>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character" w:customStyle="1" w:styleId="JuITMark">
    <w:name w:val="Ju_ITMark"/>
    <w:basedOn w:val="DefaultParagraphFont"/>
    <w:uiPriority w:val="38"/>
    <w:qFormat/>
    <w:rsid w:val="003B1303"/>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3B1303"/>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3B130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3B1303"/>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B130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B130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i">
    <w:name w:val="Opi_H_i"/>
    <w:basedOn w:val="ECHRHeading4"/>
    <w:uiPriority w:val="44"/>
    <w:qFormat/>
    <w:rsid w:val="003B1303"/>
    <w:pPr>
      <w:ind w:left="1037" w:hanging="357"/>
      <w:outlineLvl w:val="4"/>
    </w:pPr>
    <w:rPr>
      <w:b w:val="0"/>
      <w:i/>
    </w:rPr>
  </w:style>
  <w:style w:type="paragraph" w:customStyle="1" w:styleId="OpiPara">
    <w:name w:val="Opi_Para"/>
    <w:basedOn w:val="ECHRPara"/>
    <w:uiPriority w:val="46"/>
    <w:qFormat/>
    <w:rsid w:val="003B1303"/>
  </w:style>
  <w:style w:type="paragraph" w:customStyle="1" w:styleId="OpiParaSub">
    <w:name w:val="Opi_Para_Sub"/>
    <w:basedOn w:val="JuParaSub"/>
    <w:uiPriority w:val="47"/>
    <w:qFormat/>
    <w:rsid w:val="003B1303"/>
  </w:style>
  <w:style w:type="paragraph" w:customStyle="1" w:styleId="OpiQuot">
    <w:name w:val="Opi_Quot"/>
    <w:basedOn w:val="ECHRParaQuote"/>
    <w:uiPriority w:val="48"/>
    <w:qFormat/>
    <w:rsid w:val="003B1303"/>
  </w:style>
  <w:style w:type="paragraph" w:customStyle="1" w:styleId="OpiQuotSub">
    <w:name w:val="Opi_Quot_Sub"/>
    <w:basedOn w:val="JuQuotSub"/>
    <w:uiPriority w:val="49"/>
    <w:qFormat/>
    <w:rsid w:val="003B1303"/>
  </w:style>
  <w:style w:type="paragraph" w:customStyle="1" w:styleId="OpiTranslation">
    <w:name w:val="Opi_Translation"/>
    <w:basedOn w:val="Normal"/>
    <w:next w:val="OpiPara"/>
    <w:uiPriority w:val="40"/>
    <w:qFormat/>
    <w:rsid w:val="003B1303"/>
    <w:pPr>
      <w:jc w:val="center"/>
      <w:outlineLvl w:val="0"/>
    </w:pPr>
    <w:rPr>
      <w:i/>
    </w:rPr>
  </w:style>
  <w:style w:type="paragraph" w:customStyle="1" w:styleId="JuHeaderLandscape">
    <w:name w:val="Ju_Header_Landscape"/>
    <w:basedOn w:val="ECHRHeader"/>
    <w:uiPriority w:val="4"/>
    <w:qFormat/>
    <w:rsid w:val="003B1303"/>
    <w:pPr>
      <w:tabs>
        <w:tab w:val="clear" w:pos="3686"/>
        <w:tab w:val="clear" w:pos="7371"/>
        <w:tab w:val="center" w:pos="6146"/>
        <w:tab w:val="right" w:pos="12293"/>
      </w:tabs>
    </w:pPr>
  </w:style>
  <w:style w:type="paragraph" w:customStyle="1" w:styleId="ECHRSpacer">
    <w:name w:val="ECHR_Spacer"/>
    <w:basedOn w:val="Normal"/>
    <w:uiPriority w:val="45"/>
    <w:rsid w:val="00AA755B"/>
    <w:pPr>
      <w:jc w:val="left"/>
    </w:pPr>
    <w:rPr>
      <w:rFonts w:eastAsiaTheme="minorHAnsi"/>
      <w:sz w:val="4"/>
    </w:rPr>
  </w:style>
  <w:style w:type="character" w:customStyle="1" w:styleId="ECHRParaChar">
    <w:name w:val="ECHR_Para Char"/>
    <w:aliases w:val="Ju_Para Char"/>
    <w:link w:val="ECHRPara"/>
    <w:uiPriority w:val="12"/>
    <w:rsid w:val="00615E80"/>
    <w:rPr>
      <w:rFonts w:eastAsiaTheme="minorEastAsia"/>
      <w:sz w:val="24"/>
      <w:lang w:val="en-GB"/>
    </w:rPr>
  </w:style>
  <w:style w:type="paragraph" w:styleId="Revision">
    <w:name w:val="Revision"/>
    <w:hidden/>
    <w:uiPriority w:val="99"/>
    <w:semiHidden/>
    <w:rsid w:val="0072333D"/>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0215">
      <w:bodyDiv w:val="1"/>
      <w:marLeft w:val="0"/>
      <w:marRight w:val="0"/>
      <w:marTop w:val="0"/>
      <w:marBottom w:val="0"/>
      <w:divBdr>
        <w:top w:val="none" w:sz="0" w:space="0" w:color="auto"/>
        <w:left w:val="none" w:sz="0" w:space="0" w:color="auto"/>
        <w:bottom w:val="none" w:sz="0" w:space="0" w:color="auto"/>
        <w:right w:val="none" w:sz="0" w:space="0" w:color="auto"/>
      </w:divBdr>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041326695">
      <w:bodyDiv w:val="1"/>
      <w:marLeft w:val="0"/>
      <w:marRight w:val="0"/>
      <w:marTop w:val="0"/>
      <w:marBottom w:val="0"/>
      <w:divBdr>
        <w:top w:val="none" w:sz="0" w:space="0" w:color="auto"/>
        <w:left w:val="none" w:sz="0" w:space="0" w:color="auto"/>
        <w:bottom w:val="none" w:sz="0" w:space="0" w:color="auto"/>
        <w:right w:val="none" w:sz="0" w:space="0" w:color="auto"/>
      </w:divBdr>
    </w:div>
    <w:div w:id="1363282236">
      <w:bodyDiv w:val="1"/>
      <w:marLeft w:val="0"/>
      <w:marRight w:val="0"/>
      <w:marTop w:val="0"/>
      <w:marBottom w:val="0"/>
      <w:divBdr>
        <w:top w:val="none" w:sz="0" w:space="0" w:color="auto"/>
        <w:left w:val="none" w:sz="0" w:space="0" w:color="auto"/>
        <w:bottom w:val="none" w:sz="0" w:space="0" w:color="auto"/>
        <w:right w:val="none" w:sz="0" w:space="0" w:color="auto"/>
      </w:divBdr>
    </w:div>
    <w:div w:id="1637681904">
      <w:bodyDiv w:val="1"/>
      <w:marLeft w:val="0"/>
      <w:marRight w:val="0"/>
      <w:marTop w:val="0"/>
      <w:marBottom w:val="0"/>
      <w:divBdr>
        <w:top w:val="none" w:sz="0" w:space="0" w:color="auto"/>
        <w:left w:val="none" w:sz="0" w:space="0" w:color="auto"/>
        <w:bottom w:val="none" w:sz="0" w:space="0" w:color="auto"/>
        <w:right w:val="none" w:sz="0" w:space="0" w:color="auto"/>
      </w:divBdr>
    </w:div>
    <w:div w:id="164300497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28615844">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 w:id="21404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BEF10-95C2-4EF2-BA1B-D61A6DDA8658}"/>
</file>

<file path=customXml/itemProps2.xml><?xml version="1.0" encoding="utf-8"?>
<ds:datastoreItem xmlns:ds="http://schemas.openxmlformats.org/officeDocument/2006/customXml" ds:itemID="{53B2762B-6937-4007-A852-7402D6D5871C}"/>
</file>

<file path=customXml/itemProps3.xml><?xml version="1.0" encoding="utf-8"?>
<ds:datastoreItem xmlns:ds="http://schemas.openxmlformats.org/officeDocument/2006/customXml" ds:itemID="{8E93FEF5-52CE-491B-8C1F-741007C76C8F}"/>
</file>

<file path=customXml/itemProps4.xml><?xml version="1.0" encoding="utf-8"?>
<ds:datastoreItem xmlns:ds="http://schemas.openxmlformats.org/officeDocument/2006/customXml" ds:itemID="{3E784223-7D82-4804-9E4C-B718D9CC4862}"/>
</file>

<file path=docProps/app.xml><?xml version="1.0" encoding="utf-8"?>
<Properties xmlns="http://schemas.openxmlformats.org/officeDocument/2006/extended-properties" xmlns:vt="http://schemas.openxmlformats.org/officeDocument/2006/docPropsVTypes">
  <Template>Normal.dotm</Template>
  <TotalTime>0</TotalTime>
  <Pages>1</Pages>
  <Words>19626</Words>
  <Characters>111874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131238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2019-02-05T08:50:00Z</dcterms:created>
  <dcterms:modified xsi:type="dcterms:W3CDTF">2019-02-05T08:50:00Z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45767/09</vt:lpwstr>
  </property>
  <property fmtid="{D5CDD505-2E9C-101B-9397-08002B2CF9AE}" pid="4" name="CASEID">
    <vt:lpwstr>592014</vt:lpwstr>
  </property>
  <property fmtid="{D5CDD505-2E9C-101B-9397-08002B2CF9AE}" pid="5" name="ContentTypeId">
    <vt:lpwstr>0x010100558EB02BDB9E204AB350EDD385B68E10</vt:lpwstr>
  </property>
</Properties>
</file>