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66" w:rsidRPr="00E24C37" w:rsidRDefault="00014566" w:rsidP="00E24C37">
      <w:pPr>
        <w:pStyle w:val="ECHRDecisionBody"/>
      </w:pPr>
      <w:bookmarkStart w:id="0" w:name="_GoBack"/>
      <w:bookmarkEnd w:id="0"/>
    </w:p>
    <w:p w:rsidR="00197E46" w:rsidRPr="00E24C37" w:rsidRDefault="00197E46" w:rsidP="00E24C37">
      <w:pPr>
        <w:pStyle w:val="ECHRDecisionBody"/>
      </w:pPr>
    </w:p>
    <w:p w:rsidR="00197E46" w:rsidRPr="00E24C37" w:rsidRDefault="00197E46" w:rsidP="00E24C37">
      <w:pPr>
        <w:pStyle w:val="ECHRDecisionBody"/>
      </w:pPr>
    </w:p>
    <w:p w:rsidR="00014566" w:rsidRPr="00E24C37" w:rsidRDefault="007C3C50" w:rsidP="00E24C37">
      <w:pPr>
        <w:jc w:val="center"/>
      </w:pPr>
      <w:r w:rsidRPr="00E24C37">
        <w:t>THIRD SECTION</w:t>
      </w:r>
    </w:p>
    <w:p w:rsidR="00014566" w:rsidRPr="00E24C37" w:rsidRDefault="00014566" w:rsidP="00E24C37">
      <w:pPr>
        <w:jc w:val="center"/>
      </w:pPr>
    </w:p>
    <w:p w:rsidR="00197E46" w:rsidRPr="00E24C37" w:rsidRDefault="00197E46" w:rsidP="00E24C37">
      <w:pPr>
        <w:jc w:val="center"/>
      </w:pPr>
    </w:p>
    <w:p w:rsidR="00197E46" w:rsidRPr="00E24C37" w:rsidRDefault="00197E46" w:rsidP="00E24C37">
      <w:pPr>
        <w:jc w:val="center"/>
      </w:pPr>
    </w:p>
    <w:p w:rsidR="00197E46" w:rsidRPr="00E24C37" w:rsidRDefault="00197E46" w:rsidP="00E24C37">
      <w:pPr>
        <w:jc w:val="center"/>
      </w:pPr>
    </w:p>
    <w:p w:rsidR="00197E46" w:rsidRPr="00E24C37" w:rsidRDefault="00197E46" w:rsidP="00E24C37">
      <w:pPr>
        <w:jc w:val="center"/>
      </w:pPr>
    </w:p>
    <w:p w:rsidR="00197E46" w:rsidRPr="00E24C37" w:rsidRDefault="00197E46" w:rsidP="00E24C37">
      <w:pPr>
        <w:jc w:val="center"/>
      </w:pPr>
    </w:p>
    <w:p w:rsidR="00E47327" w:rsidRPr="00E24C37" w:rsidRDefault="00E47327" w:rsidP="00E24C37">
      <w:pPr>
        <w:jc w:val="center"/>
      </w:pPr>
    </w:p>
    <w:p w:rsidR="00197E46" w:rsidRPr="00E24C37" w:rsidRDefault="00197E46" w:rsidP="00E24C37">
      <w:pPr>
        <w:jc w:val="center"/>
      </w:pPr>
    </w:p>
    <w:p w:rsidR="00014566" w:rsidRPr="00E24C37" w:rsidRDefault="00014566" w:rsidP="00E24C37">
      <w:pPr>
        <w:jc w:val="center"/>
        <w:rPr>
          <w:b/>
        </w:rPr>
      </w:pPr>
      <w:bookmarkStart w:id="1" w:name="To"/>
      <w:r w:rsidRPr="00E24C37">
        <w:rPr>
          <w:b/>
        </w:rPr>
        <w:t xml:space="preserve">CASE OF </w:t>
      </w:r>
      <w:bookmarkEnd w:id="1"/>
      <w:r w:rsidR="007C3C50" w:rsidRPr="00E24C37">
        <w:rPr>
          <w:b/>
        </w:rPr>
        <w:t>IVASHCHENKO v. RUSSIA</w:t>
      </w:r>
    </w:p>
    <w:p w:rsidR="00014566" w:rsidRPr="00E24C37" w:rsidRDefault="00014566" w:rsidP="00E24C37">
      <w:pPr>
        <w:jc w:val="center"/>
      </w:pPr>
    </w:p>
    <w:p w:rsidR="00014566" w:rsidRPr="00E24C37" w:rsidRDefault="00014566" w:rsidP="00E24C37">
      <w:pPr>
        <w:jc w:val="center"/>
        <w:rPr>
          <w:i/>
        </w:rPr>
      </w:pPr>
      <w:r w:rsidRPr="00E24C37">
        <w:rPr>
          <w:i/>
        </w:rPr>
        <w:t>(</w:t>
      </w:r>
      <w:r w:rsidR="007C3C50" w:rsidRPr="00E24C37">
        <w:rPr>
          <w:i/>
        </w:rPr>
        <w:t>Application no. 61064/10</w:t>
      </w:r>
      <w:r w:rsidRPr="00E24C37">
        <w:rPr>
          <w:i/>
        </w:rPr>
        <w:t>)</w:t>
      </w:r>
    </w:p>
    <w:p w:rsidR="00014566" w:rsidRPr="00E24C37" w:rsidRDefault="00014566" w:rsidP="00E24C37">
      <w:pPr>
        <w:jc w:val="center"/>
      </w:pPr>
    </w:p>
    <w:p w:rsidR="008B610D" w:rsidRPr="00E24C37" w:rsidRDefault="008B610D" w:rsidP="00E24C37">
      <w:pPr>
        <w:jc w:val="center"/>
      </w:pPr>
    </w:p>
    <w:p w:rsidR="00E47327" w:rsidRPr="00E24C37" w:rsidRDefault="00E47327" w:rsidP="00E24C37">
      <w:pPr>
        <w:jc w:val="center"/>
        <w:rPr>
          <w:lang w:val="uk-UA"/>
        </w:rPr>
      </w:pPr>
    </w:p>
    <w:p w:rsidR="00725A03" w:rsidRPr="00E24C37" w:rsidRDefault="00725A03" w:rsidP="00E24C37">
      <w:pPr>
        <w:jc w:val="center"/>
        <w:rPr>
          <w:lang w:val="uk-UA"/>
        </w:rPr>
      </w:pPr>
    </w:p>
    <w:p w:rsidR="00E47327" w:rsidRPr="00E24C37" w:rsidRDefault="00E47327" w:rsidP="00E24C37">
      <w:pPr>
        <w:jc w:val="center"/>
      </w:pPr>
    </w:p>
    <w:p w:rsidR="00E47327" w:rsidRPr="00E24C37" w:rsidRDefault="00E47327" w:rsidP="00E24C37">
      <w:pPr>
        <w:jc w:val="center"/>
      </w:pPr>
    </w:p>
    <w:p w:rsidR="008B610D" w:rsidRPr="00E24C37" w:rsidRDefault="008B610D" w:rsidP="00E24C37">
      <w:pPr>
        <w:jc w:val="center"/>
      </w:pPr>
    </w:p>
    <w:p w:rsidR="008B610D" w:rsidRPr="00E24C37" w:rsidRDefault="008B610D" w:rsidP="00E24C37">
      <w:pPr>
        <w:jc w:val="center"/>
      </w:pPr>
    </w:p>
    <w:p w:rsidR="00014566" w:rsidRPr="00E24C37" w:rsidRDefault="00197E46" w:rsidP="00E24C37">
      <w:pPr>
        <w:jc w:val="center"/>
        <w:rPr>
          <w:szCs w:val="24"/>
        </w:rPr>
      </w:pPr>
      <w:r w:rsidRPr="00E24C37">
        <w:rPr>
          <w:szCs w:val="24"/>
        </w:rPr>
        <w:t>JUDGMENT</w:t>
      </w:r>
    </w:p>
    <w:p w:rsidR="00197E46" w:rsidRPr="00E24C37" w:rsidRDefault="00197E46" w:rsidP="00E24C37">
      <w:pPr>
        <w:pStyle w:val="JuCase"/>
        <w:ind w:firstLine="0"/>
        <w:jc w:val="center"/>
        <w:rPr>
          <w:b w:val="0"/>
        </w:rPr>
      </w:pPr>
    </w:p>
    <w:p w:rsidR="00197E46" w:rsidRPr="00E24C37" w:rsidRDefault="00197E46" w:rsidP="00E24C37">
      <w:pPr>
        <w:pStyle w:val="JuCase"/>
        <w:ind w:firstLine="0"/>
        <w:jc w:val="center"/>
        <w:rPr>
          <w:b w:val="0"/>
        </w:rPr>
      </w:pPr>
    </w:p>
    <w:p w:rsidR="00197E46" w:rsidRPr="00E24C37" w:rsidRDefault="00197E46" w:rsidP="00E24C37">
      <w:pPr>
        <w:pStyle w:val="JuCase"/>
        <w:ind w:firstLine="0"/>
        <w:jc w:val="center"/>
        <w:rPr>
          <w:b w:val="0"/>
        </w:rPr>
      </w:pPr>
      <w:r w:rsidRPr="00E24C37">
        <w:rPr>
          <w:b w:val="0"/>
        </w:rPr>
        <w:t>STRASBOURG</w:t>
      </w:r>
    </w:p>
    <w:p w:rsidR="00197E46" w:rsidRPr="00E24C37" w:rsidRDefault="00197E46" w:rsidP="00E24C37">
      <w:pPr>
        <w:pStyle w:val="JuCase"/>
        <w:ind w:firstLine="0"/>
        <w:jc w:val="center"/>
        <w:rPr>
          <w:b w:val="0"/>
        </w:rPr>
      </w:pPr>
    </w:p>
    <w:p w:rsidR="00197E46" w:rsidRPr="00E24C37" w:rsidRDefault="00197E46" w:rsidP="00E24C37">
      <w:pPr>
        <w:pStyle w:val="JuCase"/>
        <w:ind w:firstLine="0"/>
        <w:jc w:val="center"/>
        <w:rPr>
          <w:b w:val="0"/>
        </w:rPr>
      </w:pPr>
      <w:r w:rsidRPr="00E24C37">
        <w:rPr>
          <w:b w:val="0"/>
        </w:rPr>
        <w:t>13 February 2018</w:t>
      </w:r>
    </w:p>
    <w:p w:rsidR="00197E46" w:rsidRPr="00E24C37" w:rsidRDefault="00197E46" w:rsidP="00E24C37">
      <w:pPr>
        <w:pStyle w:val="ECHRPara"/>
      </w:pPr>
    </w:p>
    <w:p w:rsidR="008B610D" w:rsidRPr="00E24C37" w:rsidRDefault="008B610D" w:rsidP="00E24C37">
      <w:pPr>
        <w:pStyle w:val="ECHRPara"/>
      </w:pPr>
    </w:p>
    <w:p w:rsidR="00B65A69" w:rsidRPr="00E24C37" w:rsidRDefault="00B65A69" w:rsidP="00E24C37">
      <w:pPr>
        <w:pStyle w:val="jucase0"/>
        <w:ind w:firstLine="0"/>
        <w:jc w:val="center"/>
        <w:rPr>
          <w:color w:val="FF0000"/>
          <w:sz w:val="28"/>
          <w:szCs w:val="28"/>
          <w:u w:val="single"/>
        </w:rPr>
      </w:pPr>
      <w:r w:rsidRPr="00E24C37">
        <w:rPr>
          <w:color w:val="FF0000"/>
          <w:sz w:val="28"/>
          <w:szCs w:val="28"/>
          <w:u w:val="single"/>
        </w:rPr>
        <w:t>FINAL</w:t>
      </w:r>
    </w:p>
    <w:p w:rsidR="00B65A69" w:rsidRPr="00E24C37" w:rsidRDefault="00B65A69" w:rsidP="00E24C37">
      <w:pPr>
        <w:pStyle w:val="jupara"/>
        <w:tabs>
          <w:tab w:val="left" w:pos="4650"/>
        </w:tabs>
        <w:ind w:firstLine="0"/>
        <w:jc w:val="center"/>
        <w:rPr>
          <w:color w:val="FF0000"/>
          <w:sz w:val="28"/>
          <w:szCs w:val="28"/>
        </w:rPr>
      </w:pPr>
    </w:p>
    <w:p w:rsidR="00B65A69" w:rsidRPr="00E24C37" w:rsidRDefault="00B65A69" w:rsidP="00E24C37">
      <w:pPr>
        <w:pStyle w:val="jupara"/>
        <w:ind w:firstLine="0"/>
        <w:jc w:val="center"/>
        <w:rPr>
          <w:color w:val="FF0000"/>
          <w:sz w:val="28"/>
          <w:szCs w:val="28"/>
        </w:rPr>
      </w:pPr>
      <w:r w:rsidRPr="00E24C37">
        <w:rPr>
          <w:color w:val="FF0000"/>
          <w:sz w:val="28"/>
          <w:szCs w:val="28"/>
        </w:rPr>
        <w:t>13/05/2018</w:t>
      </w:r>
    </w:p>
    <w:p w:rsidR="00B65A69" w:rsidRPr="00E24C37" w:rsidRDefault="00B65A69" w:rsidP="00E24C37">
      <w:pPr>
        <w:pStyle w:val="jupara"/>
        <w:ind w:firstLine="0"/>
        <w:jc w:val="center"/>
      </w:pPr>
    </w:p>
    <w:p w:rsidR="00B65A69" w:rsidRPr="00E24C37" w:rsidRDefault="00B65A69" w:rsidP="00E24C37">
      <w:pPr>
        <w:jc w:val="center"/>
        <w:rPr>
          <w:i/>
          <w:iCs/>
          <w:sz w:val="22"/>
        </w:rPr>
      </w:pPr>
      <w:r w:rsidRPr="00E24C37">
        <w:rPr>
          <w:i/>
          <w:iCs/>
          <w:sz w:val="22"/>
        </w:rPr>
        <w:t>This judgment has become final under Article 44 § 2 of the Convention. It may be subject to editorial revision.</w:t>
      </w:r>
    </w:p>
    <w:p w:rsidR="00E47327" w:rsidRPr="00E24C37" w:rsidRDefault="00E47327" w:rsidP="00E24C37">
      <w:pPr>
        <w:pStyle w:val="ECHRPara"/>
      </w:pPr>
    </w:p>
    <w:p w:rsidR="00E47327" w:rsidRPr="00E24C37" w:rsidRDefault="00E47327" w:rsidP="00E24C37">
      <w:pPr>
        <w:pStyle w:val="ECHRPara"/>
        <w:sectPr w:rsidR="00E47327" w:rsidRPr="00E24C37" w:rsidSect="00197E46">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2274" w:right="2274" w:bottom="2274" w:left="2274" w:header="1701" w:footer="720" w:gutter="0"/>
          <w:pgNumType w:start="1"/>
          <w:cols w:space="720"/>
          <w:titlePg/>
          <w:docGrid w:linePitch="326"/>
        </w:sectPr>
      </w:pPr>
    </w:p>
    <w:p w:rsidR="00014566" w:rsidRPr="00E24C37" w:rsidRDefault="00014566" w:rsidP="00E24C37">
      <w:pPr>
        <w:pStyle w:val="JuCase"/>
        <w:rPr>
          <w:bCs/>
        </w:rPr>
      </w:pPr>
      <w:r w:rsidRPr="00E24C37">
        <w:lastRenderedPageBreak/>
        <w:t xml:space="preserve">In the case of </w:t>
      </w:r>
      <w:r w:rsidR="007C3C50" w:rsidRPr="00E24C37">
        <w:t>Ivashchenko v. Russia</w:t>
      </w:r>
      <w:r w:rsidRPr="00E24C37">
        <w:t>,</w:t>
      </w:r>
    </w:p>
    <w:p w:rsidR="00197E46" w:rsidRPr="00E24C37" w:rsidRDefault="00014566" w:rsidP="00E24C37">
      <w:pPr>
        <w:pStyle w:val="ECHRPara"/>
      </w:pPr>
      <w:r w:rsidRPr="00E24C37">
        <w:t>The European Court of Human Rights (</w:t>
      </w:r>
      <w:r w:rsidR="007C3C50" w:rsidRPr="00E24C37">
        <w:t>Third Section</w:t>
      </w:r>
      <w:r w:rsidRPr="00E24C37">
        <w:t xml:space="preserve">), sitting as a </w:t>
      </w:r>
      <w:r w:rsidR="007C3C50" w:rsidRPr="00E24C37">
        <w:t>Chamber</w:t>
      </w:r>
      <w:r w:rsidRPr="00E24C37">
        <w:t xml:space="preserve"> composed of:</w:t>
      </w:r>
    </w:p>
    <w:p w:rsidR="00014566" w:rsidRPr="00E24C37" w:rsidRDefault="00197E46" w:rsidP="00E24C37">
      <w:pPr>
        <w:pStyle w:val="ECHRDecisionBody"/>
      </w:pPr>
      <w:r w:rsidRPr="00E24C37">
        <w:rPr>
          <w:szCs w:val="24"/>
        </w:rPr>
        <w:tab/>
        <w:t>Helena Jäderblom,</w:t>
      </w:r>
      <w:r w:rsidRPr="00E24C37">
        <w:rPr>
          <w:i/>
        </w:rPr>
        <w:t xml:space="preserve"> President,</w:t>
      </w:r>
      <w:r w:rsidRPr="00E24C37">
        <w:rPr>
          <w:i/>
        </w:rPr>
        <w:br/>
      </w:r>
      <w:r w:rsidRPr="00E24C37">
        <w:rPr>
          <w:szCs w:val="24"/>
        </w:rPr>
        <w:tab/>
        <w:t>Branko Lubarda,</w:t>
      </w:r>
      <w:r w:rsidRPr="00E24C37">
        <w:rPr>
          <w:i/>
        </w:rPr>
        <w:br/>
      </w:r>
      <w:r w:rsidRPr="00E24C37">
        <w:rPr>
          <w:szCs w:val="24"/>
        </w:rPr>
        <w:tab/>
        <w:t>Luis López Guerra,</w:t>
      </w:r>
      <w:r w:rsidRPr="00E24C37">
        <w:rPr>
          <w:i/>
        </w:rPr>
        <w:br/>
      </w:r>
      <w:r w:rsidRPr="00E24C37">
        <w:rPr>
          <w:szCs w:val="24"/>
        </w:rPr>
        <w:tab/>
        <w:t>Helen Keller,</w:t>
      </w:r>
      <w:r w:rsidRPr="00E24C37">
        <w:rPr>
          <w:i/>
        </w:rPr>
        <w:br/>
      </w:r>
      <w:r w:rsidRPr="00E24C37">
        <w:rPr>
          <w:szCs w:val="24"/>
        </w:rPr>
        <w:tab/>
        <w:t>Dmitry Dedov,</w:t>
      </w:r>
      <w:r w:rsidRPr="00E24C37">
        <w:rPr>
          <w:i/>
        </w:rPr>
        <w:br/>
      </w:r>
      <w:r w:rsidRPr="00E24C37">
        <w:rPr>
          <w:szCs w:val="24"/>
        </w:rPr>
        <w:tab/>
        <w:t>Georgios A. Serghides,</w:t>
      </w:r>
      <w:r w:rsidRPr="00E24C37">
        <w:rPr>
          <w:i/>
        </w:rPr>
        <w:br/>
      </w:r>
      <w:r w:rsidRPr="00E24C37">
        <w:rPr>
          <w:szCs w:val="24"/>
        </w:rPr>
        <w:tab/>
        <w:t>Jolien Schukking,</w:t>
      </w:r>
      <w:r w:rsidRPr="00E24C37">
        <w:rPr>
          <w:i/>
        </w:rPr>
        <w:t xml:space="preserve"> judges,</w:t>
      </w:r>
      <w:r w:rsidR="00014566" w:rsidRPr="00E24C37">
        <w:rPr>
          <w:szCs w:val="24"/>
        </w:rPr>
        <w:br/>
      </w:r>
      <w:r w:rsidR="00014566" w:rsidRPr="00E24C37">
        <w:t xml:space="preserve">and </w:t>
      </w:r>
      <w:r w:rsidR="007C3C50" w:rsidRPr="00E24C37">
        <w:t>Stephen Phillips</w:t>
      </w:r>
      <w:r w:rsidR="00014566" w:rsidRPr="00E24C37">
        <w:t xml:space="preserve">, </w:t>
      </w:r>
      <w:r w:rsidR="007C3C50" w:rsidRPr="00E24C37">
        <w:rPr>
          <w:i/>
        </w:rPr>
        <w:t xml:space="preserve">Section </w:t>
      </w:r>
      <w:r w:rsidR="007C3C50" w:rsidRPr="00E24C37">
        <w:rPr>
          <w:i/>
          <w:iCs/>
        </w:rPr>
        <w:t>Registrar</w:t>
      </w:r>
      <w:r w:rsidR="00014566" w:rsidRPr="00E24C37">
        <w:rPr>
          <w:i/>
        </w:rPr>
        <w:t>,</w:t>
      </w:r>
    </w:p>
    <w:p w:rsidR="00014566" w:rsidRPr="00E24C37" w:rsidRDefault="00014566" w:rsidP="00E24C37">
      <w:pPr>
        <w:pStyle w:val="ECHRPara"/>
      </w:pPr>
      <w:r w:rsidRPr="00E24C37">
        <w:t xml:space="preserve">Having deliberated in private on </w:t>
      </w:r>
      <w:r w:rsidR="00197E46" w:rsidRPr="00E24C37">
        <w:t>23 January 2018</w:t>
      </w:r>
      <w:r w:rsidRPr="00E24C37">
        <w:t>,</w:t>
      </w:r>
    </w:p>
    <w:p w:rsidR="00014566" w:rsidRPr="00E24C37" w:rsidRDefault="00014566" w:rsidP="00E24C37">
      <w:pPr>
        <w:pStyle w:val="ECHRPara"/>
      </w:pPr>
      <w:r w:rsidRPr="00E24C37">
        <w:t>Delivers the following judgment, which was adopted on that date:</w:t>
      </w:r>
    </w:p>
    <w:p w:rsidR="00014566" w:rsidRPr="00E24C37" w:rsidRDefault="00014566" w:rsidP="00E24C37">
      <w:pPr>
        <w:pStyle w:val="ECHRTitle1"/>
      </w:pPr>
      <w:r w:rsidRPr="00E24C37">
        <w:t>PROCEDURE</w:t>
      </w:r>
    </w:p>
    <w:p w:rsidR="007C3C50" w:rsidRPr="00E24C37" w:rsidRDefault="007C3C50" w:rsidP="00E24C37">
      <w:pPr>
        <w:pStyle w:val="ECHRPara"/>
      </w:pPr>
      <w:r w:rsidRPr="00E24C37">
        <w:fldChar w:fldCharType="begin"/>
      </w:r>
      <w:r w:rsidRPr="00E24C37">
        <w:instrText xml:space="preserve"> SEQ level0 \*arabic </w:instrText>
      </w:r>
      <w:r w:rsidRPr="00E24C37">
        <w:fldChar w:fldCharType="separate"/>
      </w:r>
      <w:r w:rsidR="00B87844">
        <w:rPr>
          <w:noProof/>
        </w:rPr>
        <w:t>1</w:t>
      </w:r>
      <w:r w:rsidRPr="00E24C37">
        <w:fldChar w:fldCharType="end"/>
      </w:r>
      <w:r w:rsidR="00014566" w:rsidRPr="00E24C37">
        <w:t xml:space="preserve">.  The case originated in </w:t>
      </w:r>
      <w:r w:rsidRPr="00E24C37">
        <w:t>an application (no. 61064/10)</w:t>
      </w:r>
      <w:r w:rsidR="00014566" w:rsidRPr="00E24C37">
        <w:t xml:space="preserve"> against </w:t>
      </w:r>
      <w:r w:rsidRPr="00E24C37">
        <w:t>the Russian Federation</w:t>
      </w:r>
      <w:r w:rsidR="00014566" w:rsidRPr="00E24C37">
        <w:t xml:space="preserve"> lodged with the </w:t>
      </w:r>
      <w:r w:rsidRPr="00E24C37">
        <w:t>Court under Article 34</w:t>
      </w:r>
      <w:r w:rsidR="00014566" w:rsidRPr="00E24C37">
        <w:t xml:space="preserve"> of the Convention for the Protection of Human Rights and Fundamental Freedoms (“the Convention”) by </w:t>
      </w:r>
      <w:r w:rsidRPr="00E24C37">
        <w:t>a</w:t>
      </w:r>
      <w:r w:rsidR="00DD75E0" w:rsidRPr="00E24C37">
        <w:t xml:space="preserve"> </w:t>
      </w:r>
      <w:r w:rsidRPr="00E24C37">
        <w:t>Russian</w:t>
      </w:r>
      <w:r w:rsidR="00DD75E0" w:rsidRPr="00E24C37">
        <w:t xml:space="preserve"> </w:t>
      </w:r>
      <w:r w:rsidRPr="00E24C37">
        <w:t>national, Mr Yuriy Nikolayevich Ivashchenko (“the applicant”), on 18 October 2010</w:t>
      </w:r>
      <w:r w:rsidR="00014566" w:rsidRPr="00E24C37">
        <w:t>.</w:t>
      </w:r>
    </w:p>
    <w:p w:rsidR="007C3C50" w:rsidRPr="00E24C37" w:rsidRDefault="007C3C50" w:rsidP="00E24C37">
      <w:pPr>
        <w:pStyle w:val="ECHRPara"/>
      </w:pPr>
      <w:r w:rsidRPr="00E24C37">
        <w:fldChar w:fldCharType="begin"/>
      </w:r>
      <w:r w:rsidRPr="00E24C37">
        <w:instrText xml:space="preserve"> SEQ level0 \*arabic </w:instrText>
      </w:r>
      <w:r w:rsidRPr="00E24C37">
        <w:fldChar w:fldCharType="separate"/>
      </w:r>
      <w:r w:rsidR="00B87844">
        <w:rPr>
          <w:noProof/>
        </w:rPr>
        <w:t>2</w:t>
      </w:r>
      <w:r w:rsidRPr="00E24C37">
        <w:fldChar w:fldCharType="end"/>
      </w:r>
      <w:r w:rsidR="00014566" w:rsidRPr="00E24C37">
        <w:t>.  </w:t>
      </w:r>
      <w:r w:rsidRPr="00E24C37">
        <w:t>The applicant was represented by Ms</w:t>
      </w:r>
      <w:r w:rsidR="00DD75E0" w:rsidRPr="00E24C37">
        <w:t> M.</w:t>
      </w:r>
      <w:r w:rsidR="00EE492D" w:rsidRPr="00E24C37">
        <w:t> </w:t>
      </w:r>
      <w:r w:rsidR="00DD75E0" w:rsidRPr="00E24C37">
        <w:t>Dubrovina</w:t>
      </w:r>
      <w:r w:rsidRPr="00E24C37">
        <w:t>, a lawyer practising in Novorossiysk</w:t>
      </w:r>
      <w:r w:rsidR="00EE492D" w:rsidRPr="00E24C37">
        <w:t>, Russia</w:t>
      </w:r>
      <w:r w:rsidRPr="00E24C37">
        <w:t xml:space="preserve">. </w:t>
      </w:r>
      <w:r w:rsidR="00DD75E0" w:rsidRPr="00E24C37">
        <w:t>The Russian Government (“the Government”) were represented by Mr G. Matyushkin, Representative of the Russian Federation to the European Court of Human Rights, and then by his successor in that office, Mr M. Galperin.</w:t>
      </w:r>
    </w:p>
    <w:p w:rsidR="00DD75E0" w:rsidRPr="00E24C37" w:rsidRDefault="00DD75E0" w:rsidP="00E24C37">
      <w:pPr>
        <w:pStyle w:val="ECHRPara"/>
      </w:pPr>
      <w:r w:rsidRPr="00E24C37">
        <w:fldChar w:fldCharType="begin"/>
      </w:r>
      <w:r w:rsidRPr="00E24C37">
        <w:instrText xml:space="preserve"> SEQ level0 \*arabic </w:instrText>
      </w:r>
      <w:r w:rsidRPr="00E24C37">
        <w:fldChar w:fldCharType="separate"/>
      </w:r>
      <w:r w:rsidR="00B87844">
        <w:rPr>
          <w:noProof/>
        </w:rPr>
        <w:t>3</w:t>
      </w:r>
      <w:r w:rsidRPr="00E24C37">
        <w:fldChar w:fldCharType="end"/>
      </w:r>
      <w:r w:rsidRPr="00E24C37">
        <w:t>.  </w:t>
      </w:r>
      <w:r w:rsidR="007C3C50" w:rsidRPr="00E24C37">
        <w:t>The applicant alleged</w:t>
      </w:r>
      <w:r w:rsidRPr="00E24C37">
        <w:t xml:space="preserve"> that </w:t>
      </w:r>
      <w:r w:rsidR="009471E6" w:rsidRPr="00E24C37">
        <w:t xml:space="preserve">actions by </w:t>
      </w:r>
      <w:r w:rsidRPr="00E24C37">
        <w:t xml:space="preserve">customs officials </w:t>
      </w:r>
      <w:r w:rsidR="009471E6" w:rsidRPr="00E24C37">
        <w:t xml:space="preserve">had </w:t>
      </w:r>
      <w:r w:rsidRPr="00E24C37">
        <w:t>constituted unlawful and disproportionate interference</w:t>
      </w:r>
      <w:r w:rsidR="00EE492D" w:rsidRPr="00E24C37">
        <w:t>s</w:t>
      </w:r>
      <w:r w:rsidRPr="00E24C37">
        <w:t xml:space="preserve"> with his correspondence, private life and freedom of expression and</w:t>
      </w:r>
      <w:r w:rsidR="00EE492D" w:rsidRPr="00E24C37">
        <w:t xml:space="preserve"> that</w:t>
      </w:r>
      <w:r w:rsidRPr="00E24C37">
        <w:t xml:space="preserve"> the domestic remedies were ineffective.</w:t>
      </w:r>
    </w:p>
    <w:p w:rsidR="00014566" w:rsidRPr="00E24C37" w:rsidRDefault="007C3C50" w:rsidP="00E24C37">
      <w:pPr>
        <w:pStyle w:val="ECHRPara"/>
      </w:pPr>
      <w:r w:rsidRPr="00E24C37">
        <w:fldChar w:fldCharType="begin"/>
      </w:r>
      <w:r w:rsidRPr="00E24C37">
        <w:instrText xml:space="preserve"> SEQ level0 \*arabic </w:instrText>
      </w:r>
      <w:r w:rsidRPr="00E24C37">
        <w:fldChar w:fldCharType="separate"/>
      </w:r>
      <w:r w:rsidR="00B87844">
        <w:rPr>
          <w:noProof/>
        </w:rPr>
        <w:t>4</w:t>
      </w:r>
      <w:r w:rsidRPr="00E24C37">
        <w:fldChar w:fldCharType="end"/>
      </w:r>
      <w:r w:rsidR="00014566" w:rsidRPr="00E24C37">
        <w:t>.  </w:t>
      </w:r>
      <w:r w:rsidRPr="00E24C37">
        <w:t xml:space="preserve">On </w:t>
      </w:r>
      <w:r w:rsidRPr="00E24C37">
        <w:rPr>
          <w:szCs w:val="24"/>
        </w:rPr>
        <w:t>5 October 2011</w:t>
      </w:r>
      <w:r w:rsidR="00014566" w:rsidRPr="00E24C37">
        <w:t xml:space="preserve"> the </w:t>
      </w:r>
      <w:r w:rsidRPr="00E24C37">
        <w:rPr>
          <w:szCs w:val="24"/>
        </w:rPr>
        <w:t>application was communicated to the Government</w:t>
      </w:r>
      <w:r w:rsidR="007509D5" w:rsidRPr="00E24C37">
        <w:t>.</w:t>
      </w:r>
    </w:p>
    <w:p w:rsidR="00014566" w:rsidRPr="00E24C37" w:rsidRDefault="00014566" w:rsidP="00E24C37">
      <w:pPr>
        <w:pStyle w:val="ECHRTitle1"/>
      </w:pPr>
      <w:r w:rsidRPr="00E24C37">
        <w:t>THE FACTS</w:t>
      </w:r>
    </w:p>
    <w:p w:rsidR="00014566" w:rsidRPr="00E24C37" w:rsidRDefault="00014566" w:rsidP="00E24C37">
      <w:pPr>
        <w:pStyle w:val="ECHRHeading1"/>
      </w:pPr>
      <w:r w:rsidRPr="00E24C37">
        <w:t>I.  THE CIRCUMSTANCES OF THE CASE</w:t>
      </w:r>
    </w:p>
    <w:p w:rsidR="00900C39"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5</w:t>
      </w:r>
      <w:r w:rsidRPr="00E24C37">
        <w:rPr>
          <w:noProof/>
        </w:rPr>
        <w:fldChar w:fldCharType="end"/>
      </w:r>
      <w:r w:rsidR="00900C39" w:rsidRPr="00E24C37">
        <w:t>.  The applicant was born in 1983 and lives in Krasnodar.</w:t>
      </w:r>
    </w:p>
    <w:p w:rsidR="00564B1D"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6</w:t>
      </w:r>
      <w:r w:rsidRPr="00E24C37">
        <w:rPr>
          <w:noProof/>
        </w:rPr>
        <w:fldChar w:fldCharType="end"/>
      </w:r>
      <w:r w:rsidR="00564B1D" w:rsidRPr="00E24C37">
        <w:t>.  The applicant had a press</w:t>
      </w:r>
      <w:r w:rsidR="007D6ADB" w:rsidRPr="00E24C37">
        <w:t xml:space="preserve"> </w:t>
      </w:r>
      <w:r w:rsidR="00564B1D" w:rsidRPr="00E24C37">
        <w:t>card issued to him as a photographer</w:t>
      </w:r>
      <w:r w:rsidR="007D6ADB" w:rsidRPr="00E24C37">
        <w:t xml:space="preserve">, stating </w:t>
      </w:r>
      <w:r w:rsidR="00FA67E9" w:rsidRPr="00E24C37">
        <w:t>that he</w:t>
      </w:r>
      <w:r w:rsidR="00EE492D" w:rsidRPr="00E24C37">
        <w:t xml:space="preserve"> was</w:t>
      </w:r>
      <w:r w:rsidR="00564B1D" w:rsidRPr="00E24C37">
        <w:t xml:space="preserve"> a “correspondent </w:t>
      </w:r>
      <w:r w:rsidR="007D6ADB" w:rsidRPr="00E24C37">
        <w:t>at</w:t>
      </w:r>
      <w:r w:rsidR="00564B1D" w:rsidRPr="00E24C37">
        <w:t xml:space="preserve"> Agency.Photographer.ru”. </w:t>
      </w:r>
      <w:r w:rsidR="00EE492D" w:rsidRPr="00E24C37">
        <w:t xml:space="preserve">According to the </w:t>
      </w:r>
      <w:r w:rsidR="00EE492D" w:rsidRPr="00E24C37">
        <w:lastRenderedPageBreak/>
        <w:t>applicant</w:t>
      </w:r>
      <w:r w:rsidR="00E24C37" w:rsidRPr="00E24C37">
        <w:t>’</w:t>
      </w:r>
      <w:r w:rsidR="00EE492D" w:rsidRPr="00E24C37">
        <w:t xml:space="preserve">s submissions, </w:t>
      </w:r>
      <w:r w:rsidR="00564B1D" w:rsidRPr="00E24C37">
        <w:t>he also prepared various texts for publication in print and Internet media outlet</w:t>
      </w:r>
      <w:r w:rsidR="00FA67E9" w:rsidRPr="00E24C37">
        <w:t>s</w:t>
      </w:r>
      <w:r w:rsidR="007D6ADB" w:rsidRPr="00E24C37">
        <w:t xml:space="preserve"> on an occasional basis</w:t>
      </w:r>
      <w:r w:rsidR="00564B1D" w:rsidRPr="00E24C37">
        <w:t>.</w:t>
      </w:r>
    </w:p>
    <w:p w:rsidR="006B63B6" w:rsidRPr="00E24C37" w:rsidRDefault="006B63B6" w:rsidP="00E24C37">
      <w:pPr>
        <w:pStyle w:val="ECHRHeading2"/>
      </w:pPr>
      <w:r w:rsidRPr="00E24C37">
        <w:t>A.  Events on 27 August 2009</w:t>
      </w:r>
    </w:p>
    <w:p w:rsidR="00197E46"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7</w:t>
      </w:r>
      <w:r w:rsidRPr="00E24C37">
        <w:rPr>
          <w:noProof/>
        </w:rPr>
        <w:fldChar w:fldCharType="end"/>
      </w:r>
      <w:r w:rsidR="00900C39" w:rsidRPr="00E24C37">
        <w:t>.  In August 2009 the applicant</w:t>
      </w:r>
      <w:r w:rsidR="006B63B6" w:rsidRPr="00E24C37">
        <w:t xml:space="preserve"> and Ms D.</w:t>
      </w:r>
      <w:r w:rsidR="00900C39" w:rsidRPr="00E24C37">
        <w:t xml:space="preserve"> travelled to Abkhazia</w:t>
      </w:r>
      <w:r w:rsidR="00564B1D" w:rsidRPr="00E24C37">
        <w:t xml:space="preserve"> </w:t>
      </w:r>
      <w:r w:rsidR="007D6ADB" w:rsidRPr="00E24C37">
        <w:t>to</w:t>
      </w:r>
      <w:r w:rsidR="00564B1D" w:rsidRPr="00E24C37">
        <w:t xml:space="preserve"> prepar</w:t>
      </w:r>
      <w:r w:rsidR="007D6ADB" w:rsidRPr="00E24C37">
        <w:t>e</w:t>
      </w:r>
      <w:r w:rsidR="00564B1D" w:rsidRPr="00E24C37">
        <w:t xml:space="preserve"> a report</w:t>
      </w:r>
      <w:r w:rsidR="006B1F3D" w:rsidRPr="00E24C37">
        <w:t xml:space="preserve"> with photographs </w:t>
      </w:r>
      <w:r w:rsidR="007D6ADB" w:rsidRPr="00E24C37">
        <w:t>on</w:t>
      </w:r>
      <w:r w:rsidR="00900C39" w:rsidRPr="00E24C37">
        <w:t xml:space="preserve">, as he described it, “the life </w:t>
      </w:r>
      <w:r w:rsidR="00880145" w:rsidRPr="00E24C37">
        <w:t xml:space="preserve">of this unrecognised </w:t>
      </w:r>
      <w:r w:rsidR="00FA67E9" w:rsidRPr="00E24C37">
        <w:t>r</w:t>
      </w:r>
      <w:r w:rsidR="00880145" w:rsidRPr="00E24C37">
        <w:t>epublic”.</w:t>
      </w:r>
    </w:p>
    <w:p w:rsidR="00900C39"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8</w:t>
      </w:r>
      <w:r w:rsidRPr="00E24C37">
        <w:rPr>
          <w:noProof/>
        </w:rPr>
        <w:fldChar w:fldCharType="end"/>
      </w:r>
      <w:r w:rsidR="00564B1D" w:rsidRPr="00E24C37">
        <w:t>.  </w:t>
      </w:r>
      <w:r w:rsidR="00900C39" w:rsidRPr="00E24C37">
        <w:t xml:space="preserve">On 27 August 2009 </w:t>
      </w:r>
      <w:r w:rsidR="007D6ADB" w:rsidRPr="00E24C37">
        <w:t xml:space="preserve">they </w:t>
      </w:r>
      <w:r w:rsidR="00900C39" w:rsidRPr="00E24C37">
        <w:t>return</w:t>
      </w:r>
      <w:r w:rsidR="007D6ADB" w:rsidRPr="00E24C37">
        <w:t>ed</w:t>
      </w:r>
      <w:r w:rsidR="00900C39" w:rsidRPr="00E24C37">
        <w:t xml:space="preserve"> to Russia</w:t>
      </w:r>
      <w:r w:rsidR="007D6ADB" w:rsidRPr="00E24C37">
        <w:t>,</w:t>
      </w:r>
      <w:r w:rsidR="00337A6D" w:rsidRPr="00E24C37">
        <w:t xml:space="preserve"> </w:t>
      </w:r>
      <w:r w:rsidR="00110295" w:rsidRPr="00E24C37">
        <w:t>arriv</w:t>
      </w:r>
      <w:r w:rsidR="007D6ADB" w:rsidRPr="00E24C37">
        <w:t xml:space="preserve">ing </w:t>
      </w:r>
      <w:r w:rsidR="00110295" w:rsidRPr="00E24C37">
        <w:t xml:space="preserve">on foot </w:t>
      </w:r>
      <w:r w:rsidR="007D6ADB" w:rsidRPr="00E24C37">
        <w:t>at</w:t>
      </w:r>
      <w:r w:rsidR="009730FF" w:rsidRPr="00E24C37">
        <w:t xml:space="preserve"> </w:t>
      </w:r>
      <w:r w:rsidR="00900C39" w:rsidRPr="00E24C37">
        <w:t xml:space="preserve">the </w:t>
      </w:r>
      <w:r w:rsidR="00EE492D" w:rsidRPr="00E24C37">
        <w:t>A</w:t>
      </w:r>
      <w:r w:rsidR="00900C39" w:rsidRPr="00E24C37">
        <w:t>dler customs checkpoint</w:t>
      </w:r>
      <w:r w:rsidR="007D6ADB" w:rsidRPr="00E24C37">
        <w:t>. T</w:t>
      </w:r>
      <w:r w:rsidR="00337A6D" w:rsidRPr="00E24C37">
        <w:t>he applicant</w:t>
      </w:r>
      <w:r w:rsidR="00900C39" w:rsidRPr="00E24C37">
        <w:t xml:space="preserve"> </w:t>
      </w:r>
      <w:r w:rsidR="00564B1D" w:rsidRPr="00E24C37">
        <w:t>presented</w:t>
      </w:r>
      <w:r w:rsidR="00900C39" w:rsidRPr="00E24C37">
        <w:t xml:space="preserve"> his Russian passport</w:t>
      </w:r>
      <w:r w:rsidR="00564B1D" w:rsidRPr="00E24C37">
        <w:t>, press</w:t>
      </w:r>
      <w:r w:rsidR="007D6ADB" w:rsidRPr="00E24C37">
        <w:t xml:space="preserve"> </w:t>
      </w:r>
      <w:r w:rsidR="00564B1D" w:rsidRPr="00E24C37">
        <w:t xml:space="preserve">card and </w:t>
      </w:r>
      <w:r w:rsidR="007D6ADB" w:rsidRPr="00E24C37">
        <w:t>a</w:t>
      </w:r>
      <w:r w:rsidR="002A4A9B" w:rsidRPr="00E24C37">
        <w:t xml:space="preserve"> customs declaration, </w:t>
      </w:r>
      <w:r w:rsidR="007D6ADB" w:rsidRPr="00E24C37">
        <w:t xml:space="preserve">stating </w:t>
      </w:r>
      <w:r w:rsidR="002A4A9B" w:rsidRPr="00E24C37">
        <w:t>that he had electronic information devices</w:t>
      </w:r>
      <w:r w:rsidR="008B4F4C" w:rsidRPr="00E24C37">
        <w:t xml:space="preserve"> (a laptop and flash memory cards)</w:t>
      </w:r>
      <w:r w:rsidR="002A4A9B" w:rsidRPr="00E24C37">
        <w:t xml:space="preserve"> in his luggage.</w:t>
      </w:r>
      <w:r w:rsidR="00DA3B32" w:rsidRPr="00E24C37">
        <w:t xml:space="preserve"> Th</w:t>
      </w:r>
      <w:r w:rsidR="007D6ADB" w:rsidRPr="00E24C37">
        <w:t>e laptop was his own</w:t>
      </w:r>
      <w:r w:rsidR="006B1F3D" w:rsidRPr="00E24C37">
        <w:t xml:space="preserve"> property</w:t>
      </w:r>
      <w:r w:rsidR="007D6ADB" w:rsidRPr="00E24C37">
        <w:t xml:space="preserve">, </w:t>
      </w:r>
      <w:r w:rsidR="00DA3B32" w:rsidRPr="00E24C37">
        <w:t xml:space="preserve">however, he also used </w:t>
      </w:r>
      <w:r w:rsidR="007D6ADB" w:rsidRPr="00E24C37">
        <w:t xml:space="preserve">it </w:t>
      </w:r>
      <w:r w:rsidR="00DA3B32" w:rsidRPr="00E24C37">
        <w:t>for professional purposes.</w:t>
      </w:r>
    </w:p>
    <w:bookmarkStart w:id="2" w:name="factsinspection"/>
    <w:p w:rsidR="00197E46" w:rsidRPr="00E24C37" w:rsidRDefault="00F20E57" w:rsidP="00E24C37">
      <w:pPr>
        <w:pStyle w:val="ECHRPara"/>
      </w:pPr>
      <w:r w:rsidRPr="00E24C37">
        <w:fldChar w:fldCharType="begin"/>
      </w:r>
      <w:r w:rsidRPr="00E24C37">
        <w:instrText xml:space="preserve"> SEQ level0 \*arabic </w:instrText>
      </w:r>
      <w:r w:rsidRPr="00E24C37">
        <w:fldChar w:fldCharType="separate"/>
      </w:r>
      <w:r w:rsidR="00B87844">
        <w:rPr>
          <w:noProof/>
        </w:rPr>
        <w:t>9</w:t>
      </w:r>
      <w:r w:rsidRPr="00E24C37">
        <w:rPr>
          <w:noProof/>
        </w:rPr>
        <w:fldChar w:fldCharType="end"/>
      </w:r>
      <w:bookmarkEnd w:id="2"/>
      <w:r w:rsidR="002B4173" w:rsidRPr="00E24C37">
        <w:t>.  </w:t>
      </w:r>
      <w:r w:rsidR="00337A6D" w:rsidRPr="00E24C37">
        <w:t xml:space="preserve">The applicant and D. were examined by Officer K. </w:t>
      </w:r>
      <w:r w:rsidR="00EE492D" w:rsidRPr="00E24C37">
        <w:t xml:space="preserve">In his </w:t>
      </w:r>
      <w:r w:rsidR="002B4173" w:rsidRPr="00E24C37">
        <w:t>report to his superior</w:t>
      </w:r>
      <w:r w:rsidR="0045046B" w:rsidRPr="00E24C37">
        <w:t>, drawn up</w:t>
      </w:r>
      <w:r w:rsidR="002B4173" w:rsidRPr="00E24C37">
        <w:t xml:space="preserve"> at 10.40 a.m. on 27 August 2009, </w:t>
      </w:r>
      <w:r w:rsidR="0045046B" w:rsidRPr="00E24C37">
        <w:t xml:space="preserve">he </w:t>
      </w:r>
      <w:r w:rsidR="002B4173" w:rsidRPr="00E24C37">
        <w:t>stated that in view of the applicant</w:t>
      </w:r>
      <w:r w:rsidR="00E24C37" w:rsidRPr="00E24C37">
        <w:t>’</w:t>
      </w:r>
      <w:r w:rsidR="002B4173" w:rsidRPr="00E24C37">
        <w:t xml:space="preserve">s answers to questions and </w:t>
      </w:r>
      <w:r w:rsidR="00434B49" w:rsidRPr="00E24C37">
        <w:t xml:space="preserve">because of </w:t>
      </w:r>
      <w:r w:rsidR="002B4173" w:rsidRPr="00E24C37">
        <w:t xml:space="preserve">his </w:t>
      </w:r>
      <w:r w:rsidR="006B2FD4" w:rsidRPr="00E24C37">
        <w:t>behaviour</w:t>
      </w:r>
      <w:r w:rsidR="0045046B" w:rsidRPr="00E24C37">
        <w:t xml:space="preserve">, </w:t>
      </w:r>
      <w:r w:rsidR="006B1F3D" w:rsidRPr="00E24C37">
        <w:t>neither</w:t>
      </w:r>
      <w:r w:rsidR="0045046B" w:rsidRPr="00E24C37">
        <w:t xml:space="preserve"> of which </w:t>
      </w:r>
      <w:r w:rsidR="005962C9" w:rsidRPr="00E24C37">
        <w:t xml:space="preserve">have been </w:t>
      </w:r>
      <w:r w:rsidR="0045046B" w:rsidRPr="00E24C37">
        <w:t>specified</w:t>
      </w:r>
      <w:r w:rsidR="005962C9" w:rsidRPr="00E24C37">
        <w:t xml:space="preserve"> to the Court</w:t>
      </w:r>
      <w:r w:rsidR="002B4173" w:rsidRPr="00E24C37">
        <w:t>, there was a need to verify the information contained in the applicant</w:t>
      </w:r>
      <w:r w:rsidR="00E24C37" w:rsidRPr="00E24C37">
        <w:t>’</w:t>
      </w:r>
      <w:r w:rsidR="002B4173" w:rsidRPr="00E24C37">
        <w:t>s customs declaration by way of an “inspection procedure” (</w:t>
      </w:r>
      <w:r w:rsidR="00F75C72" w:rsidRPr="00E24C37">
        <w:t xml:space="preserve">see </w:t>
      </w:r>
      <w:r w:rsidR="002B4173" w:rsidRPr="00E24C37">
        <w:t>paragraph</w:t>
      </w:r>
      <w:r w:rsidR="00F75C72" w:rsidRPr="00E24C37">
        <w:t xml:space="preserve"> </w:t>
      </w:r>
      <w:r w:rsidR="00F75C72" w:rsidRPr="00E24C37">
        <w:fldChar w:fldCharType="begin"/>
      </w:r>
      <w:r w:rsidR="00F75C72" w:rsidRPr="00E24C37">
        <w:instrText xml:space="preserve"> REF  CuCodeinspectionprocedure \h </w:instrText>
      </w:r>
      <w:r w:rsidR="00F75C72" w:rsidRPr="00E24C37">
        <w:fldChar w:fldCharType="separate"/>
      </w:r>
      <w:r w:rsidR="00B87844">
        <w:rPr>
          <w:noProof/>
        </w:rPr>
        <w:t>31</w:t>
      </w:r>
      <w:r w:rsidR="00F75C72" w:rsidRPr="00E24C37">
        <w:fldChar w:fldCharType="end"/>
      </w:r>
      <w:r w:rsidR="002B4173" w:rsidRPr="00E24C37">
        <w:t xml:space="preserve"> below) in respect of the items in his bag and backpack and to “apply the measure for minimising risk as per profile no.</w:t>
      </w:r>
      <w:r w:rsidR="004D7A5E" w:rsidRPr="00E24C37">
        <w:t> </w:t>
      </w:r>
      <w:r w:rsidR="002B4173" w:rsidRPr="00E24C37">
        <w:t xml:space="preserve">55/1000000/11062008/00228 </w:t>
      </w:r>
      <w:r w:rsidR="00197E46" w:rsidRPr="00E24C37">
        <w:t>...</w:t>
      </w:r>
      <w:r w:rsidR="002B4173" w:rsidRPr="00E24C37">
        <w:t>”.</w:t>
      </w:r>
    </w:p>
    <w:bookmarkStart w:id="3" w:name="OfficerKstatement"/>
    <w:p w:rsidR="00337A6D" w:rsidRPr="00E24C37" w:rsidRDefault="002B4173" w:rsidP="00E24C37">
      <w:pPr>
        <w:pStyle w:val="ECHRPara"/>
      </w:pPr>
      <w:r w:rsidRPr="00E24C37">
        <w:fldChar w:fldCharType="begin"/>
      </w:r>
      <w:r w:rsidRPr="00E24C37">
        <w:instrText xml:space="preserve"> SEQ level0 \*arabic </w:instrText>
      </w:r>
      <w:r w:rsidRPr="00E24C37">
        <w:fldChar w:fldCharType="separate"/>
      </w:r>
      <w:r w:rsidR="00B87844">
        <w:rPr>
          <w:noProof/>
        </w:rPr>
        <w:t>10</w:t>
      </w:r>
      <w:r w:rsidRPr="00E24C37">
        <w:fldChar w:fldCharType="end"/>
      </w:r>
      <w:bookmarkEnd w:id="3"/>
      <w:r w:rsidRPr="00E24C37">
        <w:t>.  </w:t>
      </w:r>
      <w:r w:rsidR="009D143E" w:rsidRPr="00E24C37">
        <w:t>The Government ha</w:t>
      </w:r>
      <w:r w:rsidR="00FF3610" w:rsidRPr="00E24C37">
        <w:t>ve</w:t>
      </w:r>
      <w:r w:rsidR="009D143E" w:rsidRPr="00E24C37">
        <w:t xml:space="preserve"> submitted to the Court </w:t>
      </w:r>
      <w:r w:rsidR="005962C9" w:rsidRPr="00E24C37">
        <w:t xml:space="preserve">a </w:t>
      </w:r>
      <w:r w:rsidR="009D143E" w:rsidRPr="00E24C37">
        <w:t xml:space="preserve">written </w:t>
      </w:r>
      <w:r w:rsidR="00337A6D" w:rsidRPr="00E24C37">
        <w:t>statement</w:t>
      </w:r>
      <w:r w:rsidR="0045046B" w:rsidRPr="00E24C37">
        <w:t xml:space="preserve"> </w:t>
      </w:r>
      <w:r w:rsidR="005962C9" w:rsidRPr="00E24C37">
        <w:t>from K.</w:t>
      </w:r>
      <w:r w:rsidR="009D143E" w:rsidRPr="00E24C37">
        <w:t>, which</w:t>
      </w:r>
      <w:r w:rsidR="00337A6D" w:rsidRPr="00E24C37">
        <w:t xml:space="preserve"> reads as follows:</w:t>
      </w:r>
    </w:p>
    <w:p w:rsidR="00337A6D" w:rsidRPr="00E24C37" w:rsidRDefault="00337A6D" w:rsidP="00E24C37">
      <w:pPr>
        <w:pStyle w:val="ECHRParaQuote"/>
      </w:pPr>
      <w:r w:rsidRPr="00E24C37">
        <w:t xml:space="preserve">“Following </w:t>
      </w:r>
      <w:r w:rsidR="00434B49" w:rsidRPr="00E24C37">
        <w:t xml:space="preserve">the </w:t>
      </w:r>
      <w:r w:rsidRPr="00E24C37">
        <w:t>custom</w:t>
      </w:r>
      <w:r w:rsidR="0045046B" w:rsidRPr="00E24C37">
        <w:t>s</w:t>
      </w:r>
      <w:r w:rsidRPr="00E24C37">
        <w:t xml:space="preserve"> co</w:t>
      </w:r>
      <w:r w:rsidR="00EE492D" w:rsidRPr="00E24C37">
        <w:t xml:space="preserve">ntrol </w:t>
      </w:r>
      <w:r w:rsidR="00434B49" w:rsidRPr="00E24C37">
        <w:t xml:space="preserve">measure of </w:t>
      </w:r>
      <w:r w:rsidR="00EE492D" w:rsidRPr="00E24C37">
        <w:t>an interview and given [D.</w:t>
      </w:r>
      <w:r w:rsidR="00E24C37" w:rsidRPr="00E24C37">
        <w:t>’</w:t>
      </w:r>
      <w:r w:rsidR="00EE492D" w:rsidRPr="00E24C37">
        <w:t>s and the applicant</w:t>
      </w:r>
      <w:r w:rsidR="00E24C37" w:rsidRPr="00E24C37">
        <w:t>’</w:t>
      </w:r>
      <w:r w:rsidR="00EE492D" w:rsidRPr="00E24C37">
        <w:t xml:space="preserve">s] </w:t>
      </w:r>
      <w:r w:rsidRPr="00E24C37">
        <w:t>behaviour and the nature of their professional activities, a supposition</w:t>
      </w:r>
      <w:r w:rsidR="00EF1CCC" w:rsidRPr="00E24C37">
        <w:t>/assumption</w:t>
      </w:r>
      <w:r w:rsidRPr="00E24C37">
        <w:t xml:space="preserve"> (</w:t>
      </w:r>
      <w:r w:rsidRPr="00E24C37">
        <w:rPr>
          <w:i/>
          <w:lang w:val="ru-RU"/>
        </w:rPr>
        <w:t>предположение</w:t>
      </w:r>
      <w:r w:rsidRPr="00E24C37">
        <w:t xml:space="preserve">) arose that they might have banned printed and/or audio- and video-material with extremist content </w:t>
      </w:r>
      <w:r w:rsidR="0045046B" w:rsidRPr="00E24C37">
        <w:t xml:space="preserve">in their </w:t>
      </w:r>
      <w:r w:rsidR="00434B49" w:rsidRPr="00E24C37">
        <w:t>bags</w:t>
      </w:r>
      <w:r w:rsidR="0045046B" w:rsidRPr="00E24C37">
        <w:t xml:space="preserve"> </w:t>
      </w:r>
      <w:r w:rsidR="00197E46" w:rsidRPr="00E24C37">
        <w:t>...</w:t>
      </w:r>
      <w:r w:rsidRPr="00E24C37">
        <w:t xml:space="preserve"> Since [the applicant] noted in his declaration that he had </w:t>
      </w:r>
      <w:r w:rsidR="009D143E" w:rsidRPr="00E24C37">
        <w:t>electronic</w:t>
      </w:r>
      <w:r w:rsidRPr="00E24C37">
        <w:t xml:space="preserve"> storage devices, I made a written report to the acting chief officer of the customs checkpoint concerning the need for carrying out an inspection of [the applicant</w:t>
      </w:r>
      <w:r w:rsidR="00E24C37" w:rsidRPr="00E24C37">
        <w:t>’</w:t>
      </w:r>
      <w:r w:rsidRPr="00E24C37">
        <w:t xml:space="preserve">s] </w:t>
      </w:r>
      <w:r w:rsidR="00FB13AB" w:rsidRPr="00E24C37">
        <w:t>bags</w:t>
      </w:r>
      <w:r w:rsidR="003B120E" w:rsidRPr="00E24C37">
        <w:t xml:space="preserve"> in the framework of the risk management system </w:t>
      </w:r>
      <w:r w:rsidR="0045046B" w:rsidRPr="00E24C37">
        <w:t xml:space="preserve">and </w:t>
      </w:r>
      <w:r w:rsidR="003B120E" w:rsidRPr="00E24C37">
        <w:t>for involving Officer</w:t>
      </w:r>
      <w:r w:rsidR="00197E46" w:rsidRPr="00E24C37">
        <w:t xml:space="preserve"> </w:t>
      </w:r>
      <w:r w:rsidR="003B120E" w:rsidRPr="00E24C37">
        <w:t xml:space="preserve">B., an IT specialist. The inspection was approved by the chief officer by way of </w:t>
      </w:r>
      <w:r w:rsidR="00FB13AB" w:rsidRPr="00E24C37">
        <w:t>his</w:t>
      </w:r>
      <w:r w:rsidR="003B120E" w:rsidRPr="00E24C37">
        <w:t xml:space="preserve"> handwritten </w:t>
      </w:r>
      <w:r w:rsidR="0045046B" w:rsidRPr="00E24C37">
        <w:t>approval</w:t>
      </w:r>
      <w:r w:rsidR="003B120E" w:rsidRPr="00E24C37">
        <w:t xml:space="preserve"> on my report </w:t>
      </w:r>
      <w:r w:rsidR="00197E46" w:rsidRPr="00E24C37">
        <w:t>...</w:t>
      </w:r>
      <w:r w:rsidR="003B120E" w:rsidRPr="00E24C37">
        <w:t xml:space="preserve"> The chief officer issued an order for an inspection and authorised B. and myself to use the sampling procedure ... The above-mentioned supposition</w:t>
      </w:r>
      <w:r w:rsidR="00EF1CCC" w:rsidRPr="00E24C37">
        <w:t>/assumption</w:t>
      </w:r>
      <w:r w:rsidR="003B120E" w:rsidRPr="00E24C37">
        <w:t xml:space="preserve"> was based on the presence of a folder </w:t>
      </w:r>
      <w:r w:rsidR="0045046B" w:rsidRPr="00E24C37">
        <w:t xml:space="preserve">labelled </w:t>
      </w:r>
      <w:r w:rsidR="003B120E" w:rsidRPr="00E24C37">
        <w:t xml:space="preserve">“Extremist” in the laptop </w:t>
      </w:r>
      <w:r w:rsidR="00197E46" w:rsidRPr="00E24C37">
        <w:t>...</w:t>
      </w:r>
      <w:r w:rsidR="003B120E" w:rsidRPr="00E24C37">
        <w:t xml:space="preserve"> </w:t>
      </w:r>
      <w:r w:rsidR="0045046B" w:rsidRPr="00E24C37">
        <w:t>D</w:t>
      </w:r>
      <w:r w:rsidR="003B120E" w:rsidRPr="00E24C37">
        <w:t xml:space="preserve">ata from it was </w:t>
      </w:r>
      <w:r w:rsidR="00932134" w:rsidRPr="00E24C37">
        <w:t xml:space="preserve">copied </w:t>
      </w:r>
      <w:r w:rsidR="003B120E" w:rsidRPr="00E24C37">
        <w:t xml:space="preserve">on the same day [on the spot] </w:t>
      </w:r>
      <w:r w:rsidR="00197E46" w:rsidRPr="00E24C37">
        <w:t>...</w:t>
      </w:r>
      <w:r w:rsidR="003B120E" w:rsidRPr="00E24C37">
        <w:t xml:space="preserve"> to DVD RW disks, which </w:t>
      </w:r>
      <w:r w:rsidR="00932134" w:rsidRPr="00E24C37">
        <w:t xml:space="preserve">were </w:t>
      </w:r>
      <w:r w:rsidR="003B120E" w:rsidRPr="00E24C37">
        <w:t xml:space="preserve">then sealed in a plastic bag </w:t>
      </w:r>
      <w:r w:rsidR="00197E46" w:rsidRPr="00E24C37">
        <w:t>...</w:t>
      </w:r>
      <w:r w:rsidR="003B120E" w:rsidRPr="00E24C37">
        <w:t xml:space="preserve"> [The applicant], B. and two attesting witnesses were present </w:t>
      </w:r>
      <w:r w:rsidR="00197E46" w:rsidRPr="00E24C37">
        <w:t>...</w:t>
      </w:r>
      <w:r w:rsidR="003B120E" w:rsidRPr="00E24C37">
        <w:t xml:space="preserve"> The sampling report contained a detailed description of </w:t>
      </w:r>
      <w:r w:rsidR="00FB13AB" w:rsidRPr="00E24C37">
        <w:t xml:space="preserve">the </w:t>
      </w:r>
      <w:r w:rsidR="003B120E" w:rsidRPr="00E24C37">
        <w:t>data</w:t>
      </w:r>
      <w:r w:rsidR="00FB13AB" w:rsidRPr="00E24C37">
        <w:t xml:space="preserve"> that was copied</w:t>
      </w:r>
      <w:r w:rsidR="003B120E" w:rsidRPr="00E24C37">
        <w:t xml:space="preserve">, including </w:t>
      </w:r>
      <w:r w:rsidR="00932134" w:rsidRPr="00E24C37">
        <w:t xml:space="preserve">the </w:t>
      </w:r>
      <w:r w:rsidR="003B120E" w:rsidRPr="00E24C37">
        <w:t xml:space="preserve">names of </w:t>
      </w:r>
      <w:r w:rsidR="00932134" w:rsidRPr="00E24C37">
        <w:t xml:space="preserve">the </w:t>
      </w:r>
      <w:r w:rsidR="003B120E" w:rsidRPr="00E24C37">
        <w:t>folders</w:t>
      </w:r>
      <w:r w:rsidR="00932134" w:rsidRPr="00E24C37">
        <w:t xml:space="preserve"> that had been copied</w:t>
      </w:r>
      <w:r w:rsidR="003B120E" w:rsidRPr="00E24C37">
        <w:t xml:space="preserve">, their number and the number of files in each folder </w:t>
      </w:r>
      <w:r w:rsidR="00197E46" w:rsidRPr="00E24C37">
        <w:t>...</w:t>
      </w:r>
      <w:r w:rsidR="00932134" w:rsidRPr="00E24C37">
        <w:t xml:space="preserve"> </w:t>
      </w:r>
      <w:r w:rsidR="003B120E" w:rsidRPr="00E24C37">
        <w:t xml:space="preserve">The copying was carried out by Officer B. I did not open or copy any electronic folders or files </w:t>
      </w:r>
      <w:r w:rsidR="00197E46" w:rsidRPr="00E24C37">
        <w:t>...</w:t>
      </w:r>
      <w:r w:rsidR="003B120E" w:rsidRPr="00E24C37">
        <w:t xml:space="preserve"> I did not read any </w:t>
      </w:r>
      <w:r w:rsidR="00E24C37" w:rsidRPr="00E24C37">
        <w:t>‘</w:t>
      </w:r>
      <w:r w:rsidR="003B120E" w:rsidRPr="00E24C37">
        <w:t>correspondence</w:t>
      </w:r>
      <w:r w:rsidR="00E24C37" w:rsidRPr="00E24C37">
        <w:t>’</w:t>
      </w:r>
      <w:r w:rsidR="003B120E" w:rsidRPr="00E24C37">
        <w:t xml:space="preserve"> (personal correspondence or other text material) </w:t>
      </w:r>
      <w:r w:rsidR="00197E46" w:rsidRPr="00E24C37">
        <w:t>...</w:t>
      </w:r>
      <w:r w:rsidR="003B120E" w:rsidRPr="00E24C37">
        <w:t xml:space="preserve"> </w:t>
      </w:r>
      <w:r w:rsidR="00932134" w:rsidRPr="00E24C37">
        <w:t>An</w:t>
      </w:r>
      <w:r w:rsidR="003B120E" w:rsidRPr="00E24C37">
        <w:t xml:space="preserve"> order to carry out a forensic examination was issued on 8 September 2009 </w:t>
      </w:r>
      <w:r w:rsidR="00197E46" w:rsidRPr="00E24C37">
        <w:t>...</w:t>
      </w:r>
      <w:r w:rsidR="003B120E" w:rsidRPr="00E24C37">
        <w:t xml:space="preserve"> because on 27 August 2009 we </w:t>
      </w:r>
      <w:r w:rsidR="00EE492D" w:rsidRPr="00E24C37">
        <w:t xml:space="preserve">had </w:t>
      </w:r>
      <w:r w:rsidR="003B120E" w:rsidRPr="00E24C37">
        <w:t xml:space="preserve">no information about </w:t>
      </w:r>
      <w:r w:rsidR="00932134" w:rsidRPr="00E24C37">
        <w:t xml:space="preserve">the </w:t>
      </w:r>
      <w:r w:rsidR="003B120E" w:rsidRPr="00E24C37">
        <w:t xml:space="preserve">relevant expert organisations </w:t>
      </w:r>
      <w:r w:rsidR="00EE492D" w:rsidRPr="00E24C37">
        <w:t>f</w:t>
      </w:r>
      <w:r w:rsidR="00932134" w:rsidRPr="00E24C37">
        <w:t>o</w:t>
      </w:r>
      <w:r w:rsidR="00EE492D" w:rsidRPr="00E24C37">
        <w:t>r</w:t>
      </w:r>
      <w:r w:rsidR="003B120E" w:rsidRPr="00E24C37">
        <w:t xml:space="preserve"> th</w:t>
      </w:r>
      <w:r w:rsidR="00932134" w:rsidRPr="00E24C37">
        <w:t>at</w:t>
      </w:r>
      <w:r w:rsidR="003B120E" w:rsidRPr="00E24C37">
        <w:t xml:space="preserve"> type of forensic examination</w:t>
      </w:r>
      <w:r w:rsidR="009D143E" w:rsidRPr="00E24C37">
        <w:t xml:space="preserve"> </w:t>
      </w:r>
      <w:r w:rsidR="00197E46" w:rsidRPr="00E24C37">
        <w:t>...</w:t>
      </w:r>
      <w:r w:rsidR="009D143E" w:rsidRPr="00E24C37">
        <w:t>”</w:t>
      </w:r>
    </w:p>
    <w:bookmarkStart w:id="4" w:name="OfficerBstatement"/>
    <w:p w:rsidR="009D143E" w:rsidRPr="00E24C37" w:rsidRDefault="009D143E" w:rsidP="00E24C37">
      <w:pPr>
        <w:pStyle w:val="ECHRPara"/>
      </w:pPr>
      <w:r w:rsidRPr="00E24C37">
        <w:lastRenderedPageBreak/>
        <w:fldChar w:fldCharType="begin"/>
      </w:r>
      <w:r w:rsidRPr="00E24C37">
        <w:instrText xml:space="preserve"> SEQ level0 \*arabic </w:instrText>
      </w:r>
      <w:r w:rsidRPr="00E24C37">
        <w:fldChar w:fldCharType="separate"/>
      </w:r>
      <w:r w:rsidR="00B87844">
        <w:rPr>
          <w:noProof/>
        </w:rPr>
        <w:t>11</w:t>
      </w:r>
      <w:r w:rsidRPr="00E24C37">
        <w:fldChar w:fldCharType="end"/>
      </w:r>
      <w:bookmarkEnd w:id="4"/>
      <w:r w:rsidRPr="00E24C37">
        <w:t>.  </w:t>
      </w:r>
      <w:r w:rsidR="00EE492D" w:rsidRPr="00E24C37">
        <w:t>The Government ha</w:t>
      </w:r>
      <w:r w:rsidR="00FF3610" w:rsidRPr="00E24C37">
        <w:t>ve</w:t>
      </w:r>
      <w:r w:rsidR="00EE492D" w:rsidRPr="00E24C37">
        <w:t xml:space="preserve"> also submitted a written statement from </w:t>
      </w:r>
      <w:r w:rsidRPr="00E24C37">
        <w:t>Officer</w:t>
      </w:r>
      <w:r w:rsidR="00EE492D" w:rsidRPr="00E24C37">
        <w:t> </w:t>
      </w:r>
      <w:r w:rsidRPr="00E24C37">
        <w:t>B.</w:t>
      </w:r>
      <w:r w:rsidR="00932134" w:rsidRPr="00E24C37">
        <w:t>, which</w:t>
      </w:r>
      <w:r w:rsidR="00EE492D" w:rsidRPr="00E24C37">
        <w:t xml:space="preserve"> </w:t>
      </w:r>
      <w:r w:rsidR="00357C1F" w:rsidRPr="00E24C37">
        <w:t>read</w:t>
      </w:r>
      <w:r w:rsidR="00932134" w:rsidRPr="00E24C37">
        <w:t>s</w:t>
      </w:r>
      <w:r w:rsidR="00EE492D" w:rsidRPr="00E24C37">
        <w:t xml:space="preserve"> </w:t>
      </w:r>
      <w:r w:rsidRPr="00E24C37">
        <w:t>as follows:</w:t>
      </w:r>
    </w:p>
    <w:p w:rsidR="009D143E" w:rsidRPr="00E24C37" w:rsidRDefault="009D143E" w:rsidP="00E24C37">
      <w:pPr>
        <w:pStyle w:val="ECHRParaQuote"/>
      </w:pPr>
      <w:r w:rsidRPr="00E24C37">
        <w:t>“</w:t>
      </w:r>
      <w:r w:rsidR="00932134" w:rsidRPr="00E24C37">
        <w:t xml:space="preserve">In accordance with </w:t>
      </w:r>
      <w:r w:rsidRPr="00E24C37">
        <w:t xml:space="preserve">the order for an inspection [no. </w:t>
      </w:r>
      <w:r w:rsidR="00197E46" w:rsidRPr="00E24C37">
        <w:t>...</w:t>
      </w:r>
      <w:r w:rsidRPr="00E24C37">
        <w:t xml:space="preserve">], which required sampling and </w:t>
      </w:r>
      <w:r w:rsidR="00FB13AB" w:rsidRPr="00E24C37">
        <w:t xml:space="preserve">which </w:t>
      </w:r>
      <w:r w:rsidRPr="00E24C37">
        <w:t xml:space="preserve">also indicated </w:t>
      </w:r>
      <w:r w:rsidR="00E24C37" w:rsidRPr="00E24C37">
        <w:t>‘</w:t>
      </w:r>
      <w:r w:rsidRPr="00E24C37">
        <w:t>other</w:t>
      </w:r>
      <w:r w:rsidR="00E24C37" w:rsidRPr="00E24C37">
        <w:t>’</w:t>
      </w:r>
      <w:r w:rsidRPr="00E24C37">
        <w:t>, I copied data from [the applicant</w:t>
      </w:r>
      <w:r w:rsidR="00E24C37" w:rsidRPr="00E24C37">
        <w:t>’</w:t>
      </w:r>
      <w:r w:rsidRPr="00E24C37">
        <w:t xml:space="preserve">s] laptop to six DVD RW disks </w:t>
      </w:r>
      <w:r w:rsidR="00197E46" w:rsidRPr="00E24C37">
        <w:t>...</w:t>
      </w:r>
      <w:r w:rsidRPr="00E24C37">
        <w:t xml:space="preserve"> because we had no other type of disks or electronic storage devices </w:t>
      </w:r>
      <w:r w:rsidR="00197E46" w:rsidRPr="00E24C37">
        <w:t>...</w:t>
      </w:r>
      <w:r w:rsidRPr="00E24C37">
        <w:t xml:space="preserve"> Since the laptop</w:t>
      </w:r>
      <w:r w:rsidR="00E24C37" w:rsidRPr="00E24C37">
        <w:t>’</w:t>
      </w:r>
      <w:r w:rsidRPr="00E24C37">
        <w:t xml:space="preserve">s hard drive was some 160 Gb and at the time we had no means for </w:t>
      </w:r>
      <w:r w:rsidR="00FB13AB" w:rsidRPr="00E24C37">
        <w:t>fast</w:t>
      </w:r>
      <w:r w:rsidRPr="00E24C37">
        <w:t xml:space="preserve"> copying, I decided only </w:t>
      </w:r>
      <w:r w:rsidR="00932134" w:rsidRPr="00E24C37">
        <w:t xml:space="preserve">to </w:t>
      </w:r>
      <w:r w:rsidRPr="00E24C37">
        <w:t xml:space="preserve">copy folders with strange names. I did not read any </w:t>
      </w:r>
      <w:r w:rsidR="00E24C37" w:rsidRPr="00E24C37">
        <w:t>‘</w:t>
      </w:r>
      <w:r w:rsidRPr="00E24C37">
        <w:t>correspondence</w:t>
      </w:r>
      <w:r w:rsidR="00E24C37" w:rsidRPr="00E24C37">
        <w:t>’</w:t>
      </w:r>
      <w:r w:rsidRPr="00E24C37">
        <w:t xml:space="preserve"> (personal correspondence or other text material) from th</w:t>
      </w:r>
      <w:r w:rsidR="00FB13AB" w:rsidRPr="00E24C37">
        <w:t>e</w:t>
      </w:r>
      <w:r w:rsidRPr="00E24C37">
        <w:t xml:space="preserve"> laptop.”</w:t>
      </w:r>
    </w:p>
    <w:bookmarkStart w:id="5" w:name="Kstatement"/>
    <w:p w:rsidR="00197E46" w:rsidRPr="00E24C37" w:rsidRDefault="00653742" w:rsidP="00E24C37">
      <w:pPr>
        <w:pStyle w:val="ECHRPara"/>
      </w:pPr>
      <w:r w:rsidRPr="00E24C37">
        <w:fldChar w:fldCharType="begin"/>
      </w:r>
      <w:r w:rsidRPr="00E24C37">
        <w:instrText xml:space="preserve"> SEQ level0 \*arabic </w:instrText>
      </w:r>
      <w:r w:rsidRPr="00E24C37">
        <w:fldChar w:fldCharType="separate"/>
      </w:r>
      <w:r w:rsidR="00B87844">
        <w:rPr>
          <w:noProof/>
        </w:rPr>
        <w:t>12</w:t>
      </w:r>
      <w:r w:rsidRPr="00E24C37">
        <w:rPr>
          <w:noProof/>
        </w:rPr>
        <w:fldChar w:fldCharType="end"/>
      </w:r>
      <w:r w:rsidRPr="00E24C37">
        <w:t xml:space="preserve">.  According to the Government, </w:t>
      </w:r>
      <w:r w:rsidR="00FB13AB" w:rsidRPr="00E24C37">
        <w:t xml:space="preserve">after </w:t>
      </w:r>
      <w:r w:rsidR="00812F1E" w:rsidRPr="00E24C37">
        <w:t>finding in the directory of the laptop</w:t>
      </w:r>
      <w:r w:rsidRPr="00E24C37">
        <w:t xml:space="preserve"> </w:t>
      </w:r>
      <w:r w:rsidR="00932134" w:rsidRPr="00E24C37">
        <w:t>a</w:t>
      </w:r>
      <w:r w:rsidR="00812F1E" w:rsidRPr="00E24C37">
        <w:t>n electronic</w:t>
      </w:r>
      <w:r w:rsidR="00932134" w:rsidRPr="00E24C37">
        <w:t xml:space="preserve"> </w:t>
      </w:r>
      <w:r w:rsidRPr="00E24C37">
        <w:t>folder entitled “Extremism (for RR</w:t>
      </w:r>
      <w:r w:rsidRPr="00E24C37">
        <w:rPr>
          <w:rStyle w:val="af4"/>
        </w:rPr>
        <w:footnoteReference w:id="1"/>
      </w:r>
      <w:r w:rsidRPr="00E24C37">
        <w:t>)”, which contained a number of photographs, the</w:t>
      </w:r>
      <w:r w:rsidR="00357C1F" w:rsidRPr="00E24C37">
        <w:t xml:space="preserve"> customs officer</w:t>
      </w:r>
      <w:r w:rsidRPr="00E24C37">
        <w:t xml:space="preserve"> decided to copy </w:t>
      </w:r>
      <w:r w:rsidR="00FB13AB" w:rsidRPr="00E24C37">
        <w:t>i</w:t>
      </w:r>
      <w:r w:rsidRPr="00E24C37">
        <w:t>t and some other folders from the laptop for further examination by an expert</w:t>
      </w:r>
      <w:r w:rsidR="00932134" w:rsidRPr="00E24C37">
        <w:t>,</w:t>
      </w:r>
      <w:r w:rsidRPr="00E24C37">
        <w:t xml:space="preserve"> who </w:t>
      </w:r>
      <w:r w:rsidR="00932134" w:rsidRPr="00E24C37">
        <w:t>c</w:t>
      </w:r>
      <w:r w:rsidRPr="00E24C37">
        <w:t>ould determine whether th</w:t>
      </w:r>
      <w:r w:rsidR="00932134" w:rsidRPr="00E24C37">
        <w:t>ey</w:t>
      </w:r>
      <w:r w:rsidRPr="00E24C37">
        <w:t xml:space="preserve"> contained any information of </w:t>
      </w:r>
      <w:r w:rsidR="00932134" w:rsidRPr="00E24C37">
        <w:t xml:space="preserve">an </w:t>
      </w:r>
      <w:r w:rsidRPr="00E24C37">
        <w:t>extremist nature.</w:t>
      </w:r>
    </w:p>
    <w:bookmarkStart w:id="6" w:name="amountcopied"/>
    <w:p w:rsidR="00EE492D" w:rsidRPr="00E24C37" w:rsidRDefault="00CC61E4" w:rsidP="00E24C37">
      <w:pPr>
        <w:pStyle w:val="ECHRPara"/>
      </w:pPr>
      <w:r w:rsidRPr="00E24C37">
        <w:fldChar w:fldCharType="begin"/>
      </w:r>
      <w:r w:rsidRPr="00E24C37">
        <w:instrText xml:space="preserve"> SEQ level0 \*arabic </w:instrText>
      </w:r>
      <w:r w:rsidRPr="00E24C37">
        <w:fldChar w:fldCharType="separate"/>
      </w:r>
      <w:r w:rsidR="00B87844">
        <w:rPr>
          <w:noProof/>
        </w:rPr>
        <w:t>13</w:t>
      </w:r>
      <w:r w:rsidRPr="00E24C37">
        <w:fldChar w:fldCharType="end"/>
      </w:r>
      <w:bookmarkEnd w:id="6"/>
      <w:r w:rsidRPr="00E24C37">
        <w:t>.  </w:t>
      </w:r>
      <w:r w:rsidR="00EE492D" w:rsidRPr="00E24C37">
        <w:t xml:space="preserve">The folder contained seven subfolders and 180 files. The applicant made a note in the record, </w:t>
      </w:r>
      <w:r w:rsidR="00932134" w:rsidRPr="00E24C37">
        <w:t xml:space="preserve">stating </w:t>
      </w:r>
      <w:r w:rsidR="00EE492D" w:rsidRPr="00E24C37">
        <w:t xml:space="preserve">that the </w:t>
      </w:r>
      <w:r w:rsidR="00932134" w:rsidRPr="00E24C37">
        <w:t xml:space="preserve">material had been </w:t>
      </w:r>
      <w:r w:rsidR="00EE492D" w:rsidRPr="00E24C37">
        <w:t>copi</w:t>
      </w:r>
      <w:r w:rsidR="00932134" w:rsidRPr="00E24C37">
        <w:t>ed o</w:t>
      </w:r>
      <w:r w:rsidR="00EE492D" w:rsidRPr="00E24C37">
        <w:t>nto rewritable DVD disks (thus technically allowing the data</w:t>
      </w:r>
      <w:r w:rsidR="00932134" w:rsidRPr="00E24C37">
        <w:t xml:space="preserve"> to be modified</w:t>
      </w:r>
      <w:r w:rsidR="00EE492D" w:rsidRPr="00E24C37">
        <w:t xml:space="preserve">, including by way of adding data). According to the applicant, the folder </w:t>
      </w:r>
      <w:r w:rsidR="00932134" w:rsidRPr="00E24C37">
        <w:t xml:space="preserve">had some photographs and </w:t>
      </w:r>
      <w:r w:rsidR="00EE492D" w:rsidRPr="00E24C37">
        <w:t xml:space="preserve">a </w:t>
      </w:r>
      <w:r w:rsidR="00932134" w:rsidRPr="00E24C37">
        <w:t>PDF</w:t>
      </w:r>
      <w:r w:rsidR="00EE492D" w:rsidRPr="00E24C37">
        <w:t xml:space="preserve"> copy of an article entitled “How to incite hatred?” on anti-extremism legislation. Th</w:t>
      </w:r>
      <w:r w:rsidR="00932134" w:rsidRPr="00E24C37">
        <w:t>e</w:t>
      </w:r>
      <w:r w:rsidR="00EE492D" w:rsidRPr="00E24C37">
        <w:t xml:space="preserve"> article, written by Ms V., was published in the </w:t>
      </w:r>
      <w:r w:rsidR="00EE492D" w:rsidRPr="00E24C37">
        <w:rPr>
          <w:i/>
        </w:rPr>
        <w:t xml:space="preserve">Russian Reporter </w:t>
      </w:r>
      <w:r w:rsidR="00EE492D" w:rsidRPr="00E24C37">
        <w:t xml:space="preserve">magazine in June 2009 and was accompanied </w:t>
      </w:r>
      <w:r w:rsidR="00C75E02" w:rsidRPr="00E24C37">
        <w:t xml:space="preserve">by </w:t>
      </w:r>
      <w:r w:rsidR="00EE492D" w:rsidRPr="00E24C37">
        <w:t xml:space="preserve">photographs </w:t>
      </w:r>
      <w:r w:rsidR="00C75E02" w:rsidRPr="00E24C37">
        <w:t xml:space="preserve">taken </w:t>
      </w:r>
      <w:r w:rsidR="00EE492D" w:rsidRPr="00E24C37">
        <w:t xml:space="preserve">by the applicant. The </w:t>
      </w:r>
      <w:r w:rsidR="00357C1F" w:rsidRPr="00E24C37">
        <w:t>author of the article</w:t>
      </w:r>
      <w:r w:rsidR="00EE492D" w:rsidRPr="00E24C37">
        <w:t xml:space="preserve"> discussed the controversies and difficulties relating to the interpretation and application of Russian anti-extremis</w:t>
      </w:r>
      <w:r w:rsidR="00C75E02" w:rsidRPr="00E24C37">
        <w:t>m</w:t>
      </w:r>
      <w:r w:rsidR="00EE492D" w:rsidRPr="00E24C37">
        <w:t xml:space="preserve"> legislation, with reference to four criminal cases under Article 282 of the Criminal Code. According to the applicant, the material </w:t>
      </w:r>
      <w:r w:rsidR="00C75E02" w:rsidRPr="00E24C37">
        <w:t xml:space="preserve">that was copied </w:t>
      </w:r>
      <w:r w:rsidR="00EE492D" w:rsidRPr="00E24C37">
        <w:t>included documents and text concerning two ethnic groups (</w:t>
      </w:r>
      <w:r w:rsidR="00C75E02" w:rsidRPr="00E24C37">
        <w:t xml:space="preserve">the </w:t>
      </w:r>
      <w:r w:rsidR="009E075B" w:rsidRPr="00E24C37">
        <w:t>Yazidis</w:t>
      </w:r>
      <w:r w:rsidR="00EE492D" w:rsidRPr="00E24C37">
        <w:t xml:space="preserve"> and </w:t>
      </w:r>
      <w:r w:rsidR="00C75E02" w:rsidRPr="00E24C37">
        <w:t xml:space="preserve">the </w:t>
      </w:r>
      <w:r w:rsidR="00EE492D" w:rsidRPr="00E24C37">
        <w:t>Meskhetian Turks), wh</w:t>
      </w:r>
      <w:r w:rsidR="00C75E02" w:rsidRPr="00E24C37">
        <w:t>o</w:t>
      </w:r>
      <w:r w:rsidR="00EE492D" w:rsidRPr="00E24C37">
        <w:t xml:space="preserve"> were allegedly under pressure from the Krasnodar regional administration. For instance, </w:t>
      </w:r>
      <w:r w:rsidR="00C75E02" w:rsidRPr="00E24C37">
        <w:t>a</w:t>
      </w:r>
      <w:r w:rsidR="00EE492D" w:rsidRPr="00E24C37">
        <w:t xml:space="preserve"> folder named “Isolation” contained texts describing </w:t>
      </w:r>
      <w:r w:rsidR="00FB13AB" w:rsidRPr="00E24C37">
        <w:t xml:space="preserve">the </w:t>
      </w:r>
      <w:r w:rsidR="00EE492D" w:rsidRPr="00E24C37">
        <w:t>social problems fac</w:t>
      </w:r>
      <w:r w:rsidR="00C75E02" w:rsidRPr="00E24C37">
        <w:t xml:space="preserve">ing </w:t>
      </w:r>
      <w:r w:rsidR="00EE492D" w:rsidRPr="00E24C37">
        <w:t xml:space="preserve">thirty-seven </w:t>
      </w:r>
      <w:r w:rsidR="009E075B" w:rsidRPr="00E24C37">
        <w:t>Yazidi</w:t>
      </w:r>
      <w:r w:rsidR="00EE492D" w:rsidRPr="00E24C37">
        <w:t xml:space="preserve"> families (with references to their personal details)</w:t>
      </w:r>
      <w:r w:rsidR="00C75E02" w:rsidRPr="00E24C37">
        <w:t xml:space="preserve">, </w:t>
      </w:r>
      <w:r w:rsidR="00EE492D" w:rsidRPr="00E24C37">
        <w:t xml:space="preserve">who </w:t>
      </w:r>
      <w:r w:rsidR="00C75E02" w:rsidRPr="00E24C37">
        <w:t xml:space="preserve">had been </w:t>
      </w:r>
      <w:r w:rsidR="00EE492D" w:rsidRPr="00E24C37">
        <w:t>discriminated against by the regional administration.</w:t>
      </w:r>
    </w:p>
    <w:p w:rsidR="00197E46" w:rsidRPr="00E24C37" w:rsidRDefault="00A93C20" w:rsidP="00E24C37">
      <w:pPr>
        <w:pStyle w:val="ECHRPara"/>
      </w:pPr>
      <w:r w:rsidRPr="00E24C37">
        <w:fldChar w:fldCharType="begin"/>
      </w:r>
      <w:r w:rsidRPr="00E24C37">
        <w:instrText xml:space="preserve"> SEQ level0 \*arabic </w:instrText>
      </w:r>
      <w:r w:rsidRPr="00E24C37">
        <w:fldChar w:fldCharType="separate"/>
      </w:r>
      <w:r w:rsidR="00B87844">
        <w:rPr>
          <w:noProof/>
        </w:rPr>
        <w:t>14</w:t>
      </w:r>
      <w:r w:rsidRPr="00E24C37">
        <w:fldChar w:fldCharType="end"/>
      </w:r>
      <w:r w:rsidRPr="00E24C37">
        <w:t>.  </w:t>
      </w:r>
      <w:r w:rsidR="009D10BE" w:rsidRPr="00E24C37">
        <w:t xml:space="preserve">It </w:t>
      </w:r>
      <w:r w:rsidR="00C75E02" w:rsidRPr="00E24C37">
        <w:t xml:space="preserve">can be seen </w:t>
      </w:r>
      <w:r w:rsidR="009D10BE" w:rsidRPr="00E24C37">
        <w:t xml:space="preserve">from the record of </w:t>
      </w:r>
      <w:r w:rsidR="00C75E02" w:rsidRPr="00E24C37">
        <w:t xml:space="preserve">the </w:t>
      </w:r>
      <w:r w:rsidR="009D10BE" w:rsidRPr="00E24C37">
        <w:t xml:space="preserve">sampling that thirty-four folders (containing some 480 subfolders with over 16,300 electronic files) were copied. </w:t>
      </w:r>
      <w:r w:rsidR="00C75E02" w:rsidRPr="00E24C37">
        <w:t>The f</w:t>
      </w:r>
      <w:r w:rsidR="009D10BE" w:rsidRPr="00E24C37">
        <w:t>olders had the following names</w:t>
      </w:r>
      <w:r w:rsidR="008149A9" w:rsidRPr="00E24C37">
        <w:t xml:space="preserve"> (mostly in Russian)</w:t>
      </w:r>
      <w:r w:rsidR="009D10BE" w:rsidRPr="00E24C37">
        <w:t xml:space="preserve">: </w:t>
      </w:r>
      <w:r w:rsidR="008149A9" w:rsidRPr="00E24C37">
        <w:t>In motion, Miscellaneous, Desktop, Foto_projects, On the road, Isolation,</w:t>
      </w:r>
      <w:r w:rsidR="00FD1754" w:rsidRPr="00E24C37">
        <w:t xml:space="preserve"> Drawings, 1 May, 9 May, 14 February, Law, Extremism (for RR).</w:t>
      </w:r>
    </w:p>
    <w:bookmarkEnd w:id="5"/>
    <w:p w:rsidR="00653742" w:rsidRPr="00E24C37" w:rsidRDefault="00653742" w:rsidP="00E24C37">
      <w:pPr>
        <w:pStyle w:val="ECHRPara"/>
      </w:pPr>
      <w:r w:rsidRPr="00E24C37">
        <w:fldChar w:fldCharType="begin"/>
      </w:r>
      <w:r w:rsidRPr="00E24C37">
        <w:instrText xml:space="preserve"> SEQ level0 \*arabic </w:instrText>
      </w:r>
      <w:r w:rsidRPr="00E24C37">
        <w:fldChar w:fldCharType="separate"/>
      </w:r>
      <w:r w:rsidR="00B87844">
        <w:rPr>
          <w:noProof/>
        </w:rPr>
        <w:t>15</w:t>
      </w:r>
      <w:r w:rsidRPr="00E24C37">
        <w:rPr>
          <w:noProof/>
        </w:rPr>
        <w:fldChar w:fldCharType="end"/>
      </w:r>
      <w:r w:rsidRPr="00E24C37">
        <w:t>.  It appears that the data from the laptop was first copied to a mobile</w:t>
      </w:r>
      <w:r w:rsidR="00FB13AB" w:rsidRPr="00E24C37">
        <w:t xml:space="preserve"> or </w:t>
      </w:r>
      <w:r w:rsidR="00CC61E4" w:rsidRPr="00E24C37">
        <w:t>external</w:t>
      </w:r>
      <w:r w:rsidRPr="00E24C37">
        <w:t xml:space="preserve"> hard drive and then recopied to six DVDs. According to the Government, the information was </w:t>
      </w:r>
      <w:r w:rsidR="00C75E02" w:rsidRPr="00E24C37">
        <w:t xml:space="preserve">then </w:t>
      </w:r>
      <w:r w:rsidRPr="00E24C37">
        <w:t xml:space="preserve">deleted from the </w:t>
      </w:r>
      <w:r w:rsidR="00CC61E4" w:rsidRPr="00E24C37">
        <w:t>external</w:t>
      </w:r>
      <w:r w:rsidRPr="00E24C37">
        <w:t xml:space="preserve"> hard drive.</w:t>
      </w:r>
      <w:r w:rsidR="009B45B1" w:rsidRPr="00E24C37">
        <w:t xml:space="preserve"> The original data in the laptop was not deleted </w:t>
      </w:r>
      <w:r w:rsidR="00C75E02" w:rsidRPr="00E24C37">
        <w:t>and</w:t>
      </w:r>
      <w:r w:rsidR="009B45B1" w:rsidRPr="00E24C37">
        <w:t xml:space="preserve"> remained intact.</w:t>
      </w:r>
    </w:p>
    <w:p w:rsidR="008B4F4C" w:rsidRPr="00E24C37" w:rsidRDefault="004B1E2C" w:rsidP="00E24C37">
      <w:pPr>
        <w:pStyle w:val="ECHRPara"/>
      </w:pPr>
      <w:r w:rsidRPr="00E24C37">
        <w:lastRenderedPageBreak/>
        <w:fldChar w:fldCharType="begin"/>
      </w:r>
      <w:r w:rsidRPr="00E24C37">
        <w:instrText xml:space="preserve"> SEQ level0 \*arabic </w:instrText>
      </w:r>
      <w:r w:rsidRPr="00E24C37">
        <w:fldChar w:fldCharType="separate"/>
      </w:r>
      <w:r w:rsidR="00B87844">
        <w:rPr>
          <w:noProof/>
        </w:rPr>
        <w:t>16</w:t>
      </w:r>
      <w:r w:rsidRPr="00E24C37">
        <w:rPr>
          <w:noProof/>
        </w:rPr>
        <w:fldChar w:fldCharType="end"/>
      </w:r>
      <w:r w:rsidR="008B4F4C" w:rsidRPr="00E24C37">
        <w:t>.  According to the applicant, his laptop remained with Officer B. for several hours. Allegedly, the officer read through the applicant</w:t>
      </w:r>
      <w:r w:rsidR="00E24C37" w:rsidRPr="00E24C37">
        <w:t>’</w:t>
      </w:r>
      <w:r w:rsidR="008B4F4C" w:rsidRPr="00E24C37">
        <w:t xml:space="preserve">s correspondence in the ICQ </w:t>
      </w:r>
      <w:r w:rsidR="00812F1E" w:rsidRPr="00E24C37">
        <w:t xml:space="preserve">messaging </w:t>
      </w:r>
      <w:r w:rsidR="008B4F4C" w:rsidRPr="00E24C37">
        <w:t>program and copied some 26</w:t>
      </w:r>
      <w:r w:rsidR="00197E46" w:rsidRPr="00E24C37">
        <w:t> </w:t>
      </w:r>
      <w:r w:rsidR="00000554" w:rsidRPr="00E24C37">
        <w:t xml:space="preserve">gigabytes </w:t>
      </w:r>
      <w:r w:rsidR="008B4F4C" w:rsidRPr="00E24C37">
        <w:t>of data, including the applicant</w:t>
      </w:r>
      <w:r w:rsidR="00E24C37" w:rsidRPr="00E24C37">
        <w:t>’</w:t>
      </w:r>
      <w:r w:rsidR="008B4F4C" w:rsidRPr="00E24C37">
        <w:t>s personal correspondence, personal photographs</w:t>
      </w:r>
      <w:r w:rsidR="00C75E02" w:rsidRPr="00E24C37">
        <w:t xml:space="preserve"> and </w:t>
      </w:r>
      <w:r w:rsidR="008B4F4C" w:rsidRPr="00E24C37">
        <w:t>FTP</w:t>
      </w:r>
      <w:r w:rsidR="00812F1E" w:rsidRPr="00E24C37">
        <w:rPr>
          <w:rStyle w:val="af4"/>
        </w:rPr>
        <w:footnoteReference w:id="2"/>
      </w:r>
      <w:r w:rsidR="008B4F4C" w:rsidRPr="00E24C37">
        <w:t>-type passwords.</w:t>
      </w:r>
    </w:p>
    <w:bookmarkStart w:id="7" w:name="Dstatement"/>
    <w:p w:rsidR="006B63B6" w:rsidRPr="00E24C37" w:rsidRDefault="00431DB8" w:rsidP="00E24C37">
      <w:pPr>
        <w:pStyle w:val="ECHRPara"/>
      </w:pPr>
      <w:r w:rsidRPr="00E24C37">
        <w:fldChar w:fldCharType="begin"/>
      </w:r>
      <w:r w:rsidRPr="00E24C37">
        <w:instrText xml:space="preserve"> SEQ level0 \*arabic </w:instrText>
      </w:r>
      <w:r w:rsidRPr="00E24C37">
        <w:fldChar w:fldCharType="separate"/>
      </w:r>
      <w:r w:rsidR="00B87844">
        <w:rPr>
          <w:noProof/>
        </w:rPr>
        <w:t>17</w:t>
      </w:r>
      <w:r w:rsidRPr="00E24C37">
        <w:rPr>
          <w:noProof/>
        </w:rPr>
        <w:fldChar w:fldCharType="end"/>
      </w:r>
      <w:bookmarkEnd w:id="7"/>
      <w:r w:rsidR="006B63B6" w:rsidRPr="00E24C37">
        <w:t>.  The applicant submitted the following written statement by Ms D.</w:t>
      </w:r>
      <w:r w:rsidR="00000554" w:rsidRPr="00E24C37">
        <w:t xml:space="preserve"> to the Court</w:t>
      </w:r>
      <w:r w:rsidR="006B63B6" w:rsidRPr="00E24C37">
        <w:t>:</w:t>
      </w:r>
    </w:p>
    <w:p w:rsidR="006B63B6" w:rsidRPr="00E24C37" w:rsidRDefault="006B63B6" w:rsidP="00E24C37">
      <w:pPr>
        <w:pStyle w:val="ECHRParaQuote"/>
      </w:pPr>
      <w:r w:rsidRPr="00E24C37">
        <w:t xml:space="preserve">“At 10 a.m. we presented ourselves </w:t>
      </w:r>
      <w:r w:rsidR="00C75E02" w:rsidRPr="00E24C37">
        <w:t>at</w:t>
      </w:r>
      <w:r w:rsidRPr="00E24C37">
        <w:t xml:space="preserve"> the border control and presented our passports ... We were then taken to the customs control area </w:t>
      </w:r>
      <w:r w:rsidR="00197E46" w:rsidRPr="00E24C37">
        <w:t>...</w:t>
      </w:r>
      <w:r w:rsidRPr="00E24C37">
        <w:t xml:space="preserve"> There the</w:t>
      </w:r>
      <w:r w:rsidR="00197E46" w:rsidRPr="00E24C37">
        <w:t xml:space="preserve"> </w:t>
      </w:r>
      <w:r w:rsidRPr="00E24C37">
        <w:t>customs officers asked [the applicant] to hand over his press</w:t>
      </w:r>
      <w:r w:rsidR="00C75E02" w:rsidRPr="00E24C37">
        <w:t xml:space="preserve"> </w:t>
      </w:r>
      <w:r w:rsidRPr="00E24C37">
        <w:t xml:space="preserve">card; so they were aware that he had one </w:t>
      </w:r>
      <w:r w:rsidR="00197E46" w:rsidRPr="00E24C37">
        <w:t>...</w:t>
      </w:r>
      <w:r w:rsidRPr="00E24C37">
        <w:t xml:space="preserve"> Officer K. interviewed us about the purpose of our visit to Abkhazia and our professional and civic activities </w:t>
      </w:r>
      <w:r w:rsidR="00197E46" w:rsidRPr="00E24C37">
        <w:t>...</w:t>
      </w:r>
      <w:r w:rsidRPr="00E24C37">
        <w:t xml:space="preserve"> I heard an FSB border</w:t>
      </w:r>
      <w:r w:rsidR="00C75E02" w:rsidRPr="00E24C37">
        <w:t xml:space="preserve"> </w:t>
      </w:r>
      <w:r w:rsidRPr="00E24C37">
        <w:t>officer t</w:t>
      </w:r>
      <w:r w:rsidR="00C75E02" w:rsidRPr="00E24C37">
        <w:t>ell</w:t>
      </w:r>
      <w:r w:rsidRPr="00E24C37">
        <w:t xml:space="preserve"> the customs officers about the need for </w:t>
      </w:r>
      <w:r w:rsidR="00C75E02" w:rsidRPr="00E24C37">
        <w:t xml:space="preserve">a </w:t>
      </w:r>
      <w:r w:rsidR="00E24C37" w:rsidRPr="00E24C37">
        <w:t>‘</w:t>
      </w:r>
      <w:r w:rsidRPr="00E24C37">
        <w:t xml:space="preserve">special </w:t>
      </w:r>
      <w:r w:rsidR="00C75E02" w:rsidRPr="00E24C37">
        <w:t>check</w:t>
      </w:r>
      <w:r w:rsidR="00E24C37" w:rsidRPr="00E24C37">
        <w:t>’</w:t>
      </w:r>
      <w:r w:rsidRPr="00E24C37">
        <w:t xml:space="preserve"> of our electronic storage devices </w:t>
      </w:r>
      <w:r w:rsidR="00197E46" w:rsidRPr="00E24C37">
        <w:t>...</w:t>
      </w:r>
      <w:r w:rsidRPr="00E24C37">
        <w:t xml:space="preserve"> Seeing a laptop in [the applicant</w:t>
      </w:r>
      <w:r w:rsidR="00E24C37" w:rsidRPr="00E24C37">
        <w:t>’</w:t>
      </w:r>
      <w:r w:rsidRPr="00E24C37">
        <w:t>s] bag</w:t>
      </w:r>
      <w:r w:rsidR="00C75E02" w:rsidRPr="00E24C37">
        <w:t>,</w:t>
      </w:r>
      <w:r w:rsidRPr="00E24C37">
        <w:t xml:space="preserve"> the customs officers expressed </w:t>
      </w:r>
      <w:r w:rsidR="00C75E02" w:rsidRPr="00E24C37">
        <w:t>the</w:t>
      </w:r>
      <w:r w:rsidR="00000554" w:rsidRPr="00E24C37">
        <w:t>ir</w:t>
      </w:r>
      <w:r w:rsidR="00C75E02" w:rsidRPr="00E24C37">
        <w:t xml:space="preserve"> </w:t>
      </w:r>
      <w:r w:rsidRPr="00E24C37">
        <w:t>intention to cop</w:t>
      </w:r>
      <w:r w:rsidR="00C75E02" w:rsidRPr="00E24C37">
        <w:t>y</w:t>
      </w:r>
      <w:r w:rsidRPr="00E24C37">
        <w:t xml:space="preserve"> all </w:t>
      </w:r>
      <w:r w:rsidR="00C75E02" w:rsidRPr="00E24C37">
        <w:t xml:space="preserve">the </w:t>
      </w:r>
      <w:r w:rsidRPr="00E24C37">
        <w:t xml:space="preserve">available information </w:t>
      </w:r>
      <w:r w:rsidR="00197E46" w:rsidRPr="00E24C37">
        <w:t>...</w:t>
      </w:r>
      <w:r w:rsidRPr="00E24C37">
        <w:t xml:space="preserve"> I was interviewed (again) about my civi</w:t>
      </w:r>
      <w:r w:rsidR="00C711E1" w:rsidRPr="00E24C37">
        <w:t>c</w:t>
      </w:r>
      <w:r w:rsidRPr="00E24C37">
        <w:t xml:space="preserve"> activities</w:t>
      </w:r>
      <w:r w:rsidR="00C75E02" w:rsidRPr="00E24C37">
        <w:t xml:space="preserve">, </w:t>
      </w:r>
      <w:r w:rsidRPr="00E24C37">
        <w:t xml:space="preserve">my political views </w:t>
      </w:r>
      <w:r w:rsidR="00C75E02" w:rsidRPr="00E24C37">
        <w:t xml:space="preserve">and </w:t>
      </w:r>
      <w:r w:rsidRPr="00E24C37">
        <w:t>about [the applicant</w:t>
      </w:r>
      <w:r w:rsidR="00E24C37" w:rsidRPr="00E24C37">
        <w:t>’</w:t>
      </w:r>
      <w:r w:rsidRPr="00E24C37">
        <w:t xml:space="preserve">s] professional activities </w:t>
      </w:r>
      <w:r w:rsidR="00197E46" w:rsidRPr="00E24C37">
        <w:t>...</w:t>
      </w:r>
      <w:r w:rsidRPr="00E24C37">
        <w:t xml:space="preserve"> </w:t>
      </w:r>
      <w:r w:rsidR="00C75E02" w:rsidRPr="00E24C37">
        <w:t xml:space="preserve">the </w:t>
      </w:r>
      <w:r w:rsidRPr="00E24C37">
        <w:t xml:space="preserve">type of work done and </w:t>
      </w:r>
      <w:r w:rsidR="00CD232A" w:rsidRPr="00E24C37">
        <w:t xml:space="preserve">the </w:t>
      </w:r>
      <w:r w:rsidRPr="00E24C37">
        <w:t xml:space="preserve">publications </w:t>
      </w:r>
      <w:r w:rsidR="00197E46" w:rsidRPr="00E24C37">
        <w:t>...</w:t>
      </w:r>
      <w:r w:rsidRPr="00E24C37">
        <w:t>”</w:t>
      </w:r>
    </w:p>
    <w:p w:rsidR="00197E46"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18</w:t>
      </w:r>
      <w:r w:rsidRPr="00E24C37">
        <w:rPr>
          <w:noProof/>
        </w:rPr>
        <w:fldChar w:fldCharType="end"/>
      </w:r>
      <w:r w:rsidR="008B4F4C" w:rsidRPr="00E24C37">
        <w:t>.  </w:t>
      </w:r>
      <w:r w:rsidR="00900C39" w:rsidRPr="00E24C37">
        <w:t>On 9 September 2009 the</w:t>
      </w:r>
      <w:r w:rsidR="008B4F4C" w:rsidRPr="00E24C37">
        <w:t xml:space="preserve"> applicant was informed </w:t>
      </w:r>
      <w:r w:rsidR="00900C39" w:rsidRPr="00E24C37">
        <w:t>that a report had been commissioned</w:t>
      </w:r>
      <w:r w:rsidR="009E34C4" w:rsidRPr="00E24C37">
        <w:t xml:space="preserve"> from a </w:t>
      </w:r>
      <w:r w:rsidR="00D54BB1" w:rsidRPr="00E24C37">
        <w:t xml:space="preserve">criminal forensics </w:t>
      </w:r>
      <w:r w:rsidR="009E34C4" w:rsidRPr="00E24C37">
        <w:t>expert</w:t>
      </w:r>
      <w:r w:rsidR="00900C39" w:rsidRPr="00E24C37">
        <w:t xml:space="preserve"> to determine whether the data </w:t>
      </w:r>
      <w:r w:rsidR="00251A7A" w:rsidRPr="00E24C37">
        <w:t>copied</w:t>
      </w:r>
      <w:r w:rsidR="00900C39" w:rsidRPr="00E24C37">
        <w:t xml:space="preserve"> from </w:t>
      </w:r>
      <w:r w:rsidR="00D54BB1" w:rsidRPr="00E24C37">
        <w:t xml:space="preserve">his </w:t>
      </w:r>
      <w:r w:rsidR="00251A7A" w:rsidRPr="00E24C37">
        <w:t>laptop</w:t>
      </w:r>
      <w:r w:rsidR="00900C39" w:rsidRPr="00E24C37">
        <w:t xml:space="preserve"> had any prohibited </w:t>
      </w:r>
      <w:r w:rsidR="008B4F4C" w:rsidRPr="00E24C37">
        <w:t>“</w:t>
      </w:r>
      <w:r w:rsidR="00900C39" w:rsidRPr="00E24C37">
        <w:t>extremist</w:t>
      </w:r>
      <w:r w:rsidR="008B4F4C" w:rsidRPr="00E24C37">
        <w:t>”</w:t>
      </w:r>
      <w:r w:rsidR="00900C39" w:rsidRPr="00E24C37">
        <w:t xml:space="preserve"> content.</w:t>
      </w:r>
    </w:p>
    <w:p w:rsidR="00C359E4"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19</w:t>
      </w:r>
      <w:r w:rsidRPr="00E24C37">
        <w:rPr>
          <w:noProof/>
        </w:rPr>
        <w:fldChar w:fldCharType="end"/>
      </w:r>
      <w:r w:rsidR="00900C39" w:rsidRPr="00E24C37">
        <w:t>.  In November 2009 the expert</w:t>
      </w:r>
      <w:r w:rsidR="009E34C4" w:rsidRPr="00E24C37">
        <w:t xml:space="preserve"> organisation</w:t>
      </w:r>
      <w:r w:rsidR="00900C39" w:rsidRPr="00E24C37">
        <w:t xml:space="preserve"> returned the </w:t>
      </w:r>
      <w:r w:rsidR="00EF1CCC" w:rsidRPr="00E24C37">
        <w:t>DVDs</w:t>
      </w:r>
      <w:r w:rsidR="00900C39" w:rsidRPr="00E24C37">
        <w:t xml:space="preserve"> to the customs office, stating that it was not possible to carry out the examination</w:t>
      </w:r>
      <w:r w:rsidR="00CD232A" w:rsidRPr="00E24C37">
        <w:t xml:space="preserve">, although it </w:t>
      </w:r>
      <w:r w:rsidR="00900C39" w:rsidRPr="00E24C37">
        <w:t>g</w:t>
      </w:r>
      <w:r w:rsidR="00CD232A" w:rsidRPr="00E24C37">
        <w:t>a</w:t>
      </w:r>
      <w:r w:rsidR="00900C39" w:rsidRPr="00E24C37">
        <w:t>v</w:t>
      </w:r>
      <w:r w:rsidR="00CD232A" w:rsidRPr="00E24C37">
        <w:t>e</w:t>
      </w:r>
      <w:r w:rsidR="00900C39" w:rsidRPr="00E24C37">
        <w:t xml:space="preserve"> no reasons.</w:t>
      </w:r>
      <w:r w:rsidR="009E34C4" w:rsidRPr="00E24C37">
        <w:t xml:space="preserve"> In December 2009 a report was sought from another expert organi</w:t>
      </w:r>
      <w:r w:rsidR="00D54BB1" w:rsidRPr="00E24C37">
        <w:t>s</w:t>
      </w:r>
      <w:r w:rsidR="009E34C4" w:rsidRPr="00E24C37">
        <w:t>ation. Apparently, it concluded that the data contained no extremist material.</w:t>
      </w:r>
      <w:r w:rsidR="00C359E4" w:rsidRPr="00E24C37">
        <w:t xml:space="preserve"> According to the applicant, the DVDs with his data were handed over to him</w:t>
      </w:r>
      <w:r w:rsidR="00CD232A" w:rsidRPr="00E24C37">
        <w:t xml:space="preserve"> in November 2011</w:t>
      </w:r>
      <w:r w:rsidR="00C359E4" w:rsidRPr="00E24C37">
        <w:t>.</w:t>
      </w:r>
    </w:p>
    <w:p w:rsidR="006B63B6" w:rsidRPr="00E24C37" w:rsidRDefault="006B63B6" w:rsidP="00E24C37">
      <w:pPr>
        <w:pStyle w:val="ECHRHeading2"/>
      </w:pPr>
      <w:r w:rsidRPr="00E24C37">
        <w:t>B.  Judicial review</w:t>
      </w:r>
    </w:p>
    <w:p w:rsidR="00900C39"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20</w:t>
      </w:r>
      <w:r w:rsidRPr="00E24C37">
        <w:rPr>
          <w:noProof/>
        </w:rPr>
        <w:fldChar w:fldCharType="end"/>
      </w:r>
      <w:r w:rsidR="00900C39" w:rsidRPr="00E24C37">
        <w:t>.  </w:t>
      </w:r>
      <w:r w:rsidR="00C359E4" w:rsidRPr="00E24C37">
        <w:t>In the meantime, t</w:t>
      </w:r>
      <w:r w:rsidR="00900C39" w:rsidRPr="00E24C37">
        <w:t xml:space="preserve">he applicant brought </w:t>
      </w:r>
      <w:r w:rsidR="00884324" w:rsidRPr="00E24C37">
        <w:t>judicial</w:t>
      </w:r>
      <w:r w:rsidR="00CD232A" w:rsidRPr="00E24C37">
        <w:t xml:space="preserve"> </w:t>
      </w:r>
      <w:r w:rsidR="00884324" w:rsidRPr="00E24C37">
        <w:t>review p</w:t>
      </w:r>
      <w:r w:rsidR="00900C39" w:rsidRPr="00E24C37">
        <w:t xml:space="preserve">roceedings </w:t>
      </w:r>
      <w:r w:rsidR="00884324" w:rsidRPr="00E24C37">
        <w:t>under Chapter 25 of the Code of Civil Procedure</w:t>
      </w:r>
      <w:r w:rsidR="001D0135" w:rsidRPr="00E24C37">
        <w:t xml:space="preserve"> (“CCP”)</w:t>
      </w:r>
      <w:r w:rsidR="00884324" w:rsidRPr="00E24C37">
        <w:t xml:space="preserve">, </w:t>
      </w:r>
      <w:r w:rsidR="00900C39" w:rsidRPr="00E24C37">
        <w:t>challenging the</w:t>
      </w:r>
      <w:r w:rsidR="00CC61E4" w:rsidRPr="00E24C37">
        <w:t xml:space="preserve"> adverse</w:t>
      </w:r>
      <w:r w:rsidR="00884324" w:rsidRPr="00E24C37">
        <w:t xml:space="preserve"> acts and</w:t>
      </w:r>
      <w:r w:rsidR="00900C39" w:rsidRPr="00E24C37">
        <w:t xml:space="preserve"> actions </w:t>
      </w:r>
      <w:r w:rsidR="00884324" w:rsidRPr="00E24C37">
        <w:t>of the customs officials.</w:t>
      </w:r>
    </w:p>
    <w:bookmarkStart w:id="8" w:name="trialjudgment"/>
    <w:p w:rsidR="00197E46" w:rsidRPr="00E24C37" w:rsidRDefault="00431DB8" w:rsidP="00E24C37">
      <w:pPr>
        <w:pStyle w:val="ECHRPara"/>
      </w:pPr>
      <w:r w:rsidRPr="00E24C37">
        <w:fldChar w:fldCharType="begin"/>
      </w:r>
      <w:r w:rsidRPr="00E24C37">
        <w:instrText xml:space="preserve"> SEQ level0 \*arabic </w:instrText>
      </w:r>
      <w:r w:rsidRPr="00E24C37">
        <w:fldChar w:fldCharType="separate"/>
      </w:r>
      <w:r w:rsidR="00B87844">
        <w:rPr>
          <w:noProof/>
        </w:rPr>
        <w:t>21</w:t>
      </w:r>
      <w:r w:rsidRPr="00E24C37">
        <w:rPr>
          <w:noProof/>
        </w:rPr>
        <w:fldChar w:fldCharType="end"/>
      </w:r>
      <w:bookmarkEnd w:id="8"/>
      <w:r w:rsidR="00900C39" w:rsidRPr="00E24C37">
        <w:t>.  By a judgment of 25 January 2010 the Prikubanskiy District Court of Krasnodar dismissed his claims. The court held as follows:</w:t>
      </w:r>
    </w:p>
    <w:p w:rsidR="00900C39" w:rsidRPr="00E24C37" w:rsidRDefault="00900C39" w:rsidP="00E24C37">
      <w:pPr>
        <w:pStyle w:val="ECHRParaQuote"/>
      </w:pPr>
      <w:r w:rsidRPr="00E24C37">
        <w:t xml:space="preserve">“Laptops, storage devices, </w:t>
      </w:r>
      <w:r w:rsidR="00CC61E4" w:rsidRPr="00E24C37">
        <w:t xml:space="preserve">photo- </w:t>
      </w:r>
      <w:r w:rsidRPr="00E24C37">
        <w:t>and video</w:t>
      </w:r>
      <w:r w:rsidR="00CC61E4" w:rsidRPr="00E24C37">
        <w:t>-</w:t>
      </w:r>
      <w:r w:rsidRPr="00E24C37">
        <w:t xml:space="preserve">cameras should be considered as </w:t>
      </w:r>
      <w:r w:rsidR="00E24C37" w:rsidRPr="00E24C37">
        <w:t>‘</w:t>
      </w:r>
      <w:r w:rsidRPr="00E24C37">
        <w:t>goods</w:t>
      </w:r>
      <w:r w:rsidR="00E24C37" w:rsidRPr="00E24C37">
        <w:t>’</w:t>
      </w:r>
      <w:r w:rsidRPr="00E24C37">
        <w:t xml:space="preserve"> within the meaning of Article 11 of the Customs Code. All goods should be presented for checking by customs, as required under Article 14 of the Code </w:t>
      </w:r>
      <w:r w:rsidR="00197E46" w:rsidRPr="00E24C37">
        <w:t>...</w:t>
      </w:r>
      <w:r w:rsidRPr="00E24C37">
        <w:t xml:space="preserve"> The customs authorities are authorised to take samples of goods for examination </w:t>
      </w:r>
      <w:r w:rsidR="00197E46" w:rsidRPr="00E24C37">
        <w:t>...</w:t>
      </w:r>
      <w:r w:rsidRPr="00E24C37">
        <w:t xml:space="preserve"> and to use technical devices to speed up the checks </w:t>
      </w:r>
      <w:r w:rsidR="00197E46" w:rsidRPr="00E24C37">
        <w:t>...</w:t>
      </w:r>
      <w:r w:rsidRPr="00E24C37">
        <w:t xml:space="preserve"> The data from the applicant</w:t>
      </w:r>
      <w:r w:rsidR="00E24C37" w:rsidRPr="00E24C37">
        <w:t>’</w:t>
      </w:r>
      <w:r w:rsidRPr="00E24C37">
        <w:t>s laptop w</w:t>
      </w:r>
      <w:r w:rsidR="004D7A5E" w:rsidRPr="00E24C37">
        <w:t>as</w:t>
      </w:r>
      <w:r w:rsidRPr="00E24C37">
        <w:t xml:space="preserve"> copied for the purpose</w:t>
      </w:r>
      <w:r w:rsidR="00CD232A" w:rsidRPr="00E24C37">
        <w:t>s</w:t>
      </w:r>
      <w:r w:rsidRPr="00E24C37">
        <w:t xml:space="preserve"> of examination in compliance with Presidential Decree no. 310 on combating fascism and political extremism </w:t>
      </w:r>
      <w:r w:rsidR="00197E46" w:rsidRPr="00E24C37">
        <w:t>...</w:t>
      </w:r>
      <w:r w:rsidRPr="00E24C37">
        <w:t xml:space="preserve"> In the circumstances, the fact that the samples taken for examination constituted all the relevant data was justified </w:t>
      </w:r>
      <w:r w:rsidR="00197E46" w:rsidRPr="00E24C37">
        <w:t>...</w:t>
      </w:r>
      <w:r w:rsidRPr="00E24C37">
        <w:t>”</w:t>
      </w:r>
    </w:p>
    <w:p w:rsidR="003220F6" w:rsidRPr="00E24C37" w:rsidRDefault="004B1E2C" w:rsidP="00E24C37">
      <w:pPr>
        <w:pStyle w:val="ECHRPara"/>
      </w:pPr>
      <w:r w:rsidRPr="00E24C37">
        <w:lastRenderedPageBreak/>
        <w:fldChar w:fldCharType="begin"/>
      </w:r>
      <w:r w:rsidRPr="00E24C37">
        <w:instrText xml:space="preserve"> SEQ level0 \*arabic </w:instrText>
      </w:r>
      <w:r w:rsidRPr="00E24C37">
        <w:fldChar w:fldCharType="separate"/>
      </w:r>
      <w:r w:rsidR="00B87844">
        <w:rPr>
          <w:noProof/>
        </w:rPr>
        <w:t>22</w:t>
      </w:r>
      <w:r w:rsidRPr="00E24C37">
        <w:rPr>
          <w:noProof/>
        </w:rPr>
        <w:fldChar w:fldCharType="end"/>
      </w:r>
      <w:r w:rsidR="003220F6" w:rsidRPr="00E24C37">
        <w:t xml:space="preserve">.  The applicant appealed, arguing, </w:t>
      </w:r>
      <w:r w:rsidR="003220F6" w:rsidRPr="00E24C37">
        <w:rPr>
          <w:i/>
        </w:rPr>
        <w:t>inter alia</w:t>
      </w:r>
      <w:r w:rsidR="003220F6" w:rsidRPr="00E24C37">
        <w:t>, that the first-instance court</w:t>
      </w:r>
      <w:r w:rsidR="00E24C37" w:rsidRPr="00E24C37">
        <w:t>’</w:t>
      </w:r>
      <w:r w:rsidR="00CD232A" w:rsidRPr="00E24C37">
        <w:t xml:space="preserve">s </w:t>
      </w:r>
      <w:r w:rsidR="003220F6" w:rsidRPr="00E24C37">
        <w:t xml:space="preserve">assessment </w:t>
      </w:r>
      <w:r w:rsidR="00CD232A" w:rsidRPr="00E24C37">
        <w:t xml:space="preserve">had not </w:t>
      </w:r>
      <w:r w:rsidR="003220F6" w:rsidRPr="00E24C37">
        <w:t>tak</w:t>
      </w:r>
      <w:r w:rsidR="00CD232A" w:rsidRPr="00E24C37">
        <w:t>e</w:t>
      </w:r>
      <w:r w:rsidR="003220F6" w:rsidRPr="00E24C37">
        <w:t>n</w:t>
      </w:r>
      <w:r w:rsidR="00CD232A" w:rsidRPr="00E24C37">
        <w:t xml:space="preserve"> </w:t>
      </w:r>
      <w:r w:rsidR="003220F6" w:rsidRPr="00E24C37">
        <w:t>into account the requirements relating to Articles 8 and 10 of the European Convention, in particular</w:t>
      </w:r>
      <w:r w:rsidR="00D54BB1" w:rsidRPr="00E24C37">
        <w:t>,</w:t>
      </w:r>
      <w:r w:rsidR="003220F6" w:rsidRPr="00E24C37">
        <w:t xml:space="preserve"> the requirement that any interference by a public authority had to be shown </w:t>
      </w:r>
      <w:r w:rsidR="00CD232A" w:rsidRPr="00E24C37">
        <w:t xml:space="preserve">to be </w:t>
      </w:r>
      <w:r w:rsidR="003220F6" w:rsidRPr="00E24C37">
        <w:t>“necessary in a democratic society” and proportionate to the legitimate aims pursued. He mentioned the Court</w:t>
      </w:r>
      <w:r w:rsidR="00E24C37" w:rsidRPr="00E24C37">
        <w:t>’</w:t>
      </w:r>
      <w:r w:rsidR="003220F6" w:rsidRPr="00E24C37">
        <w:t xml:space="preserve">s case-law relating to the seizure of printed material and electronic devices, </w:t>
      </w:r>
      <w:r w:rsidR="0023321B" w:rsidRPr="00E24C37">
        <w:t xml:space="preserve">an </w:t>
      </w:r>
      <w:r w:rsidR="008B4F4C" w:rsidRPr="00E24C37">
        <w:t>action</w:t>
      </w:r>
      <w:r w:rsidR="003220F6" w:rsidRPr="00E24C37">
        <w:t xml:space="preserve"> </w:t>
      </w:r>
      <w:r w:rsidR="0023321B" w:rsidRPr="00E24C37">
        <w:t xml:space="preserve">which </w:t>
      </w:r>
      <w:r w:rsidR="003220F6" w:rsidRPr="00E24C37">
        <w:t>adversely affect</w:t>
      </w:r>
      <w:r w:rsidR="0023321B" w:rsidRPr="00E24C37">
        <w:t>s</w:t>
      </w:r>
      <w:r w:rsidR="003220F6" w:rsidRPr="00E24C37">
        <w:t xml:space="preserve"> </w:t>
      </w:r>
      <w:r w:rsidR="0023321B" w:rsidRPr="00E24C37">
        <w:t xml:space="preserve">the maintenance of </w:t>
      </w:r>
      <w:r w:rsidR="003220F6" w:rsidRPr="00E24C37">
        <w:t>professional secrecy. The applicant also argued as follows:</w:t>
      </w:r>
    </w:p>
    <w:p w:rsidR="003220F6" w:rsidRPr="00E24C37" w:rsidRDefault="003220F6" w:rsidP="00E24C37">
      <w:pPr>
        <w:pStyle w:val="ECHRPara"/>
      </w:pPr>
      <w:r w:rsidRPr="00E24C37">
        <w:t>(a)  </w:t>
      </w:r>
      <w:r w:rsidR="003928C3" w:rsidRPr="00E24C37">
        <w:t xml:space="preserve">Compliance with Decree no. 310 was not possible without actually reading </w:t>
      </w:r>
      <w:r w:rsidR="0023321B" w:rsidRPr="00E24C37">
        <w:t>some</w:t>
      </w:r>
      <w:r w:rsidR="003928C3" w:rsidRPr="00E24C37">
        <w:t>one</w:t>
      </w:r>
      <w:r w:rsidR="00E24C37" w:rsidRPr="00E24C37">
        <w:t>’</w:t>
      </w:r>
      <w:r w:rsidR="003928C3" w:rsidRPr="00E24C37">
        <w:t xml:space="preserve">s correspondence and other personal information, thereby interfering with </w:t>
      </w:r>
      <w:r w:rsidR="0023321B" w:rsidRPr="00E24C37">
        <w:t xml:space="preserve">the </w:t>
      </w:r>
      <w:r w:rsidR="003928C3" w:rsidRPr="00E24C37">
        <w:t xml:space="preserve">constitutional right to the protection of the secrecy of correspondence and other communications. Article 55 of the Constitution only permitted restrictions on </w:t>
      </w:r>
      <w:r w:rsidR="0023321B" w:rsidRPr="00E24C37">
        <w:t>people</w:t>
      </w:r>
      <w:r w:rsidR="00E24C37" w:rsidRPr="00E24C37">
        <w:t>’</w:t>
      </w:r>
      <w:r w:rsidR="0023321B" w:rsidRPr="00E24C37">
        <w:t xml:space="preserve">s </w:t>
      </w:r>
      <w:r w:rsidR="003928C3" w:rsidRPr="00E24C37">
        <w:t>rights on the basis of a federal statute; the de</w:t>
      </w:r>
      <w:r w:rsidR="001379D6" w:rsidRPr="00E24C37">
        <w:t xml:space="preserve">cree in question was </w:t>
      </w:r>
      <w:r w:rsidR="003928C3" w:rsidRPr="00E24C37">
        <w:t>secondary legislation (</w:t>
      </w:r>
      <w:r w:rsidR="003928C3" w:rsidRPr="00E24C37">
        <w:rPr>
          <w:i/>
          <w:lang w:val="ru-RU"/>
        </w:rPr>
        <w:t>подзаконный</w:t>
      </w:r>
      <w:r w:rsidR="003928C3" w:rsidRPr="00E24C37">
        <w:rPr>
          <w:i/>
        </w:rPr>
        <w:t xml:space="preserve"> </w:t>
      </w:r>
      <w:r w:rsidR="003928C3" w:rsidRPr="00E24C37">
        <w:rPr>
          <w:i/>
          <w:lang w:val="ru-RU"/>
        </w:rPr>
        <w:t>акт</w:t>
      </w:r>
      <w:r w:rsidR="003928C3" w:rsidRPr="00E24C37">
        <w:t>) and could not lawfully introduce additional limitations o</w:t>
      </w:r>
      <w:r w:rsidR="0023321B" w:rsidRPr="00E24C37">
        <w:t>n</w:t>
      </w:r>
      <w:r w:rsidR="003928C3" w:rsidRPr="00E24C37">
        <w:t xml:space="preserve"> constitutional rights;</w:t>
      </w:r>
    </w:p>
    <w:p w:rsidR="003928C3" w:rsidRPr="00E24C37" w:rsidRDefault="003928C3" w:rsidP="00E24C37">
      <w:pPr>
        <w:pStyle w:val="ECHRPara"/>
      </w:pPr>
      <w:r w:rsidRPr="00E24C37">
        <w:t xml:space="preserve">(b)  The trial court </w:t>
      </w:r>
      <w:r w:rsidR="0023321B" w:rsidRPr="00E24C37">
        <w:t xml:space="preserve">had </w:t>
      </w:r>
      <w:r w:rsidRPr="00E24C37">
        <w:t xml:space="preserve">mentioned that </w:t>
      </w:r>
      <w:r w:rsidR="0023321B" w:rsidRPr="00E24C37">
        <w:t xml:space="preserve">laptops, flash memory cards and the like were “goods” </w:t>
      </w:r>
      <w:r w:rsidRPr="00E24C37">
        <w:t>for the purpose</w:t>
      </w:r>
      <w:r w:rsidR="0023321B" w:rsidRPr="00E24C37">
        <w:t>s</w:t>
      </w:r>
      <w:r w:rsidRPr="00E24C37">
        <w:t xml:space="preserve"> of customs legislation. However, the sampling </w:t>
      </w:r>
      <w:r w:rsidR="0023321B" w:rsidRPr="00E24C37">
        <w:t xml:space="preserve">had been </w:t>
      </w:r>
      <w:r w:rsidRPr="00E24C37">
        <w:t xml:space="preserve">carried out in respect of the information </w:t>
      </w:r>
      <w:r w:rsidR="0023321B" w:rsidRPr="00E24C37">
        <w:t xml:space="preserve">they contained </w:t>
      </w:r>
      <w:r w:rsidRPr="00E24C37">
        <w:t xml:space="preserve">rather than </w:t>
      </w:r>
      <w:r w:rsidR="0023321B" w:rsidRPr="00E24C37">
        <w:t xml:space="preserve">the </w:t>
      </w:r>
      <w:r w:rsidRPr="00E24C37">
        <w:t>carrier</w:t>
      </w:r>
      <w:r w:rsidR="0023321B" w:rsidRPr="00E24C37">
        <w:t>s</w:t>
      </w:r>
      <w:r w:rsidR="00D54BB1" w:rsidRPr="00E24C37">
        <w:t xml:space="preserve"> or </w:t>
      </w:r>
      <w:r w:rsidRPr="00E24C37">
        <w:t>container</w:t>
      </w:r>
      <w:r w:rsidR="0023321B" w:rsidRPr="00E24C37">
        <w:t>s</w:t>
      </w:r>
      <w:r w:rsidRPr="00E24C37">
        <w:t xml:space="preserve"> </w:t>
      </w:r>
      <w:r w:rsidR="0023321B" w:rsidRPr="00E24C37">
        <w:t xml:space="preserve">of the information </w:t>
      </w:r>
      <w:r w:rsidRPr="00E24C37">
        <w:t>(“the goods”). Access to th</w:t>
      </w:r>
      <w:r w:rsidR="0023321B" w:rsidRPr="00E24C37">
        <w:t>at</w:t>
      </w:r>
      <w:r w:rsidRPr="00E24C37">
        <w:t xml:space="preserve"> information, however, </w:t>
      </w:r>
      <w:r w:rsidR="0023321B" w:rsidRPr="00E24C37">
        <w:t>wa</w:t>
      </w:r>
      <w:r w:rsidRPr="00E24C37">
        <w:t>s only allow</w:t>
      </w:r>
      <w:r w:rsidR="0023321B" w:rsidRPr="00E24C37">
        <w:t xml:space="preserve">ed </w:t>
      </w:r>
      <w:r w:rsidRPr="00E24C37">
        <w:t>on the basis of a court order, as stated in</w:t>
      </w:r>
      <w:r w:rsidR="00D03F4C" w:rsidRPr="00E24C37">
        <w:t xml:space="preserve"> Article 23 of the Constitution;</w:t>
      </w:r>
    </w:p>
    <w:p w:rsidR="00197E46" w:rsidRPr="00E24C37" w:rsidRDefault="00134A12" w:rsidP="00E24C37">
      <w:pPr>
        <w:pStyle w:val="ECHRPara"/>
      </w:pPr>
      <w:r w:rsidRPr="00E24C37">
        <w:t>(c)  In his “written explanations” to the appeal court</w:t>
      </w:r>
      <w:r w:rsidR="00D54BB1" w:rsidRPr="00E24C37">
        <w:t>,</w:t>
      </w:r>
      <w:r w:rsidRPr="00E24C37">
        <w:t xml:space="preserve"> the applicant insisted that in Chapter 25 proceedings a public authority had the burden of proving that its acts were lawful and justified. However, the first-instance </w:t>
      </w:r>
      <w:r w:rsidR="00A0435D" w:rsidRPr="00E24C37">
        <w:t xml:space="preserve">court </w:t>
      </w:r>
      <w:r w:rsidR="0023321B" w:rsidRPr="00E24C37">
        <w:t xml:space="preserve">had </w:t>
      </w:r>
      <w:r w:rsidRPr="00E24C37">
        <w:t>not require</w:t>
      </w:r>
      <w:r w:rsidR="0023321B" w:rsidRPr="00E24C37">
        <w:t>d</w:t>
      </w:r>
      <w:r w:rsidRPr="00E24C37">
        <w:t xml:space="preserve"> the customs authority to cite a specific legal provision authorising its officials to examine electronic data. According to the applicant, the customs authority </w:t>
      </w:r>
      <w:r w:rsidR="00A0435D" w:rsidRPr="00E24C37">
        <w:t xml:space="preserve">representative </w:t>
      </w:r>
      <w:r w:rsidR="0023321B" w:rsidRPr="00E24C37">
        <w:t xml:space="preserve">had </w:t>
      </w:r>
      <w:r w:rsidRPr="00E24C37">
        <w:t xml:space="preserve">refused </w:t>
      </w:r>
      <w:r w:rsidR="0023321B" w:rsidRPr="00E24C37">
        <w:t xml:space="preserve">at the hearing </w:t>
      </w:r>
      <w:r w:rsidRPr="00E24C37">
        <w:t xml:space="preserve">to explain the specific content of the risk profile concerning the applicant, referring </w:t>
      </w:r>
      <w:r w:rsidR="0023321B" w:rsidRPr="00E24C37">
        <w:t xml:space="preserve">to the fact </w:t>
      </w:r>
      <w:r w:rsidRPr="00E24C37">
        <w:t xml:space="preserve">that the information </w:t>
      </w:r>
      <w:r w:rsidR="0023321B" w:rsidRPr="00E24C37">
        <w:t xml:space="preserve">in question </w:t>
      </w:r>
      <w:r w:rsidRPr="00E24C37">
        <w:t xml:space="preserve">was classified </w:t>
      </w:r>
      <w:r w:rsidR="0023321B" w:rsidRPr="00E24C37">
        <w:t xml:space="preserve">and was </w:t>
      </w:r>
      <w:r w:rsidRPr="00E24C37">
        <w:t xml:space="preserve">for internal use only. However, a 2004 Instruction </w:t>
      </w:r>
      <w:r w:rsidR="0023321B" w:rsidRPr="00E24C37">
        <w:t xml:space="preserve">by </w:t>
      </w:r>
      <w:r w:rsidRPr="00E24C37">
        <w:t xml:space="preserve">the Federal Customs Authority only authorised a customs inspection where the risk profile </w:t>
      </w:r>
      <w:r w:rsidR="0023321B" w:rsidRPr="00E24C37">
        <w:t xml:space="preserve">in question </w:t>
      </w:r>
      <w:r w:rsidRPr="00E24C37">
        <w:t>provided for th</w:t>
      </w:r>
      <w:r w:rsidR="0023321B" w:rsidRPr="00E24C37">
        <w:t>at</w:t>
      </w:r>
      <w:r w:rsidRPr="00E24C37">
        <w:t xml:space="preserve"> type of measure (see also paragraph </w:t>
      </w:r>
      <w:r w:rsidRPr="00E24C37">
        <w:fldChar w:fldCharType="begin"/>
      </w:r>
      <w:r w:rsidRPr="00E24C37">
        <w:instrText xml:space="preserve"> REF  instruction2008 \h </w:instrText>
      </w:r>
      <w:r w:rsidRPr="00E24C37">
        <w:fldChar w:fldCharType="separate"/>
      </w:r>
      <w:r w:rsidR="00B87844">
        <w:rPr>
          <w:noProof/>
        </w:rPr>
        <w:t>37</w:t>
      </w:r>
      <w:r w:rsidRPr="00E24C37">
        <w:fldChar w:fldCharType="end"/>
      </w:r>
      <w:r w:rsidRPr="00E24C37">
        <w:t xml:space="preserve"> below).</w:t>
      </w:r>
    </w:p>
    <w:bookmarkStart w:id="9" w:name="appealjudgment"/>
    <w:p w:rsidR="00900C39" w:rsidRPr="00E24C37" w:rsidRDefault="00431DB8" w:rsidP="00E24C37">
      <w:pPr>
        <w:pStyle w:val="ECHRPara"/>
      </w:pPr>
      <w:r w:rsidRPr="00E24C37">
        <w:fldChar w:fldCharType="begin"/>
      </w:r>
      <w:r w:rsidRPr="00E24C37">
        <w:instrText xml:space="preserve"> SEQ level0 \*arabic </w:instrText>
      </w:r>
      <w:r w:rsidRPr="00E24C37">
        <w:fldChar w:fldCharType="separate"/>
      </w:r>
      <w:r w:rsidR="00B87844">
        <w:rPr>
          <w:noProof/>
        </w:rPr>
        <w:t>23</w:t>
      </w:r>
      <w:r w:rsidRPr="00E24C37">
        <w:rPr>
          <w:noProof/>
        </w:rPr>
        <w:fldChar w:fldCharType="end"/>
      </w:r>
      <w:bookmarkEnd w:id="9"/>
      <w:r w:rsidR="00900C39" w:rsidRPr="00E24C37">
        <w:t>.  On 22 April 2010 the Krasnodar Regional Court upheld th</w:t>
      </w:r>
      <w:r w:rsidR="0023321B" w:rsidRPr="00E24C37">
        <w:t>e</w:t>
      </w:r>
      <w:r w:rsidR="00900C39" w:rsidRPr="00E24C37">
        <w:t xml:space="preserve"> judgment,</w:t>
      </w:r>
      <w:r w:rsidR="00BD5E99" w:rsidRPr="00E24C37">
        <w:t xml:space="preserve"> essentially</w:t>
      </w:r>
      <w:r w:rsidR="00900C39" w:rsidRPr="00E24C37">
        <w:t xml:space="preserve"> </w:t>
      </w:r>
      <w:r w:rsidR="00BD5E99" w:rsidRPr="00E24C37">
        <w:t>reproducing</w:t>
      </w:r>
      <w:r w:rsidR="002F7076" w:rsidRPr="00E24C37">
        <w:t xml:space="preserve"> the lower court</w:t>
      </w:r>
      <w:r w:rsidR="00E24C37" w:rsidRPr="00E24C37">
        <w:t>’</w:t>
      </w:r>
      <w:r w:rsidR="002F7076" w:rsidRPr="00E24C37">
        <w:t>s reasoning as follows:</w:t>
      </w:r>
    </w:p>
    <w:p w:rsidR="002F7076" w:rsidRPr="00E24C37" w:rsidRDefault="002F7076" w:rsidP="00E24C37">
      <w:pPr>
        <w:pStyle w:val="ECHRParaQuote"/>
      </w:pPr>
      <w:r w:rsidRPr="00E24C37">
        <w:t>“</w:t>
      </w:r>
      <w:r w:rsidR="008B1E80" w:rsidRPr="00E24C37">
        <w:t>Under</w:t>
      </w:r>
      <w:r w:rsidRPr="00E24C37">
        <w:t xml:space="preserve"> Articles 403 and 408 of the Customs Code, customs authorities fulfill </w:t>
      </w:r>
      <w:r w:rsidR="0023321B" w:rsidRPr="00E24C37">
        <w:t xml:space="preserve">the </w:t>
      </w:r>
      <w:r w:rsidRPr="00E24C37">
        <w:t>tasks and functions a</w:t>
      </w:r>
      <w:r w:rsidR="00A0435D" w:rsidRPr="00E24C37">
        <w:t xml:space="preserve">ssigned </w:t>
      </w:r>
      <w:r w:rsidRPr="00E24C37">
        <w:t xml:space="preserve">to them by federal </w:t>
      </w:r>
      <w:r w:rsidR="00A0435D" w:rsidRPr="00E24C37">
        <w:t xml:space="preserve">and other </w:t>
      </w:r>
      <w:r w:rsidRPr="00E24C37">
        <w:t xml:space="preserve">legislation </w:t>
      </w:r>
      <w:r w:rsidR="00197E46" w:rsidRPr="00E24C37">
        <w:t>...</w:t>
      </w:r>
      <w:r w:rsidRPr="00E24C37">
        <w:t xml:space="preserve"> and have </w:t>
      </w:r>
      <w:r w:rsidR="0023321B" w:rsidRPr="00E24C37">
        <w:t xml:space="preserve">the </w:t>
      </w:r>
      <w:r w:rsidRPr="00E24C37">
        <w:t xml:space="preserve">authority to apply measures prescribed by the Customs Code for ensuring compliance with customs legislation </w:t>
      </w:r>
      <w:r w:rsidR="00197E46" w:rsidRPr="00E24C37">
        <w:t>...</w:t>
      </w:r>
    </w:p>
    <w:p w:rsidR="002F7076" w:rsidRPr="00E24C37" w:rsidRDefault="002F7076" w:rsidP="00E24C37">
      <w:pPr>
        <w:pStyle w:val="ECHRParaQuote"/>
      </w:pPr>
      <w:r w:rsidRPr="00E24C37">
        <w:t>Article 11 of the Customs Code defines goods (for the purpose</w:t>
      </w:r>
      <w:r w:rsidR="0023321B" w:rsidRPr="00E24C37">
        <w:t>s</w:t>
      </w:r>
      <w:r w:rsidRPr="00E24C37">
        <w:t xml:space="preserve"> of customs legislation) as movable property which is </w:t>
      </w:r>
      <w:r w:rsidR="0023321B" w:rsidRPr="00E24C37">
        <w:t xml:space="preserve">being </w:t>
      </w:r>
      <w:r w:rsidRPr="00E24C37">
        <w:t xml:space="preserve">transferred </w:t>
      </w:r>
      <w:r w:rsidR="0023321B" w:rsidRPr="00E24C37">
        <w:t xml:space="preserve">across </w:t>
      </w:r>
      <w:r w:rsidRPr="00E24C37">
        <w:t xml:space="preserve">the customs border. This includes laptops, memory flash cards, photo-cameras, video-cameras, printed material and </w:t>
      </w:r>
      <w:r w:rsidR="00710124" w:rsidRPr="00E24C37">
        <w:t xml:space="preserve">the </w:t>
      </w:r>
      <w:r w:rsidRPr="00E24C37">
        <w:t xml:space="preserve">like. Article 14 of the Code provides that all such goods should be subject to customs clearance and customs control. Article 123 of the Code provides </w:t>
      </w:r>
      <w:r w:rsidRPr="00E24C37">
        <w:lastRenderedPageBreak/>
        <w:t xml:space="preserve">that goods should be declared when </w:t>
      </w:r>
      <w:r w:rsidR="00710124" w:rsidRPr="00E24C37">
        <w:t xml:space="preserve">being </w:t>
      </w:r>
      <w:r w:rsidRPr="00E24C37">
        <w:t xml:space="preserve">transferred </w:t>
      </w:r>
      <w:r w:rsidR="00710124" w:rsidRPr="00E24C37">
        <w:t>across</w:t>
      </w:r>
      <w:r w:rsidRPr="00E24C37">
        <w:t xml:space="preserve"> the customs border. Article 124 of the Code provides that </w:t>
      </w:r>
      <w:r w:rsidR="001A0950" w:rsidRPr="00E24C37">
        <w:t xml:space="preserve">the declaration is made by way of presenting a written declaration or otherwise </w:t>
      </w:r>
      <w:r w:rsidR="00197E46" w:rsidRPr="00E24C37">
        <w:t>...</w:t>
      </w:r>
      <w:r w:rsidR="001A0950" w:rsidRPr="00E24C37">
        <w:t xml:space="preserve"> The transfer of good</w:t>
      </w:r>
      <w:r w:rsidR="00431DB8" w:rsidRPr="00E24C37">
        <w:t>s</w:t>
      </w:r>
      <w:r w:rsidR="001A0950" w:rsidRPr="00E24C37">
        <w:t xml:space="preserve"> by individuals for personal </w:t>
      </w:r>
      <w:r w:rsidR="00A0435D" w:rsidRPr="00E24C37">
        <w:t>use</w:t>
      </w:r>
      <w:r w:rsidR="001A0950" w:rsidRPr="00E24C37">
        <w:t xml:space="preserve"> is prescribed by Chapter 23 of the Customs Code, </w:t>
      </w:r>
      <w:r w:rsidR="00710124" w:rsidRPr="00E24C37">
        <w:t xml:space="preserve">and </w:t>
      </w:r>
      <w:r w:rsidR="001A0950" w:rsidRPr="00E24C37">
        <w:t>Government decree no.</w:t>
      </w:r>
      <w:r w:rsidR="00F61957" w:rsidRPr="00E24C37">
        <w:t> </w:t>
      </w:r>
      <w:r w:rsidR="001A0950" w:rsidRPr="00E24C37">
        <w:t xml:space="preserve">715 of 27 November 2003 and no. 718 of 29 November 2003. Article 13 of the Code provides that goods which are prohibited </w:t>
      </w:r>
      <w:r w:rsidR="00431DB8" w:rsidRPr="00E24C37">
        <w:t>from</w:t>
      </w:r>
      <w:r w:rsidR="001A0950" w:rsidRPr="00E24C37">
        <w:t xml:space="preserve"> </w:t>
      </w:r>
      <w:r w:rsidR="00710124" w:rsidRPr="00E24C37">
        <w:t xml:space="preserve">being </w:t>
      </w:r>
      <w:r w:rsidR="001A0950" w:rsidRPr="00E24C37">
        <w:t>transfer</w:t>
      </w:r>
      <w:r w:rsidR="00710124" w:rsidRPr="00E24C37">
        <w:t>red</w:t>
      </w:r>
      <w:r w:rsidR="001A0950" w:rsidRPr="00E24C37">
        <w:t xml:space="preserve"> to Russia must be removed from </w:t>
      </w:r>
      <w:r w:rsidR="00253727" w:rsidRPr="00E24C37">
        <w:t>Russia</w:t>
      </w:r>
      <w:r w:rsidR="001A0950" w:rsidRPr="00E24C37">
        <w:t>.</w:t>
      </w:r>
    </w:p>
    <w:p w:rsidR="001A0950" w:rsidRPr="00E24C37" w:rsidRDefault="001A0950" w:rsidP="00E24C37">
      <w:pPr>
        <w:pStyle w:val="ECHRParaQuote"/>
      </w:pPr>
      <w:r w:rsidRPr="00E24C37">
        <w:t xml:space="preserve">By </w:t>
      </w:r>
      <w:r w:rsidR="00710124" w:rsidRPr="00E24C37">
        <w:t xml:space="preserve">a </w:t>
      </w:r>
      <w:r w:rsidRPr="00E24C37">
        <w:t xml:space="preserve">letter of 16 July 2008 the Federal Customs Authority listed the goods which are banned from Russian territory </w:t>
      </w:r>
      <w:r w:rsidR="00197E46" w:rsidRPr="00E24C37">
        <w:t>...</w:t>
      </w:r>
      <w:r w:rsidRPr="00E24C37">
        <w:t xml:space="preserve"> By </w:t>
      </w:r>
      <w:r w:rsidR="00710124" w:rsidRPr="00E24C37">
        <w:t xml:space="preserve">a </w:t>
      </w:r>
      <w:r w:rsidRPr="00E24C37">
        <w:t>letter of 3 May 2006 the Authority listed the goods that must be declared to customs.</w:t>
      </w:r>
    </w:p>
    <w:p w:rsidR="001A0950" w:rsidRPr="00E24C37" w:rsidRDefault="001A0950" w:rsidP="00E24C37">
      <w:pPr>
        <w:pStyle w:val="ECHRParaQuote"/>
      </w:pPr>
      <w:r w:rsidRPr="00E24C37">
        <w:t xml:space="preserve">The procedure for and </w:t>
      </w:r>
      <w:r w:rsidR="00710124" w:rsidRPr="00E24C37">
        <w:t xml:space="preserve">the </w:t>
      </w:r>
      <w:r w:rsidRPr="00E24C37">
        <w:t>type</w:t>
      </w:r>
      <w:r w:rsidR="00431DB8" w:rsidRPr="00E24C37">
        <w:t>s</w:t>
      </w:r>
      <w:r w:rsidRPr="00E24C37">
        <w:t xml:space="preserve"> of customs c</w:t>
      </w:r>
      <w:r w:rsidR="00A0435D" w:rsidRPr="00E24C37">
        <w:t>hecks</w:t>
      </w:r>
      <w:r w:rsidRPr="00E24C37">
        <w:t xml:space="preserve"> are described in Chapters 34-37 of the Code. Article 358 of the Code provides that customs c</w:t>
      </w:r>
      <w:r w:rsidR="00710124" w:rsidRPr="00E24C37">
        <w:t xml:space="preserve">hecks are </w:t>
      </w:r>
      <w:r w:rsidRPr="00E24C37">
        <w:t xml:space="preserve">based on the principle of selectiveness and, as a rule, should be limited to such forms of control </w:t>
      </w:r>
      <w:r w:rsidR="00710124" w:rsidRPr="00E24C37">
        <w:t>as</w:t>
      </w:r>
      <w:r w:rsidRPr="00E24C37">
        <w:t xml:space="preserve"> are sufficient for ensuring compliance with customs legislation </w:t>
      </w:r>
      <w:r w:rsidR="00197E46" w:rsidRPr="00E24C37">
        <w:t>...</w:t>
      </w:r>
      <w:r w:rsidRPr="00E24C37">
        <w:t xml:space="preserve"> When selecting the form of control</w:t>
      </w:r>
      <w:r w:rsidR="00710124" w:rsidRPr="00E24C37">
        <w:t>,</w:t>
      </w:r>
      <w:r w:rsidRPr="00E24C37">
        <w:t xml:space="preserve"> the risk management</w:t>
      </w:r>
      <w:r w:rsidR="00710124" w:rsidRPr="00E24C37">
        <w:t xml:space="preserve"> approach is applied</w:t>
      </w:r>
      <w:r w:rsidRPr="00E24C37">
        <w:t>, which is based on the effective use of re</w:t>
      </w:r>
      <w:r w:rsidR="00710124" w:rsidRPr="00E24C37">
        <w:t>s</w:t>
      </w:r>
      <w:r w:rsidRPr="00E24C37">
        <w:t>our</w:t>
      </w:r>
      <w:r w:rsidR="00710124" w:rsidRPr="00E24C37">
        <w:t>c</w:t>
      </w:r>
      <w:r w:rsidRPr="00E24C37">
        <w:t xml:space="preserve">es for preventing violations of the legislation </w:t>
      </w:r>
      <w:r w:rsidR="00197E46" w:rsidRPr="00E24C37">
        <w:t>...</w:t>
      </w:r>
      <w:r w:rsidRPr="00E24C37">
        <w:t xml:space="preserve"> </w:t>
      </w:r>
      <w:r w:rsidR="00710124" w:rsidRPr="00E24C37">
        <w:t>R</w:t>
      </w:r>
      <w:r w:rsidRPr="00E24C37">
        <w:t>isk is defined as a probability of non-compliance with customs legislation.</w:t>
      </w:r>
    </w:p>
    <w:p w:rsidR="001A0950" w:rsidRPr="00E24C37" w:rsidRDefault="001A0950" w:rsidP="00E24C37">
      <w:pPr>
        <w:pStyle w:val="ECHRParaQuote"/>
      </w:pPr>
      <w:r w:rsidRPr="00E24C37">
        <w:t xml:space="preserve">When carrying out </w:t>
      </w:r>
      <w:r w:rsidR="00710124" w:rsidRPr="00E24C37">
        <w:t>a</w:t>
      </w:r>
      <w:r w:rsidRPr="00E24C37">
        <w:t xml:space="preserve"> customs c</w:t>
      </w:r>
      <w:r w:rsidR="00710124" w:rsidRPr="00E24C37">
        <w:t>heck</w:t>
      </w:r>
      <w:r w:rsidRPr="00E24C37">
        <w:t>, the customs authority is allowed to take samples of goods which are</w:t>
      </w:r>
      <w:r w:rsidR="00F75C72" w:rsidRPr="00E24C37">
        <w:t xml:space="preserve"> needed</w:t>
      </w:r>
      <w:r w:rsidRPr="00E24C37">
        <w:t xml:space="preserve"> for further assessment. The relevant procedure is defined in Article 383 of the Code and Customs Authority order no</w:t>
      </w:r>
      <w:r w:rsidR="00710124" w:rsidRPr="00E24C37">
        <w:t>.</w:t>
      </w:r>
      <w:r w:rsidRPr="00E24C37">
        <w:t xml:space="preserve"> 1519 of 23</w:t>
      </w:r>
      <w:r w:rsidR="00F61957" w:rsidRPr="00E24C37">
        <w:t> </w:t>
      </w:r>
      <w:r w:rsidRPr="00E24C37">
        <w:t xml:space="preserve">December 2003. When carrying </w:t>
      </w:r>
      <w:r w:rsidR="00710124" w:rsidRPr="00E24C37">
        <w:t xml:space="preserve">out a </w:t>
      </w:r>
      <w:r w:rsidRPr="00E24C37">
        <w:t>customs c</w:t>
      </w:r>
      <w:r w:rsidR="00596F1A" w:rsidRPr="00E24C37">
        <w:t>heck</w:t>
      </w:r>
      <w:r w:rsidRPr="00E24C37">
        <w:t xml:space="preserve">, the authority is allowed to </w:t>
      </w:r>
      <w:r w:rsidR="00710124" w:rsidRPr="00E24C37">
        <w:t xml:space="preserve">use </w:t>
      </w:r>
      <w:r w:rsidRPr="00E24C37">
        <w:t>technical means</w:t>
      </w:r>
      <w:r w:rsidR="00710124" w:rsidRPr="00E24C37">
        <w:t xml:space="preserve"> to limit the time of such checks</w:t>
      </w:r>
      <w:r w:rsidRPr="00E24C37">
        <w:t>; the list and procedure</w:t>
      </w:r>
      <w:r w:rsidR="00710124" w:rsidRPr="00E24C37">
        <w:t>s for their</w:t>
      </w:r>
      <w:r w:rsidRPr="00E24C37">
        <w:t xml:space="preserve"> use are defined in Article 388 of the Code and </w:t>
      </w:r>
      <w:r w:rsidR="00596F1A" w:rsidRPr="00E24C37">
        <w:t xml:space="preserve">in </w:t>
      </w:r>
      <w:r w:rsidRPr="00E24C37">
        <w:t xml:space="preserve">Customs Authority order no. 1220 of 29 October 2003 </w:t>
      </w:r>
      <w:r w:rsidR="00197E46" w:rsidRPr="00E24C37">
        <w:t>...</w:t>
      </w:r>
    </w:p>
    <w:p w:rsidR="001A0950" w:rsidRPr="00E24C37" w:rsidRDefault="006C1792" w:rsidP="00E24C37">
      <w:pPr>
        <w:pStyle w:val="ECHRParaQuote"/>
      </w:pPr>
      <w:r w:rsidRPr="00E24C37">
        <w:t>Order no. 677 of 10 November 1995 by the Customs Authority (</w:t>
      </w:r>
      <w:r w:rsidR="00E24C37" w:rsidRPr="00E24C37">
        <w:t>‘</w:t>
      </w:r>
      <w:r w:rsidRPr="00E24C37">
        <w:t xml:space="preserve">On preventing </w:t>
      </w:r>
      <w:r w:rsidR="00710124" w:rsidRPr="00E24C37">
        <w:t xml:space="preserve">the </w:t>
      </w:r>
      <w:r w:rsidRPr="00E24C37">
        <w:t>transfer of prohibited printed, audio- and video-material</w:t>
      </w:r>
      <w:r w:rsidR="00710124" w:rsidRPr="00E24C37">
        <w:t xml:space="preserve"> across the customs border</w:t>
      </w:r>
      <w:r w:rsidR="00E24C37" w:rsidRPr="00E24C37">
        <w:t>’</w:t>
      </w:r>
      <w:r w:rsidRPr="00E24C37">
        <w:t>) does not contradict the current customs legislation and has not been revoked because the current Customs Code contains Article 13 concerning bans and limitations on the transfer of good</w:t>
      </w:r>
      <w:r w:rsidR="00596F1A" w:rsidRPr="00E24C37">
        <w:t>s</w:t>
      </w:r>
      <w:r w:rsidRPr="00E24C37">
        <w:t xml:space="preserve"> </w:t>
      </w:r>
      <w:r w:rsidR="00710124" w:rsidRPr="00E24C37">
        <w:t xml:space="preserve">across </w:t>
      </w:r>
      <w:r w:rsidRPr="00E24C37">
        <w:t xml:space="preserve">the customs border </w:t>
      </w:r>
      <w:r w:rsidR="00197E46" w:rsidRPr="00E24C37">
        <w:t>...</w:t>
      </w:r>
    </w:p>
    <w:p w:rsidR="006C1792" w:rsidRPr="00E24C37" w:rsidRDefault="006C1792" w:rsidP="00E24C37">
      <w:pPr>
        <w:pStyle w:val="ECHRParaQuote"/>
      </w:pPr>
      <w:r w:rsidRPr="00E24C37">
        <w:t>In view of the above, the court agrees with the first-instance court that the customs inspection was authori</w:t>
      </w:r>
      <w:r w:rsidR="00431DB8" w:rsidRPr="00E24C37">
        <w:t>s</w:t>
      </w:r>
      <w:r w:rsidRPr="00E24C37">
        <w:t>ed and carried out within customs control procedure</w:t>
      </w:r>
      <w:r w:rsidR="008B1E80" w:rsidRPr="00E24C37">
        <w:t>s</w:t>
      </w:r>
      <w:r w:rsidRPr="00E24C37">
        <w:t xml:space="preserve"> and </w:t>
      </w:r>
      <w:r w:rsidR="008B1E80" w:rsidRPr="00E24C37">
        <w:t xml:space="preserve">that </w:t>
      </w:r>
      <w:r w:rsidRPr="00E24C37">
        <w:t xml:space="preserve">the data was copied in line with Russian Presidential </w:t>
      </w:r>
      <w:r w:rsidR="00596F1A" w:rsidRPr="00E24C37">
        <w:t>D</w:t>
      </w:r>
      <w:r w:rsidRPr="00E24C37">
        <w:t>ecree no. 310 of 23</w:t>
      </w:r>
      <w:r w:rsidR="00F61957" w:rsidRPr="00E24C37">
        <w:t> </w:t>
      </w:r>
      <w:r w:rsidRPr="00E24C37">
        <w:t xml:space="preserve">March 1995 </w:t>
      </w:r>
      <w:r w:rsidR="00197E46" w:rsidRPr="00E24C37">
        <w:t>...</w:t>
      </w:r>
      <w:r w:rsidRPr="00E24C37">
        <w:t xml:space="preserve"> </w:t>
      </w:r>
      <w:r w:rsidR="00596F1A" w:rsidRPr="00E24C37">
        <w:t>Article</w:t>
      </w:r>
      <w:r w:rsidRPr="00E24C37">
        <w:t xml:space="preserve"> 2 of the decree </w:t>
      </w:r>
      <w:r w:rsidR="008B1E80" w:rsidRPr="00E24C37">
        <w:t>clearly</w:t>
      </w:r>
      <w:r w:rsidRPr="00E24C37">
        <w:t xml:space="preserve"> requires the customs authority to </w:t>
      </w:r>
      <w:r w:rsidR="00E24C37" w:rsidRPr="00E24C37">
        <w:t>‘</w:t>
      </w:r>
      <w:r w:rsidRPr="00E24C37">
        <w:t>arrest and bring to liability persons who disseminat</w:t>
      </w:r>
      <w:r w:rsidR="008B1E80" w:rsidRPr="00E24C37">
        <w:t>e</w:t>
      </w:r>
      <w:r w:rsidRPr="00E24C37">
        <w:t xml:space="preserve"> printed, cinematographic, audio-, photo- or video-materials which are aimed at </w:t>
      </w:r>
      <w:r w:rsidR="00596F1A" w:rsidRPr="00E24C37">
        <w:t xml:space="preserve">being </w:t>
      </w:r>
      <w:r w:rsidRPr="00E24C37">
        <w:t xml:space="preserve">propaganda </w:t>
      </w:r>
      <w:r w:rsidR="008B1E80" w:rsidRPr="00E24C37">
        <w:t xml:space="preserve">in favour of </w:t>
      </w:r>
      <w:r w:rsidRPr="00E24C37">
        <w:t xml:space="preserve">fascism, at inciting social, racial, ethnic or religious enmity; </w:t>
      </w:r>
      <w:r w:rsidR="008B1E80" w:rsidRPr="00E24C37">
        <w:t xml:space="preserve">and </w:t>
      </w:r>
      <w:r w:rsidRPr="00E24C37">
        <w:t>to take measures for seizing printed material of th</w:t>
      </w:r>
      <w:r w:rsidR="008B1E80" w:rsidRPr="00E24C37">
        <w:t>at</w:t>
      </w:r>
      <w:r w:rsidRPr="00E24C37">
        <w:t xml:space="preserve"> kind</w:t>
      </w:r>
      <w:r w:rsidR="00E24C37" w:rsidRPr="00E24C37">
        <w:t>’</w:t>
      </w:r>
      <w:r w:rsidRPr="00E24C37">
        <w:t xml:space="preserve"> </w:t>
      </w:r>
      <w:r w:rsidR="00197E46" w:rsidRPr="00E24C37">
        <w:t>...</w:t>
      </w:r>
    </w:p>
    <w:p w:rsidR="006C1792" w:rsidRPr="00E24C37" w:rsidRDefault="006C1792" w:rsidP="00E24C37">
      <w:pPr>
        <w:pStyle w:val="ECHRParaQuote"/>
      </w:pPr>
      <w:r w:rsidRPr="00E24C37">
        <w:t>Article 383 of the Code concerning the minimal amount of samples was complied with because the information taken for sampl</w:t>
      </w:r>
      <w:r w:rsidR="008B1E80" w:rsidRPr="00E24C37">
        <w:t>ing</w:t>
      </w:r>
      <w:r w:rsidRPr="00E24C37">
        <w:t xml:space="preserve"> was not homogenous. Thus when the samples were taken, it was necessary to take the full amount of information from the device </w:t>
      </w:r>
      <w:r w:rsidR="00197E46" w:rsidRPr="00E24C37">
        <w:t>...</w:t>
      </w:r>
    </w:p>
    <w:p w:rsidR="006C1792" w:rsidRPr="00E24C37" w:rsidRDefault="006C1792" w:rsidP="00E24C37">
      <w:pPr>
        <w:pStyle w:val="ECHRParaQuote"/>
      </w:pPr>
      <w:r w:rsidRPr="00E24C37">
        <w:t xml:space="preserve">In addition, it is noted that </w:t>
      </w:r>
      <w:r w:rsidR="008B1E80" w:rsidRPr="00E24C37">
        <w:t xml:space="preserve">under </w:t>
      </w:r>
      <w:r w:rsidRPr="00E24C37">
        <w:t>Article 10 of the Customs Code</w:t>
      </w:r>
      <w:r w:rsidR="008B1E80" w:rsidRPr="00E24C37">
        <w:t>,</w:t>
      </w:r>
      <w:r w:rsidRPr="00E24C37">
        <w:t xml:space="preserve"> information received by customs officials may be used exclusively for the purposes of customs legislation </w:t>
      </w:r>
      <w:r w:rsidR="00197E46" w:rsidRPr="00E24C37">
        <w:t>...</w:t>
      </w:r>
    </w:p>
    <w:p w:rsidR="002F7076" w:rsidRPr="00E24C37" w:rsidRDefault="008B1E80" w:rsidP="00E24C37">
      <w:pPr>
        <w:pStyle w:val="ECHRParaQuote"/>
      </w:pPr>
      <w:r w:rsidRPr="00E24C37">
        <w:t>C</w:t>
      </w:r>
      <w:r w:rsidR="006C1792" w:rsidRPr="00E24C37">
        <w:t>ustoms officials are not authori</w:t>
      </w:r>
      <w:r w:rsidRPr="00E24C37">
        <w:t>s</w:t>
      </w:r>
      <w:r w:rsidR="006C1792" w:rsidRPr="00E24C37">
        <w:t>e</w:t>
      </w:r>
      <w:r w:rsidR="00470B1D" w:rsidRPr="00E24C37">
        <w:t>d</w:t>
      </w:r>
      <w:r w:rsidR="006C1792" w:rsidRPr="00E24C37">
        <w:t xml:space="preserve"> to disclose th</w:t>
      </w:r>
      <w:r w:rsidRPr="00E24C37">
        <w:t>at</w:t>
      </w:r>
      <w:r w:rsidR="006C1792" w:rsidRPr="00E24C37">
        <w:t xml:space="preserve"> information or transfer it to third persons, except </w:t>
      </w:r>
      <w:r w:rsidRPr="00E24C37">
        <w:t xml:space="preserve">as set down in </w:t>
      </w:r>
      <w:r w:rsidR="006C1792" w:rsidRPr="00E24C37">
        <w:t xml:space="preserve">the Code or other legislation </w:t>
      </w:r>
      <w:r w:rsidR="00197E46" w:rsidRPr="00E24C37">
        <w:t>...</w:t>
      </w:r>
      <w:r w:rsidR="00382907" w:rsidRPr="00E24C37">
        <w:t>”</w:t>
      </w:r>
    </w:p>
    <w:p w:rsidR="00900C39" w:rsidRPr="00E24C37" w:rsidRDefault="004B1E2C" w:rsidP="00E24C37">
      <w:pPr>
        <w:pStyle w:val="ECHRPara"/>
      </w:pPr>
      <w:r w:rsidRPr="00E24C37">
        <w:lastRenderedPageBreak/>
        <w:fldChar w:fldCharType="begin"/>
      </w:r>
      <w:r w:rsidRPr="00E24C37">
        <w:instrText xml:space="preserve"> SEQ level0 \*arabic </w:instrText>
      </w:r>
      <w:r w:rsidRPr="00E24C37">
        <w:fldChar w:fldCharType="separate"/>
      </w:r>
      <w:r w:rsidR="00B87844">
        <w:rPr>
          <w:noProof/>
        </w:rPr>
        <w:t>24</w:t>
      </w:r>
      <w:r w:rsidRPr="00E24C37">
        <w:rPr>
          <w:noProof/>
        </w:rPr>
        <w:fldChar w:fldCharType="end"/>
      </w:r>
      <w:r w:rsidR="00900C39" w:rsidRPr="00E24C37">
        <w:t>.  The applicant does not appear to have been prosecuted subsequently in criminal, administrative or other proceedings in connection with the data</w:t>
      </w:r>
      <w:r w:rsidR="00251A7A" w:rsidRPr="00E24C37">
        <w:t xml:space="preserve"> obtained from his laptop </w:t>
      </w:r>
      <w:r w:rsidR="00900C39" w:rsidRPr="00E24C37">
        <w:t>by the customs authorities.</w:t>
      </w:r>
    </w:p>
    <w:p w:rsidR="00900C39" w:rsidRPr="00E24C37" w:rsidRDefault="00900C39" w:rsidP="00E24C37">
      <w:pPr>
        <w:pStyle w:val="ECHRHeading1"/>
      </w:pPr>
      <w:r w:rsidRPr="00E24C37">
        <w:t>II.  RELEVANT DOMESTIC LAW AND PRACTICE</w:t>
      </w:r>
    </w:p>
    <w:p w:rsidR="00900C39" w:rsidRPr="00E24C37" w:rsidRDefault="00900C39" w:rsidP="00E24C37">
      <w:pPr>
        <w:pStyle w:val="ECHRHeading2"/>
      </w:pPr>
      <w:r w:rsidRPr="00E24C37">
        <w:t>A.  Constitution of the Russian Federation</w:t>
      </w:r>
    </w:p>
    <w:bookmarkStart w:id="10" w:name="Contitutioncorrespondence"/>
    <w:p w:rsidR="00900C39" w:rsidRPr="00E24C37" w:rsidRDefault="00153427" w:rsidP="00E24C37">
      <w:pPr>
        <w:pStyle w:val="ECHRPara"/>
      </w:pPr>
      <w:r w:rsidRPr="00E24C37">
        <w:fldChar w:fldCharType="begin"/>
      </w:r>
      <w:r w:rsidRPr="00E24C37">
        <w:instrText xml:space="preserve"> SEQ level0 \*arabic </w:instrText>
      </w:r>
      <w:r w:rsidRPr="00E24C37">
        <w:fldChar w:fldCharType="separate"/>
      </w:r>
      <w:r w:rsidR="00B87844">
        <w:rPr>
          <w:noProof/>
        </w:rPr>
        <w:t>25</w:t>
      </w:r>
      <w:r w:rsidRPr="00E24C37">
        <w:rPr>
          <w:noProof/>
        </w:rPr>
        <w:fldChar w:fldCharType="end"/>
      </w:r>
      <w:bookmarkEnd w:id="10"/>
      <w:r w:rsidR="00900C39" w:rsidRPr="00E24C37">
        <w:t xml:space="preserve">.  Article 23 § 2 of the Russian Constitution provides that everyone has the right to </w:t>
      </w:r>
      <w:r w:rsidR="000C30D2" w:rsidRPr="00E24C37">
        <w:t>the privacy</w:t>
      </w:r>
      <w:r w:rsidR="00900C39" w:rsidRPr="00E24C37">
        <w:t xml:space="preserve"> of his or her correspondence, telephone communications and postal, telegraphic or other </w:t>
      </w:r>
      <w:r w:rsidR="000C30D2" w:rsidRPr="00E24C37">
        <w:t>messages</w:t>
      </w:r>
      <w:r w:rsidR="00900C39" w:rsidRPr="00E24C37">
        <w:t xml:space="preserve">. </w:t>
      </w:r>
      <w:r w:rsidR="000C30D2" w:rsidRPr="00E24C37">
        <w:t>Restrictions</w:t>
      </w:r>
      <w:r w:rsidR="00900C39" w:rsidRPr="00E24C37">
        <w:t xml:space="preserve"> may be imposed on th</w:t>
      </w:r>
      <w:r w:rsidR="008B1E80" w:rsidRPr="00E24C37">
        <w:t>at</w:t>
      </w:r>
      <w:r w:rsidR="00900C39" w:rsidRPr="00E24C37">
        <w:t xml:space="preserve"> right </w:t>
      </w:r>
      <w:r w:rsidR="008B1E80" w:rsidRPr="00E24C37">
        <w:t>by</w:t>
      </w:r>
      <w:r w:rsidR="00900C39" w:rsidRPr="00E24C37">
        <w:t xml:space="preserve"> a court decision.</w:t>
      </w:r>
    </w:p>
    <w:p w:rsidR="00900C39"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26</w:t>
      </w:r>
      <w:r w:rsidRPr="00E24C37">
        <w:rPr>
          <w:noProof/>
        </w:rPr>
        <w:fldChar w:fldCharType="end"/>
      </w:r>
      <w:r w:rsidR="00900C39" w:rsidRPr="00E24C37">
        <w:t>.  Article 29 protects freedom of expression and prohibits incitement to social, racial, national or religious hatred. Everyone has the right to freely search for, receive, transmit, produce and disseminate information by lawful means.</w:t>
      </w:r>
    </w:p>
    <w:bookmarkStart w:id="11" w:name="A55Constitution"/>
    <w:p w:rsidR="00900C39" w:rsidRPr="00E24C37" w:rsidRDefault="00153427" w:rsidP="00E24C37">
      <w:pPr>
        <w:pStyle w:val="ECHRPara"/>
      </w:pPr>
      <w:r w:rsidRPr="00E24C37">
        <w:fldChar w:fldCharType="begin"/>
      </w:r>
      <w:r w:rsidRPr="00E24C37">
        <w:instrText xml:space="preserve"> SEQ level0 \*arabic </w:instrText>
      </w:r>
      <w:r w:rsidRPr="00E24C37">
        <w:fldChar w:fldCharType="separate"/>
      </w:r>
      <w:r w:rsidR="00B87844">
        <w:rPr>
          <w:noProof/>
        </w:rPr>
        <w:t>27</w:t>
      </w:r>
      <w:r w:rsidRPr="00E24C37">
        <w:rPr>
          <w:noProof/>
        </w:rPr>
        <w:fldChar w:fldCharType="end"/>
      </w:r>
      <w:bookmarkEnd w:id="11"/>
      <w:r w:rsidR="00900C39" w:rsidRPr="00E24C37">
        <w:t>.  Article 55 § 3 of the Constitution provides that individuals</w:t>
      </w:r>
      <w:r w:rsidR="00E24C37" w:rsidRPr="00E24C37">
        <w:t>’</w:t>
      </w:r>
      <w:r w:rsidR="00900C39" w:rsidRPr="00E24C37">
        <w:t xml:space="preserve"> rights and freedoms may be limited by a federal statute in so far as </w:t>
      </w:r>
      <w:r w:rsidR="00596F1A" w:rsidRPr="00E24C37">
        <w:t xml:space="preserve">that </w:t>
      </w:r>
      <w:r w:rsidR="00900C39" w:rsidRPr="00E24C37">
        <w:t xml:space="preserve">is necessary to protect the constitutional </w:t>
      </w:r>
      <w:r w:rsidR="00596F1A" w:rsidRPr="00E24C37">
        <w:t>structure</w:t>
      </w:r>
      <w:r w:rsidR="00900C39" w:rsidRPr="00E24C37">
        <w:t>, morals, health, the rights and freedoms of others</w:t>
      </w:r>
      <w:r w:rsidR="008B1E80" w:rsidRPr="00E24C37">
        <w:t xml:space="preserve">, </w:t>
      </w:r>
      <w:r w:rsidR="00596F1A" w:rsidRPr="00E24C37">
        <w:t>and to ensure the country</w:t>
      </w:r>
      <w:r w:rsidR="00E24C37" w:rsidRPr="00E24C37">
        <w:t>’</w:t>
      </w:r>
      <w:r w:rsidR="00596F1A" w:rsidRPr="00E24C37">
        <w:t xml:space="preserve">s </w:t>
      </w:r>
      <w:r w:rsidR="00900C39" w:rsidRPr="00E24C37">
        <w:t>national security and defence.</w:t>
      </w:r>
    </w:p>
    <w:p w:rsidR="00900C39" w:rsidRPr="00E24C37" w:rsidRDefault="00900C39" w:rsidP="00E24C37">
      <w:pPr>
        <w:pStyle w:val="ECHRHeading2"/>
      </w:pPr>
      <w:r w:rsidRPr="00E24C37">
        <w:t xml:space="preserve">B.  Customs Code </w:t>
      </w:r>
      <w:r w:rsidR="00193826" w:rsidRPr="00E24C37">
        <w:t>of the Russian Federation</w:t>
      </w:r>
      <w:r w:rsidR="00693D5B" w:rsidRPr="00E24C37">
        <w:t xml:space="preserve"> of 28 May 2003</w:t>
      </w:r>
      <w:r w:rsidR="00C35F5B" w:rsidRPr="00E24C37">
        <w:t xml:space="preserve"> (in force until 2010)</w:t>
      </w:r>
      <w:r w:rsidR="00193826" w:rsidRPr="00E24C37">
        <w:t xml:space="preserve"> </w:t>
      </w:r>
      <w:r w:rsidRPr="00E24C37">
        <w:t xml:space="preserve">and related legal </w:t>
      </w:r>
      <w:r w:rsidR="00D526D7" w:rsidRPr="00E24C37">
        <w:t>A</w:t>
      </w:r>
      <w:r w:rsidRPr="00E24C37">
        <w:t>cts</w:t>
      </w:r>
    </w:p>
    <w:bookmarkStart w:id="12" w:name="inspection"/>
    <w:bookmarkStart w:id="13" w:name="A11CustomsCode"/>
    <w:p w:rsidR="00D06216" w:rsidRPr="00E24C37" w:rsidRDefault="00FA67E9" w:rsidP="00E24C37">
      <w:pPr>
        <w:pStyle w:val="ECHRPara"/>
      </w:pPr>
      <w:r w:rsidRPr="00E24C37">
        <w:fldChar w:fldCharType="begin"/>
      </w:r>
      <w:r w:rsidRPr="00E24C37">
        <w:instrText xml:space="preserve"> SEQ level0 \*arabic </w:instrText>
      </w:r>
      <w:r w:rsidRPr="00E24C37">
        <w:fldChar w:fldCharType="separate"/>
      </w:r>
      <w:r w:rsidR="00B87844">
        <w:rPr>
          <w:noProof/>
        </w:rPr>
        <w:t>28</w:t>
      </w:r>
      <w:r w:rsidRPr="00E24C37">
        <w:rPr>
          <w:noProof/>
        </w:rPr>
        <w:fldChar w:fldCharType="end"/>
      </w:r>
      <w:bookmarkEnd w:id="12"/>
      <w:bookmarkEnd w:id="13"/>
      <w:r w:rsidR="00900C39" w:rsidRPr="00E24C37">
        <w:t>.  Article 11 of the Custom</w:t>
      </w:r>
      <w:r w:rsidR="00C56FD8" w:rsidRPr="00E24C37">
        <w:t>s</w:t>
      </w:r>
      <w:r w:rsidR="00900C39" w:rsidRPr="00E24C37">
        <w:t xml:space="preserve"> Code define</w:t>
      </w:r>
      <w:r w:rsidR="00693D5B" w:rsidRPr="00E24C37">
        <w:t>d</w:t>
      </w:r>
      <w:r w:rsidR="00900C39" w:rsidRPr="00E24C37">
        <w:t xml:space="preserve"> “goods” as an</w:t>
      </w:r>
      <w:r w:rsidR="00D06216" w:rsidRPr="00E24C37">
        <w:t xml:space="preserve">y movable or immovable property being </w:t>
      </w:r>
      <w:r w:rsidR="00CC61E4" w:rsidRPr="00E24C37">
        <w:t>transferred</w:t>
      </w:r>
      <w:r w:rsidR="00D06216" w:rsidRPr="00E24C37">
        <w:t xml:space="preserve"> </w:t>
      </w:r>
      <w:r w:rsidR="008B1E80" w:rsidRPr="00E24C37">
        <w:t>across</w:t>
      </w:r>
      <w:r w:rsidR="00D06216" w:rsidRPr="00E24C37">
        <w:t xml:space="preserve"> the customs border. </w:t>
      </w:r>
      <w:r w:rsidR="008B1E80" w:rsidRPr="00E24C37">
        <w:t xml:space="preserve">By </w:t>
      </w:r>
      <w:r w:rsidR="00D06216" w:rsidRPr="00E24C37">
        <w:t>Article 130 of the Civil Code, all items that are not immovable property (for instance</w:t>
      </w:r>
      <w:r w:rsidR="00CC61E4" w:rsidRPr="00E24C37">
        <w:t xml:space="preserve">, </w:t>
      </w:r>
      <w:r w:rsidR="00D06216" w:rsidRPr="00E24C37">
        <w:t xml:space="preserve">money) should be </w:t>
      </w:r>
      <w:r w:rsidR="00CC61E4" w:rsidRPr="00E24C37">
        <w:t>recogni</w:t>
      </w:r>
      <w:r w:rsidR="008B1E80" w:rsidRPr="00E24C37">
        <w:t>s</w:t>
      </w:r>
      <w:r w:rsidR="00CC61E4" w:rsidRPr="00E24C37">
        <w:t>ed as</w:t>
      </w:r>
      <w:r w:rsidR="00D06216" w:rsidRPr="00E24C37">
        <w:t xml:space="preserve"> </w:t>
      </w:r>
      <w:r w:rsidR="008B1E80" w:rsidRPr="00E24C37">
        <w:t xml:space="preserve">being </w:t>
      </w:r>
      <w:r w:rsidR="00D06216" w:rsidRPr="00E24C37">
        <w:t>movable property.</w:t>
      </w:r>
    </w:p>
    <w:bookmarkStart w:id="14" w:name="CuCodegeneralA13"/>
    <w:p w:rsidR="00D06216" w:rsidRPr="00E24C37" w:rsidRDefault="00D06216" w:rsidP="00E24C37">
      <w:pPr>
        <w:pStyle w:val="ECHRPara"/>
      </w:pPr>
      <w:r w:rsidRPr="00E24C37">
        <w:fldChar w:fldCharType="begin"/>
      </w:r>
      <w:r w:rsidRPr="00E24C37">
        <w:instrText xml:space="preserve"> SEQ level0 \*arabic </w:instrText>
      </w:r>
      <w:r w:rsidRPr="00E24C37">
        <w:fldChar w:fldCharType="separate"/>
      </w:r>
      <w:r w:rsidR="00B87844">
        <w:rPr>
          <w:noProof/>
        </w:rPr>
        <w:t>29</w:t>
      </w:r>
      <w:r w:rsidRPr="00E24C37">
        <w:fldChar w:fldCharType="end"/>
      </w:r>
      <w:bookmarkEnd w:id="14"/>
      <w:r w:rsidRPr="00E24C37">
        <w:t>.  All goods and vehicles had to be presented for</w:t>
      </w:r>
      <w:r w:rsidR="00CC61E4" w:rsidRPr="00E24C37">
        <w:t xml:space="preserve"> </w:t>
      </w:r>
      <w:r w:rsidRPr="00E24C37">
        <w:t>customs control</w:t>
      </w:r>
      <w:r w:rsidR="00D526D7" w:rsidRPr="00E24C37">
        <w:t>s</w:t>
      </w:r>
      <w:r w:rsidRPr="00E24C37">
        <w:t xml:space="preserve"> </w:t>
      </w:r>
      <w:r w:rsidR="008B1E80" w:rsidRPr="00E24C37">
        <w:t xml:space="preserve">in accordance with </w:t>
      </w:r>
      <w:r w:rsidRPr="00E24C37">
        <w:t>the procedure and m</w:t>
      </w:r>
      <w:r w:rsidR="008B1E80" w:rsidRPr="00E24C37">
        <w:t>ethods</w:t>
      </w:r>
      <w:r w:rsidRPr="00E24C37">
        <w:t xml:space="preserve"> prescribed by the</w:t>
      </w:r>
      <w:r w:rsidR="00CC61E4" w:rsidRPr="00E24C37">
        <w:t xml:space="preserve"> Customs</w:t>
      </w:r>
      <w:r w:rsidRPr="00E24C37">
        <w:t xml:space="preserve"> Code; customs requirements in the course of </w:t>
      </w:r>
      <w:r w:rsidR="00AC7B7B" w:rsidRPr="00E24C37">
        <w:t xml:space="preserve">a check </w:t>
      </w:r>
      <w:r w:rsidRPr="00E24C37">
        <w:t>coul</w:t>
      </w:r>
      <w:r w:rsidR="00CC0566" w:rsidRPr="00E24C37">
        <w:t xml:space="preserve">d not impede the </w:t>
      </w:r>
      <w:r w:rsidR="00CC61E4" w:rsidRPr="00E24C37">
        <w:t>transfer</w:t>
      </w:r>
      <w:r w:rsidR="00CC0566" w:rsidRPr="00E24C37">
        <w:t xml:space="preserve"> of goods or </w:t>
      </w:r>
      <w:r w:rsidRPr="00E24C37">
        <w:t>vehicle</w:t>
      </w:r>
      <w:r w:rsidR="00CC0566" w:rsidRPr="00E24C37">
        <w:t>s</w:t>
      </w:r>
      <w:r w:rsidRPr="00E24C37">
        <w:t xml:space="preserve"> </w:t>
      </w:r>
      <w:r w:rsidR="00AC7B7B" w:rsidRPr="00E24C37">
        <w:t xml:space="preserve">across </w:t>
      </w:r>
      <w:r w:rsidRPr="00E24C37">
        <w:t xml:space="preserve">the border to </w:t>
      </w:r>
      <w:r w:rsidR="00AC7B7B" w:rsidRPr="00E24C37">
        <w:t xml:space="preserve">an </w:t>
      </w:r>
      <w:r w:rsidRPr="00E24C37">
        <w:t xml:space="preserve">extent </w:t>
      </w:r>
      <w:r w:rsidR="00AC7B7B" w:rsidRPr="00E24C37">
        <w:t xml:space="preserve">that </w:t>
      </w:r>
      <w:r w:rsidRPr="00E24C37">
        <w:t>exceed</w:t>
      </w:r>
      <w:r w:rsidR="00AC7B7B" w:rsidRPr="00E24C37">
        <w:t>ed</w:t>
      </w:r>
      <w:r w:rsidRPr="00E24C37">
        <w:t xml:space="preserve"> what was necessary </w:t>
      </w:r>
      <w:r w:rsidR="00AC7B7B" w:rsidRPr="00E24C37">
        <w:t xml:space="preserve">as a minimum </w:t>
      </w:r>
      <w:r w:rsidRPr="00E24C37">
        <w:t>for ensuring compliance with customs legislation (Article 14 of the Customs Code).</w:t>
      </w:r>
      <w:r w:rsidR="00900C39" w:rsidRPr="00E24C37">
        <w:t xml:space="preserve"> </w:t>
      </w:r>
      <w:r w:rsidRPr="00E24C37">
        <w:t>Article 13 of the Customs Code provided that goods prohibited from ent</w:t>
      </w:r>
      <w:r w:rsidR="00AC7B7B" w:rsidRPr="00E24C37">
        <w:t>e</w:t>
      </w:r>
      <w:r w:rsidRPr="00E24C37">
        <w:t>r</w:t>
      </w:r>
      <w:r w:rsidR="00AC7B7B" w:rsidRPr="00E24C37">
        <w:t xml:space="preserve">ing </w:t>
      </w:r>
      <w:r w:rsidRPr="00E24C37">
        <w:t xml:space="preserve">Russia were to be removed from </w:t>
      </w:r>
      <w:r w:rsidR="00AC7B7B" w:rsidRPr="00E24C37">
        <w:t xml:space="preserve">the country </w:t>
      </w:r>
      <w:r w:rsidRPr="00E24C37">
        <w:t xml:space="preserve">without delay, unless otherwise provided </w:t>
      </w:r>
      <w:r w:rsidR="00AC7B7B" w:rsidRPr="00E24C37">
        <w:t xml:space="preserve">for </w:t>
      </w:r>
      <w:r w:rsidRPr="00E24C37">
        <w:t>by the Code or other federal statutes.</w:t>
      </w:r>
    </w:p>
    <w:bookmarkStart w:id="15" w:name="CuCodeonprofiling"/>
    <w:p w:rsidR="00D06216" w:rsidRPr="00E24C37" w:rsidRDefault="00D06216" w:rsidP="00E24C37">
      <w:pPr>
        <w:pStyle w:val="ECHRPara"/>
      </w:pPr>
      <w:r w:rsidRPr="00E24C37">
        <w:fldChar w:fldCharType="begin"/>
      </w:r>
      <w:r w:rsidRPr="00E24C37">
        <w:instrText xml:space="preserve"> SEQ level0 \*arabic </w:instrText>
      </w:r>
      <w:r w:rsidRPr="00E24C37">
        <w:fldChar w:fldCharType="separate"/>
      </w:r>
      <w:r w:rsidR="00B87844">
        <w:rPr>
          <w:noProof/>
        </w:rPr>
        <w:t>30</w:t>
      </w:r>
      <w:r w:rsidRPr="00E24C37">
        <w:fldChar w:fldCharType="end"/>
      </w:r>
      <w:bookmarkEnd w:id="15"/>
      <w:r w:rsidRPr="00E24C37">
        <w:t xml:space="preserve">.  Article 358 of the Code provided for </w:t>
      </w:r>
      <w:r w:rsidR="00D526D7" w:rsidRPr="00E24C37">
        <w:t xml:space="preserve">the </w:t>
      </w:r>
      <w:r w:rsidRPr="00E24C37">
        <w:t xml:space="preserve">principles guiding </w:t>
      </w:r>
      <w:r w:rsidR="00CC61E4" w:rsidRPr="00E24C37">
        <w:t xml:space="preserve">the </w:t>
      </w:r>
      <w:r w:rsidRPr="00E24C37">
        <w:t>customs control</w:t>
      </w:r>
      <w:r w:rsidR="00AC7B7B" w:rsidRPr="00E24C37">
        <w:t xml:space="preserve"> process</w:t>
      </w:r>
      <w:r w:rsidRPr="00E24C37">
        <w:t xml:space="preserve">, namely that </w:t>
      </w:r>
      <w:r w:rsidR="000F06D6" w:rsidRPr="00E24C37">
        <w:t>it was based on the selectiveness principle and, as a rule, had to be limited to such form</w:t>
      </w:r>
      <w:r w:rsidR="00CC61E4" w:rsidRPr="00E24C37">
        <w:t>s</w:t>
      </w:r>
      <w:r w:rsidR="000F06D6" w:rsidRPr="00E24C37">
        <w:t xml:space="preserve"> </w:t>
      </w:r>
      <w:r w:rsidR="00AC7B7B" w:rsidRPr="00E24C37">
        <w:t xml:space="preserve">as </w:t>
      </w:r>
      <w:r w:rsidR="000F06D6" w:rsidRPr="00E24C37">
        <w:t>were sufficient for ensuring compliance with customs legislation. When choosing a specific form of control</w:t>
      </w:r>
      <w:r w:rsidR="00AC7B7B" w:rsidRPr="00E24C37">
        <w:t>,</w:t>
      </w:r>
      <w:r w:rsidR="000F06D6" w:rsidRPr="00E24C37">
        <w:t xml:space="preserve"> the customs authority was </w:t>
      </w:r>
      <w:r w:rsidR="00AC7B7B" w:rsidRPr="00E24C37">
        <w:t xml:space="preserve">to be </w:t>
      </w:r>
      <w:r w:rsidR="000F06D6" w:rsidRPr="00E24C37">
        <w:t xml:space="preserve">guided by the risk </w:t>
      </w:r>
      <w:r w:rsidR="000F06D6" w:rsidRPr="00E24C37">
        <w:lastRenderedPageBreak/>
        <w:t>management system, which defined a risk as a probability of non</w:t>
      </w:r>
      <w:r w:rsidR="00F61957" w:rsidRPr="00E24C37">
        <w:noBreakHyphen/>
      </w:r>
      <w:r w:rsidR="000F06D6" w:rsidRPr="00E24C37">
        <w:t>compliance with customs legislation. Th</w:t>
      </w:r>
      <w:r w:rsidR="00AC7B7B" w:rsidRPr="00E24C37">
        <w:t>e</w:t>
      </w:r>
      <w:r w:rsidR="000F06D6" w:rsidRPr="00E24C37">
        <w:t xml:space="preserve"> system was based on the effective use of </w:t>
      </w:r>
      <w:r w:rsidR="00AC7B7B" w:rsidRPr="00E24C37">
        <w:t xml:space="preserve">the </w:t>
      </w:r>
      <w:r w:rsidR="000F06D6" w:rsidRPr="00E24C37">
        <w:t xml:space="preserve">resources at the disposal of the customs authority for preventing violations of customs legislation, violations which, </w:t>
      </w:r>
      <w:r w:rsidR="000F06D6" w:rsidRPr="00E24C37">
        <w:rPr>
          <w:i/>
        </w:rPr>
        <w:t>inter alia</w:t>
      </w:r>
      <w:r w:rsidR="000F06D6" w:rsidRPr="00E24C37">
        <w:t xml:space="preserve">, </w:t>
      </w:r>
      <w:r w:rsidR="00AC7B7B" w:rsidRPr="00E24C37">
        <w:t xml:space="preserve">could </w:t>
      </w:r>
      <w:r w:rsidR="000F06D6" w:rsidRPr="00E24C37">
        <w:t xml:space="preserve">affect “important public interests which the customs authorities [were] empowered to protect”. The customs authorities had to apply </w:t>
      </w:r>
      <w:r w:rsidR="00AC7B7B" w:rsidRPr="00E24C37">
        <w:t xml:space="preserve">risk assessment </w:t>
      </w:r>
      <w:r w:rsidR="000F06D6" w:rsidRPr="00E24C37">
        <w:t xml:space="preserve">methods for determining the </w:t>
      </w:r>
      <w:r w:rsidR="00AC7B7B" w:rsidRPr="00E24C37">
        <w:t>level of scrutiny in customs checks</w:t>
      </w:r>
      <w:r w:rsidR="000F06D6" w:rsidRPr="00E24C37">
        <w:t>.</w:t>
      </w:r>
    </w:p>
    <w:bookmarkStart w:id="16" w:name="CuCodeinspectionprocedure"/>
    <w:p w:rsidR="000F06D6" w:rsidRPr="00E24C37" w:rsidRDefault="000F06D6" w:rsidP="00E24C37">
      <w:pPr>
        <w:pStyle w:val="ECHRPara"/>
      </w:pPr>
      <w:r w:rsidRPr="00E24C37">
        <w:fldChar w:fldCharType="begin"/>
      </w:r>
      <w:r w:rsidRPr="00E24C37">
        <w:instrText xml:space="preserve"> SEQ level0 \*arabic </w:instrText>
      </w:r>
      <w:r w:rsidRPr="00E24C37">
        <w:fldChar w:fldCharType="separate"/>
      </w:r>
      <w:r w:rsidR="00B87844">
        <w:rPr>
          <w:noProof/>
        </w:rPr>
        <w:t>31</w:t>
      </w:r>
      <w:r w:rsidRPr="00E24C37">
        <w:fldChar w:fldCharType="end"/>
      </w:r>
      <w:bookmarkEnd w:id="16"/>
      <w:r w:rsidRPr="00E24C37">
        <w:t>.  </w:t>
      </w:r>
      <w:r w:rsidR="00CC61E4" w:rsidRPr="00E24C37">
        <w:t>F</w:t>
      </w:r>
      <w:r w:rsidRPr="00E24C37">
        <w:t xml:space="preserve">orms of </w:t>
      </w:r>
      <w:r w:rsidR="00AC7B7B" w:rsidRPr="00E24C37">
        <w:t xml:space="preserve">customs </w:t>
      </w:r>
      <w:r w:rsidRPr="00E24C37">
        <w:t>control included</w:t>
      </w:r>
      <w:r w:rsidR="00CC61E4" w:rsidRPr="00E24C37">
        <w:t xml:space="preserve"> </w:t>
      </w:r>
      <w:r w:rsidR="00AC7B7B" w:rsidRPr="00E24C37">
        <w:t xml:space="preserve">the </w:t>
      </w:r>
      <w:r w:rsidRPr="00E24C37">
        <w:t>examination of documents, interview</w:t>
      </w:r>
      <w:r w:rsidR="00AC7B7B" w:rsidRPr="00E24C37">
        <w:t>s</w:t>
      </w:r>
      <w:r w:rsidRPr="00E24C37">
        <w:t xml:space="preserve">, customs surveillance, customs </w:t>
      </w:r>
      <w:r w:rsidR="00C711E1" w:rsidRPr="00E24C37">
        <w:t>examinations</w:t>
      </w:r>
      <w:r w:rsidRPr="00E24C37">
        <w:t xml:space="preserve"> and</w:t>
      </w:r>
      <w:r w:rsidR="00CC61E4" w:rsidRPr="00E24C37">
        <w:t xml:space="preserve"> </w:t>
      </w:r>
      <w:r w:rsidRPr="00E24C37">
        <w:t>inspection</w:t>
      </w:r>
      <w:r w:rsidR="00AC7B7B" w:rsidRPr="00E24C37">
        <w:t>s</w:t>
      </w:r>
      <w:r w:rsidRPr="00E24C37">
        <w:t xml:space="preserve"> (</w:t>
      </w:r>
      <w:r w:rsidRPr="00E24C37">
        <w:rPr>
          <w:i/>
          <w:lang w:val="ru-RU"/>
        </w:rPr>
        <w:t>таможенный</w:t>
      </w:r>
      <w:r w:rsidRPr="00E24C37">
        <w:rPr>
          <w:i/>
        </w:rPr>
        <w:t xml:space="preserve"> </w:t>
      </w:r>
      <w:r w:rsidRPr="00E24C37">
        <w:rPr>
          <w:i/>
          <w:lang w:val="ru-RU"/>
        </w:rPr>
        <w:t>досмотр</w:t>
      </w:r>
      <w:r w:rsidRPr="00E24C37">
        <w:t>) (Article 366 of the Code). The la</w:t>
      </w:r>
      <w:r w:rsidR="00D526D7" w:rsidRPr="00E24C37">
        <w:t>s</w:t>
      </w:r>
      <w:r w:rsidRPr="00E24C37">
        <w:t>t</w:t>
      </w:r>
      <w:r w:rsidR="00D526D7" w:rsidRPr="00E24C37">
        <w:t xml:space="preserve"> mentioned </w:t>
      </w:r>
      <w:r w:rsidRPr="00E24C37">
        <w:t xml:space="preserve">was a check that included breaking </w:t>
      </w:r>
      <w:r w:rsidR="00AC7B7B" w:rsidRPr="00E24C37">
        <w:t xml:space="preserve">the </w:t>
      </w:r>
      <w:r w:rsidRPr="00E24C37">
        <w:t>seals on goods, opening packaging</w:t>
      </w:r>
      <w:r w:rsidR="00AC7B7B" w:rsidRPr="00E24C37">
        <w:t xml:space="preserve">, </w:t>
      </w:r>
      <w:r w:rsidRPr="00E24C37">
        <w:t xml:space="preserve">containers or other locations where goods </w:t>
      </w:r>
      <w:r w:rsidR="00AC7B7B" w:rsidRPr="00E24C37">
        <w:t>we</w:t>
      </w:r>
      <w:r w:rsidRPr="00E24C37">
        <w:t xml:space="preserve">re </w:t>
      </w:r>
      <w:r w:rsidR="00AC7B7B" w:rsidRPr="00E24C37">
        <w:t xml:space="preserve">or could be </w:t>
      </w:r>
      <w:r w:rsidR="00D526D7" w:rsidRPr="00E24C37">
        <w:t>located</w:t>
      </w:r>
      <w:r w:rsidRPr="00E24C37">
        <w:t xml:space="preserve"> (Article 372 of the Code). </w:t>
      </w:r>
      <w:r w:rsidR="00AC7B7B" w:rsidRPr="00E24C37">
        <w:t>I</w:t>
      </w:r>
      <w:r w:rsidRPr="00E24C37">
        <w:t>nspection</w:t>
      </w:r>
      <w:r w:rsidR="00AC7B7B" w:rsidRPr="00E24C37">
        <w:t>s</w:t>
      </w:r>
      <w:r w:rsidRPr="00E24C37">
        <w:t xml:space="preserve"> w</w:t>
      </w:r>
      <w:r w:rsidR="00AC7B7B" w:rsidRPr="00E24C37">
        <w:t>ere</w:t>
      </w:r>
      <w:r w:rsidRPr="00E24C37">
        <w:t xml:space="preserve"> to be carried out in the presence of the </w:t>
      </w:r>
      <w:r w:rsidR="00D526D7" w:rsidRPr="00E24C37">
        <w:t xml:space="preserve">person </w:t>
      </w:r>
      <w:r w:rsidRPr="00E24C37">
        <w:t>declar</w:t>
      </w:r>
      <w:r w:rsidR="00D526D7" w:rsidRPr="00E24C37">
        <w:t>ing the goods</w:t>
      </w:r>
      <w:r w:rsidRPr="00E24C37">
        <w:t>, except for some situations such as the moving of goods in international postal dispatches.</w:t>
      </w:r>
    </w:p>
    <w:p w:rsidR="000F06D6" w:rsidRPr="00E24C37" w:rsidRDefault="000F06D6" w:rsidP="00E24C37">
      <w:pPr>
        <w:pStyle w:val="ECHRPara"/>
        <w:rPr>
          <w:rFonts w:ascii="Calibri" w:hAnsi="Calibri" w:cs="Calibri"/>
        </w:rPr>
      </w:pPr>
      <w:r w:rsidRPr="00E24C37">
        <w:fldChar w:fldCharType="begin"/>
      </w:r>
      <w:r w:rsidRPr="00E24C37">
        <w:instrText xml:space="preserve"> SEQ level0 \*arabic </w:instrText>
      </w:r>
      <w:r w:rsidRPr="00E24C37">
        <w:fldChar w:fldCharType="separate"/>
      </w:r>
      <w:r w:rsidR="00B87844">
        <w:rPr>
          <w:noProof/>
        </w:rPr>
        <w:t>32</w:t>
      </w:r>
      <w:r w:rsidRPr="00E24C37">
        <w:fldChar w:fldCharType="end"/>
      </w:r>
      <w:r w:rsidRPr="00E24C37">
        <w:t>.  Article 378 of the Code provided that goods and vehicles could b</w:t>
      </w:r>
      <w:r w:rsidR="00F6348F" w:rsidRPr="00E24C37">
        <w:t xml:space="preserve">e subjected to an expert assessment as part of the customs control procedure where special skills were needed for clarifying matters relating to such </w:t>
      </w:r>
      <w:r w:rsidR="00AC7B7B" w:rsidRPr="00E24C37">
        <w:t xml:space="preserve">a </w:t>
      </w:r>
      <w:r w:rsidR="00F6348F" w:rsidRPr="00E24C37">
        <w:t>procedure. A customs officer was allowed to take samples of goods for assessment</w:t>
      </w:r>
      <w:r w:rsidR="00AC7B7B" w:rsidRPr="00E24C37">
        <w:t xml:space="preserve">, with the amount being </w:t>
      </w:r>
      <w:r w:rsidR="00F6348F" w:rsidRPr="00E24C37">
        <w:t>the minim</w:t>
      </w:r>
      <w:r w:rsidR="00AC7B7B" w:rsidRPr="00E24C37">
        <w:t xml:space="preserve">um needed to carry out such an </w:t>
      </w:r>
      <w:r w:rsidR="00F6348F" w:rsidRPr="00E24C37">
        <w:t xml:space="preserve">assessment (Article 383). </w:t>
      </w:r>
      <w:r w:rsidR="00D526D7" w:rsidRPr="00E24C37">
        <w:t xml:space="preserve">The person </w:t>
      </w:r>
      <w:r w:rsidR="00F6348F" w:rsidRPr="00E24C37">
        <w:t>declar</w:t>
      </w:r>
      <w:r w:rsidR="00D526D7" w:rsidRPr="00E24C37">
        <w:t xml:space="preserve">ing the goods </w:t>
      </w:r>
      <w:r w:rsidR="00F6348F" w:rsidRPr="00E24C37">
        <w:t xml:space="preserve">could be present during the sampling and was required to assist the officer </w:t>
      </w:r>
      <w:r w:rsidR="00AC7B7B" w:rsidRPr="00E24C37">
        <w:t xml:space="preserve">carrying out the procedure </w:t>
      </w:r>
      <w:r w:rsidR="00F6348F" w:rsidRPr="00E24C37">
        <w:t>(ibid.).</w:t>
      </w:r>
    </w:p>
    <w:bookmarkStart w:id="17" w:name="ggg"/>
    <w:p w:rsidR="00900C39" w:rsidRPr="00E24C37" w:rsidRDefault="004C2E94" w:rsidP="00E24C37">
      <w:pPr>
        <w:pStyle w:val="ECHRPara"/>
      </w:pPr>
      <w:r w:rsidRPr="00E24C37">
        <w:fldChar w:fldCharType="begin"/>
      </w:r>
      <w:r w:rsidRPr="00E24C37">
        <w:instrText xml:space="preserve"> SEQ level0 \*arabic </w:instrText>
      </w:r>
      <w:r w:rsidRPr="00E24C37">
        <w:fldChar w:fldCharType="separate"/>
      </w:r>
      <w:r w:rsidR="00B87844">
        <w:rPr>
          <w:noProof/>
        </w:rPr>
        <w:t>33</w:t>
      </w:r>
      <w:r w:rsidRPr="00E24C37">
        <w:rPr>
          <w:noProof/>
        </w:rPr>
        <w:fldChar w:fldCharType="end"/>
      </w:r>
      <w:bookmarkEnd w:id="17"/>
      <w:r w:rsidR="00F6348F" w:rsidRPr="00E24C37">
        <w:t>.  </w:t>
      </w:r>
      <w:r w:rsidR="00900C39" w:rsidRPr="00E24C37">
        <w:t>As specified in the Regulations on Customs Procedures a</w:t>
      </w:r>
      <w:r w:rsidR="00D526D7" w:rsidRPr="00E24C37">
        <w:t>pproved</w:t>
      </w:r>
      <w:r w:rsidR="00900C39" w:rsidRPr="00E24C37">
        <w:t xml:space="preserve"> by the Russian Government on 2 February 2005, “inspections” entail</w:t>
      </w:r>
      <w:r w:rsidR="00C56FD8" w:rsidRPr="00E24C37">
        <w:t>ed</w:t>
      </w:r>
      <w:r w:rsidR="00900C39" w:rsidRPr="00E24C37">
        <w:t xml:space="preserve"> the examination of goods in order to prevent or stop violations of Russian legislation or to detect prohibited goods. Such inspections </w:t>
      </w:r>
      <w:r w:rsidR="00C56FD8" w:rsidRPr="00E24C37">
        <w:t>could</w:t>
      </w:r>
      <w:r w:rsidR="00900C39" w:rsidRPr="00E24C37">
        <w:t xml:space="preserve"> include the opening or unsealing of containers (paragraph 14 of the Regulations).</w:t>
      </w:r>
    </w:p>
    <w:p w:rsidR="00900C39"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34</w:t>
      </w:r>
      <w:r w:rsidRPr="00E24C37">
        <w:rPr>
          <w:noProof/>
        </w:rPr>
        <w:fldChar w:fldCharType="end"/>
      </w:r>
      <w:r w:rsidR="00900C39" w:rsidRPr="00E24C37">
        <w:t>.  Order no. 1519</w:t>
      </w:r>
      <w:r w:rsidR="00C56FD8" w:rsidRPr="00E24C37">
        <w:t xml:space="preserve"> issued by the</w:t>
      </w:r>
      <w:r w:rsidR="00900C39" w:rsidRPr="00E24C37">
        <w:t xml:space="preserve"> </w:t>
      </w:r>
      <w:r w:rsidR="00C56FD8" w:rsidRPr="00E24C37">
        <w:t xml:space="preserve">Federal Customs Authority </w:t>
      </w:r>
      <w:r w:rsidR="00900C39" w:rsidRPr="00E24C37">
        <w:t>o</w:t>
      </w:r>
      <w:r w:rsidR="00C56FD8" w:rsidRPr="00E24C37">
        <w:t>n</w:t>
      </w:r>
      <w:r w:rsidR="00900C39" w:rsidRPr="00E24C37">
        <w:t xml:space="preserve"> 23</w:t>
      </w:r>
      <w:r w:rsidR="00C56FD8" w:rsidRPr="00E24C37">
        <w:t> </w:t>
      </w:r>
      <w:r w:rsidR="00900C39" w:rsidRPr="00E24C37">
        <w:t xml:space="preserve">December 2003, in force at the material time, provided further details about inspections but did not </w:t>
      </w:r>
      <w:r w:rsidR="00812F1E" w:rsidRPr="00E24C37">
        <w:t>refer to</w:t>
      </w:r>
      <w:r w:rsidR="00900C39" w:rsidRPr="00E24C37">
        <w:t xml:space="preserve"> the taking of samples of </w:t>
      </w:r>
      <w:r w:rsidR="00C56FD8" w:rsidRPr="00E24C37">
        <w:t>electronic</w:t>
      </w:r>
      <w:r w:rsidR="00900C39" w:rsidRPr="00E24C37">
        <w:t xml:space="preserve"> data.</w:t>
      </w:r>
    </w:p>
    <w:bookmarkStart w:id="18" w:name="Presidentdecree1995"/>
    <w:p w:rsidR="005A5C72" w:rsidRPr="00E24C37" w:rsidRDefault="00153427" w:rsidP="00E24C37">
      <w:pPr>
        <w:pStyle w:val="ECHRPara"/>
      </w:pPr>
      <w:r w:rsidRPr="00E24C37">
        <w:fldChar w:fldCharType="begin"/>
      </w:r>
      <w:r w:rsidRPr="00E24C37">
        <w:instrText xml:space="preserve"> SEQ level0 \*arabic </w:instrText>
      </w:r>
      <w:r w:rsidRPr="00E24C37">
        <w:fldChar w:fldCharType="separate"/>
      </w:r>
      <w:r w:rsidR="00B87844">
        <w:rPr>
          <w:noProof/>
        </w:rPr>
        <w:t>35</w:t>
      </w:r>
      <w:r w:rsidRPr="00E24C37">
        <w:rPr>
          <w:noProof/>
        </w:rPr>
        <w:fldChar w:fldCharType="end"/>
      </w:r>
      <w:bookmarkEnd w:id="18"/>
      <w:r w:rsidR="00900C39" w:rsidRPr="00E24C37">
        <w:t xml:space="preserve">.  Decree no. 310 </w:t>
      </w:r>
      <w:r w:rsidR="00C56FD8" w:rsidRPr="00E24C37">
        <w:t xml:space="preserve">issued by the President of Russia on </w:t>
      </w:r>
      <w:r w:rsidR="00900C39" w:rsidRPr="00E24C37">
        <w:t>23 March 1995</w:t>
      </w:r>
      <w:r w:rsidR="00D526D7" w:rsidRPr="00E24C37">
        <w:t>,</w:t>
      </w:r>
      <w:r w:rsidR="00900C39" w:rsidRPr="00E24C37">
        <w:t xml:space="preserve"> </w:t>
      </w:r>
      <w:r w:rsidR="005A5C72" w:rsidRPr="00E24C37">
        <w:t>“On measures for ensuring consolidated actions by public authorities in the fight against manifestations of f</w:t>
      </w:r>
      <w:r w:rsidR="00900C39" w:rsidRPr="00E24C37">
        <w:t xml:space="preserve">ascism and </w:t>
      </w:r>
      <w:r w:rsidR="005A5C72" w:rsidRPr="00E24C37">
        <w:t xml:space="preserve">other forms of </w:t>
      </w:r>
      <w:r w:rsidR="00900C39" w:rsidRPr="00E24C37">
        <w:t>political extremism</w:t>
      </w:r>
      <w:r w:rsidR="005A5C72" w:rsidRPr="00E24C37">
        <w:t xml:space="preserve"> in the Russian Federation”</w:t>
      </w:r>
      <w:r w:rsidR="00D526D7" w:rsidRPr="00E24C37">
        <w:t>,</w:t>
      </w:r>
      <w:r w:rsidR="00900C39" w:rsidRPr="00E24C37">
        <w:t xml:space="preserve"> </w:t>
      </w:r>
      <w:r w:rsidR="005A5C72" w:rsidRPr="00E24C37">
        <w:t>reads as follows:</w:t>
      </w:r>
    </w:p>
    <w:p w:rsidR="00504ABA" w:rsidRPr="00E24C37" w:rsidRDefault="00504ABA" w:rsidP="00E24C37">
      <w:pPr>
        <w:pStyle w:val="ECHRParaQuote"/>
      </w:pPr>
      <w:r w:rsidRPr="00E24C37">
        <w:t>“</w:t>
      </w:r>
      <w:r w:rsidR="004C0DAC" w:rsidRPr="00E24C37">
        <w:t>C</w:t>
      </w:r>
      <w:r w:rsidRPr="00E24C37">
        <w:t xml:space="preserve">ases of incitement to social, racial, ethnic and religious enmity, as well as </w:t>
      </w:r>
      <w:r w:rsidR="004C0DAC" w:rsidRPr="00E24C37">
        <w:t xml:space="preserve">the </w:t>
      </w:r>
      <w:r w:rsidRPr="00E24C37">
        <w:t>proliferation of fascist ideas</w:t>
      </w:r>
      <w:r w:rsidR="004C0DAC" w:rsidRPr="00E24C37">
        <w:t>, have been growing in the Russian Federation</w:t>
      </w:r>
      <w:r w:rsidRPr="00E24C37">
        <w:t xml:space="preserve">. </w:t>
      </w:r>
      <w:r w:rsidR="006B2FD4" w:rsidRPr="00E24C37">
        <w:t>Anti</w:t>
      </w:r>
      <w:r w:rsidR="00FD135C" w:rsidRPr="00E24C37">
        <w:noBreakHyphen/>
      </w:r>
      <w:r w:rsidR="006B2FD4" w:rsidRPr="00E24C37">
        <w:t xml:space="preserve">constitutional activities by people or groups having extremist views have increased and become more defiant in their nature. </w:t>
      </w:r>
      <w:r w:rsidRPr="00E24C37">
        <w:t xml:space="preserve">Unlawful </w:t>
      </w:r>
      <w:r w:rsidR="004C0DAC" w:rsidRPr="00E24C37">
        <w:t>armed and para</w:t>
      </w:r>
      <w:r w:rsidRPr="00E24C37">
        <w:t>militar</w:t>
      </w:r>
      <w:r w:rsidR="004C0DAC" w:rsidRPr="00E24C37">
        <w:t>y</w:t>
      </w:r>
      <w:r w:rsidRPr="00E24C37">
        <w:t xml:space="preserve"> units </w:t>
      </w:r>
      <w:r w:rsidR="004C0DAC" w:rsidRPr="00E24C37">
        <w:t xml:space="preserve">have been </w:t>
      </w:r>
      <w:r w:rsidRPr="00E24C37">
        <w:t xml:space="preserve">created. There is a growing threat that they will join </w:t>
      </w:r>
      <w:r w:rsidR="004C0DAC" w:rsidRPr="00E24C37">
        <w:t>forces</w:t>
      </w:r>
      <w:r w:rsidRPr="00E24C37">
        <w:t xml:space="preserve"> with certain trade unions, commercial or criminal groups.</w:t>
      </w:r>
    </w:p>
    <w:p w:rsidR="00504ABA" w:rsidRPr="00E24C37" w:rsidRDefault="00504ABA" w:rsidP="00E24C37">
      <w:pPr>
        <w:pStyle w:val="ECHRParaQuote"/>
      </w:pPr>
      <w:r w:rsidRPr="00E24C37">
        <w:t>Th</w:t>
      </w:r>
      <w:r w:rsidR="004C0DAC" w:rsidRPr="00E24C37">
        <w:t>e</w:t>
      </w:r>
      <w:r w:rsidRPr="00E24C37">
        <w:t xml:space="preserve">se processes are extremely dangerous for our society and constitute a threat to the foundations of the constitutional </w:t>
      </w:r>
      <w:r w:rsidR="00D526D7" w:rsidRPr="00E24C37">
        <w:t>system</w:t>
      </w:r>
      <w:r w:rsidRPr="00E24C37">
        <w:t xml:space="preserve">. They undermine constitutional rights and freedoms, </w:t>
      </w:r>
      <w:r w:rsidR="004C0DAC" w:rsidRPr="00E24C37">
        <w:t xml:space="preserve">the </w:t>
      </w:r>
      <w:r w:rsidRPr="00E24C37">
        <w:t xml:space="preserve">security of society and </w:t>
      </w:r>
      <w:r w:rsidR="004C0DAC" w:rsidRPr="00E24C37">
        <w:t xml:space="preserve">the </w:t>
      </w:r>
      <w:r w:rsidRPr="00E24C37">
        <w:t>unity of the Russian Federation.</w:t>
      </w:r>
    </w:p>
    <w:p w:rsidR="00504ABA" w:rsidRPr="00E24C37" w:rsidRDefault="00504ABA" w:rsidP="00E24C37">
      <w:pPr>
        <w:pStyle w:val="ECHRParaQuote"/>
      </w:pPr>
      <w:r w:rsidRPr="00E24C37">
        <w:lastRenderedPageBreak/>
        <w:t xml:space="preserve">It is unacceptable that the rise of political extremism </w:t>
      </w:r>
      <w:r w:rsidR="004C0DAC" w:rsidRPr="00E24C37">
        <w:t>sh</w:t>
      </w:r>
      <w:r w:rsidRPr="00E24C37">
        <w:t xml:space="preserve">ould impede the </w:t>
      </w:r>
      <w:r w:rsidR="004C0DAC" w:rsidRPr="00E24C37">
        <w:t>forth</w:t>
      </w:r>
      <w:r w:rsidRPr="00E24C37">
        <w:t xml:space="preserve">coming State and municipal </w:t>
      </w:r>
      <w:r w:rsidR="004C0DAC" w:rsidRPr="00E24C37">
        <w:t>elections</w:t>
      </w:r>
      <w:r w:rsidRPr="00E24C37">
        <w:t xml:space="preserve"> and the free expression of voters</w:t>
      </w:r>
      <w:r w:rsidR="00D526D7" w:rsidRPr="00E24C37">
        <w:t xml:space="preserve">, </w:t>
      </w:r>
      <w:r w:rsidRPr="00E24C37">
        <w:t>influence the resolution of labour disputes or pressure certain State or municipal authorities.</w:t>
      </w:r>
    </w:p>
    <w:p w:rsidR="00E370D2" w:rsidRPr="00E24C37" w:rsidRDefault="00504ABA" w:rsidP="00E24C37">
      <w:pPr>
        <w:pStyle w:val="ECHRParaQuote"/>
      </w:pPr>
      <w:r w:rsidRPr="00E24C37">
        <w:t>The activities of political extremists</w:t>
      </w:r>
      <w:r w:rsidR="00E370D2" w:rsidRPr="00E24C37">
        <w:t xml:space="preserve"> (</w:t>
      </w:r>
      <w:r w:rsidRPr="00E24C37">
        <w:t>some of whom openly associate themselves with</w:t>
      </w:r>
      <w:r w:rsidR="00E370D2" w:rsidRPr="00E24C37">
        <w:t xml:space="preserve"> N</w:t>
      </w:r>
      <w:r w:rsidRPr="00E24C37">
        <w:t xml:space="preserve">ational </w:t>
      </w:r>
      <w:r w:rsidR="00E370D2" w:rsidRPr="00E24C37">
        <w:t>S</w:t>
      </w:r>
      <w:r w:rsidRPr="00E24C37">
        <w:t>ocialism</w:t>
      </w:r>
      <w:r w:rsidR="004C0DAC" w:rsidRPr="00E24C37">
        <w:t>,</w:t>
      </w:r>
      <w:r w:rsidRPr="00E24C37">
        <w:t xml:space="preserve"> using fascist slogans</w:t>
      </w:r>
      <w:r w:rsidR="00E370D2" w:rsidRPr="00E24C37">
        <w:t xml:space="preserve"> and symbols</w:t>
      </w:r>
      <w:r w:rsidR="00CA209F" w:rsidRPr="00E24C37">
        <w:t xml:space="preserve"> or ones that are similar</w:t>
      </w:r>
      <w:r w:rsidR="00E370D2" w:rsidRPr="00E24C37">
        <w:t>)</w:t>
      </w:r>
      <w:r w:rsidRPr="00E24C37">
        <w:t xml:space="preserve"> </w:t>
      </w:r>
      <w:r w:rsidR="004C0DAC" w:rsidRPr="00E24C37">
        <w:t xml:space="preserve">are deeply </w:t>
      </w:r>
      <w:r w:rsidRPr="00E24C37">
        <w:t>insult</w:t>
      </w:r>
      <w:r w:rsidR="004C0DAC" w:rsidRPr="00E24C37">
        <w:t>ing</w:t>
      </w:r>
      <w:r w:rsidRPr="00E24C37">
        <w:t xml:space="preserve"> </w:t>
      </w:r>
      <w:r w:rsidR="00FA57FD" w:rsidRPr="00E24C37">
        <w:t xml:space="preserve">to </w:t>
      </w:r>
      <w:r w:rsidRPr="00E24C37">
        <w:t xml:space="preserve">veterans and </w:t>
      </w:r>
      <w:r w:rsidR="00CA209F" w:rsidRPr="00E24C37">
        <w:t xml:space="preserve">to </w:t>
      </w:r>
      <w:r w:rsidRPr="00E24C37">
        <w:t>the sacred memory that Russians have for the victims of the Great Patriotic War.</w:t>
      </w:r>
      <w:r w:rsidR="00E370D2" w:rsidRPr="00E24C37">
        <w:t xml:space="preserve"> Such activities are particularly </w:t>
      </w:r>
      <w:r w:rsidR="00FA57FD" w:rsidRPr="00E24C37">
        <w:t xml:space="preserve">provocative in </w:t>
      </w:r>
      <w:r w:rsidR="00CA209F" w:rsidRPr="00E24C37">
        <w:t xml:space="preserve">the </w:t>
      </w:r>
      <w:r w:rsidR="00E370D2" w:rsidRPr="00E24C37">
        <w:t xml:space="preserve">year </w:t>
      </w:r>
      <w:r w:rsidR="00FA57FD" w:rsidRPr="00E24C37">
        <w:t xml:space="preserve">of </w:t>
      </w:r>
      <w:r w:rsidR="00CA209F" w:rsidRPr="00E24C37">
        <w:t xml:space="preserve">the </w:t>
      </w:r>
      <w:r w:rsidR="00E370D2" w:rsidRPr="00E24C37">
        <w:t>celebrati</w:t>
      </w:r>
      <w:r w:rsidR="00FA57FD" w:rsidRPr="00E24C37">
        <w:t>o</w:t>
      </w:r>
      <w:r w:rsidR="00E370D2" w:rsidRPr="00E24C37">
        <w:t>n</w:t>
      </w:r>
      <w:r w:rsidR="00CA209F" w:rsidRPr="00E24C37">
        <w:t xml:space="preserve"> of </w:t>
      </w:r>
      <w:r w:rsidR="00E370D2" w:rsidRPr="00E24C37">
        <w:t>the 50</w:t>
      </w:r>
      <w:r w:rsidR="00FA57FD" w:rsidRPr="00E24C37">
        <w:t>th</w:t>
      </w:r>
      <w:r w:rsidR="00E370D2" w:rsidRPr="00E24C37">
        <w:t xml:space="preserve"> anniversary of the victory over fascist Germany </w:t>
      </w:r>
      <w:r w:rsidR="00197E46" w:rsidRPr="00E24C37">
        <w:t>...</w:t>
      </w:r>
    </w:p>
    <w:p w:rsidR="00504ABA" w:rsidRPr="00E24C37" w:rsidRDefault="00E370D2" w:rsidP="00E24C37">
      <w:pPr>
        <w:pStyle w:val="ECHRParaQuote"/>
      </w:pPr>
      <w:r w:rsidRPr="00E24C37">
        <w:t xml:space="preserve"> As guardian of the Constitution of the Russian Federation and </w:t>
      </w:r>
      <w:r w:rsidR="00FA57FD" w:rsidRPr="00E24C37">
        <w:t>of people</w:t>
      </w:r>
      <w:r w:rsidR="00E24C37" w:rsidRPr="00E24C37">
        <w:t>’</w:t>
      </w:r>
      <w:r w:rsidR="00FA57FD" w:rsidRPr="00E24C37">
        <w:t xml:space="preserve">s </w:t>
      </w:r>
      <w:r w:rsidRPr="00E24C37">
        <w:t xml:space="preserve">rights and freedoms, </w:t>
      </w:r>
      <w:r w:rsidR="00FA57FD" w:rsidRPr="00E24C37">
        <w:t xml:space="preserve">with a </w:t>
      </w:r>
      <w:r w:rsidRPr="00E24C37">
        <w:t xml:space="preserve">view </w:t>
      </w:r>
      <w:r w:rsidR="00FA57FD" w:rsidRPr="00E24C37">
        <w:t xml:space="preserve">to </w:t>
      </w:r>
      <w:r w:rsidRPr="00E24C37">
        <w:t xml:space="preserve">ensuring the stability of the constitutional </w:t>
      </w:r>
      <w:r w:rsidR="00CA209F" w:rsidRPr="00E24C37">
        <w:t>structure</w:t>
      </w:r>
      <w:r w:rsidRPr="00E24C37">
        <w:t xml:space="preserve">, public safety, </w:t>
      </w:r>
      <w:r w:rsidR="00CA209F" w:rsidRPr="00E24C37">
        <w:t xml:space="preserve">and </w:t>
      </w:r>
      <w:r w:rsidRPr="00E24C37">
        <w:t>the maintenance of the unity of the Russian Federation</w:t>
      </w:r>
      <w:r w:rsidR="00CA209F" w:rsidRPr="00E24C37">
        <w:t>,</w:t>
      </w:r>
      <w:r w:rsidRPr="00E24C37">
        <w:t xml:space="preserve"> </w:t>
      </w:r>
      <w:r w:rsidR="00FA57FD" w:rsidRPr="00E24C37">
        <w:t>under</w:t>
      </w:r>
      <w:r w:rsidRPr="00E24C37">
        <w:t xml:space="preserve"> Articles 13, 15, 80 and 82 of the Constitution and Article 22 of the International Covenant on </w:t>
      </w:r>
      <w:r w:rsidR="00FA57FD" w:rsidRPr="00E24C37">
        <w:t>C</w:t>
      </w:r>
      <w:r w:rsidRPr="00E24C37">
        <w:t xml:space="preserve">ivil and </w:t>
      </w:r>
      <w:r w:rsidR="00FA57FD" w:rsidRPr="00E24C37">
        <w:t>P</w:t>
      </w:r>
      <w:r w:rsidRPr="00E24C37">
        <w:t xml:space="preserve">olitical </w:t>
      </w:r>
      <w:r w:rsidR="00FA57FD" w:rsidRPr="00E24C37">
        <w:t>R</w:t>
      </w:r>
      <w:r w:rsidRPr="00E24C37">
        <w:t>ights, I order:</w:t>
      </w:r>
    </w:p>
    <w:p w:rsidR="00E370D2" w:rsidRPr="00E24C37" w:rsidRDefault="00197E46" w:rsidP="00E24C37">
      <w:pPr>
        <w:pStyle w:val="ECHRParaQuote"/>
        <w:rPr>
          <w:rFonts w:ascii="Times New Roman" w:eastAsiaTheme="minorHAnsi" w:hAnsi="Times New Roman" w:cs="Times New Roman"/>
          <w:szCs w:val="24"/>
        </w:rPr>
      </w:pPr>
      <w:r w:rsidRPr="00E24C37">
        <w:rPr>
          <w:rFonts w:ascii="Times New Roman" w:eastAsiaTheme="minorHAnsi" w:hAnsi="Times New Roman" w:cs="Times New Roman"/>
          <w:szCs w:val="24"/>
        </w:rPr>
        <w:t>...</w:t>
      </w:r>
    </w:p>
    <w:p w:rsidR="00E370D2" w:rsidRPr="00E24C37" w:rsidRDefault="00E370D2" w:rsidP="00E24C37">
      <w:pPr>
        <w:pStyle w:val="ECHRParaQuote"/>
        <w:rPr>
          <w:rFonts w:ascii="Times New Roman" w:eastAsiaTheme="minorHAnsi" w:hAnsi="Times New Roman" w:cs="Times New Roman"/>
          <w:szCs w:val="24"/>
        </w:rPr>
      </w:pPr>
      <w:r w:rsidRPr="00E24C37">
        <w:rPr>
          <w:rFonts w:ascii="Times New Roman" w:eastAsiaTheme="minorHAnsi" w:hAnsi="Times New Roman" w:cs="Times New Roman"/>
          <w:szCs w:val="24"/>
        </w:rPr>
        <w:t xml:space="preserve">2.  Within their respective competencies, the Ministry of the Interior, the Federal Counter-Intelligence Service, the State Customs Committee, </w:t>
      </w:r>
      <w:r w:rsidR="00FA57FD" w:rsidRPr="00E24C37">
        <w:rPr>
          <w:rFonts w:ascii="Times New Roman" w:eastAsiaTheme="minorHAnsi" w:hAnsi="Times New Roman" w:cs="Times New Roman"/>
          <w:szCs w:val="24"/>
        </w:rPr>
        <w:t xml:space="preserve">and </w:t>
      </w:r>
      <w:r w:rsidRPr="00E24C37">
        <w:rPr>
          <w:rFonts w:ascii="Times New Roman" w:eastAsiaTheme="minorHAnsi" w:hAnsi="Times New Roman" w:cs="Times New Roman"/>
          <w:szCs w:val="24"/>
        </w:rPr>
        <w:t xml:space="preserve">the State Border Service must arrest and bring to liability persons who are disseminating printed, cinematographic, photo-, audio- or video-materials which are aimed at inciting propaganda </w:t>
      </w:r>
      <w:r w:rsidR="00FA57FD" w:rsidRPr="00E24C37">
        <w:rPr>
          <w:rFonts w:ascii="Times New Roman" w:eastAsiaTheme="minorHAnsi" w:hAnsi="Times New Roman" w:cs="Times New Roman"/>
          <w:szCs w:val="24"/>
        </w:rPr>
        <w:t xml:space="preserve">in favour of </w:t>
      </w:r>
      <w:r w:rsidRPr="00E24C37">
        <w:rPr>
          <w:rFonts w:ascii="Times New Roman" w:eastAsiaTheme="minorHAnsi" w:hAnsi="Times New Roman" w:cs="Times New Roman"/>
          <w:szCs w:val="24"/>
        </w:rPr>
        <w:t>fascism, at inciting social, racial, ethnic or religious enmity; to take measures for seizing such printed material and other materials.</w:t>
      </w:r>
    </w:p>
    <w:p w:rsidR="00E370D2" w:rsidRPr="00E24C37" w:rsidRDefault="00197E46" w:rsidP="00E24C37">
      <w:pPr>
        <w:pStyle w:val="ECHRParaQuote"/>
        <w:rPr>
          <w:rFonts w:ascii="Times New Roman" w:eastAsiaTheme="minorHAnsi" w:hAnsi="Times New Roman" w:cs="Times New Roman"/>
          <w:szCs w:val="24"/>
        </w:rPr>
      </w:pPr>
      <w:r w:rsidRPr="00E24C37">
        <w:rPr>
          <w:rFonts w:ascii="Times New Roman" w:eastAsiaTheme="minorHAnsi" w:hAnsi="Times New Roman" w:cs="Times New Roman"/>
          <w:szCs w:val="24"/>
        </w:rPr>
        <w:t>...</w:t>
      </w:r>
    </w:p>
    <w:p w:rsidR="00CA268B" w:rsidRPr="00E24C37" w:rsidRDefault="00E370D2" w:rsidP="00E24C37">
      <w:pPr>
        <w:pStyle w:val="ECHRParaQuote"/>
        <w:rPr>
          <w:rFonts w:ascii="Times New Roman" w:eastAsiaTheme="minorHAnsi" w:hAnsi="Times New Roman" w:cs="Times New Roman"/>
          <w:szCs w:val="24"/>
        </w:rPr>
      </w:pPr>
      <w:r w:rsidRPr="00E24C37">
        <w:rPr>
          <w:rFonts w:ascii="Times New Roman" w:eastAsiaTheme="minorHAnsi" w:hAnsi="Times New Roman" w:cs="Times New Roman"/>
          <w:szCs w:val="24"/>
        </w:rPr>
        <w:t xml:space="preserve">6.  I invite the Supreme Court of the Russian Federation to </w:t>
      </w:r>
      <w:r w:rsidR="00CA268B" w:rsidRPr="00E24C37">
        <w:rPr>
          <w:rFonts w:ascii="Times New Roman" w:eastAsiaTheme="minorHAnsi" w:hAnsi="Times New Roman" w:cs="Times New Roman"/>
          <w:szCs w:val="24"/>
        </w:rPr>
        <w:t xml:space="preserve">provide guidance concerning the notions and terminology relating to liability for acts aimed at inciting social, racial, ethnic and religious enmity </w:t>
      </w:r>
      <w:r w:rsidR="00197E46" w:rsidRPr="00E24C37">
        <w:rPr>
          <w:rFonts w:ascii="Times New Roman" w:eastAsiaTheme="minorHAnsi" w:hAnsi="Times New Roman" w:cs="Times New Roman"/>
          <w:szCs w:val="24"/>
        </w:rPr>
        <w:t>...</w:t>
      </w:r>
      <w:r w:rsidR="00CA268B" w:rsidRPr="00E24C37">
        <w:rPr>
          <w:rFonts w:ascii="Times New Roman" w:eastAsiaTheme="minorHAnsi" w:hAnsi="Times New Roman" w:cs="Times New Roman"/>
          <w:szCs w:val="24"/>
        </w:rPr>
        <w:t>”</w:t>
      </w:r>
    </w:p>
    <w:bookmarkStart w:id="19" w:name="FCAnovember1995"/>
    <w:p w:rsidR="00693D5B" w:rsidRPr="00E24C37" w:rsidRDefault="00153427" w:rsidP="00E24C37">
      <w:pPr>
        <w:pStyle w:val="ECHRPara"/>
      </w:pPr>
      <w:r w:rsidRPr="00E24C37">
        <w:fldChar w:fldCharType="begin"/>
      </w:r>
      <w:r w:rsidRPr="00E24C37">
        <w:instrText xml:space="preserve"> SEQ level0 \*arabic </w:instrText>
      </w:r>
      <w:r w:rsidRPr="00E24C37">
        <w:fldChar w:fldCharType="separate"/>
      </w:r>
      <w:r w:rsidR="00B87844">
        <w:rPr>
          <w:noProof/>
        </w:rPr>
        <w:t>36</w:t>
      </w:r>
      <w:r w:rsidRPr="00E24C37">
        <w:rPr>
          <w:noProof/>
        </w:rPr>
        <w:fldChar w:fldCharType="end"/>
      </w:r>
      <w:bookmarkEnd w:id="19"/>
      <w:r w:rsidR="00900C39" w:rsidRPr="00E24C37">
        <w:t>.  Order no. 677</w:t>
      </w:r>
      <w:r w:rsidR="00BB4B92" w:rsidRPr="00E24C37">
        <w:t xml:space="preserve"> issued by the Federal Customs Authority on </w:t>
      </w:r>
      <w:r w:rsidR="00900C39" w:rsidRPr="00E24C37">
        <w:t>10</w:t>
      </w:r>
      <w:r w:rsidR="00BB4B92" w:rsidRPr="00E24C37">
        <w:t> </w:t>
      </w:r>
      <w:r w:rsidR="00900C39" w:rsidRPr="00E24C37">
        <w:t>November 1995</w:t>
      </w:r>
      <w:r w:rsidR="00693D5B" w:rsidRPr="00E24C37">
        <w:t xml:space="preserve"> read at the time as follows:</w:t>
      </w:r>
    </w:p>
    <w:p w:rsidR="00693D5B" w:rsidRPr="00E24C37" w:rsidRDefault="00693D5B" w:rsidP="00E24C37">
      <w:pPr>
        <w:pStyle w:val="ECHRParaQuote"/>
      </w:pPr>
      <w:r w:rsidRPr="00E24C37">
        <w:t xml:space="preserve">“In order to enforce Decree no. 310 of 23 March 1995 issued by the President of Russia, it is ordered </w:t>
      </w:r>
      <w:r w:rsidR="00CA209F" w:rsidRPr="00E24C37">
        <w:t xml:space="preserve">as regards customs procedures </w:t>
      </w:r>
      <w:r w:rsidRPr="00E24C37">
        <w:t>that:</w:t>
      </w:r>
    </w:p>
    <w:p w:rsidR="00693D5B" w:rsidRPr="00E24C37" w:rsidRDefault="00693D5B" w:rsidP="00E24C37">
      <w:pPr>
        <w:pStyle w:val="ECHRParaQuote"/>
      </w:pPr>
      <w:r w:rsidRPr="00E24C37">
        <w:t xml:space="preserve">1. The chief officers of regional authorities must take effective measures for preventing </w:t>
      </w:r>
      <w:r w:rsidR="00FA57FD" w:rsidRPr="00E24C37">
        <w:t xml:space="preserve">the </w:t>
      </w:r>
      <w:r w:rsidRPr="00E24C37">
        <w:t xml:space="preserve">entry of printed, cinematographic, photo-, audio- and video-materials aimed at propaganda </w:t>
      </w:r>
      <w:r w:rsidR="00FA57FD" w:rsidRPr="00E24C37">
        <w:t xml:space="preserve">in favour of </w:t>
      </w:r>
      <w:r w:rsidRPr="00E24C37">
        <w:t xml:space="preserve">fascism </w:t>
      </w:r>
      <w:r w:rsidR="00FA57FD" w:rsidRPr="00E24C37">
        <w:t xml:space="preserve">and </w:t>
      </w:r>
      <w:r w:rsidRPr="00E24C37">
        <w:t>at inciting social, racial, ethnic or religious enmity. For th</w:t>
      </w:r>
      <w:r w:rsidR="00FA57FD" w:rsidRPr="00E24C37">
        <w:t>at</w:t>
      </w:r>
      <w:r w:rsidRPr="00E24C37">
        <w:t xml:space="preserve"> purpose it is necessary to</w:t>
      </w:r>
      <w:r w:rsidR="00CE2F49" w:rsidRPr="00E24C37">
        <w:t xml:space="preserve"> assign officers specialised in </w:t>
      </w:r>
      <w:r w:rsidR="00FA57FD" w:rsidRPr="00E24C37">
        <w:t xml:space="preserve">checking </w:t>
      </w:r>
      <w:r w:rsidR="00CE2F49" w:rsidRPr="00E24C37">
        <w:t xml:space="preserve">the content of such material from the units that carry out customs inspections of goods and vehicles </w:t>
      </w:r>
      <w:r w:rsidR="00197E46" w:rsidRPr="00E24C37">
        <w:t>...</w:t>
      </w:r>
    </w:p>
    <w:p w:rsidR="00693D5B" w:rsidRPr="00E24C37" w:rsidRDefault="00693D5B" w:rsidP="00E24C37">
      <w:pPr>
        <w:pStyle w:val="ECHRParaQuote"/>
      </w:pPr>
      <w:r w:rsidRPr="00E24C37">
        <w:t>2.  </w:t>
      </w:r>
      <w:r w:rsidR="00197E46" w:rsidRPr="00E24C37">
        <w:t>...</w:t>
      </w:r>
      <w:r w:rsidR="00CE2F49" w:rsidRPr="00E24C37">
        <w:t xml:space="preserve"> to apply Article 20 of the Customs Code [of 18 June 1993].</w:t>
      </w:r>
      <w:r w:rsidR="00CE2F49" w:rsidRPr="00E24C37">
        <w:rPr>
          <w:rStyle w:val="af4"/>
        </w:rPr>
        <w:footnoteReference w:id="3"/>
      </w:r>
      <w:r w:rsidR="00CE2F49" w:rsidRPr="00E24C37">
        <w:t>”</w:t>
      </w:r>
    </w:p>
    <w:bookmarkStart w:id="20" w:name="instruction2008"/>
    <w:p w:rsidR="001F0FBE" w:rsidRPr="00E24C37" w:rsidRDefault="001F0FBE" w:rsidP="00E24C37">
      <w:pPr>
        <w:pStyle w:val="ECHRPara"/>
      </w:pPr>
      <w:r w:rsidRPr="00E24C37">
        <w:fldChar w:fldCharType="begin"/>
      </w:r>
      <w:r w:rsidRPr="00E24C37">
        <w:instrText xml:space="preserve"> SEQ level0 \*arabic </w:instrText>
      </w:r>
      <w:r w:rsidRPr="00E24C37">
        <w:fldChar w:fldCharType="separate"/>
      </w:r>
      <w:r w:rsidR="00B87844">
        <w:rPr>
          <w:noProof/>
        </w:rPr>
        <w:t>37</w:t>
      </w:r>
      <w:r w:rsidRPr="00E24C37">
        <w:fldChar w:fldCharType="end"/>
      </w:r>
      <w:bookmarkEnd w:id="20"/>
      <w:r w:rsidRPr="00E24C37">
        <w:t>.  With their observations the respondent Government enclosed the Instruction on customs officials</w:t>
      </w:r>
      <w:r w:rsidR="00E24C37" w:rsidRPr="00E24C37">
        <w:t>’</w:t>
      </w:r>
      <w:r w:rsidRPr="00E24C37">
        <w:t xml:space="preserve"> actions on the application of risk profiles during customs c</w:t>
      </w:r>
      <w:r w:rsidR="00CA209F" w:rsidRPr="00E24C37">
        <w:t>hecks</w:t>
      </w:r>
      <w:r w:rsidRPr="00E24C37">
        <w:t xml:space="preserve">, </w:t>
      </w:r>
      <w:r w:rsidR="00CA209F" w:rsidRPr="00E24C37">
        <w:t>approved</w:t>
      </w:r>
      <w:r w:rsidRPr="00E24C37">
        <w:t xml:space="preserve"> by the Federal Custo</w:t>
      </w:r>
      <w:r w:rsidR="00134A12" w:rsidRPr="00E24C37">
        <w:t>ms Authority on 11</w:t>
      </w:r>
      <w:r w:rsidR="00F61957" w:rsidRPr="00E24C37">
        <w:t> </w:t>
      </w:r>
      <w:r w:rsidR="00134A12" w:rsidRPr="00E24C37">
        <w:t>January 2008</w:t>
      </w:r>
      <w:r w:rsidR="00FA57FD" w:rsidRPr="00E24C37">
        <w:t>. It a</w:t>
      </w:r>
      <w:r w:rsidR="00134A12" w:rsidRPr="00E24C37">
        <w:t xml:space="preserve">pparently replaced an earlier </w:t>
      </w:r>
      <w:r w:rsidR="00CA209F" w:rsidRPr="00E24C37">
        <w:t xml:space="preserve">Instruction </w:t>
      </w:r>
      <w:r w:rsidR="00134A12" w:rsidRPr="00E24C37">
        <w:t xml:space="preserve">issued in 2004 </w:t>
      </w:r>
      <w:r w:rsidR="00134A12" w:rsidRPr="00E24C37">
        <w:lastRenderedPageBreak/>
        <w:t xml:space="preserve">and is no longer valid. </w:t>
      </w:r>
      <w:r w:rsidR="00FA57FD" w:rsidRPr="00E24C37">
        <w:t xml:space="preserve">At the relevant time </w:t>
      </w:r>
      <w:r w:rsidR="00BB0419" w:rsidRPr="00E24C37">
        <w:t>the Instruction</w:t>
      </w:r>
      <w:r w:rsidR="00134A12" w:rsidRPr="00E24C37">
        <w:t xml:space="preserve"> </w:t>
      </w:r>
      <w:r w:rsidR="00FA57FD" w:rsidRPr="00E24C37">
        <w:t xml:space="preserve">provided that </w:t>
      </w:r>
      <w:r w:rsidR="00BB0419" w:rsidRPr="00E24C37">
        <w:t xml:space="preserve">a customs inspection </w:t>
      </w:r>
      <w:r w:rsidR="00FA57FD" w:rsidRPr="00E24C37">
        <w:t xml:space="preserve">could </w:t>
      </w:r>
      <w:r w:rsidR="00BB0419" w:rsidRPr="00E24C37">
        <w:t xml:space="preserve">be carried out if there </w:t>
      </w:r>
      <w:r w:rsidR="00FA57FD" w:rsidRPr="00E24C37">
        <w:t>wa</w:t>
      </w:r>
      <w:r w:rsidR="00BB0419" w:rsidRPr="00E24C37">
        <w:t xml:space="preserve">s information about a possible </w:t>
      </w:r>
      <w:r w:rsidR="00FA57FD" w:rsidRPr="00E24C37">
        <w:t xml:space="preserve">customs </w:t>
      </w:r>
      <w:r w:rsidR="00BB0419" w:rsidRPr="00E24C37">
        <w:t>offence (</w:t>
      </w:r>
      <w:r w:rsidR="00BB0419" w:rsidRPr="00E24C37">
        <w:rPr>
          <w:i/>
          <w:lang w:val="ru-RU"/>
        </w:rPr>
        <w:t>правонарушение</w:t>
      </w:r>
      <w:r w:rsidR="00BB0419" w:rsidRPr="00E24C37">
        <w:t xml:space="preserve">) or if there </w:t>
      </w:r>
      <w:r w:rsidR="00FA57FD" w:rsidRPr="00E24C37">
        <w:t>we</w:t>
      </w:r>
      <w:r w:rsidR="00BB0419" w:rsidRPr="00E24C37">
        <w:t xml:space="preserve">re justified </w:t>
      </w:r>
      <w:r w:rsidR="00EF1CCC" w:rsidRPr="00E24C37">
        <w:t>“</w:t>
      </w:r>
      <w:r w:rsidR="00BB0419" w:rsidRPr="00E24C37">
        <w:t>suppositions</w:t>
      </w:r>
      <w:r w:rsidR="00EF1CCC" w:rsidRPr="00E24C37">
        <w:t xml:space="preserve">” </w:t>
      </w:r>
      <w:r w:rsidR="00BB0419" w:rsidRPr="00E24C37">
        <w:t>(</w:t>
      </w:r>
      <w:r w:rsidR="00BB0419" w:rsidRPr="00E24C37">
        <w:rPr>
          <w:i/>
          <w:lang w:val="ru-RU"/>
        </w:rPr>
        <w:t>обоснованные</w:t>
      </w:r>
      <w:r w:rsidR="00BB0419" w:rsidRPr="00E24C37">
        <w:rPr>
          <w:i/>
        </w:rPr>
        <w:t xml:space="preserve"> </w:t>
      </w:r>
      <w:r w:rsidR="00BB0419" w:rsidRPr="00E24C37">
        <w:rPr>
          <w:i/>
          <w:lang w:val="ru-RU"/>
        </w:rPr>
        <w:t>предположения</w:t>
      </w:r>
      <w:r w:rsidR="00BB0419" w:rsidRPr="00E24C37">
        <w:t xml:space="preserve">) that information </w:t>
      </w:r>
      <w:r w:rsidR="00FA57FD" w:rsidRPr="00E24C37">
        <w:t xml:space="preserve">that had been </w:t>
      </w:r>
      <w:r w:rsidR="00BB0419" w:rsidRPr="00E24C37">
        <w:t xml:space="preserve">declared about </w:t>
      </w:r>
      <w:r w:rsidR="00FA57FD" w:rsidRPr="00E24C37">
        <w:t xml:space="preserve">certain </w:t>
      </w:r>
      <w:r w:rsidR="00BB0419" w:rsidRPr="00E24C37">
        <w:t xml:space="preserve">goods </w:t>
      </w:r>
      <w:r w:rsidR="00FA57FD" w:rsidRPr="00E24C37">
        <w:t>wa</w:t>
      </w:r>
      <w:r w:rsidR="00BB0419" w:rsidRPr="00E24C37">
        <w:t>s not correct (section 68). If a customs officer consider</w:t>
      </w:r>
      <w:r w:rsidR="00FA57FD" w:rsidRPr="00E24C37">
        <w:t>ed</w:t>
      </w:r>
      <w:r w:rsidR="00BB0419" w:rsidRPr="00E24C37">
        <w:t xml:space="preserve"> it necessary to carry out an inspection on the basis of information received or if he ha</w:t>
      </w:r>
      <w:r w:rsidR="00FA57FD" w:rsidRPr="00E24C37">
        <w:t>d</w:t>
      </w:r>
      <w:r w:rsidR="00BB0419" w:rsidRPr="00E24C37">
        <w:t xml:space="preserve"> justified </w:t>
      </w:r>
      <w:r w:rsidR="00B154A5" w:rsidRPr="00E24C37">
        <w:t xml:space="preserve">grounds to assume </w:t>
      </w:r>
      <w:r w:rsidR="00BB0419" w:rsidRPr="00E24C37">
        <w:t xml:space="preserve">that information </w:t>
      </w:r>
      <w:r w:rsidR="00B154A5" w:rsidRPr="00E24C37">
        <w:t xml:space="preserve">that had been declared </w:t>
      </w:r>
      <w:r w:rsidR="00BB0419" w:rsidRPr="00E24C37">
        <w:t xml:space="preserve">about goods </w:t>
      </w:r>
      <w:r w:rsidR="00B154A5" w:rsidRPr="00E24C37">
        <w:t xml:space="preserve">or </w:t>
      </w:r>
      <w:r w:rsidR="00BB0419" w:rsidRPr="00E24C37">
        <w:t xml:space="preserve">vehicles </w:t>
      </w:r>
      <w:r w:rsidR="00B154A5" w:rsidRPr="00E24C37">
        <w:t xml:space="preserve">might </w:t>
      </w:r>
      <w:r w:rsidR="00BB0419" w:rsidRPr="00E24C37">
        <w:t xml:space="preserve">be incorrect, he </w:t>
      </w:r>
      <w:r w:rsidR="00B154A5" w:rsidRPr="00E24C37">
        <w:t xml:space="preserve">had to </w:t>
      </w:r>
      <w:r w:rsidR="00BB0419" w:rsidRPr="00E24C37">
        <w:t>submit a report to his superior (section 71). The latter then authorise</w:t>
      </w:r>
      <w:r w:rsidR="00B154A5" w:rsidRPr="00E24C37">
        <w:t>d</w:t>
      </w:r>
      <w:r w:rsidR="00BB0419" w:rsidRPr="00E24C37">
        <w:t xml:space="preserve"> or refuse</w:t>
      </w:r>
      <w:r w:rsidR="00B154A5" w:rsidRPr="00E24C37">
        <w:t>d</w:t>
      </w:r>
      <w:r w:rsidR="00BB0419" w:rsidRPr="00E24C37">
        <w:t xml:space="preserve"> an inspection (section 73).</w:t>
      </w:r>
    </w:p>
    <w:p w:rsidR="005B22CE" w:rsidRPr="00E24C37" w:rsidRDefault="005B22CE" w:rsidP="00E24C37">
      <w:pPr>
        <w:pStyle w:val="ECHRPara"/>
      </w:pPr>
      <w:r w:rsidRPr="00E24C37">
        <w:fldChar w:fldCharType="begin"/>
      </w:r>
      <w:r w:rsidRPr="00E24C37">
        <w:instrText xml:space="preserve"> SEQ level0 \*arabic </w:instrText>
      </w:r>
      <w:r w:rsidRPr="00E24C37">
        <w:fldChar w:fldCharType="separate"/>
      </w:r>
      <w:r w:rsidR="00B87844">
        <w:rPr>
          <w:noProof/>
        </w:rPr>
        <w:t>38</w:t>
      </w:r>
      <w:r w:rsidRPr="00E24C37">
        <w:fldChar w:fldCharType="end"/>
      </w:r>
      <w:r w:rsidRPr="00E24C37">
        <w:t xml:space="preserve">.  Pursuant to </w:t>
      </w:r>
      <w:r w:rsidR="00B154A5" w:rsidRPr="00E24C37">
        <w:t xml:space="preserve">a </w:t>
      </w:r>
      <w:r w:rsidRPr="00E24C37">
        <w:t>letter dated 16 July 2008 issued by the Federal Customs Authority, the</w:t>
      </w:r>
      <w:r w:rsidR="00B154A5" w:rsidRPr="00E24C37">
        <w:t xml:space="preserve"> import </w:t>
      </w:r>
      <w:r w:rsidRPr="00E24C37">
        <w:t>of printed, cinematographic, photo-, audio</w:t>
      </w:r>
      <w:r w:rsidR="00F61957" w:rsidRPr="00E24C37">
        <w:noBreakHyphen/>
      </w:r>
      <w:r w:rsidRPr="00E24C37">
        <w:t xml:space="preserve"> and video-materials aimed at Nazi propaganda</w:t>
      </w:r>
      <w:r w:rsidR="00B154A5" w:rsidRPr="00E24C37">
        <w:t xml:space="preserve"> or </w:t>
      </w:r>
      <w:r w:rsidRPr="00E24C37">
        <w:t xml:space="preserve">at inciting social, racial, ethnic and religious enmity </w:t>
      </w:r>
      <w:r w:rsidR="00B154A5" w:rsidRPr="00E24C37">
        <w:t xml:space="preserve">was banned </w:t>
      </w:r>
      <w:r w:rsidRPr="00E24C37">
        <w:t>(section 3.1.2).</w:t>
      </w:r>
    </w:p>
    <w:p w:rsidR="00C6738B" w:rsidRPr="00E24C37" w:rsidRDefault="007101D3" w:rsidP="00E24C37">
      <w:pPr>
        <w:pStyle w:val="ECHRHeading2"/>
      </w:pPr>
      <w:r w:rsidRPr="00E24C37">
        <w:t>C.  Other legislation and</w:t>
      </w:r>
      <w:r w:rsidR="00C6738B" w:rsidRPr="00E24C37">
        <w:t xml:space="preserve"> documents</w:t>
      </w:r>
    </w:p>
    <w:p w:rsidR="001310F0"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39</w:t>
      </w:r>
      <w:r w:rsidRPr="00E24C37">
        <w:rPr>
          <w:noProof/>
        </w:rPr>
        <w:fldChar w:fldCharType="end"/>
      </w:r>
      <w:r w:rsidR="00BE3427" w:rsidRPr="00E24C37">
        <w:t>.  </w:t>
      </w:r>
      <w:r w:rsidR="001310F0" w:rsidRPr="00E24C37">
        <w:t>Section 1 of the Suppression of Extremism Act (Federal Law no. 114-FZ on Combatting Extremist Activity, 25 July 2002), as in force at the material time, defined extremist activity</w:t>
      </w:r>
      <w:r w:rsidR="00B154A5" w:rsidRPr="00E24C37">
        <w:t xml:space="preserve"> or </w:t>
      </w:r>
      <w:r w:rsidR="001310F0" w:rsidRPr="00E24C37">
        <w:t>extremism as:</w:t>
      </w:r>
    </w:p>
    <w:p w:rsidR="001310F0" w:rsidRPr="00E24C37" w:rsidRDefault="001310F0" w:rsidP="00E24C37">
      <w:pPr>
        <w:pStyle w:val="ECHRPara"/>
      </w:pPr>
      <w:r w:rsidRPr="00E24C37">
        <w:t xml:space="preserve">- </w:t>
      </w:r>
      <w:r w:rsidR="00B154A5" w:rsidRPr="00E24C37">
        <w:t xml:space="preserve">a </w:t>
      </w:r>
      <w:r w:rsidRPr="00E24C37">
        <w:t>forcible change of the constitutional foundations of the Russian Federation and breach</w:t>
      </w:r>
      <w:r w:rsidR="00CA209F" w:rsidRPr="00E24C37">
        <w:t>es</w:t>
      </w:r>
      <w:r w:rsidRPr="00E24C37">
        <w:t xml:space="preserve"> of its territorial integrity;</w:t>
      </w:r>
    </w:p>
    <w:p w:rsidR="001310F0" w:rsidRPr="00E24C37" w:rsidRDefault="001310F0" w:rsidP="00E24C37">
      <w:pPr>
        <w:pStyle w:val="ECHRPara"/>
      </w:pPr>
      <w:r w:rsidRPr="00E24C37">
        <w:t xml:space="preserve">- </w:t>
      </w:r>
      <w:r w:rsidR="00CA209F" w:rsidRPr="00E24C37">
        <w:t xml:space="preserve">the </w:t>
      </w:r>
      <w:r w:rsidRPr="00E24C37">
        <w:t>public justification of terrorism or other terrorist activities;</w:t>
      </w:r>
    </w:p>
    <w:p w:rsidR="001310F0" w:rsidRPr="00E24C37" w:rsidRDefault="001310F0" w:rsidP="00E24C37">
      <w:pPr>
        <w:pStyle w:val="ECHRPara"/>
      </w:pPr>
      <w:r w:rsidRPr="00E24C37">
        <w:t xml:space="preserve">- inciting racial, </w:t>
      </w:r>
      <w:r w:rsidR="005E7878" w:rsidRPr="00E24C37">
        <w:t>national</w:t>
      </w:r>
      <w:r w:rsidRPr="00E24C37">
        <w:t>, religious or social hatred;</w:t>
      </w:r>
    </w:p>
    <w:p w:rsidR="001310F0" w:rsidRPr="00E24C37" w:rsidRDefault="001310F0" w:rsidP="00E24C37">
      <w:pPr>
        <w:pStyle w:val="ECHRPara"/>
      </w:pPr>
      <w:r w:rsidRPr="00E24C37">
        <w:t>- propaganda promoting the exceptional</w:t>
      </w:r>
      <w:r w:rsidR="00B41EF0" w:rsidRPr="00E24C37">
        <w:t xml:space="preserve"> nature</w:t>
      </w:r>
      <w:r w:rsidRPr="00E24C37">
        <w:t>, superiority or inferiority of persons on the grounds of their religion, social position, race, nationality or language;</w:t>
      </w:r>
    </w:p>
    <w:p w:rsidR="001310F0" w:rsidRPr="00E24C37" w:rsidRDefault="001310F0" w:rsidP="00E24C37">
      <w:pPr>
        <w:pStyle w:val="ECHRPara"/>
      </w:pPr>
      <w:r w:rsidRPr="00E24C37">
        <w:t>- violation</w:t>
      </w:r>
      <w:r w:rsidR="00B41EF0" w:rsidRPr="00E24C37">
        <w:t>s</w:t>
      </w:r>
      <w:r w:rsidRPr="00E24C37">
        <w:t xml:space="preserve"> of an individual</w:t>
      </w:r>
      <w:r w:rsidR="00E24C37" w:rsidRPr="00E24C37">
        <w:t>’</w:t>
      </w:r>
      <w:r w:rsidRPr="00E24C37">
        <w:t xml:space="preserve">s rights and freedoms on account of his or her religion, race, </w:t>
      </w:r>
      <w:r w:rsidR="005E7878" w:rsidRPr="00E24C37">
        <w:t>national</w:t>
      </w:r>
      <w:r w:rsidRPr="00E24C37">
        <w:t>, social position or social origin;</w:t>
      </w:r>
    </w:p>
    <w:p w:rsidR="001310F0" w:rsidRPr="00E24C37" w:rsidRDefault="001310F0" w:rsidP="00E24C37">
      <w:pPr>
        <w:pStyle w:val="ECHRPara"/>
      </w:pPr>
      <w:r w:rsidRPr="00E24C37">
        <w:t xml:space="preserve">- obstruction </w:t>
      </w:r>
      <w:r w:rsidR="00B154A5" w:rsidRPr="00E24C37">
        <w:t xml:space="preserve">of </w:t>
      </w:r>
      <w:r w:rsidRPr="00E24C37">
        <w:t xml:space="preserve">the exercise of </w:t>
      </w:r>
      <w:r w:rsidR="00B154A5" w:rsidRPr="00E24C37">
        <w:t>citizens</w:t>
      </w:r>
      <w:r w:rsidR="00E24C37" w:rsidRPr="00E24C37">
        <w:t>’</w:t>
      </w:r>
      <w:r w:rsidR="00B154A5" w:rsidRPr="00E24C37">
        <w:t xml:space="preserve"> </w:t>
      </w:r>
      <w:r w:rsidRPr="00E24C37">
        <w:t>electoral rights or violation</w:t>
      </w:r>
      <w:r w:rsidR="00B154A5" w:rsidRPr="00E24C37">
        <w:t>s</w:t>
      </w:r>
      <w:r w:rsidRPr="00E24C37">
        <w:t xml:space="preserve"> of the secre</w:t>
      </w:r>
      <w:r w:rsidR="00B154A5" w:rsidRPr="00E24C37">
        <w:t>t ballot in voting</w:t>
      </w:r>
      <w:r w:rsidRPr="00E24C37">
        <w:t>, combined with violence or threats of the use thereof;</w:t>
      </w:r>
    </w:p>
    <w:p w:rsidR="001310F0" w:rsidRPr="00E24C37" w:rsidRDefault="001310F0" w:rsidP="00E24C37">
      <w:pPr>
        <w:pStyle w:val="ECHRPara"/>
      </w:pPr>
      <w:r w:rsidRPr="00E24C37">
        <w:t>- obstruction of the lawful activities of State authorities, electoral commissions and their officials, non-governmental or religious organisations, combined with violence or threats of the use thereof;</w:t>
      </w:r>
    </w:p>
    <w:p w:rsidR="001310F0" w:rsidRPr="00E24C37" w:rsidRDefault="001310F0" w:rsidP="00E24C37">
      <w:pPr>
        <w:pStyle w:val="ECHRPara"/>
      </w:pPr>
      <w:r w:rsidRPr="00E24C37">
        <w:t xml:space="preserve">- propaganda </w:t>
      </w:r>
      <w:r w:rsidR="00B154A5" w:rsidRPr="00E24C37">
        <w:t xml:space="preserve">for </w:t>
      </w:r>
      <w:r w:rsidRPr="00E24C37">
        <w:t xml:space="preserve">and </w:t>
      </w:r>
      <w:r w:rsidR="00B154A5" w:rsidRPr="00E24C37">
        <w:t xml:space="preserve">the </w:t>
      </w:r>
      <w:r w:rsidRPr="00E24C37">
        <w:t>public display of Nazi attributes or symbols or attributes or symbols which are similar to Nazi attributes or symbols to the point of becoming undistinguishable;</w:t>
      </w:r>
    </w:p>
    <w:p w:rsidR="001310F0" w:rsidRPr="00E24C37" w:rsidRDefault="001310F0" w:rsidP="00E24C37">
      <w:pPr>
        <w:pStyle w:val="ECHRPara"/>
      </w:pPr>
      <w:r w:rsidRPr="00E24C37">
        <w:t>- public appeals to carry out the afore</w:t>
      </w:r>
      <w:r w:rsidR="005E7878" w:rsidRPr="00E24C37">
        <w:t xml:space="preserve">mentioned acts or </w:t>
      </w:r>
      <w:r w:rsidR="00B154A5" w:rsidRPr="00E24C37">
        <w:t xml:space="preserve">the </w:t>
      </w:r>
      <w:r w:rsidR="005E7878" w:rsidRPr="00E24C37">
        <w:t>mass distribution of manifestly extremist materials, their production or possession with the aim of mass distribution;</w:t>
      </w:r>
    </w:p>
    <w:p w:rsidR="005E7878" w:rsidRPr="00E24C37" w:rsidRDefault="001310F0" w:rsidP="00E24C37">
      <w:pPr>
        <w:pStyle w:val="ECHRPara"/>
      </w:pPr>
      <w:r w:rsidRPr="00E24C37">
        <w:t xml:space="preserve">- </w:t>
      </w:r>
      <w:r w:rsidR="00930969" w:rsidRPr="00E24C37">
        <w:t xml:space="preserve">making a </w:t>
      </w:r>
      <w:r w:rsidRPr="00E24C37">
        <w:t xml:space="preserve">public </w:t>
      </w:r>
      <w:r w:rsidR="005E7878" w:rsidRPr="00E24C37">
        <w:t xml:space="preserve">and manifestly false </w:t>
      </w:r>
      <w:r w:rsidR="00930969" w:rsidRPr="00E24C37">
        <w:t>accusation</w:t>
      </w:r>
      <w:r w:rsidRPr="00E24C37">
        <w:t xml:space="preserve"> </w:t>
      </w:r>
      <w:r w:rsidR="00930969" w:rsidRPr="00E24C37">
        <w:t xml:space="preserve">against </w:t>
      </w:r>
      <w:r w:rsidRPr="00E24C37">
        <w:t xml:space="preserve">a State official of the Russian Federation or its constituent entities </w:t>
      </w:r>
      <w:r w:rsidR="005E7878" w:rsidRPr="00E24C37">
        <w:t>in relation to the commission</w:t>
      </w:r>
      <w:r w:rsidR="00930969" w:rsidRPr="00E24C37">
        <w:t xml:space="preserve"> </w:t>
      </w:r>
      <w:r w:rsidR="005E7878" w:rsidRPr="00E24C37">
        <w:t>of</w:t>
      </w:r>
      <w:r w:rsidRPr="00E24C37">
        <w:t xml:space="preserve"> the acts mentioned in section 1 of th</w:t>
      </w:r>
      <w:r w:rsidR="00930969" w:rsidRPr="00E24C37">
        <w:t>is</w:t>
      </w:r>
      <w:r w:rsidRPr="00E24C37">
        <w:t xml:space="preserve"> Act </w:t>
      </w:r>
      <w:r w:rsidR="005E7878" w:rsidRPr="00E24C37">
        <w:t xml:space="preserve">and which were a </w:t>
      </w:r>
      <w:r w:rsidR="005E7878" w:rsidRPr="00E24C37">
        <w:lastRenderedPageBreak/>
        <w:t>crime</w:t>
      </w:r>
      <w:r w:rsidR="00C24A1A" w:rsidRPr="00E24C37">
        <w:t xml:space="preserve"> </w:t>
      </w:r>
      <w:r w:rsidR="00930969" w:rsidRPr="00E24C37">
        <w:t>during the exercise of his or her official duties or in connection with those duties</w:t>
      </w:r>
      <w:r w:rsidR="005E7878" w:rsidRPr="00E24C37">
        <w:t>;</w:t>
      </w:r>
    </w:p>
    <w:p w:rsidR="005E7878" w:rsidRPr="00E24C37" w:rsidRDefault="005E7878" w:rsidP="00E24C37">
      <w:pPr>
        <w:pStyle w:val="ECHRPara"/>
      </w:pPr>
      <w:r w:rsidRPr="00E24C37">
        <w:t>-  organising and preparing the above acts, as well as incitement to their commission;</w:t>
      </w:r>
    </w:p>
    <w:p w:rsidR="005E7878" w:rsidRPr="00E24C37" w:rsidRDefault="005E7878" w:rsidP="00E24C37">
      <w:pPr>
        <w:pStyle w:val="ECHRPara"/>
      </w:pPr>
      <w:r w:rsidRPr="00E24C37">
        <w:t>- funding the aforementioned acts or any assistance in preparing and carrying them out, including by providing training, printing</w:t>
      </w:r>
      <w:r w:rsidR="00C24A1A" w:rsidRPr="00E24C37">
        <w:t>,</w:t>
      </w:r>
      <w:r w:rsidRPr="00E24C37">
        <w:t xml:space="preserve"> material</w:t>
      </w:r>
      <w:r w:rsidR="00B154A5" w:rsidRPr="00E24C37">
        <w:t xml:space="preserve"> or </w:t>
      </w:r>
      <w:r w:rsidRPr="00E24C37">
        <w:t>technical support, telephone or other means of communication or information services.</w:t>
      </w:r>
    </w:p>
    <w:p w:rsidR="005E7878" w:rsidRPr="00E24C37" w:rsidRDefault="005E7878" w:rsidP="00E24C37">
      <w:pPr>
        <w:pStyle w:val="ECHRPara"/>
      </w:pPr>
      <w:r w:rsidRPr="00E24C37">
        <w:t>“Extremist material” was defined as documents or information in other form</w:t>
      </w:r>
      <w:r w:rsidR="00C24A1A" w:rsidRPr="00E24C37">
        <w:t>s</w:t>
      </w:r>
      <w:r w:rsidRPr="00E24C37">
        <w:t xml:space="preserve"> which are designed for dissemination</w:t>
      </w:r>
      <w:r w:rsidR="00C24A1A" w:rsidRPr="00E24C37">
        <w:t>,</w:t>
      </w:r>
      <w:r w:rsidRPr="00E24C37">
        <w:t xml:space="preserve"> and call</w:t>
      </w:r>
      <w:r w:rsidR="00B154A5" w:rsidRPr="00E24C37">
        <w:t>s</w:t>
      </w:r>
      <w:r w:rsidRPr="00E24C37">
        <w:t xml:space="preserve"> for carrying out extremist activities or justifying the need for such activities, including publications that justify national or racial superiority or justify war crimes or other crimes, which are aimed at </w:t>
      </w:r>
      <w:r w:rsidR="00C24A1A" w:rsidRPr="00E24C37">
        <w:t xml:space="preserve">the </w:t>
      </w:r>
      <w:r w:rsidRPr="00E24C37">
        <w:t xml:space="preserve">full or partial destruction of an ethnic, </w:t>
      </w:r>
      <w:r w:rsidR="009664CA" w:rsidRPr="00E24C37">
        <w:t xml:space="preserve">national, </w:t>
      </w:r>
      <w:r w:rsidRPr="00E24C37">
        <w:t>social, racial or religious group.</w:t>
      </w:r>
    </w:p>
    <w:bookmarkStart w:id="21" w:name="A13CCrP"/>
    <w:p w:rsidR="001F0FBE" w:rsidRPr="00E24C37" w:rsidRDefault="009664CA" w:rsidP="00E24C37">
      <w:pPr>
        <w:pStyle w:val="ECHRPara"/>
      </w:pPr>
      <w:r w:rsidRPr="00E24C37">
        <w:fldChar w:fldCharType="begin"/>
      </w:r>
      <w:r w:rsidRPr="00E24C37">
        <w:instrText xml:space="preserve"> SEQ level0 \*arabic </w:instrText>
      </w:r>
      <w:r w:rsidRPr="00E24C37">
        <w:fldChar w:fldCharType="separate"/>
      </w:r>
      <w:r w:rsidR="00B87844">
        <w:rPr>
          <w:noProof/>
        </w:rPr>
        <w:t>40</w:t>
      </w:r>
      <w:r w:rsidRPr="00E24C37">
        <w:fldChar w:fldCharType="end"/>
      </w:r>
      <w:bookmarkEnd w:id="21"/>
      <w:r w:rsidRPr="00E24C37">
        <w:t>.  </w:t>
      </w:r>
      <w:r w:rsidR="001F0FBE" w:rsidRPr="00E24C37">
        <w:t xml:space="preserve">Article 13 of the Code of Criminal Procedure provides that </w:t>
      </w:r>
      <w:r w:rsidR="00B745FC" w:rsidRPr="00E24C37">
        <w:t xml:space="preserve">a court order is needed to impose </w:t>
      </w:r>
      <w:r w:rsidR="001F0FBE" w:rsidRPr="00E24C37">
        <w:t>restrictions o</w:t>
      </w:r>
      <w:r w:rsidR="00B154A5" w:rsidRPr="00E24C37">
        <w:t>n</w:t>
      </w:r>
      <w:r w:rsidR="001F0FBE" w:rsidRPr="00E24C37">
        <w:t xml:space="preserve"> a citizen</w:t>
      </w:r>
      <w:r w:rsidR="00E24C37" w:rsidRPr="00E24C37">
        <w:t>’</w:t>
      </w:r>
      <w:r w:rsidR="001F0FBE" w:rsidRPr="00E24C37">
        <w:t xml:space="preserve">s right to the secrecy of </w:t>
      </w:r>
      <w:r w:rsidR="00C24A1A" w:rsidRPr="00E24C37">
        <w:t xml:space="preserve">his or her </w:t>
      </w:r>
      <w:r w:rsidR="001F0FBE" w:rsidRPr="00E24C37">
        <w:t>correspondence, telephone or other communications</w:t>
      </w:r>
      <w:r w:rsidR="00C24A1A" w:rsidRPr="00E24C37">
        <w:t xml:space="preserve">, </w:t>
      </w:r>
      <w:r w:rsidR="001F0FBE" w:rsidRPr="00E24C37">
        <w:t xml:space="preserve">postal, telegraphic and other </w:t>
      </w:r>
      <w:r w:rsidR="00BB69D3" w:rsidRPr="00E24C37">
        <w:t>messages</w:t>
      </w:r>
      <w:r w:rsidR="001F0FBE" w:rsidRPr="00E24C37">
        <w:t>.</w:t>
      </w:r>
      <w:r w:rsidR="00BB69D3" w:rsidRPr="00E24C37">
        <w:t xml:space="preserve"> </w:t>
      </w:r>
      <w:r w:rsidR="00B745FC" w:rsidRPr="00E24C37">
        <w:t xml:space="preserve">A court order is also needed for </w:t>
      </w:r>
      <w:r w:rsidR="00014056" w:rsidRPr="00E24C37">
        <w:t xml:space="preserve">seizing </w:t>
      </w:r>
      <w:r w:rsidR="00BB69D3" w:rsidRPr="00E24C37">
        <w:t xml:space="preserve">postal and telegraphic </w:t>
      </w:r>
      <w:r w:rsidR="00B154A5" w:rsidRPr="00E24C37">
        <w:t>communications</w:t>
      </w:r>
      <w:r w:rsidR="00BB69D3" w:rsidRPr="00E24C37">
        <w:t>.</w:t>
      </w:r>
    </w:p>
    <w:bookmarkStart w:id="22" w:name="OSAA"/>
    <w:p w:rsidR="00BB69D3" w:rsidRPr="00E24C37" w:rsidRDefault="00DD1969" w:rsidP="00E24C37">
      <w:pPr>
        <w:pStyle w:val="ECHRPara"/>
      </w:pPr>
      <w:r w:rsidRPr="00E24C37">
        <w:fldChar w:fldCharType="begin"/>
      </w:r>
      <w:r w:rsidRPr="00E24C37">
        <w:instrText xml:space="preserve"> SEQ level0 \*arabic </w:instrText>
      </w:r>
      <w:r w:rsidRPr="00E24C37">
        <w:fldChar w:fldCharType="separate"/>
      </w:r>
      <w:r w:rsidR="00B87844">
        <w:rPr>
          <w:noProof/>
        </w:rPr>
        <w:t>41</w:t>
      </w:r>
      <w:r w:rsidRPr="00E24C37">
        <w:fldChar w:fldCharType="end"/>
      </w:r>
      <w:bookmarkEnd w:id="22"/>
      <w:r w:rsidRPr="00E24C37">
        <w:t>.  </w:t>
      </w:r>
      <w:r w:rsidR="00B154A5" w:rsidRPr="00E24C37">
        <w:t>S</w:t>
      </w:r>
      <w:r w:rsidR="00BB69D3" w:rsidRPr="00E24C37">
        <w:t xml:space="preserve">ection 8 of the Operational-Search </w:t>
      </w:r>
      <w:r w:rsidR="00FC037D" w:rsidRPr="00E24C37">
        <w:t>Activities Act (Federal Law no. </w:t>
      </w:r>
      <w:r w:rsidR="00BB69D3" w:rsidRPr="00E24C37">
        <w:t>144-FZ of 12 August 1995)</w:t>
      </w:r>
      <w:r w:rsidR="00B154A5" w:rsidRPr="00E24C37">
        <w:t xml:space="preserve"> provides that </w:t>
      </w:r>
      <w:r w:rsidRPr="00E24C37">
        <w:t>o</w:t>
      </w:r>
      <w:r w:rsidR="00BB69D3" w:rsidRPr="00E24C37">
        <w:t>perational-search activities involving interference with the constitutional right to the secrecy</w:t>
      </w:r>
      <w:r w:rsidR="00014056" w:rsidRPr="00E24C37">
        <w:t xml:space="preserve"> or </w:t>
      </w:r>
      <w:r w:rsidR="00BB69D3" w:rsidRPr="00E24C37">
        <w:t xml:space="preserve">privacy of correspondence, postal, telegraphic and other communications transmitted by means of a telecommunications network or mail services </w:t>
      </w:r>
      <w:r w:rsidR="00014056" w:rsidRPr="00E24C37">
        <w:t>can</w:t>
      </w:r>
      <w:r w:rsidR="00BB69D3" w:rsidRPr="00E24C37">
        <w:t xml:space="preserve"> be conducted on the basis of a court order</w:t>
      </w:r>
      <w:r w:rsidR="00B154A5" w:rsidRPr="00E24C37">
        <w:t xml:space="preserve">. It can be allowed </w:t>
      </w:r>
      <w:r w:rsidR="00BB69D3" w:rsidRPr="00E24C37">
        <w:t>following the receipt of information (1) that a criminal offence has been committed</w:t>
      </w:r>
      <w:r w:rsidR="00B154A5" w:rsidRPr="00E24C37">
        <w:t xml:space="preserve">, </w:t>
      </w:r>
      <w:r w:rsidR="00BB69D3" w:rsidRPr="00E24C37">
        <w:t xml:space="preserve">is ongoing, or is being plotted; (2) about persons conspiring to commit, </w:t>
      </w:r>
      <w:r w:rsidR="00014056" w:rsidRPr="00E24C37">
        <w:t xml:space="preserve">who are </w:t>
      </w:r>
      <w:r w:rsidR="00BB69D3" w:rsidRPr="00E24C37">
        <w:t>committing, or hav</w:t>
      </w:r>
      <w:r w:rsidR="00014056" w:rsidRPr="00E24C37">
        <w:t>e</w:t>
      </w:r>
      <w:r w:rsidR="00BB69D3" w:rsidRPr="00E24C37">
        <w:t xml:space="preserve"> committed a criminal offence; or (3) about events or activities endangering the national, military, economic or ecological security of the Russian Federation.</w:t>
      </w:r>
    </w:p>
    <w:p w:rsidR="00900C39" w:rsidRPr="00E24C37" w:rsidRDefault="00900C39" w:rsidP="00E24C37">
      <w:pPr>
        <w:pStyle w:val="ECHRTitle1"/>
      </w:pPr>
      <w:r w:rsidRPr="00E24C37">
        <w:t>THE LAW</w:t>
      </w:r>
    </w:p>
    <w:p w:rsidR="00D97A48" w:rsidRPr="00E24C37" w:rsidRDefault="00D97A48" w:rsidP="00E24C37">
      <w:pPr>
        <w:pStyle w:val="ECHRHeading1"/>
      </w:pPr>
      <w:r w:rsidRPr="00E24C37">
        <w:t>I.  THE</w:t>
      </w:r>
      <w:r w:rsidR="00005F40" w:rsidRPr="00E24C37">
        <w:t xml:space="preserve"> </w:t>
      </w:r>
      <w:r w:rsidRPr="00E24C37">
        <w:t>GOVERNMENT</w:t>
      </w:r>
      <w:r w:rsidR="00E24C37" w:rsidRPr="00E24C37">
        <w:t>’</w:t>
      </w:r>
      <w:r w:rsidRPr="00E24C37">
        <w:t>S PRELIMINARY OBJECTION</w:t>
      </w:r>
    </w:p>
    <w:p w:rsidR="00D97A48"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42</w:t>
      </w:r>
      <w:r w:rsidRPr="00E24C37">
        <w:rPr>
          <w:noProof/>
        </w:rPr>
        <w:fldChar w:fldCharType="end"/>
      </w:r>
      <w:r w:rsidR="00005F40" w:rsidRPr="00E24C37">
        <w:t>.  The Government argued that the applicant had not complied with the six-month rule</w:t>
      </w:r>
      <w:r w:rsidR="007101D3" w:rsidRPr="00E24C37">
        <w:t xml:space="preserve"> under Article 35 §</w:t>
      </w:r>
      <w:r w:rsidR="00005F40" w:rsidRPr="00E24C37">
        <w:t xml:space="preserve"> </w:t>
      </w:r>
      <w:r w:rsidR="007101D3" w:rsidRPr="00E24C37">
        <w:t xml:space="preserve">1 of the Convention because </w:t>
      </w:r>
      <w:r w:rsidR="00005F40" w:rsidRPr="00E24C37">
        <w:t xml:space="preserve">there was no evidence that he had dispatched his application form within eight weeks </w:t>
      </w:r>
      <w:r w:rsidR="00B154A5" w:rsidRPr="00E24C37">
        <w:t xml:space="preserve">of </w:t>
      </w:r>
      <w:r w:rsidR="00005F40" w:rsidRPr="00E24C37">
        <w:t>the Court</w:t>
      </w:r>
      <w:r w:rsidR="00E24C37" w:rsidRPr="00E24C37">
        <w:t>’</w:t>
      </w:r>
      <w:r w:rsidR="00005F40" w:rsidRPr="00E24C37">
        <w:t>s letter acknowledging receipt of his initial letter.</w:t>
      </w:r>
    </w:p>
    <w:p w:rsidR="00005F40"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43</w:t>
      </w:r>
      <w:r w:rsidRPr="00E24C37">
        <w:rPr>
          <w:noProof/>
        </w:rPr>
        <w:fldChar w:fldCharType="end"/>
      </w:r>
      <w:r w:rsidR="00D97A48" w:rsidRPr="00E24C37">
        <w:t>.  The applicant</w:t>
      </w:r>
      <w:r w:rsidR="00005F40" w:rsidRPr="00E24C37">
        <w:t xml:space="preserve"> stated that he had dispatched his application form on 16 December 2010.</w:t>
      </w:r>
    </w:p>
    <w:p w:rsidR="00005F40" w:rsidRPr="00E24C37" w:rsidRDefault="004B1E2C" w:rsidP="00E24C37">
      <w:pPr>
        <w:pStyle w:val="ECHRPara"/>
      </w:pPr>
      <w:r w:rsidRPr="00E24C37">
        <w:lastRenderedPageBreak/>
        <w:fldChar w:fldCharType="begin"/>
      </w:r>
      <w:r w:rsidRPr="00E24C37">
        <w:instrText xml:space="preserve"> SEQ level0 \*arabic </w:instrText>
      </w:r>
      <w:r w:rsidRPr="00E24C37">
        <w:fldChar w:fldCharType="separate"/>
      </w:r>
      <w:r w:rsidR="00B87844">
        <w:rPr>
          <w:noProof/>
        </w:rPr>
        <w:t>44</w:t>
      </w:r>
      <w:r w:rsidRPr="00E24C37">
        <w:rPr>
          <w:noProof/>
        </w:rPr>
        <w:fldChar w:fldCharType="end"/>
      </w:r>
      <w:r w:rsidR="00D97A48" w:rsidRPr="00E24C37">
        <w:t>.  </w:t>
      </w:r>
      <w:r w:rsidR="00005F40" w:rsidRPr="00E24C37">
        <w:t xml:space="preserve">As confirmed by the stamp on the envelope, </w:t>
      </w:r>
      <w:r w:rsidR="00081067" w:rsidRPr="00E24C37">
        <w:t>the application</w:t>
      </w:r>
      <w:r w:rsidR="00E24C37" w:rsidRPr="00E24C37">
        <w:t>’</w:t>
      </w:r>
      <w:r w:rsidR="00081067" w:rsidRPr="00E24C37">
        <w:t>s first letter was dispatched to the Court on 18 October 2010</w:t>
      </w:r>
      <w:r w:rsidR="000D4D8A" w:rsidRPr="00E24C37">
        <w:t xml:space="preserve">, which was less than six months after the appeal decision in his case (see paragraph </w:t>
      </w:r>
      <w:r w:rsidR="000D4D8A" w:rsidRPr="00E24C37">
        <w:fldChar w:fldCharType="begin"/>
      </w:r>
      <w:r w:rsidR="000D4D8A" w:rsidRPr="00E24C37">
        <w:instrText xml:space="preserve"> REF  appealjudgment \h </w:instrText>
      </w:r>
      <w:r w:rsidR="000D4D8A" w:rsidRPr="00E24C37">
        <w:fldChar w:fldCharType="separate"/>
      </w:r>
      <w:r w:rsidR="00B87844">
        <w:rPr>
          <w:noProof/>
        </w:rPr>
        <w:t>23</w:t>
      </w:r>
      <w:r w:rsidR="000D4D8A" w:rsidRPr="00E24C37">
        <w:fldChar w:fldCharType="end"/>
      </w:r>
      <w:r w:rsidR="000D4D8A" w:rsidRPr="00E24C37">
        <w:t xml:space="preserve"> above). T</w:t>
      </w:r>
      <w:r w:rsidR="00005F40" w:rsidRPr="00E24C37">
        <w:t>he application form was dispatched to the Court on 16 December 2010, which was within the time-limit set by the Court in its letter confirming receipt of the applicant</w:t>
      </w:r>
      <w:r w:rsidR="00E24C37" w:rsidRPr="00E24C37">
        <w:t>’</w:t>
      </w:r>
      <w:r w:rsidR="00005F40" w:rsidRPr="00E24C37">
        <w:t xml:space="preserve">s initial </w:t>
      </w:r>
      <w:r w:rsidR="00014056" w:rsidRPr="00E24C37">
        <w:t>communication</w:t>
      </w:r>
      <w:r w:rsidR="00005F40" w:rsidRPr="00E24C37">
        <w:t>. The Court therefore dismisses the Government</w:t>
      </w:r>
      <w:r w:rsidR="00E24C37" w:rsidRPr="00E24C37">
        <w:t>’</w:t>
      </w:r>
      <w:r w:rsidR="00005F40" w:rsidRPr="00E24C37">
        <w:t>s objection.</w:t>
      </w:r>
    </w:p>
    <w:p w:rsidR="00900C39" w:rsidRPr="00E24C37" w:rsidRDefault="00D97A48" w:rsidP="00E24C37">
      <w:pPr>
        <w:pStyle w:val="ECHRHeading1"/>
      </w:pPr>
      <w:r w:rsidRPr="00E24C37">
        <w:t>I</w:t>
      </w:r>
      <w:r w:rsidR="00900C39" w:rsidRPr="00E24C37">
        <w:t>I.  ALLEGED VIOLATION OF ARTICLE 8 OF THE CONVENTION</w:t>
      </w:r>
    </w:p>
    <w:p w:rsidR="00197E46"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45</w:t>
      </w:r>
      <w:r w:rsidRPr="00E24C37">
        <w:rPr>
          <w:noProof/>
        </w:rPr>
        <w:fldChar w:fldCharType="end"/>
      </w:r>
      <w:r w:rsidR="00900C39" w:rsidRPr="00E24C37">
        <w:t xml:space="preserve">.  The applicant complained under Article 8 of the Convention that the customs authorities had unlawfully and without </w:t>
      </w:r>
      <w:r w:rsidR="00014056" w:rsidRPr="00E24C37">
        <w:t xml:space="preserve">any </w:t>
      </w:r>
      <w:r w:rsidR="00900C39" w:rsidRPr="00E24C37">
        <w:t xml:space="preserve">valid reasons examined the data contained on his laptop and </w:t>
      </w:r>
      <w:r w:rsidR="00014056" w:rsidRPr="00E24C37">
        <w:t xml:space="preserve">in </w:t>
      </w:r>
      <w:r w:rsidR="00900C39" w:rsidRPr="00E24C37">
        <w:t xml:space="preserve">storage devices, and </w:t>
      </w:r>
      <w:r w:rsidR="000F35B0" w:rsidRPr="00E24C37">
        <w:t xml:space="preserve">had </w:t>
      </w:r>
      <w:r w:rsidR="00900C39" w:rsidRPr="00E24C37">
        <w:t xml:space="preserve">copied </w:t>
      </w:r>
      <w:r w:rsidR="0034605E" w:rsidRPr="00E24C37">
        <w:t>electronic data</w:t>
      </w:r>
      <w:r w:rsidR="001520D0" w:rsidRPr="00E24C37">
        <w:t xml:space="preserve"> </w:t>
      </w:r>
      <w:r w:rsidR="0034605E" w:rsidRPr="00E24C37">
        <w:t xml:space="preserve">relating to both his personal life and professional </w:t>
      </w:r>
      <w:r w:rsidR="004D7A5E" w:rsidRPr="00E24C37">
        <w:t>activities</w:t>
      </w:r>
      <w:r w:rsidR="0034605E" w:rsidRPr="00E24C37">
        <w:t>.</w:t>
      </w:r>
    </w:p>
    <w:p w:rsidR="00900C39"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46</w:t>
      </w:r>
      <w:r w:rsidRPr="00E24C37">
        <w:rPr>
          <w:noProof/>
        </w:rPr>
        <w:fldChar w:fldCharType="end"/>
      </w:r>
      <w:r w:rsidR="00900C39" w:rsidRPr="00E24C37">
        <w:t>.  Article 8 of the Convention reads as follows:</w:t>
      </w:r>
    </w:p>
    <w:p w:rsidR="00900C39" w:rsidRPr="00E24C37" w:rsidRDefault="00900C39" w:rsidP="00E24C37">
      <w:pPr>
        <w:pStyle w:val="ECHRParaQuote"/>
      </w:pPr>
      <w:r w:rsidRPr="00E24C37">
        <w:t>“1.  Everyone has the right to respect for his private and family life, his home and his correspondence.</w:t>
      </w:r>
    </w:p>
    <w:p w:rsidR="00900C39" w:rsidRPr="00E24C37" w:rsidRDefault="00900C39" w:rsidP="00E24C37">
      <w:pPr>
        <w:pStyle w:val="ECHRParaQuote"/>
      </w:pPr>
      <w:r w:rsidRPr="00E24C37">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900C39" w:rsidRPr="00E24C37" w:rsidRDefault="00900C39" w:rsidP="00E24C37">
      <w:pPr>
        <w:pStyle w:val="ECHRHeading2"/>
      </w:pPr>
      <w:r w:rsidRPr="00E24C37">
        <w:t>A.  Admissibility</w:t>
      </w:r>
    </w:p>
    <w:p w:rsidR="00900C39"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47</w:t>
      </w:r>
      <w:r w:rsidRPr="00E24C37">
        <w:rPr>
          <w:noProof/>
        </w:rPr>
        <w:fldChar w:fldCharType="end"/>
      </w:r>
      <w:r w:rsidR="00900C39" w:rsidRPr="00E24C37">
        <w:t>.  The Court notes that this complaint is not manifestly ill-founded within the meaning of Article 35 § 3 (a) of the Convention. It further notes that it is not inadmissible on any other grounds. It must therefore be declared admissible.</w:t>
      </w:r>
    </w:p>
    <w:p w:rsidR="00900C39" w:rsidRPr="00E24C37" w:rsidRDefault="00900C39" w:rsidP="00E24C37">
      <w:pPr>
        <w:pStyle w:val="ECHRHeading2"/>
      </w:pPr>
      <w:r w:rsidRPr="00E24C37">
        <w:t>B.  Merits</w:t>
      </w:r>
    </w:p>
    <w:p w:rsidR="00900C39" w:rsidRPr="00E24C37" w:rsidRDefault="00900C39" w:rsidP="00E24C37">
      <w:pPr>
        <w:pStyle w:val="ECHRHeading3"/>
      </w:pPr>
      <w:r w:rsidRPr="00E24C37">
        <w:t>1.  The parties</w:t>
      </w:r>
      <w:r w:rsidR="00E24C37" w:rsidRPr="00E24C37">
        <w:t>’</w:t>
      </w:r>
      <w:r w:rsidRPr="00E24C37">
        <w:t xml:space="preserve"> submissions</w:t>
      </w:r>
    </w:p>
    <w:p w:rsidR="00900C39" w:rsidRPr="00E24C37" w:rsidRDefault="00900C39" w:rsidP="00E24C37">
      <w:pPr>
        <w:pStyle w:val="ECHRHeading4"/>
      </w:pPr>
      <w:r w:rsidRPr="00E24C37">
        <w:t>(a)  The applicant</w:t>
      </w:r>
    </w:p>
    <w:p w:rsidR="00900C39"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48</w:t>
      </w:r>
      <w:r w:rsidRPr="00E24C37">
        <w:rPr>
          <w:noProof/>
        </w:rPr>
        <w:fldChar w:fldCharType="end"/>
      </w:r>
      <w:r w:rsidR="00900C39" w:rsidRPr="00E24C37">
        <w:t>.  </w:t>
      </w:r>
      <w:r w:rsidR="00D01331" w:rsidRPr="00E24C37">
        <w:t>The applicant argued that the customs officials</w:t>
      </w:r>
      <w:r w:rsidR="00E24C37" w:rsidRPr="00E24C37">
        <w:t>’</w:t>
      </w:r>
      <w:r w:rsidR="00D01331" w:rsidRPr="00E24C37">
        <w:t xml:space="preserve"> actions </w:t>
      </w:r>
      <w:r w:rsidR="00215174" w:rsidRPr="00E24C37">
        <w:t xml:space="preserve">had </w:t>
      </w:r>
      <w:r w:rsidR="00D01331" w:rsidRPr="00E24C37">
        <w:t>amounted to “interference by a public authority” with</w:t>
      </w:r>
      <w:r w:rsidR="001F0FBE" w:rsidRPr="00E24C37">
        <w:t xml:space="preserve"> both</w:t>
      </w:r>
      <w:r w:rsidR="00D01331" w:rsidRPr="00E24C37">
        <w:t xml:space="preserve"> his “private life” and</w:t>
      </w:r>
      <w:r w:rsidR="001F0FBE" w:rsidRPr="00E24C37">
        <w:t xml:space="preserve"> his</w:t>
      </w:r>
      <w:r w:rsidR="00D01331" w:rsidRPr="00E24C37">
        <w:t xml:space="preserve"> “correspondence” within the</w:t>
      </w:r>
      <w:r w:rsidR="001F0FBE" w:rsidRPr="00E24C37">
        <w:t xml:space="preserve"> autonomous</w:t>
      </w:r>
      <w:r w:rsidR="00D01331" w:rsidRPr="00E24C37">
        <w:t xml:space="preserve"> meaning</w:t>
      </w:r>
      <w:r w:rsidR="001F0FBE" w:rsidRPr="00E24C37">
        <w:t>s</w:t>
      </w:r>
      <w:r w:rsidR="00D01331" w:rsidRPr="00E24C37">
        <w:t xml:space="preserve"> </w:t>
      </w:r>
      <w:r w:rsidR="001F0FBE" w:rsidRPr="00E24C37">
        <w:t xml:space="preserve">arising from </w:t>
      </w:r>
      <w:r w:rsidR="00D01331" w:rsidRPr="00E24C37">
        <w:t>Article 8 of the Convention. Th</w:t>
      </w:r>
      <w:r w:rsidR="00215174" w:rsidRPr="00E24C37">
        <w:t>at</w:t>
      </w:r>
      <w:r w:rsidR="00D01331" w:rsidRPr="00E24C37">
        <w:t xml:space="preserve"> “interference” had been unlawful </w:t>
      </w:r>
      <w:r w:rsidR="00215174" w:rsidRPr="00E24C37">
        <w:t>be</w:t>
      </w:r>
      <w:r w:rsidR="00014056" w:rsidRPr="00E24C37">
        <w:t>c</w:t>
      </w:r>
      <w:r w:rsidR="00215174" w:rsidRPr="00E24C37">
        <w:t xml:space="preserve">ause there had been no </w:t>
      </w:r>
      <w:r w:rsidR="00D01331" w:rsidRPr="00E24C37">
        <w:t xml:space="preserve">criminal investigation in respect of him and </w:t>
      </w:r>
      <w:r w:rsidR="00215174" w:rsidRPr="00E24C37">
        <w:t xml:space="preserve">no </w:t>
      </w:r>
      <w:r w:rsidR="00D01331" w:rsidRPr="00E24C37">
        <w:t>court order</w:t>
      </w:r>
      <w:r w:rsidR="00014056" w:rsidRPr="00E24C37">
        <w:t>,</w:t>
      </w:r>
      <w:r w:rsidR="00D01331" w:rsidRPr="00E24C37">
        <w:t xml:space="preserve"> in breach of Article 23 of the Constitution, Article 13 of the Code of Criminal Procedure and section 8 of the Operational-Search</w:t>
      </w:r>
      <w:r w:rsidR="001F0FBE" w:rsidRPr="00E24C37">
        <w:t xml:space="preserve"> Activities</w:t>
      </w:r>
      <w:r w:rsidR="00D01331" w:rsidRPr="00E24C37">
        <w:t xml:space="preserve"> Act</w:t>
      </w:r>
      <w:r w:rsidR="001F0FBE" w:rsidRPr="00E24C37">
        <w:t xml:space="preserve"> of 1995 (see paragraphs </w:t>
      </w:r>
      <w:r w:rsidR="00BB69D3" w:rsidRPr="00E24C37">
        <w:fldChar w:fldCharType="begin"/>
      </w:r>
      <w:r w:rsidR="00BB69D3" w:rsidRPr="00E24C37">
        <w:instrText xml:space="preserve"> REF  Contitutioncorrespondence \h </w:instrText>
      </w:r>
      <w:r w:rsidR="00BB69D3" w:rsidRPr="00E24C37">
        <w:fldChar w:fldCharType="separate"/>
      </w:r>
      <w:r w:rsidR="00B87844">
        <w:rPr>
          <w:noProof/>
        </w:rPr>
        <w:t>25</w:t>
      </w:r>
      <w:r w:rsidR="00BB69D3" w:rsidRPr="00E24C37">
        <w:fldChar w:fldCharType="end"/>
      </w:r>
      <w:r w:rsidR="00BB69D3" w:rsidRPr="00E24C37">
        <w:t xml:space="preserve">, </w:t>
      </w:r>
      <w:r w:rsidR="00A1333F" w:rsidRPr="00E24C37">
        <w:fldChar w:fldCharType="begin"/>
      </w:r>
      <w:r w:rsidR="00A1333F" w:rsidRPr="00E24C37">
        <w:instrText xml:space="preserve"> REF  A13CCrP \h </w:instrText>
      </w:r>
      <w:r w:rsidR="00A1333F" w:rsidRPr="00E24C37">
        <w:fldChar w:fldCharType="separate"/>
      </w:r>
      <w:r w:rsidR="00B87844">
        <w:rPr>
          <w:noProof/>
        </w:rPr>
        <w:t>40</w:t>
      </w:r>
      <w:r w:rsidR="00A1333F" w:rsidRPr="00E24C37">
        <w:fldChar w:fldCharType="end"/>
      </w:r>
      <w:r w:rsidR="00A1333F" w:rsidRPr="00E24C37">
        <w:t xml:space="preserve"> </w:t>
      </w:r>
      <w:r w:rsidR="00BB69D3" w:rsidRPr="00E24C37">
        <w:t xml:space="preserve">and </w:t>
      </w:r>
      <w:r w:rsidR="00DD1969" w:rsidRPr="00E24C37">
        <w:fldChar w:fldCharType="begin"/>
      </w:r>
      <w:r w:rsidR="00DD1969" w:rsidRPr="00E24C37">
        <w:instrText xml:space="preserve"> REF  OSAA \h </w:instrText>
      </w:r>
      <w:r w:rsidR="00DD1969" w:rsidRPr="00E24C37">
        <w:fldChar w:fldCharType="separate"/>
      </w:r>
      <w:r w:rsidR="00B87844">
        <w:rPr>
          <w:noProof/>
        </w:rPr>
        <w:t>41</w:t>
      </w:r>
      <w:r w:rsidR="00DD1969" w:rsidRPr="00E24C37">
        <w:fldChar w:fldCharType="end"/>
      </w:r>
      <w:r w:rsidR="001F0FBE" w:rsidRPr="00E24C37">
        <w:t xml:space="preserve"> above)</w:t>
      </w:r>
      <w:r w:rsidR="00D01331" w:rsidRPr="00E24C37">
        <w:t xml:space="preserve">. The domestic courts </w:t>
      </w:r>
      <w:r w:rsidR="00215174" w:rsidRPr="00E24C37">
        <w:t xml:space="preserve">had </w:t>
      </w:r>
      <w:r w:rsidR="00D01331" w:rsidRPr="00E24C37">
        <w:t>failed to</w:t>
      </w:r>
      <w:r w:rsidR="00DD1969" w:rsidRPr="00E24C37">
        <w:t xml:space="preserve"> make any substantive findings on </w:t>
      </w:r>
      <w:r w:rsidR="00D01331" w:rsidRPr="00E24C37">
        <w:t xml:space="preserve">the matter of legality and had </w:t>
      </w:r>
      <w:r w:rsidR="00D01331" w:rsidRPr="00E24C37">
        <w:lastRenderedPageBreak/>
        <w:t xml:space="preserve">carried out no proportionality assessment in respect of the impugned “interference”. It could </w:t>
      </w:r>
      <w:r w:rsidR="00DD1969" w:rsidRPr="00E24C37">
        <w:t xml:space="preserve">not </w:t>
      </w:r>
      <w:r w:rsidR="00D01331" w:rsidRPr="00E24C37">
        <w:t xml:space="preserve">be reasonably </w:t>
      </w:r>
      <w:r w:rsidR="00DD1969" w:rsidRPr="00E24C37">
        <w:t>accepted</w:t>
      </w:r>
      <w:r w:rsidR="00D01331" w:rsidRPr="00E24C37">
        <w:t xml:space="preserve"> that the contested measures had been lawfully authori</w:t>
      </w:r>
      <w:r w:rsidR="00DD1969" w:rsidRPr="00E24C37">
        <w:t>s</w:t>
      </w:r>
      <w:r w:rsidR="00D01331" w:rsidRPr="00E24C37">
        <w:t xml:space="preserve">ed by the Customs Code (namely Article 372) since </w:t>
      </w:r>
      <w:r w:rsidR="00215174" w:rsidRPr="00E24C37">
        <w:t xml:space="preserve">that </w:t>
      </w:r>
      <w:r w:rsidR="00DD1969" w:rsidRPr="00E24C37">
        <w:t>only</w:t>
      </w:r>
      <w:r w:rsidR="00D01331" w:rsidRPr="00E24C37">
        <w:t xml:space="preserve"> concerned an “inspection”</w:t>
      </w:r>
      <w:r w:rsidR="00DD1969" w:rsidRPr="00E24C37">
        <w:t xml:space="preserve"> of “vehicles, cargo and goods” (see paragraph </w:t>
      </w:r>
      <w:r w:rsidR="00DD1969" w:rsidRPr="00E24C37">
        <w:fldChar w:fldCharType="begin"/>
      </w:r>
      <w:r w:rsidR="00DD1969" w:rsidRPr="00E24C37">
        <w:instrText xml:space="preserve"> REF  inspection \h </w:instrText>
      </w:r>
      <w:r w:rsidR="00DD1969" w:rsidRPr="00E24C37">
        <w:fldChar w:fldCharType="separate"/>
      </w:r>
      <w:r w:rsidR="00B87844">
        <w:rPr>
          <w:noProof/>
        </w:rPr>
        <w:t>28</w:t>
      </w:r>
      <w:r w:rsidR="00DD1969" w:rsidRPr="00E24C37">
        <w:fldChar w:fldCharType="end"/>
      </w:r>
      <w:r w:rsidR="00DD1969" w:rsidRPr="00E24C37">
        <w:t xml:space="preserve"> above). </w:t>
      </w:r>
      <w:r w:rsidR="00D01331" w:rsidRPr="00E24C37">
        <w:t>The situation complained</w:t>
      </w:r>
      <w:r w:rsidR="00DD1969" w:rsidRPr="00E24C37">
        <w:t xml:space="preserve"> of </w:t>
      </w:r>
      <w:r w:rsidR="00D01331" w:rsidRPr="00E24C37">
        <w:t xml:space="preserve">had not fallen </w:t>
      </w:r>
      <w:r w:rsidR="00215174" w:rsidRPr="00E24C37">
        <w:t>i</w:t>
      </w:r>
      <w:r w:rsidR="00D01331" w:rsidRPr="00E24C37">
        <w:t xml:space="preserve">n any of the above </w:t>
      </w:r>
      <w:r w:rsidR="00DD1969" w:rsidRPr="00E24C37">
        <w:t>c</w:t>
      </w:r>
      <w:r w:rsidR="00215174" w:rsidRPr="00E24C37">
        <w:t>ategories</w:t>
      </w:r>
      <w:r w:rsidR="00D01331" w:rsidRPr="00E24C37">
        <w:t>.</w:t>
      </w:r>
      <w:r w:rsidR="00C40D1A" w:rsidRPr="00E24C37">
        <w:t xml:space="preserve"> In particular, the </w:t>
      </w:r>
      <w:r w:rsidR="007C1159" w:rsidRPr="00E24C37">
        <w:t>electronic</w:t>
      </w:r>
      <w:r w:rsidR="00DD1969" w:rsidRPr="00E24C37">
        <w:t xml:space="preserve"> </w:t>
      </w:r>
      <w:r w:rsidR="00C40D1A" w:rsidRPr="00E24C37">
        <w:t xml:space="preserve">data </w:t>
      </w:r>
      <w:r w:rsidR="00014056" w:rsidRPr="00E24C37">
        <w:t>o</w:t>
      </w:r>
      <w:r w:rsidR="00C40D1A" w:rsidRPr="00E24C37">
        <w:t>n the applicant</w:t>
      </w:r>
      <w:r w:rsidR="00E24C37" w:rsidRPr="00E24C37">
        <w:t>’</w:t>
      </w:r>
      <w:r w:rsidR="00C40D1A" w:rsidRPr="00E24C37">
        <w:t xml:space="preserve">s laptop </w:t>
      </w:r>
      <w:r w:rsidR="00DD1969" w:rsidRPr="00E24C37">
        <w:t xml:space="preserve">was </w:t>
      </w:r>
      <w:r w:rsidR="00C40D1A" w:rsidRPr="00E24C37">
        <w:t>not “goods” within the ordinary meaning of th</w:t>
      </w:r>
      <w:r w:rsidR="00215174" w:rsidRPr="00E24C37">
        <w:t>at</w:t>
      </w:r>
      <w:r w:rsidR="00C40D1A" w:rsidRPr="00E24C37">
        <w:t xml:space="preserve"> term under the Civil Code or the Customs Code.</w:t>
      </w:r>
    </w:p>
    <w:p w:rsidR="007C1159"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49</w:t>
      </w:r>
      <w:r w:rsidRPr="00E24C37">
        <w:rPr>
          <w:noProof/>
        </w:rPr>
        <w:fldChar w:fldCharType="end"/>
      </w:r>
      <w:r w:rsidR="007C1159" w:rsidRPr="00E24C37">
        <w:t>.  The applicant argued that the</w:t>
      </w:r>
      <w:r w:rsidR="00DD1969" w:rsidRPr="00E24C37">
        <w:t xml:space="preserve"> various pieces of </w:t>
      </w:r>
      <w:r w:rsidR="007C1159" w:rsidRPr="00E24C37">
        <w:t xml:space="preserve">legislation applied to him, even </w:t>
      </w:r>
      <w:r w:rsidR="00DD1969" w:rsidRPr="00E24C37">
        <w:t>read</w:t>
      </w:r>
      <w:r w:rsidR="007C1159" w:rsidRPr="00E24C37">
        <w:t xml:space="preserve"> together, did not satisfy the “quality</w:t>
      </w:r>
      <w:r w:rsidR="00215174" w:rsidRPr="00E24C37">
        <w:t xml:space="preserve"> </w:t>
      </w:r>
      <w:r w:rsidR="007C1159" w:rsidRPr="00E24C37">
        <w:t>of</w:t>
      </w:r>
      <w:r w:rsidR="00215174" w:rsidRPr="00E24C37">
        <w:t xml:space="preserve"> </w:t>
      </w:r>
      <w:r w:rsidR="007C1159" w:rsidRPr="00E24C37">
        <w:t xml:space="preserve">law” requirement </w:t>
      </w:r>
      <w:r w:rsidR="00DD1969" w:rsidRPr="00E24C37">
        <w:t xml:space="preserve">arising from </w:t>
      </w:r>
      <w:r w:rsidR="007C1159" w:rsidRPr="00E24C37">
        <w:t>the Court</w:t>
      </w:r>
      <w:r w:rsidR="00E24C37" w:rsidRPr="00E24C37">
        <w:t>’</w:t>
      </w:r>
      <w:r w:rsidR="007C1159" w:rsidRPr="00E24C37">
        <w:t>s case</w:t>
      </w:r>
      <w:r w:rsidR="00DD1969" w:rsidRPr="00E24C37">
        <w:t xml:space="preserve">-law regarding “interferences” under both </w:t>
      </w:r>
      <w:r w:rsidR="007C1159" w:rsidRPr="00E24C37">
        <w:t xml:space="preserve">Articles 8 and 10 of the Convention. In particular, </w:t>
      </w:r>
      <w:r w:rsidR="00DD1969" w:rsidRPr="00E24C37">
        <w:t>P</w:t>
      </w:r>
      <w:r w:rsidR="007C1159" w:rsidRPr="00E24C37">
        <w:t xml:space="preserve">residential </w:t>
      </w:r>
      <w:r w:rsidR="00014056" w:rsidRPr="00E24C37">
        <w:t>D</w:t>
      </w:r>
      <w:r w:rsidR="007C1159" w:rsidRPr="00E24C37">
        <w:t>ecree no.</w:t>
      </w:r>
      <w:r w:rsidR="00490C83" w:rsidRPr="00E24C37">
        <w:t> </w:t>
      </w:r>
      <w:r w:rsidR="007C1159" w:rsidRPr="00E24C37">
        <w:t>310 of 23 March 1995</w:t>
      </w:r>
      <w:r w:rsidR="00DD1969" w:rsidRPr="00E24C37">
        <w:t xml:space="preserve"> (see paragraph </w:t>
      </w:r>
      <w:r w:rsidR="00DD1969" w:rsidRPr="00E24C37">
        <w:fldChar w:fldCharType="begin"/>
      </w:r>
      <w:r w:rsidR="00DD1969" w:rsidRPr="00E24C37">
        <w:instrText xml:space="preserve"> REF  Presidentdecree1995 \h </w:instrText>
      </w:r>
      <w:r w:rsidR="00DD1969" w:rsidRPr="00E24C37">
        <w:fldChar w:fldCharType="separate"/>
      </w:r>
      <w:r w:rsidR="00B87844">
        <w:rPr>
          <w:noProof/>
        </w:rPr>
        <w:t>35</w:t>
      </w:r>
      <w:r w:rsidR="00DD1969" w:rsidRPr="00E24C37">
        <w:fldChar w:fldCharType="end"/>
      </w:r>
      <w:r w:rsidR="00DD1969" w:rsidRPr="00E24C37">
        <w:t xml:space="preserve"> above)</w:t>
      </w:r>
      <w:r w:rsidR="007C1159" w:rsidRPr="00E24C37">
        <w:t xml:space="preserve"> was not a </w:t>
      </w:r>
      <w:r w:rsidR="00215174" w:rsidRPr="00E24C37">
        <w:t>piece</w:t>
      </w:r>
      <w:r w:rsidR="007C1159" w:rsidRPr="00E24C37">
        <w:t xml:space="preserve"> of primary legislation</w:t>
      </w:r>
      <w:r w:rsidR="00DD1969" w:rsidRPr="00E24C37">
        <w:t xml:space="preserve"> (namely a federal statute)</w:t>
      </w:r>
      <w:r w:rsidR="007C1159" w:rsidRPr="00E24C37">
        <w:t xml:space="preserve"> but </w:t>
      </w:r>
      <w:r w:rsidR="00215174" w:rsidRPr="00E24C37">
        <w:t xml:space="preserve">had </w:t>
      </w:r>
      <w:r w:rsidR="007C1159" w:rsidRPr="00E24C37">
        <w:t>less legal value, which was not sufficient</w:t>
      </w:r>
      <w:r w:rsidR="00DD1969" w:rsidRPr="00E24C37">
        <w:t xml:space="preserve"> </w:t>
      </w:r>
      <w:r w:rsidR="00014056" w:rsidRPr="00E24C37">
        <w:t xml:space="preserve">under </w:t>
      </w:r>
      <w:r w:rsidR="00DD1969" w:rsidRPr="00E24C37">
        <w:t xml:space="preserve">the Constitution (see paragraphs </w:t>
      </w:r>
      <w:r w:rsidR="00DD1969" w:rsidRPr="00E24C37">
        <w:fldChar w:fldCharType="begin"/>
      </w:r>
      <w:r w:rsidR="00DD1969" w:rsidRPr="00E24C37">
        <w:instrText xml:space="preserve"> REF  Contitutioncorrespondence \h </w:instrText>
      </w:r>
      <w:r w:rsidR="00DD1969" w:rsidRPr="00E24C37">
        <w:fldChar w:fldCharType="separate"/>
      </w:r>
      <w:r w:rsidR="00B87844">
        <w:rPr>
          <w:noProof/>
        </w:rPr>
        <w:t>25</w:t>
      </w:r>
      <w:r w:rsidR="00DD1969" w:rsidRPr="00E24C37">
        <w:fldChar w:fldCharType="end"/>
      </w:r>
      <w:r w:rsidR="00DD1969" w:rsidRPr="00E24C37">
        <w:t xml:space="preserve"> and </w:t>
      </w:r>
      <w:r w:rsidR="00DD1969" w:rsidRPr="00E24C37">
        <w:fldChar w:fldCharType="begin"/>
      </w:r>
      <w:r w:rsidR="00DD1969" w:rsidRPr="00E24C37">
        <w:instrText xml:space="preserve"> REF  A55Constitution \h </w:instrText>
      </w:r>
      <w:r w:rsidR="00DD1969" w:rsidRPr="00E24C37">
        <w:fldChar w:fldCharType="separate"/>
      </w:r>
      <w:r w:rsidR="00B87844">
        <w:rPr>
          <w:noProof/>
        </w:rPr>
        <w:t>27</w:t>
      </w:r>
      <w:r w:rsidR="00DD1969" w:rsidRPr="00E24C37">
        <w:fldChar w:fldCharType="end"/>
      </w:r>
      <w:r w:rsidR="00DD1969" w:rsidRPr="00E24C37">
        <w:t xml:space="preserve"> above) </w:t>
      </w:r>
      <w:r w:rsidR="007C1159" w:rsidRPr="00E24C37">
        <w:t>for a</w:t>
      </w:r>
      <w:r w:rsidR="00DD1969" w:rsidRPr="00E24C37">
        <w:t xml:space="preserve"> lawful</w:t>
      </w:r>
      <w:r w:rsidR="007C1159" w:rsidRPr="00E24C37">
        <w:t xml:space="preserve"> “interference” with fundamental rights and freedoms. Moreover, the decree was worded in vague and</w:t>
      </w:r>
      <w:r w:rsidR="00DD1969" w:rsidRPr="00E24C37">
        <w:t xml:space="preserve"> exceedingly</w:t>
      </w:r>
      <w:r w:rsidR="007C1159" w:rsidRPr="00E24C37">
        <w:t xml:space="preserve"> wide terms and</w:t>
      </w:r>
      <w:r w:rsidR="00DD1969" w:rsidRPr="00E24C37">
        <w:t>, in any event,</w:t>
      </w:r>
      <w:r w:rsidR="007C1159" w:rsidRPr="00E24C37">
        <w:t xml:space="preserve"> could not </w:t>
      </w:r>
      <w:r w:rsidR="00215174" w:rsidRPr="00E24C37">
        <w:t xml:space="preserve">have </w:t>
      </w:r>
      <w:r w:rsidR="007C1159" w:rsidRPr="00E24C37">
        <w:t>guide</w:t>
      </w:r>
      <w:r w:rsidR="00215174" w:rsidRPr="00E24C37">
        <w:t>d</w:t>
      </w:r>
      <w:r w:rsidR="007C1159" w:rsidRPr="00E24C37">
        <w:t xml:space="preserve"> the customs authority</w:t>
      </w:r>
      <w:r w:rsidR="00E24C37" w:rsidRPr="00E24C37">
        <w:t>’</w:t>
      </w:r>
      <w:r w:rsidR="007C1159" w:rsidRPr="00E24C37">
        <w:t xml:space="preserve">s actions in </w:t>
      </w:r>
      <w:r w:rsidR="00215174" w:rsidRPr="00E24C37">
        <w:t>a</w:t>
      </w:r>
      <w:r w:rsidR="007C1159" w:rsidRPr="00E24C37">
        <w:t xml:space="preserve"> situatio</w:t>
      </w:r>
      <w:r w:rsidR="00DD1969" w:rsidRPr="00E24C37">
        <w:t xml:space="preserve">n </w:t>
      </w:r>
      <w:r w:rsidR="00215174" w:rsidRPr="00E24C37">
        <w:t xml:space="preserve">such </w:t>
      </w:r>
      <w:r w:rsidR="00DD1969" w:rsidRPr="00E24C37">
        <w:t>as the applicant</w:t>
      </w:r>
      <w:r w:rsidR="00E24C37" w:rsidRPr="00E24C37">
        <w:t>’</w:t>
      </w:r>
      <w:r w:rsidR="00215174" w:rsidRPr="00E24C37">
        <w:t>s</w:t>
      </w:r>
      <w:r w:rsidR="00DD1969" w:rsidRPr="00E24C37">
        <w:t>, that is in relation to electronic data.</w:t>
      </w:r>
    </w:p>
    <w:p w:rsidR="00C40D1A"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50</w:t>
      </w:r>
      <w:r w:rsidRPr="00E24C37">
        <w:rPr>
          <w:noProof/>
        </w:rPr>
        <w:fldChar w:fldCharType="end"/>
      </w:r>
      <w:r w:rsidR="004E0B95" w:rsidRPr="00E24C37">
        <w:t>.  </w:t>
      </w:r>
      <w:r w:rsidR="00C40D1A" w:rsidRPr="00E24C37">
        <w:t xml:space="preserve">The “interference” had not been shown to pursue any legitimate aim and had not been convincingly demonstrated </w:t>
      </w:r>
      <w:r w:rsidR="00215174" w:rsidRPr="00E24C37">
        <w:t>as</w:t>
      </w:r>
      <w:r w:rsidR="00C40D1A" w:rsidRPr="00E24C37">
        <w:t xml:space="preserve"> be</w:t>
      </w:r>
      <w:r w:rsidR="00215174" w:rsidRPr="00E24C37">
        <w:t>ing</w:t>
      </w:r>
      <w:r w:rsidR="00C40D1A" w:rsidRPr="00E24C37">
        <w:t xml:space="preserve"> “necessary in a democratic society”. The applicant had not been subject to any criminal prosecution and had crossed the border lawfully. As of 27 August 2009 the authorities had not advanced any argument pertaining to the need </w:t>
      </w:r>
      <w:r w:rsidR="00215174" w:rsidRPr="00E24C37">
        <w:t>to</w:t>
      </w:r>
      <w:r w:rsidR="00C40D1A" w:rsidRPr="00E24C37">
        <w:t xml:space="preserve"> ascertain whether the applicant</w:t>
      </w:r>
      <w:r w:rsidR="00E24C37" w:rsidRPr="00E24C37">
        <w:t>’</w:t>
      </w:r>
      <w:r w:rsidR="00C40D1A" w:rsidRPr="00E24C37">
        <w:t>s laptop contained any “extremist material”. Th</w:t>
      </w:r>
      <w:r w:rsidR="00215174" w:rsidRPr="00E24C37">
        <w:t>at</w:t>
      </w:r>
      <w:r w:rsidR="00C40D1A" w:rsidRPr="00E24C37">
        <w:t xml:space="preserve"> explanation had </w:t>
      </w:r>
      <w:r w:rsidR="00215174" w:rsidRPr="00E24C37">
        <w:t xml:space="preserve">only </w:t>
      </w:r>
      <w:r w:rsidR="00C40D1A" w:rsidRPr="00E24C37">
        <w:t>been put forward subsequently. The customs authority</w:t>
      </w:r>
      <w:r w:rsidR="00E24C37" w:rsidRPr="00E24C37">
        <w:t>’</w:t>
      </w:r>
      <w:r w:rsidR="00C40D1A" w:rsidRPr="00E24C37">
        <w:t xml:space="preserve">s actions had been motivated </w:t>
      </w:r>
      <w:r w:rsidR="00215174" w:rsidRPr="00E24C37">
        <w:t xml:space="preserve">merely </w:t>
      </w:r>
      <w:r w:rsidR="00C40D1A" w:rsidRPr="00E24C37">
        <w:t>by the discovery</w:t>
      </w:r>
      <w:r w:rsidR="00DD1969" w:rsidRPr="00E24C37">
        <w:t xml:space="preserve"> of a folder named “Extremism” o</w:t>
      </w:r>
      <w:r w:rsidR="00C40D1A" w:rsidRPr="00E24C37">
        <w:t>n the applicant</w:t>
      </w:r>
      <w:r w:rsidR="00E24C37" w:rsidRPr="00E24C37">
        <w:t>’</w:t>
      </w:r>
      <w:r w:rsidR="00C40D1A" w:rsidRPr="00E24C37">
        <w:t xml:space="preserve">s laptop. </w:t>
      </w:r>
      <w:r w:rsidR="00DD1969" w:rsidRPr="00E24C37">
        <w:t>T</w:t>
      </w:r>
      <w:r w:rsidR="00C40D1A" w:rsidRPr="00E24C37">
        <w:t>h</w:t>
      </w:r>
      <w:r w:rsidR="00215174" w:rsidRPr="00E24C37">
        <w:t>at</w:t>
      </w:r>
      <w:r w:rsidR="00C40D1A" w:rsidRPr="00E24C37">
        <w:t xml:space="preserve"> </w:t>
      </w:r>
      <w:r w:rsidR="00DD1969" w:rsidRPr="00E24C37">
        <w:t>did</w:t>
      </w:r>
      <w:r w:rsidR="00C40D1A" w:rsidRPr="00E24C37">
        <w:t xml:space="preserve"> not justify the </w:t>
      </w:r>
      <w:r w:rsidR="0088785A" w:rsidRPr="00E24C37">
        <w:t>steps take</w:t>
      </w:r>
      <w:r w:rsidR="002F0861" w:rsidRPr="00E24C37">
        <w:t>n</w:t>
      </w:r>
      <w:r w:rsidR="0088785A" w:rsidRPr="00E24C37">
        <w:t xml:space="preserve"> </w:t>
      </w:r>
      <w:r w:rsidR="00C40D1A" w:rsidRPr="00E24C37">
        <w:t>initial</w:t>
      </w:r>
      <w:r w:rsidR="0088785A" w:rsidRPr="00E24C37">
        <w:t>ly to</w:t>
      </w:r>
      <w:r w:rsidR="00C40D1A" w:rsidRPr="00E24C37">
        <w:t xml:space="preserve"> access </w:t>
      </w:r>
      <w:r w:rsidR="00DD1969" w:rsidRPr="00E24C37">
        <w:t xml:space="preserve">the </w:t>
      </w:r>
      <w:r w:rsidR="00C40D1A" w:rsidRPr="00E24C37">
        <w:t xml:space="preserve">laptop. The respondent Government </w:t>
      </w:r>
      <w:r w:rsidR="0088785A" w:rsidRPr="00E24C37">
        <w:t>ha</w:t>
      </w:r>
      <w:r w:rsidR="00C40D1A" w:rsidRPr="00E24C37">
        <w:t>d not specif</w:t>
      </w:r>
      <w:r w:rsidR="0088785A" w:rsidRPr="00E24C37">
        <w:t>ied</w:t>
      </w:r>
      <w:r w:rsidR="00C40D1A" w:rsidRPr="00E24C37">
        <w:t xml:space="preserve"> what part of the data constituted a threat to national security, public safety or </w:t>
      </w:r>
      <w:r w:rsidR="0088785A" w:rsidRPr="00E24C37">
        <w:t xml:space="preserve">the </w:t>
      </w:r>
      <w:r w:rsidR="00C40D1A" w:rsidRPr="00E24C37">
        <w:t>economic well-being of the country. The copying of the applicant</w:t>
      </w:r>
      <w:r w:rsidR="00E24C37" w:rsidRPr="00E24C37">
        <w:t>’</w:t>
      </w:r>
      <w:r w:rsidR="00C40D1A" w:rsidRPr="00E24C37">
        <w:t>s data had not been selective and had included a variety of personal and professional data.</w:t>
      </w:r>
    </w:p>
    <w:p w:rsidR="00674FA5"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51</w:t>
      </w:r>
      <w:r w:rsidRPr="00E24C37">
        <w:rPr>
          <w:noProof/>
        </w:rPr>
        <w:fldChar w:fldCharType="end"/>
      </w:r>
      <w:r w:rsidR="00674FA5" w:rsidRPr="00E24C37">
        <w:t xml:space="preserve">.  Lastly, the applicant </w:t>
      </w:r>
      <w:r w:rsidR="0088785A" w:rsidRPr="00E24C37">
        <w:t>noted</w:t>
      </w:r>
      <w:r w:rsidR="00674FA5" w:rsidRPr="00E24C37">
        <w:t xml:space="preserve"> that </w:t>
      </w:r>
      <w:r w:rsidR="0088785A" w:rsidRPr="00E24C37">
        <w:t xml:space="preserve">it was possible to challenge </w:t>
      </w:r>
      <w:r w:rsidR="00674FA5" w:rsidRPr="00E24C37">
        <w:t xml:space="preserve">the </w:t>
      </w:r>
      <w:r w:rsidR="0088785A" w:rsidRPr="00E24C37">
        <w:t xml:space="preserve">actions of </w:t>
      </w:r>
      <w:r w:rsidR="00674FA5" w:rsidRPr="00E24C37">
        <w:t xml:space="preserve">public officials by way of </w:t>
      </w:r>
      <w:r w:rsidR="002F0861" w:rsidRPr="00E24C37">
        <w:t xml:space="preserve">a </w:t>
      </w:r>
      <w:r w:rsidR="00674FA5" w:rsidRPr="00E24C37">
        <w:t>judicial review under Chapter 25 of the C</w:t>
      </w:r>
      <w:r w:rsidR="001D0135" w:rsidRPr="00E24C37">
        <w:t>CP</w:t>
      </w:r>
      <w:r w:rsidR="0088785A" w:rsidRPr="00E24C37">
        <w:t>, which had been done</w:t>
      </w:r>
      <w:r w:rsidR="00674FA5" w:rsidRPr="00E24C37">
        <w:t xml:space="preserve">. However, the domestic courts </w:t>
      </w:r>
      <w:r w:rsidR="0088785A" w:rsidRPr="00E24C37">
        <w:t>had</w:t>
      </w:r>
      <w:r w:rsidR="00674FA5" w:rsidRPr="00E24C37">
        <w:t xml:space="preserve"> not proceed</w:t>
      </w:r>
      <w:r w:rsidR="0088785A" w:rsidRPr="00E24C37">
        <w:t>ed</w:t>
      </w:r>
      <w:r w:rsidR="00674FA5" w:rsidRPr="00E24C37">
        <w:t xml:space="preserve"> to an adequate assessment of the adverse impact that the officials</w:t>
      </w:r>
      <w:r w:rsidR="00E24C37" w:rsidRPr="00E24C37">
        <w:t>’</w:t>
      </w:r>
      <w:r w:rsidR="00674FA5" w:rsidRPr="00E24C37">
        <w:t xml:space="preserve"> actions had had on the applicant</w:t>
      </w:r>
      <w:r w:rsidR="00E24C37" w:rsidRPr="00E24C37">
        <w:t>’</w:t>
      </w:r>
      <w:r w:rsidR="00674FA5" w:rsidRPr="00E24C37">
        <w:t xml:space="preserve">s right to respect for </w:t>
      </w:r>
      <w:r w:rsidR="0088785A" w:rsidRPr="00E24C37">
        <w:t xml:space="preserve">his </w:t>
      </w:r>
      <w:r w:rsidR="00674FA5" w:rsidRPr="00E24C37">
        <w:t xml:space="preserve">private life and correspondence or his right to freedom of expression. In particular, they had </w:t>
      </w:r>
      <w:r w:rsidR="0088785A" w:rsidRPr="00E24C37">
        <w:t xml:space="preserve">not </w:t>
      </w:r>
      <w:r w:rsidR="00674FA5" w:rsidRPr="00E24C37">
        <w:t xml:space="preserve">carried out </w:t>
      </w:r>
      <w:r w:rsidR="0088785A" w:rsidRPr="00E24C37">
        <w:t>an</w:t>
      </w:r>
      <w:r w:rsidR="00674FA5" w:rsidRPr="00E24C37">
        <w:t xml:space="preserve"> assessment </w:t>
      </w:r>
      <w:r w:rsidR="0088785A" w:rsidRPr="00E24C37">
        <w:t xml:space="preserve">of </w:t>
      </w:r>
      <w:r w:rsidR="00674FA5" w:rsidRPr="00E24C37">
        <w:t>whether the officials</w:t>
      </w:r>
      <w:r w:rsidR="00E24C37" w:rsidRPr="00E24C37">
        <w:t>’</w:t>
      </w:r>
      <w:r w:rsidR="00674FA5" w:rsidRPr="00E24C37">
        <w:t xml:space="preserve"> actions had been proportionate to any particular legitimate aim.</w:t>
      </w:r>
    </w:p>
    <w:p w:rsidR="00900C39" w:rsidRPr="00E24C37" w:rsidRDefault="00900C39" w:rsidP="00E24C37">
      <w:pPr>
        <w:pStyle w:val="ECHRHeading4"/>
      </w:pPr>
      <w:r w:rsidRPr="00E24C37">
        <w:lastRenderedPageBreak/>
        <w:t>(b)  The Government</w:t>
      </w:r>
    </w:p>
    <w:p w:rsidR="00900C39"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52</w:t>
      </w:r>
      <w:r w:rsidRPr="00E24C37">
        <w:rPr>
          <w:noProof/>
        </w:rPr>
        <w:fldChar w:fldCharType="end"/>
      </w:r>
      <w:r w:rsidR="00900C39" w:rsidRPr="00E24C37">
        <w:t xml:space="preserve">.  The Government </w:t>
      </w:r>
      <w:r w:rsidR="0088785A" w:rsidRPr="00E24C37">
        <w:t>a</w:t>
      </w:r>
      <w:r w:rsidR="001379D6" w:rsidRPr="00E24C37">
        <w:t>ccepted</w:t>
      </w:r>
      <w:r w:rsidR="006D0609" w:rsidRPr="00E24C37">
        <w:t xml:space="preserve"> </w:t>
      </w:r>
      <w:r w:rsidR="00900C39" w:rsidRPr="00E24C37">
        <w:t>that the inspection and copying of the applicant</w:t>
      </w:r>
      <w:r w:rsidR="00E24C37" w:rsidRPr="00E24C37">
        <w:t>’</w:t>
      </w:r>
      <w:r w:rsidR="00900C39" w:rsidRPr="00E24C37">
        <w:t xml:space="preserve">s materials </w:t>
      </w:r>
      <w:r w:rsidR="0088785A" w:rsidRPr="00E24C37">
        <w:t xml:space="preserve">had </w:t>
      </w:r>
      <w:r w:rsidR="00900C39" w:rsidRPr="00E24C37">
        <w:t xml:space="preserve">constituted </w:t>
      </w:r>
      <w:r w:rsidR="00904A5D" w:rsidRPr="00E24C37">
        <w:t>“</w:t>
      </w:r>
      <w:r w:rsidR="00900C39" w:rsidRPr="00E24C37">
        <w:t>interference</w:t>
      </w:r>
      <w:r w:rsidR="00904A5D" w:rsidRPr="00E24C37">
        <w:t xml:space="preserve"> by a public authority”</w:t>
      </w:r>
      <w:r w:rsidR="00900C39" w:rsidRPr="00E24C37">
        <w:t xml:space="preserve"> with the applicant</w:t>
      </w:r>
      <w:r w:rsidR="00E24C37" w:rsidRPr="00E24C37">
        <w:t>’</w:t>
      </w:r>
      <w:r w:rsidR="00900C39" w:rsidRPr="00E24C37">
        <w:t xml:space="preserve">s “private life”. </w:t>
      </w:r>
      <w:r w:rsidR="002763D2" w:rsidRPr="00E24C37">
        <w:t>However, t</w:t>
      </w:r>
      <w:r w:rsidR="00BB26D7" w:rsidRPr="00E24C37">
        <w:t>he</w:t>
      </w:r>
      <w:r w:rsidR="002763D2" w:rsidRPr="00E24C37">
        <w:t>y</w:t>
      </w:r>
      <w:r w:rsidR="00900C39" w:rsidRPr="00E24C37">
        <w:t xml:space="preserve"> denied that there had been any reading or copying of the applicant</w:t>
      </w:r>
      <w:r w:rsidR="00E24C37" w:rsidRPr="00E24C37">
        <w:t>’</w:t>
      </w:r>
      <w:r w:rsidR="00900C39" w:rsidRPr="00E24C37">
        <w:t xml:space="preserve">s “correspondence”. The photographs </w:t>
      </w:r>
      <w:r w:rsidR="0088785A" w:rsidRPr="00E24C37">
        <w:t>taken</w:t>
      </w:r>
      <w:r w:rsidR="00900C39" w:rsidRPr="00E24C37">
        <w:t xml:space="preserve"> by the applicant</w:t>
      </w:r>
      <w:r w:rsidR="00BB26D7" w:rsidRPr="00E24C37">
        <w:t xml:space="preserve"> and </w:t>
      </w:r>
      <w:r w:rsidR="002F0861" w:rsidRPr="00E24C37">
        <w:t xml:space="preserve">which had </w:t>
      </w:r>
      <w:r w:rsidR="00BB26D7" w:rsidRPr="00E24C37">
        <w:t>giv</w:t>
      </w:r>
      <w:r w:rsidR="002F0861" w:rsidRPr="00E24C37">
        <w:t>e</w:t>
      </w:r>
      <w:r w:rsidR="00BB26D7" w:rsidRPr="00E24C37">
        <w:t>n rise to the copying procedure</w:t>
      </w:r>
      <w:r w:rsidR="00900C39" w:rsidRPr="00E24C37">
        <w:t xml:space="preserve"> could not </w:t>
      </w:r>
      <w:r w:rsidR="00904A5D" w:rsidRPr="00E24C37">
        <w:t>pass</w:t>
      </w:r>
      <w:r w:rsidR="00900C39" w:rsidRPr="00E24C37">
        <w:t xml:space="preserve"> for such “correspondence” within the meaning of Article 8</w:t>
      </w:r>
      <w:r w:rsidR="002763D2" w:rsidRPr="00E24C37">
        <w:t xml:space="preserve"> § </w:t>
      </w:r>
      <w:r w:rsidR="00900C39" w:rsidRPr="00E24C37">
        <w:t xml:space="preserve">1 of the Convention. </w:t>
      </w:r>
      <w:r w:rsidR="00BB26D7" w:rsidRPr="00E24C37">
        <w:t xml:space="preserve">The customs officers had not read </w:t>
      </w:r>
      <w:r w:rsidR="002763D2" w:rsidRPr="00E24C37">
        <w:t xml:space="preserve">any </w:t>
      </w:r>
      <w:r w:rsidR="00BB26D7" w:rsidRPr="00E24C37">
        <w:t>personal correspondence and had not copied any email</w:t>
      </w:r>
      <w:r w:rsidR="002763D2" w:rsidRPr="00E24C37">
        <w:t xml:space="preserve">, </w:t>
      </w:r>
      <w:r w:rsidR="00BB26D7" w:rsidRPr="00E24C37">
        <w:t xml:space="preserve">Facebook or Skype </w:t>
      </w:r>
      <w:r w:rsidR="0088785A" w:rsidRPr="00E24C37">
        <w:t>passwords</w:t>
      </w:r>
      <w:r w:rsidR="00BB26D7" w:rsidRPr="00E24C37">
        <w:t xml:space="preserve">. </w:t>
      </w:r>
      <w:r w:rsidR="00900C39" w:rsidRPr="00E24C37">
        <w:t xml:space="preserve">The applicant </w:t>
      </w:r>
      <w:r w:rsidR="0088785A" w:rsidRPr="00E24C37">
        <w:t xml:space="preserve">had </w:t>
      </w:r>
      <w:r w:rsidR="00900C39" w:rsidRPr="00E24C37">
        <w:t>failed to discharge the burden of proving the existence of</w:t>
      </w:r>
      <w:r w:rsidR="002763D2" w:rsidRPr="00E24C37">
        <w:t xml:space="preserve"> any</w:t>
      </w:r>
      <w:r w:rsidR="00900C39" w:rsidRPr="00E24C37">
        <w:t xml:space="preserve"> “interference” in th</w:t>
      </w:r>
      <w:r w:rsidR="0088785A" w:rsidRPr="00E24C37">
        <w:t>at</w:t>
      </w:r>
      <w:r w:rsidR="00900C39" w:rsidRPr="00E24C37">
        <w:t xml:space="preserve"> regard.</w:t>
      </w:r>
    </w:p>
    <w:p w:rsidR="00FA4698"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53</w:t>
      </w:r>
      <w:r w:rsidRPr="00E24C37">
        <w:rPr>
          <w:noProof/>
        </w:rPr>
        <w:fldChar w:fldCharType="end"/>
      </w:r>
      <w:r w:rsidR="00FA4698" w:rsidRPr="00E24C37">
        <w:t>.  The Government submitted that the customs inspection</w:t>
      </w:r>
      <w:r w:rsidR="002763D2" w:rsidRPr="00E24C37">
        <w:t xml:space="preserve"> of</w:t>
      </w:r>
      <w:r w:rsidR="00FA4698" w:rsidRPr="00E24C37">
        <w:t xml:space="preserve"> </w:t>
      </w:r>
      <w:r w:rsidR="002763D2" w:rsidRPr="00E24C37">
        <w:t>the applicant</w:t>
      </w:r>
      <w:r w:rsidR="00E24C37" w:rsidRPr="00E24C37">
        <w:t>’</w:t>
      </w:r>
      <w:r w:rsidR="002763D2" w:rsidRPr="00E24C37">
        <w:t xml:space="preserve">s </w:t>
      </w:r>
      <w:r w:rsidR="00426D7C" w:rsidRPr="00E24C37">
        <w:t>bags</w:t>
      </w:r>
      <w:r w:rsidR="002763D2" w:rsidRPr="00E24C37">
        <w:t xml:space="preserve"> </w:t>
      </w:r>
      <w:r w:rsidR="00FA4698" w:rsidRPr="00E24C37">
        <w:t xml:space="preserve">and the </w:t>
      </w:r>
      <w:r w:rsidR="002763D2" w:rsidRPr="00E24C37">
        <w:t>“</w:t>
      </w:r>
      <w:r w:rsidR="00FA4698" w:rsidRPr="00E24C37">
        <w:t xml:space="preserve">sampling” </w:t>
      </w:r>
      <w:r w:rsidR="002763D2" w:rsidRPr="00E24C37">
        <w:t>of “goods” had</w:t>
      </w:r>
      <w:r w:rsidR="00FA4698" w:rsidRPr="00E24C37">
        <w:t xml:space="preserve"> not been random as they had been </w:t>
      </w:r>
      <w:r w:rsidR="00426D7C" w:rsidRPr="00E24C37">
        <w:t xml:space="preserve">carried out </w:t>
      </w:r>
      <w:r w:rsidR="00FA4698" w:rsidRPr="00E24C37">
        <w:t>after examin</w:t>
      </w:r>
      <w:r w:rsidR="00426D7C" w:rsidRPr="00E24C37">
        <w:t xml:space="preserve">ing </w:t>
      </w:r>
      <w:r w:rsidR="00FA4698" w:rsidRPr="00E24C37">
        <w:t xml:space="preserve">his customs declaration </w:t>
      </w:r>
      <w:r w:rsidR="00426D7C" w:rsidRPr="00E24C37">
        <w:t xml:space="preserve">and with regard to </w:t>
      </w:r>
      <w:r w:rsidR="00FA4698" w:rsidRPr="00E24C37">
        <w:t>his conduct and answers to the officer</w:t>
      </w:r>
      <w:r w:rsidR="00E24C37" w:rsidRPr="00E24C37">
        <w:t>’</w:t>
      </w:r>
      <w:r w:rsidR="00FA4698" w:rsidRPr="00E24C37">
        <w:t>s questions</w:t>
      </w:r>
      <w:r w:rsidR="00426D7C" w:rsidRPr="00E24C37">
        <w:t>. Those acts</w:t>
      </w:r>
      <w:r w:rsidR="00FA4698" w:rsidRPr="00E24C37">
        <w:t xml:space="preserve"> had given rise to a reasonable suspicion </w:t>
      </w:r>
      <w:r w:rsidR="002763D2" w:rsidRPr="00E24C37">
        <w:t>“</w:t>
      </w:r>
      <w:r w:rsidR="00FA4698" w:rsidRPr="00E24C37">
        <w:t>regarding the applicant</w:t>
      </w:r>
      <w:r w:rsidR="00E24C37" w:rsidRPr="00E24C37">
        <w:t>’</w:t>
      </w:r>
      <w:r w:rsidR="00FA4698" w:rsidRPr="00E24C37">
        <w:t>s compliance with the legislation in force</w:t>
      </w:r>
      <w:r w:rsidR="002763D2" w:rsidRPr="00E24C37">
        <w:t>”</w:t>
      </w:r>
      <w:r w:rsidR="00FA4698" w:rsidRPr="00E24C37">
        <w:t>. The</w:t>
      </w:r>
      <w:r w:rsidR="002763D2" w:rsidRPr="00E24C37">
        <w:t xml:space="preserve"> </w:t>
      </w:r>
      <w:r w:rsidR="00FA4698" w:rsidRPr="00E24C37">
        <w:t xml:space="preserve">ensuing actions </w:t>
      </w:r>
      <w:r w:rsidR="00426D7C" w:rsidRPr="00E24C37">
        <w:t>had been</w:t>
      </w:r>
      <w:r w:rsidR="00FA4698" w:rsidRPr="00E24C37">
        <w:t xml:space="preserve"> based on a specific risk profile, which </w:t>
      </w:r>
      <w:r w:rsidR="00426D7C" w:rsidRPr="00E24C37">
        <w:t xml:space="preserve">had </w:t>
      </w:r>
      <w:r w:rsidR="002763D2" w:rsidRPr="00E24C37">
        <w:t>then</w:t>
      </w:r>
      <w:r w:rsidR="00FA4698" w:rsidRPr="00E24C37">
        <w:t xml:space="preserve"> justified </w:t>
      </w:r>
      <w:r w:rsidR="002763D2" w:rsidRPr="00E24C37">
        <w:t xml:space="preserve">the </w:t>
      </w:r>
      <w:r w:rsidR="00FA4698" w:rsidRPr="00E24C37">
        <w:t>application of certain measures.</w:t>
      </w:r>
      <w:r w:rsidR="00551F19" w:rsidRPr="00E24C37">
        <w:t xml:space="preserve"> Every risk profile contained objective criteria</w:t>
      </w:r>
      <w:r w:rsidR="00426D7C" w:rsidRPr="00E24C37">
        <w:t xml:space="preserve">, which could determine the need for </w:t>
      </w:r>
      <w:r w:rsidR="00551F19" w:rsidRPr="00E24C37">
        <w:t>taking certain measures in each particular case.</w:t>
      </w:r>
      <w:r w:rsidR="006C7E6D" w:rsidRPr="00E24C37">
        <w:t xml:space="preserve"> The customs inspection and </w:t>
      </w:r>
      <w:r w:rsidR="00426D7C" w:rsidRPr="00E24C37">
        <w:t xml:space="preserve">the </w:t>
      </w:r>
      <w:r w:rsidR="006C7E6D" w:rsidRPr="00E24C37">
        <w:t>sampling of data from the applicant</w:t>
      </w:r>
      <w:r w:rsidR="00E24C37" w:rsidRPr="00E24C37">
        <w:t>’</w:t>
      </w:r>
      <w:r w:rsidR="006C7E6D" w:rsidRPr="00E24C37">
        <w:t xml:space="preserve">s laptop </w:t>
      </w:r>
      <w:r w:rsidR="00426D7C" w:rsidRPr="00E24C37">
        <w:t xml:space="preserve">had been </w:t>
      </w:r>
      <w:r w:rsidR="006C7E6D" w:rsidRPr="00E24C37">
        <w:t>a necessary measure to minimi</w:t>
      </w:r>
      <w:r w:rsidR="00426D7C" w:rsidRPr="00E24C37">
        <w:t>s</w:t>
      </w:r>
      <w:r w:rsidR="006C7E6D" w:rsidRPr="00E24C37">
        <w:t xml:space="preserve">e the risk </w:t>
      </w:r>
      <w:r w:rsidR="00426D7C" w:rsidRPr="00E24C37">
        <w:t xml:space="preserve">emerging from </w:t>
      </w:r>
      <w:r w:rsidR="006C7E6D" w:rsidRPr="00E24C37">
        <w:t>the specific risk profile.</w:t>
      </w:r>
      <w:r w:rsidR="005B684B" w:rsidRPr="00E24C37">
        <w:t xml:space="preserve"> </w:t>
      </w:r>
      <w:r w:rsidR="00426D7C" w:rsidRPr="00E24C37">
        <w:t>In addition</w:t>
      </w:r>
      <w:r w:rsidR="005B684B" w:rsidRPr="00E24C37">
        <w:t xml:space="preserve">, the customs officer had made a report to </w:t>
      </w:r>
      <w:r w:rsidR="00426D7C" w:rsidRPr="00E24C37">
        <w:t>his</w:t>
      </w:r>
      <w:r w:rsidR="005B684B" w:rsidRPr="00E24C37">
        <w:t xml:space="preserve"> supervising officer before inspectin</w:t>
      </w:r>
      <w:r w:rsidR="00426D7C" w:rsidRPr="00E24C37">
        <w:t xml:space="preserve">g </w:t>
      </w:r>
      <w:r w:rsidR="005B684B" w:rsidRPr="00E24C37">
        <w:t>the applicant</w:t>
      </w:r>
      <w:r w:rsidR="00E24C37" w:rsidRPr="00E24C37">
        <w:t>’</w:t>
      </w:r>
      <w:r w:rsidR="005B684B" w:rsidRPr="00E24C37">
        <w:t>s luggage.</w:t>
      </w:r>
    </w:p>
    <w:p w:rsidR="00900C39"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54</w:t>
      </w:r>
      <w:r w:rsidRPr="00E24C37">
        <w:rPr>
          <w:noProof/>
        </w:rPr>
        <w:fldChar w:fldCharType="end"/>
      </w:r>
      <w:r w:rsidR="00AF01CD" w:rsidRPr="00E24C37">
        <w:t>.  </w:t>
      </w:r>
      <w:r w:rsidR="00900C39" w:rsidRPr="00E24C37">
        <w:t xml:space="preserve">The presence of </w:t>
      </w:r>
      <w:r w:rsidR="00AF01CD" w:rsidRPr="00E24C37">
        <w:t xml:space="preserve">the </w:t>
      </w:r>
      <w:r w:rsidR="00900C39" w:rsidRPr="00E24C37">
        <w:t xml:space="preserve">folder </w:t>
      </w:r>
      <w:r w:rsidR="00426D7C" w:rsidRPr="00E24C37">
        <w:t xml:space="preserve">with photographs and </w:t>
      </w:r>
      <w:r w:rsidR="00900C39" w:rsidRPr="00E24C37">
        <w:t>entitled “Extremism”</w:t>
      </w:r>
      <w:r w:rsidR="00BB26D7" w:rsidRPr="00E24C37">
        <w:t xml:space="preserve"> </w:t>
      </w:r>
      <w:r w:rsidR="00900C39" w:rsidRPr="00E24C37">
        <w:t xml:space="preserve">had </w:t>
      </w:r>
      <w:r w:rsidR="00426D7C" w:rsidRPr="00E24C37">
        <w:t xml:space="preserve">been a </w:t>
      </w:r>
      <w:r w:rsidR="00900C39" w:rsidRPr="00E24C37">
        <w:t>legitimate</w:t>
      </w:r>
      <w:r w:rsidR="00426D7C" w:rsidRPr="00E24C37">
        <w:t xml:space="preserve"> reason for </w:t>
      </w:r>
      <w:r w:rsidR="00900C39" w:rsidRPr="00E24C37">
        <w:t xml:space="preserve">further actions on the part of the customs </w:t>
      </w:r>
      <w:r w:rsidR="002763D2" w:rsidRPr="00E24C37">
        <w:t>officers</w:t>
      </w:r>
      <w:r w:rsidR="00900C39" w:rsidRPr="00E24C37">
        <w:t xml:space="preserve">, including </w:t>
      </w:r>
      <w:r w:rsidR="002763D2" w:rsidRPr="00E24C37">
        <w:t xml:space="preserve">the </w:t>
      </w:r>
      <w:r w:rsidR="00900C39" w:rsidRPr="00E24C37">
        <w:t>copying of electronic data concerning the photographs.</w:t>
      </w:r>
      <w:r w:rsidR="00AF01CD" w:rsidRPr="00E24C37">
        <w:t xml:space="preserve"> </w:t>
      </w:r>
      <w:r w:rsidR="00426D7C" w:rsidRPr="00E24C37">
        <w:t>It had not been possible for t</w:t>
      </w:r>
      <w:r w:rsidR="00AF01CD" w:rsidRPr="00E24C37">
        <w:t xml:space="preserve">he officers </w:t>
      </w:r>
      <w:r w:rsidR="00426D7C" w:rsidRPr="00E24C37">
        <w:t xml:space="preserve">to </w:t>
      </w:r>
      <w:r w:rsidR="002763D2" w:rsidRPr="00E24C37">
        <w:t xml:space="preserve">take another course of action </w:t>
      </w:r>
      <w:r w:rsidR="00AF01CD" w:rsidRPr="00E24C37">
        <w:t xml:space="preserve">and the law had required them to obtain an expert conclusion as to </w:t>
      </w:r>
      <w:r w:rsidR="00426D7C" w:rsidRPr="00E24C37">
        <w:t xml:space="preserve">the presence of </w:t>
      </w:r>
      <w:r w:rsidR="00AF01CD" w:rsidRPr="00E24C37">
        <w:t xml:space="preserve">“extremist material”. </w:t>
      </w:r>
      <w:r w:rsidR="00900C39" w:rsidRPr="00E24C37">
        <w:t>The applicant had raised no objection relating to the copying or to its extent. The applicant had only voiced a concern that further information</w:t>
      </w:r>
      <w:r w:rsidR="00426D7C" w:rsidRPr="00E24C37">
        <w:t>, not related to him,</w:t>
      </w:r>
      <w:r w:rsidR="00900C39" w:rsidRPr="00E24C37">
        <w:t xml:space="preserve"> could be added </w:t>
      </w:r>
      <w:r w:rsidR="00426D7C" w:rsidRPr="00E24C37">
        <w:t>to</w:t>
      </w:r>
      <w:r w:rsidR="00900C39" w:rsidRPr="00E24C37">
        <w:t xml:space="preserve"> the DVDs containing his photographs. The subsequent use of the copied information had been strictly limited to the needs of </w:t>
      </w:r>
      <w:r w:rsidR="00426D7C" w:rsidRPr="00E24C37">
        <w:t xml:space="preserve">the </w:t>
      </w:r>
      <w:r w:rsidR="00900C39" w:rsidRPr="00E24C37">
        <w:t>expert examination.</w:t>
      </w:r>
    </w:p>
    <w:p w:rsidR="00F92714"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55</w:t>
      </w:r>
      <w:r w:rsidRPr="00E24C37">
        <w:rPr>
          <w:noProof/>
        </w:rPr>
        <w:fldChar w:fldCharType="end"/>
      </w:r>
      <w:r w:rsidR="00F92714" w:rsidRPr="00E24C37">
        <w:t xml:space="preserve">.  The Government </w:t>
      </w:r>
      <w:r w:rsidR="002763D2" w:rsidRPr="00E24C37">
        <w:t xml:space="preserve">also </w:t>
      </w:r>
      <w:r w:rsidR="00F92714" w:rsidRPr="00E24C37">
        <w:t xml:space="preserve">argued that Russian law contained a number of safeguards against abusive or arbitrary actions on the part of customs officers. The Russian Constitution expressly limited interferences with the inviolability of </w:t>
      </w:r>
      <w:r w:rsidR="00426D7C" w:rsidRPr="00E24C37">
        <w:t>people</w:t>
      </w:r>
      <w:r w:rsidR="00E24C37" w:rsidRPr="00E24C37">
        <w:t>’</w:t>
      </w:r>
      <w:r w:rsidR="00F92714" w:rsidRPr="00E24C37">
        <w:t>s private li</w:t>
      </w:r>
      <w:r w:rsidR="00426D7C" w:rsidRPr="00E24C37">
        <w:t>ves</w:t>
      </w:r>
      <w:r w:rsidR="00F92714" w:rsidRPr="00E24C37">
        <w:t xml:space="preserve"> to situations where it was necessary for a legitimate aim and </w:t>
      </w:r>
      <w:r w:rsidR="00426D7C" w:rsidRPr="00E24C37">
        <w:t xml:space="preserve">which </w:t>
      </w:r>
      <w:r w:rsidR="00F92714" w:rsidRPr="00E24C37">
        <w:t>was prescribed by a federal statute (such as the Customs Code). T</w:t>
      </w:r>
      <w:r w:rsidR="00900C39" w:rsidRPr="00E24C37">
        <w:t>he inspection and</w:t>
      </w:r>
      <w:r w:rsidR="00904A5D" w:rsidRPr="00E24C37">
        <w:t xml:space="preserve"> </w:t>
      </w:r>
      <w:r w:rsidR="00900C39" w:rsidRPr="00E24C37">
        <w:t>copying of the applicant</w:t>
      </w:r>
      <w:r w:rsidR="00E24C37" w:rsidRPr="00E24C37">
        <w:t>’</w:t>
      </w:r>
      <w:r w:rsidR="00900C39" w:rsidRPr="00E24C37">
        <w:t xml:space="preserve">s materials had been </w:t>
      </w:r>
      <w:r w:rsidR="00426D7C" w:rsidRPr="00E24C37">
        <w:t xml:space="preserve">authorised </w:t>
      </w:r>
      <w:r w:rsidR="00900C39" w:rsidRPr="00E24C37">
        <w:t>by Articles 372 and 383 of the Customs Code and had been further detailed in related legal acts, including orders issued by the Federal Customs Authority. Th</w:t>
      </w:r>
      <w:r w:rsidR="00426D7C" w:rsidRPr="00E24C37">
        <w:t>o</w:t>
      </w:r>
      <w:r w:rsidR="00900C39" w:rsidRPr="00E24C37">
        <w:t xml:space="preserve">se provisions conferred corresponding and sufficiently fettered powers on customs officers without any need for a court </w:t>
      </w:r>
      <w:r w:rsidR="00900C39" w:rsidRPr="00E24C37">
        <w:lastRenderedPageBreak/>
        <w:t>order</w:t>
      </w:r>
      <w:r w:rsidR="00442476" w:rsidRPr="00E24C37">
        <w:t xml:space="preserve">, </w:t>
      </w:r>
      <w:r w:rsidR="00DD33E6" w:rsidRPr="00E24C37">
        <w:t>which would be required i</w:t>
      </w:r>
      <w:r w:rsidR="00900C39" w:rsidRPr="00E24C37">
        <w:t xml:space="preserve">n the case of interference with </w:t>
      </w:r>
      <w:r w:rsidR="00426D7C" w:rsidRPr="00E24C37">
        <w:t>some</w:t>
      </w:r>
      <w:r w:rsidR="00900C39" w:rsidRPr="00E24C37">
        <w:t>one</w:t>
      </w:r>
      <w:r w:rsidR="00E24C37" w:rsidRPr="00E24C37">
        <w:t>’</w:t>
      </w:r>
      <w:r w:rsidR="00900C39" w:rsidRPr="00E24C37">
        <w:t xml:space="preserve">s </w:t>
      </w:r>
      <w:r w:rsidR="00EC7D57" w:rsidRPr="00E24C37">
        <w:t>“</w:t>
      </w:r>
      <w:r w:rsidR="00900C39" w:rsidRPr="00E24C37">
        <w:t>correspondence</w:t>
      </w:r>
      <w:r w:rsidR="00EC7D57" w:rsidRPr="00E24C37">
        <w:t>”</w:t>
      </w:r>
      <w:r w:rsidR="00900C39" w:rsidRPr="00E24C37">
        <w:t>.</w:t>
      </w:r>
    </w:p>
    <w:p w:rsidR="00197E46"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56</w:t>
      </w:r>
      <w:r w:rsidRPr="00E24C37">
        <w:rPr>
          <w:noProof/>
        </w:rPr>
        <w:fldChar w:fldCharType="end"/>
      </w:r>
      <w:r w:rsidR="00F92714" w:rsidRPr="00E24C37">
        <w:t xml:space="preserve">.  The Customs Code contained provisions limiting </w:t>
      </w:r>
      <w:r w:rsidR="00442476" w:rsidRPr="00E24C37">
        <w:t xml:space="preserve">the </w:t>
      </w:r>
      <w:r w:rsidR="00F92714" w:rsidRPr="00E24C37">
        <w:t>use of private information and provided for liability for breaching th</w:t>
      </w:r>
      <w:r w:rsidR="00442476" w:rsidRPr="00E24C37">
        <w:t>o</w:t>
      </w:r>
      <w:r w:rsidR="00F92714" w:rsidRPr="00E24C37">
        <w:t xml:space="preserve">se limitations. The same limitations were also </w:t>
      </w:r>
      <w:r w:rsidR="00442476" w:rsidRPr="00E24C37">
        <w:t xml:space="preserve">imposed on </w:t>
      </w:r>
      <w:r w:rsidR="00F92714" w:rsidRPr="00E24C37">
        <w:t>experts examining “samples”.</w:t>
      </w:r>
    </w:p>
    <w:p w:rsidR="00E920D8"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57</w:t>
      </w:r>
      <w:r w:rsidRPr="00E24C37">
        <w:rPr>
          <w:noProof/>
        </w:rPr>
        <w:fldChar w:fldCharType="end"/>
      </w:r>
      <w:r w:rsidR="00E920D8" w:rsidRPr="00E24C37">
        <w:t>.  The Government submitted some statistical data for 2009-11 aimed at demonstrating (by contrast to the Court</w:t>
      </w:r>
      <w:r w:rsidR="00E24C37" w:rsidRPr="00E24C37">
        <w:t>’</w:t>
      </w:r>
      <w:r w:rsidR="00E920D8" w:rsidRPr="00E24C37">
        <w:t xml:space="preserve">s findings in </w:t>
      </w:r>
      <w:r w:rsidR="00E920D8" w:rsidRPr="00E24C37">
        <w:rPr>
          <w:i/>
        </w:rPr>
        <w:t>Gillan and Quinton v. the United Kingdom</w:t>
      </w:r>
      <w:r w:rsidR="00E920D8" w:rsidRPr="00E24C37">
        <w:t>, no. 4158/05, § 84, ECHR 2010 (extracts)</w:t>
      </w:r>
      <w:r w:rsidR="00274032" w:rsidRPr="00E24C37">
        <w:t>)</w:t>
      </w:r>
      <w:r w:rsidR="00E920D8" w:rsidRPr="00E24C37">
        <w:t xml:space="preserve"> that the inspection and sampling procedures in relation to suspicions of the presence of extremist or other prohibited material in electronic form had been rarely applied (for instance, various types of materials relating to Jehovah Witnesses or Scientology, various types of good</w:t>
      </w:r>
      <w:r w:rsidR="004562FF" w:rsidRPr="00E24C37">
        <w:t>s</w:t>
      </w:r>
      <w:r w:rsidR="00E920D8" w:rsidRPr="00E24C37">
        <w:t xml:space="preserve"> or materials showing Nazi symbols</w:t>
      </w:r>
      <w:r w:rsidR="00274032" w:rsidRPr="00E24C37">
        <w:t xml:space="preserve"> or those resembling them in various contexts</w:t>
      </w:r>
      <w:r w:rsidR="00E920D8" w:rsidRPr="00E24C37">
        <w:t>).</w:t>
      </w:r>
    </w:p>
    <w:bookmarkStart w:id="23" w:name="Gexamplescases"/>
    <w:p w:rsidR="00F92714" w:rsidRPr="00E24C37" w:rsidRDefault="00E920D8" w:rsidP="00E24C37">
      <w:pPr>
        <w:pStyle w:val="ECHRPara"/>
      </w:pPr>
      <w:r w:rsidRPr="00E24C37">
        <w:fldChar w:fldCharType="begin"/>
      </w:r>
      <w:r w:rsidRPr="00E24C37">
        <w:instrText xml:space="preserve"> SEQ level0 \*arabic </w:instrText>
      </w:r>
      <w:r w:rsidRPr="00E24C37">
        <w:fldChar w:fldCharType="separate"/>
      </w:r>
      <w:r w:rsidR="00B87844">
        <w:rPr>
          <w:noProof/>
        </w:rPr>
        <w:t>58</w:t>
      </w:r>
      <w:r w:rsidRPr="00E24C37">
        <w:fldChar w:fldCharType="end"/>
      </w:r>
      <w:bookmarkEnd w:id="23"/>
      <w:r w:rsidRPr="00E24C37">
        <w:t>.  </w:t>
      </w:r>
      <w:r w:rsidR="00674FA5" w:rsidRPr="00E24C37">
        <w:t>Lastly</w:t>
      </w:r>
      <w:r w:rsidRPr="00E24C37">
        <w:t>,</w:t>
      </w:r>
      <w:r w:rsidR="00674FA5" w:rsidRPr="00E24C37">
        <w:t xml:space="preserve"> the Government submitted that the applicant had had effective remedies </w:t>
      </w:r>
      <w:r w:rsidR="00274032" w:rsidRPr="00E24C37">
        <w:t xml:space="preserve">at his disposal </w:t>
      </w:r>
      <w:r w:rsidR="00674FA5" w:rsidRPr="00E24C37">
        <w:t>in respect of his complaints. The judicial</w:t>
      </w:r>
      <w:r w:rsidR="00274032" w:rsidRPr="00E24C37">
        <w:t xml:space="preserve"> </w:t>
      </w:r>
      <w:r w:rsidR="00674FA5" w:rsidRPr="00E24C37">
        <w:t>review procedure under Chapter 25 of the CCP was capable of remedying violation</w:t>
      </w:r>
      <w:r w:rsidR="00274032" w:rsidRPr="00E24C37">
        <w:t>s</w:t>
      </w:r>
      <w:r w:rsidR="00674FA5" w:rsidRPr="00E24C37">
        <w:t xml:space="preserve"> of individual rights. The applicant</w:t>
      </w:r>
      <w:r w:rsidR="00E24C37" w:rsidRPr="00E24C37">
        <w:t>’</w:t>
      </w:r>
      <w:r w:rsidR="00674FA5" w:rsidRPr="00E24C37">
        <w:t>s case had been examined by the courts on the merits. They had dealt with matters relating to legality and had concluded that the customs officials</w:t>
      </w:r>
      <w:r w:rsidR="00E24C37" w:rsidRPr="00E24C37">
        <w:t>’</w:t>
      </w:r>
      <w:r w:rsidR="00674FA5" w:rsidRPr="00E24C37">
        <w:t xml:space="preserve"> actions had not breached his rights. T</w:t>
      </w:r>
      <w:r w:rsidRPr="00E24C37">
        <w:t>he Government enclosed f</w:t>
      </w:r>
      <w:r w:rsidR="0027401F" w:rsidRPr="00E24C37">
        <w:t>ourteen judgments from various Russian courts in cases</w:t>
      </w:r>
      <w:r w:rsidRPr="00E24C37">
        <w:t xml:space="preserve"> </w:t>
      </w:r>
      <w:r w:rsidR="00274032" w:rsidRPr="00E24C37">
        <w:t xml:space="preserve">that had been </w:t>
      </w:r>
      <w:r w:rsidRPr="00E24C37">
        <w:t xml:space="preserve">lost by </w:t>
      </w:r>
      <w:r w:rsidR="0027401F" w:rsidRPr="00E24C37">
        <w:t xml:space="preserve">the customs </w:t>
      </w:r>
      <w:r w:rsidRPr="00E24C37">
        <w:t>authorities (such a</w:t>
      </w:r>
      <w:r w:rsidR="00274032" w:rsidRPr="00E24C37">
        <w:t>s</w:t>
      </w:r>
      <w:r w:rsidRPr="00E24C37">
        <w:t xml:space="preserve"> </w:t>
      </w:r>
      <w:r w:rsidR="00274032" w:rsidRPr="00E24C37">
        <w:t xml:space="preserve">the </w:t>
      </w:r>
      <w:r w:rsidRPr="00E24C37">
        <w:t xml:space="preserve">unlawful levying of customs fees, an unlawful refusal to release an international postal package or </w:t>
      </w:r>
      <w:r w:rsidR="00274032" w:rsidRPr="00E24C37">
        <w:t>the</w:t>
      </w:r>
      <w:r w:rsidRPr="00E24C37">
        <w:t xml:space="preserve"> unlawful retention of a vehicle). T</w:t>
      </w:r>
      <w:r w:rsidR="0027401F" w:rsidRPr="00E24C37">
        <w:t>he Government argued that t</w:t>
      </w:r>
      <w:r w:rsidR="00F92714" w:rsidRPr="00E24C37">
        <w:t xml:space="preserve">he absence of </w:t>
      </w:r>
      <w:r w:rsidR="00274032" w:rsidRPr="00E24C37">
        <w:t>a</w:t>
      </w:r>
      <w:r w:rsidR="00F92714" w:rsidRPr="00E24C37">
        <w:t xml:space="preserve"> requirement to obtain a court authorisation was counterbalanced by the availability of </w:t>
      </w:r>
      <w:r w:rsidR="002F0861" w:rsidRPr="00E24C37">
        <w:t xml:space="preserve">a </w:t>
      </w:r>
      <w:r w:rsidR="00F92714" w:rsidRPr="00E24C37">
        <w:t>judicial review under Chapter 25 of the C</w:t>
      </w:r>
      <w:r w:rsidR="001D0135" w:rsidRPr="00E24C37">
        <w:t>CP</w:t>
      </w:r>
      <w:r w:rsidR="00F92714" w:rsidRPr="00E24C37">
        <w:t>, which was essential for ascertaining the legality of the public officials</w:t>
      </w:r>
      <w:r w:rsidR="00E24C37" w:rsidRPr="00E24C37">
        <w:t>’</w:t>
      </w:r>
      <w:r w:rsidR="00F92714" w:rsidRPr="00E24C37">
        <w:t xml:space="preserve"> actions. It was also possible to claim </w:t>
      </w:r>
      <w:r w:rsidR="00274032" w:rsidRPr="00E24C37">
        <w:t xml:space="preserve">compensation </w:t>
      </w:r>
      <w:r w:rsidR="00F92714" w:rsidRPr="00E24C37">
        <w:t xml:space="preserve">under Article 1070 of the Civil Code </w:t>
      </w:r>
      <w:r w:rsidR="00274032" w:rsidRPr="00E24C37">
        <w:t xml:space="preserve">for </w:t>
      </w:r>
      <w:r w:rsidR="00F92714" w:rsidRPr="00E24C37">
        <w:t xml:space="preserve">damage caused by </w:t>
      </w:r>
      <w:r w:rsidR="00274032" w:rsidRPr="00E24C37">
        <w:t xml:space="preserve">the </w:t>
      </w:r>
      <w:r w:rsidR="00F92714" w:rsidRPr="00E24C37">
        <w:t>actions of public officials.</w:t>
      </w:r>
    </w:p>
    <w:p w:rsidR="00900C39" w:rsidRPr="00E24C37" w:rsidRDefault="00900C39" w:rsidP="00E24C37">
      <w:pPr>
        <w:pStyle w:val="ECHRHeading3"/>
      </w:pPr>
      <w:r w:rsidRPr="00E24C37">
        <w:t>2.  The Court</w:t>
      </w:r>
      <w:r w:rsidR="00E24C37" w:rsidRPr="00E24C37">
        <w:t>’</w:t>
      </w:r>
      <w:r w:rsidRPr="00E24C37">
        <w:t>s assessment</w:t>
      </w:r>
    </w:p>
    <w:p w:rsidR="00900C39" w:rsidRPr="00E24C37" w:rsidRDefault="00900C39" w:rsidP="00E24C37">
      <w:pPr>
        <w:pStyle w:val="ECHRHeading4"/>
      </w:pPr>
      <w:r w:rsidRPr="00E24C37">
        <w:t>(a)  </w:t>
      </w:r>
      <w:r w:rsidR="001520D0" w:rsidRPr="00E24C37">
        <w:t>Whether there was “interference</w:t>
      </w:r>
      <w:r w:rsidR="00D7410C" w:rsidRPr="00E24C37">
        <w:t xml:space="preserve"> by a public authority</w:t>
      </w:r>
      <w:r w:rsidR="001520D0" w:rsidRPr="00E24C37">
        <w:t>” with the applicant</w:t>
      </w:r>
      <w:r w:rsidR="00E24C37" w:rsidRPr="00E24C37">
        <w:t>’</w:t>
      </w:r>
      <w:r w:rsidR="001520D0" w:rsidRPr="00E24C37">
        <w:t>s rights under Article 8 of the Convention</w:t>
      </w:r>
    </w:p>
    <w:p w:rsidR="00320F26" w:rsidRPr="00E24C37" w:rsidRDefault="00320F26" w:rsidP="00E24C37">
      <w:pPr>
        <w:pStyle w:val="ECHRHeading5"/>
      </w:pPr>
      <w:r w:rsidRPr="00E24C37">
        <w:t>(i)  Correspondence</w:t>
      </w:r>
    </w:p>
    <w:p w:rsidR="00197E46"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59</w:t>
      </w:r>
      <w:r w:rsidRPr="00E24C37">
        <w:rPr>
          <w:noProof/>
        </w:rPr>
        <w:fldChar w:fldCharType="end"/>
      </w:r>
      <w:r w:rsidR="007101D3" w:rsidRPr="00E24C37">
        <w:t xml:space="preserve">.  The applicant </w:t>
      </w:r>
      <w:r w:rsidR="00274032" w:rsidRPr="00E24C37">
        <w:t>argued</w:t>
      </w:r>
      <w:r w:rsidR="007101D3" w:rsidRPr="00E24C37">
        <w:t xml:space="preserve"> that the customs officers</w:t>
      </w:r>
      <w:r w:rsidR="00E24C37" w:rsidRPr="00E24C37">
        <w:t>’</w:t>
      </w:r>
      <w:r w:rsidR="007101D3" w:rsidRPr="00E24C37">
        <w:t xml:space="preserve"> actions </w:t>
      </w:r>
      <w:r w:rsidR="00274032" w:rsidRPr="00E24C37">
        <w:t xml:space="preserve">had </w:t>
      </w:r>
      <w:r w:rsidR="007101D3" w:rsidRPr="00E24C37">
        <w:t xml:space="preserve">constituted an “interference” with his “correspondence” with the meaning of Article 8 § 1 of the Convention and, </w:t>
      </w:r>
      <w:r w:rsidR="00274032" w:rsidRPr="00E24C37">
        <w:t xml:space="preserve">first and </w:t>
      </w:r>
      <w:r w:rsidR="007101D3" w:rsidRPr="00E24C37">
        <w:t xml:space="preserve">foremost, </w:t>
      </w:r>
      <w:r w:rsidR="00274032" w:rsidRPr="00E24C37">
        <w:t xml:space="preserve">under </w:t>
      </w:r>
      <w:r w:rsidR="007101D3" w:rsidRPr="00E24C37">
        <w:t>Article 23 of the Russian Constitution, which required a court order for th</w:t>
      </w:r>
      <w:r w:rsidR="00274032" w:rsidRPr="00E24C37">
        <w:t>at</w:t>
      </w:r>
      <w:r w:rsidR="007101D3" w:rsidRPr="00E24C37">
        <w:t xml:space="preserve"> type of “interference” with correspondence or “other communications” (see paragraph </w:t>
      </w:r>
      <w:r w:rsidR="007101D3" w:rsidRPr="00E24C37">
        <w:fldChar w:fldCharType="begin"/>
      </w:r>
      <w:r w:rsidR="007101D3" w:rsidRPr="00E24C37">
        <w:instrText xml:space="preserve"> REF  Contitutioncorrespondence \h </w:instrText>
      </w:r>
      <w:r w:rsidR="007101D3" w:rsidRPr="00E24C37">
        <w:fldChar w:fldCharType="separate"/>
      </w:r>
      <w:r w:rsidR="00B87844">
        <w:rPr>
          <w:noProof/>
        </w:rPr>
        <w:t>25</w:t>
      </w:r>
      <w:r w:rsidR="007101D3" w:rsidRPr="00E24C37">
        <w:fldChar w:fldCharType="end"/>
      </w:r>
      <w:r w:rsidR="007101D3" w:rsidRPr="00E24C37">
        <w:t xml:space="preserve"> above).</w:t>
      </w:r>
    </w:p>
    <w:p w:rsidR="00197E46" w:rsidRPr="00E24C37" w:rsidRDefault="004B1E2C" w:rsidP="00E24C37">
      <w:pPr>
        <w:pStyle w:val="ECHRPara"/>
      </w:pPr>
      <w:r w:rsidRPr="00E24C37">
        <w:lastRenderedPageBreak/>
        <w:fldChar w:fldCharType="begin"/>
      </w:r>
      <w:r w:rsidRPr="00E24C37">
        <w:instrText xml:space="preserve"> SEQ level0 \*arabic </w:instrText>
      </w:r>
      <w:r w:rsidRPr="00E24C37">
        <w:fldChar w:fldCharType="separate"/>
      </w:r>
      <w:r w:rsidR="00B87844">
        <w:rPr>
          <w:noProof/>
        </w:rPr>
        <w:t>60</w:t>
      </w:r>
      <w:r w:rsidRPr="00E24C37">
        <w:rPr>
          <w:noProof/>
        </w:rPr>
        <w:fldChar w:fldCharType="end"/>
      </w:r>
      <w:r w:rsidR="00021992" w:rsidRPr="00E24C37">
        <w:t xml:space="preserve">.  First of all, </w:t>
      </w:r>
      <w:r w:rsidR="00274032" w:rsidRPr="00E24C37">
        <w:t xml:space="preserve">the Court </w:t>
      </w:r>
      <w:r w:rsidR="00021992" w:rsidRPr="00E24C37">
        <w:t>note</w:t>
      </w:r>
      <w:r w:rsidR="00274032" w:rsidRPr="00E24C37">
        <w:t>s</w:t>
      </w:r>
      <w:r w:rsidR="00021992" w:rsidRPr="00E24C37">
        <w:t xml:space="preserve"> that the applicant</w:t>
      </w:r>
      <w:r w:rsidR="00E24C37" w:rsidRPr="00E24C37">
        <w:t>’</w:t>
      </w:r>
      <w:r w:rsidR="00021992" w:rsidRPr="00E24C37">
        <w:t xml:space="preserve">s complaint is related to data contained </w:t>
      </w:r>
      <w:r w:rsidR="006E6C77" w:rsidRPr="00E24C37">
        <w:t>o</w:t>
      </w:r>
      <w:r w:rsidR="00021992" w:rsidRPr="00E24C37">
        <w:t>n his laptop. There is no evidence that the applicant</w:t>
      </w:r>
      <w:r w:rsidR="00E24C37" w:rsidRPr="00E24C37">
        <w:t>’</w:t>
      </w:r>
      <w:r w:rsidR="00021992" w:rsidRPr="00E24C37">
        <w:t>s flash</w:t>
      </w:r>
      <w:r w:rsidR="002763D2" w:rsidRPr="00E24C37">
        <w:t xml:space="preserve"> memory</w:t>
      </w:r>
      <w:r w:rsidR="00021992" w:rsidRPr="00E24C37">
        <w:t xml:space="preserve"> cards were inspected or that any data was copied from them.</w:t>
      </w:r>
    </w:p>
    <w:p w:rsidR="0011628D" w:rsidRPr="00E24C37" w:rsidRDefault="002763D2" w:rsidP="00E24C37">
      <w:pPr>
        <w:pStyle w:val="ECHRPara"/>
        <w:rPr>
          <w:snapToGrid w:val="0"/>
        </w:rPr>
      </w:pPr>
      <w:r w:rsidRPr="00E24C37">
        <w:fldChar w:fldCharType="begin"/>
      </w:r>
      <w:r w:rsidRPr="00E24C37">
        <w:instrText xml:space="preserve"> SEQ level0 \*arabic </w:instrText>
      </w:r>
      <w:r w:rsidRPr="00E24C37">
        <w:fldChar w:fldCharType="separate"/>
      </w:r>
      <w:r w:rsidR="00B87844">
        <w:rPr>
          <w:noProof/>
        </w:rPr>
        <w:t>61</w:t>
      </w:r>
      <w:r w:rsidRPr="00E24C37">
        <w:fldChar w:fldCharType="end"/>
      </w:r>
      <w:r w:rsidRPr="00E24C37">
        <w:t>.  </w:t>
      </w:r>
      <w:r w:rsidR="007101D3" w:rsidRPr="00E24C37">
        <w:t>Second, i</w:t>
      </w:r>
      <w:r w:rsidRPr="00E24C37">
        <w:t xml:space="preserve">t can be accepted that </w:t>
      </w:r>
      <w:r w:rsidR="00934EB3" w:rsidRPr="00E24C37">
        <w:t>the applicant</w:t>
      </w:r>
      <w:r w:rsidR="00E24C37" w:rsidRPr="00E24C37">
        <w:t>’</w:t>
      </w:r>
      <w:r w:rsidR="00934EB3" w:rsidRPr="00E24C37">
        <w:t xml:space="preserve">s laptop </w:t>
      </w:r>
      <w:r w:rsidR="006E6C77" w:rsidRPr="00E24C37">
        <w:t xml:space="preserve">allowed for </w:t>
      </w:r>
      <w:r w:rsidR="00934EB3" w:rsidRPr="00E24C37">
        <w:t>access to his ICQ conversations with other people.</w:t>
      </w:r>
      <w:r w:rsidR="005D0C40" w:rsidRPr="00E24C37">
        <w:t xml:space="preserve"> However, it has not been specified whether</w:t>
      </w:r>
      <w:r w:rsidR="0011628D" w:rsidRPr="00E24C37">
        <w:t xml:space="preserve"> access</w:t>
      </w:r>
      <w:r w:rsidR="005D0C40" w:rsidRPr="00E24C37">
        <w:t xml:space="preserve"> </w:t>
      </w:r>
      <w:r w:rsidR="00274032" w:rsidRPr="00E24C37">
        <w:t xml:space="preserve">to that </w:t>
      </w:r>
      <w:r w:rsidR="006E6C77" w:rsidRPr="00E24C37">
        <w:t xml:space="preserve">program </w:t>
      </w:r>
      <w:r w:rsidR="005D0C40" w:rsidRPr="00E24C37">
        <w:t xml:space="preserve">was protected by a password or </w:t>
      </w:r>
      <w:r w:rsidR="0011628D" w:rsidRPr="00E24C37">
        <w:t xml:space="preserve">whether </w:t>
      </w:r>
      <w:r w:rsidR="005D0C40" w:rsidRPr="00E24C37">
        <w:t xml:space="preserve">no such password was technically required. </w:t>
      </w:r>
      <w:r w:rsidR="0011628D" w:rsidRPr="00E24C37">
        <w:t>The applicant has not specified what other “correspondence”</w:t>
      </w:r>
      <w:r w:rsidR="006E6C77" w:rsidRPr="00E24C37">
        <w:t>,</w:t>
      </w:r>
      <w:r w:rsidR="0011628D" w:rsidRPr="00E24C37">
        <w:t xml:space="preserve"> such as email</w:t>
      </w:r>
      <w:r w:rsidR="006E6C77" w:rsidRPr="00E24C37">
        <w:t>s</w:t>
      </w:r>
      <w:r w:rsidR="0011628D" w:rsidRPr="00E24C37">
        <w:t xml:space="preserve">, was readily accessible for reading on the laptop (see </w:t>
      </w:r>
      <w:r w:rsidR="0011628D" w:rsidRPr="00E24C37">
        <w:rPr>
          <w:i/>
          <w:lang w:val="pt-PT"/>
        </w:rPr>
        <w:t>Posevini v. Bulgaria</w:t>
      </w:r>
      <w:r w:rsidR="0011628D" w:rsidRPr="00E24C37">
        <w:rPr>
          <w:lang w:val="pt-PT"/>
        </w:rPr>
        <w:t xml:space="preserve">, no. 63638/14, § 75, 19 </w:t>
      </w:r>
      <w:r w:rsidR="0011628D" w:rsidRPr="00E24C37">
        <w:t>January</w:t>
      </w:r>
      <w:r w:rsidR="0011628D" w:rsidRPr="00E24C37">
        <w:rPr>
          <w:lang w:val="pt-PT"/>
        </w:rPr>
        <w:t xml:space="preserve"> </w:t>
      </w:r>
      <w:r w:rsidR="0011628D" w:rsidRPr="00E24C37">
        <w:t xml:space="preserve">2017). </w:t>
      </w:r>
      <w:r w:rsidR="00ED624D" w:rsidRPr="00E24C37">
        <w:t xml:space="preserve">It does not appear that the applicant was required to disclose any password. </w:t>
      </w:r>
      <w:r w:rsidR="0011628D" w:rsidRPr="00E24C37">
        <w:t>As regards the applicant</w:t>
      </w:r>
      <w:r w:rsidR="00E24C37" w:rsidRPr="00E24C37">
        <w:t>’</w:t>
      </w:r>
      <w:r w:rsidR="0011628D" w:rsidRPr="00E24C37">
        <w:t>s submission concerning “the copying of his passwords”</w:t>
      </w:r>
      <w:r w:rsidR="00934EB3" w:rsidRPr="00E24C37">
        <w:t>,</w:t>
      </w:r>
      <w:r w:rsidR="0011628D" w:rsidRPr="00E24C37">
        <w:t xml:space="preserve"> it has not</w:t>
      </w:r>
      <w:r w:rsidR="00934EB3" w:rsidRPr="00E24C37">
        <w:t xml:space="preserve"> </w:t>
      </w:r>
      <w:r w:rsidR="0011628D" w:rsidRPr="00E24C37">
        <w:t>been</w:t>
      </w:r>
      <w:r w:rsidR="00934EB3" w:rsidRPr="00E24C37">
        <w:rPr>
          <w:snapToGrid w:val="0"/>
        </w:rPr>
        <w:t xml:space="preserve"> specified</w:t>
      </w:r>
      <w:r w:rsidR="0011628D" w:rsidRPr="00E24C37">
        <w:rPr>
          <w:snapToGrid w:val="0"/>
        </w:rPr>
        <w:t xml:space="preserve">, and the Court </w:t>
      </w:r>
      <w:r w:rsidR="00274032" w:rsidRPr="00E24C37">
        <w:rPr>
          <w:snapToGrid w:val="0"/>
        </w:rPr>
        <w:t xml:space="preserve">does not have </w:t>
      </w:r>
      <w:r w:rsidR="0011628D" w:rsidRPr="00E24C37">
        <w:rPr>
          <w:snapToGrid w:val="0"/>
        </w:rPr>
        <w:t>sufficient information at its disposal</w:t>
      </w:r>
      <w:r w:rsidR="006E6C77" w:rsidRPr="00E24C37">
        <w:rPr>
          <w:snapToGrid w:val="0"/>
        </w:rPr>
        <w:t xml:space="preserve"> on this point</w:t>
      </w:r>
      <w:r w:rsidR="0011628D" w:rsidRPr="00E24C37">
        <w:rPr>
          <w:snapToGrid w:val="0"/>
        </w:rPr>
        <w:t>,</w:t>
      </w:r>
      <w:r w:rsidR="00934EB3" w:rsidRPr="00E24C37">
        <w:rPr>
          <w:snapToGrid w:val="0"/>
        </w:rPr>
        <w:t xml:space="preserve"> how it was technically </w:t>
      </w:r>
      <w:r w:rsidRPr="00E24C37">
        <w:rPr>
          <w:snapToGrid w:val="0"/>
        </w:rPr>
        <w:t>practicable</w:t>
      </w:r>
      <w:r w:rsidR="00934EB3" w:rsidRPr="00E24C37">
        <w:rPr>
          <w:snapToGrid w:val="0"/>
        </w:rPr>
        <w:t xml:space="preserve"> to “copy” passwords</w:t>
      </w:r>
      <w:r w:rsidR="005D0C40" w:rsidRPr="00E24C37">
        <w:rPr>
          <w:snapToGrid w:val="0"/>
        </w:rPr>
        <w:t xml:space="preserve"> for </w:t>
      </w:r>
      <w:r w:rsidR="0011628D" w:rsidRPr="00E24C37">
        <w:rPr>
          <w:snapToGrid w:val="0"/>
        </w:rPr>
        <w:t>such</w:t>
      </w:r>
      <w:r w:rsidR="005D0C40" w:rsidRPr="00E24C37">
        <w:rPr>
          <w:snapToGrid w:val="0"/>
        </w:rPr>
        <w:t xml:space="preserve"> accounts as </w:t>
      </w:r>
      <w:r w:rsidR="006E6C77" w:rsidRPr="00E24C37">
        <w:rPr>
          <w:snapToGrid w:val="0"/>
        </w:rPr>
        <w:t xml:space="preserve">those needed for </w:t>
      </w:r>
      <w:r w:rsidR="005D0C40" w:rsidRPr="00E24C37">
        <w:rPr>
          <w:snapToGrid w:val="0"/>
        </w:rPr>
        <w:t>email, Facebook or Skype</w:t>
      </w:r>
      <w:r w:rsidR="00934EB3" w:rsidRPr="00E24C37">
        <w:rPr>
          <w:snapToGrid w:val="0"/>
        </w:rPr>
        <w:t>.</w:t>
      </w:r>
    </w:p>
    <w:p w:rsidR="00934EB3" w:rsidRPr="00E24C37" w:rsidRDefault="0011628D" w:rsidP="00E24C37">
      <w:pPr>
        <w:pStyle w:val="ECHRPara"/>
        <w:rPr>
          <w:i/>
        </w:rPr>
      </w:pPr>
      <w:r w:rsidRPr="00E24C37">
        <w:fldChar w:fldCharType="begin"/>
      </w:r>
      <w:r w:rsidRPr="00E24C37">
        <w:instrText xml:space="preserve"> SEQ level0 \*arabic </w:instrText>
      </w:r>
      <w:r w:rsidRPr="00E24C37">
        <w:fldChar w:fldCharType="separate"/>
      </w:r>
      <w:r w:rsidR="00B87844">
        <w:rPr>
          <w:noProof/>
        </w:rPr>
        <w:t>62</w:t>
      </w:r>
      <w:r w:rsidRPr="00E24C37">
        <w:fldChar w:fldCharType="end"/>
      </w:r>
      <w:r w:rsidRPr="00E24C37">
        <w:t>.  </w:t>
      </w:r>
      <w:r w:rsidR="00A11BB8" w:rsidRPr="00E24C37">
        <w:t>The</w:t>
      </w:r>
      <w:r w:rsidR="00934EB3" w:rsidRPr="00E24C37">
        <w:t xml:space="preserve"> Court has previously held that the search and “seizure” of electronic data constitute</w:t>
      </w:r>
      <w:r w:rsidR="00812F1E" w:rsidRPr="00E24C37">
        <w:t>d</w:t>
      </w:r>
      <w:r w:rsidR="00934EB3" w:rsidRPr="00E24C37">
        <w:t xml:space="preserve"> an interference with the right to respect for “correspondence” within the meaning of Article 8 of the Convention (see</w:t>
      </w:r>
      <w:r w:rsidR="0066219E" w:rsidRPr="00E24C37">
        <w:t xml:space="preserve">, in respect of legal entities, </w:t>
      </w:r>
      <w:r w:rsidR="00934EB3" w:rsidRPr="00E24C37">
        <w:rPr>
          <w:i/>
        </w:rPr>
        <w:t>Wieser and Bicos Beteiligungen GmbH v. Austria</w:t>
      </w:r>
      <w:r w:rsidR="00934EB3" w:rsidRPr="00E24C37">
        <w:t>, no. 74336/01, § 45, ECHR 2007</w:t>
      </w:r>
      <w:r w:rsidR="00934EB3" w:rsidRPr="00E24C37">
        <w:noBreakHyphen/>
        <w:t>IV</w:t>
      </w:r>
      <w:r w:rsidR="00157116" w:rsidRPr="00E24C37">
        <w:rPr>
          <w:snapToGrid w:val="0"/>
        </w:rPr>
        <w:t xml:space="preserve">; </w:t>
      </w:r>
      <w:r w:rsidR="00500940" w:rsidRPr="00E24C37">
        <w:rPr>
          <w:i/>
        </w:rPr>
        <w:t>Vinci Construction and GTM Génie Civil et Services</w:t>
      </w:r>
      <w:r w:rsidR="00500940" w:rsidRPr="00E24C37">
        <w:t xml:space="preserve"> </w:t>
      </w:r>
      <w:r w:rsidR="00500940" w:rsidRPr="00E24C37">
        <w:rPr>
          <w:i/>
        </w:rPr>
        <w:t>v. France</w:t>
      </w:r>
      <w:r w:rsidR="00500940" w:rsidRPr="00E24C37">
        <w:rPr>
          <w:snapToGrid w:val="0"/>
        </w:rPr>
        <w:t xml:space="preserve">, </w:t>
      </w:r>
      <w:r w:rsidR="00500940" w:rsidRPr="00E24C37">
        <w:t>nos. 63629/10 and 60567/10</w:t>
      </w:r>
      <w:r w:rsidR="00500940" w:rsidRPr="00E24C37">
        <w:rPr>
          <w:snapToGrid w:val="0"/>
        </w:rPr>
        <w:t xml:space="preserve">, § 63, 2 April 2015; and </w:t>
      </w:r>
      <w:r w:rsidR="00C82557" w:rsidRPr="00E24C37">
        <w:rPr>
          <w:i/>
        </w:rPr>
        <w:t>Sérvulo &amp; Associados - Sociedade de Advogados, RL</w:t>
      </w:r>
      <w:r w:rsidR="00C82557" w:rsidRPr="00E24C37">
        <w:t xml:space="preserve"> </w:t>
      </w:r>
      <w:r w:rsidR="00C82557" w:rsidRPr="00E24C37">
        <w:rPr>
          <w:i/>
        </w:rPr>
        <w:t>and Others v.</w:t>
      </w:r>
      <w:r w:rsidR="00F61957" w:rsidRPr="00E24C37">
        <w:rPr>
          <w:i/>
        </w:rPr>
        <w:t> </w:t>
      </w:r>
      <w:r w:rsidR="00C82557" w:rsidRPr="00E24C37">
        <w:rPr>
          <w:i/>
        </w:rPr>
        <w:t>Portugal</w:t>
      </w:r>
      <w:r w:rsidR="00C82557" w:rsidRPr="00E24C37">
        <w:rPr>
          <w:snapToGrid w:val="0"/>
        </w:rPr>
        <w:t xml:space="preserve">, </w:t>
      </w:r>
      <w:r w:rsidR="00C82557" w:rsidRPr="00E24C37">
        <w:t>no.</w:t>
      </w:r>
      <w:r w:rsidR="00C82557" w:rsidRPr="00E24C37">
        <w:rPr>
          <w:snapToGrid w:val="0"/>
        </w:rPr>
        <w:t xml:space="preserve"> </w:t>
      </w:r>
      <w:r w:rsidR="00C82557" w:rsidRPr="00E24C37">
        <w:t>27013/10</w:t>
      </w:r>
      <w:r w:rsidR="00C82557" w:rsidRPr="00E24C37">
        <w:rPr>
          <w:snapToGrid w:val="0"/>
        </w:rPr>
        <w:t xml:space="preserve">, § 76, </w:t>
      </w:r>
      <w:r w:rsidR="00C82557" w:rsidRPr="00E24C37">
        <w:t>3</w:t>
      </w:r>
      <w:r w:rsidR="00C82557" w:rsidRPr="00E24C37">
        <w:rPr>
          <w:snapToGrid w:val="0"/>
        </w:rPr>
        <w:t xml:space="preserve"> September 2015</w:t>
      </w:r>
      <w:r w:rsidR="0066219E" w:rsidRPr="00E24C37">
        <w:rPr>
          <w:snapToGrid w:val="0"/>
        </w:rPr>
        <w:t xml:space="preserve">; see </w:t>
      </w:r>
      <w:r w:rsidR="0066219E" w:rsidRPr="00E24C37">
        <w:rPr>
          <w:i/>
        </w:rPr>
        <w:t>Robathin v. Austria</w:t>
      </w:r>
      <w:r w:rsidR="0066219E" w:rsidRPr="00E24C37">
        <w:t>, no. 30457/06</w:t>
      </w:r>
      <w:r w:rsidR="0066219E" w:rsidRPr="00E24C37">
        <w:rPr>
          <w:snapToGrid w:val="0"/>
        </w:rPr>
        <w:t>, § 39, 3 July 2012</w:t>
      </w:r>
      <w:r w:rsidR="00934EB3" w:rsidRPr="00E24C37">
        <w:rPr>
          <w:snapToGrid w:val="0"/>
        </w:rPr>
        <w:t>).</w:t>
      </w:r>
      <w:r w:rsidR="005D0C40" w:rsidRPr="00E24C37">
        <w:rPr>
          <w:snapToGrid w:val="0"/>
        </w:rPr>
        <w:t xml:space="preserve"> </w:t>
      </w:r>
      <w:r w:rsidR="00A11BB8" w:rsidRPr="00E24C37">
        <w:rPr>
          <w:snapToGrid w:val="0"/>
        </w:rPr>
        <w:t>I</w:t>
      </w:r>
      <w:r w:rsidR="005D0C40" w:rsidRPr="00E24C37">
        <w:rPr>
          <w:snapToGrid w:val="0"/>
        </w:rPr>
        <w:t>n the circumstances of the present case</w:t>
      </w:r>
      <w:r w:rsidR="00A11BB8" w:rsidRPr="00E24C37">
        <w:rPr>
          <w:snapToGrid w:val="0"/>
        </w:rPr>
        <w:t xml:space="preserve"> and noting</w:t>
      </w:r>
      <w:r w:rsidR="005D0C40" w:rsidRPr="00E24C37">
        <w:rPr>
          <w:snapToGrid w:val="0"/>
        </w:rPr>
        <w:t xml:space="preserve"> insufficient elements to conclude that the applicant</w:t>
      </w:r>
      <w:r w:rsidR="00E24C37" w:rsidRPr="00E24C37">
        <w:rPr>
          <w:snapToGrid w:val="0"/>
        </w:rPr>
        <w:t>’</w:t>
      </w:r>
      <w:r w:rsidR="005D0C40" w:rsidRPr="00E24C37">
        <w:rPr>
          <w:snapToGrid w:val="0"/>
        </w:rPr>
        <w:t xml:space="preserve">s </w:t>
      </w:r>
      <w:r w:rsidR="000C30D2" w:rsidRPr="00E24C37">
        <w:rPr>
          <w:snapToGrid w:val="0"/>
        </w:rPr>
        <w:t>“</w:t>
      </w:r>
      <w:r w:rsidR="005D0C40" w:rsidRPr="00E24C37">
        <w:rPr>
          <w:snapToGrid w:val="0"/>
        </w:rPr>
        <w:t>correspondence</w:t>
      </w:r>
      <w:r w:rsidR="000C30D2" w:rsidRPr="00E24C37">
        <w:rPr>
          <w:snapToGrid w:val="0"/>
        </w:rPr>
        <w:t>”</w:t>
      </w:r>
      <w:r w:rsidR="005D0C40" w:rsidRPr="00E24C37">
        <w:rPr>
          <w:snapToGrid w:val="0"/>
        </w:rPr>
        <w:t xml:space="preserve"> was adversely affected by the customs officers</w:t>
      </w:r>
      <w:r w:rsidR="00E24C37" w:rsidRPr="00E24C37">
        <w:rPr>
          <w:snapToGrid w:val="0"/>
        </w:rPr>
        <w:t>’</w:t>
      </w:r>
      <w:r w:rsidR="00274032" w:rsidRPr="00E24C37">
        <w:rPr>
          <w:snapToGrid w:val="0"/>
        </w:rPr>
        <w:t xml:space="preserve"> actions</w:t>
      </w:r>
      <w:r w:rsidR="00A11BB8" w:rsidRPr="00E24C37">
        <w:rPr>
          <w:snapToGrid w:val="0"/>
        </w:rPr>
        <w:t>, the Court finds it more appropriate to focus on the notion of “private life” (see below</w:t>
      </w:r>
      <w:r w:rsidR="00812F1E" w:rsidRPr="00E24C37">
        <w:rPr>
          <w:snapToGrid w:val="0"/>
        </w:rPr>
        <w:t xml:space="preserve">; see also </w:t>
      </w:r>
      <w:r w:rsidR="00812F1E" w:rsidRPr="00E24C37">
        <w:rPr>
          <w:i/>
          <w:iCs/>
        </w:rPr>
        <w:t>Trabajo Rueda v. Spain</w:t>
      </w:r>
      <w:r w:rsidR="00812F1E" w:rsidRPr="00E24C37">
        <w:t>, no. 32600/12, § 32, 30</w:t>
      </w:r>
      <w:r w:rsidR="00197E46" w:rsidRPr="00E24C37">
        <w:t> </w:t>
      </w:r>
      <w:r w:rsidR="00812F1E" w:rsidRPr="00E24C37">
        <w:t>May 2017</w:t>
      </w:r>
      <w:r w:rsidR="00A11BB8" w:rsidRPr="00E24C37">
        <w:rPr>
          <w:snapToGrid w:val="0"/>
        </w:rPr>
        <w:t>).</w:t>
      </w:r>
    </w:p>
    <w:p w:rsidR="00320F26" w:rsidRPr="00E24C37" w:rsidRDefault="00320F26" w:rsidP="00E24C37">
      <w:pPr>
        <w:pStyle w:val="ECHRHeading5"/>
        <w:rPr>
          <w:snapToGrid w:val="0"/>
        </w:rPr>
      </w:pPr>
      <w:r w:rsidRPr="00E24C37">
        <w:rPr>
          <w:snapToGrid w:val="0"/>
        </w:rPr>
        <w:t>(ii)  Private life</w:t>
      </w:r>
    </w:p>
    <w:p w:rsidR="00197E46" w:rsidRPr="00E24C37" w:rsidRDefault="005D0C40" w:rsidP="00E24C37">
      <w:pPr>
        <w:pStyle w:val="ECHRPara"/>
      </w:pPr>
      <w:r w:rsidRPr="00E24C37">
        <w:rPr>
          <w:snapToGrid w:val="0"/>
        </w:rPr>
        <w:fldChar w:fldCharType="begin"/>
      </w:r>
      <w:r w:rsidRPr="00E24C37">
        <w:rPr>
          <w:snapToGrid w:val="0"/>
        </w:rPr>
        <w:instrText xml:space="preserve"> SEQ level0 \*arabic </w:instrText>
      </w:r>
      <w:r w:rsidRPr="00E24C37">
        <w:rPr>
          <w:snapToGrid w:val="0"/>
        </w:rPr>
        <w:fldChar w:fldCharType="separate"/>
      </w:r>
      <w:r w:rsidR="00B87844">
        <w:rPr>
          <w:noProof/>
          <w:snapToGrid w:val="0"/>
        </w:rPr>
        <w:t>63</w:t>
      </w:r>
      <w:r w:rsidRPr="00E24C37">
        <w:rPr>
          <w:snapToGrid w:val="0"/>
        </w:rPr>
        <w:fldChar w:fldCharType="end"/>
      </w:r>
      <w:r w:rsidRPr="00E24C37">
        <w:rPr>
          <w:snapToGrid w:val="0"/>
        </w:rPr>
        <w:t>.  </w:t>
      </w:r>
      <w:r w:rsidR="00A11BB8" w:rsidRPr="00E24C37">
        <w:rPr>
          <w:snapToGrid w:val="0"/>
        </w:rPr>
        <w:t>T</w:t>
      </w:r>
      <w:r w:rsidR="00803BF5" w:rsidRPr="00E24C37">
        <w:rPr>
          <w:snapToGrid w:val="0"/>
        </w:rPr>
        <w:t xml:space="preserve">he </w:t>
      </w:r>
      <w:r w:rsidRPr="00E24C37">
        <w:rPr>
          <w:snapToGrid w:val="0"/>
        </w:rPr>
        <w:t xml:space="preserve">Court </w:t>
      </w:r>
      <w:r w:rsidR="00B10360" w:rsidRPr="00E24C37">
        <w:t xml:space="preserve">reiterates that </w:t>
      </w:r>
      <w:r w:rsidR="001520D0" w:rsidRPr="00E24C37">
        <w:t>the concept of “private life” is a broad term not susceptible to exhaustive definition. It covers the physical and psychological integrity of a person. The notion of personal autonomy is an important principle underlying the interpretation of its guarantees (see </w:t>
      </w:r>
      <w:r w:rsidR="001520D0" w:rsidRPr="00E24C37">
        <w:rPr>
          <w:i/>
        </w:rPr>
        <w:t>Pretty v. the United Kingdom</w:t>
      </w:r>
      <w:r w:rsidR="001520D0" w:rsidRPr="00E24C37">
        <w:t>,</w:t>
      </w:r>
      <w:r w:rsidR="00B10360" w:rsidRPr="00E24C37">
        <w:t xml:space="preserve"> </w:t>
      </w:r>
      <w:r w:rsidR="001520D0" w:rsidRPr="00E24C37">
        <w:t>no. 2346/02, § 61, ECHR 2002-III). Th</w:t>
      </w:r>
      <w:r w:rsidR="000C30D2" w:rsidRPr="00E24C37">
        <w:t>is</w:t>
      </w:r>
      <w:r w:rsidR="001520D0" w:rsidRPr="00E24C37">
        <w:t xml:space="preserve"> Article also protects a right to identity and personal development, and the right to establish relationships with other human beings and the outside world. It may include activities of a professional or business nature. There is, therefore, a zone of interaction of a person with others, even in a public context, which may fall within the scope of “private life”. There are a number of elements relevant to a consideration of whether a person</w:t>
      </w:r>
      <w:r w:rsidR="00E24C37" w:rsidRPr="00E24C37">
        <w:t>’</w:t>
      </w:r>
      <w:r w:rsidR="001520D0" w:rsidRPr="00E24C37">
        <w:t>s private life is concerned in measures effected outside a person</w:t>
      </w:r>
      <w:r w:rsidR="00E24C37" w:rsidRPr="00E24C37">
        <w:t>’</w:t>
      </w:r>
      <w:r w:rsidR="001520D0" w:rsidRPr="00E24C37">
        <w:t>s home or private premises. In this connection, a person</w:t>
      </w:r>
      <w:r w:rsidR="00E24C37" w:rsidRPr="00E24C37">
        <w:t>’</w:t>
      </w:r>
      <w:r w:rsidR="001520D0" w:rsidRPr="00E24C37">
        <w:t xml:space="preserve">s reasonable expectations as </w:t>
      </w:r>
      <w:r w:rsidR="001520D0" w:rsidRPr="00E24C37">
        <w:lastRenderedPageBreak/>
        <w:t>to privacy may be a significant, though not necessarily conclusive, factor (see </w:t>
      </w:r>
      <w:r w:rsidR="001520D0" w:rsidRPr="00E24C37">
        <w:rPr>
          <w:i/>
        </w:rPr>
        <w:t>P.G. and J.H. v. the United Kingdom</w:t>
      </w:r>
      <w:r w:rsidR="001520D0" w:rsidRPr="00E24C37">
        <w:t>, no. 44787/98, §§ 56-57, ECHR 2001-IX).</w:t>
      </w:r>
    </w:p>
    <w:p w:rsidR="00197E46"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64</w:t>
      </w:r>
      <w:r w:rsidRPr="00E24C37">
        <w:rPr>
          <w:noProof/>
        </w:rPr>
        <w:fldChar w:fldCharType="end"/>
      </w:r>
      <w:r w:rsidR="00B10360" w:rsidRPr="00E24C37">
        <w:t>.  </w:t>
      </w:r>
      <w:r w:rsidR="001520D0" w:rsidRPr="00E24C37">
        <w:t>The Court has previously held, in the context of a search on the street, that irrespective of whether in any particular case correspondence or diaries or other private documents are discovered and read or other intimate items are revealed in the search, the use of the coercive powers conferred by legislation to require an individual to submit to a detailed search of his person, his clothing and his personal belongings amount</w:t>
      </w:r>
      <w:r w:rsidR="008F535B" w:rsidRPr="00E24C37">
        <w:t>s</w:t>
      </w:r>
      <w:r w:rsidR="001520D0" w:rsidRPr="00E24C37">
        <w:t xml:space="preserve"> to a clear interference with the right to respect for private life (see</w:t>
      </w:r>
      <w:r w:rsidR="00EF1CCC" w:rsidRPr="00E24C37">
        <w:rPr>
          <w:i/>
        </w:rPr>
        <w:t xml:space="preserve"> Gillan and Quinton</w:t>
      </w:r>
      <w:r w:rsidR="001520D0" w:rsidRPr="00E24C37">
        <w:t xml:space="preserve">, </w:t>
      </w:r>
      <w:r w:rsidR="0027401F" w:rsidRPr="00E24C37">
        <w:t>cited above</w:t>
      </w:r>
      <w:r w:rsidR="001520D0" w:rsidRPr="00E24C37">
        <w:t>, §</w:t>
      </w:r>
      <w:r w:rsidR="008863E2" w:rsidRPr="00E24C37">
        <w:t> </w:t>
      </w:r>
      <w:r w:rsidR="001520D0" w:rsidRPr="00E24C37">
        <w:t>63).</w:t>
      </w:r>
    </w:p>
    <w:p w:rsidR="007A5D8C"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65</w:t>
      </w:r>
      <w:r w:rsidRPr="00E24C37">
        <w:rPr>
          <w:noProof/>
        </w:rPr>
        <w:fldChar w:fldCharType="end"/>
      </w:r>
      <w:r w:rsidR="007A5D8C" w:rsidRPr="00E24C37">
        <w:t xml:space="preserve">.  In a recent case, the Court considered that there </w:t>
      </w:r>
      <w:r w:rsidR="00C35F04" w:rsidRPr="00E24C37">
        <w:t xml:space="preserve">had been an </w:t>
      </w:r>
      <w:r w:rsidR="007A5D8C" w:rsidRPr="00E24C37">
        <w:t>“interference” with the applicant</w:t>
      </w:r>
      <w:r w:rsidR="00E24C37" w:rsidRPr="00E24C37">
        <w:t>’</w:t>
      </w:r>
      <w:r w:rsidR="007A5D8C" w:rsidRPr="00E24C37">
        <w:t xml:space="preserve">s right to respect for her “private life” on account of the search of her bag and seizure of a notebook from it because it was believed to contain information relevant to the criminal investigations against her (see </w:t>
      </w:r>
      <w:r w:rsidR="007A5D8C" w:rsidRPr="00E24C37">
        <w:rPr>
          <w:i/>
        </w:rPr>
        <w:t>Cacuci and S.C. Virra &amp; Cont Pad S.R.L. v. Romania</w:t>
      </w:r>
      <w:r w:rsidR="007A5D8C" w:rsidRPr="00E24C37">
        <w:t xml:space="preserve">, no. 27153/07, §§ 70-71, 17 January 2017; see also </w:t>
      </w:r>
      <w:r w:rsidR="007A5D8C" w:rsidRPr="00E24C37">
        <w:rPr>
          <w:i/>
        </w:rPr>
        <w:t>Amarandei and Others v.</w:t>
      </w:r>
      <w:r w:rsidR="00F61957" w:rsidRPr="00E24C37">
        <w:rPr>
          <w:i/>
        </w:rPr>
        <w:t> </w:t>
      </w:r>
      <w:r w:rsidR="007A5D8C" w:rsidRPr="00E24C37">
        <w:rPr>
          <w:i/>
        </w:rPr>
        <w:t>Romania</w:t>
      </w:r>
      <w:r w:rsidR="007A5D8C" w:rsidRPr="00E24C37">
        <w:t>, no. 1443/10</w:t>
      </w:r>
      <w:r w:rsidR="007A5D8C" w:rsidRPr="00E24C37">
        <w:rPr>
          <w:snapToGrid w:val="0"/>
        </w:rPr>
        <w:t>, § 216, 26 April 2016).</w:t>
      </w:r>
    </w:p>
    <w:p w:rsidR="001520D0"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66</w:t>
      </w:r>
      <w:r w:rsidRPr="00E24C37">
        <w:rPr>
          <w:noProof/>
        </w:rPr>
        <w:fldChar w:fldCharType="end"/>
      </w:r>
      <w:r w:rsidR="007A5D8C" w:rsidRPr="00E24C37">
        <w:t xml:space="preserve">.  In </w:t>
      </w:r>
      <w:r w:rsidR="007A5D8C" w:rsidRPr="00E24C37">
        <w:rPr>
          <w:i/>
        </w:rPr>
        <w:t>Gillan and Quinton</w:t>
      </w:r>
      <w:r w:rsidR="007A5D8C" w:rsidRPr="00E24C37">
        <w:t xml:space="preserve"> </w:t>
      </w:r>
      <w:r w:rsidR="00C75F07" w:rsidRPr="00E24C37">
        <w:t xml:space="preserve">(cited above), </w:t>
      </w:r>
      <w:r w:rsidR="007A5D8C" w:rsidRPr="00E24C37">
        <w:t>t</w:t>
      </w:r>
      <w:r w:rsidR="001520D0" w:rsidRPr="00E24C37">
        <w:t xml:space="preserve">he Court also made the following findings as regards the context of the search to which passengers submit at airports or at the entrance </w:t>
      </w:r>
      <w:r w:rsidR="00C75F07" w:rsidRPr="00E24C37">
        <w:t>to</w:t>
      </w:r>
      <w:r w:rsidR="001520D0" w:rsidRPr="00E24C37">
        <w:t xml:space="preserve"> a public building</w:t>
      </w:r>
      <w:r w:rsidR="007A5D8C" w:rsidRPr="00E24C37">
        <w:t>, essentially for security reasons</w:t>
      </w:r>
      <w:r w:rsidR="001520D0" w:rsidRPr="00E24C37">
        <w:t>:</w:t>
      </w:r>
    </w:p>
    <w:p w:rsidR="001520D0" w:rsidRPr="00E24C37" w:rsidRDefault="001520D0" w:rsidP="00E24C37">
      <w:pPr>
        <w:pStyle w:val="ECHRParaQuote"/>
      </w:pPr>
      <w:r w:rsidRPr="00E24C37">
        <w:t xml:space="preserve">“64. </w:t>
      </w:r>
      <w:r w:rsidR="00197E46" w:rsidRPr="00E24C37">
        <w:t>...</w:t>
      </w:r>
      <w:r w:rsidRPr="00E24C37">
        <w:t xml:space="preserve"> [The Court] does not need to decide whether the search of the person and of his bags in such circumstances amounts to an interference with an individual</w:t>
      </w:r>
      <w:r w:rsidR="00E24C37" w:rsidRPr="00E24C37">
        <w:t>’</w:t>
      </w:r>
      <w:r w:rsidRPr="00E24C37">
        <w:t>s Article</w:t>
      </w:r>
      <w:r w:rsidR="00153427" w:rsidRPr="00E24C37">
        <w:t> </w:t>
      </w:r>
      <w:r w:rsidRPr="00E24C37">
        <w:t>8 rights, albeit one which is clearly justified on security grounds, since for the reasons given by the applicants the situations cannot be compared. An air traveller may be seen as consenting to such a search by choosing to travel. He knows that he and his bags are liable to be searched before boarding the aeroplane and has a freedom of choice, since he can leave personal items behind and walk away without being subjected to a search. The search powers under section 44 are qualitatively different. The individual can be stopped anywhere and at any time, without notice and without any choice as to whether or not to submit to a search.</w:t>
      </w:r>
      <w:r w:rsidR="00B1138D" w:rsidRPr="00E24C37">
        <w:t>”</w:t>
      </w:r>
    </w:p>
    <w:p w:rsidR="00197E46" w:rsidRPr="00E24C37" w:rsidRDefault="00E24B82" w:rsidP="00E24C37">
      <w:pPr>
        <w:pStyle w:val="ECHRPara"/>
      </w:pPr>
      <w:r w:rsidRPr="00E24C37">
        <w:fldChar w:fldCharType="begin"/>
      </w:r>
      <w:r w:rsidRPr="00E24C37">
        <w:instrText xml:space="preserve"> SEQ level0 \*arabic </w:instrText>
      </w:r>
      <w:r w:rsidRPr="00E24C37">
        <w:fldChar w:fldCharType="separate"/>
      </w:r>
      <w:r w:rsidR="00B87844">
        <w:rPr>
          <w:noProof/>
        </w:rPr>
        <w:t>67</w:t>
      </w:r>
      <w:r w:rsidRPr="00E24C37">
        <w:fldChar w:fldCharType="end"/>
      </w:r>
      <w:r w:rsidRPr="00E24C37">
        <w:t>.  </w:t>
      </w:r>
      <w:r w:rsidR="004351E6" w:rsidRPr="00E24C37">
        <w:t>In the present case the applicant</w:t>
      </w:r>
      <w:r w:rsidR="00E24C37" w:rsidRPr="00E24C37">
        <w:t>’</w:t>
      </w:r>
      <w:r w:rsidR="00DA05D3" w:rsidRPr="00E24C37">
        <w:t>s complaint is not related to</w:t>
      </w:r>
      <w:r w:rsidR="004351E6" w:rsidRPr="00E24C37">
        <w:t xml:space="preserve"> being asked questions during the initial customs procedure or about </w:t>
      </w:r>
      <w:r w:rsidR="00C75F07" w:rsidRPr="00E24C37">
        <w:t xml:space="preserve">customs officers </w:t>
      </w:r>
      <w:r w:rsidR="004351E6" w:rsidRPr="00E24C37">
        <w:t xml:space="preserve">looking inside his bags. </w:t>
      </w:r>
      <w:r w:rsidR="003E1E88" w:rsidRPr="00E24C37">
        <w:t>T</w:t>
      </w:r>
      <w:r w:rsidR="004351E6" w:rsidRPr="00E24C37">
        <w:t>he t</w:t>
      </w:r>
      <w:r w:rsidR="00C75F07" w:rsidRPr="00E24C37">
        <w:t>h</w:t>
      </w:r>
      <w:r w:rsidR="004351E6" w:rsidRPr="00E24C37">
        <w:t>rust of his complaint was and remains about the search</w:t>
      </w:r>
      <w:r w:rsidR="00DA4037" w:rsidRPr="00E24C37">
        <w:t xml:space="preserve"> of </w:t>
      </w:r>
      <w:r w:rsidR="004351E6" w:rsidRPr="00E24C37">
        <w:t>his laptop</w:t>
      </w:r>
      <w:r w:rsidR="00DA4037" w:rsidRPr="00E24C37">
        <w:t>, which lasted</w:t>
      </w:r>
      <w:r w:rsidR="004351E6" w:rsidRPr="00E24C37">
        <w:t xml:space="preserve"> several hours</w:t>
      </w:r>
      <w:r w:rsidR="00DA4037" w:rsidRPr="00E24C37">
        <w:t>,</w:t>
      </w:r>
      <w:r w:rsidR="004351E6" w:rsidRPr="00E24C37">
        <w:t xml:space="preserve"> allegedly without any reasonable suspicion of any offence or unlawful conduct</w:t>
      </w:r>
      <w:r w:rsidR="00DA4037" w:rsidRPr="00E24C37">
        <w:t>;</w:t>
      </w:r>
      <w:r w:rsidR="004351E6" w:rsidRPr="00E24C37">
        <w:t xml:space="preserve"> the copying of his personal and professional data, followed by its communication for a specialist assessment</w:t>
      </w:r>
      <w:r w:rsidR="00DA4037" w:rsidRPr="00E24C37">
        <w:t>;</w:t>
      </w:r>
      <w:r w:rsidR="004351E6" w:rsidRPr="00E24C37">
        <w:t xml:space="preserve"> and </w:t>
      </w:r>
      <w:r w:rsidR="00DA4037" w:rsidRPr="00E24C37">
        <w:t xml:space="preserve">the </w:t>
      </w:r>
      <w:r w:rsidR="004351E6" w:rsidRPr="00E24C37">
        <w:t>retention of his data for some two years. In the Court</w:t>
      </w:r>
      <w:r w:rsidR="00E24C37" w:rsidRPr="00E24C37">
        <w:t>’</w:t>
      </w:r>
      <w:r w:rsidR="004351E6" w:rsidRPr="00E24C37">
        <w:t xml:space="preserve">s view, those actions went beyond what could be perceived as </w:t>
      </w:r>
      <w:r w:rsidR="00DA4037" w:rsidRPr="00E24C37">
        <w:t xml:space="preserve">procedures that were </w:t>
      </w:r>
      <w:r w:rsidR="004351E6" w:rsidRPr="00E24C37">
        <w:t xml:space="preserve">“routine”, relatively non-invasive and </w:t>
      </w:r>
      <w:r w:rsidR="00DA4037" w:rsidRPr="00E24C37">
        <w:t xml:space="preserve">for which consent was </w:t>
      </w:r>
      <w:r w:rsidR="004351E6" w:rsidRPr="00E24C37">
        <w:t xml:space="preserve">usually </w:t>
      </w:r>
      <w:r w:rsidR="00DA4037" w:rsidRPr="00E24C37">
        <w:t>given</w:t>
      </w:r>
      <w:r w:rsidR="004351E6" w:rsidRPr="00E24C37">
        <w:t xml:space="preserve">. </w:t>
      </w:r>
      <w:r w:rsidR="003E1E88" w:rsidRPr="00E24C37">
        <w:t>The applicant</w:t>
      </w:r>
      <w:r w:rsidR="003E1E88" w:rsidRPr="00E24C37">
        <w:rPr>
          <w:noProof/>
        </w:rPr>
        <w:t xml:space="preserve"> could not choose whether he wanted to present himself and his belongings to customs and a possible customs inspection (compare </w:t>
      </w:r>
      <w:r w:rsidR="003E1E88" w:rsidRPr="00E24C37">
        <w:rPr>
          <w:i/>
        </w:rPr>
        <w:t>Gillan and Quinton</w:t>
      </w:r>
      <w:r w:rsidR="003E1E88" w:rsidRPr="00E24C37">
        <w:t>, § 64).</w:t>
      </w:r>
    </w:p>
    <w:p w:rsidR="00A90075" w:rsidRPr="00E24C37" w:rsidRDefault="00C63D85" w:rsidP="00E24C37">
      <w:pPr>
        <w:pStyle w:val="ECHRPara"/>
        <w:rPr>
          <w:lang w:val="en"/>
        </w:rPr>
      </w:pPr>
      <w:r w:rsidRPr="00E24C37">
        <w:rPr>
          <w:lang w:val="en"/>
        </w:rPr>
        <w:lastRenderedPageBreak/>
        <w:fldChar w:fldCharType="begin"/>
      </w:r>
      <w:r w:rsidRPr="00E24C37">
        <w:rPr>
          <w:lang w:val="en"/>
        </w:rPr>
        <w:instrText xml:space="preserve"> SEQ level0 \*arabic </w:instrText>
      </w:r>
      <w:r w:rsidRPr="00E24C37">
        <w:rPr>
          <w:lang w:val="en"/>
        </w:rPr>
        <w:fldChar w:fldCharType="separate"/>
      </w:r>
      <w:r w:rsidR="00B87844">
        <w:rPr>
          <w:noProof/>
          <w:lang w:val="en"/>
        </w:rPr>
        <w:t>68</w:t>
      </w:r>
      <w:r w:rsidRPr="00E24C37">
        <w:rPr>
          <w:lang w:val="en"/>
        </w:rPr>
        <w:fldChar w:fldCharType="end"/>
      </w:r>
      <w:r w:rsidRPr="00E24C37">
        <w:rPr>
          <w:lang w:val="en"/>
        </w:rPr>
        <w:t>.  </w:t>
      </w:r>
      <w:r w:rsidR="00DA05D3" w:rsidRPr="00E24C37">
        <w:rPr>
          <w:lang w:val="en"/>
        </w:rPr>
        <w:t>In addition, t</w:t>
      </w:r>
      <w:r w:rsidR="004351E6" w:rsidRPr="00E24C37">
        <w:rPr>
          <w:lang w:val="en"/>
        </w:rPr>
        <w:t xml:space="preserve">he Court </w:t>
      </w:r>
      <w:r w:rsidR="00E46400" w:rsidRPr="00E24C37">
        <w:rPr>
          <w:lang w:val="en"/>
        </w:rPr>
        <w:t>emphasises</w:t>
      </w:r>
      <w:r w:rsidR="004351E6" w:rsidRPr="00E24C37">
        <w:rPr>
          <w:lang w:val="en"/>
        </w:rPr>
        <w:t xml:space="preserve"> that the present case concerns the context of customs control</w:t>
      </w:r>
      <w:r w:rsidR="00DA4037" w:rsidRPr="00E24C37">
        <w:rPr>
          <w:lang w:val="en"/>
        </w:rPr>
        <w:t>s</w:t>
      </w:r>
      <w:r w:rsidR="004351E6" w:rsidRPr="00E24C37">
        <w:rPr>
          <w:lang w:val="en"/>
        </w:rPr>
        <w:t xml:space="preserve"> </w:t>
      </w:r>
      <w:r w:rsidR="00DA4037" w:rsidRPr="00E24C37">
        <w:rPr>
          <w:lang w:val="en"/>
        </w:rPr>
        <w:t xml:space="preserve">for </w:t>
      </w:r>
      <w:r w:rsidR="004351E6" w:rsidRPr="00E24C37">
        <w:rPr>
          <w:lang w:val="en"/>
        </w:rPr>
        <w:t>“goods” carried by a</w:t>
      </w:r>
      <w:r w:rsidR="00D63229" w:rsidRPr="00E24C37">
        <w:rPr>
          <w:lang w:val="en"/>
        </w:rPr>
        <w:t xml:space="preserve"> person </w:t>
      </w:r>
      <w:r w:rsidR="004351E6" w:rsidRPr="00E24C37">
        <w:rPr>
          <w:lang w:val="en"/>
        </w:rPr>
        <w:t xml:space="preserve">arriving </w:t>
      </w:r>
      <w:r w:rsidR="00D63229" w:rsidRPr="00E24C37">
        <w:rPr>
          <w:lang w:val="en"/>
        </w:rPr>
        <w:t xml:space="preserve">at </w:t>
      </w:r>
      <w:r w:rsidR="004351E6" w:rsidRPr="00E24C37">
        <w:rPr>
          <w:lang w:val="en"/>
        </w:rPr>
        <w:t xml:space="preserve">customs </w:t>
      </w:r>
      <w:r w:rsidR="00D63229" w:rsidRPr="00E24C37">
        <w:rPr>
          <w:lang w:val="en"/>
        </w:rPr>
        <w:t xml:space="preserve">to </w:t>
      </w:r>
      <w:r w:rsidR="004351E6" w:rsidRPr="00E24C37">
        <w:rPr>
          <w:lang w:val="en"/>
        </w:rPr>
        <w:t>declar</w:t>
      </w:r>
      <w:r w:rsidR="00D63229" w:rsidRPr="00E24C37">
        <w:rPr>
          <w:lang w:val="en"/>
        </w:rPr>
        <w:t xml:space="preserve">e items </w:t>
      </w:r>
      <w:r w:rsidR="004351E6" w:rsidRPr="00E24C37">
        <w:rPr>
          <w:lang w:val="en"/>
        </w:rPr>
        <w:t xml:space="preserve">rather than the context of security checks, in particular those that may be carried out in relation to </w:t>
      </w:r>
      <w:r w:rsidR="00DA4037" w:rsidRPr="00E24C37">
        <w:rPr>
          <w:lang w:val="en"/>
        </w:rPr>
        <w:t>a</w:t>
      </w:r>
      <w:r w:rsidR="004351E6" w:rsidRPr="00E24C37">
        <w:rPr>
          <w:lang w:val="en"/>
        </w:rPr>
        <w:t xml:space="preserve"> person and </w:t>
      </w:r>
      <w:r w:rsidR="00DA4037" w:rsidRPr="00E24C37">
        <w:rPr>
          <w:lang w:val="en"/>
        </w:rPr>
        <w:t xml:space="preserve">his or her </w:t>
      </w:r>
      <w:r w:rsidR="004351E6" w:rsidRPr="00E24C37">
        <w:rPr>
          <w:lang w:val="en"/>
        </w:rPr>
        <w:t xml:space="preserve">effects prior to admission to an aircraft, train or </w:t>
      </w:r>
      <w:r w:rsidR="00DA4037" w:rsidRPr="00E24C37">
        <w:rPr>
          <w:lang w:val="en"/>
        </w:rPr>
        <w:t xml:space="preserve">the </w:t>
      </w:r>
      <w:r w:rsidR="004351E6" w:rsidRPr="00E24C37">
        <w:rPr>
          <w:lang w:val="en"/>
        </w:rPr>
        <w:t>like</w:t>
      </w:r>
      <w:r w:rsidR="00857A51" w:rsidRPr="00E24C37">
        <w:rPr>
          <w:lang w:val="en"/>
        </w:rPr>
        <w:t xml:space="preserve"> </w:t>
      </w:r>
      <w:r w:rsidR="004B1E2C" w:rsidRPr="00E24C37">
        <w:t xml:space="preserve">(see also, by way of comparison, </w:t>
      </w:r>
      <w:r w:rsidR="004B1E2C" w:rsidRPr="00E24C37">
        <w:rPr>
          <w:i/>
        </w:rPr>
        <w:t>Austin and Others v. the United Kingdom</w:t>
      </w:r>
      <w:r w:rsidR="004B1E2C" w:rsidRPr="00E24C37">
        <w:t xml:space="preserve"> [GC], nos. 39692/09 and 2 others, § 59, ECHR 2012; </w:t>
      </w:r>
      <w:r w:rsidR="004B1E2C" w:rsidRPr="00E24C37">
        <w:rPr>
          <w:i/>
        </w:rPr>
        <w:t>Gahramanov v. Azerbaijan</w:t>
      </w:r>
      <w:r w:rsidR="004B1E2C" w:rsidRPr="00E24C37">
        <w:t xml:space="preserve"> (dec.), no. 26291/06, §§ 40-41, 15 October 2013, and, </w:t>
      </w:r>
      <w:r w:rsidR="004B1E2C" w:rsidRPr="00E24C37">
        <w:rPr>
          <w:i/>
        </w:rPr>
        <w:t>mutatis mutandis</w:t>
      </w:r>
      <w:r w:rsidR="004B1E2C" w:rsidRPr="00E24C37">
        <w:t xml:space="preserve">, </w:t>
      </w:r>
      <w:r w:rsidR="004B1E2C" w:rsidRPr="00E24C37">
        <w:rPr>
          <w:i/>
        </w:rPr>
        <w:t>Saadi v.</w:t>
      </w:r>
      <w:r w:rsidR="00197E46" w:rsidRPr="00E24C37">
        <w:rPr>
          <w:i/>
        </w:rPr>
        <w:t> </w:t>
      </w:r>
      <w:r w:rsidR="004B1E2C" w:rsidRPr="00E24C37">
        <w:rPr>
          <w:i/>
        </w:rPr>
        <w:t>the United Kingdom</w:t>
      </w:r>
      <w:r w:rsidR="004B1E2C" w:rsidRPr="00E24C37">
        <w:t xml:space="preserve"> [GC], no. 13229/03, §§ 64 and 74, ECHR 2008, and </w:t>
      </w:r>
      <w:r w:rsidR="004B1E2C" w:rsidRPr="00E24C37">
        <w:rPr>
          <w:i/>
        </w:rPr>
        <w:t>Bowler International Unit v. France</w:t>
      </w:r>
      <w:r w:rsidR="004B1E2C" w:rsidRPr="00E24C37">
        <w:t>, no. 1946/06, §§ 40-47, 23 July 2009, under other Articles of the Convention and Protocols to it).</w:t>
      </w:r>
      <w:r w:rsidR="00857A51" w:rsidRPr="00E24C37">
        <w:t xml:space="preserve"> </w:t>
      </w:r>
      <w:r w:rsidR="004351E6" w:rsidRPr="00E24C37">
        <w:rPr>
          <w:lang w:val="en"/>
        </w:rPr>
        <w:t>I</w:t>
      </w:r>
      <w:r w:rsidR="00A90075" w:rsidRPr="00E24C37">
        <w:rPr>
          <w:lang w:val="en"/>
        </w:rPr>
        <w:t>n the Court</w:t>
      </w:r>
      <w:r w:rsidR="00E24C37" w:rsidRPr="00E24C37">
        <w:rPr>
          <w:lang w:val="en"/>
        </w:rPr>
        <w:t>’</w:t>
      </w:r>
      <w:r w:rsidR="00A90075" w:rsidRPr="00E24C37">
        <w:rPr>
          <w:lang w:val="en"/>
        </w:rPr>
        <w:t xml:space="preserve">s view, by submitting </w:t>
      </w:r>
      <w:r w:rsidR="00B26BDA" w:rsidRPr="00E24C37">
        <w:rPr>
          <w:lang w:val="en"/>
        </w:rPr>
        <w:t>his effects</w:t>
      </w:r>
      <w:r w:rsidR="00A90075" w:rsidRPr="00E24C37">
        <w:rPr>
          <w:lang w:val="en"/>
        </w:rPr>
        <w:t xml:space="preserve"> to customs control</w:t>
      </w:r>
      <w:r w:rsidR="00D63229" w:rsidRPr="00E24C37">
        <w:rPr>
          <w:lang w:val="en"/>
        </w:rPr>
        <w:t>s</w:t>
      </w:r>
      <w:r w:rsidR="00A90075" w:rsidRPr="00E24C37">
        <w:rPr>
          <w:lang w:val="en"/>
        </w:rPr>
        <w:t xml:space="preserve"> a person does not automatically</w:t>
      </w:r>
      <w:r w:rsidR="00B26BDA" w:rsidRPr="00E24C37">
        <w:rPr>
          <w:lang w:val="en"/>
        </w:rPr>
        <w:t xml:space="preserve"> and in all instances</w:t>
      </w:r>
      <w:r w:rsidR="00A90075" w:rsidRPr="00E24C37">
        <w:rPr>
          <w:lang w:val="en"/>
        </w:rPr>
        <w:t xml:space="preserve"> waive</w:t>
      </w:r>
      <w:r w:rsidR="00CB73FA" w:rsidRPr="00E24C37">
        <w:rPr>
          <w:lang w:val="en"/>
        </w:rPr>
        <w:t xml:space="preserve"> or otherwise forgo</w:t>
      </w:r>
      <w:r w:rsidR="00A90075" w:rsidRPr="00E24C37">
        <w:rPr>
          <w:lang w:val="en"/>
        </w:rPr>
        <w:t xml:space="preserve"> the right to respect for his</w:t>
      </w:r>
      <w:r w:rsidR="003F4C23" w:rsidRPr="00E24C37">
        <w:rPr>
          <w:lang w:val="en"/>
        </w:rPr>
        <w:t xml:space="preserve"> or her</w:t>
      </w:r>
      <w:r w:rsidR="00A90075" w:rsidRPr="00E24C37">
        <w:rPr>
          <w:lang w:val="en"/>
        </w:rPr>
        <w:t xml:space="preserve"> “private life” or, as the case may be in other </w:t>
      </w:r>
      <w:r w:rsidR="00CB73FA" w:rsidRPr="00E24C37">
        <w:rPr>
          <w:lang w:val="en"/>
        </w:rPr>
        <w:t>applications</w:t>
      </w:r>
      <w:r w:rsidR="00A90075" w:rsidRPr="00E24C37">
        <w:rPr>
          <w:lang w:val="en"/>
        </w:rPr>
        <w:t xml:space="preserve">, </w:t>
      </w:r>
      <w:r w:rsidR="003F4C23" w:rsidRPr="00E24C37">
        <w:rPr>
          <w:lang w:val="en"/>
        </w:rPr>
        <w:t xml:space="preserve">his or her </w:t>
      </w:r>
      <w:r w:rsidR="00A90075" w:rsidRPr="00E24C37">
        <w:rPr>
          <w:lang w:val="en"/>
        </w:rPr>
        <w:t>“correspondence”.</w:t>
      </w:r>
    </w:p>
    <w:p w:rsidR="00DA05D3" w:rsidRPr="00E24C37" w:rsidRDefault="004B1E2C" w:rsidP="00E24C37">
      <w:pPr>
        <w:pStyle w:val="ECHRPara"/>
        <w:rPr>
          <w:lang w:val="en"/>
        </w:rPr>
      </w:pPr>
      <w:r w:rsidRPr="00E24C37">
        <w:fldChar w:fldCharType="begin"/>
      </w:r>
      <w:r w:rsidRPr="00E24C37">
        <w:instrText xml:space="preserve"> SEQ level0 \*arabic </w:instrText>
      </w:r>
      <w:r w:rsidRPr="00E24C37">
        <w:fldChar w:fldCharType="separate"/>
      </w:r>
      <w:r w:rsidR="00B87844">
        <w:rPr>
          <w:noProof/>
        </w:rPr>
        <w:t>69</w:t>
      </w:r>
      <w:r w:rsidRPr="00E24C37">
        <w:rPr>
          <w:noProof/>
        </w:rPr>
        <w:fldChar w:fldCharType="end"/>
      </w:r>
      <w:r w:rsidR="00DA05D3" w:rsidRPr="00E24C37">
        <w:t xml:space="preserve">.  Thus, in view of the above observations, the Court considers that it </w:t>
      </w:r>
      <w:r w:rsidR="00DF64FB" w:rsidRPr="00E24C37">
        <w:t>is</w:t>
      </w:r>
      <w:r w:rsidR="00DA05D3" w:rsidRPr="00E24C37">
        <w:t xml:space="preserve"> open to the applicant to rely on the right to respect for his “private life” and that there has been an “interference” under Article 8 of the Convention.</w:t>
      </w:r>
    </w:p>
    <w:p w:rsidR="00B10360"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70</w:t>
      </w:r>
      <w:r w:rsidRPr="00E24C37">
        <w:rPr>
          <w:noProof/>
        </w:rPr>
        <w:fldChar w:fldCharType="end"/>
      </w:r>
      <w:r w:rsidR="004351E6" w:rsidRPr="00E24C37">
        <w:t>.  A</w:t>
      </w:r>
      <w:r w:rsidR="001520D0" w:rsidRPr="00E24C37">
        <w:t>n interference is justified by the terms of paragraph 2 of Article</w:t>
      </w:r>
      <w:r w:rsidR="00F61957" w:rsidRPr="00E24C37">
        <w:t> </w:t>
      </w:r>
      <w:r w:rsidR="001520D0" w:rsidRPr="00E24C37">
        <w:t>8 only if it is “in accordance with the law”,</w:t>
      </w:r>
      <w:r w:rsidR="00874B24" w:rsidRPr="00E24C37">
        <w:t xml:space="preserve"> </w:t>
      </w:r>
      <w:r w:rsidR="00ED624D" w:rsidRPr="00E24C37">
        <w:t>seeks</w:t>
      </w:r>
      <w:r w:rsidR="00874B24" w:rsidRPr="00E24C37">
        <w:t xml:space="preserve"> to</w:t>
      </w:r>
      <w:r w:rsidR="001520D0" w:rsidRPr="00E24C37">
        <w:t xml:space="preserve"> pursue one or more of the legitimate aims referred to in paragraph 2 and is “necessary in a democratic society” in order to achieve the aim or aims</w:t>
      </w:r>
      <w:r w:rsidR="00B10360" w:rsidRPr="00E24C37">
        <w:t>.</w:t>
      </w:r>
    </w:p>
    <w:p w:rsidR="00583346" w:rsidRPr="00E24C37" w:rsidRDefault="00583346" w:rsidP="00E24C37">
      <w:pPr>
        <w:pStyle w:val="ECHRHeading4"/>
      </w:pPr>
      <w:r w:rsidRPr="00E24C37">
        <w:t>(b)  Whether the “interference”</w:t>
      </w:r>
      <w:r w:rsidR="009850DB" w:rsidRPr="00E24C37">
        <w:t xml:space="preserve"> </w:t>
      </w:r>
      <w:r w:rsidRPr="00E24C37">
        <w:t>was</w:t>
      </w:r>
      <w:r w:rsidR="00EF32A8" w:rsidRPr="00E24C37">
        <w:t xml:space="preserve"> justified</w:t>
      </w:r>
    </w:p>
    <w:p w:rsidR="00EF32A8" w:rsidRPr="00E24C37" w:rsidRDefault="00EF32A8" w:rsidP="00E24C37">
      <w:pPr>
        <w:pStyle w:val="ECHRHeading5"/>
      </w:pPr>
      <w:r w:rsidRPr="00E24C37">
        <w:t>(i)  General principles</w:t>
      </w:r>
    </w:p>
    <w:p w:rsidR="00875FC6"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71</w:t>
      </w:r>
      <w:r w:rsidRPr="00E24C37">
        <w:rPr>
          <w:noProof/>
        </w:rPr>
        <w:fldChar w:fldCharType="end"/>
      </w:r>
      <w:r w:rsidR="00C80516" w:rsidRPr="00E24C37">
        <w:t>.  </w:t>
      </w:r>
      <w:r w:rsidR="00021992" w:rsidRPr="00E24C37">
        <w:t>The Court reiterates that</w:t>
      </w:r>
      <w:r w:rsidR="00C80516" w:rsidRPr="00E24C37">
        <w:t xml:space="preserve"> </w:t>
      </w:r>
      <w:r w:rsidR="00021992" w:rsidRPr="00E24C37">
        <w:t xml:space="preserve">the expression “in accordance with the law” requires that the impugned measure should have </w:t>
      </w:r>
      <w:r w:rsidR="00C80516" w:rsidRPr="00E24C37">
        <w:t>“</w:t>
      </w:r>
      <w:r w:rsidR="00021992" w:rsidRPr="00E24C37">
        <w:t>some basis</w:t>
      </w:r>
      <w:r w:rsidR="00C80516" w:rsidRPr="00E24C37">
        <w:t>”</w:t>
      </w:r>
      <w:r w:rsidR="00021992" w:rsidRPr="00E24C37">
        <w:t xml:space="preserve"> in domestic </w:t>
      </w:r>
      <w:r w:rsidR="00C80516" w:rsidRPr="00E24C37">
        <w:t>“</w:t>
      </w:r>
      <w:r w:rsidR="00021992" w:rsidRPr="00E24C37">
        <w:t>law</w:t>
      </w:r>
      <w:r w:rsidR="00C80516" w:rsidRPr="00E24C37">
        <w:t>”, which should be understood in its “substantive” rather than “formal” sense. In a sphere covered by the written law, the “law” is the enactment in force as the competent courts have interpreted it (see </w:t>
      </w:r>
      <w:r w:rsidR="00C80516" w:rsidRPr="00E24C37">
        <w:rPr>
          <w:i/>
        </w:rPr>
        <w:t>Société Colas Est and Others v. France</w:t>
      </w:r>
      <w:r w:rsidR="00C80516" w:rsidRPr="00E24C37">
        <w:t>, no. </w:t>
      </w:r>
      <w:hyperlink r:id="rId17" w:anchor="{&quot;appno&quot;:[&quot;37971/97&quot;]}" w:tgtFrame="_blank" w:history="1">
        <w:r w:rsidR="00C80516" w:rsidRPr="00E24C37">
          <w:rPr>
            <w:rStyle w:val="af7"/>
            <w:color w:val="auto"/>
            <w:u w:val="none"/>
          </w:rPr>
          <w:t>37971/97</w:t>
        </w:r>
      </w:hyperlink>
      <w:r w:rsidR="00C80516" w:rsidRPr="00E24C37">
        <w:t>, § 43, ECHR 2002</w:t>
      </w:r>
      <w:r w:rsidR="00C80516" w:rsidRPr="00E24C37">
        <w:noBreakHyphen/>
        <w:t>III).</w:t>
      </w:r>
      <w:r w:rsidR="00875FC6" w:rsidRPr="00E24C37">
        <w:t xml:space="preserve"> The “law” may encompass enactments of lower ranking statutes and, for instance, regulatory measures taken by professional regulatory bodies under independent rule-making powers delegated to them by Parliament (see </w:t>
      </w:r>
      <w:r w:rsidR="00875FC6" w:rsidRPr="00E24C37">
        <w:rPr>
          <w:i/>
        </w:rPr>
        <w:t>Sanoma Uitgevers B.V. v. the Netherlands</w:t>
      </w:r>
      <w:r w:rsidR="00875FC6" w:rsidRPr="00E24C37">
        <w:rPr>
          <w:snapToGrid w:val="0"/>
        </w:rPr>
        <w:t xml:space="preserve"> [GC], no. 38224/03</w:t>
      </w:r>
      <w:r w:rsidR="00875FC6" w:rsidRPr="00E24C37">
        <w:t>, § 83, 14 September 2010).</w:t>
      </w:r>
    </w:p>
    <w:p w:rsidR="00EF32A8"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72</w:t>
      </w:r>
      <w:r w:rsidRPr="00E24C37">
        <w:rPr>
          <w:noProof/>
        </w:rPr>
        <w:fldChar w:fldCharType="end"/>
      </w:r>
      <w:r w:rsidR="00C80516" w:rsidRPr="00E24C37">
        <w:t xml:space="preserve">.  In addition, the phrase “in accordance with the law” </w:t>
      </w:r>
      <w:r w:rsidR="00956E96" w:rsidRPr="00E24C37">
        <w:t>(as well as “prescribed by law” in Article 10)</w:t>
      </w:r>
      <w:r w:rsidR="00EF32A8" w:rsidRPr="00E24C37">
        <w:t xml:space="preserve"> requires the impugned measure to be compatible with the rule of law, which is mentioned in the preamble to the Convention and inherent in the object and purpose of Article 8 of the Convention. The “law” must thus be accessible to the person concerned and foreseeable as to its effects, that is, formulated with sufficient precision to </w:t>
      </w:r>
      <w:r w:rsidR="00EF32A8" w:rsidRPr="00E24C37">
        <w:lastRenderedPageBreak/>
        <w:t>enable the individual – if need be with appropriate advice – to re</w:t>
      </w:r>
      <w:r w:rsidR="003B56B7" w:rsidRPr="00E24C37">
        <w:t>gulate his conduct.</w:t>
      </w:r>
    </w:p>
    <w:bookmarkStart w:id="24" w:name="a"/>
    <w:p w:rsidR="00C80011" w:rsidRPr="00E24C37" w:rsidRDefault="00C80011" w:rsidP="00E24C37">
      <w:pPr>
        <w:pStyle w:val="ECHRPara"/>
      </w:pPr>
      <w:r w:rsidRPr="00E24C37">
        <w:rPr>
          <w:lang w:val="en"/>
        </w:rPr>
        <w:fldChar w:fldCharType="begin"/>
      </w:r>
      <w:r w:rsidRPr="00E24C37">
        <w:rPr>
          <w:lang w:val="en"/>
        </w:rPr>
        <w:instrText xml:space="preserve"> SEQ level0 \*arabic </w:instrText>
      </w:r>
      <w:r w:rsidRPr="00E24C37">
        <w:rPr>
          <w:lang w:val="en"/>
        </w:rPr>
        <w:fldChar w:fldCharType="separate"/>
      </w:r>
      <w:r w:rsidR="00B87844">
        <w:rPr>
          <w:noProof/>
          <w:lang w:val="en"/>
        </w:rPr>
        <w:t>73</w:t>
      </w:r>
      <w:r w:rsidRPr="00E24C37">
        <w:rPr>
          <w:lang w:val="en"/>
        </w:rPr>
        <w:fldChar w:fldCharType="end"/>
      </w:r>
      <w:bookmarkEnd w:id="24"/>
      <w:r w:rsidRPr="00E24C37">
        <w:rPr>
          <w:lang w:val="en"/>
        </w:rPr>
        <w:t xml:space="preserve">.  For domestic law to meet these requirements it must afford a measure of legal protection against arbitrary interferences by public authorities with the rights safeguarded by the Convention. In matters affecting fundamental rights it would be contrary to the rule of law, one of the basic principles of a democratic society enshrined in the Convention, for a legal discretion granted to the executive to be expressed in terms of an unfettered power. Consequently, the law must indicate with sufficient clarity the scope of any such discretion conferred on the competent authorities and the manner of its exercise (see, </w:t>
      </w:r>
      <w:r w:rsidR="00820413" w:rsidRPr="00E24C37">
        <w:rPr>
          <w:lang w:val="en"/>
        </w:rPr>
        <w:t xml:space="preserve">under Article 8 of the Convention </w:t>
      </w:r>
      <w:r w:rsidRPr="00E24C37">
        <w:rPr>
          <w:lang w:val="en"/>
        </w:rPr>
        <w:t xml:space="preserve">in the context of secret measures of surveillance and data gathering by public authorities, </w:t>
      </w:r>
      <w:r w:rsidRPr="00E24C37">
        <w:rPr>
          <w:i/>
        </w:rPr>
        <w:t>Malone v. the United Kingdom</w:t>
      </w:r>
      <w:r w:rsidRPr="00E24C37">
        <w:t>, 2</w:t>
      </w:r>
      <w:r w:rsidR="00F61957" w:rsidRPr="00E24C37">
        <w:t> </w:t>
      </w:r>
      <w:r w:rsidRPr="00E24C37">
        <w:t>August 1984, § 67, Series A no. 82</w:t>
      </w:r>
      <w:r w:rsidRPr="00E24C37">
        <w:rPr>
          <w:lang w:val="en"/>
        </w:rPr>
        <w:t xml:space="preserve"> and </w:t>
      </w:r>
      <w:r w:rsidRPr="00E24C37">
        <w:rPr>
          <w:i/>
          <w:lang w:val="en"/>
        </w:rPr>
        <w:t>Rotaru v. Romania</w:t>
      </w:r>
      <w:r w:rsidRPr="00E24C37">
        <w:rPr>
          <w:lang w:val="en"/>
        </w:rPr>
        <w:t xml:space="preserve"> [GC], no. 28341/95, §</w:t>
      </w:r>
      <w:r w:rsidR="00820413" w:rsidRPr="00E24C37">
        <w:rPr>
          <w:lang w:val="en"/>
        </w:rPr>
        <w:t> </w:t>
      </w:r>
      <w:r w:rsidRPr="00E24C37">
        <w:rPr>
          <w:lang w:val="en"/>
        </w:rPr>
        <w:t xml:space="preserve">55, ECHR 2000-V, and </w:t>
      </w:r>
      <w:r w:rsidR="00820413" w:rsidRPr="00E24C37">
        <w:rPr>
          <w:lang w:val="en"/>
        </w:rPr>
        <w:t xml:space="preserve">under other Articles of the Convention and/or </w:t>
      </w:r>
      <w:r w:rsidRPr="00E24C37">
        <w:rPr>
          <w:lang w:val="en"/>
        </w:rPr>
        <w:t xml:space="preserve">in other contexts: </w:t>
      </w:r>
      <w:r w:rsidRPr="00E24C37">
        <w:rPr>
          <w:i/>
          <w:lang w:val="en"/>
        </w:rPr>
        <w:t>Hasan and Chaush v. Bulgaria</w:t>
      </w:r>
      <w:r w:rsidRPr="00E24C37">
        <w:rPr>
          <w:lang w:val="en"/>
        </w:rPr>
        <w:t xml:space="preserve"> [GC], no.</w:t>
      </w:r>
      <w:r w:rsidR="00820413" w:rsidRPr="00E24C37">
        <w:rPr>
          <w:lang w:val="en"/>
        </w:rPr>
        <w:t> </w:t>
      </w:r>
      <w:r w:rsidRPr="00E24C37">
        <w:rPr>
          <w:lang w:val="en"/>
        </w:rPr>
        <w:t xml:space="preserve">30985/96, § </w:t>
      </w:r>
      <w:r w:rsidR="00875FC6" w:rsidRPr="00E24C37">
        <w:rPr>
          <w:lang w:val="en"/>
        </w:rPr>
        <w:t>8</w:t>
      </w:r>
      <w:r w:rsidRPr="00E24C37">
        <w:rPr>
          <w:lang w:val="en"/>
        </w:rPr>
        <w:t xml:space="preserve">4, ECHR 2000-XI; </w:t>
      </w:r>
      <w:r w:rsidRPr="00E24C37">
        <w:rPr>
          <w:i/>
          <w:lang w:val="en"/>
        </w:rPr>
        <w:t>Maestri v. Italy</w:t>
      </w:r>
      <w:r w:rsidRPr="00E24C37">
        <w:rPr>
          <w:lang w:val="en"/>
        </w:rPr>
        <w:t xml:space="preserve"> [GC], no. 39748/98, §</w:t>
      </w:r>
      <w:r w:rsidR="00820413" w:rsidRPr="00E24C37">
        <w:rPr>
          <w:lang w:val="en"/>
        </w:rPr>
        <w:t> </w:t>
      </w:r>
      <w:r w:rsidRPr="00E24C37">
        <w:rPr>
          <w:lang w:val="en"/>
        </w:rPr>
        <w:t>30, ECHR 2004</w:t>
      </w:r>
      <w:r w:rsidRPr="00E24C37">
        <w:rPr>
          <w:rFonts w:ascii="Segoe UI Symbol" w:hAnsi="Segoe UI Symbol" w:cs="Segoe UI Symbol"/>
          <w:lang w:val="en"/>
        </w:rPr>
        <w:noBreakHyphen/>
      </w:r>
      <w:r w:rsidRPr="00E24C37">
        <w:rPr>
          <w:lang w:val="en"/>
        </w:rPr>
        <w:t xml:space="preserve">I; </w:t>
      </w:r>
      <w:r w:rsidRPr="00E24C37">
        <w:rPr>
          <w:i/>
        </w:rPr>
        <w:t xml:space="preserve">Sanoma Uitgevers B.V. </w:t>
      </w:r>
      <w:r w:rsidRPr="00E24C37">
        <w:rPr>
          <w:snapToGrid w:val="0"/>
        </w:rPr>
        <w:t>[GC],</w:t>
      </w:r>
      <w:r w:rsidR="00152194" w:rsidRPr="00E24C37">
        <w:rPr>
          <w:snapToGrid w:val="0"/>
        </w:rPr>
        <w:t xml:space="preserve"> cited above</w:t>
      </w:r>
      <w:r w:rsidRPr="00E24C37">
        <w:t xml:space="preserve">, § </w:t>
      </w:r>
      <w:r w:rsidR="00875FC6" w:rsidRPr="00E24C37">
        <w:t>82</w:t>
      </w:r>
      <w:r w:rsidR="00820413" w:rsidRPr="00E24C37">
        <w:t xml:space="preserve">; </w:t>
      </w:r>
      <w:r w:rsidR="00820413" w:rsidRPr="00E24C37">
        <w:rPr>
          <w:i/>
        </w:rPr>
        <w:t>Gillan and Quinton</w:t>
      </w:r>
      <w:r w:rsidR="00820413" w:rsidRPr="00E24C37">
        <w:t>, cited above, § 77;</w:t>
      </w:r>
      <w:r w:rsidRPr="00E24C37">
        <w:t xml:space="preserve"> and </w:t>
      </w:r>
      <w:r w:rsidRPr="00E24C37">
        <w:rPr>
          <w:i/>
        </w:rPr>
        <w:t>Lashmankin and Others v. Russia</w:t>
      </w:r>
      <w:r w:rsidRPr="00E24C37">
        <w:t>, nos.</w:t>
      </w:r>
      <w:r w:rsidR="00820413" w:rsidRPr="00E24C37">
        <w:t> </w:t>
      </w:r>
      <w:r w:rsidRPr="00E24C37">
        <w:t>57818/09 and 14</w:t>
      </w:r>
      <w:r w:rsidR="00F61957" w:rsidRPr="00E24C37">
        <w:t> </w:t>
      </w:r>
      <w:r w:rsidRPr="00E24C37">
        <w:t>others, § 411, 7</w:t>
      </w:r>
      <w:r w:rsidR="00820413" w:rsidRPr="00E24C37">
        <w:t> </w:t>
      </w:r>
      <w:r w:rsidRPr="00E24C37">
        <w:t>February 2017).</w:t>
      </w:r>
      <w:r w:rsidR="00875FC6" w:rsidRPr="00E24C37">
        <w:t xml:space="preserve"> </w:t>
      </w:r>
      <w:r w:rsidRPr="00E24C37">
        <w:rPr>
          <w:lang w:val="en"/>
        </w:rPr>
        <w:t xml:space="preserve">The level of precision required of domestic legislation – which cannot in any case provide for every eventuality – depends to a considerable degree on the content of the instrument in question, the field it is designed to cover and the number and status of those to whom it is addressed (see, for example, </w:t>
      </w:r>
      <w:r w:rsidRPr="00E24C37">
        <w:rPr>
          <w:i/>
          <w:lang w:val="en"/>
        </w:rPr>
        <w:t>Hashman and Harrup v. the United Kingdom</w:t>
      </w:r>
      <w:r w:rsidRPr="00E24C37">
        <w:rPr>
          <w:lang w:val="en"/>
        </w:rPr>
        <w:t xml:space="preserve"> [GC], no. 25594/94, § 31, ECHR 1999</w:t>
      </w:r>
      <w:r w:rsidRPr="00E24C37">
        <w:rPr>
          <w:rFonts w:ascii="Segoe UI Symbol" w:hAnsi="Segoe UI Symbol" w:cs="Segoe UI Symbol"/>
          <w:lang w:val="en"/>
        </w:rPr>
        <w:noBreakHyphen/>
      </w:r>
      <w:r w:rsidR="00875FC6" w:rsidRPr="00E24C37">
        <w:rPr>
          <w:lang w:val="en"/>
        </w:rPr>
        <w:t>VIII).</w:t>
      </w:r>
    </w:p>
    <w:bookmarkStart w:id="25" w:name="zzz"/>
    <w:p w:rsidR="00193CEF" w:rsidRPr="00E24C37" w:rsidRDefault="00193CEF" w:rsidP="00E24C37">
      <w:pPr>
        <w:pStyle w:val="ECHRPara"/>
      </w:pPr>
      <w:r w:rsidRPr="00E24C37">
        <w:rPr>
          <w:lang w:val="en"/>
        </w:rPr>
        <w:fldChar w:fldCharType="begin"/>
      </w:r>
      <w:r w:rsidRPr="00E24C37">
        <w:rPr>
          <w:lang w:val="en"/>
        </w:rPr>
        <w:instrText xml:space="preserve"> SEQ level0 \*arabic </w:instrText>
      </w:r>
      <w:r w:rsidRPr="00E24C37">
        <w:rPr>
          <w:lang w:val="en"/>
        </w:rPr>
        <w:fldChar w:fldCharType="separate"/>
      </w:r>
      <w:r w:rsidR="00B87844">
        <w:rPr>
          <w:noProof/>
          <w:lang w:val="en"/>
        </w:rPr>
        <w:t>74</w:t>
      </w:r>
      <w:r w:rsidRPr="00E24C37">
        <w:rPr>
          <w:lang w:val="en"/>
        </w:rPr>
        <w:fldChar w:fldCharType="end"/>
      </w:r>
      <w:bookmarkEnd w:id="25"/>
      <w:r w:rsidRPr="00E24C37">
        <w:rPr>
          <w:lang w:val="en"/>
        </w:rPr>
        <w:t>.  </w:t>
      </w:r>
      <w:r w:rsidR="00820413" w:rsidRPr="00E24C37">
        <w:rPr>
          <w:lang w:val="en"/>
        </w:rPr>
        <w:t>In th</w:t>
      </w:r>
      <w:r w:rsidR="00D63229" w:rsidRPr="00E24C37">
        <w:rPr>
          <w:lang w:val="en"/>
        </w:rPr>
        <w:t>at</w:t>
      </w:r>
      <w:r w:rsidR="00820413" w:rsidRPr="00E24C37">
        <w:rPr>
          <w:lang w:val="en"/>
        </w:rPr>
        <w:t xml:space="preserve"> connection</w:t>
      </w:r>
      <w:r w:rsidR="00D63229" w:rsidRPr="00E24C37">
        <w:rPr>
          <w:lang w:val="en"/>
        </w:rPr>
        <w:t>,</w:t>
      </w:r>
      <w:r w:rsidR="00820413" w:rsidRPr="00E24C37">
        <w:rPr>
          <w:lang w:val="en"/>
        </w:rPr>
        <w:t xml:space="preserve"> the existence of </w:t>
      </w:r>
      <w:r w:rsidRPr="00E24C37">
        <w:rPr>
          <w:lang w:val="en"/>
        </w:rPr>
        <w:t xml:space="preserve">sufficient </w:t>
      </w:r>
      <w:r w:rsidR="00820413" w:rsidRPr="00E24C37">
        <w:rPr>
          <w:lang w:val="en"/>
        </w:rPr>
        <w:t>procedural safeguards</w:t>
      </w:r>
      <w:r w:rsidRPr="00E24C37">
        <w:rPr>
          <w:lang w:val="en"/>
        </w:rPr>
        <w:t xml:space="preserve"> may be particularly pertinent, having regard to</w:t>
      </w:r>
      <w:r w:rsidR="00820413" w:rsidRPr="00E24C37">
        <w:rPr>
          <w:lang w:val="en"/>
        </w:rPr>
        <w:t>, to some extent at least</w:t>
      </w:r>
      <w:r w:rsidRPr="00E24C37">
        <w:rPr>
          <w:lang w:val="en"/>
        </w:rPr>
        <w:t xml:space="preserve"> and among other factors</w:t>
      </w:r>
      <w:r w:rsidR="00820413" w:rsidRPr="00E24C37">
        <w:rPr>
          <w:lang w:val="en"/>
        </w:rPr>
        <w:t xml:space="preserve">, the nature and extent of the interference in question (see </w:t>
      </w:r>
      <w:r w:rsidR="00820413" w:rsidRPr="00E24C37">
        <w:rPr>
          <w:i/>
          <w:lang w:val="en"/>
        </w:rPr>
        <w:t>P.G. and J.H. v. the United Kingdom</w:t>
      </w:r>
      <w:r w:rsidR="00820413" w:rsidRPr="00E24C37">
        <w:rPr>
          <w:lang w:val="en"/>
        </w:rPr>
        <w:t>, no. 44787/98, § 46, ECHR 2001</w:t>
      </w:r>
      <w:r w:rsidR="00F61957" w:rsidRPr="00E24C37">
        <w:rPr>
          <w:lang w:val="en"/>
        </w:rPr>
        <w:noBreakHyphen/>
      </w:r>
      <w:r w:rsidR="00820413" w:rsidRPr="00E24C37">
        <w:rPr>
          <w:lang w:val="en"/>
        </w:rPr>
        <w:t xml:space="preserve">IX). In various contexts of Article 8 of the Convention, the Court has emphasised that measures affecting human rights must be subject to some form of adversarial proceedings before an independent body competent to review in a timely fashion the reasons for the decision and the relevant evidence (see </w:t>
      </w:r>
      <w:r w:rsidR="00820413" w:rsidRPr="00E24C37">
        <w:rPr>
          <w:i/>
          <w:lang w:val="en"/>
        </w:rPr>
        <w:t>Al-Nashif v. Bulgaria</w:t>
      </w:r>
      <w:r w:rsidR="00820413" w:rsidRPr="00E24C37">
        <w:rPr>
          <w:lang w:val="en"/>
        </w:rPr>
        <w:t xml:space="preserve">, no. 50963/99, § 123, 20 June 2002; </w:t>
      </w:r>
      <w:r w:rsidR="00820413" w:rsidRPr="00E24C37">
        <w:rPr>
          <w:i/>
          <w:lang w:val="en"/>
        </w:rPr>
        <w:t>X</w:t>
      </w:r>
      <w:r w:rsidR="00F61957" w:rsidRPr="00E24C37">
        <w:rPr>
          <w:i/>
          <w:lang w:val="en"/>
        </w:rPr>
        <w:t> </w:t>
      </w:r>
      <w:r w:rsidR="00820413" w:rsidRPr="00E24C37">
        <w:rPr>
          <w:i/>
          <w:lang w:val="en"/>
        </w:rPr>
        <w:t>v. Finland</w:t>
      </w:r>
      <w:r w:rsidR="00820413" w:rsidRPr="00E24C37">
        <w:rPr>
          <w:lang w:val="en"/>
        </w:rPr>
        <w:t>, no. 34806/04, §§ 220-222, ECHR 2012 (extracts)</w:t>
      </w:r>
      <w:r w:rsidRPr="00E24C37">
        <w:rPr>
          <w:lang w:val="en"/>
        </w:rPr>
        <w:t>;</w:t>
      </w:r>
      <w:r w:rsidR="00820413" w:rsidRPr="00E24C37">
        <w:rPr>
          <w:lang w:val="en"/>
        </w:rPr>
        <w:t xml:space="preserve"> </w:t>
      </w:r>
      <w:r w:rsidR="00820413" w:rsidRPr="00E24C37">
        <w:rPr>
          <w:i/>
          <w:lang w:val="en"/>
        </w:rPr>
        <w:t>Oleksandr Volkov v. Ukraine</w:t>
      </w:r>
      <w:r w:rsidR="00820413" w:rsidRPr="00E24C37">
        <w:rPr>
          <w:lang w:val="en"/>
        </w:rPr>
        <w:t xml:space="preserve">, </w:t>
      </w:r>
      <w:r w:rsidRPr="00E24C37">
        <w:rPr>
          <w:lang w:val="en"/>
        </w:rPr>
        <w:t xml:space="preserve">no. 21722/11, § 184, ECHR 2013; and </w:t>
      </w:r>
      <w:r w:rsidRPr="00E24C37">
        <w:rPr>
          <w:i/>
        </w:rPr>
        <w:t>Kotiy v. Ukraine</w:t>
      </w:r>
      <w:r w:rsidRPr="00E24C37">
        <w:t>, no. 28718/09</w:t>
      </w:r>
      <w:r w:rsidRPr="00E24C37">
        <w:rPr>
          <w:snapToGrid w:val="0"/>
        </w:rPr>
        <w:t>, §§ 68-70, 5 March 2015</w:t>
      </w:r>
      <w:r w:rsidR="007E2FBE" w:rsidRPr="00E24C37">
        <w:rPr>
          <w:snapToGrid w:val="0"/>
        </w:rPr>
        <w:t xml:space="preserve">; see also </w:t>
      </w:r>
      <w:bookmarkStart w:id="26" w:name="File2"/>
      <w:r w:rsidR="007E2FBE" w:rsidRPr="00E24C37">
        <w:rPr>
          <w:i/>
        </w:rPr>
        <w:t>Milo</w:t>
      </w:r>
      <w:bookmarkEnd w:id="26"/>
      <w:r w:rsidR="007E2FBE" w:rsidRPr="00E24C37">
        <w:rPr>
          <w:i/>
        </w:rPr>
        <w:t>jević and Others v.</w:t>
      </w:r>
      <w:r w:rsidR="00F61957" w:rsidRPr="00E24C37">
        <w:rPr>
          <w:i/>
        </w:rPr>
        <w:t> </w:t>
      </w:r>
      <w:r w:rsidR="007E2FBE" w:rsidRPr="00E24C37">
        <w:rPr>
          <w:i/>
        </w:rPr>
        <w:t>Serbia</w:t>
      </w:r>
      <w:r w:rsidR="007E2FBE" w:rsidRPr="00E24C37">
        <w:t xml:space="preserve">, nos. 43519/07 and 2 others, </w:t>
      </w:r>
      <w:r w:rsidR="007E2FBE" w:rsidRPr="00E24C37">
        <w:rPr>
          <w:snapToGrid w:val="0"/>
        </w:rPr>
        <w:t>§ 64, 12 January 2016).</w:t>
      </w:r>
    </w:p>
    <w:p w:rsidR="002D7A95"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75</w:t>
      </w:r>
      <w:r w:rsidRPr="00E24C37">
        <w:rPr>
          <w:noProof/>
        </w:rPr>
        <w:fldChar w:fldCharType="end"/>
      </w:r>
      <w:r w:rsidR="007E2FBE" w:rsidRPr="00E24C37">
        <w:t>.  </w:t>
      </w:r>
      <w:r w:rsidR="00BD359E" w:rsidRPr="00E24C37">
        <w:t>The above considerations under the heading of “</w:t>
      </w:r>
      <w:r w:rsidR="0042078A" w:rsidRPr="00E24C37">
        <w:t>quality of</w:t>
      </w:r>
      <w:r w:rsidR="00BD359E" w:rsidRPr="00E24C37">
        <w:t xml:space="preserve"> law” may overlap with similar issues analysed under the heading of “necessary in a democratic society</w:t>
      </w:r>
      <w:r w:rsidR="003B56B7" w:rsidRPr="00E24C37">
        <w:t>”</w:t>
      </w:r>
      <w:r w:rsidR="00BD359E" w:rsidRPr="00E24C37">
        <w:t xml:space="preserve"> (see </w:t>
      </w:r>
      <w:r w:rsidR="00BD359E" w:rsidRPr="00E24C37">
        <w:rPr>
          <w:i/>
        </w:rPr>
        <w:t>Ustinova v. Russia</w:t>
      </w:r>
      <w:r w:rsidR="00BD359E" w:rsidRPr="00E24C37">
        <w:t>, no. 7994/14, § 44, 8</w:t>
      </w:r>
      <w:r w:rsidR="00197E46" w:rsidRPr="00E24C37">
        <w:t> </w:t>
      </w:r>
      <w:r w:rsidR="00BD359E" w:rsidRPr="00E24C37">
        <w:t>November 2016).</w:t>
      </w:r>
      <w:r w:rsidR="004F7EC4" w:rsidRPr="00E24C37">
        <w:t xml:space="preserve"> </w:t>
      </w:r>
      <w:r w:rsidR="00A115E5" w:rsidRPr="00E24C37">
        <w:rPr>
          <w:lang w:val="en"/>
        </w:rPr>
        <w:t xml:space="preserve">The Court reiterates that where a wide margin of appreciation is </w:t>
      </w:r>
      <w:r w:rsidR="002D7A95" w:rsidRPr="00E24C37">
        <w:rPr>
          <w:lang w:val="en"/>
        </w:rPr>
        <w:t xml:space="preserve">afforded </w:t>
      </w:r>
      <w:r w:rsidR="00A115E5" w:rsidRPr="00E24C37">
        <w:rPr>
          <w:lang w:val="en"/>
        </w:rPr>
        <w:t xml:space="preserve">to the national authorities, the procedural safeguards available to </w:t>
      </w:r>
      <w:r w:rsidR="00A115E5" w:rsidRPr="00E24C37">
        <w:rPr>
          <w:lang w:val="en"/>
        </w:rPr>
        <w:lastRenderedPageBreak/>
        <w:t xml:space="preserve">the individual will be especially material in determining whether the respondent State has, when fixing the regulatory framework, remained within its margin of appreciation. In particular, the Court must examine whether the decision-making process leading to measures of interference was fair and such as to afford due respect to the interests safeguarded to the individual by the Convention (see, in the context of decisions relating to town and country planning policies, </w:t>
      </w:r>
      <w:r w:rsidR="00A115E5" w:rsidRPr="00E24C37">
        <w:rPr>
          <w:i/>
          <w:lang w:val="en"/>
        </w:rPr>
        <w:t>Chapman v.</w:t>
      </w:r>
      <w:r w:rsidR="00F61957" w:rsidRPr="00E24C37">
        <w:rPr>
          <w:i/>
          <w:lang w:val="en"/>
        </w:rPr>
        <w:t> </w:t>
      </w:r>
      <w:r w:rsidR="00A115E5" w:rsidRPr="00E24C37">
        <w:rPr>
          <w:i/>
          <w:lang w:val="en"/>
        </w:rPr>
        <w:t>the United Kingdom</w:t>
      </w:r>
      <w:r w:rsidR="00A115E5" w:rsidRPr="00E24C37">
        <w:rPr>
          <w:lang w:val="en"/>
        </w:rPr>
        <w:t xml:space="preserve"> [GC], no. 27238/95, § 92, ECHR 2001</w:t>
      </w:r>
      <w:r w:rsidR="00A115E5" w:rsidRPr="00E24C37">
        <w:rPr>
          <w:rFonts w:ascii="Segoe UI Symbol" w:hAnsi="Segoe UI Symbol" w:cs="Segoe UI Symbol"/>
          <w:lang w:val="en"/>
        </w:rPr>
        <w:noBreakHyphen/>
      </w:r>
      <w:r w:rsidR="00A115E5" w:rsidRPr="00E24C37">
        <w:rPr>
          <w:lang w:val="en"/>
        </w:rPr>
        <w:t xml:space="preserve">I, and in other contexts: </w:t>
      </w:r>
      <w:r w:rsidR="00A115E5" w:rsidRPr="00E24C37">
        <w:rPr>
          <w:i/>
        </w:rPr>
        <w:t xml:space="preserve">Hatton and Others v. the United Kingdom </w:t>
      </w:r>
      <w:r w:rsidR="00A115E5" w:rsidRPr="00E24C37">
        <w:t>[GC],</w:t>
      </w:r>
      <w:r w:rsidR="00A115E5" w:rsidRPr="00E24C37">
        <w:rPr>
          <w:i/>
        </w:rPr>
        <w:t xml:space="preserve"> </w:t>
      </w:r>
      <w:r w:rsidR="00A115E5" w:rsidRPr="00E24C37">
        <w:t>no.</w:t>
      </w:r>
      <w:r w:rsidR="00F61957" w:rsidRPr="00E24C37">
        <w:t> </w:t>
      </w:r>
      <w:r w:rsidR="00A115E5" w:rsidRPr="00E24C37">
        <w:t>36022/97, § 99, ECHR 2003</w:t>
      </w:r>
      <w:r w:rsidR="00A115E5" w:rsidRPr="00E24C37">
        <w:noBreakHyphen/>
        <w:t>VIII;</w:t>
      </w:r>
      <w:r w:rsidR="002D7A95" w:rsidRPr="00E24C37">
        <w:t xml:space="preserve"> </w:t>
      </w:r>
      <w:r w:rsidR="002D7A95" w:rsidRPr="00E24C37">
        <w:rPr>
          <w:i/>
          <w:lang w:val="pt-PT"/>
        </w:rPr>
        <w:t>Fernández Martínez</w:t>
      </w:r>
      <w:r w:rsidR="002D7A95" w:rsidRPr="00E24C37">
        <w:rPr>
          <w:lang w:val="pt-PT"/>
        </w:rPr>
        <w:t xml:space="preserve"> </w:t>
      </w:r>
      <w:r w:rsidR="002D7A95" w:rsidRPr="00E24C37">
        <w:rPr>
          <w:i/>
          <w:lang w:val="pt-PT"/>
        </w:rPr>
        <w:t xml:space="preserve">v. Spain </w:t>
      </w:r>
      <w:r w:rsidR="002D7A95" w:rsidRPr="00E24C37">
        <w:rPr>
          <w:lang w:val="pt-PT"/>
        </w:rPr>
        <w:t>[GC], no. 56030/07, § 147, ECHR 2014 (extracts); see also</w:t>
      </w:r>
      <w:r w:rsidR="00197E46" w:rsidRPr="00E24C37">
        <w:t xml:space="preserve"> </w:t>
      </w:r>
      <w:r w:rsidR="00A115E5" w:rsidRPr="00E24C37">
        <w:rPr>
          <w:i/>
          <w:lang w:val="en"/>
        </w:rPr>
        <w:t>Liu v. Russia</w:t>
      </w:r>
      <w:r w:rsidR="00A115E5" w:rsidRPr="00E24C37">
        <w:rPr>
          <w:lang w:val="en"/>
        </w:rPr>
        <w:t xml:space="preserve"> (no. 2), no. 29157/09, §§ 85-86, 26 July 2011; </w:t>
      </w:r>
      <w:r w:rsidR="00A115E5" w:rsidRPr="00E24C37">
        <w:rPr>
          <w:i/>
        </w:rPr>
        <w:t>Gablishvili v. Russia</w:t>
      </w:r>
      <w:r w:rsidR="00A115E5" w:rsidRPr="00E24C37">
        <w:t>, no. 39428/12</w:t>
      </w:r>
      <w:r w:rsidR="00A115E5" w:rsidRPr="00E24C37">
        <w:rPr>
          <w:snapToGrid w:val="0"/>
        </w:rPr>
        <w:t>, §</w:t>
      </w:r>
      <w:r w:rsidR="00F61957" w:rsidRPr="00E24C37">
        <w:rPr>
          <w:snapToGrid w:val="0"/>
        </w:rPr>
        <w:t> </w:t>
      </w:r>
      <w:r w:rsidR="00A115E5" w:rsidRPr="00E24C37">
        <w:rPr>
          <w:snapToGrid w:val="0"/>
        </w:rPr>
        <w:t>48, 26 June 2014;</w:t>
      </w:r>
      <w:r w:rsidR="002D7A95" w:rsidRPr="00E24C37">
        <w:rPr>
          <w:snapToGrid w:val="0"/>
        </w:rPr>
        <w:t xml:space="preserve"> </w:t>
      </w:r>
      <w:r w:rsidR="002D7A95" w:rsidRPr="00E24C37">
        <w:rPr>
          <w:i/>
        </w:rPr>
        <w:t>Yefimenko v.</w:t>
      </w:r>
      <w:r w:rsidR="00197E46" w:rsidRPr="00E24C37">
        <w:rPr>
          <w:i/>
        </w:rPr>
        <w:t> </w:t>
      </w:r>
      <w:r w:rsidR="002D7A95" w:rsidRPr="00E24C37">
        <w:rPr>
          <w:i/>
        </w:rPr>
        <w:t>Russia</w:t>
      </w:r>
      <w:r w:rsidR="002D7A95" w:rsidRPr="00E24C37">
        <w:t>, no. 152/04</w:t>
      </w:r>
      <w:r w:rsidR="002D7A95" w:rsidRPr="00E24C37">
        <w:rPr>
          <w:snapToGrid w:val="0"/>
        </w:rPr>
        <w:t>, §§ 146-50, 12</w:t>
      </w:r>
      <w:r w:rsidR="00F61957" w:rsidRPr="00E24C37">
        <w:rPr>
          <w:snapToGrid w:val="0"/>
        </w:rPr>
        <w:t> </w:t>
      </w:r>
      <w:r w:rsidR="002D7A95" w:rsidRPr="00E24C37">
        <w:rPr>
          <w:snapToGrid w:val="0"/>
        </w:rPr>
        <w:t xml:space="preserve">February 2013, and </w:t>
      </w:r>
      <w:r w:rsidR="002D7A95" w:rsidRPr="00E24C37">
        <w:rPr>
          <w:i/>
        </w:rPr>
        <w:t>Lashmankin and Others</w:t>
      </w:r>
      <w:r w:rsidR="002D7A95" w:rsidRPr="00E24C37">
        <w:t>, cited above, § 418).</w:t>
      </w:r>
    </w:p>
    <w:p w:rsidR="00823C49" w:rsidRPr="00E24C37" w:rsidRDefault="004B1E2C" w:rsidP="00E24C37">
      <w:pPr>
        <w:pStyle w:val="ECHRPara"/>
        <w:rPr>
          <w:lang w:val="es-ES_tradnl"/>
        </w:rPr>
      </w:pPr>
      <w:r w:rsidRPr="00E24C37">
        <w:fldChar w:fldCharType="begin"/>
      </w:r>
      <w:r w:rsidRPr="00E24C37">
        <w:instrText xml:space="preserve"> SEQ level0 \*arabic </w:instrText>
      </w:r>
      <w:r w:rsidRPr="00E24C37">
        <w:fldChar w:fldCharType="separate"/>
      </w:r>
      <w:r w:rsidR="00B87844">
        <w:rPr>
          <w:noProof/>
        </w:rPr>
        <w:t>76</w:t>
      </w:r>
      <w:r w:rsidRPr="00E24C37">
        <w:rPr>
          <w:noProof/>
        </w:rPr>
        <w:fldChar w:fldCharType="end"/>
      </w:r>
      <w:r w:rsidR="004F7EC4" w:rsidRPr="00E24C37">
        <w:t>.  </w:t>
      </w:r>
      <w:r w:rsidR="002D7A95" w:rsidRPr="00E24C37">
        <w:t>As regards specifically searches and seizure</w:t>
      </w:r>
      <w:r w:rsidR="00B3297C" w:rsidRPr="00E24C37">
        <w:t>s</w:t>
      </w:r>
      <w:r w:rsidR="002D7A95" w:rsidRPr="00E24C37">
        <w:t xml:space="preserve"> or similar measures (essentially in the context of obtaining physical eviden</w:t>
      </w:r>
      <w:r w:rsidR="00823C49" w:rsidRPr="00E24C37">
        <w:t>c</w:t>
      </w:r>
      <w:r w:rsidR="002D7A95" w:rsidRPr="00E24C37">
        <w:t xml:space="preserve">e of certain offences), it is pertinent to assess whether </w:t>
      </w:r>
      <w:r w:rsidR="002D7A95" w:rsidRPr="00E24C37">
        <w:rPr>
          <w:lang w:val="en"/>
        </w:rPr>
        <w:t>the reasons adduced to justify such measures were relevant and sufficient and whether the proportionality principle has been adhered to</w:t>
      </w:r>
      <w:r w:rsidR="00823C49" w:rsidRPr="00E24C37">
        <w:rPr>
          <w:lang w:val="en"/>
        </w:rPr>
        <w:t xml:space="preserve"> (see </w:t>
      </w:r>
      <w:r w:rsidR="00823C49" w:rsidRPr="00E24C37">
        <w:rPr>
          <w:i/>
        </w:rPr>
        <w:t>Camenzind v. Switzerland</w:t>
      </w:r>
      <w:r w:rsidR="00823C49" w:rsidRPr="00E24C37">
        <w:t>, 16</w:t>
      </w:r>
      <w:r w:rsidR="00490C83" w:rsidRPr="00E24C37">
        <w:t> </w:t>
      </w:r>
      <w:r w:rsidR="00823C49" w:rsidRPr="00E24C37">
        <w:t xml:space="preserve">December 1997, § 45, </w:t>
      </w:r>
      <w:r w:rsidR="00823C49" w:rsidRPr="00E24C37">
        <w:rPr>
          <w:i/>
        </w:rPr>
        <w:t>Reports of Judgments and Decisions</w:t>
      </w:r>
      <w:r w:rsidR="00823C49" w:rsidRPr="00E24C37">
        <w:t xml:space="preserve"> 1997</w:t>
      </w:r>
      <w:r w:rsidR="00823C49" w:rsidRPr="00E24C37">
        <w:noBreakHyphen/>
        <w:t>VIII, with further references).</w:t>
      </w:r>
      <w:r w:rsidR="002D7A95" w:rsidRPr="00E24C37">
        <w:rPr>
          <w:lang w:val="en"/>
        </w:rPr>
        <w:t xml:space="preserve"> </w:t>
      </w:r>
      <w:r w:rsidR="00823C49" w:rsidRPr="00E24C37">
        <w:rPr>
          <w:lang w:val="en"/>
        </w:rPr>
        <w:t>As regards the latter point, the Court must firstly ensure that the relevant legislation and practice afford individuals “adequate and effective safeguards against abuse”; notwithstanding the margin of appreciation which the Court recognises the Contracting States have in this sphere, it must be particularly vigilant where the authorities are empowered under national law to order and effect searches without a judicial warrant</w:t>
      </w:r>
      <w:r w:rsidR="00C63D85" w:rsidRPr="00E24C37">
        <w:rPr>
          <w:lang w:val="en"/>
        </w:rPr>
        <w:t xml:space="preserve"> (see also </w:t>
      </w:r>
      <w:r w:rsidR="00C63D85" w:rsidRPr="00E24C37">
        <w:rPr>
          <w:i/>
          <w:lang w:val="es-ES_tradnl"/>
        </w:rPr>
        <w:t>Gutsanovi v. Bulgaria</w:t>
      </w:r>
      <w:r w:rsidR="00C63D85" w:rsidRPr="00E24C37">
        <w:rPr>
          <w:lang w:val="es-ES_tradnl"/>
        </w:rPr>
        <w:t>, no. 34529/10</w:t>
      </w:r>
      <w:r w:rsidR="00C63D85" w:rsidRPr="00E24C37">
        <w:rPr>
          <w:snapToGrid w:val="0"/>
          <w:lang w:val="es-ES_tradnl"/>
        </w:rPr>
        <w:t xml:space="preserve">, § 220, </w:t>
      </w:r>
      <w:r w:rsidR="00C63D85" w:rsidRPr="00E24C37">
        <w:rPr>
          <w:lang w:val="es-ES_tradnl"/>
        </w:rPr>
        <w:t>ECHR 2013 (extracts))</w:t>
      </w:r>
      <w:r w:rsidR="00823C49" w:rsidRPr="00E24C37">
        <w:rPr>
          <w:lang w:val="en"/>
        </w:rPr>
        <w:t>. If individuals are to be protected from arbitrary interference by the authorities with the rights guaranteed under Article 8, a legal framework and very strict limits on such powers are called for. Secondly, the Court must consider the particular circumstances of each case in order to determine whether, in the concrete case, the interference in question was proportionate to the aim pursued (</w:t>
      </w:r>
      <w:r w:rsidR="00C63D85" w:rsidRPr="00E24C37">
        <w:rPr>
          <w:lang w:val="en"/>
        </w:rPr>
        <w:t xml:space="preserve">see </w:t>
      </w:r>
      <w:r w:rsidR="00C63D85" w:rsidRPr="00E24C37">
        <w:rPr>
          <w:i/>
          <w:lang w:val="en"/>
        </w:rPr>
        <w:t>Camenzind</w:t>
      </w:r>
      <w:r w:rsidR="00C63D85" w:rsidRPr="00E24C37">
        <w:rPr>
          <w:lang w:val="en"/>
        </w:rPr>
        <w:t xml:space="preserve">, cited above, </w:t>
      </w:r>
      <w:r w:rsidR="00C63D85" w:rsidRPr="00E24C37">
        <w:t>§ 45</w:t>
      </w:r>
      <w:r w:rsidR="00823C49" w:rsidRPr="00E24C37">
        <w:rPr>
          <w:lang w:val="en"/>
        </w:rPr>
        <w:t>).</w:t>
      </w:r>
    </w:p>
    <w:p w:rsidR="00823C49" w:rsidRPr="00E24C37" w:rsidRDefault="00823C49" w:rsidP="00E24C37">
      <w:pPr>
        <w:pStyle w:val="ECHRHeading5"/>
      </w:pPr>
      <w:r w:rsidRPr="00E24C37">
        <w:t>(ii)  Application of the principles to the present case</w:t>
      </w:r>
    </w:p>
    <w:p w:rsidR="00197E46"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77</w:t>
      </w:r>
      <w:r w:rsidRPr="00E24C37">
        <w:rPr>
          <w:noProof/>
        </w:rPr>
        <w:fldChar w:fldCharType="end"/>
      </w:r>
      <w:r w:rsidR="00CB73FA" w:rsidRPr="00E24C37">
        <w:t>.  </w:t>
      </w:r>
      <w:r w:rsidR="00AA2325" w:rsidRPr="00E24C37">
        <w:t>As regards the requirement that an “</w:t>
      </w:r>
      <w:r w:rsidR="00DA05D3" w:rsidRPr="00E24C37">
        <w:t>interference</w:t>
      </w:r>
      <w:r w:rsidR="00AA2325" w:rsidRPr="00E24C37">
        <w:t>” should be “in accordance with the law”, the Court reiterates</w:t>
      </w:r>
      <w:r w:rsidR="00C048AD" w:rsidRPr="00E24C37">
        <w:t xml:space="preserve"> at the outset</w:t>
      </w:r>
      <w:r w:rsidR="00AA2325" w:rsidRPr="00E24C37">
        <w:t xml:space="preserve"> that i</w:t>
      </w:r>
      <w:r w:rsidR="00CB73FA" w:rsidRPr="00E24C37">
        <w:t>n the first place it is for the national authorities, notably the courts, to interpret and apply domestic law (see </w:t>
      </w:r>
      <w:r w:rsidR="00CB73FA" w:rsidRPr="00E24C37">
        <w:rPr>
          <w:i/>
        </w:rPr>
        <w:t>Kruslin v. France</w:t>
      </w:r>
      <w:r w:rsidR="00CB73FA" w:rsidRPr="00E24C37">
        <w:t>, 24 April 1990, § 29, Series A no. 176</w:t>
      </w:r>
      <w:r w:rsidR="00CB73FA" w:rsidRPr="00E24C37">
        <w:noBreakHyphen/>
        <w:t>A; </w:t>
      </w:r>
      <w:r w:rsidR="00CB73FA" w:rsidRPr="00E24C37">
        <w:rPr>
          <w:i/>
        </w:rPr>
        <w:t>Kopp v. Switzerland</w:t>
      </w:r>
      <w:r w:rsidR="00CB73FA" w:rsidRPr="00E24C37">
        <w:t>, 25 March 1998, § 59, Reports 1998-II; and </w:t>
      </w:r>
      <w:r w:rsidR="00CB73FA" w:rsidRPr="00E24C37">
        <w:rPr>
          <w:i/>
          <w:lang w:val="it-IT"/>
        </w:rPr>
        <w:t xml:space="preserve">Centro Europa 7 S.r.l. and Di Stefano v. </w:t>
      </w:r>
      <w:r w:rsidR="00CB73FA" w:rsidRPr="00E24C37">
        <w:rPr>
          <w:i/>
        </w:rPr>
        <w:t>Italy</w:t>
      </w:r>
      <w:r w:rsidR="00CB73FA" w:rsidRPr="00E24C37">
        <w:rPr>
          <w:lang w:val="it-IT"/>
        </w:rPr>
        <w:t xml:space="preserve"> [GC], no. 38433/09, §</w:t>
      </w:r>
      <w:r w:rsidR="00C048AD" w:rsidRPr="00E24C37">
        <w:rPr>
          <w:lang w:val="it-IT"/>
        </w:rPr>
        <w:t> </w:t>
      </w:r>
      <w:r w:rsidR="00CB73FA" w:rsidRPr="00E24C37">
        <w:rPr>
          <w:lang w:val="it-IT"/>
        </w:rPr>
        <w:t xml:space="preserve">140, </w:t>
      </w:r>
      <w:r w:rsidR="00CB73FA" w:rsidRPr="00E24C37">
        <w:rPr>
          <w:snapToGrid w:val="0"/>
          <w:lang w:val="it-IT"/>
        </w:rPr>
        <w:t>ECHR 2012</w:t>
      </w:r>
      <w:r w:rsidR="00CB73FA" w:rsidRPr="00E24C37">
        <w:t>; see also </w:t>
      </w:r>
      <w:r w:rsidR="00CB73FA" w:rsidRPr="00E24C37">
        <w:rPr>
          <w:i/>
        </w:rPr>
        <w:t>Delfi AS v. Estonia</w:t>
      </w:r>
      <w:r w:rsidR="00CB73FA" w:rsidRPr="00E24C37">
        <w:t> [GC], no. 64569/09, § 127, ECHR 2015).</w:t>
      </w:r>
    </w:p>
    <w:p w:rsidR="004F7EC4" w:rsidRPr="00E24C37" w:rsidRDefault="00AA2325" w:rsidP="00E24C37">
      <w:pPr>
        <w:pStyle w:val="ECHRHeading6"/>
        <w:rPr>
          <w:lang w:val="it-IT"/>
        </w:rPr>
      </w:pPr>
      <w:r w:rsidRPr="00E24C37">
        <w:rPr>
          <w:rFonts w:cstheme="minorHAnsi"/>
        </w:rPr>
        <w:lastRenderedPageBreak/>
        <w:t>(α</w:t>
      </w:r>
      <w:r w:rsidRPr="00E24C37">
        <w:t>)  </w:t>
      </w:r>
      <w:r w:rsidR="004F7EC4" w:rsidRPr="00E24C37">
        <w:t>Formal legality</w:t>
      </w:r>
    </w:p>
    <w:p w:rsidR="00431DB8"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78</w:t>
      </w:r>
      <w:r w:rsidRPr="00E24C37">
        <w:rPr>
          <w:noProof/>
        </w:rPr>
        <w:fldChar w:fldCharType="end"/>
      </w:r>
      <w:r w:rsidR="00AD3603" w:rsidRPr="00E24C37">
        <w:t xml:space="preserve">.  First of all, </w:t>
      </w:r>
      <w:r w:rsidR="00CB73FA" w:rsidRPr="00E24C37">
        <w:t>as to fo</w:t>
      </w:r>
      <w:r w:rsidR="00AD3603" w:rsidRPr="00E24C37">
        <w:t>rmal legality (</w:t>
      </w:r>
      <w:r w:rsidR="00CB73FA" w:rsidRPr="00E24C37">
        <w:t xml:space="preserve">meaning </w:t>
      </w:r>
      <w:r w:rsidR="00AD3603" w:rsidRPr="00E24C37">
        <w:t xml:space="preserve">compliance with </w:t>
      </w:r>
      <w:r w:rsidR="00CB73FA" w:rsidRPr="00E24C37">
        <w:t xml:space="preserve">rules of </w:t>
      </w:r>
      <w:r w:rsidR="00AD3603" w:rsidRPr="00E24C37">
        <w:t>domestic law), the Court dismisses as unsubstantiated the applicant</w:t>
      </w:r>
      <w:r w:rsidR="00E24C37" w:rsidRPr="00E24C37">
        <w:t>’</w:t>
      </w:r>
      <w:r w:rsidR="00AD3603" w:rsidRPr="00E24C37">
        <w:t xml:space="preserve">s assertion that (i) the impugned measures were </w:t>
      </w:r>
      <w:r w:rsidR="002C3349" w:rsidRPr="00E24C37">
        <w:t>in breach of Russian law</w:t>
      </w:r>
      <w:r w:rsidR="00AD3603" w:rsidRPr="00E24C37">
        <w:t xml:space="preserve"> i</w:t>
      </w:r>
      <w:r w:rsidR="00D63229" w:rsidRPr="00E24C37">
        <w:t xml:space="preserve">f there was no </w:t>
      </w:r>
      <w:r w:rsidR="00AD3603" w:rsidRPr="00E24C37">
        <w:t xml:space="preserve">ongoing criminal investigation or measures under the Operational-Search Activities Act, </w:t>
      </w:r>
      <w:r w:rsidR="00D63229" w:rsidRPr="00E24C37">
        <w:t>and/</w:t>
      </w:r>
      <w:r w:rsidR="00A1333F" w:rsidRPr="00E24C37">
        <w:t>or</w:t>
      </w:r>
      <w:r w:rsidR="00AD3603" w:rsidRPr="00E24C37">
        <w:t xml:space="preserve"> (ii) in the absence of a prior judicial authorisation</w:t>
      </w:r>
      <w:r w:rsidR="00A1333F" w:rsidRPr="00E24C37">
        <w:t xml:space="preserve"> (see paragraphs </w:t>
      </w:r>
      <w:r w:rsidR="00A1333F" w:rsidRPr="00E24C37">
        <w:fldChar w:fldCharType="begin"/>
      </w:r>
      <w:r w:rsidR="00A1333F" w:rsidRPr="00E24C37">
        <w:instrText xml:space="preserve"> REF  Contitutioncorrespondence \h </w:instrText>
      </w:r>
      <w:r w:rsidR="00A1333F" w:rsidRPr="00E24C37">
        <w:fldChar w:fldCharType="separate"/>
      </w:r>
      <w:r w:rsidR="00B87844">
        <w:rPr>
          <w:noProof/>
        </w:rPr>
        <w:t>25</w:t>
      </w:r>
      <w:r w:rsidR="00A1333F" w:rsidRPr="00E24C37">
        <w:fldChar w:fldCharType="end"/>
      </w:r>
      <w:r w:rsidR="00A1333F" w:rsidRPr="00E24C37">
        <w:t xml:space="preserve">, </w:t>
      </w:r>
      <w:r w:rsidR="00A1333F" w:rsidRPr="00E24C37">
        <w:fldChar w:fldCharType="begin"/>
      </w:r>
      <w:r w:rsidR="00A1333F" w:rsidRPr="00E24C37">
        <w:instrText xml:space="preserve"> REF  A13CCrP \h </w:instrText>
      </w:r>
      <w:r w:rsidR="00A1333F" w:rsidRPr="00E24C37">
        <w:fldChar w:fldCharType="separate"/>
      </w:r>
      <w:r w:rsidR="00B87844">
        <w:rPr>
          <w:noProof/>
        </w:rPr>
        <w:t>40</w:t>
      </w:r>
      <w:r w:rsidR="00A1333F" w:rsidRPr="00E24C37">
        <w:fldChar w:fldCharType="end"/>
      </w:r>
      <w:r w:rsidR="00A1333F" w:rsidRPr="00E24C37">
        <w:t xml:space="preserve"> and </w:t>
      </w:r>
      <w:r w:rsidR="00A1333F" w:rsidRPr="00E24C37">
        <w:fldChar w:fldCharType="begin"/>
      </w:r>
      <w:r w:rsidR="00A1333F" w:rsidRPr="00E24C37">
        <w:instrText xml:space="preserve"> REF  OSAA \h </w:instrText>
      </w:r>
      <w:r w:rsidR="00A1333F" w:rsidRPr="00E24C37">
        <w:fldChar w:fldCharType="separate"/>
      </w:r>
      <w:r w:rsidR="00B87844">
        <w:rPr>
          <w:noProof/>
        </w:rPr>
        <w:t>41</w:t>
      </w:r>
      <w:r w:rsidR="00A1333F" w:rsidRPr="00E24C37">
        <w:fldChar w:fldCharType="end"/>
      </w:r>
      <w:r w:rsidR="00A1333F" w:rsidRPr="00E24C37">
        <w:t xml:space="preserve"> above).</w:t>
      </w:r>
      <w:r w:rsidR="00431DB8" w:rsidRPr="00E24C37">
        <w:t xml:space="preserve"> The applicant</w:t>
      </w:r>
      <w:r w:rsidR="00E24C37" w:rsidRPr="00E24C37">
        <w:t>’</w:t>
      </w:r>
      <w:r w:rsidR="00431DB8" w:rsidRPr="00E24C37">
        <w:t>s second argument concerned the allegedly unforeseeable application of the provisions concerning customs inspection</w:t>
      </w:r>
      <w:r w:rsidR="00D63229" w:rsidRPr="00E24C37">
        <w:t>s</w:t>
      </w:r>
      <w:r w:rsidR="00431DB8" w:rsidRPr="00E24C37">
        <w:t xml:space="preserve"> of “goods and vehicles” and the customs procedure </w:t>
      </w:r>
      <w:r w:rsidR="00D63229" w:rsidRPr="00E24C37">
        <w:t xml:space="preserve">for the </w:t>
      </w:r>
      <w:r w:rsidR="00431DB8" w:rsidRPr="00E24C37">
        <w:t>“sampling of goods” to the examination and copying of electronic data from his laptop.</w:t>
      </w:r>
    </w:p>
    <w:p w:rsidR="002C3349"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79</w:t>
      </w:r>
      <w:r w:rsidRPr="00E24C37">
        <w:rPr>
          <w:noProof/>
        </w:rPr>
        <w:fldChar w:fldCharType="end"/>
      </w:r>
      <w:r w:rsidR="00431DB8" w:rsidRPr="00E24C37">
        <w:t>.  </w:t>
      </w:r>
      <w:r w:rsidR="002C3349" w:rsidRPr="00E24C37">
        <w:t xml:space="preserve">The domestic courts shed no light on the question of </w:t>
      </w:r>
      <w:r w:rsidR="00D63229" w:rsidRPr="00E24C37">
        <w:t xml:space="preserve">the </w:t>
      </w:r>
      <w:r w:rsidR="002C3349" w:rsidRPr="00E24C37">
        <w:t>applicability of Article 23 § 2 of the Russian Constitution</w:t>
      </w:r>
      <w:r w:rsidR="00D63229" w:rsidRPr="00E24C37">
        <w:t>,</w:t>
      </w:r>
      <w:r w:rsidR="002C3349" w:rsidRPr="00E24C37">
        <w:t xml:space="preserve"> </w:t>
      </w:r>
      <w:r w:rsidR="00D63229" w:rsidRPr="00E24C37">
        <w:t xml:space="preserve">which </w:t>
      </w:r>
      <w:r w:rsidR="002C3349" w:rsidRPr="00E24C37">
        <w:t>protects the right to the secrecy</w:t>
      </w:r>
      <w:r w:rsidR="00E21D72" w:rsidRPr="00E24C37">
        <w:t xml:space="preserve"> or </w:t>
      </w:r>
      <w:r w:rsidR="002C3349" w:rsidRPr="00E24C37">
        <w:t>privacy of “correspondence” or “other messages” and requires a court decision for imposing restriction</w:t>
      </w:r>
      <w:r w:rsidR="00D63229" w:rsidRPr="00E24C37">
        <w:t>s</w:t>
      </w:r>
      <w:r w:rsidR="002C3349" w:rsidRPr="00E24C37">
        <w:t xml:space="preserve"> on th</w:t>
      </w:r>
      <w:r w:rsidR="00D63229" w:rsidRPr="00E24C37">
        <w:t>at</w:t>
      </w:r>
      <w:r w:rsidR="002C3349" w:rsidRPr="00E24C37">
        <w:t xml:space="preserve"> right. Nor did the courts make any other specific findings relating to the applicant</w:t>
      </w:r>
      <w:r w:rsidR="00E24C37" w:rsidRPr="00E24C37">
        <w:t>’</w:t>
      </w:r>
      <w:r w:rsidR="002C3349" w:rsidRPr="00E24C37">
        <w:t xml:space="preserve">s rights as protected by Article 23 of the Constitution or Article 8 of the Convention. In the absence of </w:t>
      </w:r>
      <w:r w:rsidR="00D63229" w:rsidRPr="00E24C37">
        <w:t xml:space="preserve">any </w:t>
      </w:r>
      <w:r w:rsidR="002C3349" w:rsidRPr="00E24C37">
        <w:t>domestic findings, the Court is unable to reach any conclusion as regards formal compliance with Russian law on th</w:t>
      </w:r>
      <w:r w:rsidR="00D63229" w:rsidRPr="00E24C37">
        <w:t>at</w:t>
      </w:r>
      <w:r w:rsidR="002C3349" w:rsidRPr="00E24C37">
        <w:t xml:space="preserve"> account.</w:t>
      </w:r>
    </w:p>
    <w:bookmarkStart w:id="27" w:name="conclusion1"/>
    <w:p w:rsidR="00E838C6" w:rsidRPr="00E24C37" w:rsidRDefault="00081067" w:rsidP="00E24C37">
      <w:pPr>
        <w:pStyle w:val="ECHRPara"/>
      </w:pPr>
      <w:r w:rsidRPr="00E24C37">
        <w:fldChar w:fldCharType="begin"/>
      </w:r>
      <w:r w:rsidRPr="00E24C37">
        <w:instrText xml:space="preserve"> SEQ level0 \*arabic </w:instrText>
      </w:r>
      <w:r w:rsidRPr="00E24C37">
        <w:fldChar w:fldCharType="separate"/>
      </w:r>
      <w:r w:rsidR="00B87844">
        <w:rPr>
          <w:noProof/>
        </w:rPr>
        <w:t>80</w:t>
      </w:r>
      <w:r w:rsidRPr="00E24C37">
        <w:rPr>
          <w:noProof/>
        </w:rPr>
        <w:fldChar w:fldCharType="end"/>
      </w:r>
      <w:bookmarkEnd w:id="27"/>
      <w:r w:rsidR="00323D9C" w:rsidRPr="00E24C37">
        <w:t>.  </w:t>
      </w:r>
      <w:r w:rsidR="00C35F5B" w:rsidRPr="00E24C37">
        <w:t>At the same time,</w:t>
      </w:r>
      <w:r w:rsidR="00E838C6" w:rsidRPr="00E24C37">
        <w:t xml:space="preserve"> it is noted that</w:t>
      </w:r>
      <w:r w:rsidR="00C35F5B" w:rsidRPr="00E24C37">
        <w:t xml:space="preserve"> the domestic courts</w:t>
      </w:r>
      <w:r w:rsidR="00E838C6" w:rsidRPr="00E24C37">
        <w:t xml:space="preserve"> merely</w:t>
      </w:r>
      <w:r w:rsidR="00C35F5B" w:rsidRPr="00E24C37">
        <w:t xml:space="preserve"> </w:t>
      </w:r>
      <w:r w:rsidR="00E838C6" w:rsidRPr="00E24C37">
        <w:t>referred to</w:t>
      </w:r>
      <w:r w:rsidR="00C35F5B" w:rsidRPr="00E24C37">
        <w:t xml:space="preserve"> Article 11 of the Customs Code</w:t>
      </w:r>
      <w:r w:rsidR="00D63229" w:rsidRPr="00E24C37">
        <w:t>, which</w:t>
      </w:r>
      <w:r w:rsidR="00C35F5B" w:rsidRPr="00E24C37">
        <w:t xml:space="preserve"> </w:t>
      </w:r>
      <w:r w:rsidR="00E838C6" w:rsidRPr="00E24C37">
        <w:t>defin</w:t>
      </w:r>
      <w:r w:rsidR="00D63229" w:rsidRPr="00E24C37">
        <w:t>es</w:t>
      </w:r>
      <w:r w:rsidR="00C35F5B" w:rsidRPr="00E24C37">
        <w:t xml:space="preserve"> goods for the purpose of customs legislation as movable property</w:t>
      </w:r>
      <w:r w:rsidR="00E838C6" w:rsidRPr="00E24C37">
        <w:t xml:space="preserve"> that is being </w:t>
      </w:r>
      <w:r w:rsidR="00C35F5B" w:rsidRPr="00E24C37">
        <w:t xml:space="preserve">transferred </w:t>
      </w:r>
      <w:r w:rsidR="00D63229" w:rsidRPr="00E24C37">
        <w:t xml:space="preserve">across </w:t>
      </w:r>
      <w:r w:rsidR="00C35F5B" w:rsidRPr="00E24C37">
        <w:t>the customs border</w:t>
      </w:r>
      <w:r w:rsidR="00D63229" w:rsidRPr="00E24C37">
        <w:t xml:space="preserve">, to </w:t>
      </w:r>
      <w:r w:rsidR="00E838C6" w:rsidRPr="00E24C37">
        <w:t>then conclud</w:t>
      </w:r>
      <w:r w:rsidR="00D63229" w:rsidRPr="00E24C37">
        <w:t>e</w:t>
      </w:r>
      <w:r w:rsidR="00E838C6" w:rsidRPr="00E24C37">
        <w:t xml:space="preserve"> that such items as</w:t>
      </w:r>
      <w:r w:rsidR="00C35F5B" w:rsidRPr="00E24C37">
        <w:t xml:space="preserve"> laptops, </w:t>
      </w:r>
      <w:r w:rsidR="00D63229" w:rsidRPr="00E24C37">
        <w:t xml:space="preserve">flash </w:t>
      </w:r>
      <w:r w:rsidR="00C35F5B" w:rsidRPr="00E24C37">
        <w:t xml:space="preserve">memory cards, cameras, video-cameras, printed material and </w:t>
      </w:r>
      <w:r w:rsidR="00D63229" w:rsidRPr="00E24C37">
        <w:t xml:space="preserve">the </w:t>
      </w:r>
      <w:r w:rsidR="00C35F5B" w:rsidRPr="00E24C37">
        <w:t>like</w:t>
      </w:r>
      <w:r w:rsidR="00D259E3" w:rsidRPr="00E24C37">
        <w:t xml:space="preserve"> fell within the </w:t>
      </w:r>
      <w:r w:rsidR="003D7368" w:rsidRPr="00E24C37">
        <w:t>notion</w:t>
      </w:r>
      <w:r w:rsidR="00D259E3" w:rsidRPr="00E24C37">
        <w:t xml:space="preserve"> of “goods”</w:t>
      </w:r>
      <w:r w:rsidR="00C35F5B" w:rsidRPr="00E24C37">
        <w:t xml:space="preserve"> (see paragraphs </w:t>
      </w:r>
      <w:r w:rsidR="00C35F5B" w:rsidRPr="00E24C37">
        <w:fldChar w:fldCharType="begin"/>
      </w:r>
      <w:r w:rsidR="00C35F5B" w:rsidRPr="00E24C37">
        <w:instrText xml:space="preserve"> REF  trialjudgment \h </w:instrText>
      </w:r>
      <w:r w:rsidR="00D64D84" w:rsidRPr="00E24C37">
        <w:instrText xml:space="preserve"> \* MERGEFORMAT </w:instrText>
      </w:r>
      <w:r w:rsidR="00C35F5B" w:rsidRPr="00E24C37">
        <w:fldChar w:fldCharType="separate"/>
      </w:r>
      <w:r w:rsidR="00B87844">
        <w:rPr>
          <w:noProof/>
        </w:rPr>
        <w:t>21</w:t>
      </w:r>
      <w:r w:rsidR="00C35F5B" w:rsidRPr="00E24C37">
        <w:fldChar w:fldCharType="end"/>
      </w:r>
      <w:r w:rsidR="00C35F5B" w:rsidRPr="00E24C37">
        <w:t xml:space="preserve">, </w:t>
      </w:r>
      <w:r w:rsidR="00C35F5B" w:rsidRPr="00E24C37">
        <w:fldChar w:fldCharType="begin"/>
      </w:r>
      <w:r w:rsidR="00C35F5B" w:rsidRPr="00E24C37">
        <w:instrText xml:space="preserve"> REF  appealjudgment \h </w:instrText>
      </w:r>
      <w:r w:rsidR="00D64D84" w:rsidRPr="00E24C37">
        <w:instrText xml:space="preserve"> \* MERGEFORMAT </w:instrText>
      </w:r>
      <w:r w:rsidR="00C35F5B" w:rsidRPr="00E24C37">
        <w:fldChar w:fldCharType="separate"/>
      </w:r>
      <w:r w:rsidR="00B87844">
        <w:rPr>
          <w:noProof/>
        </w:rPr>
        <w:t>23</w:t>
      </w:r>
      <w:r w:rsidR="00C35F5B" w:rsidRPr="00E24C37">
        <w:fldChar w:fldCharType="end"/>
      </w:r>
      <w:r w:rsidR="00C35F5B" w:rsidRPr="00E24C37">
        <w:t xml:space="preserve"> and </w:t>
      </w:r>
      <w:r w:rsidR="00C35F5B" w:rsidRPr="00E24C37">
        <w:fldChar w:fldCharType="begin"/>
      </w:r>
      <w:r w:rsidR="00C35F5B" w:rsidRPr="00E24C37">
        <w:instrText xml:space="preserve"> REF  A11CustomsCode \h </w:instrText>
      </w:r>
      <w:r w:rsidR="00D64D84" w:rsidRPr="00E24C37">
        <w:instrText xml:space="preserve"> \* MERGEFORMAT </w:instrText>
      </w:r>
      <w:r w:rsidR="00C35F5B" w:rsidRPr="00E24C37">
        <w:fldChar w:fldCharType="separate"/>
      </w:r>
      <w:r w:rsidR="00B87844">
        <w:rPr>
          <w:noProof/>
        </w:rPr>
        <w:t>28</w:t>
      </w:r>
      <w:r w:rsidR="00C35F5B" w:rsidRPr="00E24C37">
        <w:fldChar w:fldCharType="end"/>
      </w:r>
      <w:r w:rsidR="00C35F5B" w:rsidRPr="00E24C37">
        <w:t xml:space="preserve"> above).</w:t>
      </w:r>
      <w:r w:rsidR="00D259E3" w:rsidRPr="00E24C37">
        <w:t xml:space="preserve"> </w:t>
      </w:r>
      <w:r w:rsidR="003D7368" w:rsidRPr="00E24C37">
        <w:t xml:space="preserve">This served as a basis for then </w:t>
      </w:r>
      <w:r w:rsidR="00220577" w:rsidRPr="00E24C37">
        <w:t>asserting</w:t>
      </w:r>
      <w:r w:rsidR="003D7368" w:rsidRPr="00E24C37">
        <w:t xml:space="preserve"> that such “goods” could be lawfully subjected to the sampling procedure</w:t>
      </w:r>
      <w:r w:rsidR="00D859D0" w:rsidRPr="00E24C37">
        <w:t xml:space="preserve">, </w:t>
      </w:r>
      <w:r w:rsidR="00220577" w:rsidRPr="00E24C37">
        <w:t xml:space="preserve">without any </w:t>
      </w:r>
      <w:r w:rsidR="008F535B" w:rsidRPr="00E24C37">
        <w:t xml:space="preserve">further </w:t>
      </w:r>
      <w:r w:rsidR="00220577" w:rsidRPr="00E24C37">
        <w:t xml:space="preserve">consideration </w:t>
      </w:r>
      <w:r w:rsidR="008F535B" w:rsidRPr="00E24C37">
        <w:t>of</w:t>
      </w:r>
      <w:r w:rsidR="00D859D0" w:rsidRPr="00E24C37">
        <w:t xml:space="preserve"> </w:t>
      </w:r>
      <w:r w:rsidR="00220577" w:rsidRPr="00E24C37">
        <w:t xml:space="preserve">the </w:t>
      </w:r>
      <w:r w:rsidR="00D859D0" w:rsidRPr="00E24C37">
        <w:t>context in which the</w:t>
      </w:r>
      <w:r w:rsidR="002D1F1C" w:rsidRPr="00E24C37">
        <w:t xml:space="preserve"> customs control </w:t>
      </w:r>
      <w:r w:rsidR="00CD1DCA" w:rsidRPr="00E24C37">
        <w:t xml:space="preserve">concerned </w:t>
      </w:r>
      <w:r w:rsidR="002D1F1C" w:rsidRPr="00E24C37">
        <w:t>the</w:t>
      </w:r>
      <w:r w:rsidR="00D859D0" w:rsidRPr="00E24C37">
        <w:t xml:space="preserve"> </w:t>
      </w:r>
      <w:r w:rsidR="002D1F1C" w:rsidRPr="00E24C37">
        <w:t xml:space="preserve">non-material digital </w:t>
      </w:r>
      <w:r w:rsidR="00D859D0" w:rsidRPr="00E24C37">
        <w:t>contents (electronic data</w:t>
      </w:r>
      <w:r w:rsidR="00220577" w:rsidRPr="00E24C37">
        <w:t xml:space="preserve"> </w:t>
      </w:r>
      <w:r w:rsidR="002D1F1C" w:rsidRPr="00E24C37">
        <w:t>amounting to information</w:t>
      </w:r>
      <w:r w:rsidR="00220577" w:rsidRPr="00E24C37">
        <w:t xml:space="preserve"> or images, for instance</w:t>
      </w:r>
      <w:r w:rsidR="00D859D0" w:rsidRPr="00E24C37">
        <w:t xml:space="preserve">) </w:t>
      </w:r>
      <w:r w:rsidR="002D1F1C" w:rsidRPr="00E24C37">
        <w:t>accessed by way of</w:t>
      </w:r>
      <w:r w:rsidR="00D859D0" w:rsidRPr="00E24C37">
        <w:t xml:space="preserve"> “opening” a “container” (the laptop)</w:t>
      </w:r>
      <w:r w:rsidR="00220577" w:rsidRPr="00E24C37">
        <w:t xml:space="preserve"> (see paragraphs </w:t>
      </w:r>
      <w:r w:rsidR="00220577" w:rsidRPr="00E24C37">
        <w:fldChar w:fldCharType="begin"/>
      </w:r>
      <w:r w:rsidR="00220577" w:rsidRPr="00E24C37">
        <w:instrText xml:space="preserve"> REF  CuCodeinspectionprocedure \h </w:instrText>
      </w:r>
      <w:r w:rsidR="00220577" w:rsidRPr="00E24C37">
        <w:fldChar w:fldCharType="separate"/>
      </w:r>
      <w:r w:rsidR="00B87844">
        <w:rPr>
          <w:noProof/>
        </w:rPr>
        <w:t>31</w:t>
      </w:r>
      <w:r w:rsidR="00220577" w:rsidRPr="00E24C37">
        <w:fldChar w:fldCharType="end"/>
      </w:r>
      <w:r w:rsidR="00220577" w:rsidRPr="00E24C37">
        <w:t xml:space="preserve"> and </w:t>
      </w:r>
      <w:r w:rsidR="00220577" w:rsidRPr="00E24C37">
        <w:fldChar w:fldCharType="begin"/>
      </w:r>
      <w:r w:rsidR="00220577" w:rsidRPr="00E24C37">
        <w:instrText xml:space="preserve"> REF  ggg \h </w:instrText>
      </w:r>
      <w:r w:rsidR="00220577" w:rsidRPr="00E24C37">
        <w:fldChar w:fldCharType="separate"/>
      </w:r>
      <w:r w:rsidR="00B87844">
        <w:rPr>
          <w:noProof/>
        </w:rPr>
        <w:t>33</w:t>
      </w:r>
      <w:r w:rsidR="00220577" w:rsidRPr="00E24C37">
        <w:fldChar w:fldCharType="end"/>
      </w:r>
      <w:r w:rsidR="00220577" w:rsidRPr="00E24C37">
        <w:t xml:space="preserve"> above)</w:t>
      </w:r>
      <w:r w:rsidR="00D859D0" w:rsidRPr="00E24C37">
        <w:t>.</w:t>
      </w:r>
      <w:r w:rsidR="00E838C6" w:rsidRPr="00E24C37">
        <w:t xml:space="preserve"> Before the Court the Government</w:t>
      </w:r>
      <w:r w:rsidR="006302B5" w:rsidRPr="00E24C37">
        <w:t xml:space="preserve"> </w:t>
      </w:r>
      <w:r w:rsidR="00E838C6" w:rsidRPr="00E24C37">
        <w:t>attempted to supplement th</w:t>
      </w:r>
      <w:r w:rsidR="00D63229" w:rsidRPr="00E24C37">
        <w:t>at</w:t>
      </w:r>
      <w:r w:rsidR="00E838C6" w:rsidRPr="00E24C37">
        <w:t xml:space="preserve"> consideration by references to further provisions of Russian law</w:t>
      </w:r>
      <w:r w:rsidR="00D63229" w:rsidRPr="00E24C37">
        <w:t>,</w:t>
      </w:r>
      <w:r w:rsidR="00E838C6" w:rsidRPr="00E24C37">
        <w:t xml:space="preserve"> such as the Civil Code. However, those provisions were not part of the domestic assessment and</w:t>
      </w:r>
      <w:r w:rsidR="00323D9C" w:rsidRPr="00E24C37">
        <w:t xml:space="preserve">, </w:t>
      </w:r>
      <w:r w:rsidR="006302B5" w:rsidRPr="00E24C37">
        <w:t xml:space="preserve">in </w:t>
      </w:r>
      <w:r w:rsidR="00323D9C" w:rsidRPr="00E24C37">
        <w:t xml:space="preserve">any event, do not seem to </w:t>
      </w:r>
      <w:r w:rsidR="00D63229" w:rsidRPr="00E24C37">
        <w:t>provide</w:t>
      </w:r>
      <w:r w:rsidR="00323D9C" w:rsidRPr="00E24C37">
        <w:t xml:space="preserve"> a sufficiently sound legal basis for copying electronic data in the customs context</w:t>
      </w:r>
      <w:r w:rsidR="006C2DE5" w:rsidRPr="00E24C37">
        <w:t>.</w:t>
      </w:r>
      <w:r w:rsidR="00323D9C" w:rsidRPr="00E24C37">
        <w:t xml:space="preserve"> </w:t>
      </w:r>
      <w:r w:rsidR="006C2DE5" w:rsidRPr="00E24C37">
        <w:t xml:space="preserve">Having regard to the reasoning of the domestic decisions, </w:t>
      </w:r>
      <w:r w:rsidR="00E838C6" w:rsidRPr="00E24C37">
        <w:t xml:space="preserve">the Court is not satisfied that the combined reading of the relevant provisions of the Customs Code (a “federal statute” within the meaning of Article 55 </w:t>
      </w:r>
      <w:r w:rsidR="006C2DE5" w:rsidRPr="00E24C37">
        <w:t xml:space="preserve">of </w:t>
      </w:r>
      <w:r w:rsidR="00E838C6" w:rsidRPr="00E24C37">
        <w:t xml:space="preserve">the Constitution, cited in paragraph </w:t>
      </w:r>
      <w:r w:rsidR="00E838C6" w:rsidRPr="00E24C37">
        <w:fldChar w:fldCharType="begin"/>
      </w:r>
      <w:r w:rsidR="00E838C6" w:rsidRPr="00E24C37">
        <w:instrText xml:space="preserve"> REF  A55Constitution \h </w:instrText>
      </w:r>
      <w:r w:rsidR="00D64D84" w:rsidRPr="00E24C37">
        <w:instrText xml:space="preserve"> \* MERGEFORMAT </w:instrText>
      </w:r>
      <w:r w:rsidR="00E838C6" w:rsidRPr="00E24C37">
        <w:fldChar w:fldCharType="separate"/>
      </w:r>
      <w:r w:rsidR="00B87844">
        <w:rPr>
          <w:noProof/>
        </w:rPr>
        <w:t>27</w:t>
      </w:r>
      <w:r w:rsidR="00E838C6" w:rsidRPr="00E24C37">
        <w:fldChar w:fldCharType="end"/>
      </w:r>
      <w:r w:rsidR="00E838C6" w:rsidRPr="00E24C37">
        <w:t xml:space="preserve"> above) and other legal rules constituted a foreseeable interpretation of national law and </w:t>
      </w:r>
      <w:r w:rsidR="00693E64" w:rsidRPr="00E24C37">
        <w:t>provided</w:t>
      </w:r>
      <w:r w:rsidR="00E838C6" w:rsidRPr="00E24C37">
        <w:t xml:space="preserve"> a legal basis for the</w:t>
      </w:r>
      <w:r w:rsidR="00EF0776" w:rsidRPr="00E24C37">
        <w:t xml:space="preserve"> copying of electronic data contained in electronic documents located in such </w:t>
      </w:r>
      <w:r w:rsidR="00A12170" w:rsidRPr="00E24C37">
        <w:t xml:space="preserve">a </w:t>
      </w:r>
      <w:r w:rsidR="00EF0776" w:rsidRPr="00E24C37">
        <w:t>“container” as a laptop</w:t>
      </w:r>
      <w:r w:rsidR="00E838C6" w:rsidRPr="00E24C37">
        <w:t>.</w:t>
      </w:r>
    </w:p>
    <w:p w:rsidR="008228B9" w:rsidRPr="00E24C37" w:rsidRDefault="00AA2325" w:rsidP="00E24C37">
      <w:pPr>
        <w:pStyle w:val="ECHRHeading6"/>
      </w:pPr>
      <w:r w:rsidRPr="00E24C37">
        <w:lastRenderedPageBreak/>
        <w:t>(β)  </w:t>
      </w:r>
      <w:r w:rsidR="008228B9" w:rsidRPr="00E24C37">
        <w:t>Protection against arbitrariness and adequate safeguards</w:t>
      </w:r>
    </w:p>
    <w:p w:rsidR="008228B9"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81</w:t>
      </w:r>
      <w:r w:rsidRPr="00E24C37">
        <w:rPr>
          <w:noProof/>
        </w:rPr>
        <w:fldChar w:fldCharType="end"/>
      </w:r>
      <w:r w:rsidR="006C2DE5" w:rsidRPr="00E24C37">
        <w:t>.  </w:t>
      </w:r>
      <w:r w:rsidR="003E1E88" w:rsidRPr="00E24C37">
        <w:t>T</w:t>
      </w:r>
      <w:r w:rsidR="00774F64" w:rsidRPr="00E24C37">
        <w:t xml:space="preserve">he Court </w:t>
      </w:r>
      <w:r w:rsidR="00DA05D3" w:rsidRPr="00E24C37">
        <w:t>notes</w:t>
      </w:r>
      <w:r w:rsidR="003E1E88" w:rsidRPr="00E24C37">
        <w:t>, however,</w:t>
      </w:r>
      <w:r w:rsidR="00DA05D3" w:rsidRPr="00E24C37">
        <w:t xml:space="preserve"> </w:t>
      </w:r>
      <w:r w:rsidR="00774F64" w:rsidRPr="00E24C37">
        <w:t>that the main thrust of the applicant</w:t>
      </w:r>
      <w:r w:rsidR="00E24C37" w:rsidRPr="00E24C37">
        <w:t>’</w:t>
      </w:r>
      <w:r w:rsidR="00774F64" w:rsidRPr="00E24C37">
        <w:t xml:space="preserve">s grievance </w:t>
      </w:r>
      <w:r w:rsidR="003B56B7" w:rsidRPr="00E24C37">
        <w:t xml:space="preserve">before the Court </w:t>
      </w:r>
      <w:r w:rsidR="00774F64" w:rsidRPr="00E24C37">
        <w:t xml:space="preserve">essentially relates </w:t>
      </w:r>
      <w:r w:rsidR="00A12170" w:rsidRPr="00E24C37">
        <w:t xml:space="preserve">to </w:t>
      </w:r>
      <w:r w:rsidR="003B56B7" w:rsidRPr="00E24C37">
        <w:t xml:space="preserve">insufficient </w:t>
      </w:r>
      <w:r w:rsidR="003B56B7" w:rsidRPr="00E24C37">
        <w:rPr>
          <w:lang w:val="en"/>
        </w:rPr>
        <w:t>legal protection against an arbitrary interference</w:t>
      </w:r>
      <w:r w:rsidR="00323D9C" w:rsidRPr="00E24C37">
        <w:rPr>
          <w:lang w:val="en"/>
        </w:rPr>
        <w:t xml:space="preserve"> as regards </w:t>
      </w:r>
      <w:r w:rsidR="00EF0776" w:rsidRPr="00E24C37">
        <w:rPr>
          <w:lang w:val="en"/>
        </w:rPr>
        <w:t xml:space="preserve">both </w:t>
      </w:r>
      <w:r w:rsidR="00323D9C" w:rsidRPr="00E24C37">
        <w:rPr>
          <w:lang w:val="en"/>
        </w:rPr>
        <w:t>the authorisation and carrying out of the intrusive</w:t>
      </w:r>
      <w:r w:rsidR="004E4E13" w:rsidRPr="00E24C37">
        <w:rPr>
          <w:lang w:val="en"/>
        </w:rPr>
        <w:t xml:space="preserve"> </w:t>
      </w:r>
      <w:r w:rsidR="00323D9C" w:rsidRPr="00E24C37">
        <w:rPr>
          <w:lang w:val="en"/>
        </w:rPr>
        <w:t>measures</w:t>
      </w:r>
      <w:r w:rsidR="003B56B7" w:rsidRPr="00E24C37">
        <w:rPr>
          <w:lang w:val="en"/>
        </w:rPr>
        <w:t xml:space="preserve"> (for a summary of </w:t>
      </w:r>
      <w:r w:rsidR="00A12170" w:rsidRPr="00E24C37">
        <w:rPr>
          <w:lang w:val="en"/>
        </w:rPr>
        <w:t xml:space="preserve">the </w:t>
      </w:r>
      <w:r w:rsidR="003B56B7" w:rsidRPr="00E24C37">
        <w:rPr>
          <w:lang w:val="en"/>
        </w:rPr>
        <w:t xml:space="preserve">relevant principles, see paragraphs </w:t>
      </w:r>
      <w:r w:rsidR="00F75C72" w:rsidRPr="00E24C37">
        <w:rPr>
          <w:lang w:val="en"/>
        </w:rPr>
        <w:fldChar w:fldCharType="begin"/>
      </w:r>
      <w:r w:rsidR="00F75C72" w:rsidRPr="00E24C37">
        <w:rPr>
          <w:lang w:val="en"/>
        </w:rPr>
        <w:instrText xml:space="preserve"> REF  a \h </w:instrText>
      </w:r>
      <w:r w:rsidR="00EF1CCC" w:rsidRPr="00E24C37">
        <w:rPr>
          <w:lang w:val="en"/>
        </w:rPr>
        <w:instrText xml:space="preserve"> \* MERGEFORMAT </w:instrText>
      </w:r>
      <w:r w:rsidR="00F75C72" w:rsidRPr="00E24C37">
        <w:rPr>
          <w:lang w:val="en"/>
        </w:rPr>
      </w:r>
      <w:r w:rsidR="00F75C72" w:rsidRPr="00E24C37">
        <w:rPr>
          <w:lang w:val="en"/>
        </w:rPr>
        <w:fldChar w:fldCharType="separate"/>
      </w:r>
      <w:r w:rsidR="00B87844">
        <w:rPr>
          <w:noProof/>
          <w:lang w:val="en"/>
        </w:rPr>
        <w:t>73</w:t>
      </w:r>
      <w:r w:rsidR="00F75C72" w:rsidRPr="00E24C37">
        <w:rPr>
          <w:lang w:val="en"/>
        </w:rPr>
        <w:fldChar w:fldCharType="end"/>
      </w:r>
      <w:r w:rsidR="00F75C72" w:rsidRPr="00E24C37">
        <w:rPr>
          <w:lang w:val="en"/>
        </w:rPr>
        <w:t>-</w:t>
      </w:r>
      <w:r w:rsidR="004F7EC4" w:rsidRPr="00E24C37">
        <w:rPr>
          <w:lang w:val="en"/>
        </w:rPr>
        <w:fldChar w:fldCharType="begin"/>
      </w:r>
      <w:r w:rsidR="004F7EC4" w:rsidRPr="00E24C37">
        <w:rPr>
          <w:lang w:val="en"/>
        </w:rPr>
        <w:instrText xml:space="preserve"> REF  zzz \h </w:instrText>
      </w:r>
      <w:r w:rsidR="004F7EC4" w:rsidRPr="00E24C37">
        <w:rPr>
          <w:lang w:val="en"/>
        </w:rPr>
      </w:r>
      <w:r w:rsidR="004F7EC4" w:rsidRPr="00E24C37">
        <w:rPr>
          <w:lang w:val="en"/>
        </w:rPr>
        <w:fldChar w:fldCharType="separate"/>
      </w:r>
      <w:r w:rsidR="00B87844">
        <w:rPr>
          <w:noProof/>
          <w:lang w:val="en"/>
        </w:rPr>
        <w:t>74</w:t>
      </w:r>
      <w:r w:rsidR="004F7EC4" w:rsidRPr="00E24C37">
        <w:rPr>
          <w:lang w:val="en"/>
        </w:rPr>
        <w:fldChar w:fldCharType="end"/>
      </w:r>
      <w:r w:rsidR="003B56B7" w:rsidRPr="00E24C37">
        <w:rPr>
          <w:lang w:val="en"/>
        </w:rPr>
        <w:t xml:space="preserve"> above). </w:t>
      </w:r>
      <w:r w:rsidR="006C2DE5" w:rsidRPr="00E24C37">
        <w:t>In the Court</w:t>
      </w:r>
      <w:r w:rsidR="00E24C37" w:rsidRPr="00E24C37">
        <w:t>’</w:t>
      </w:r>
      <w:r w:rsidR="006C2DE5" w:rsidRPr="00E24C37">
        <w:t>s view</w:t>
      </w:r>
      <w:r w:rsidR="00693E64" w:rsidRPr="00E24C37">
        <w:t xml:space="preserve"> and </w:t>
      </w:r>
      <w:r w:rsidR="006C2DE5" w:rsidRPr="00E24C37">
        <w:t xml:space="preserve">for the reasons presented below, the safeguards provided by </w:t>
      </w:r>
      <w:r w:rsidR="006302B5" w:rsidRPr="00E24C37">
        <w:t>Russian</w:t>
      </w:r>
      <w:r w:rsidR="006C2DE5" w:rsidRPr="00E24C37">
        <w:t xml:space="preserve"> law have not been demonstrated </w:t>
      </w:r>
      <w:r w:rsidR="00A12170" w:rsidRPr="00E24C37">
        <w:t>as</w:t>
      </w:r>
      <w:r w:rsidR="006C2DE5" w:rsidRPr="00E24C37">
        <w:t xml:space="preserve"> constitut</w:t>
      </w:r>
      <w:r w:rsidR="00A12170" w:rsidRPr="00E24C37">
        <w:t xml:space="preserve">ing </w:t>
      </w:r>
      <w:r w:rsidR="006C2DE5" w:rsidRPr="00E24C37">
        <w:t>a</w:t>
      </w:r>
      <w:r w:rsidR="008460C7" w:rsidRPr="00E24C37">
        <w:t>n adequate framework for</w:t>
      </w:r>
      <w:r w:rsidR="006C2DE5" w:rsidRPr="00E24C37">
        <w:t xml:space="preserve"> the wide powers afforded to the executive </w:t>
      </w:r>
      <w:r w:rsidR="008460C7" w:rsidRPr="00E24C37">
        <w:t>which could</w:t>
      </w:r>
      <w:r w:rsidR="006C2DE5" w:rsidRPr="00E24C37">
        <w:t xml:space="preserve"> offer individual</w:t>
      </w:r>
      <w:r w:rsidR="00A12170" w:rsidRPr="00E24C37">
        <w:t>s</w:t>
      </w:r>
      <w:r w:rsidR="006C2DE5" w:rsidRPr="00E24C37">
        <w:t xml:space="preserve"> adequate</w:t>
      </w:r>
      <w:bookmarkStart w:id="28" w:name="HIT5"/>
      <w:bookmarkEnd w:id="28"/>
      <w:r w:rsidR="006C2DE5" w:rsidRPr="00E24C37">
        <w:t xml:space="preserve"> protection</w:t>
      </w:r>
      <w:bookmarkStart w:id="29" w:name="HIT6"/>
      <w:bookmarkEnd w:id="29"/>
      <w:r w:rsidR="006C2DE5" w:rsidRPr="00E24C37">
        <w:t xml:space="preserve"> against</w:t>
      </w:r>
      <w:bookmarkStart w:id="30" w:name="HIT7"/>
      <w:bookmarkEnd w:id="30"/>
      <w:r w:rsidR="006C2DE5" w:rsidRPr="00E24C37">
        <w:t xml:space="preserve"> arbitrary</w:t>
      </w:r>
      <w:bookmarkStart w:id="31" w:name="HIT8"/>
      <w:bookmarkEnd w:id="31"/>
      <w:r w:rsidR="006C2DE5" w:rsidRPr="00E24C37">
        <w:t xml:space="preserve"> interference.</w:t>
      </w:r>
    </w:p>
    <w:p w:rsidR="00AA2325" w:rsidRPr="00E24C37" w:rsidRDefault="00AA2325" w:rsidP="00E24C37">
      <w:pPr>
        <w:pStyle w:val="ECHRHeading7"/>
      </w:pPr>
      <w:r w:rsidRPr="00E24C37">
        <w:t>-  Administrative procedure</w:t>
      </w:r>
    </w:p>
    <w:p w:rsidR="00197E46"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82</w:t>
      </w:r>
      <w:r w:rsidRPr="00E24C37">
        <w:rPr>
          <w:noProof/>
        </w:rPr>
        <w:fldChar w:fldCharType="end"/>
      </w:r>
      <w:r w:rsidR="00CC0566" w:rsidRPr="00E24C37">
        <w:t>.  </w:t>
      </w:r>
      <w:r w:rsidR="006C2DE5" w:rsidRPr="00E24C37">
        <w:t>The Court accepts the Government</w:t>
      </w:r>
      <w:r w:rsidR="00E24C37" w:rsidRPr="00E24C37">
        <w:t>’</w:t>
      </w:r>
      <w:r w:rsidR="006C2DE5" w:rsidRPr="00E24C37">
        <w:t xml:space="preserve">s submission that the powers to carry out the inspection and sampling procedures </w:t>
      </w:r>
      <w:r w:rsidR="00323D9C" w:rsidRPr="00E24C37">
        <w:t>were, indeed,</w:t>
      </w:r>
      <w:r w:rsidR="006C2DE5" w:rsidRPr="00E24C37">
        <w:t xml:space="preserve"> confined to the specific context of customs control</w:t>
      </w:r>
      <w:r w:rsidR="00A12170" w:rsidRPr="00E24C37">
        <w:t>s</w:t>
      </w:r>
      <w:r w:rsidR="006C2DE5" w:rsidRPr="00E24C37">
        <w:t xml:space="preserve"> and </w:t>
      </w:r>
      <w:r w:rsidR="00CC0566" w:rsidRPr="00E24C37">
        <w:t>were</w:t>
      </w:r>
      <w:r w:rsidR="006C2DE5" w:rsidRPr="00E24C37">
        <w:t xml:space="preserve"> limited to people crossing the border of the Russian Federation.</w:t>
      </w:r>
      <w:r w:rsidR="00CC0566" w:rsidRPr="00E24C37">
        <w:t xml:space="preserve"> </w:t>
      </w:r>
      <w:r w:rsidR="00323D9C" w:rsidRPr="00E24C37">
        <w:t>The Court has also taken note of the Government</w:t>
      </w:r>
      <w:r w:rsidR="00E24C37" w:rsidRPr="00E24C37">
        <w:t>’</w:t>
      </w:r>
      <w:r w:rsidR="00323D9C" w:rsidRPr="00E24C37">
        <w:t>s submission that it was the chief officer of the customs unit who was empowered to authorise an examining officer to carry out an inspection and sampling.</w:t>
      </w:r>
      <w:r w:rsidR="00157116" w:rsidRPr="00E24C37">
        <w:t xml:space="preserve"> </w:t>
      </w:r>
      <w:r w:rsidR="006302B5" w:rsidRPr="00E24C37">
        <w:t>However, t</w:t>
      </w:r>
      <w:r w:rsidR="00323D9C" w:rsidRPr="00E24C37">
        <w:t>he Court is not satisfied that there was a clear requirement at the authorisation stage that the inspection and</w:t>
      </w:r>
      <w:r w:rsidR="00AE58DE" w:rsidRPr="00E24C37">
        <w:t xml:space="preserve">, </w:t>
      </w:r>
      <w:r w:rsidR="00A12170" w:rsidRPr="00E24C37">
        <w:t xml:space="preserve">first and </w:t>
      </w:r>
      <w:r w:rsidR="00AE58DE" w:rsidRPr="00E24C37">
        <w:t>foremost, the</w:t>
      </w:r>
      <w:r w:rsidR="00323D9C" w:rsidRPr="00E24C37">
        <w:t xml:space="preserve"> copying be subjected to a requirement of any assessment of the proportionality of the measure (compare </w:t>
      </w:r>
      <w:r w:rsidR="00323D9C" w:rsidRPr="00E24C37">
        <w:rPr>
          <w:i/>
        </w:rPr>
        <w:t>Gillan and Quinton</w:t>
      </w:r>
      <w:r w:rsidR="00323D9C" w:rsidRPr="00E24C37">
        <w:t>, cited above, §</w:t>
      </w:r>
      <w:r w:rsidR="006302B5" w:rsidRPr="00E24C37">
        <w:t> </w:t>
      </w:r>
      <w:r w:rsidR="00323D9C" w:rsidRPr="00E24C37">
        <w:t xml:space="preserve">80, </w:t>
      </w:r>
      <w:r w:rsidR="00A12170" w:rsidRPr="00E24C37">
        <w:t>where</w:t>
      </w:r>
      <w:r w:rsidR="00323D9C" w:rsidRPr="00E24C37">
        <w:t xml:space="preserve"> stop-and-search powers were </w:t>
      </w:r>
      <w:r w:rsidR="00157116" w:rsidRPr="00E24C37">
        <w:t>additionally</w:t>
      </w:r>
      <w:r w:rsidR="00323D9C" w:rsidRPr="00E24C37">
        <w:t xml:space="preserve"> subject to prompt confirmation by the Secretary of State and judicial review).</w:t>
      </w:r>
    </w:p>
    <w:p w:rsidR="006C2DE5" w:rsidRPr="00E24C37" w:rsidRDefault="004F7EC4" w:rsidP="00E24C37">
      <w:pPr>
        <w:pStyle w:val="ECHRPara"/>
      </w:pPr>
      <w:r w:rsidRPr="00E24C37">
        <w:fldChar w:fldCharType="begin"/>
      </w:r>
      <w:r w:rsidRPr="00E24C37">
        <w:instrText xml:space="preserve"> SEQ level0 \*arabic </w:instrText>
      </w:r>
      <w:r w:rsidRPr="00E24C37">
        <w:fldChar w:fldCharType="separate"/>
      </w:r>
      <w:r w:rsidR="00B87844">
        <w:rPr>
          <w:noProof/>
        </w:rPr>
        <w:t>83</w:t>
      </w:r>
      <w:r w:rsidRPr="00E24C37">
        <w:fldChar w:fldCharType="end"/>
      </w:r>
      <w:r w:rsidRPr="00E24C37">
        <w:t>.  </w:t>
      </w:r>
      <w:r w:rsidR="006C2DE5" w:rsidRPr="00E24C37">
        <w:t>Referring to the risk-profiling approach adopted by Russian customs and the related</w:t>
      </w:r>
      <w:r w:rsidR="00CC0566" w:rsidRPr="00E24C37">
        <w:t xml:space="preserve"> 2008</w:t>
      </w:r>
      <w:r w:rsidR="006C2DE5" w:rsidRPr="00E24C37">
        <w:t xml:space="preserve"> Instruction (see paragraph</w:t>
      </w:r>
      <w:r w:rsidR="00CC0566" w:rsidRPr="00E24C37">
        <w:t xml:space="preserve">s </w:t>
      </w:r>
      <w:r w:rsidR="00CC0566" w:rsidRPr="00E24C37">
        <w:fldChar w:fldCharType="begin"/>
      </w:r>
      <w:r w:rsidR="00CC0566" w:rsidRPr="00E24C37">
        <w:instrText xml:space="preserve"> REF  CuCodeonprofiling \h </w:instrText>
      </w:r>
      <w:r w:rsidR="00CC0566" w:rsidRPr="00E24C37">
        <w:fldChar w:fldCharType="separate"/>
      </w:r>
      <w:r w:rsidR="00B87844">
        <w:rPr>
          <w:noProof/>
        </w:rPr>
        <w:t>30</w:t>
      </w:r>
      <w:r w:rsidR="00CC0566" w:rsidRPr="00E24C37">
        <w:fldChar w:fldCharType="end"/>
      </w:r>
      <w:r w:rsidR="00CC0566" w:rsidRPr="00E24C37">
        <w:t xml:space="preserve"> and</w:t>
      </w:r>
      <w:r w:rsidR="006C2DE5" w:rsidRPr="00E24C37">
        <w:t xml:space="preserve"> </w:t>
      </w:r>
      <w:r w:rsidR="006C2DE5" w:rsidRPr="00E24C37">
        <w:fldChar w:fldCharType="begin"/>
      </w:r>
      <w:r w:rsidR="006C2DE5" w:rsidRPr="00E24C37">
        <w:instrText xml:space="preserve"> REF  instruction2008 \h </w:instrText>
      </w:r>
      <w:r w:rsidR="006C2DE5" w:rsidRPr="00E24C37">
        <w:fldChar w:fldCharType="separate"/>
      </w:r>
      <w:r w:rsidR="00B87844">
        <w:rPr>
          <w:noProof/>
        </w:rPr>
        <w:t>37</w:t>
      </w:r>
      <w:r w:rsidR="006C2DE5" w:rsidRPr="00E24C37">
        <w:fldChar w:fldCharType="end"/>
      </w:r>
      <w:r w:rsidR="006C2DE5" w:rsidRPr="00E24C37">
        <w:t xml:space="preserve"> above), the Government may be understood </w:t>
      </w:r>
      <w:r w:rsidR="00A12170" w:rsidRPr="00E24C37">
        <w:t xml:space="preserve">to be </w:t>
      </w:r>
      <w:r w:rsidR="006C2DE5" w:rsidRPr="00E24C37">
        <w:t>suggesting that th</w:t>
      </w:r>
      <w:r w:rsidR="00A12170" w:rsidRPr="00E24C37">
        <w:t>at</w:t>
      </w:r>
      <w:r w:rsidR="006C2DE5" w:rsidRPr="00E24C37">
        <w:t xml:space="preserve"> approach</w:t>
      </w:r>
      <w:r w:rsidR="00CC0566" w:rsidRPr="00E24C37">
        <w:t xml:space="preserve"> furnished</w:t>
      </w:r>
      <w:r w:rsidR="006C2DE5" w:rsidRPr="00E24C37">
        <w:t xml:space="preserve"> safeguards against arbitrary “interference” on the part of the customs officers. </w:t>
      </w:r>
      <w:r w:rsidR="008D6714" w:rsidRPr="00E24C37">
        <w:t xml:space="preserve">For its part, the Court </w:t>
      </w:r>
      <w:r w:rsidR="00DA05D3" w:rsidRPr="00E24C37">
        <w:t xml:space="preserve">refers in this connection </w:t>
      </w:r>
      <w:r w:rsidR="00160B22" w:rsidRPr="00E24C37">
        <w:t>to</w:t>
      </w:r>
      <w:r w:rsidR="00DA05D3" w:rsidRPr="00E24C37">
        <w:t xml:space="preserve"> </w:t>
      </w:r>
      <w:r w:rsidR="008D6714" w:rsidRPr="00E24C37">
        <w:t>the appeal court</w:t>
      </w:r>
      <w:r w:rsidR="00E24C37" w:rsidRPr="00E24C37">
        <w:t>’</w:t>
      </w:r>
      <w:r w:rsidR="008D6714" w:rsidRPr="00E24C37">
        <w:t xml:space="preserve">s finding in the </w:t>
      </w:r>
      <w:r w:rsidR="00DA05D3" w:rsidRPr="00E24C37">
        <w:t>applicant</w:t>
      </w:r>
      <w:r w:rsidR="00E24C37" w:rsidRPr="00E24C37">
        <w:t>’</w:t>
      </w:r>
      <w:r w:rsidR="00DA05D3" w:rsidRPr="00E24C37">
        <w:t xml:space="preserve">s </w:t>
      </w:r>
      <w:r w:rsidR="008D6714" w:rsidRPr="00E24C37">
        <w:t xml:space="preserve">case that the customs control </w:t>
      </w:r>
      <w:r w:rsidR="009B4133" w:rsidRPr="00E24C37">
        <w:t>had to be</w:t>
      </w:r>
      <w:r w:rsidR="008D6714" w:rsidRPr="00E24C37">
        <w:t xml:space="preserve"> based on the principle of selectiveness and, as a rule, </w:t>
      </w:r>
      <w:r w:rsidR="009B4133" w:rsidRPr="00E24C37">
        <w:t xml:space="preserve">had </w:t>
      </w:r>
      <w:r w:rsidR="008D6714" w:rsidRPr="00E24C37">
        <w:t xml:space="preserve">to be limited to such forms of control </w:t>
      </w:r>
      <w:r w:rsidR="00693E64" w:rsidRPr="00E24C37">
        <w:t>as</w:t>
      </w:r>
      <w:r w:rsidR="008D6714" w:rsidRPr="00E24C37">
        <w:t xml:space="preserve"> were sufficient for ensuring compliance with customs legislation. It was also stated that when carrying out </w:t>
      </w:r>
      <w:r w:rsidR="00A12170" w:rsidRPr="00E24C37">
        <w:t>a</w:t>
      </w:r>
      <w:r w:rsidR="008D6714" w:rsidRPr="00E24C37">
        <w:t xml:space="preserve"> customs c</w:t>
      </w:r>
      <w:r w:rsidR="00693E64" w:rsidRPr="00E24C37">
        <w:t>heck</w:t>
      </w:r>
      <w:r w:rsidR="008D6714" w:rsidRPr="00E24C37">
        <w:t xml:space="preserve">, the customs authority was allowed to take samples of goods which were </w:t>
      </w:r>
      <w:r w:rsidR="00CC0566" w:rsidRPr="00E24C37">
        <w:t>needed</w:t>
      </w:r>
      <w:r w:rsidR="008D6714" w:rsidRPr="00E24C37">
        <w:t xml:space="preserve"> for further assessment.</w:t>
      </w:r>
      <w:r w:rsidRPr="00E24C37">
        <w:t xml:space="preserve"> </w:t>
      </w:r>
      <w:r w:rsidR="006C2DE5" w:rsidRPr="00E24C37">
        <w:t>However, both the domestic court decisions and the Government</w:t>
      </w:r>
      <w:r w:rsidR="00E24C37" w:rsidRPr="00E24C37">
        <w:t>’</w:t>
      </w:r>
      <w:r w:rsidR="006C2DE5" w:rsidRPr="00E24C37">
        <w:t>s submissions before the Court are limited to general assertion</w:t>
      </w:r>
      <w:r w:rsidR="006302B5" w:rsidRPr="00E24C37">
        <w:t>s</w:t>
      </w:r>
      <w:r w:rsidR="006C2DE5" w:rsidRPr="00E24C37">
        <w:t xml:space="preserve"> about the risk-profiling approach and do not specify how it was applied </w:t>
      </w:r>
      <w:r w:rsidR="00A12170" w:rsidRPr="00E24C37">
        <w:t xml:space="preserve">to </w:t>
      </w:r>
      <w:r w:rsidR="006C2DE5" w:rsidRPr="00E24C37">
        <w:t xml:space="preserve">the applicant. In fact, when carrying out </w:t>
      </w:r>
      <w:r w:rsidR="00A12170" w:rsidRPr="00E24C37">
        <w:t xml:space="preserve">their </w:t>
      </w:r>
      <w:r w:rsidR="006C2DE5" w:rsidRPr="00E24C37">
        <w:t>review of the customs officers</w:t>
      </w:r>
      <w:r w:rsidR="00E24C37" w:rsidRPr="00E24C37">
        <w:t>’</w:t>
      </w:r>
      <w:r w:rsidR="006C2DE5" w:rsidRPr="00E24C37">
        <w:t xml:space="preserve"> actions, the courts did not even refer to the above</w:t>
      </w:r>
      <w:r w:rsidR="00197E46" w:rsidRPr="00E24C37">
        <w:noBreakHyphen/>
      </w:r>
      <w:r w:rsidR="006C2DE5" w:rsidRPr="00E24C37">
        <w:t>mentioned Instruction. Moreover, the reference to risk management (including risk profiling) does not address the matter of the extensive copying of the data from</w:t>
      </w:r>
      <w:r w:rsidR="00CC0566" w:rsidRPr="00E24C37">
        <w:t xml:space="preserve"> the applicant</w:t>
      </w:r>
      <w:r w:rsidR="00E24C37" w:rsidRPr="00E24C37">
        <w:t>’</w:t>
      </w:r>
      <w:r w:rsidR="00CC0566" w:rsidRPr="00E24C37">
        <w:t xml:space="preserve">s laptop, which is at the heart of the present </w:t>
      </w:r>
      <w:r w:rsidR="00CD34D7" w:rsidRPr="00E24C37">
        <w:t>complaint</w:t>
      </w:r>
      <w:r w:rsidR="00CC0566" w:rsidRPr="00E24C37">
        <w:t>.</w:t>
      </w:r>
      <w:r w:rsidR="009B4133" w:rsidRPr="00E24C37">
        <w:t xml:space="preserve"> The Court does not overlook that the domestic courts pointed out that extensive copying was </w:t>
      </w:r>
      <w:r w:rsidR="00CD34D7" w:rsidRPr="00E24C37">
        <w:t>“</w:t>
      </w:r>
      <w:r w:rsidR="009B4133" w:rsidRPr="00E24C37">
        <w:t>needed</w:t>
      </w:r>
      <w:r w:rsidR="00CD34D7" w:rsidRPr="00E24C37">
        <w:t>”</w:t>
      </w:r>
      <w:r w:rsidR="009B4133" w:rsidRPr="00E24C37">
        <w:t xml:space="preserve"> because of the diverse </w:t>
      </w:r>
      <w:r w:rsidR="009B4133" w:rsidRPr="00E24C37">
        <w:lastRenderedPageBreak/>
        <w:t>nature of the “goods”</w:t>
      </w:r>
      <w:r w:rsidR="00CD34D7" w:rsidRPr="00E24C37">
        <w:t xml:space="preserve"> to be sampled</w:t>
      </w:r>
      <w:r w:rsidR="009B4133" w:rsidRPr="00E24C37">
        <w:t xml:space="preserve">, </w:t>
      </w:r>
      <w:r w:rsidR="00A12170" w:rsidRPr="00E24C37">
        <w:t xml:space="preserve">which was </w:t>
      </w:r>
      <w:r w:rsidR="009B4133" w:rsidRPr="00E24C37">
        <w:t xml:space="preserve">electronic data in the present </w:t>
      </w:r>
      <w:r w:rsidR="000D7F5F" w:rsidRPr="00E24C37">
        <w:t>case. In the Court</w:t>
      </w:r>
      <w:r w:rsidR="00E24C37" w:rsidRPr="00E24C37">
        <w:t>’</w:t>
      </w:r>
      <w:r w:rsidR="000D7F5F" w:rsidRPr="00E24C37">
        <w:t xml:space="preserve">s view, it is usual </w:t>
      </w:r>
      <w:r w:rsidR="00A12170" w:rsidRPr="00E24C37">
        <w:t xml:space="preserve">for </w:t>
      </w:r>
      <w:r w:rsidR="000D7F5F" w:rsidRPr="00E24C37">
        <w:t xml:space="preserve">an electronic device </w:t>
      </w:r>
      <w:r w:rsidR="00A12170" w:rsidRPr="00E24C37">
        <w:t xml:space="preserve">to </w:t>
      </w:r>
      <w:r w:rsidR="000D7F5F" w:rsidRPr="00E24C37">
        <w:t xml:space="preserve">contain various types of electronic files (text, photographs, videos and others) and that </w:t>
      </w:r>
      <w:r w:rsidR="00A12170" w:rsidRPr="00E24C37">
        <w:t xml:space="preserve">the contents may vary </w:t>
      </w:r>
      <w:r w:rsidR="000D7F5F" w:rsidRPr="00E24C37">
        <w:t>even within the same type of file. In addition to the above</w:t>
      </w:r>
      <w:r w:rsidR="00FD135C" w:rsidRPr="00E24C37">
        <w:noBreakHyphen/>
      </w:r>
      <w:r w:rsidR="000D7F5F" w:rsidRPr="00E24C37">
        <w:t>mentioned considerations relating to the legal basis</w:t>
      </w:r>
      <w:r w:rsidR="00E60EEF" w:rsidRPr="00E24C37">
        <w:t xml:space="preserve"> in this case</w:t>
      </w:r>
      <w:r w:rsidR="000D7F5F" w:rsidRPr="00E24C37">
        <w:t xml:space="preserve">, it is evident that the usual approach to </w:t>
      </w:r>
      <w:r w:rsidR="00A12170" w:rsidRPr="00E24C37">
        <w:t xml:space="preserve">the sampling by </w:t>
      </w:r>
      <w:r w:rsidR="000D7F5F" w:rsidRPr="00E24C37">
        <w:t>customs of “goods” was not adequate as regards electronic data</w:t>
      </w:r>
      <w:r w:rsidR="00C048AD" w:rsidRPr="00E24C37">
        <w:t xml:space="preserve"> (see also paragraph </w:t>
      </w:r>
      <w:r w:rsidR="00C048AD" w:rsidRPr="00E24C37">
        <w:fldChar w:fldCharType="begin"/>
      </w:r>
      <w:r w:rsidR="00C048AD" w:rsidRPr="00E24C37">
        <w:instrText xml:space="preserve"> REF  conclusion1 \h </w:instrText>
      </w:r>
      <w:r w:rsidR="00C048AD" w:rsidRPr="00E24C37">
        <w:fldChar w:fldCharType="separate"/>
      </w:r>
      <w:r w:rsidR="00B87844">
        <w:rPr>
          <w:noProof/>
        </w:rPr>
        <w:t>80</w:t>
      </w:r>
      <w:r w:rsidR="00C048AD" w:rsidRPr="00E24C37">
        <w:fldChar w:fldCharType="end"/>
      </w:r>
      <w:r w:rsidR="00C048AD" w:rsidRPr="00E24C37">
        <w:t xml:space="preserve"> above)</w:t>
      </w:r>
      <w:r w:rsidR="000D7F5F" w:rsidRPr="00E24C37">
        <w:t>.</w:t>
      </w:r>
    </w:p>
    <w:p w:rsidR="006B0EA0" w:rsidRPr="00E24C37" w:rsidRDefault="004B1E2C" w:rsidP="00E24C37">
      <w:pPr>
        <w:pStyle w:val="ECHRPara"/>
        <w:rPr>
          <w:snapToGrid w:val="0"/>
        </w:rPr>
      </w:pPr>
      <w:r w:rsidRPr="00E24C37">
        <w:fldChar w:fldCharType="begin"/>
      </w:r>
      <w:r w:rsidRPr="00E24C37">
        <w:instrText xml:space="preserve"> SEQ level0 \*arabic </w:instrText>
      </w:r>
      <w:r w:rsidRPr="00E24C37">
        <w:fldChar w:fldCharType="separate"/>
      </w:r>
      <w:r w:rsidR="00B87844">
        <w:rPr>
          <w:noProof/>
        </w:rPr>
        <w:t>84</w:t>
      </w:r>
      <w:r w:rsidRPr="00E24C37">
        <w:rPr>
          <w:noProof/>
        </w:rPr>
        <w:fldChar w:fldCharType="end"/>
      </w:r>
      <w:r w:rsidR="006B0EA0" w:rsidRPr="00E24C37">
        <w:t xml:space="preserve">.  Next, it is noted that the applicant pointed out that the “interference” had been unjustified since he had not been subject to any ongoing criminal investigation or any measures under the Operational-Search Activities Act. However, the Court is not convinced that in order to avoid arbitrariness it was indispensable for the customs officer to have a reasonable suspicion of criminal activity </w:t>
      </w:r>
      <w:r w:rsidR="006B0EA0" w:rsidRPr="00E24C37">
        <w:rPr>
          <w:i/>
        </w:rPr>
        <w:t>stricto sensu</w:t>
      </w:r>
      <w:r w:rsidR="006B0EA0" w:rsidRPr="00E24C37">
        <w:t xml:space="preserve"> (as being in breach of the Criminal Code of the Russian Federation), that is some objective basis for suspecting the particular person of “criminal” activity in the particular circumstances of a given situation taken as a whole. By way of comparison, the Court reiterates that it is also possible to envisage a</w:t>
      </w:r>
      <w:r w:rsidR="003D7368" w:rsidRPr="00E24C37">
        <w:t xml:space="preserve"> justified</w:t>
      </w:r>
      <w:r w:rsidR="006B0EA0" w:rsidRPr="00E24C37">
        <w:t xml:space="preserve"> interference with Article</w:t>
      </w:r>
      <w:r w:rsidR="00197E46" w:rsidRPr="00E24C37">
        <w:t> </w:t>
      </w:r>
      <w:r w:rsidR="006B0EA0" w:rsidRPr="00E24C37">
        <w:t xml:space="preserve">8 rights by way of search-and-seizure or comparable measures in contexts other than those of a criminal investigation, in relation to unlawful conduct punishable under other procedures (see, for instance, </w:t>
      </w:r>
      <w:r w:rsidR="006B0EA0" w:rsidRPr="00E24C37">
        <w:rPr>
          <w:i/>
        </w:rPr>
        <w:t>DELTA PEKÁRNY a.s. v. the Czech Republic</w:t>
      </w:r>
      <w:r w:rsidR="006B0EA0" w:rsidRPr="00E24C37">
        <w:t>, no. 97/11</w:t>
      </w:r>
      <w:r w:rsidR="006B0EA0" w:rsidRPr="00E24C37">
        <w:rPr>
          <w:snapToGrid w:val="0"/>
        </w:rPr>
        <w:t>, §§ 80-83, 2 October 2014).</w:t>
      </w:r>
    </w:p>
    <w:p w:rsidR="00016C80" w:rsidRPr="00E24C37" w:rsidRDefault="006B0EA0" w:rsidP="00E24C37">
      <w:pPr>
        <w:pStyle w:val="ECHRPara"/>
      </w:pPr>
      <w:r w:rsidRPr="00E24C37">
        <w:rPr>
          <w:rFonts w:asciiTheme="majorHAnsi" w:eastAsiaTheme="majorEastAsia" w:hAnsiTheme="majorHAnsi" w:cstheme="majorBidi"/>
          <w:sz w:val="20"/>
          <w:lang w:bidi="en-US"/>
        </w:rPr>
        <w:fldChar w:fldCharType="begin"/>
      </w:r>
      <w:r w:rsidRPr="00E24C37">
        <w:instrText xml:space="preserve"> SEQ level0 \*arabic </w:instrText>
      </w:r>
      <w:r w:rsidRPr="00E24C37">
        <w:rPr>
          <w:rFonts w:asciiTheme="majorHAnsi" w:eastAsiaTheme="majorEastAsia" w:hAnsiTheme="majorHAnsi" w:cstheme="majorBidi"/>
          <w:sz w:val="20"/>
          <w:lang w:bidi="en-US"/>
        </w:rPr>
        <w:fldChar w:fldCharType="separate"/>
      </w:r>
      <w:r w:rsidR="00B87844">
        <w:rPr>
          <w:noProof/>
        </w:rPr>
        <w:t>85</w:t>
      </w:r>
      <w:r w:rsidRPr="00E24C37">
        <w:rPr>
          <w:rFonts w:asciiTheme="majorHAnsi" w:eastAsiaTheme="majorEastAsia" w:hAnsiTheme="majorHAnsi" w:cstheme="majorBidi"/>
          <w:sz w:val="20"/>
          <w:lang w:bidi="en-US"/>
        </w:rPr>
        <w:fldChar w:fldCharType="end"/>
      </w:r>
      <w:r w:rsidRPr="00E24C37">
        <w:t>.  However</w:t>
      </w:r>
      <w:r w:rsidR="004F7EC4" w:rsidRPr="00E24C37">
        <w:t>, i</w:t>
      </w:r>
      <w:r w:rsidR="001607BC" w:rsidRPr="00E24C37">
        <w:t xml:space="preserve">t does not appear that </w:t>
      </w:r>
      <w:r w:rsidR="000D7F5F" w:rsidRPr="00E24C37">
        <w:t>the</w:t>
      </w:r>
      <w:r w:rsidR="001607BC" w:rsidRPr="00E24C37">
        <w:t xml:space="preserve"> comprehensive measure</w:t>
      </w:r>
      <w:r w:rsidR="000D7F5F" w:rsidRPr="00E24C37">
        <w:t xml:space="preserve"> </w:t>
      </w:r>
      <w:r w:rsidR="00E60EEF" w:rsidRPr="00E24C37">
        <w:t xml:space="preserve">used </w:t>
      </w:r>
      <w:r w:rsidR="000D7F5F" w:rsidRPr="00E24C37">
        <w:t>in the present case</w:t>
      </w:r>
      <w:r w:rsidR="001607BC" w:rsidRPr="00E24C37">
        <w:t xml:space="preserve"> had to be based on some notion of a reasonable suspicion </w:t>
      </w:r>
      <w:r w:rsidR="00693E64" w:rsidRPr="00E24C37">
        <w:t xml:space="preserve">that someone making </w:t>
      </w:r>
      <w:r w:rsidR="001607BC" w:rsidRPr="00E24C37">
        <w:t>a customs declar</w:t>
      </w:r>
      <w:r w:rsidR="00693E64" w:rsidRPr="00E24C37">
        <w:t xml:space="preserve">ation has </w:t>
      </w:r>
      <w:r w:rsidR="001607BC" w:rsidRPr="00E24C37">
        <w:t>committ</w:t>
      </w:r>
      <w:r w:rsidR="00693E64" w:rsidRPr="00E24C37">
        <w:t>ed</w:t>
      </w:r>
      <w:r w:rsidR="001607BC" w:rsidRPr="00E24C37">
        <w:t xml:space="preserve"> an offence, namely one arising from the anti-extremist legislation pertinent </w:t>
      </w:r>
      <w:r w:rsidR="00E60EEF" w:rsidRPr="00E24C37">
        <w:t>to</w:t>
      </w:r>
      <w:r w:rsidR="001607BC" w:rsidRPr="00E24C37">
        <w:t xml:space="preserve"> the present case.</w:t>
      </w:r>
      <w:r w:rsidR="001607BC" w:rsidRPr="00E24C37">
        <w:rPr>
          <w:snapToGrid w:val="0"/>
        </w:rPr>
        <w:t xml:space="preserve"> Indeed, the Russian Customs Code linked its various procedure</w:t>
      </w:r>
      <w:r w:rsidR="00CB73FA" w:rsidRPr="00E24C37">
        <w:rPr>
          <w:snapToGrid w:val="0"/>
        </w:rPr>
        <w:t>s</w:t>
      </w:r>
      <w:r w:rsidR="001607BC" w:rsidRPr="00E24C37">
        <w:rPr>
          <w:snapToGrid w:val="0"/>
        </w:rPr>
        <w:t xml:space="preserve"> to the need f</w:t>
      </w:r>
      <w:r w:rsidR="00E60EEF" w:rsidRPr="00E24C37">
        <w:rPr>
          <w:snapToGrid w:val="0"/>
        </w:rPr>
        <w:t>or</w:t>
      </w:r>
      <w:r w:rsidR="001607BC" w:rsidRPr="00E24C37">
        <w:rPr>
          <w:snapToGrid w:val="0"/>
        </w:rPr>
        <w:t xml:space="preserve"> “ensuring compliance with customs legislation”. </w:t>
      </w:r>
      <w:r w:rsidR="001607BC" w:rsidRPr="00E24C37">
        <w:t>The present case concerns one specific context where imputed “non</w:t>
      </w:r>
      <w:r w:rsidR="00197E46" w:rsidRPr="00E24C37">
        <w:noBreakHyphen/>
      </w:r>
      <w:r w:rsidR="001607BC" w:rsidRPr="00E24C37">
        <w:t xml:space="preserve">compliance” is related to the ban </w:t>
      </w:r>
      <w:r w:rsidR="00E60EEF" w:rsidRPr="00E24C37">
        <w:t xml:space="preserve">set out in </w:t>
      </w:r>
      <w:r w:rsidR="001607BC" w:rsidRPr="00E24C37">
        <w:t xml:space="preserve">Presidential Decree no. 310 of 23 March 1995 read together </w:t>
      </w:r>
      <w:r w:rsidR="00E60EEF" w:rsidRPr="00E24C37">
        <w:t xml:space="preserve">with </w:t>
      </w:r>
      <w:r w:rsidR="001607BC" w:rsidRPr="00E24C37">
        <w:t>the Federal Customs Authority</w:t>
      </w:r>
      <w:r w:rsidR="00E24C37" w:rsidRPr="00E24C37">
        <w:t>’</w:t>
      </w:r>
      <w:r w:rsidR="001607BC" w:rsidRPr="00E24C37">
        <w:t>s order no.</w:t>
      </w:r>
      <w:r w:rsidR="00A103C7" w:rsidRPr="00E24C37">
        <w:t> </w:t>
      </w:r>
      <w:r w:rsidR="001607BC" w:rsidRPr="00E24C37">
        <w:t>677 of 10</w:t>
      </w:r>
      <w:r w:rsidR="006F3B48" w:rsidRPr="00E24C37">
        <w:t> </w:t>
      </w:r>
      <w:r w:rsidR="001607BC" w:rsidRPr="00E24C37">
        <w:t>November 1995 and Article 13 of the Customs Code of 2003 (see paragraphs</w:t>
      </w:r>
      <w:r w:rsidR="005A6CB5" w:rsidRPr="00E24C37">
        <w:t xml:space="preserve"> </w:t>
      </w:r>
      <w:r w:rsidR="005A6CB5" w:rsidRPr="00E24C37">
        <w:fldChar w:fldCharType="begin"/>
      </w:r>
      <w:r w:rsidR="005A6CB5" w:rsidRPr="00E24C37">
        <w:instrText xml:space="preserve"> REF  CuCodegeneralA13 \h </w:instrText>
      </w:r>
      <w:r w:rsidR="005A6CB5" w:rsidRPr="00E24C37">
        <w:fldChar w:fldCharType="separate"/>
      </w:r>
      <w:r w:rsidR="00B87844">
        <w:rPr>
          <w:noProof/>
        </w:rPr>
        <w:t>29</w:t>
      </w:r>
      <w:r w:rsidR="005A6CB5" w:rsidRPr="00E24C37">
        <w:fldChar w:fldCharType="end"/>
      </w:r>
      <w:r w:rsidR="005A6CB5" w:rsidRPr="00E24C37">
        <w:t>,</w:t>
      </w:r>
      <w:r w:rsidR="001607BC" w:rsidRPr="00E24C37">
        <w:t xml:space="preserve"> </w:t>
      </w:r>
      <w:r w:rsidR="001607BC" w:rsidRPr="00E24C37">
        <w:fldChar w:fldCharType="begin"/>
      </w:r>
      <w:r w:rsidR="001607BC" w:rsidRPr="00E24C37">
        <w:instrText xml:space="preserve"> REF  Presidentdecree1995 \h </w:instrText>
      </w:r>
      <w:r w:rsidR="001607BC" w:rsidRPr="00E24C37">
        <w:fldChar w:fldCharType="separate"/>
      </w:r>
      <w:r w:rsidR="00B87844">
        <w:rPr>
          <w:noProof/>
        </w:rPr>
        <w:t>35</w:t>
      </w:r>
      <w:r w:rsidR="001607BC" w:rsidRPr="00E24C37">
        <w:fldChar w:fldCharType="end"/>
      </w:r>
      <w:r w:rsidR="001607BC" w:rsidRPr="00E24C37">
        <w:t>-</w:t>
      </w:r>
      <w:r w:rsidR="001607BC" w:rsidRPr="00E24C37">
        <w:fldChar w:fldCharType="begin"/>
      </w:r>
      <w:r w:rsidR="001607BC" w:rsidRPr="00E24C37">
        <w:instrText xml:space="preserve"> REF  FCAnovember1995 \h </w:instrText>
      </w:r>
      <w:r w:rsidR="001607BC" w:rsidRPr="00E24C37">
        <w:fldChar w:fldCharType="separate"/>
      </w:r>
      <w:r w:rsidR="00B87844">
        <w:rPr>
          <w:noProof/>
        </w:rPr>
        <w:t>36</w:t>
      </w:r>
      <w:r w:rsidR="001607BC" w:rsidRPr="00E24C37">
        <w:fldChar w:fldCharType="end"/>
      </w:r>
      <w:r w:rsidR="001607BC" w:rsidRPr="00E24C37">
        <w:t xml:space="preserve"> above).</w:t>
      </w:r>
      <w:r w:rsidR="004F7EC4" w:rsidRPr="00E24C37">
        <w:t xml:space="preserve"> </w:t>
      </w:r>
      <w:r w:rsidR="00016C80" w:rsidRPr="00E24C37">
        <w:t xml:space="preserve">The apparent lack of any need </w:t>
      </w:r>
      <w:r w:rsidR="00E60EEF" w:rsidRPr="00E24C37">
        <w:t xml:space="preserve">for a </w:t>
      </w:r>
      <w:r w:rsidR="00016C80" w:rsidRPr="00E24C37">
        <w:t>reasonable suspicion</w:t>
      </w:r>
      <w:r w:rsidR="008E002C" w:rsidRPr="00E24C37">
        <w:t xml:space="preserve"> relating to an offence</w:t>
      </w:r>
      <w:r w:rsidR="00016C80" w:rsidRPr="00E24C37">
        <w:t xml:space="preserve"> was exacerbated by the fact that the domestic authorities, ultimately the courts on judicial review, did not attempt to define and apply such notions as “propaganda </w:t>
      </w:r>
      <w:r w:rsidR="00693E64" w:rsidRPr="00E24C37">
        <w:t>for</w:t>
      </w:r>
      <w:r w:rsidR="00016C80" w:rsidRPr="00E24C37">
        <w:t xml:space="preserve"> fascism”, “social, racial, ethnic or religious enmity” </w:t>
      </w:r>
      <w:r w:rsidR="00E60EEF" w:rsidRPr="00E24C37">
        <w:t xml:space="preserve">to any </w:t>
      </w:r>
      <w:r w:rsidR="00693E64" w:rsidRPr="00E24C37">
        <w:t xml:space="preserve">of the </w:t>
      </w:r>
      <w:r w:rsidR="00E60EEF" w:rsidRPr="00E24C37">
        <w:t xml:space="preserve">ascertained facts. </w:t>
      </w:r>
      <w:r w:rsidR="00016C80" w:rsidRPr="00E24C37">
        <w:t>It is also noted that the presidential decree seem</w:t>
      </w:r>
      <w:r w:rsidR="00E60EEF" w:rsidRPr="00E24C37">
        <w:t>s</w:t>
      </w:r>
      <w:r w:rsidR="00016C80" w:rsidRPr="00E24C37">
        <w:t xml:space="preserve"> to relate to measures </w:t>
      </w:r>
      <w:r w:rsidR="00E60EEF" w:rsidRPr="00E24C37">
        <w:t xml:space="preserve">such </w:t>
      </w:r>
      <w:r w:rsidR="00016C80" w:rsidRPr="00E24C37">
        <w:t xml:space="preserve">as </w:t>
      </w:r>
      <w:r w:rsidR="00E60EEF" w:rsidRPr="00E24C37">
        <w:t xml:space="preserve">the </w:t>
      </w:r>
      <w:r w:rsidR="00016C80" w:rsidRPr="00E24C37">
        <w:t>“arrest and bringing to liability” of persons “who [were] disseminating” material with the above content. It has not been suggested that any separate instructions or guidance was made available to customs officers in relation to dealing with situations involving potential prima facie “extremist material” and for dealing with electronic data in th</w:t>
      </w:r>
      <w:r w:rsidR="00E60EEF" w:rsidRPr="00E24C37">
        <w:t>at</w:t>
      </w:r>
      <w:r w:rsidR="00016C80" w:rsidRPr="00E24C37">
        <w:t xml:space="preserve"> context.</w:t>
      </w:r>
    </w:p>
    <w:p w:rsidR="00AB1EDA" w:rsidRPr="00E24C37" w:rsidRDefault="004C2E94" w:rsidP="00E24C37">
      <w:pPr>
        <w:pStyle w:val="ECHRPara"/>
      </w:pPr>
      <w:r w:rsidRPr="00E24C37">
        <w:lastRenderedPageBreak/>
        <w:fldChar w:fldCharType="begin"/>
      </w:r>
      <w:r w:rsidRPr="00E24C37">
        <w:instrText xml:space="preserve"> SEQ level0 \*arabic </w:instrText>
      </w:r>
      <w:r w:rsidRPr="00E24C37">
        <w:fldChar w:fldCharType="separate"/>
      </w:r>
      <w:r w:rsidR="00B87844">
        <w:rPr>
          <w:noProof/>
        </w:rPr>
        <w:t>86</w:t>
      </w:r>
      <w:r w:rsidRPr="00E24C37">
        <w:rPr>
          <w:noProof/>
        </w:rPr>
        <w:fldChar w:fldCharType="end"/>
      </w:r>
      <w:r w:rsidR="00AB1EDA" w:rsidRPr="00E24C37">
        <w:t>.  </w:t>
      </w:r>
      <w:r w:rsidR="00016C80" w:rsidRPr="00E24C37">
        <w:t>In the context of the present case t</w:t>
      </w:r>
      <w:r w:rsidR="00AB1EDA" w:rsidRPr="00E24C37">
        <w:t>he Court is not convinced by the Government</w:t>
      </w:r>
      <w:r w:rsidR="00E24C37" w:rsidRPr="00E24C37">
        <w:t>’</w:t>
      </w:r>
      <w:r w:rsidR="00AB1EDA" w:rsidRPr="00E24C37">
        <w:t>s submission that</w:t>
      </w:r>
      <w:r w:rsidR="00F95450" w:rsidRPr="00E24C37">
        <w:t xml:space="preserve"> </w:t>
      </w:r>
      <w:r w:rsidR="00AB1EDA" w:rsidRPr="00E24C37">
        <w:t xml:space="preserve">the fact that the applicant </w:t>
      </w:r>
      <w:r w:rsidR="00CC6787" w:rsidRPr="00E24C37">
        <w:t xml:space="preserve">was </w:t>
      </w:r>
      <w:r w:rsidR="00AB1EDA" w:rsidRPr="00E24C37">
        <w:t>return</w:t>
      </w:r>
      <w:r w:rsidR="00CC6787" w:rsidRPr="00E24C37">
        <w:t xml:space="preserve">ing </w:t>
      </w:r>
      <w:r w:rsidR="00AB1EDA" w:rsidRPr="00E24C37">
        <w:t xml:space="preserve">from a </w:t>
      </w:r>
      <w:r w:rsidR="00CC6787" w:rsidRPr="00E24C37">
        <w:t xml:space="preserve">disputed </w:t>
      </w:r>
      <w:r w:rsidR="00AB1EDA" w:rsidRPr="00E24C37">
        <w:t>area constituted</w:t>
      </w:r>
      <w:r w:rsidR="00F95450" w:rsidRPr="00E24C37">
        <w:t xml:space="preserve"> in itself</w:t>
      </w:r>
      <w:r w:rsidR="00AB1EDA" w:rsidRPr="00E24C37">
        <w:t xml:space="preserve"> a sufficient basis for proceeding with the extensive examination and copying of his electronic data on account of </w:t>
      </w:r>
      <w:r w:rsidR="00CC6787" w:rsidRPr="00E24C37">
        <w:t xml:space="preserve">possible </w:t>
      </w:r>
      <w:r w:rsidR="00AB1EDA" w:rsidRPr="00E24C37">
        <w:t>“extremist” content.</w:t>
      </w:r>
    </w:p>
    <w:p w:rsidR="009A5325" w:rsidRPr="00E24C37" w:rsidRDefault="00271E8F" w:rsidP="00E24C37">
      <w:pPr>
        <w:pStyle w:val="ECHRPara"/>
      </w:pPr>
      <w:r w:rsidRPr="00E24C37">
        <w:rPr>
          <w:lang w:val="en"/>
        </w:rPr>
        <w:fldChar w:fldCharType="begin"/>
      </w:r>
      <w:r w:rsidRPr="00E24C37">
        <w:rPr>
          <w:lang w:val="en"/>
        </w:rPr>
        <w:instrText xml:space="preserve"> SEQ level0 \*arabic </w:instrText>
      </w:r>
      <w:r w:rsidRPr="00E24C37">
        <w:rPr>
          <w:lang w:val="en"/>
        </w:rPr>
        <w:fldChar w:fldCharType="separate"/>
      </w:r>
      <w:r w:rsidR="00B87844">
        <w:rPr>
          <w:noProof/>
          <w:lang w:val="en"/>
        </w:rPr>
        <w:t>87</w:t>
      </w:r>
      <w:r w:rsidRPr="00E24C37">
        <w:rPr>
          <w:lang w:val="en"/>
        </w:rPr>
        <w:fldChar w:fldCharType="end"/>
      </w:r>
      <w:r w:rsidRPr="00E24C37">
        <w:rPr>
          <w:lang w:val="en"/>
        </w:rPr>
        <w:t xml:space="preserve">.  In situations </w:t>
      </w:r>
      <w:r w:rsidR="00CC6787" w:rsidRPr="00E24C37">
        <w:rPr>
          <w:lang w:val="en"/>
        </w:rPr>
        <w:t xml:space="preserve">when a person is at </w:t>
      </w:r>
      <w:r w:rsidR="00323D9C" w:rsidRPr="00E24C37">
        <w:rPr>
          <w:lang w:val="en"/>
        </w:rPr>
        <w:t xml:space="preserve">customs </w:t>
      </w:r>
      <w:r w:rsidR="00CC6787" w:rsidRPr="00E24C37">
        <w:rPr>
          <w:lang w:val="en"/>
        </w:rPr>
        <w:t xml:space="preserve">after </w:t>
      </w:r>
      <w:r w:rsidR="00323D9C" w:rsidRPr="00E24C37">
        <w:rPr>
          <w:i/>
          <w:lang w:val="en"/>
        </w:rPr>
        <w:t>arriving</w:t>
      </w:r>
      <w:r w:rsidR="00323D9C" w:rsidRPr="00E24C37">
        <w:rPr>
          <w:lang w:val="en"/>
        </w:rPr>
        <w:t xml:space="preserve"> in the country</w:t>
      </w:r>
      <w:r w:rsidRPr="00E24C37">
        <w:rPr>
          <w:lang w:val="en"/>
        </w:rPr>
        <w:t xml:space="preserve"> (</w:t>
      </w:r>
      <w:r w:rsidR="00323D9C" w:rsidRPr="00E24C37">
        <w:rPr>
          <w:i/>
          <w:lang w:val="en"/>
        </w:rPr>
        <w:t>a fortiori</w:t>
      </w:r>
      <w:r w:rsidR="00323D9C" w:rsidRPr="00E24C37">
        <w:rPr>
          <w:lang w:val="en"/>
        </w:rPr>
        <w:t>, through such ports of entry as customs point</w:t>
      </w:r>
      <w:r w:rsidR="009941E4" w:rsidRPr="00E24C37">
        <w:rPr>
          <w:lang w:val="en"/>
        </w:rPr>
        <w:t>s</w:t>
      </w:r>
      <w:r w:rsidR="00323D9C" w:rsidRPr="00E24C37">
        <w:rPr>
          <w:lang w:val="en"/>
        </w:rPr>
        <w:t xml:space="preserve"> </w:t>
      </w:r>
      <w:r w:rsidR="00323D9C" w:rsidRPr="00E24C37">
        <w:t xml:space="preserve">for vehicles or </w:t>
      </w:r>
      <w:r w:rsidR="0069229E" w:rsidRPr="00E24C37">
        <w:t xml:space="preserve">those arriving </w:t>
      </w:r>
      <w:r w:rsidR="00323D9C" w:rsidRPr="00E24C37">
        <w:t>on foot</w:t>
      </w:r>
      <w:r w:rsidRPr="00E24C37">
        <w:t xml:space="preserve">, as in the present case), </w:t>
      </w:r>
      <w:r w:rsidR="000D3D03" w:rsidRPr="00E24C37">
        <w:t>bearing in mind</w:t>
      </w:r>
      <w:r w:rsidR="00224C22" w:rsidRPr="00E24C37">
        <w:t xml:space="preserve"> the margin of appreciation afforded to the respondent State in the customs context, </w:t>
      </w:r>
      <w:r w:rsidR="009A5325" w:rsidRPr="00E24C37">
        <w:t xml:space="preserve">it is particularly pertinent to ascertain whether </w:t>
      </w:r>
      <w:r w:rsidR="009A5325" w:rsidRPr="00E24C37">
        <w:rPr>
          <w:i/>
        </w:rPr>
        <w:t>post factum</w:t>
      </w:r>
      <w:r w:rsidR="009A5325" w:rsidRPr="00E24C37">
        <w:t xml:space="preserve"> judicial remedies were available and provided adequate safeguards.</w:t>
      </w:r>
    </w:p>
    <w:p w:rsidR="008228B9" w:rsidRPr="00E24C37" w:rsidRDefault="008228B9" w:rsidP="00E24C37">
      <w:pPr>
        <w:pStyle w:val="ECHRHeading7"/>
      </w:pPr>
      <w:r w:rsidRPr="00E24C37">
        <w:t>-  Judicial review</w:t>
      </w:r>
    </w:p>
    <w:p w:rsidR="00153427"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88</w:t>
      </w:r>
      <w:r w:rsidRPr="00E24C37">
        <w:rPr>
          <w:noProof/>
        </w:rPr>
        <w:fldChar w:fldCharType="end"/>
      </w:r>
      <w:r w:rsidR="006E3E18" w:rsidRPr="00E24C37">
        <w:t>.  </w:t>
      </w:r>
      <w:r w:rsidR="00153427" w:rsidRPr="00E24C37">
        <w:t>Although</w:t>
      </w:r>
      <w:r w:rsidR="006B3B6B" w:rsidRPr="00E24C37">
        <w:t xml:space="preserve"> </w:t>
      </w:r>
      <w:r w:rsidR="00153427" w:rsidRPr="00E24C37">
        <w:t xml:space="preserve">the exercise of the </w:t>
      </w:r>
      <w:r w:rsidR="009941E4" w:rsidRPr="00E24C37">
        <w:t xml:space="preserve">powers to </w:t>
      </w:r>
      <w:r w:rsidR="009A5325" w:rsidRPr="00E24C37">
        <w:t>inspect</w:t>
      </w:r>
      <w:r w:rsidR="009941E4" w:rsidRPr="00E24C37">
        <w:t xml:space="preserve"> </w:t>
      </w:r>
      <w:r w:rsidR="009A5325" w:rsidRPr="00E24C37">
        <w:t>and</w:t>
      </w:r>
      <w:r w:rsidR="009941E4" w:rsidRPr="00E24C37">
        <w:t xml:space="preserve"> </w:t>
      </w:r>
      <w:r w:rsidR="009A5325" w:rsidRPr="00E24C37">
        <w:t>sampl</w:t>
      </w:r>
      <w:r w:rsidR="009941E4" w:rsidRPr="00E24C37">
        <w:t>e</w:t>
      </w:r>
      <w:r w:rsidR="00153427" w:rsidRPr="00E24C37">
        <w:t xml:space="preserve"> </w:t>
      </w:r>
      <w:r w:rsidR="006E3E18" w:rsidRPr="00E24C37">
        <w:t>w</w:t>
      </w:r>
      <w:r w:rsidR="00160B22" w:rsidRPr="00E24C37">
        <w:t>as</w:t>
      </w:r>
      <w:r w:rsidR="006E3E18" w:rsidRPr="00E24C37">
        <w:t xml:space="preserve"> amenable to </w:t>
      </w:r>
      <w:r w:rsidR="00153427" w:rsidRPr="00E24C37">
        <w:t>judicial review</w:t>
      </w:r>
      <w:r w:rsidR="00DE2269" w:rsidRPr="00E24C37">
        <w:t xml:space="preserve"> under Chapter 25 of the Russian C</w:t>
      </w:r>
      <w:r w:rsidR="001D0135" w:rsidRPr="00E24C37">
        <w:t>CP</w:t>
      </w:r>
      <w:r w:rsidR="00153427" w:rsidRPr="00E24C37">
        <w:t xml:space="preserve">, the width of </w:t>
      </w:r>
      <w:r w:rsidR="009A5325" w:rsidRPr="00E24C37">
        <w:t>those</w:t>
      </w:r>
      <w:r w:rsidR="00153427" w:rsidRPr="00E24C37">
        <w:t xml:space="preserve"> powers </w:t>
      </w:r>
      <w:r w:rsidR="00DE2269" w:rsidRPr="00E24C37">
        <w:t>was</w:t>
      </w:r>
      <w:r w:rsidR="00153427" w:rsidRPr="00E24C37">
        <w:t xml:space="preserve"> such that</w:t>
      </w:r>
      <w:r w:rsidR="000C30D2" w:rsidRPr="00E24C37">
        <w:t xml:space="preserve"> the</w:t>
      </w:r>
      <w:r w:rsidR="00153427" w:rsidRPr="00E24C37">
        <w:t xml:space="preserve"> applicant face</w:t>
      </w:r>
      <w:r w:rsidR="00DE2269" w:rsidRPr="00E24C37">
        <w:t>d</w:t>
      </w:r>
      <w:r w:rsidR="00153427" w:rsidRPr="00E24C37">
        <w:t xml:space="preserve"> formidable obstacles in showing that </w:t>
      </w:r>
      <w:r w:rsidR="000B19C2" w:rsidRPr="00E24C37">
        <w:t>the customs officers</w:t>
      </w:r>
      <w:r w:rsidR="00E24C37" w:rsidRPr="00E24C37">
        <w:t>’</w:t>
      </w:r>
      <w:r w:rsidR="000B19C2" w:rsidRPr="00E24C37">
        <w:t xml:space="preserve"> actions were</w:t>
      </w:r>
      <w:r w:rsidR="00DE2269" w:rsidRPr="00E24C37">
        <w:t xml:space="preserve"> unlawful, unjustified or otherwise in breach of Russian law</w:t>
      </w:r>
      <w:r w:rsidR="000C30D2" w:rsidRPr="00E24C37">
        <w:t xml:space="preserve"> (compare</w:t>
      </w:r>
      <w:r w:rsidR="000C30D2" w:rsidRPr="00E24C37">
        <w:rPr>
          <w:i/>
        </w:rPr>
        <w:t xml:space="preserve"> Gillan and Quinton</w:t>
      </w:r>
      <w:r w:rsidR="000C30D2" w:rsidRPr="00E24C37">
        <w:t>, cited above, § 80).</w:t>
      </w:r>
    </w:p>
    <w:p w:rsidR="006E3E18"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89</w:t>
      </w:r>
      <w:r w:rsidRPr="00E24C37">
        <w:rPr>
          <w:noProof/>
        </w:rPr>
        <w:fldChar w:fldCharType="end"/>
      </w:r>
      <w:r w:rsidR="006E3E18" w:rsidRPr="00E24C37">
        <w:t>.  </w:t>
      </w:r>
      <w:r w:rsidR="000D41A4" w:rsidRPr="00E24C37">
        <w:t>T</w:t>
      </w:r>
      <w:r w:rsidR="006E3E18" w:rsidRPr="00E24C37">
        <w:t>he Court refers to its findings under Article 13 of the Convention in conjunction with Article</w:t>
      </w:r>
      <w:r w:rsidR="00152194" w:rsidRPr="00E24C37">
        <w:t> </w:t>
      </w:r>
      <w:r w:rsidR="006E3E18" w:rsidRPr="00E24C37">
        <w:t xml:space="preserve">11 in </w:t>
      </w:r>
      <w:r w:rsidR="006E3E18" w:rsidRPr="00E24C37">
        <w:rPr>
          <w:i/>
        </w:rPr>
        <w:t>Lashmankin and Others</w:t>
      </w:r>
      <w:r w:rsidR="00CD7DA9" w:rsidRPr="00E24C37">
        <w:t xml:space="preserve"> </w:t>
      </w:r>
      <w:r w:rsidR="009941E4" w:rsidRPr="00E24C37">
        <w:t>(</w:t>
      </w:r>
      <w:r w:rsidR="00CD7DA9" w:rsidRPr="00E24C37">
        <w:t xml:space="preserve">cited above, </w:t>
      </w:r>
      <w:r w:rsidR="006E3E18" w:rsidRPr="00E24C37">
        <w:t>§</w:t>
      </w:r>
      <w:r w:rsidR="000C30D2" w:rsidRPr="00E24C37">
        <w:t> </w:t>
      </w:r>
      <w:r w:rsidR="006E3E18" w:rsidRPr="00E24C37">
        <w:t>35</w:t>
      </w:r>
      <w:r w:rsidR="00631F30" w:rsidRPr="00E24C37">
        <w:t>6</w:t>
      </w:r>
      <w:r w:rsidR="009941E4" w:rsidRPr="00E24C37">
        <w:t>)</w:t>
      </w:r>
      <w:r w:rsidR="000D41A4" w:rsidRPr="00E24C37">
        <w:t xml:space="preserve">, which </w:t>
      </w:r>
      <w:r w:rsidR="006E3E18" w:rsidRPr="00E24C37">
        <w:t>also concerned the judicial</w:t>
      </w:r>
      <w:r w:rsidR="009941E4" w:rsidRPr="00E24C37">
        <w:t xml:space="preserve"> </w:t>
      </w:r>
      <w:r w:rsidR="006E3E18" w:rsidRPr="00E24C37">
        <w:t xml:space="preserve">review procedure under Chapter 25 of the </w:t>
      </w:r>
      <w:r w:rsidR="00DE2269" w:rsidRPr="00E24C37">
        <w:t>CCP</w:t>
      </w:r>
      <w:r w:rsidR="006E3E18" w:rsidRPr="00E24C37">
        <w:t xml:space="preserve">. In particular, the Court stated </w:t>
      </w:r>
      <w:r w:rsidR="006F3B48" w:rsidRPr="00E24C37">
        <w:t>as follows</w:t>
      </w:r>
      <w:r w:rsidR="006E3E18" w:rsidRPr="00E24C37">
        <w:t>:</w:t>
      </w:r>
    </w:p>
    <w:p w:rsidR="006E3E18" w:rsidRPr="00E24C37" w:rsidRDefault="006F3B48" w:rsidP="00E24C37">
      <w:pPr>
        <w:pStyle w:val="ECHRPara"/>
        <w:rPr>
          <w:rFonts w:eastAsia="Times New Roman"/>
          <w:lang w:eastAsia="en-GB"/>
        </w:rPr>
      </w:pPr>
      <w:r w:rsidRPr="00E24C37">
        <w:t>(a)  </w:t>
      </w:r>
      <w:r w:rsidR="006E3E18" w:rsidRPr="00E24C37">
        <w:t>T</w:t>
      </w:r>
      <w:r w:rsidR="006E3E18" w:rsidRPr="00E24C37">
        <w:rPr>
          <w:rFonts w:eastAsia="Times New Roman"/>
          <w:lang w:eastAsia="en-GB"/>
        </w:rPr>
        <w:t>he scope of judicial review was limited to examining the lawfulness of the impugned administrative act or measure. In accordance with Chapter</w:t>
      </w:r>
      <w:r w:rsidR="005A6CB5" w:rsidRPr="00E24C37">
        <w:rPr>
          <w:rFonts w:eastAsia="Times New Roman"/>
          <w:lang w:eastAsia="en-GB"/>
        </w:rPr>
        <w:t> </w:t>
      </w:r>
      <w:r w:rsidR="006E3E18" w:rsidRPr="00E24C37">
        <w:rPr>
          <w:rFonts w:eastAsia="Times New Roman"/>
          <w:lang w:eastAsia="en-GB"/>
        </w:rPr>
        <w:t>25 of the CCP, the sole relevant issue before the domestic courts was whether the contested act or measure was lawful. “Lawfulness” was understood as compliance with the rules of competence, procedure and contents. The Supreme Court expressly stated that the courts had no competence to assess the reasonableness of the authorities</w:t>
      </w:r>
      <w:r w:rsidR="00E24C37" w:rsidRPr="00E24C37">
        <w:rPr>
          <w:rFonts w:eastAsia="Times New Roman"/>
          <w:lang w:eastAsia="en-GB"/>
        </w:rPr>
        <w:t>’</w:t>
      </w:r>
      <w:r w:rsidR="006E3E18" w:rsidRPr="00E24C37">
        <w:rPr>
          <w:rFonts w:eastAsia="Times New Roman"/>
          <w:lang w:eastAsia="en-GB"/>
        </w:rPr>
        <w:t xml:space="preserve"> acts or decisions made within their discretionary powers. It followed that the courts were not required by law to examine the issues of “proportionality” and “necessity in a democratic society”, in particular whether the contested decision answered a pressing social need and was proportionate to any legitimate aims pursued, principles which lie at the heart of the analysis of complaints </w:t>
      </w:r>
      <w:r w:rsidR="005A6CB5" w:rsidRPr="00E24C37">
        <w:rPr>
          <w:rFonts w:eastAsia="Times New Roman"/>
          <w:lang w:eastAsia="en-GB"/>
        </w:rPr>
        <w:t>relating to</w:t>
      </w:r>
      <w:r w:rsidR="006E3E18" w:rsidRPr="00E24C37">
        <w:rPr>
          <w:rFonts w:eastAsia="Times New Roman"/>
          <w:lang w:eastAsia="en-GB"/>
        </w:rPr>
        <w:t xml:space="preserve"> Article</w:t>
      </w:r>
      <w:r w:rsidR="005A6CB5" w:rsidRPr="00E24C37">
        <w:rPr>
          <w:rFonts w:eastAsia="Times New Roman"/>
          <w:lang w:eastAsia="en-GB"/>
        </w:rPr>
        <w:t> </w:t>
      </w:r>
      <w:r w:rsidR="006E3E18" w:rsidRPr="00E24C37">
        <w:rPr>
          <w:rFonts w:eastAsia="Times New Roman"/>
          <w:lang w:eastAsia="en-GB"/>
        </w:rPr>
        <w:t>11 of the Convention.</w:t>
      </w:r>
    </w:p>
    <w:p w:rsidR="00197E46" w:rsidRPr="00E24C37" w:rsidRDefault="006E3E18" w:rsidP="00E24C37">
      <w:pPr>
        <w:pStyle w:val="ECHRPara"/>
        <w:rPr>
          <w:rFonts w:eastAsia="Times New Roman"/>
          <w:lang w:eastAsia="en-GB"/>
        </w:rPr>
      </w:pPr>
      <w:r w:rsidRPr="00E24C37">
        <w:rPr>
          <w:rFonts w:eastAsia="Times New Roman"/>
          <w:lang w:eastAsia="en-GB"/>
        </w:rPr>
        <w:t xml:space="preserve">(b)  The analysis of the judicial decisions made in the case of </w:t>
      </w:r>
      <w:r w:rsidRPr="00E24C37">
        <w:rPr>
          <w:rFonts w:eastAsia="Times New Roman"/>
          <w:i/>
          <w:lang w:eastAsia="en-GB"/>
        </w:rPr>
        <w:t>Lashmankin and Others</w:t>
      </w:r>
      <w:r w:rsidRPr="00E24C37">
        <w:rPr>
          <w:rFonts w:eastAsia="Times New Roman"/>
          <w:lang w:eastAsia="en-GB"/>
        </w:rPr>
        <w:t xml:space="preserve"> showed that they failed to recognise that the cases involved a conflict between the right to freedom of assembly and other legitimate interests and to perform a balancing exercise. The balance appeared to be set in favour of protection of other interests, such as rights and freedoms of non-participants, in a way that made it difficult to turn the balance in favour of the freedom of assembly. The Court concluded that in practice Russian courts had not applied standards which were in conformity </w:t>
      </w:r>
      <w:r w:rsidRPr="00E24C37">
        <w:rPr>
          <w:rFonts w:eastAsia="Times New Roman"/>
          <w:lang w:eastAsia="en-GB"/>
        </w:rPr>
        <w:lastRenderedPageBreak/>
        <w:t xml:space="preserve">with the principles embodied in Article 11 and did not apply the </w:t>
      </w:r>
      <w:r w:rsidR="006F3B48" w:rsidRPr="00E24C37">
        <w:rPr>
          <w:rFonts w:eastAsia="Times New Roman"/>
          <w:lang w:eastAsia="en-GB"/>
        </w:rPr>
        <w:t>“proportionality” and “necessary in a democratic society</w:t>
      </w:r>
      <w:r w:rsidRPr="00E24C37">
        <w:rPr>
          <w:rFonts w:eastAsia="Times New Roman"/>
          <w:lang w:eastAsia="en-GB"/>
        </w:rPr>
        <w:t>” tests.</w:t>
      </w:r>
    </w:p>
    <w:p w:rsidR="006F54EE"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90</w:t>
      </w:r>
      <w:r w:rsidRPr="00E24C37">
        <w:rPr>
          <w:noProof/>
        </w:rPr>
        <w:fldChar w:fldCharType="end"/>
      </w:r>
      <w:r w:rsidR="001F791B" w:rsidRPr="00E24C37">
        <w:t>.  </w:t>
      </w:r>
      <w:r w:rsidR="006E3E18" w:rsidRPr="00E24C37">
        <w:t>In the Court</w:t>
      </w:r>
      <w:r w:rsidR="00E24C37" w:rsidRPr="00E24C37">
        <w:t>’</w:t>
      </w:r>
      <w:r w:rsidR="006E3E18" w:rsidRPr="00E24C37">
        <w:t>s view, th</w:t>
      </w:r>
      <w:r w:rsidR="009941E4" w:rsidRPr="00E24C37">
        <w:t>at</w:t>
      </w:r>
      <w:r w:rsidR="006E3E18" w:rsidRPr="00E24C37">
        <w:t xml:space="preserve"> assessment is app</w:t>
      </w:r>
      <w:r w:rsidR="0027401F" w:rsidRPr="00E24C37">
        <w:t xml:space="preserve">licable </w:t>
      </w:r>
      <w:r w:rsidR="006F54EE" w:rsidRPr="00E24C37">
        <w:t>to the context of the adverse decisions and actions taken by the customs authorities in relation to the copying of electronic data</w:t>
      </w:r>
      <w:r w:rsidR="0069229E" w:rsidRPr="00E24C37">
        <w:t>,</w:t>
      </w:r>
      <w:r w:rsidR="006F54EE" w:rsidRPr="00E24C37">
        <w:t xml:space="preserve"> as challenged by the applicant in the judicial</w:t>
      </w:r>
      <w:r w:rsidR="009941E4" w:rsidRPr="00E24C37">
        <w:t xml:space="preserve"> </w:t>
      </w:r>
      <w:r w:rsidR="006F54EE" w:rsidRPr="00E24C37">
        <w:t>review proceedings.</w:t>
      </w:r>
      <w:r w:rsidR="001F791B" w:rsidRPr="00E24C37">
        <w:t xml:space="preserve"> </w:t>
      </w:r>
      <w:r w:rsidR="009941E4" w:rsidRPr="00E24C37">
        <w:t xml:space="preserve">After </w:t>
      </w:r>
      <w:r w:rsidR="0027401F" w:rsidRPr="00E24C37">
        <w:t>e</w:t>
      </w:r>
      <w:r w:rsidR="006F54EE" w:rsidRPr="00E24C37">
        <w:t>xamin</w:t>
      </w:r>
      <w:r w:rsidR="009941E4" w:rsidRPr="00E24C37">
        <w:t>ing</w:t>
      </w:r>
      <w:r w:rsidR="006F54EE" w:rsidRPr="00E24C37">
        <w:t xml:space="preserve"> the parties</w:t>
      </w:r>
      <w:r w:rsidR="00E24C37" w:rsidRPr="00E24C37">
        <w:t>’</w:t>
      </w:r>
      <w:r w:rsidR="006F54EE" w:rsidRPr="00E24C37">
        <w:t xml:space="preserve"> submissions</w:t>
      </w:r>
      <w:r w:rsidR="0027401F" w:rsidRPr="00E24C37">
        <w:t>, the Court fi</w:t>
      </w:r>
      <w:r w:rsidR="006F54EE" w:rsidRPr="00E24C37">
        <w:t>nds no reason to de</w:t>
      </w:r>
      <w:r w:rsidR="00471484" w:rsidRPr="00E24C37">
        <w:t xml:space="preserve">part from the above assessment (see, in the same vein, </w:t>
      </w:r>
      <w:r w:rsidR="00471484" w:rsidRPr="00E24C37">
        <w:rPr>
          <w:i/>
        </w:rPr>
        <w:t>Polyakova and Others v. Russia</w:t>
      </w:r>
      <w:r w:rsidR="00471484" w:rsidRPr="00E24C37">
        <w:t>, nos. 35090/09 and 3</w:t>
      </w:r>
      <w:r w:rsidR="00D15269" w:rsidRPr="00E24C37">
        <w:t> </w:t>
      </w:r>
      <w:r w:rsidR="00471484" w:rsidRPr="00E24C37">
        <w:t>others, §§</w:t>
      </w:r>
      <w:r w:rsidR="00D15269" w:rsidRPr="00E24C37">
        <w:t> </w:t>
      </w:r>
      <w:r w:rsidR="00471484" w:rsidRPr="00E24C37">
        <w:t xml:space="preserve">110-14, 7 March 2017 </w:t>
      </w:r>
      <w:r w:rsidR="009941E4" w:rsidRPr="00E24C37">
        <w:t xml:space="preserve">as </w:t>
      </w:r>
      <w:r w:rsidR="00471484" w:rsidRPr="00E24C37">
        <w:t>regards judicial</w:t>
      </w:r>
      <w:r w:rsidR="009941E4" w:rsidRPr="00E24C37">
        <w:t xml:space="preserve"> </w:t>
      </w:r>
      <w:r w:rsidR="00471484" w:rsidRPr="00E24C37">
        <w:t>review challenges in relation to family visits to convicted prisoners</w:t>
      </w:r>
      <w:r w:rsidR="00587B5C" w:rsidRPr="00E24C37">
        <w:t xml:space="preserve">; and </w:t>
      </w:r>
      <w:r w:rsidR="00587B5C" w:rsidRPr="00E24C37">
        <w:rPr>
          <w:i/>
        </w:rPr>
        <w:t>Ustinova</w:t>
      </w:r>
      <w:r w:rsidR="00587B5C" w:rsidRPr="00E24C37">
        <w:t>, cited above, §§ 51-52 in relation to an exclusion order in respect of a foreign national</w:t>
      </w:r>
      <w:r w:rsidR="00471484" w:rsidRPr="00E24C37">
        <w:t xml:space="preserve">). </w:t>
      </w:r>
      <w:r w:rsidR="006F54EE" w:rsidRPr="00E24C37">
        <w:t xml:space="preserve">In particular, the Court notes that in addition to having </w:t>
      </w:r>
      <w:r w:rsidR="009941E4" w:rsidRPr="00E24C37">
        <w:t xml:space="preserve">different </w:t>
      </w:r>
      <w:r w:rsidR="006F54EE" w:rsidRPr="00E24C37">
        <w:t>subject</w:t>
      </w:r>
      <w:r w:rsidR="009941E4" w:rsidRPr="00E24C37">
        <w:t xml:space="preserve"> </w:t>
      </w:r>
      <w:r w:rsidR="006F54EE" w:rsidRPr="00E24C37">
        <w:t xml:space="preserve">matter from the present case, several examples of </w:t>
      </w:r>
      <w:r w:rsidR="009941E4" w:rsidRPr="00E24C37">
        <w:t xml:space="preserve">the </w:t>
      </w:r>
      <w:r w:rsidR="006F54EE" w:rsidRPr="00E24C37">
        <w:t>favo</w:t>
      </w:r>
      <w:r w:rsidR="009941E4" w:rsidRPr="00E24C37">
        <w:t>u</w:t>
      </w:r>
      <w:r w:rsidR="006F54EE" w:rsidRPr="00E24C37">
        <w:t xml:space="preserve">rable domestic judgments supplied by the Government (see paragraph </w:t>
      </w:r>
      <w:r w:rsidR="006F54EE" w:rsidRPr="00E24C37">
        <w:fldChar w:fldCharType="begin"/>
      </w:r>
      <w:r w:rsidR="006F54EE" w:rsidRPr="00E24C37">
        <w:instrText xml:space="preserve"> REF  Gexamplescases \h </w:instrText>
      </w:r>
      <w:r w:rsidR="006F54EE" w:rsidRPr="00E24C37">
        <w:fldChar w:fldCharType="separate"/>
      </w:r>
      <w:r w:rsidR="00B87844">
        <w:rPr>
          <w:noProof/>
        </w:rPr>
        <w:t>58</w:t>
      </w:r>
      <w:r w:rsidR="006F54EE" w:rsidRPr="00E24C37">
        <w:fldChar w:fldCharType="end"/>
      </w:r>
      <w:r w:rsidR="006F54EE" w:rsidRPr="00E24C37">
        <w:t xml:space="preserve"> above) were confined to findings of formal unlawfulness relating to non-observance of certain formal requirements of domestic law, for instance relating to the competence of a customs authority, compliance with certain procedures and time-limits. The decision</w:t>
      </w:r>
      <w:r w:rsidR="006362D8" w:rsidRPr="00E24C37">
        <w:t>s contain no particular reasoning correspond</w:t>
      </w:r>
      <w:r w:rsidR="009941E4" w:rsidRPr="00E24C37">
        <w:t>ing</w:t>
      </w:r>
      <w:r w:rsidR="006362D8" w:rsidRPr="00E24C37">
        <w:t xml:space="preserve"> to the matters examined above in the context of Article</w:t>
      </w:r>
      <w:r w:rsidR="0051089D" w:rsidRPr="00E24C37">
        <w:t> </w:t>
      </w:r>
      <w:r w:rsidR="006F54EE" w:rsidRPr="00E24C37">
        <w:t>8</w:t>
      </w:r>
      <w:r w:rsidR="006362D8" w:rsidRPr="00E24C37">
        <w:t> </w:t>
      </w:r>
      <w:r w:rsidR="0051089D" w:rsidRPr="00E24C37">
        <w:t>of the Convention as regards respect for the</w:t>
      </w:r>
      <w:r w:rsidR="008039A7" w:rsidRPr="00E24C37">
        <w:t xml:space="preserve"> applicant</w:t>
      </w:r>
      <w:r w:rsidR="00E24C37" w:rsidRPr="00E24C37">
        <w:t>’</w:t>
      </w:r>
      <w:r w:rsidR="008039A7" w:rsidRPr="00E24C37">
        <w:t>s “private life”</w:t>
      </w:r>
      <w:r w:rsidR="0051089D" w:rsidRPr="00E24C37">
        <w:t>.</w:t>
      </w:r>
    </w:p>
    <w:p w:rsidR="00197E46"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91</w:t>
      </w:r>
      <w:r w:rsidRPr="00E24C37">
        <w:rPr>
          <w:noProof/>
        </w:rPr>
        <w:fldChar w:fldCharType="end"/>
      </w:r>
      <w:r w:rsidR="008039A7" w:rsidRPr="00E24C37">
        <w:t>.  In addition, the Court observes that the Chapter 25 review in the present case was carried out in the light of the applicable substantive legislation such as the Customs Code</w:t>
      </w:r>
      <w:r w:rsidR="009941E4" w:rsidRPr="00E24C37">
        <w:t>,</w:t>
      </w:r>
      <w:r w:rsidR="008039A7" w:rsidRPr="00E24C37">
        <w:t xml:space="preserve"> which served as the basis for the “interference”. The respondent Government has not demonstrated</w:t>
      </w:r>
      <w:r w:rsidR="00C57462" w:rsidRPr="00E24C37">
        <w:t xml:space="preserve"> that th</w:t>
      </w:r>
      <w:r w:rsidR="009941E4" w:rsidRPr="00E24C37">
        <w:t>at</w:t>
      </w:r>
      <w:r w:rsidR="00C57462" w:rsidRPr="00E24C37">
        <w:t xml:space="preserve"> legislation added anything to provide the courts with a legal framework for </w:t>
      </w:r>
      <w:r w:rsidR="002F04C5" w:rsidRPr="00E24C37">
        <w:t>ascertaining whether the “interference” was “necessary in a democratic society”.</w:t>
      </w:r>
    </w:p>
    <w:p w:rsidR="006B0EA0" w:rsidRPr="00E24C37" w:rsidRDefault="006B0EA0" w:rsidP="00E24C37">
      <w:pPr>
        <w:pStyle w:val="ECHRPara"/>
      </w:pPr>
      <w:r w:rsidRPr="00E24C37">
        <w:fldChar w:fldCharType="begin"/>
      </w:r>
      <w:r w:rsidRPr="00E24C37">
        <w:instrText xml:space="preserve"> SEQ level0 \*arabic </w:instrText>
      </w:r>
      <w:r w:rsidRPr="00E24C37">
        <w:fldChar w:fldCharType="separate"/>
      </w:r>
      <w:r w:rsidR="00B87844">
        <w:rPr>
          <w:noProof/>
        </w:rPr>
        <w:t>92</w:t>
      </w:r>
      <w:r w:rsidRPr="00E24C37">
        <w:fldChar w:fldCharType="end"/>
      </w:r>
      <w:r w:rsidRPr="00E24C37">
        <w:t xml:space="preserve">.  The Court is of the view that the circumstances of the present case highlight certain deficiencies in the domestic regulatory framework. </w:t>
      </w:r>
      <w:r w:rsidR="00DF64FB" w:rsidRPr="00E24C37">
        <w:t xml:space="preserve">The domestic authorities, including the courts, were not required to give – and did not give – </w:t>
      </w:r>
      <w:r w:rsidRPr="00E24C37">
        <w:t>relevant and sufficient reasons for justifying the “interference” in the present case. In particular, it was not considered pertinent by the domestic authorities to ascertain whether the impugned measures were in pursuance of any actual legitimate aim, for instance the ones referred to by the Government. It was merely assumed that the identification of possible “extremist material” was required by the 1995 Presidential decree. It was not considered relevant, at any stage and in any manner, that the applicant was carrying journalistic material</w:t>
      </w:r>
      <w:r w:rsidR="00160B22" w:rsidRPr="00E24C37">
        <w:t xml:space="preserve"> (see also below under Article 10 of the Convention)</w:t>
      </w:r>
      <w:r w:rsidRPr="00E24C37">
        <w:t>.</w:t>
      </w:r>
    </w:p>
    <w:p w:rsidR="00197E46" w:rsidRPr="00E24C37" w:rsidRDefault="004F5B90" w:rsidP="00E24C37">
      <w:pPr>
        <w:pStyle w:val="ECHRHeading6"/>
      </w:pPr>
      <w:r w:rsidRPr="00E24C37">
        <w:t>(</w:t>
      </w:r>
      <w:r w:rsidR="00AA2325" w:rsidRPr="00E24C37">
        <w:rPr>
          <w:rFonts w:cstheme="majorHAnsi"/>
        </w:rPr>
        <w:t>γ</w:t>
      </w:r>
      <w:r w:rsidRPr="00E24C37">
        <w:t>)  </w:t>
      </w:r>
      <w:r w:rsidR="002E575A" w:rsidRPr="00E24C37">
        <w:t>Conclusion</w:t>
      </w:r>
    </w:p>
    <w:p w:rsidR="007A4803" w:rsidRPr="00E24C37" w:rsidRDefault="004B1E2C" w:rsidP="00E24C37">
      <w:pPr>
        <w:pStyle w:val="ECHRPara"/>
        <w:rPr>
          <w:lang w:val="en"/>
        </w:rPr>
      </w:pPr>
      <w:r w:rsidRPr="00E24C37">
        <w:fldChar w:fldCharType="begin"/>
      </w:r>
      <w:r w:rsidRPr="00E24C37">
        <w:instrText xml:space="preserve"> SEQ level0 \*arabic </w:instrText>
      </w:r>
      <w:r w:rsidRPr="00E24C37">
        <w:fldChar w:fldCharType="separate"/>
      </w:r>
      <w:r w:rsidR="00B87844">
        <w:rPr>
          <w:noProof/>
        </w:rPr>
        <w:t>93</w:t>
      </w:r>
      <w:r w:rsidRPr="00E24C37">
        <w:rPr>
          <w:noProof/>
        </w:rPr>
        <w:fldChar w:fldCharType="end"/>
      </w:r>
      <w:r w:rsidR="007A4803" w:rsidRPr="00E24C37">
        <w:t>.  </w:t>
      </w:r>
      <w:r w:rsidR="00587B5C" w:rsidRPr="00E24C37">
        <w:t>In sum, t</w:t>
      </w:r>
      <w:r w:rsidR="006E3E18" w:rsidRPr="00E24C37">
        <w:t xml:space="preserve">he Court concludes </w:t>
      </w:r>
      <w:r w:rsidR="00A11BB8" w:rsidRPr="00E24C37">
        <w:t xml:space="preserve">in addition to the findings under the heading of formal legality in paragraph </w:t>
      </w:r>
      <w:r w:rsidR="00A11BB8" w:rsidRPr="00E24C37">
        <w:fldChar w:fldCharType="begin"/>
      </w:r>
      <w:r w:rsidR="00A11BB8" w:rsidRPr="00E24C37">
        <w:instrText xml:space="preserve"> REF  conclusion1 \h </w:instrText>
      </w:r>
      <w:r w:rsidR="00A11BB8" w:rsidRPr="00E24C37">
        <w:fldChar w:fldCharType="separate"/>
      </w:r>
      <w:r w:rsidR="00B87844">
        <w:rPr>
          <w:noProof/>
        </w:rPr>
        <w:t>80</w:t>
      </w:r>
      <w:r w:rsidR="00A11BB8" w:rsidRPr="00E24C37">
        <w:fldChar w:fldCharType="end"/>
      </w:r>
      <w:r w:rsidR="00A11BB8" w:rsidRPr="00E24C37">
        <w:t xml:space="preserve"> above that</w:t>
      </w:r>
      <w:r w:rsidR="008A1E53" w:rsidRPr="00E24C37">
        <w:t xml:space="preserve"> the respondent Government ha</w:t>
      </w:r>
      <w:r w:rsidR="00160B22" w:rsidRPr="00E24C37">
        <w:t>s</w:t>
      </w:r>
      <w:r w:rsidR="008A1E53" w:rsidRPr="00E24C37">
        <w:t xml:space="preserve"> not convincingly demonstrated that </w:t>
      </w:r>
      <w:r w:rsidR="007A4803" w:rsidRPr="00E24C37">
        <w:rPr>
          <w:lang w:val="en"/>
        </w:rPr>
        <w:t xml:space="preserve">the relevant legislation </w:t>
      </w:r>
      <w:r w:rsidR="007A4803" w:rsidRPr="00E24C37">
        <w:rPr>
          <w:lang w:val="en"/>
        </w:rPr>
        <w:lastRenderedPageBreak/>
        <w:t xml:space="preserve">and practice afforded adequate and effective safeguards against abuse in </w:t>
      </w:r>
      <w:r w:rsidR="009941E4" w:rsidRPr="00E24C37">
        <w:rPr>
          <w:lang w:val="en"/>
        </w:rPr>
        <w:t>a</w:t>
      </w:r>
      <w:r w:rsidR="007A4803" w:rsidRPr="00E24C37">
        <w:rPr>
          <w:lang w:val="en"/>
        </w:rPr>
        <w:t xml:space="preserve"> situation of applying the sampling procedure in respect of electronic data contained in an electronic device (compare </w:t>
      </w:r>
      <w:r w:rsidR="006B0EA0" w:rsidRPr="00E24C37">
        <w:rPr>
          <w:i/>
        </w:rPr>
        <w:t>Gillan and Quinton</w:t>
      </w:r>
      <w:r w:rsidR="007A4803" w:rsidRPr="00E24C37">
        <w:t xml:space="preserve">, cited above, § </w:t>
      </w:r>
      <w:r w:rsidR="006B0EA0" w:rsidRPr="00E24C37">
        <w:t>87</w:t>
      </w:r>
      <w:r w:rsidR="007A4803" w:rsidRPr="00E24C37">
        <w:t>).</w:t>
      </w:r>
    </w:p>
    <w:p w:rsidR="006E3E18"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94</w:t>
      </w:r>
      <w:r w:rsidRPr="00E24C37">
        <w:rPr>
          <w:noProof/>
        </w:rPr>
        <w:fldChar w:fldCharType="end"/>
      </w:r>
      <w:r w:rsidR="006E3E18" w:rsidRPr="00E24C37">
        <w:t>.  The</w:t>
      </w:r>
      <w:r w:rsidR="004F5B90" w:rsidRPr="00E24C37">
        <w:t>y are not, therefore, “in accordance with the law” and it follows that the</w:t>
      </w:r>
      <w:r w:rsidR="006E3E18" w:rsidRPr="00E24C37">
        <w:t>re has accordingly been a violation of Article 8 of the Convention.</w:t>
      </w:r>
    </w:p>
    <w:p w:rsidR="0066219E" w:rsidRPr="00E24C37" w:rsidRDefault="0066219E" w:rsidP="00E24C37">
      <w:pPr>
        <w:pStyle w:val="ECHRPara"/>
      </w:pPr>
      <w:r w:rsidRPr="00E24C37">
        <w:fldChar w:fldCharType="begin"/>
      </w:r>
      <w:r w:rsidRPr="00E24C37">
        <w:instrText xml:space="preserve"> SEQ level0 \*arabic </w:instrText>
      </w:r>
      <w:r w:rsidRPr="00E24C37">
        <w:fldChar w:fldCharType="separate"/>
      </w:r>
      <w:r w:rsidR="00B87844">
        <w:rPr>
          <w:noProof/>
        </w:rPr>
        <w:t>95</w:t>
      </w:r>
      <w:r w:rsidRPr="00E24C37">
        <w:fldChar w:fldCharType="end"/>
      </w:r>
      <w:r w:rsidRPr="00E24C37">
        <w:t>.  The above findings dispense the Court from having to examine whether the other requirements of the second paragraph of Article 8 have been complied with.</w:t>
      </w:r>
    </w:p>
    <w:p w:rsidR="00900C39" w:rsidRPr="00E24C37" w:rsidRDefault="00D97A48" w:rsidP="00E24C37">
      <w:pPr>
        <w:pStyle w:val="ECHRHeading1"/>
      </w:pPr>
      <w:r w:rsidRPr="00E24C37">
        <w:t>I</w:t>
      </w:r>
      <w:r w:rsidR="00900C39" w:rsidRPr="00E24C37">
        <w:t>II.  ALLEGED VIOLATION OF ARTICLE 10 OF THE CONVENTION</w:t>
      </w:r>
    </w:p>
    <w:p w:rsidR="00900C39"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96</w:t>
      </w:r>
      <w:r w:rsidRPr="00E24C37">
        <w:rPr>
          <w:noProof/>
        </w:rPr>
        <w:fldChar w:fldCharType="end"/>
      </w:r>
      <w:r w:rsidR="00900C39" w:rsidRPr="00E24C37">
        <w:t xml:space="preserve">.  The applicant </w:t>
      </w:r>
      <w:r w:rsidR="005A6CB5" w:rsidRPr="00E24C37">
        <w:t>argued</w:t>
      </w:r>
      <w:r w:rsidR="00900C39" w:rsidRPr="00E24C37">
        <w:t xml:space="preserve"> </w:t>
      </w:r>
      <w:r w:rsidR="0022479E" w:rsidRPr="00E24C37">
        <w:t xml:space="preserve">that the situation complained of </w:t>
      </w:r>
      <w:r w:rsidR="009941E4" w:rsidRPr="00E24C37">
        <w:t xml:space="preserve">had </w:t>
      </w:r>
      <w:r w:rsidR="0022479E" w:rsidRPr="00E24C37">
        <w:t>also resulted in a separate breach of his freedom of expression, namely his freedom to receive and impart information and ideas</w:t>
      </w:r>
      <w:r w:rsidR="00900C39" w:rsidRPr="00E24C37">
        <w:t>.</w:t>
      </w:r>
    </w:p>
    <w:p w:rsidR="0022479E"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97</w:t>
      </w:r>
      <w:r w:rsidRPr="00E24C37">
        <w:rPr>
          <w:noProof/>
        </w:rPr>
        <w:fldChar w:fldCharType="end"/>
      </w:r>
      <w:r w:rsidR="005A6CB5" w:rsidRPr="00E24C37">
        <w:t>.  </w:t>
      </w:r>
      <w:r w:rsidR="0022479E" w:rsidRPr="00E24C37">
        <w:t>Article 10 of the Convention reads in the relevant parts as follows:</w:t>
      </w:r>
    </w:p>
    <w:p w:rsidR="00606621" w:rsidRPr="00E24C37" w:rsidRDefault="00606621" w:rsidP="00E24C37">
      <w:pPr>
        <w:pStyle w:val="ECHRParaQuote"/>
      </w:pPr>
      <w:r w:rsidRPr="00E24C37">
        <w:t xml:space="preserve">“1.  Everyone has the right to freedom of expression. This right shall include freedom to hold opinions and to receive and impart information and ideas without interference by public authority and regardless of frontiers </w:t>
      </w:r>
      <w:r w:rsidR="00197E46" w:rsidRPr="00E24C37">
        <w:t>...</w:t>
      </w:r>
    </w:p>
    <w:p w:rsidR="00606621" w:rsidRPr="00E24C37" w:rsidRDefault="00606621" w:rsidP="00E24C37">
      <w:pPr>
        <w:pStyle w:val="ECHRParaQuote"/>
      </w:pPr>
      <w:r w:rsidRPr="00E24C37">
        <w:t xml:space="preserve">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w:t>
      </w:r>
      <w:r w:rsidR="00197E46" w:rsidRPr="00E24C37">
        <w:t>...</w:t>
      </w:r>
      <w:r w:rsidRPr="00E24C37">
        <w:t>”</w:t>
      </w:r>
    </w:p>
    <w:p w:rsidR="00606621" w:rsidRPr="00E24C37" w:rsidRDefault="00606621" w:rsidP="00E24C37">
      <w:pPr>
        <w:pStyle w:val="ECHRHeading2"/>
      </w:pPr>
      <w:r w:rsidRPr="00E24C37">
        <w:t>A.  The parties</w:t>
      </w:r>
      <w:r w:rsidR="00E24C37" w:rsidRPr="00E24C37">
        <w:t>’</w:t>
      </w:r>
      <w:r w:rsidRPr="00E24C37">
        <w:t xml:space="preserve"> submissions</w:t>
      </w:r>
    </w:p>
    <w:p w:rsidR="00606621" w:rsidRPr="00E24C37" w:rsidRDefault="00606621" w:rsidP="00E24C37">
      <w:pPr>
        <w:pStyle w:val="ECHRHeading3"/>
      </w:pPr>
      <w:r w:rsidRPr="00E24C37">
        <w:t>1.  The applicant</w:t>
      </w:r>
    </w:p>
    <w:p w:rsidR="00CC1C3E"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98</w:t>
      </w:r>
      <w:r w:rsidRPr="00E24C37">
        <w:rPr>
          <w:noProof/>
        </w:rPr>
        <w:fldChar w:fldCharType="end"/>
      </w:r>
      <w:r w:rsidR="00C40D1A" w:rsidRPr="00E24C37">
        <w:t xml:space="preserve">.  The applicant </w:t>
      </w:r>
      <w:r w:rsidR="00CC1C3E" w:rsidRPr="00E24C37">
        <w:t>argued that the customs authority</w:t>
      </w:r>
      <w:r w:rsidR="00E24C37" w:rsidRPr="00E24C37">
        <w:t>’</w:t>
      </w:r>
      <w:r w:rsidR="00CC1C3E" w:rsidRPr="00E24C37">
        <w:t xml:space="preserve">s actions </w:t>
      </w:r>
      <w:r w:rsidR="009941E4" w:rsidRPr="00E24C37">
        <w:t xml:space="preserve">had </w:t>
      </w:r>
      <w:r w:rsidR="00CC1C3E" w:rsidRPr="00E24C37">
        <w:t xml:space="preserve">amounted to “interference by public authority” with his freedom of expression, including his freedom to receive and impart information and ideas </w:t>
      </w:r>
      <w:r w:rsidR="004B0AD3" w:rsidRPr="00E24C37">
        <w:t>“</w:t>
      </w:r>
      <w:r w:rsidR="00CC1C3E" w:rsidRPr="00E24C37">
        <w:t>regardless of frontiers</w:t>
      </w:r>
      <w:r w:rsidR="004B0AD3" w:rsidRPr="00E24C37">
        <w:t>”</w:t>
      </w:r>
      <w:r w:rsidR="00CC1C3E" w:rsidRPr="00E24C37">
        <w:t xml:space="preserve">. The applicant </w:t>
      </w:r>
      <w:r w:rsidR="00C40D1A" w:rsidRPr="00E24C37">
        <w:t xml:space="preserve">submitted that when crossing the border he had presented his passport </w:t>
      </w:r>
      <w:r w:rsidR="009941E4" w:rsidRPr="00E24C37">
        <w:t xml:space="preserve">and </w:t>
      </w:r>
      <w:r w:rsidR="00CC1C3E" w:rsidRPr="00E24C37">
        <w:t xml:space="preserve">press card. By copying the data from the laptop, the authorities had also copied his </w:t>
      </w:r>
      <w:r w:rsidR="003D7368" w:rsidRPr="00E24C37">
        <w:t>“FTP</w:t>
      </w:r>
      <w:r w:rsidR="00CC1C3E" w:rsidRPr="00E24C37">
        <w:t xml:space="preserve"> access passwords</w:t>
      </w:r>
      <w:r w:rsidR="003D7368" w:rsidRPr="00E24C37">
        <w:t>”</w:t>
      </w:r>
      <w:r w:rsidR="00CC1C3E" w:rsidRPr="00E24C37">
        <w:t xml:space="preserve"> to several professional servers</w:t>
      </w:r>
      <w:r w:rsidR="00A21D61" w:rsidRPr="00E24C37">
        <w:t>,</w:t>
      </w:r>
      <w:r w:rsidR="00CC1C3E" w:rsidRPr="00E24C37">
        <w:t xml:space="preserve"> such </w:t>
      </w:r>
      <w:r w:rsidR="00A21D61" w:rsidRPr="00E24C37">
        <w:t xml:space="preserve">as </w:t>
      </w:r>
      <w:r w:rsidR="00CC1C3E" w:rsidRPr="00E24C37">
        <w:t>Agency.Photographer.ru.</w:t>
      </w:r>
    </w:p>
    <w:p w:rsidR="00CC1C3E"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99</w:t>
      </w:r>
      <w:r w:rsidRPr="00E24C37">
        <w:rPr>
          <w:noProof/>
        </w:rPr>
        <w:fldChar w:fldCharType="end"/>
      </w:r>
      <w:r w:rsidR="00CC1C3E" w:rsidRPr="00E24C37">
        <w:t xml:space="preserve">.  The impugned “interference” had pursued no legitimate aim and </w:t>
      </w:r>
      <w:r w:rsidR="009941E4" w:rsidRPr="00E24C37">
        <w:t xml:space="preserve">had </w:t>
      </w:r>
      <w:r w:rsidR="00CC1C3E" w:rsidRPr="00E24C37">
        <w:t xml:space="preserve">not </w:t>
      </w:r>
      <w:r w:rsidR="009941E4" w:rsidRPr="00E24C37">
        <w:t xml:space="preserve">been </w:t>
      </w:r>
      <w:r w:rsidR="00CC1C3E" w:rsidRPr="00E24C37">
        <w:t>“necessary in a democratic society”. The applicant had acted as a journalist and had expressed hi</w:t>
      </w:r>
      <w:r w:rsidR="009941E4" w:rsidRPr="00E24C37">
        <w:t>s</w:t>
      </w:r>
      <w:r w:rsidR="00CC1C3E" w:rsidRPr="00E24C37">
        <w:t xml:space="preserve"> opinion by way of taking photographs and preparing texts for publication in print and Internet media outlets. In particular, the applicant had </w:t>
      </w:r>
      <w:r w:rsidR="009941E4" w:rsidRPr="00E24C37">
        <w:t xml:space="preserve">at the time </w:t>
      </w:r>
      <w:r w:rsidR="00CC1C3E" w:rsidRPr="00E24C37">
        <w:t>been working on a photo</w:t>
      </w:r>
      <w:r w:rsidR="009941E4" w:rsidRPr="00E24C37">
        <w:t xml:space="preserve"> </w:t>
      </w:r>
      <w:r w:rsidR="00CC1C3E" w:rsidRPr="00E24C37">
        <w:t xml:space="preserve">report concerning the life of ordinary people in Abkhazia and </w:t>
      </w:r>
      <w:r w:rsidR="004D03B1" w:rsidRPr="00E24C37">
        <w:t xml:space="preserve">the </w:t>
      </w:r>
      <w:r w:rsidR="00CC1C3E" w:rsidRPr="00E24C37">
        <w:t>prospects f</w:t>
      </w:r>
      <w:r w:rsidR="004D03B1" w:rsidRPr="00E24C37">
        <w:t>or</w:t>
      </w:r>
      <w:r w:rsidR="00CC1C3E" w:rsidRPr="00E24C37">
        <w:t xml:space="preserve"> </w:t>
      </w:r>
      <w:r w:rsidR="004D03B1" w:rsidRPr="00E24C37">
        <w:t xml:space="preserve">economic </w:t>
      </w:r>
      <w:r w:rsidR="00CC1C3E" w:rsidRPr="00E24C37">
        <w:t>development in the area. Th</w:t>
      </w:r>
      <w:r w:rsidR="004D03B1" w:rsidRPr="00E24C37">
        <w:t>at</w:t>
      </w:r>
      <w:r w:rsidR="00CC1C3E" w:rsidRPr="00E24C37">
        <w:t xml:space="preserve"> was a matter of considerable public interest, in particular on account of Russia</w:t>
      </w:r>
      <w:r w:rsidR="00E24C37" w:rsidRPr="00E24C37">
        <w:t>’</w:t>
      </w:r>
      <w:r w:rsidR="00CC1C3E" w:rsidRPr="00E24C37">
        <w:t xml:space="preserve">s financial and military </w:t>
      </w:r>
      <w:r w:rsidR="00CC1C3E" w:rsidRPr="00E24C37">
        <w:lastRenderedPageBreak/>
        <w:t>assistance. The national courts had not carried out any proportionality assessment.</w:t>
      </w:r>
    </w:p>
    <w:p w:rsidR="00606621" w:rsidRPr="00E24C37" w:rsidRDefault="00606621" w:rsidP="00E24C37">
      <w:pPr>
        <w:pStyle w:val="ECHRHeading3"/>
      </w:pPr>
      <w:r w:rsidRPr="00E24C37">
        <w:t>2.  The Government</w:t>
      </w:r>
    </w:p>
    <w:p w:rsidR="00606621"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100</w:t>
      </w:r>
      <w:r w:rsidRPr="00E24C37">
        <w:rPr>
          <w:noProof/>
        </w:rPr>
        <w:fldChar w:fldCharType="end"/>
      </w:r>
      <w:r w:rsidR="00293270" w:rsidRPr="00E24C37">
        <w:t>.  The Government argued that there had been no “interference by public authority” under Article 10 of the Convention</w:t>
      </w:r>
      <w:r w:rsidR="009C6156" w:rsidRPr="00E24C37">
        <w:t xml:space="preserve"> because at no point on 27 August 2009 or later </w:t>
      </w:r>
      <w:r w:rsidR="004D03B1" w:rsidRPr="00E24C37">
        <w:t xml:space="preserve">had </w:t>
      </w:r>
      <w:r w:rsidR="009C6156" w:rsidRPr="00E24C37">
        <w:t>the applicant been found liab</w:t>
      </w:r>
      <w:r w:rsidR="004D03B1" w:rsidRPr="00E24C37">
        <w:t xml:space="preserve">le </w:t>
      </w:r>
      <w:r w:rsidR="009C6156" w:rsidRPr="00E24C37">
        <w:t xml:space="preserve">for any offence or otherwise; he had not been prohibited from publishing material; the material </w:t>
      </w:r>
      <w:r w:rsidR="004D03B1" w:rsidRPr="00E24C37">
        <w:t xml:space="preserve">that had been copied </w:t>
      </w:r>
      <w:r w:rsidR="009C6156" w:rsidRPr="00E24C37">
        <w:t>had not been subject</w:t>
      </w:r>
      <w:r w:rsidR="004D03B1" w:rsidRPr="00E24C37">
        <w:t>ed</w:t>
      </w:r>
      <w:r w:rsidR="009C6156" w:rsidRPr="00E24C37">
        <w:t xml:space="preserve"> to a confiscation measure; </w:t>
      </w:r>
      <w:r w:rsidR="004D03B1" w:rsidRPr="00E24C37">
        <w:t xml:space="preserve">and </w:t>
      </w:r>
      <w:r w:rsidR="009C6156" w:rsidRPr="00E24C37">
        <w:t>there had been no disclosure of any confidential sources. The customs officers</w:t>
      </w:r>
      <w:r w:rsidR="00E24C37" w:rsidRPr="00E24C37">
        <w:t>’</w:t>
      </w:r>
      <w:r w:rsidR="009C6156" w:rsidRPr="00E24C37">
        <w:t xml:space="preserve"> actions had been limited to the inspection and copying of some data on account of a reasonable suspicion that it might contain extremist material</w:t>
      </w:r>
      <w:r w:rsidR="005D0F6E" w:rsidRPr="00E24C37">
        <w:t xml:space="preserve">. Their actions had had no “chilling effect” </w:t>
      </w:r>
      <w:r w:rsidR="005D0F6E" w:rsidRPr="00E24C37">
        <w:rPr>
          <w:i/>
        </w:rPr>
        <w:t>vis-à-vis</w:t>
      </w:r>
      <w:r w:rsidR="005D0F6E" w:rsidRPr="00E24C37">
        <w:t xml:space="preserve"> the journalistic freedom to hold and express opinions. It could not be decisive in the present case and had not been decisive for the customs officers that the applicant was a photojournalist. The applicant had not been approached or threatened because of his professional status. The “regardless of frontiers” phrase in Article 10 ha</w:t>
      </w:r>
      <w:r w:rsidR="004D03B1" w:rsidRPr="00E24C37">
        <w:t>d</w:t>
      </w:r>
      <w:r w:rsidR="005D0F6E" w:rsidRPr="00E24C37">
        <w:t xml:space="preserve"> no import in the present case.</w:t>
      </w:r>
    </w:p>
    <w:p w:rsidR="00606621"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101</w:t>
      </w:r>
      <w:r w:rsidRPr="00E24C37">
        <w:rPr>
          <w:noProof/>
        </w:rPr>
        <w:fldChar w:fldCharType="end"/>
      </w:r>
      <w:r w:rsidR="005D0F6E" w:rsidRPr="00E24C37">
        <w:t xml:space="preserve">.  Even </w:t>
      </w:r>
      <w:r w:rsidR="00A21D61" w:rsidRPr="00E24C37">
        <w:t xml:space="preserve">it was </w:t>
      </w:r>
      <w:r w:rsidR="005D0F6E" w:rsidRPr="00E24C37">
        <w:t>accept</w:t>
      </w:r>
      <w:r w:rsidR="00A21D61" w:rsidRPr="00E24C37">
        <w:t>ed</w:t>
      </w:r>
      <w:r w:rsidR="005D0F6E" w:rsidRPr="00E24C37">
        <w:t xml:space="preserve"> that there </w:t>
      </w:r>
      <w:r w:rsidR="004D03B1" w:rsidRPr="00E24C37">
        <w:t xml:space="preserve">had been </w:t>
      </w:r>
      <w:r w:rsidR="005D0F6E" w:rsidRPr="00E24C37">
        <w:t xml:space="preserve">“interference by public authority”, such interference had been relatively </w:t>
      </w:r>
      <w:r w:rsidR="000C0B78" w:rsidRPr="00E24C37">
        <w:t xml:space="preserve">insignificant. It </w:t>
      </w:r>
      <w:r w:rsidR="004D03B1" w:rsidRPr="00E24C37">
        <w:t xml:space="preserve">had been </w:t>
      </w:r>
      <w:r w:rsidR="000C0B78" w:rsidRPr="00E24C37">
        <w:t>lawful</w:t>
      </w:r>
      <w:r w:rsidR="004D03B1" w:rsidRPr="00E24C37">
        <w:t xml:space="preserve"> and had </w:t>
      </w:r>
      <w:r w:rsidR="000C0B78" w:rsidRPr="00E24C37">
        <w:t>pursued the aim</w:t>
      </w:r>
      <w:r w:rsidR="005A6CB5" w:rsidRPr="00E24C37">
        <w:t xml:space="preserve">s listed in Article 10 § 2 of the Convention. </w:t>
      </w:r>
      <w:r w:rsidR="000C0B78" w:rsidRPr="00E24C37">
        <w:t xml:space="preserve">The “interference” </w:t>
      </w:r>
      <w:r w:rsidR="004D03B1" w:rsidRPr="00E24C37">
        <w:t xml:space="preserve">had been </w:t>
      </w:r>
      <w:r w:rsidR="000C0B78" w:rsidRPr="00E24C37">
        <w:t xml:space="preserve">proportionate to those aims, in particular, for the same reasons as regards Article 8 of the Convention. The Government </w:t>
      </w:r>
      <w:r w:rsidR="005A6CB5" w:rsidRPr="00E24C37">
        <w:t>submitted</w:t>
      </w:r>
      <w:r w:rsidR="000C0B78" w:rsidRPr="00E24C37">
        <w:t xml:space="preserve"> that the Court</w:t>
      </w:r>
      <w:r w:rsidR="00E24C37" w:rsidRPr="00E24C37">
        <w:t>’</w:t>
      </w:r>
      <w:r w:rsidR="000C0B78" w:rsidRPr="00E24C37">
        <w:t>s case-law relating to the protection of journalistic sources was inapplicable in the present case.</w:t>
      </w:r>
    </w:p>
    <w:p w:rsidR="00606621" w:rsidRPr="00E24C37" w:rsidRDefault="00606621" w:rsidP="00E24C37">
      <w:pPr>
        <w:pStyle w:val="ECHRHeading2"/>
      </w:pPr>
      <w:r w:rsidRPr="00E24C37">
        <w:t>B.  The Court</w:t>
      </w:r>
      <w:r w:rsidR="00E24C37" w:rsidRPr="00E24C37">
        <w:t>’</w:t>
      </w:r>
      <w:r w:rsidRPr="00E24C37">
        <w:t>s assessment</w:t>
      </w:r>
    </w:p>
    <w:p w:rsidR="004F5B90"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102</w:t>
      </w:r>
      <w:r w:rsidRPr="00E24C37">
        <w:rPr>
          <w:noProof/>
        </w:rPr>
        <w:fldChar w:fldCharType="end"/>
      </w:r>
      <w:r w:rsidR="000D4948" w:rsidRPr="00E24C37">
        <w:t>.  </w:t>
      </w:r>
      <w:r w:rsidR="004F5B90" w:rsidRPr="00E24C37">
        <w:t>The Court considers that the complaint under Article 10 of the Convention</w:t>
      </w:r>
      <w:r w:rsidR="000D4948" w:rsidRPr="00E24C37">
        <w:t xml:space="preserve"> is linked to the complaint under Article 8 and that it</w:t>
      </w:r>
      <w:r w:rsidR="004F5B90" w:rsidRPr="00E24C37">
        <w:t xml:space="preserve"> is admissible. However, having regard to the applicant</w:t>
      </w:r>
      <w:r w:rsidR="00E24C37" w:rsidRPr="00E24C37">
        <w:t>’</w:t>
      </w:r>
      <w:r w:rsidR="004F5B90" w:rsidRPr="00E24C37">
        <w:t>s specific allegations and the nature and scope of the Court</w:t>
      </w:r>
      <w:r w:rsidR="00E24C37" w:rsidRPr="00E24C37">
        <w:t>’</w:t>
      </w:r>
      <w:r w:rsidR="004F5B90" w:rsidRPr="00E24C37">
        <w:t xml:space="preserve">s findings under Article 8 of the Convention (see </w:t>
      </w:r>
      <w:r w:rsidR="006B0EA0" w:rsidRPr="00E24C37">
        <w:t xml:space="preserve">also </w:t>
      </w:r>
      <w:r w:rsidR="006B0EA0" w:rsidRPr="00E24C37">
        <w:rPr>
          <w:i/>
        </w:rPr>
        <w:t>Gillan and Quinton</w:t>
      </w:r>
      <w:r w:rsidR="006B0EA0" w:rsidRPr="00E24C37">
        <w:t xml:space="preserve">, § 90, and </w:t>
      </w:r>
      <w:r w:rsidR="004F5B90" w:rsidRPr="00E24C37">
        <w:rPr>
          <w:i/>
        </w:rPr>
        <w:t>Lashmankin and Others,</w:t>
      </w:r>
      <w:r w:rsidR="004F5B90" w:rsidRPr="00E24C37">
        <w:t xml:space="preserve"> §§ 350-60</w:t>
      </w:r>
      <w:r w:rsidR="006B0EA0" w:rsidRPr="00E24C37">
        <w:t>, both cited above</w:t>
      </w:r>
      <w:r w:rsidR="004F5B90" w:rsidRPr="00E24C37">
        <w:t>), the Court considers that it is not necessary to examine it separately on the merits.</w:t>
      </w:r>
    </w:p>
    <w:p w:rsidR="00900C39" w:rsidRPr="00E24C37" w:rsidRDefault="00900C39" w:rsidP="00E24C37">
      <w:pPr>
        <w:pStyle w:val="ECHRHeading1"/>
      </w:pPr>
      <w:r w:rsidRPr="00E24C37">
        <w:t>I</w:t>
      </w:r>
      <w:r w:rsidR="00D97A48" w:rsidRPr="00E24C37">
        <w:t>V</w:t>
      </w:r>
      <w:r w:rsidRPr="00E24C37">
        <w:t xml:space="preserve">.  ALLEGED VIOLATION OF ARTICLE 13 </w:t>
      </w:r>
      <w:r w:rsidR="00590A75" w:rsidRPr="00E24C37">
        <w:t xml:space="preserve">OF </w:t>
      </w:r>
      <w:r w:rsidRPr="00E24C37">
        <w:t xml:space="preserve">THE CONVENTION IN CONJUNCTION WITH </w:t>
      </w:r>
      <w:r w:rsidR="008307DF" w:rsidRPr="00E24C37">
        <w:t>ARTICLES 8 AND 10</w:t>
      </w:r>
    </w:p>
    <w:p w:rsidR="00900C39"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103</w:t>
      </w:r>
      <w:r w:rsidRPr="00E24C37">
        <w:rPr>
          <w:noProof/>
        </w:rPr>
        <w:fldChar w:fldCharType="end"/>
      </w:r>
      <w:r w:rsidR="00900C39" w:rsidRPr="00E24C37">
        <w:t>.  Lastly, the applicant complained</w:t>
      </w:r>
      <w:r w:rsidR="00B76208" w:rsidRPr="00E24C37">
        <w:t xml:space="preserve"> in substance about the manner in which the judicial review </w:t>
      </w:r>
      <w:r w:rsidR="00590A75" w:rsidRPr="00E24C37">
        <w:t xml:space="preserve">in the present case </w:t>
      </w:r>
      <w:r w:rsidR="00B76208" w:rsidRPr="00E24C37">
        <w:t>was carried out. The parties have been invited to make submissions under Article 13 of the Convention, which reads as follows:</w:t>
      </w:r>
    </w:p>
    <w:p w:rsidR="00900C39" w:rsidRPr="00E24C37" w:rsidRDefault="00557AC2" w:rsidP="00E24C37">
      <w:pPr>
        <w:pStyle w:val="ECHRParaQuote"/>
      </w:pPr>
      <w:r w:rsidRPr="00E24C37">
        <w:lastRenderedPageBreak/>
        <w:t>“Everyone whose rights and freedoms as set forth in [the] Convention are violated shall have an effective remedy before a national authority notwithstanding that the violation has been committed by persons acting in an official capacity.”</w:t>
      </w:r>
    </w:p>
    <w:p w:rsidR="00900C39"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104</w:t>
      </w:r>
      <w:r w:rsidRPr="00E24C37">
        <w:rPr>
          <w:noProof/>
        </w:rPr>
        <w:fldChar w:fldCharType="end"/>
      </w:r>
      <w:r w:rsidR="007C1159" w:rsidRPr="00E24C37">
        <w:t xml:space="preserve">.  The applicant argued that </w:t>
      </w:r>
      <w:r w:rsidR="00ED2D29" w:rsidRPr="00E24C37">
        <w:t>the public officials</w:t>
      </w:r>
      <w:r w:rsidR="00E24C37" w:rsidRPr="00E24C37">
        <w:t>’</w:t>
      </w:r>
      <w:r w:rsidR="00ED2D29" w:rsidRPr="00E24C37">
        <w:t xml:space="preserve"> actions could be and actually </w:t>
      </w:r>
      <w:r w:rsidR="00590A75" w:rsidRPr="00E24C37">
        <w:t xml:space="preserve">had been </w:t>
      </w:r>
      <w:r w:rsidR="00ED2D29" w:rsidRPr="00E24C37">
        <w:t xml:space="preserve">challenged by way of </w:t>
      </w:r>
      <w:r w:rsidR="00590A75" w:rsidRPr="00E24C37">
        <w:t xml:space="preserve">a </w:t>
      </w:r>
      <w:r w:rsidR="00ED2D29" w:rsidRPr="00E24C37">
        <w:t>judicial review un</w:t>
      </w:r>
      <w:r w:rsidR="001D0135" w:rsidRPr="00E24C37">
        <w:t>der Chapter</w:t>
      </w:r>
      <w:r w:rsidR="00FD135C" w:rsidRPr="00E24C37">
        <w:t> </w:t>
      </w:r>
      <w:r w:rsidR="001D0135" w:rsidRPr="00E24C37">
        <w:t>25 of the CCP</w:t>
      </w:r>
      <w:r w:rsidR="00ED2D29" w:rsidRPr="00E24C37">
        <w:t xml:space="preserve">. However, the domestic courts </w:t>
      </w:r>
      <w:r w:rsidR="00590A75" w:rsidRPr="00E24C37">
        <w:t xml:space="preserve">had </w:t>
      </w:r>
      <w:r w:rsidR="00ED2D29" w:rsidRPr="00E24C37">
        <w:t>not proceed</w:t>
      </w:r>
      <w:r w:rsidR="00590A75" w:rsidRPr="00E24C37">
        <w:t>ed</w:t>
      </w:r>
      <w:r w:rsidR="00ED2D29" w:rsidRPr="00E24C37">
        <w:t xml:space="preserve"> to an adequate assessment of the adverse impact that the officials</w:t>
      </w:r>
      <w:r w:rsidR="00E24C37" w:rsidRPr="00E24C37">
        <w:t>’</w:t>
      </w:r>
      <w:r w:rsidR="00ED2D29" w:rsidRPr="00E24C37">
        <w:t xml:space="preserve"> actions had had on </w:t>
      </w:r>
      <w:r w:rsidR="00590A75" w:rsidRPr="00E24C37">
        <w:t xml:space="preserve">his </w:t>
      </w:r>
      <w:r w:rsidR="00ED2D29" w:rsidRPr="00E24C37">
        <w:t xml:space="preserve">right to respect for </w:t>
      </w:r>
      <w:r w:rsidR="00590A75" w:rsidRPr="00E24C37">
        <w:t xml:space="preserve">his </w:t>
      </w:r>
      <w:r w:rsidR="00ED2D29" w:rsidRPr="00E24C37">
        <w:t xml:space="preserve">private life and correspondence or his right to freedom of expression. In particular, they had </w:t>
      </w:r>
      <w:r w:rsidR="00590A75" w:rsidRPr="00E24C37">
        <w:t xml:space="preserve">not </w:t>
      </w:r>
      <w:r w:rsidR="00ED2D29" w:rsidRPr="00E24C37">
        <w:t xml:space="preserve">carried out </w:t>
      </w:r>
      <w:r w:rsidR="00590A75" w:rsidRPr="00E24C37">
        <w:t xml:space="preserve">an </w:t>
      </w:r>
      <w:r w:rsidR="00ED2D29" w:rsidRPr="00E24C37">
        <w:t xml:space="preserve">assessment </w:t>
      </w:r>
      <w:r w:rsidR="00590A75" w:rsidRPr="00E24C37">
        <w:t xml:space="preserve">of </w:t>
      </w:r>
      <w:r w:rsidR="00ED2D29" w:rsidRPr="00E24C37">
        <w:t>whether the officials</w:t>
      </w:r>
      <w:r w:rsidR="00E24C37" w:rsidRPr="00E24C37">
        <w:t>’</w:t>
      </w:r>
      <w:r w:rsidR="00ED2D29" w:rsidRPr="00E24C37">
        <w:t xml:space="preserve"> actions had been proportionate to any particular legitimate aim</w:t>
      </w:r>
      <w:r w:rsidR="00EA7343" w:rsidRPr="00E24C37">
        <w:t>.</w:t>
      </w:r>
    </w:p>
    <w:p w:rsidR="00557AC2"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105</w:t>
      </w:r>
      <w:r w:rsidRPr="00E24C37">
        <w:rPr>
          <w:noProof/>
        </w:rPr>
        <w:fldChar w:fldCharType="end"/>
      </w:r>
      <w:r w:rsidR="00557AC2" w:rsidRPr="00E24C37">
        <w:t>.  The Government</w:t>
      </w:r>
      <w:r w:rsidR="00B70BFB" w:rsidRPr="00E24C37">
        <w:t xml:space="preserve"> submitted that the applicant had had </w:t>
      </w:r>
      <w:r w:rsidR="005874D4" w:rsidRPr="00E24C37">
        <w:t xml:space="preserve">access to </w:t>
      </w:r>
      <w:r w:rsidR="00B70BFB" w:rsidRPr="00E24C37">
        <w:t>effective remedies in respect of his complaints. The judicial</w:t>
      </w:r>
      <w:r w:rsidR="00590A75" w:rsidRPr="00E24C37">
        <w:t xml:space="preserve"> </w:t>
      </w:r>
      <w:r w:rsidR="00B70BFB" w:rsidRPr="00E24C37">
        <w:t>review procedure under Chapter 25 of the CCP was capable of remedying violation</w:t>
      </w:r>
      <w:r w:rsidR="00590A75" w:rsidRPr="00E24C37">
        <w:t>s</w:t>
      </w:r>
      <w:r w:rsidR="00B70BFB" w:rsidRPr="00E24C37">
        <w:t xml:space="preserve"> of individual rights. The applicant</w:t>
      </w:r>
      <w:r w:rsidR="00E24C37" w:rsidRPr="00E24C37">
        <w:t>’</w:t>
      </w:r>
      <w:r w:rsidR="00B70BFB" w:rsidRPr="00E24C37">
        <w:t>s case had been examined by the courts on the merits</w:t>
      </w:r>
      <w:r w:rsidR="00F2105E" w:rsidRPr="00E24C37">
        <w:t>. They had dealt with matters relating to legality and had concluded that the customs officials</w:t>
      </w:r>
      <w:r w:rsidR="00E24C37" w:rsidRPr="00E24C37">
        <w:t>’</w:t>
      </w:r>
      <w:r w:rsidR="00F2105E" w:rsidRPr="00E24C37">
        <w:t xml:space="preserve"> actions had not breached his rights. </w:t>
      </w:r>
      <w:r w:rsidR="00B70BFB" w:rsidRPr="00E24C37">
        <w:t xml:space="preserve">The applicant </w:t>
      </w:r>
      <w:r w:rsidR="00590A75" w:rsidRPr="00E24C37">
        <w:t xml:space="preserve">could </w:t>
      </w:r>
      <w:r w:rsidR="00B70BFB" w:rsidRPr="00E24C37">
        <w:t>also have lodged a civil claim under Article</w:t>
      </w:r>
      <w:r w:rsidR="000D41A4" w:rsidRPr="00E24C37">
        <w:t> </w:t>
      </w:r>
      <w:r w:rsidR="00B70BFB" w:rsidRPr="00E24C37">
        <w:t>1070 of the Civil Code.</w:t>
      </w:r>
    </w:p>
    <w:p w:rsidR="0075545C" w:rsidRPr="00E24C37" w:rsidRDefault="004B1E2C" w:rsidP="00E24C37">
      <w:pPr>
        <w:pStyle w:val="ECHRPara"/>
      </w:pPr>
      <w:r w:rsidRPr="00E24C37">
        <w:fldChar w:fldCharType="begin"/>
      </w:r>
      <w:r w:rsidRPr="00E24C37">
        <w:instrText xml:space="preserve"> SEQ level0 \*arabic </w:instrText>
      </w:r>
      <w:r w:rsidRPr="00E24C37">
        <w:fldChar w:fldCharType="separate"/>
      </w:r>
      <w:r w:rsidR="00B87844">
        <w:rPr>
          <w:noProof/>
        </w:rPr>
        <w:t>106</w:t>
      </w:r>
      <w:r w:rsidRPr="00E24C37">
        <w:rPr>
          <w:noProof/>
        </w:rPr>
        <w:fldChar w:fldCharType="end"/>
      </w:r>
      <w:r w:rsidR="000D4948" w:rsidRPr="00E24C37">
        <w:t>.  </w:t>
      </w:r>
      <w:r w:rsidR="0075545C" w:rsidRPr="00E24C37">
        <w:t xml:space="preserve">Having regard to the </w:t>
      </w:r>
      <w:r w:rsidR="00C41357" w:rsidRPr="00E24C37">
        <w:t>applicant</w:t>
      </w:r>
      <w:r w:rsidR="00E24C37" w:rsidRPr="00E24C37">
        <w:t>’</w:t>
      </w:r>
      <w:r w:rsidR="00C41357" w:rsidRPr="00E24C37">
        <w:t xml:space="preserve">s specific allegations and, </w:t>
      </w:r>
      <w:r w:rsidR="00590A75" w:rsidRPr="00E24C37">
        <w:t xml:space="preserve">first and </w:t>
      </w:r>
      <w:r w:rsidR="00C41357" w:rsidRPr="00E24C37">
        <w:t xml:space="preserve">foremost, the nature and scope of the </w:t>
      </w:r>
      <w:r w:rsidR="0075545C" w:rsidRPr="00E24C37">
        <w:t>Court</w:t>
      </w:r>
      <w:r w:rsidR="00E24C37" w:rsidRPr="00E24C37">
        <w:t>’</w:t>
      </w:r>
      <w:r w:rsidR="0075545C" w:rsidRPr="00E24C37">
        <w:t xml:space="preserve">s findings under Article 8 of the Convention (see also </w:t>
      </w:r>
      <w:r w:rsidR="0075545C" w:rsidRPr="00E24C37">
        <w:rPr>
          <w:i/>
        </w:rPr>
        <w:t>Lashmankin and Others,</w:t>
      </w:r>
      <w:r w:rsidR="0075545C" w:rsidRPr="00E24C37">
        <w:t xml:space="preserve"> </w:t>
      </w:r>
      <w:r w:rsidR="00590A75" w:rsidRPr="00E24C37">
        <w:t xml:space="preserve">cited above, </w:t>
      </w:r>
      <w:r w:rsidR="0075545C" w:rsidRPr="00E24C37">
        <w:t>§§</w:t>
      </w:r>
      <w:r w:rsidR="00C41357" w:rsidRPr="00E24C37">
        <w:t> </w:t>
      </w:r>
      <w:r w:rsidR="0075545C" w:rsidRPr="00E24C37">
        <w:t xml:space="preserve">350-60), the Court considers that the complaint under Article 13 of the Convention is admissible but that it is not necessary to examine </w:t>
      </w:r>
      <w:r w:rsidR="00590A75" w:rsidRPr="00E24C37">
        <w:t xml:space="preserve">it </w:t>
      </w:r>
      <w:r w:rsidR="0075545C" w:rsidRPr="00E24C37">
        <w:t xml:space="preserve">separately </w:t>
      </w:r>
      <w:r w:rsidR="00590A75" w:rsidRPr="00E24C37">
        <w:t xml:space="preserve">on </w:t>
      </w:r>
      <w:r w:rsidR="0075545C" w:rsidRPr="00E24C37">
        <w:t>the merits.</w:t>
      </w:r>
    </w:p>
    <w:p w:rsidR="00014566" w:rsidRPr="00E24C37" w:rsidRDefault="00062180" w:rsidP="00E24C37">
      <w:pPr>
        <w:pStyle w:val="ECHRHeading1"/>
      </w:pPr>
      <w:r w:rsidRPr="00E24C37">
        <w:t>V</w:t>
      </w:r>
      <w:r w:rsidR="00014566" w:rsidRPr="00E24C37">
        <w:t>.  APPLICATION OF ARTICLE 41 OF THE CONVENTION</w:t>
      </w:r>
    </w:p>
    <w:p w:rsidR="00014566" w:rsidRPr="00E24C37" w:rsidRDefault="007C3C50" w:rsidP="00E24C37">
      <w:pPr>
        <w:pStyle w:val="ECHRPara"/>
      </w:pPr>
      <w:r w:rsidRPr="00E24C37">
        <w:fldChar w:fldCharType="begin"/>
      </w:r>
      <w:r w:rsidRPr="00E24C37">
        <w:instrText xml:space="preserve"> SEQ level0 \*arabic </w:instrText>
      </w:r>
      <w:r w:rsidRPr="00E24C37">
        <w:fldChar w:fldCharType="separate"/>
      </w:r>
      <w:r w:rsidR="00B87844">
        <w:rPr>
          <w:noProof/>
        </w:rPr>
        <w:t>107</w:t>
      </w:r>
      <w:r w:rsidRPr="00E24C37">
        <w:fldChar w:fldCharType="end"/>
      </w:r>
      <w:r w:rsidR="00014566" w:rsidRPr="00E24C37">
        <w:t>.  Article 41 of the Convention provides:</w:t>
      </w:r>
    </w:p>
    <w:p w:rsidR="00014566" w:rsidRPr="00E24C37" w:rsidRDefault="00014566" w:rsidP="00E24C37">
      <w:pPr>
        <w:pStyle w:val="ECHRParaQuote"/>
        <w:keepNext/>
        <w:keepLines/>
      </w:pPr>
      <w:r w:rsidRPr="00E24C37">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014566" w:rsidRPr="00E24C37" w:rsidRDefault="00014566" w:rsidP="00E24C37">
      <w:pPr>
        <w:pStyle w:val="ECHRHeading2"/>
      </w:pPr>
      <w:r w:rsidRPr="00E24C37">
        <w:t>A.  Damage</w:t>
      </w:r>
    </w:p>
    <w:p w:rsidR="00014566" w:rsidRPr="00E24C37" w:rsidRDefault="007C3C50" w:rsidP="00E24C37">
      <w:pPr>
        <w:pStyle w:val="ECHRPara"/>
      </w:pPr>
      <w:r w:rsidRPr="00E24C37">
        <w:fldChar w:fldCharType="begin"/>
      </w:r>
      <w:r w:rsidRPr="00E24C37">
        <w:instrText xml:space="preserve"> SEQ level0 \*arabic </w:instrText>
      </w:r>
      <w:r w:rsidRPr="00E24C37">
        <w:fldChar w:fldCharType="separate"/>
      </w:r>
      <w:r w:rsidR="00B87844">
        <w:rPr>
          <w:noProof/>
        </w:rPr>
        <w:t>108</w:t>
      </w:r>
      <w:r w:rsidRPr="00E24C37">
        <w:fldChar w:fldCharType="end"/>
      </w:r>
      <w:r w:rsidR="00014566" w:rsidRPr="00E24C37">
        <w:t xml:space="preserve">.  The applicant claimed </w:t>
      </w:r>
      <w:r w:rsidR="00D849B5" w:rsidRPr="00E24C37">
        <w:t xml:space="preserve">3,000 </w:t>
      </w:r>
      <w:r w:rsidR="00014566" w:rsidRPr="00E24C37">
        <w:t>euros (EUR) in respect of non</w:t>
      </w:r>
      <w:r w:rsidR="00FD135C" w:rsidRPr="00E24C37">
        <w:noBreakHyphen/>
      </w:r>
      <w:r w:rsidR="00014566" w:rsidRPr="00E24C37">
        <w:t>pecuniary damage.</w:t>
      </w:r>
    </w:p>
    <w:p w:rsidR="006F685F" w:rsidRPr="00E24C37" w:rsidRDefault="006F685F" w:rsidP="00E24C37">
      <w:pPr>
        <w:pStyle w:val="ECHRPara"/>
      </w:pPr>
      <w:r w:rsidRPr="00E24C37">
        <w:fldChar w:fldCharType="begin"/>
      </w:r>
      <w:r w:rsidRPr="00E24C37">
        <w:instrText xml:space="preserve"> SEQ level0 \*arabic </w:instrText>
      </w:r>
      <w:r w:rsidRPr="00E24C37">
        <w:fldChar w:fldCharType="separate"/>
      </w:r>
      <w:r w:rsidR="00B87844">
        <w:rPr>
          <w:noProof/>
        </w:rPr>
        <w:t>109</w:t>
      </w:r>
      <w:r w:rsidRPr="00E24C37">
        <w:fldChar w:fldCharType="end"/>
      </w:r>
      <w:r w:rsidRPr="00E24C37">
        <w:t xml:space="preserve">.  The Government submitted that the applicant had not substantiated </w:t>
      </w:r>
      <w:r w:rsidR="00595895" w:rsidRPr="00E24C37">
        <w:t>a</w:t>
      </w:r>
      <w:r w:rsidRPr="00E24C37">
        <w:t xml:space="preserve"> causal link between the alleged suffering</w:t>
      </w:r>
      <w:r w:rsidR="005874D4" w:rsidRPr="00E24C37">
        <w:t xml:space="preserve"> </w:t>
      </w:r>
      <w:r w:rsidRPr="00E24C37">
        <w:t>and the violations of the Convention.</w:t>
      </w:r>
    </w:p>
    <w:p w:rsidR="00D849B5" w:rsidRPr="00E24C37" w:rsidRDefault="007C3C50" w:rsidP="00E24C37">
      <w:pPr>
        <w:pStyle w:val="ECHRPara"/>
      </w:pPr>
      <w:r w:rsidRPr="00E24C37">
        <w:fldChar w:fldCharType="begin"/>
      </w:r>
      <w:r w:rsidRPr="00E24C37">
        <w:instrText xml:space="preserve"> SEQ level0 \*arabic </w:instrText>
      </w:r>
      <w:r w:rsidRPr="00E24C37">
        <w:fldChar w:fldCharType="separate"/>
      </w:r>
      <w:r w:rsidR="00B87844">
        <w:rPr>
          <w:noProof/>
        </w:rPr>
        <w:t>110</w:t>
      </w:r>
      <w:r w:rsidRPr="00E24C37">
        <w:fldChar w:fldCharType="end"/>
      </w:r>
      <w:r w:rsidR="00014566" w:rsidRPr="00E24C37">
        <w:t>.  </w:t>
      </w:r>
      <w:r w:rsidR="00D849B5" w:rsidRPr="00E24C37">
        <w:t>The Court awards the applicant EUR 3,000, plus any tax that may be chargeable.</w:t>
      </w:r>
    </w:p>
    <w:p w:rsidR="00014566" w:rsidRPr="00E24C37" w:rsidRDefault="00014566" w:rsidP="00E24C37">
      <w:pPr>
        <w:pStyle w:val="ECHRHeading2"/>
      </w:pPr>
      <w:r w:rsidRPr="00E24C37">
        <w:lastRenderedPageBreak/>
        <w:t>B.  Costs and expenses</w:t>
      </w:r>
    </w:p>
    <w:p w:rsidR="00014566" w:rsidRPr="00E24C37" w:rsidRDefault="007C3C50" w:rsidP="00E24C37">
      <w:pPr>
        <w:pStyle w:val="ECHRPara"/>
      </w:pPr>
      <w:r w:rsidRPr="00E24C37">
        <w:fldChar w:fldCharType="begin"/>
      </w:r>
      <w:r w:rsidRPr="00E24C37">
        <w:instrText xml:space="preserve"> SEQ level0 \*arabic </w:instrText>
      </w:r>
      <w:r w:rsidRPr="00E24C37">
        <w:fldChar w:fldCharType="separate"/>
      </w:r>
      <w:r w:rsidR="00B87844">
        <w:rPr>
          <w:noProof/>
        </w:rPr>
        <w:t>111</w:t>
      </w:r>
      <w:r w:rsidRPr="00E24C37">
        <w:fldChar w:fldCharType="end"/>
      </w:r>
      <w:r w:rsidR="00014566" w:rsidRPr="00E24C37">
        <w:t xml:space="preserve">.  The applicant also claimed EUR </w:t>
      </w:r>
      <w:r w:rsidR="00D849B5" w:rsidRPr="00E24C37">
        <w:t xml:space="preserve">2,805 </w:t>
      </w:r>
      <w:r w:rsidR="00014566" w:rsidRPr="00E24C37">
        <w:t>for the costs and expenses incurred before the domestic</w:t>
      </w:r>
      <w:r w:rsidR="00D849B5" w:rsidRPr="00E24C37">
        <w:t xml:space="preserve"> courts and th</w:t>
      </w:r>
      <w:r w:rsidR="00595895" w:rsidRPr="00E24C37">
        <w:t>e</w:t>
      </w:r>
      <w:r w:rsidR="00D849B5" w:rsidRPr="00E24C37">
        <w:t xml:space="preserve"> </w:t>
      </w:r>
      <w:r w:rsidR="00014566" w:rsidRPr="00E24C37">
        <w:t>Court.</w:t>
      </w:r>
    </w:p>
    <w:p w:rsidR="006F685F" w:rsidRPr="00E24C37" w:rsidRDefault="006F685F" w:rsidP="00E24C37">
      <w:pPr>
        <w:pStyle w:val="ECHRPara"/>
      </w:pPr>
      <w:r w:rsidRPr="00E24C37">
        <w:fldChar w:fldCharType="begin"/>
      </w:r>
      <w:r w:rsidRPr="00E24C37">
        <w:instrText xml:space="preserve"> SEQ level0 \*arabic </w:instrText>
      </w:r>
      <w:r w:rsidRPr="00E24C37">
        <w:fldChar w:fldCharType="separate"/>
      </w:r>
      <w:r w:rsidR="00B87844">
        <w:rPr>
          <w:noProof/>
        </w:rPr>
        <w:t>112</w:t>
      </w:r>
      <w:r w:rsidRPr="00E24C37">
        <w:fldChar w:fldCharType="end"/>
      </w:r>
      <w:r w:rsidRPr="00E24C37">
        <w:t xml:space="preserve">.  The Government expressed doubts about the authenticity of the contract between the applicant and his representative, in particular as regards the services allegedly provided at </w:t>
      </w:r>
      <w:r w:rsidR="005874D4" w:rsidRPr="00E24C37">
        <w:t xml:space="preserve">the </w:t>
      </w:r>
      <w:r w:rsidRPr="00E24C37">
        <w:t>domestic level. The Government also considered that the fees claimed were excessive</w:t>
      </w:r>
      <w:r w:rsidR="00595895" w:rsidRPr="00E24C37">
        <w:t xml:space="preserve"> and that </w:t>
      </w:r>
      <w:r w:rsidRPr="00E24C37">
        <w:t xml:space="preserve">the postal expenses </w:t>
      </w:r>
      <w:r w:rsidR="00595895" w:rsidRPr="00E24C37">
        <w:t xml:space="preserve">had been </w:t>
      </w:r>
      <w:r w:rsidRPr="00E24C37">
        <w:t>substantiated only in part.</w:t>
      </w:r>
    </w:p>
    <w:p w:rsidR="00014566" w:rsidRPr="00E24C37" w:rsidRDefault="007C3C50" w:rsidP="00E24C37">
      <w:pPr>
        <w:pStyle w:val="ECHRPara"/>
      </w:pPr>
      <w:r w:rsidRPr="00E24C37">
        <w:fldChar w:fldCharType="begin"/>
      </w:r>
      <w:r w:rsidRPr="00E24C37">
        <w:instrText xml:space="preserve"> SEQ level0 \*arabic </w:instrText>
      </w:r>
      <w:r w:rsidRPr="00E24C37">
        <w:fldChar w:fldCharType="separate"/>
      </w:r>
      <w:r w:rsidR="00B87844">
        <w:rPr>
          <w:noProof/>
        </w:rPr>
        <w:t>113</w:t>
      </w:r>
      <w:r w:rsidRPr="00E24C37">
        <w:fldChar w:fldCharType="end"/>
      </w:r>
      <w:r w:rsidR="00014566" w:rsidRPr="00E24C37">
        <w:t>.  </w:t>
      </w:r>
      <w:r w:rsidR="00595895" w:rsidRPr="00E24C37">
        <w:t>In a</w:t>
      </w:r>
      <w:r w:rsidRPr="00E24C37">
        <w:t>ccord</w:t>
      </w:r>
      <w:r w:rsidR="00595895" w:rsidRPr="00E24C37">
        <w:t xml:space="preserve">ance with </w:t>
      </w:r>
      <w:r w:rsidRPr="00E24C37">
        <w:t>the Court</w:t>
      </w:r>
      <w:r w:rsidR="00E24C37" w:rsidRPr="00E24C37">
        <w:t>’</w:t>
      </w:r>
      <w:r w:rsidRPr="00E24C37">
        <w:t xml:space="preserve">s case-law, an applicant is entitled to the reimbursement of costs and expenses only in so far as it has been shown that these have been actually and necessarily incurred and are reasonable as to quantum. </w:t>
      </w:r>
      <w:r w:rsidR="004A79F6" w:rsidRPr="00E24C37">
        <w:t>R</w:t>
      </w:r>
      <w:r w:rsidRPr="00E24C37">
        <w:t>egard</w:t>
      </w:r>
      <w:r w:rsidR="00014566" w:rsidRPr="00E24C37">
        <w:t xml:space="preserve"> being had to the documents in its possession and </w:t>
      </w:r>
      <w:r w:rsidRPr="00E24C37">
        <w:t>the above criteria</w:t>
      </w:r>
      <w:r w:rsidR="00014566" w:rsidRPr="00E24C37">
        <w:t>, the Court considers it reasonable to award the sum of EUR</w:t>
      </w:r>
      <w:r w:rsidR="004A79F6" w:rsidRPr="00E24C37">
        <w:t> </w:t>
      </w:r>
      <w:r w:rsidR="00E92616" w:rsidRPr="00E24C37">
        <w:t>1</w:t>
      </w:r>
      <w:r w:rsidR="00D849B5" w:rsidRPr="00E24C37">
        <w:t>,</w:t>
      </w:r>
      <w:r w:rsidR="00E92616" w:rsidRPr="00E24C37">
        <w:t>7</w:t>
      </w:r>
      <w:r w:rsidR="00D849B5" w:rsidRPr="00E24C37">
        <w:t xml:space="preserve">00 </w:t>
      </w:r>
      <w:r w:rsidR="00014566" w:rsidRPr="00E24C37">
        <w:t>covering costs under all heads</w:t>
      </w:r>
      <w:r w:rsidR="00F447FF" w:rsidRPr="00E24C37">
        <w:t>, plus any tax that may be chargeable to the applicant.</w:t>
      </w:r>
    </w:p>
    <w:p w:rsidR="00014566" w:rsidRPr="00E24C37" w:rsidRDefault="00014566" w:rsidP="00E24C37">
      <w:pPr>
        <w:pStyle w:val="ECHRHeading2"/>
      </w:pPr>
      <w:r w:rsidRPr="00E24C37">
        <w:t>C.  Default interest</w:t>
      </w:r>
    </w:p>
    <w:p w:rsidR="00014566" w:rsidRPr="00E24C37" w:rsidRDefault="007C3C50" w:rsidP="00E24C37">
      <w:pPr>
        <w:pStyle w:val="ECHRPara"/>
      </w:pPr>
      <w:r w:rsidRPr="00E24C37">
        <w:fldChar w:fldCharType="begin"/>
      </w:r>
      <w:r w:rsidRPr="00E24C37">
        <w:instrText xml:space="preserve"> SEQ level0 \*arabic </w:instrText>
      </w:r>
      <w:r w:rsidRPr="00E24C37">
        <w:fldChar w:fldCharType="separate"/>
      </w:r>
      <w:r w:rsidR="00B87844">
        <w:rPr>
          <w:noProof/>
        </w:rPr>
        <w:t>114</w:t>
      </w:r>
      <w:r w:rsidRPr="00E24C37">
        <w:fldChar w:fldCharType="end"/>
      </w:r>
      <w:r w:rsidR="00014566" w:rsidRPr="00E24C37">
        <w:t>.  The Court considers it appropriate that the default interest rate should be based on the marginal lending rate of the European Central Bank, to which should be added three percentage points.</w:t>
      </w:r>
    </w:p>
    <w:p w:rsidR="00014566" w:rsidRPr="00E24C37" w:rsidRDefault="00BB5883" w:rsidP="00E24C37">
      <w:pPr>
        <w:pStyle w:val="ECHRTitle1"/>
      </w:pPr>
      <w:r w:rsidRPr="00E24C37">
        <w:t>FOR THESE REASONS, THE COURT</w:t>
      </w:r>
      <w:r w:rsidR="007C3C50" w:rsidRPr="00E24C37">
        <w:t>, UNANIMOUSLY,</w:t>
      </w:r>
    </w:p>
    <w:p w:rsidR="00B637B9" w:rsidRPr="00E24C37" w:rsidRDefault="00B637B9" w:rsidP="00E24C37">
      <w:pPr>
        <w:pStyle w:val="JuList"/>
      </w:pPr>
      <w:r w:rsidRPr="00E24C37">
        <w:t>1.  </w:t>
      </w:r>
      <w:r w:rsidRPr="00E24C37">
        <w:rPr>
          <w:i/>
        </w:rPr>
        <w:t>Declares</w:t>
      </w:r>
      <w:r w:rsidR="007C3C50" w:rsidRPr="00E24C37">
        <w:t xml:space="preserve"> </w:t>
      </w:r>
      <w:r w:rsidRPr="00E24C37">
        <w:t xml:space="preserve">the complaints </w:t>
      </w:r>
      <w:r w:rsidR="0075545C" w:rsidRPr="00E24C37">
        <w:t>under Articles</w:t>
      </w:r>
      <w:r w:rsidR="00F13D81" w:rsidRPr="00E24C37">
        <w:t> </w:t>
      </w:r>
      <w:r w:rsidR="0075545C" w:rsidRPr="00E24C37">
        <w:t>8</w:t>
      </w:r>
      <w:r w:rsidR="0066219E" w:rsidRPr="00E24C37">
        <w:t>,</w:t>
      </w:r>
      <w:r w:rsidR="0075545C" w:rsidRPr="00E24C37">
        <w:t xml:space="preserve"> 10</w:t>
      </w:r>
      <w:r w:rsidR="0066219E" w:rsidRPr="00E24C37">
        <w:t xml:space="preserve"> and 13</w:t>
      </w:r>
      <w:r w:rsidR="0075545C" w:rsidRPr="00E24C37">
        <w:t xml:space="preserve"> of the Convention </w:t>
      </w:r>
      <w:r w:rsidRPr="00E24C37">
        <w:t>admissible;</w:t>
      </w:r>
    </w:p>
    <w:p w:rsidR="00014566" w:rsidRPr="00E24C37" w:rsidRDefault="00014566" w:rsidP="00E24C37">
      <w:pPr>
        <w:pStyle w:val="JuList"/>
        <w:ind w:left="0" w:firstLine="0"/>
      </w:pPr>
    </w:p>
    <w:p w:rsidR="00014566" w:rsidRPr="00E24C37" w:rsidRDefault="0075545C" w:rsidP="00E24C37">
      <w:pPr>
        <w:pStyle w:val="JuList"/>
      </w:pPr>
      <w:r w:rsidRPr="00E24C37">
        <w:t>2</w:t>
      </w:r>
      <w:r w:rsidR="00014566" w:rsidRPr="00E24C37">
        <w:t>.  </w:t>
      </w:r>
      <w:r w:rsidR="00014566" w:rsidRPr="00E24C37">
        <w:rPr>
          <w:i/>
        </w:rPr>
        <w:t>Holds</w:t>
      </w:r>
      <w:r w:rsidR="007C3C50" w:rsidRPr="00E24C37">
        <w:t xml:space="preserve"> </w:t>
      </w:r>
      <w:r w:rsidR="00014566" w:rsidRPr="00E24C37">
        <w:t xml:space="preserve">that there has been a violation of Article </w:t>
      </w:r>
      <w:r w:rsidRPr="00E24C37">
        <w:t xml:space="preserve">8 </w:t>
      </w:r>
      <w:r w:rsidR="00014566" w:rsidRPr="00E24C37">
        <w:t>of the Convention;</w:t>
      </w:r>
    </w:p>
    <w:p w:rsidR="0075545C" w:rsidRPr="00E24C37" w:rsidRDefault="0075545C" w:rsidP="00E24C37">
      <w:pPr>
        <w:pStyle w:val="JuList"/>
      </w:pPr>
    </w:p>
    <w:p w:rsidR="0075545C" w:rsidRPr="00E24C37" w:rsidRDefault="0075545C" w:rsidP="00E24C37">
      <w:pPr>
        <w:pStyle w:val="JuList"/>
      </w:pPr>
      <w:r w:rsidRPr="00E24C37">
        <w:t>3.  </w:t>
      </w:r>
      <w:r w:rsidRPr="00E24C37">
        <w:rPr>
          <w:i/>
        </w:rPr>
        <w:t>Holds</w:t>
      </w:r>
      <w:r w:rsidRPr="00E24C37">
        <w:t xml:space="preserve"> that </w:t>
      </w:r>
      <w:r w:rsidR="004F5B90" w:rsidRPr="00E24C37">
        <w:t>it is not necessary to</w:t>
      </w:r>
      <w:r w:rsidR="004F7EC4" w:rsidRPr="00E24C37">
        <w:t xml:space="preserve"> examine</w:t>
      </w:r>
      <w:r w:rsidR="003D7368" w:rsidRPr="00E24C37">
        <w:t xml:space="preserve"> separately</w:t>
      </w:r>
      <w:r w:rsidR="004F7EC4" w:rsidRPr="00E24C37">
        <w:t xml:space="preserve"> the merits of the complaint under Article 10 of the Convention;</w:t>
      </w:r>
    </w:p>
    <w:p w:rsidR="00014566" w:rsidRPr="00E24C37" w:rsidRDefault="00014566" w:rsidP="00E24C37">
      <w:pPr>
        <w:pStyle w:val="JuList"/>
      </w:pPr>
    </w:p>
    <w:p w:rsidR="00014566" w:rsidRPr="00E24C37" w:rsidRDefault="0075545C" w:rsidP="00E24C37">
      <w:pPr>
        <w:pStyle w:val="JuList"/>
      </w:pPr>
      <w:r w:rsidRPr="00E24C37">
        <w:t>4</w:t>
      </w:r>
      <w:r w:rsidR="00014566" w:rsidRPr="00E24C37">
        <w:t>.  </w:t>
      </w:r>
      <w:r w:rsidR="00014566" w:rsidRPr="00E24C37">
        <w:rPr>
          <w:i/>
        </w:rPr>
        <w:t>Holds</w:t>
      </w:r>
      <w:r w:rsidR="007C3C50" w:rsidRPr="00E24C37">
        <w:t xml:space="preserve"> </w:t>
      </w:r>
      <w:r w:rsidR="00014566" w:rsidRPr="00E24C37">
        <w:t xml:space="preserve">that </w:t>
      </w:r>
      <w:r w:rsidR="000D4948" w:rsidRPr="00E24C37">
        <w:t>it is not necessary to</w:t>
      </w:r>
      <w:r w:rsidR="00014566" w:rsidRPr="00E24C37">
        <w:t xml:space="preserve"> examine </w:t>
      </w:r>
      <w:r w:rsidR="003D7368" w:rsidRPr="00E24C37">
        <w:t xml:space="preserve">separately </w:t>
      </w:r>
      <w:r w:rsidR="00014566" w:rsidRPr="00E24C37">
        <w:t>the</w:t>
      </w:r>
      <w:r w:rsidRPr="00E24C37">
        <w:t xml:space="preserve"> merits of the</w:t>
      </w:r>
      <w:r w:rsidR="00014566" w:rsidRPr="00E24C37">
        <w:t xml:space="preserve"> complaint under Article </w:t>
      </w:r>
      <w:r w:rsidRPr="00E24C37">
        <w:t xml:space="preserve">13 </w:t>
      </w:r>
      <w:r w:rsidR="00014566" w:rsidRPr="00E24C37">
        <w:t>of the Convention;</w:t>
      </w:r>
    </w:p>
    <w:p w:rsidR="00014566" w:rsidRPr="00E24C37" w:rsidRDefault="00014566" w:rsidP="00E24C37">
      <w:pPr>
        <w:pStyle w:val="JuList"/>
      </w:pPr>
    </w:p>
    <w:p w:rsidR="00014566" w:rsidRPr="00E24C37" w:rsidRDefault="0075545C" w:rsidP="00E24C37">
      <w:pPr>
        <w:pStyle w:val="JuList"/>
      </w:pPr>
      <w:r w:rsidRPr="00E24C37">
        <w:t>5</w:t>
      </w:r>
      <w:r w:rsidR="00014566" w:rsidRPr="00E24C37">
        <w:t>.  </w:t>
      </w:r>
      <w:r w:rsidR="00014566" w:rsidRPr="00E24C37">
        <w:rPr>
          <w:i/>
        </w:rPr>
        <w:t>Holds</w:t>
      </w:r>
    </w:p>
    <w:p w:rsidR="00014566" w:rsidRPr="00E24C37" w:rsidRDefault="00014566" w:rsidP="00E24C37">
      <w:pPr>
        <w:pStyle w:val="JuLista"/>
      </w:pPr>
      <w:r w:rsidRPr="00E24C37">
        <w:t>(a)  that the respondent State is to pay the applicant, within three months</w:t>
      </w:r>
      <w:r w:rsidR="007C3C50" w:rsidRPr="00E24C37">
        <w:t xml:space="preserve"> from the date on which the judgment becomes final in accordance with Article 44 § 2 of the Convention,</w:t>
      </w:r>
      <w:r w:rsidRPr="00E24C37">
        <w:t xml:space="preserve"> the following amounts, to be converted into </w:t>
      </w:r>
      <w:r w:rsidRPr="00E24C37">
        <w:rPr>
          <w:color w:val="000000"/>
        </w:rPr>
        <w:t>the currency of the respondent State</w:t>
      </w:r>
      <w:r w:rsidRPr="00E24C37">
        <w:t xml:space="preserve"> at the rate applicable at the date of settlement:</w:t>
      </w:r>
    </w:p>
    <w:p w:rsidR="00014566" w:rsidRPr="00E24C37" w:rsidRDefault="00014566" w:rsidP="00E24C37">
      <w:pPr>
        <w:pStyle w:val="JuListi"/>
      </w:pPr>
      <w:r w:rsidRPr="00E24C37">
        <w:lastRenderedPageBreak/>
        <w:t xml:space="preserve">(i)  EUR </w:t>
      </w:r>
      <w:r w:rsidR="001C70B1" w:rsidRPr="00E24C37">
        <w:t>3,000</w:t>
      </w:r>
      <w:r w:rsidRPr="00E24C37">
        <w:t xml:space="preserve"> (</w:t>
      </w:r>
      <w:r w:rsidR="001C70B1" w:rsidRPr="00E24C37">
        <w:t>three thousand</w:t>
      </w:r>
      <w:r w:rsidRPr="00E24C37">
        <w:t xml:space="preserve"> euros), plus any tax that may be chargeable, in respect of non-pecuniary damage;</w:t>
      </w:r>
    </w:p>
    <w:p w:rsidR="00014566" w:rsidRPr="00E24C37" w:rsidRDefault="00014566" w:rsidP="00E24C37">
      <w:pPr>
        <w:pStyle w:val="JuListi"/>
      </w:pPr>
      <w:r w:rsidRPr="00E24C37">
        <w:t xml:space="preserve">(ii)  EUR </w:t>
      </w:r>
      <w:r w:rsidR="00E92616" w:rsidRPr="00E24C37">
        <w:t>1,7</w:t>
      </w:r>
      <w:r w:rsidR="001C70B1" w:rsidRPr="00E24C37">
        <w:t>00</w:t>
      </w:r>
      <w:r w:rsidRPr="00E24C37">
        <w:t xml:space="preserve"> (</w:t>
      </w:r>
      <w:r w:rsidR="00E92616" w:rsidRPr="00E24C37">
        <w:t>one</w:t>
      </w:r>
      <w:r w:rsidR="001C70B1" w:rsidRPr="00E24C37">
        <w:t xml:space="preserve"> thousand </w:t>
      </w:r>
      <w:r w:rsidR="00E92616" w:rsidRPr="00E24C37">
        <w:t>seven</w:t>
      </w:r>
      <w:r w:rsidR="001C70B1" w:rsidRPr="00E24C37">
        <w:t xml:space="preserve"> hundred</w:t>
      </w:r>
      <w:r w:rsidRPr="00E24C37">
        <w:t xml:space="preserve"> euros), plus any tax that may be chargeable to the applicant, in respect of costs and expenses;</w:t>
      </w:r>
    </w:p>
    <w:p w:rsidR="00014566" w:rsidRPr="00E24C37" w:rsidRDefault="00014566" w:rsidP="00E24C37">
      <w:pPr>
        <w:pStyle w:val="JuLista"/>
      </w:pPr>
      <w:r w:rsidRPr="00E24C37">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014566" w:rsidRPr="00E24C37" w:rsidRDefault="00014566" w:rsidP="00E24C37">
      <w:pPr>
        <w:pStyle w:val="JuList"/>
      </w:pPr>
    </w:p>
    <w:p w:rsidR="00014566" w:rsidRPr="00E24C37" w:rsidRDefault="0075545C" w:rsidP="00E24C37">
      <w:pPr>
        <w:pStyle w:val="JuList"/>
      </w:pPr>
      <w:r w:rsidRPr="00E24C37">
        <w:t>6</w:t>
      </w:r>
      <w:r w:rsidR="00014566" w:rsidRPr="00E24C37">
        <w:t>.  </w:t>
      </w:r>
      <w:r w:rsidR="00014566" w:rsidRPr="00E24C37">
        <w:rPr>
          <w:i/>
        </w:rPr>
        <w:t>Dismisses</w:t>
      </w:r>
      <w:r w:rsidR="007C3C50" w:rsidRPr="00E24C37">
        <w:t xml:space="preserve"> </w:t>
      </w:r>
      <w:r w:rsidR="00014566" w:rsidRPr="00E24C37">
        <w:t>the remainder of the applicant</w:t>
      </w:r>
      <w:r w:rsidR="00E24C37" w:rsidRPr="00E24C37">
        <w:t>’</w:t>
      </w:r>
      <w:r w:rsidR="007C3C50" w:rsidRPr="00E24C37">
        <w:t>s</w:t>
      </w:r>
      <w:r w:rsidR="00014566" w:rsidRPr="00E24C37">
        <w:t xml:space="preserve"> claim for just satisfaction.</w:t>
      </w:r>
    </w:p>
    <w:p w:rsidR="00014566" w:rsidRPr="00E24C37" w:rsidRDefault="00014566" w:rsidP="00E24C37">
      <w:pPr>
        <w:pStyle w:val="JuParaLast"/>
      </w:pPr>
      <w:r w:rsidRPr="00E24C37">
        <w:t xml:space="preserve">Done in English, and notified in writing on </w:t>
      </w:r>
      <w:r w:rsidR="00490C83" w:rsidRPr="00E24C37">
        <w:t>13 February 2018</w:t>
      </w:r>
      <w:r w:rsidR="00C915FB" w:rsidRPr="00E24C37">
        <w:t>, pursuant to Rule </w:t>
      </w:r>
      <w:r w:rsidRPr="00E24C37">
        <w:t>77</w:t>
      </w:r>
      <w:r w:rsidR="00C915FB" w:rsidRPr="00E24C37">
        <w:t> </w:t>
      </w:r>
      <w:r w:rsidRPr="00E24C37">
        <w:t>§§</w:t>
      </w:r>
      <w:r w:rsidR="00C915FB" w:rsidRPr="00E24C37">
        <w:t> </w:t>
      </w:r>
      <w:r w:rsidRPr="00E24C37">
        <w:t>2 and 3 of the Rules of Court.</w:t>
      </w:r>
    </w:p>
    <w:p w:rsidR="004D15F3" w:rsidRPr="00E24C37" w:rsidRDefault="00014566" w:rsidP="00E24C37">
      <w:pPr>
        <w:pStyle w:val="JuSigned"/>
        <w:rPr>
          <w:lang w:val="uk-UA"/>
        </w:rPr>
      </w:pPr>
      <w:r w:rsidRPr="00E24C37">
        <w:tab/>
      </w:r>
      <w:r w:rsidR="007C3C50" w:rsidRPr="00E24C37">
        <w:t>Stephen Phillips</w:t>
      </w:r>
      <w:r w:rsidRPr="00E24C37">
        <w:tab/>
      </w:r>
      <w:r w:rsidR="007C3C50" w:rsidRPr="00E24C37">
        <w:rPr>
          <w:szCs w:val="24"/>
        </w:rPr>
        <w:t>Helena Jäderblom</w:t>
      </w:r>
      <w:r w:rsidR="00E1557C" w:rsidRPr="00E24C37">
        <w:rPr>
          <w:szCs w:val="24"/>
        </w:rPr>
        <w:br/>
      </w:r>
      <w:r w:rsidRPr="00E24C37">
        <w:tab/>
      </w:r>
      <w:r w:rsidR="007C3C50" w:rsidRPr="00E24C37">
        <w:rPr>
          <w:iCs/>
        </w:rPr>
        <w:t>Registrar</w:t>
      </w:r>
      <w:r w:rsidRPr="00E24C37">
        <w:tab/>
        <w:t>President</w:t>
      </w:r>
    </w:p>
    <w:p w:rsidR="00725A03" w:rsidRPr="00E24C37" w:rsidRDefault="00725A03" w:rsidP="00E24C37">
      <w:pPr>
        <w:pStyle w:val="JuParaLast"/>
        <w:rPr>
          <w:lang w:val="uk-UA"/>
        </w:rPr>
      </w:pPr>
    </w:p>
    <w:sectPr w:rsidR="00725A03" w:rsidRPr="00E24C37" w:rsidSect="00197E46">
      <w:headerReference w:type="even" r:id="rId18"/>
      <w:headerReference w:type="default" r:id="rId19"/>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E12" w:rsidRPr="00E4133A" w:rsidRDefault="00F56E12" w:rsidP="00014566">
      <w:r w:rsidRPr="00E4133A">
        <w:separator/>
      </w:r>
    </w:p>
  </w:endnote>
  <w:endnote w:type="continuationSeparator" w:id="0">
    <w:p w:rsidR="00F56E12" w:rsidRPr="00E4133A" w:rsidRDefault="00F56E12" w:rsidP="00014566">
      <w:r w:rsidRPr="00E413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27" w:rsidRDefault="00E4732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27" w:rsidRDefault="00E4732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27" w:rsidRPr="00150BFA" w:rsidRDefault="00E47327" w:rsidP="00197E46">
    <w:pPr>
      <w:jc w:val="center"/>
    </w:pPr>
    <w:r>
      <w:rPr>
        <w:noProof/>
        <w:lang w:val="ru-RU" w:eastAsia="ru-RU"/>
      </w:rPr>
      <w:drawing>
        <wp:inline distT="0" distB="0" distL="0" distR="0" wp14:anchorId="6A0EF3FC" wp14:editId="5AB2FB8A">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E47327" w:rsidRDefault="00E4732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E12" w:rsidRPr="00E4133A" w:rsidRDefault="00F56E12" w:rsidP="00014566">
      <w:r w:rsidRPr="00E4133A">
        <w:separator/>
      </w:r>
    </w:p>
  </w:footnote>
  <w:footnote w:type="continuationSeparator" w:id="0">
    <w:p w:rsidR="00F56E12" w:rsidRPr="00E4133A" w:rsidRDefault="00F56E12" w:rsidP="00014566">
      <w:r w:rsidRPr="00E4133A">
        <w:continuationSeparator/>
      </w:r>
    </w:p>
  </w:footnote>
  <w:footnote w:id="1">
    <w:p w:rsidR="00E47327" w:rsidRPr="00616361" w:rsidRDefault="00E47327" w:rsidP="00653742">
      <w:pPr>
        <w:pStyle w:val="af5"/>
      </w:pPr>
      <w:r>
        <w:rPr>
          <w:rStyle w:val="af4"/>
        </w:rPr>
        <w:footnoteRef/>
      </w:r>
      <w:r>
        <w:t xml:space="preserve"> </w:t>
      </w:r>
      <w:r w:rsidRPr="00616361">
        <w:rPr>
          <w:i/>
        </w:rPr>
        <w:t>Russian Reporter</w:t>
      </w:r>
      <w:r>
        <w:t xml:space="preserve"> magazine</w:t>
      </w:r>
    </w:p>
  </w:footnote>
  <w:footnote w:id="2">
    <w:p w:rsidR="00E47327" w:rsidRPr="00812F1E" w:rsidRDefault="00E47327">
      <w:pPr>
        <w:pStyle w:val="af5"/>
      </w:pPr>
      <w:r>
        <w:rPr>
          <w:rStyle w:val="af4"/>
        </w:rPr>
        <w:footnoteRef/>
      </w:r>
      <w:r>
        <w:t xml:space="preserve"> File Transfer Protocol</w:t>
      </w:r>
    </w:p>
  </w:footnote>
  <w:footnote w:id="3">
    <w:p w:rsidR="00E47327" w:rsidRPr="00CE2F49" w:rsidRDefault="00E47327" w:rsidP="00CE2F49">
      <w:pPr>
        <w:pStyle w:val="ECHRPara"/>
        <w:ind w:firstLine="0"/>
      </w:pPr>
      <w:r>
        <w:rPr>
          <w:rStyle w:val="af4"/>
        </w:rPr>
        <w:footnoteRef/>
      </w:r>
      <w:r>
        <w:t xml:space="preserve"> </w:t>
      </w:r>
      <w:r w:rsidRPr="00CE2F49">
        <w:rPr>
          <w:sz w:val="20"/>
          <w:szCs w:val="20"/>
        </w:rPr>
        <w:t>Article 20 of the Customs Code of 18 June 1993 provided that it was admissible to prohibit entry of certain goods into Russia, in view of the considerations of national security, protection of public order, morality, human life and health, or other interests of the Russian Federation, on the basis of Russian legislation or international treaties of the Russian Federation.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27" w:rsidRDefault="00E4732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27" w:rsidRPr="00197E46" w:rsidRDefault="00E47327" w:rsidP="00197E46">
    <w:pPr>
      <w:pStyle w:val="a9"/>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27" w:rsidRPr="00A45145" w:rsidRDefault="00E47327" w:rsidP="00197E46">
    <w:pPr>
      <w:jc w:val="center"/>
    </w:pPr>
    <w:r>
      <w:rPr>
        <w:noProof/>
        <w:lang w:val="ru-RU" w:eastAsia="ru-RU"/>
      </w:rPr>
      <w:drawing>
        <wp:inline distT="0" distB="0" distL="0" distR="0" wp14:anchorId="57F0F289" wp14:editId="51955C9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47327" w:rsidRDefault="00E47327">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27" w:rsidRPr="00E4133A" w:rsidRDefault="00E47327" w:rsidP="00EE1DA9">
    <w:pPr>
      <w:pStyle w:val="ECHRHeader"/>
    </w:pPr>
    <w:r>
      <w:rPr>
        <w:rStyle w:val="aff1"/>
        <w:szCs w:val="18"/>
      </w:rPr>
      <w:fldChar w:fldCharType="begin"/>
    </w:r>
    <w:r>
      <w:rPr>
        <w:rStyle w:val="aff1"/>
        <w:szCs w:val="18"/>
      </w:rPr>
      <w:instrText xml:space="preserve"> PAGE </w:instrText>
    </w:r>
    <w:r>
      <w:rPr>
        <w:rStyle w:val="aff1"/>
        <w:szCs w:val="18"/>
      </w:rPr>
      <w:fldChar w:fldCharType="separate"/>
    </w:r>
    <w:r w:rsidR="00B87844">
      <w:rPr>
        <w:rStyle w:val="aff1"/>
        <w:noProof/>
        <w:szCs w:val="18"/>
      </w:rPr>
      <w:t>2</w:t>
    </w:r>
    <w:r>
      <w:rPr>
        <w:rStyle w:val="aff1"/>
        <w:szCs w:val="18"/>
      </w:rPr>
      <w:fldChar w:fldCharType="end"/>
    </w:r>
    <w:r w:rsidRPr="00E4133A">
      <w:tab/>
    </w:r>
    <w:r>
      <w:t>IVASHCHENKO v. RUSSIA</w:t>
    </w:r>
    <w:r w:rsidRPr="00E4133A">
      <w:t xml:space="preserve"> </w:t>
    </w:r>
    <w:r>
      <w:t>JUDGMENT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27" w:rsidRPr="00E4133A" w:rsidRDefault="00E47327" w:rsidP="00D60D87">
    <w:pPr>
      <w:pStyle w:val="ECHRHeader"/>
    </w:pPr>
    <w:r w:rsidRPr="00E4133A">
      <w:tab/>
    </w:r>
    <w:r>
      <w:t>IVASHCHENKO v. RUSSIA</w:t>
    </w:r>
    <w:r w:rsidRPr="00E4133A">
      <w:t xml:space="preserve"> </w:t>
    </w:r>
    <w:r>
      <w:t>JUDGMENT</w:t>
    </w:r>
    <w:r w:rsidRPr="00E4133A">
      <w:tab/>
    </w:r>
    <w:r>
      <w:rPr>
        <w:rStyle w:val="aff1"/>
        <w:szCs w:val="18"/>
      </w:rPr>
      <w:fldChar w:fldCharType="begin"/>
    </w:r>
    <w:r>
      <w:rPr>
        <w:rStyle w:val="aff1"/>
        <w:szCs w:val="18"/>
      </w:rPr>
      <w:instrText xml:space="preserve"> PAGE </w:instrText>
    </w:r>
    <w:r>
      <w:rPr>
        <w:rStyle w:val="aff1"/>
        <w:szCs w:val="18"/>
      </w:rPr>
      <w:fldChar w:fldCharType="separate"/>
    </w:r>
    <w:r w:rsidR="00B87844">
      <w:rPr>
        <w:rStyle w:val="aff1"/>
        <w:noProof/>
        <w:szCs w:val="18"/>
      </w:rPr>
      <w:t>1</w:t>
    </w:r>
    <w:r>
      <w:rPr>
        <w:rStyle w:val="aff1"/>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a"/>
      <w:lvlText w:val="%1."/>
      <w:lvlJc w:val="left"/>
      <w:pPr>
        <w:tabs>
          <w:tab w:val="num" w:pos="360"/>
        </w:tabs>
        <w:ind w:left="360" w:hanging="360"/>
      </w:pPr>
    </w:lvl>
  </w:abstractNum>
  <w:abstractNum w:abstractNumId="9" w15:restartNumberingAfterBreak="0">
    <w:nsid w:val="FFFFFFFE"/>
    <w:multiLevelType w:val="singleLevel"/>
    <w:tmpl w:val="A17C9244"/>
    <w:lvl w:ilvl="0">
      <w:numFmt w:val="bullet"/>
      <w:lvlText w:val="*"/>
      <w:lvlJc w:val="left"/>
    </w:lvl>
  </w:abstractNum>
  <w:abstractNum w:abstractNumId="10"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1"/>
  </w:num>
  <w:num w:numId="3">
    <w:abstractNumId w:val="10"/>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9"/>
    <w:lvlOverride w:ilvl="0">
      <w:lvl w:ilvl="0">
        <w:numFmt w:val="bullet"/>
        <w:lvlText w:val=""/>
        <w:legacy w:legacy="1" w:legacySpace="0" w:legacyIndent="0"/>
        <w:lvlJc w:val="left"/>
        <w:rPr>
          <w:rFonts w:ascii="Symbol" w:hAnsi="Symbol" w:hint="default"/>
        </w:rPr>
      </w:lvl>
    </w:lvlOverride>
  </w:num>
  <w:num w:numId="18">
    <w:abstractNumId w:val="13"/>
  </w:num>
  <w:num w:numId="19">
    <w:abstractNumId w:val="13"/>
  </w:num>
  <w:num w:numId="20">
    <w:abstractNumId w:val="13"/>
  </w:num>
  <w:num w:numId="21">
    <w:abstractNumId w:val="13"/>
  </w:num>
  <w:num w:numId="22">
    <w:abstractNumId w:val="13"/>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7C3C50"/>
    <w:rsid w:val="00000067"/>
    <w:rsid w:val="00000554"/>
    <w:rsid w:val="0000070B"/>
    <w:rsid w:val="000010ED"/>
    <w:rsid w:val="000041F8"/>
    <w:rsid w:val="000042A8"/>
    <w:rsid w:val="00004308"/>
    <w:rsid w:val="00005BF0"/>
    <w:rsid w:val="00005F40"/>
    <w:rsid w:val="00007154"/>
    <w:rsid w:val="000103AE"/>
    <w:rsid w:val="00011D69"/>
    <w:rsid w:val="00012AD3"/>
    <w:rsid w:val="00013A9D"/>
    <w:rsid w:val="00014056"/>
    <w:rsid w:val="00014566"/>
    <w:rsid w:val="00015C2D"/>
    <w:rsid w:val="00015F00"/>
    <w:rsid w:val="00016C80"/>
    <w:rsid w:val="0001755B"/>
    <w:rsid w:val="00021992"/>
    <w:rsid w:val="00022C1D"/>
    <w:rsid w:val="00023A4D"/>
    <w:rsid w:val="00034987"/>
    <w:rsid w:val="000350E3"/>
    <w:rsid w:val="0005010D"/>
    <w:rsid w:val="00054FEE"/>
    <w:rsid w:val="000602DF"/>
    <w:rsid w:val="0006074C"/>
    <w:rsid w:val="00061B05"/>
    <w:rsid w:val="00062180"/>
    <w:rsid w:val="00062973"/>
    <w:rsid w:val="00062D5D"/>
    <w:rsid w:val="000632D5"/>
    <w:rsid w:val="000644EE"/>
    <w:rsid w:val="00066F84"/>
    <w:rsid w:val="00070034"/>
    <w:rsid w:val="00071ABC"/>
    <w:rsid w:val="00072F7C"/>
    <w:rsid w:val="00081067"/>
    <w:rsid w:val="00083506"/>
    <w:rsid w:val="000856D7"/>
    <w:rsid w:val="00086F97"/>
    <w:rsid w:val="000902AD"/>
    <w:rsid w:val="000911A5"/>
    <w:rsid w:val="000925AD"/>
    <w:rsid w:val="00093C50"/>
    <w:rsid w:val="00097C2A"/>
    <w:rsid w:val="000A07B2"/>
    <w:rsid w:val="000A0A99"/>
    <w:rsid w:val="000A118B"/>
    <w:rsid w:val="000A24EB"/>
    <w:rsid w:val="000A2BE9"/>
    <w:rsid w:val="000A3260"/>
    <w:rsid w:val="000B19C2"/>
    <w:rsid w:val="000B33EE"/>
    <w:rsid w:val="000B6923"/>
    <w:rsid w:val="000C01FC"/>
    <w:rsid w:val="000C033C"/>
    <w:rsid w:val="000C0B78"/>
    <w:rsid w:val="000C30D2"/>
    <w:rsid w:val="000C3A94"/>
    <w:rsid w:val="000C5F3C"/>
    <w:rsid w:val="000C6DCC"/>
    <w:rsid w:val="000D23A9"/>
    <w:rsid w:val="000D3D03"/>
    <w:rsid w:val="000D41A4"/>
    <w:rsid w:val="000D47AA"/>
    <w:rsid w:val="000D4948"/>
    <w:rsid w:val="000D4D8A"/>
    <w:rsid w:val="000D721F"/>
    <w:rsid w:val="000D7F5F"/>
    <w:rsid w:val="000E069B"/>
    <w:rsid w:val="000E0E82"/>
    <w:rsid w:val="000E1DC5"/>
    <w:rsid w:val="000E21BA"/>
    <w:rsid w:val="000E223F"/>
    <w:rsid w:val="000E35AC"/>
    <w:rsid w:val="000E7D45"/>
    <w:rsid w:val="000F06D6"/>
    <w:rsid w:val="000F35B0"/>
    <w:rsid w:val="000F7851"/>
    <w:rsid w:val="00103413"/>
    <w:rsid w:val="00104E23"/>
    <w:rsid w:val="00110295"/>
    <w:rsid w:val="00111B0C"/>
    <w:rsid w:val="0011628D"/>
    <w:rsid w:val="00120D6C"/>
    <w:rsid w:val="00123B64"/>
    <w:rsid w:val="001257EC"/>
    <w:rsid w:val="001310F0"/>
    <w:rsid w:val="00132C6A"/>
    <w:rsid w:val="00133D33"/>
    <w:rsid w:val="00134A12"/>
    <w:rsid w:val="00134D64"/>
    <w:rsid w:val="00135A30"/>
    <w:rsid w:val="0013612C"/>
    <w:rsid w:val="001379D6"/>
    <w:rsid w:val="00137FF6"/>
    <w:rsid w:val="0014029C"/>
    <w:rsid w:val="00141650"/>
    <w:rsid w:val="001457D8"/>
    <w:rsid w:val="001520D0"/>
    <w:rsid w:val="00152194"/>
    <w:rsid w:val="00152719"/>
    <w:rsid w:val="00153427"/>
    <w:rsid w:val="00157116"/>
    <w:rsid w:val="001607BC"/>
    <w:rsid w:val="00160B22"/>
    <w:rsid w:val="001610DE"/>
    <w:rsid w:val="00162A12"/>
    <w:rsid w:val="00162C6B"/>
    <w:rsid w:val="00166530"/>
    <w:rsid w:val="001704D9"/>
    <w:rsid w:val="00170770"/>
    <w:rsid w:val="00170D7C"/>
    <w:rsid w:val="00181142"/>
    <w:rsid w:val="001832BD"/>
    <w:rsid w:val="001856E9"/>
    <w:rsid w:val="001873F2"/>
    <w:rsid w:val="00193826"/>
    <w:rsid w:val="00193CEF"/>
    <w:rsid w:val="001943B5"/>
    <w:rsid w:val="00195134"/>
    <w:rsid w:val="00197E46"/>
    <w:rsid w:val="001A0950"/>
    <w:rsid w:val="001A145B"/>
    <w:rsid w:val="001A40E4"/>
    <w:rsid w:val="001A55A3"/>
    <w:rsid w:val="001A674C"/>
    <w:rsid w:val="001B09B0"/>
    <w:rsid w:val="001B3B24"/>
    <w:rsid w:val="001B55C6"/>
    <w:rsid w:val="001C0F98"/>
    <w:rsid w:val="001C2A42"/>
    <w:rsid w:val="001C5098"/>
    <w:rsid w:val="001C70B1"/>
    <w:rsid w:val="001D0135"/>
    <w:rsid w:val="001D61D0"/>
    <w:rsid w:val="001D63ED"/>
    <w:rsid w:val="001D7348"/>
    <w:rsid w:val="001E035B"/>
    <w:rsid w:val="001E0961"/>
    <w:rsid w:val="001E3EAE"/>
    <w:rsid w:val="001E5348"/>
    <w:rsid w:val="001E6F32"/>
    <w:rsid w:val="001F0FBE"/>
    <w:rsid w:val="001F1841"/>
    <w:rsid w:val="001F1A73"/>
    <w:rsid w:val="001F2145"/>
    <w:rsid w:val="001F39AD"/>
    <w:rsid w:val="001F439D"/>
    <w:rsid w:val="001F6262"/>
    <w:rsid w:val="001F67B0"/>
    <w:rsid w:val="001F6D05"/>
    <w:rsid w:val="001F791B"/>
    <w:rsid w:val="001F7B3D"/>
    <w:rsid w:val="00202F7E"/>
    <w:rsid w:val="00205F9F"/>
    <w:rsid w:val="00210338"/>
    <w:rsid w:val="002115FC"/>
    <w:rsid w:val="002133F8"/>
    <w:rsid w:val="00213564"/>
    <w:rsid w:val="0021423C"/>
    <w:rsid w:val="00215174"/>
    <w:rsid w:val="00216DB8"/>
    <w:rsid w:val="00220577"/>
    <w:rsid w:val="0022171E"/>
    <w:rsid w:val="00221ECC"/>
    <w:rsid w:val="0022479E"/>
    <w:rsid w:val="00224C22"/>
    <w:rsid w:val="00227025"/>
    <w:rsid w:val="00227D8A"/>
    <w:rsid w:val="00230D00"/>
    <w:rsid w:val="00231543"/>
    <w:rsid w:val="00231DF7"/>
    <w:rsid w:val="00231FD1"/>
    <w:rsid w:val="0023313F"/>
    <w:rsid w:val="0023321B"/>
    <w:rsid w:val="002339E0"/>
    <w:rsid w:val="00233CF8"/>
    <w:rsid w:val="0023575D"/>
    <w:rsid w:val="00237148"/>
    <w:rsid w:val="0024222D"/>
    <w:rsid w:val="00244B0E"/>
    <w:rsid w:val="00244F6C"/>
    <w:rsid w:val="00247622"/>
    <w:rsid w:val="00251A7A"/>
    <w:rsid w:val="002532C5"/>
    <w:rsid w:val="00253727"/>
    <w:rsid w:val="00260074"/>
    <w:rsid w:val="00260C03"/>
    <w:rsid w:val="0026540E"/>
    <w:rsid w:val="002661C2"/>
    <w:rsid w:val="00271DF7"/>
    <w:rsid w:val="00271E8F"/>
    <w:rsid w:val="0027225C"/>
    <w:rsid w:val="0027401F"/>
    <w:rsid w:val="00274032"/>
    <w:rsid w:val="00275123"/>
    <w:rsid w:val="002763D2"/>
    <w:rsid w:val="00282240"/>
    <w:rsid w:val="0028572A"/>
    <w:rsid w:val="00293270"/>
    <w:rsid w:val="002948AD"/>
    <w:rsid w:val="00294C05"/>
    <w:rsid w:val="00294C92"/>
    <w:rsid w:val="002975A5"/>
    <w:rsid w:val="002A01CC"/>
    <w:rsid w:val="002A1A53"/>
    <w:rsid w:val="002A47FA"/>
    <w:rsid w:val="002A4A9B"/>
    <w:rsid w:val="002A61B1"/>
    <w:rsid w:val="002A663C"/>
    <w:rsid w:val="002B1E6C"/>
    <w:rsid w:val="002B4173"/>
    <w:rsid w:val="002B444B"/>
    <w:rsid w:val="002B5887"/>
    <w:rsid w:val="002C0692"/>
    <w:rsid w:val="002C0E27"/>
    <w:rsid w:val="002C3040"/>
    <w:rsid w:val="002C3349"/>
    <w:rsid w:val="002D022D"/>
    <w:rsid w:val="002D1F1C"/>
    <w:rsid w:val="002D24BB"/>
    <w:rsid w:val="002D7A95"/>
    <w:rsid w:val="002E575A"/>
    <w:rsid w:val="002F04C5"/>
    <w:rsid w:val="002F0861"/>
    <w:rsid w:val="002F171B"/>
    <w:rsid w:val="002F2AF7"/>
    <w:rsid w:val="002F4F44"/>
    <w:rsid w:val="002F7076"/>
    <w:rsid w:val="002F7E1C"/>
    <w:rsid w:val="00301A75"/>
    <w:rsid w:val="00302F70"/>
    <w:rsid w:val="0030336F"/>
    <w:rsid w:val="0030375E"/>
    <w:rsid w:val="00305424"/>
    <w:rsid w:val="00306F88"/>
    <w:rsid w:val="0031102C"/>
    <w:rsid w:val="00312A30"/>
    <w:rsid w:val="00314846"/>
    <w:rsid w:val="003201DC"/>
    <w:rsid w:val="00320F26"/>
    <w:rsid w:val="00320F72"/>
    <w:rsid w:val="003220F6"/>
    <w:rsid w:val="00323D9C"/>
    <w:rsid w:val="0032463E"/>
    <w:rsid w:val="00326224"/>
    <w:rsid w:val="0032676F"/>
    <w:rsid w:val="00331EAC"/>
    <w:rsid w:val="0033785F"/>
    <w:rsid w:val="00337A6D"/>
    <w:rsid w:val="00337EE4"/>
    <w:rsid w:val="00340FFD"/>
    <w:rsid w:val="0034605E"/>
    <w:rsid w:val="003506B1"/>
    <w:rsid w:val="0035321F"/>
    <w:rsid w:val="0035530E"/>
    <w:rsid w:val="00356AC7"/>
    <w:rsid w:val="00357C1F"/>
    <w:rsid w:val="003609FA"/>
    <w:rsid w:val="0036280D"/>
    <w:rsid w:val="0036590C"/>
    <w:rsid w:val="003668D3"/>
    <w:rsid w:val="003710C8"/>
    <w:rsid w:val="003750BE"/>
    <w:rsid w:val="00382907"/>
    <w:rsid w:val="003829A0"/>
    <w:rsid w:val="00385735"/>
    <w:rsid w:val="00387B9D"/>
    <w:rsid w:val="003928C3"/>
    <w:rsid w:val="0039364F"/>
    <w:rsid w:val="00393DFE"/>
    <w:rsid w:val="00396686"/>
    <w:rsid w:val="0039778E"/>
    <w:rsid w:val="003A0AFD"/>
    <w:rsid w:val="003A441D"/>
    <w:rsid w:val="003B120E"/>
    <w:rsid w:val="003B4941"/>
    <w:rsid w:val="003B56B7"/>
    <w:rsid w:val="003C06D6"/>
    <w:rsid w:val="003C3126"/>
    <w:rsid w:val="003C3BEE"/>
    <w:rsid w:val="003C570C"/>
    <w:rsid w:val="003C5714"/>
    <w:rsid w:val="003C6B9F"/>
    <w:rsid w:val="003C6E2A"/>
    <w:rsid w:val="003D0299"/>
    <w:rsid w:val="003D0AE9"/>
    <w:rsid w:val="003D7368"/>
    <w:rsid w:val="003E1E88"/>
    <w:rsid w:val="003E6D80"/>
    <w:rsid w:val="003F05FA"/>
    <w:rsid w:val="003F244A"/>
    <w:rsid w:val="003F30B8"/>
    <w:rsid w:val="003F38F8"/>
    <w:rsid w:val="003F4C23"/>
    <w:rsid w:val="003F4C45"/>
    <w:rsid w:val="003F5949"/>
    <w:rsid w:val="003F5F7B"/>
    <w:rsid w:val="003F7D64"/>
    <w:rsid w:val="00402C32"/>
    <w:rsid w:val="004070A6"/>
    <w:rsid w:val="00412297"/>
    <w:rsid w:val="0041338B"/>
    <w:rsid w:val="00414300"/>
    <w:rsid w:val="0042078A"/>
    <w:rsid w:val="004257CA"/>
    <w:rsid w:val="00425C67"/>
    <w:rsid w:val="00426D7C"/>
    <w:rsid w:val="00427E7A"/>
    <w:rsid w:val="00431DB8"/>
    <w:rsid w:val="00434B49"/>
    <w:rsid w:val="004351E6"/>
    <w:rsid w:val="00436307"/>
    <w:rsid w:val="00436C49"/>
    <w:rsid w:val="00442476"/>
    <w:rsid w:val="00445366"/>
    <w:rsid w:val="004466EC"/>
    <w:rsid w:val="00447F5B"/>
    <w:rsid w:val="0045046B"/>
    <w:rsid w:val="0045335B"/>
    <w:rsid w:val="004538D6"/>
    <w:rsid w:val="004562FF"/>
    <w:rsid w:val="00460D54"/>
    <w:rsid w:val="00461DB0"/>
    <w:rsid w:val="00461E67"/>
    <w:rsid w:val="00463926"/>
    <w:rsid w:val="00464097"/>
    <w:rsid w:val="004646E0"/>
    <w:rsid w:val="00464C9A"/>
    <w:rsid w:val="0046562D"/>
    <w:rsid w:val="00467FBE"/>
    <w:rsid w:val="00470B1D"/>
    <w:rsid w:val="00471484"/>
    <w:rsid w:val="00472D7B"/>
    <w:rsid w:val="00474F3D"/>
    <w:rsid w:val="00477E3A"/>
    <w:rsid w:val="00483E5F"/>
    <w:rsid w:val="00485FF9"/>
    <w:rsid w:val="00486928"/>
    <w:rsid w:val="004907F0"/>
    <w:rsid w:val="00490C83"/>
    <w:rsid w:val="0049140B"/>
    <w:rsid w:val="004923A5"/>
    <w:rsid w:val="00496BFB"/>
    <w:rsid w:val="004A15C7"/>
    <w:rsid w:val="004A79F6"/>
    <w:rsid w:val="004B013B"/>
    <w:rsid w:val="004B0AD3"/>
    <w:rsid w:val="004B112B"/>
    <w:rsid w:val="004B1E2C"/>
    <w:rsid w:val="004C01E4"/>
    <w:rsid w:val="004C086C"/>
    <w:rsid w:val="004C0DAC"/>
    <w:rsid w:val="004C1F56"/>
    <w:rsid w:val="004C27BC"/>
    <w:rsid w:val="004C2E94"/>
    <w:rsid w:val="004D03B1"/>
    <w:rsid w:val="004D15F3"/>
    <w:rsid w:val="004D347F"/>
    <w:rsid w:val="004D5311"/>
    <w:rsid w:val="004D5DCC"/>
    <w:rsid w:val="004D7A5E"/>
    <w:rsid w:val="004E0B95"/>
    <w:rsid w:val="004E4E13"/>
    <w:rsid w:val="004F10AF"/>
    <w:rsid w:val="004F11A4"/>
    <w:rsid w:val="004F2389"/>
    <w:rsid w:val="004F304D"/>
    <w:rsid w:val="004F5B90"/>
    <w:rsid w:val="004F61BE"/>
    <w:rsid w:val="004F66B1"/>
    <w:rsid w:val="004F7EC4"/>
    <w:rsid w:val="00500940"/>
    <w:rsid w:val="00502A0D"/>
    <w:rsid w:val="00504ABA"/>
    <w:rsid w:val="00510342"/>
    <w:rsid w:val="0051089D"/>
    <w:rsid w:val="00511C07"/>
    <w:rsid w:val="00512D5D"/>
    <w:rsid w:val="005173A6"/>
    <w:rsid w:val="005202F5"/>
    <w:rsid w:val="00520629"/>
    <w:rsid w:val="005208E0"/>
    <w:rsid w:val="00520BAA"/>
    <w:rsid w:val="005221D0"/>
    <w:rsid w:val="00523337"/>
    <w:rsid w:val="005241CD"/>
    <w:rsid w:val="00525208"/>
    <w:rsid w:val="005257A5"/>
    <w:rsid w:val="005264C0"/>
    <w:rsid w:val="00526A8A"/>
    <w:rsid w:val="00530586"/>
    <w:rsid w:val="00531CCC"/>
    <w:rsid w:val="00531DF2"/>
    <w:rsid w:val="00533747"/>
    <w:rsid w:val="00533CF7"/>
    <w:rsid w:val="00535BB8"/>
    <w:rsid w:val="00544066"/>
    <w:rsid w:val="005442EE"/>
    <w:rsid w:val="00547353"/>
    <w:rsid w:val="005474E7"/>
    <w:rsid w:val="005512A3"/>
    <w:rsid w:val="00551CF5"/>
    <w:rsid w:val="00551F19"/>
    <w:rsid w:val="00556939"/>
    <w:rsid w:val="00556C2C"/>
    <w:rsid w:val="005578CE"/>
    <w:rsid w:val="00557AC2"/>
    <w:rsid w:val="00562781"/>
    <w:rsid w:val="00563E83"/>
    <w:rsid w:val="00564B1D"/>
    <w:rsid w:val="0057051C"/>
    <w:rsid w:val="00571A98"/>
    <w:rsid w:val="0057271C"/>
    <w:rsid w:val="00572845"/>
    <w:rsid w:val="00581716"/>
    <w:rsid w:val="00583346"/>
    <w:rsid w:val="005874D4"/>
    <w:rsid w:val="00587B5C"/>
    <w:rsid w:val="00590A75"/>
    <w:rsid w:val="00592772"/>
    <w:rsid w:val="0059574A"/>
    <w:rsid w:val="00595895"/>
    <w:rsid w:val="005962C9"/>
    <w:rsid w:val="00596F1A"/>
    <w:rsid w:val="00597A4D"/>
    <w:rsid w:val="005A1B9B"/>
    <w:rsid w:val="005A5C72"/>
    <w:rsid w:val="005A6751"/>
    <w:rsid w:val="005A6CB5"/>
    <w:rsid w:val="005A772A"/>
    <w:rsid w:val="005B092E"/>
    <w:rsid w:val="005B152C"/>
    <w:rsid w:val="005B1B86"/>
    <w:rsid w:val="005B1EE0"/>
    <w:rsid w:val="005B22CE"/>
    <w:rsid w:val="005B2B24"/>
    <w:rsid w:val="005B4425"/>
    <w:rsid w:val="005B4B94"/>
    <w:rsid w:val="005B684B"/>
    <w:rsid w:val="005B7739"/>
    <w:rsid w:val="005C3EE8"/>
    <w:rsid w:val="005C71B5"/>
    <w:rsid w:val="005D0C40"/>
    <w:rsid w:val="005D0F6E"/>
    <w:rsid w:val="005D32DC"/>
    <w:rsid w:val="005D34F9"/>
    <w:rsid w:val="005D4190"/>
    <w:rsid w:val="005D67A3"/>
    <w:rsid w:val="005E1747"/>
    <w:rsid w:val="005E22C4"/>
    <w:rsid w:val="005E2988"/>
    <w:rsid w:val="005E2A43"/>
    <w:rsid w:val="005E3085"/>
    <w:rsid w:val="005E368C"/>
    <w:rsid w:val="005E438A"/>
    <w:rsid w:val="005E7878"/>
    <w:rsid w:val="005F51E1"/>
    <w:rsid w:val="005F546E"/>
    <w:rsid w:val="00602E70"/>
    <w:rsid w:val="00606621"/>
    <w:rsid w:val="00611C80"/>
    <w:rsid w:val="00616361"/>
    <w:rsid w:val="00620692"/>
    <w:rsid w:val="006242CA"/>
    <w:rsid w:val="006257D3"/>
    <w:rsid w:val="00627507"/>
    <w:rsid w:val="006302B5"/>
    <w:rsid w:val="00630FFC"/>
    <w:rsid w:val="00631F30"/>
    <w:rsid w:val="00633717"/>
    <w:rsid w:val="00633E63"/>
    <w:rsid w:val="00633FFF"/>
    <w:rsid w:val="006344E1"/>
    <w:rsid w:val="0063597F"/>
    <w:rsid w:val="006362D8"/>
    <w:rsid w:val="0064098D"/>
    <w:rsid w:val="006411A8"/>
    <w:rsid w:val="00653742"/>
    <w:rsid w:val="0065449E"/>
    <w:rsid w:val="006545C4"/>
    <w:rsid w:val="00655562"/>
    <w:rsid w:val="00661971"/>
    <w:rsid w:val="00661CE8"/>
    <w:rsid w:val="0066219E"/>
    <w:rsid w:val="006623D9"/>
    <w:rsid w:val="0066550C"/>
    <w:rsid w:val="00666D39"/>
    <w:rsid w:val="006706C8"/>
    <w:rsid w:val="006716F2"/>
    <w:rsid w:val="00674FA5"/>
    <w:rsid w:val="00676EDB"/>
    <w:rsid w:val="00681780"/>
    <w:rsid w:val="00682BF2"/>
    <w:rsid w:val="0068407A"/>
    <w:rsid w:val="006859CE"/>
    <w:rsid w:val="00691270"/>
    <w:rsid w:val="0069229E"/>
    <w:rsid w:val="00693D5B"/>
    <w:rsid w:val="00693E64"/>
    <w:rsid w:val="00694BA8"/>
    <w:rsid w:val="006A037C"/>
    <w:rsid w:val="006A36F4"/>
    <w:rsid w:val="006A406F"/>
    <w:rsid w:val="006A51FE"/>
    <w:rsid w:val="006A5D3A"/>
    <w:rsid w:val="006B0EA0"/>
    <w:rsid w:val="006B1EA7"/>
    <w:rsid w:val="006B1F3D"/>
    <w:rsid w:val="006B2FD4"/>
    <w:rsid w:val="006B3B6B"/>
    <w:rsid w:val="006B63B6"/>
    <w:rsid w:val="006B7D6B"/>
    <w:rsid w:val="006C1792"/>
    <w:rsid w:val="006C23D4"/>
    <w:rsid w:val="006C2DE5"/>
    <w:rsid w:val="006C7BB0"/>
    <w:rsid w:val="006C7C1E"/>
    <w:rsid w:val="006C7E6D"/>
    <w:rsid w:val="006D0609"/>
    <w:rsid w:val="006D3237"/>
    <w:rsid w:val="006D795F"/>
    <w:rsid w:val="006E2E37"/>
    <w:rsid w:val="006E3CF1"/>
    <w:rsid w:val="006E3E18"/>
    <w:rsid w:val="006E6C77"/>
    <w:rsid w:val="006E7E80"/>
    <w:rsid w:val="006F1DF9"/>
    <w:rsid w:val="006F24DB"/>
    <w:rsid w:val="006F3B48"/>
    <w:rsid w:val="006F48CA"/>
    <w:rsid w:val="006F54EE"/>
    <w:rsid w:val="006F64DD"/>
    <w:rsid w:val="006F685F"/>
    <w:rsid w:val="006F6E22"/>
    <w:rsid w:val="007000A7"/>
    <w:rsid w:val="00705781"/>
    <w:rsid w:val="00710124"/>
    <w:rsid w:val="007101D3"/>
    <w:rsid w:val="00715127"/>
    <w:rsid w:val="00715E8E"/>
    <w:rsid w:val="007228B5"/>
    <w:rsid w:val="00723417"/>
    <w:rsid w:val="00723580"/>
    <w:rsid w:val="00723755"/>
    <w:rsid w:val="00725A03"/>
    <w:rsid w:val="00727E95"/>
    <w:rsid w:val="0073136C"/>
    <w:rsid w:val="00731F0F"/>
    <w:rsid w:val="00733250"/>
    <w:rsid w:val="0073418C"/>
    <w:rsid w:val="00741404"/>
    <w:rsid w:val="007449E5"/>
    <w:rsid w:val="00745EA3"/>
    <w:rsid w:val="00746C5A"/>
    <w:rsid w:val="00747FF0"/>
    <w:rsid w:val="007509D5"/>
    <w:rsid w:val="00751D70"/>
    <w:rsid w:val="0075545C"/>
    <w:rsid w:val="00764D4E"/>
    <w:rsid w:val="00765A1F"/>
    <w:rsid w:val="00765FD6"/>
    <w:rsid w:val="00766323"/>
    <w:rsid w:val="00774A6E"/>
    <w:rsid w:val="00774B02"/>
    <w:rsid w:val="00774F64"/>
    <w:rsid w:val="00775B6D"/>
    <w:rsid w:val="00775FA7"/>
    <w:rsid w:val="00776D68"/>
    <w:rsid w:val="00782C5F"/>
    <w:rsid w:val="007850EE"/>
    <w:rsid w:val="00785B95"/>
    <w:rsid w:val="00790E96"/>
    <w:rsid w:val="00793366"/>
    <w:rsid w:val="007942E5"/>
    <w:rsid w:val="007A4803"/>
    <w:rsid w:val="007A5D8C"/>
    <w:rsid w:val="007A716F"/>
    <w:rsid w:val="007B270A"/>
    <w:rsid w:val="007C0695"/>
    <w:rsid w:val="007C1159"/>
    <w:rsid w:val="007C117E"/>
    <w:rsid w:val="007C3C50"/>
    <w:rsid w:val="007C419A"/>
    <w:rsid w:val="007C4CC8"/>
    <w:rsid w:val="007C5426"/>
    <w:rsid w:val="007C56AF"/>
    <w:rsid w:val="007C5798"/>
    <w:rsid w:val="007D3E49"/>
    <w:rsid w:val="007D4832"/>
    <w:rsid w:val="007D541C"/>
    <w:rsid w:val="007D6ADB"/>
    <w:rsid w:val="007D71D4"/>
    <w:rsid w:val="007E21B2"/>
    <w:rsid w:val="007E2C4E"/>
    <w:rsid w:val="007E2FBE"/>
    <w:rsid w:val="007E49D1"/>
    <w:rsid w:val="007F1905"/>
    <w:rsid w:val="007F7281"/>
    <w:rsid w:val="0080048F"/>
    <w:rsid w:val="00801300"/>
    <w:rsid w:val="00802C64"/>
    <w:rsid w:val="008035CA"/>
    <w:rsid w:val="008039A7"/>
    <w:rsid w:val="00803BF5"/>
    <w:rsid w:val="00805E52"/>
    <w:rsid w:val="008061D0"/>
    <w:rsid w:val="00810B38"/>
    <w:rsid w:val="00812F1E"/>
    <w:rsid w:val="008149A9"/>
    <w:rsid w:val="00820413"/>
    <w:rsid w:val="008204C7"/>
    <w:rsid w:val="00820992"/>
    <w:rsid w:val="008227C1"/>
    <w:rsid w:val="008228B9"/>
    <w:rsid w:val="00823602"/>
    <w:rsid w:val="00823C49"/>
    <w:rsid w:val="008255F5"/>
    <w:rsid w:val="0083014E"/>
    <w:rsid w:val="008307DF"/>
    <w:rsid w:val="0083129F"/>
    <w:rsid w:val="0083214A"/>
    <w:rsid w:val="00834220"/>
    <w:rsid w:val="00845723"/>
    <w:rsid w:val="008460C7"/>
    <w:rsid w:val="00851EF9"/>
    <w:rsid w:val="008577FD"/>
    <w:rsid w:val="00857A51"/>
    <w:rsid w:val="00860B03"/>
    <w:rsid w:val="0086381E"/>
    <w:rsid w:val="0086497A"/>
    <w:rsid w:val="00866056"/>
    <w:rsid w:val="008713A1"/>
    <w:rsid w:val="00874B24"/>
    <w:rsid w:val="008754AB"/>
    <w:rsid w:val="00875FC6"/>
    <w:rsid w:val="00880145"/>
    <w:rsid w:val="0088060C"/>
    <w:rsid w:val="00880ADC"/>
    <w:rsid w:val="00880B07"/>
    <w:rsid w:val="00884324"/>
    <w:rsid w:val="008863E2"/>
    <w:rsid w:val="0088785A"/>
    <w:rsid w:val="00893576"/>
    <w:rsid w:val="00893E73"/>
    <w:rsid w:val="008A0634"/>
    <w:rsid w:val="008A1E53"/>
    <w:rsid w:val="008A43C4"/>
    <w:rsid w:val="008A66BD"/>
    <w:rsid w:val="008B02DC"/>
    <w:rsid w:val="008B1E80"/>
    <w:rsid w:val="008B3D21"/>
    <w:rsid w:val="008B4F4C"/>
    <w:rsid w:val="008B57CE"/>
    <w:rsid w:val="008B610D"/>
    <w:rsid w:val="008B659F"/>
    <w:rsid w:val="008C26DE"/>
    <w:rsid w:val="008D2225"/>
    <w:rsid w:val="008D4752"/>
    <w:rsid w:val="008D552A"/>
    <w:rsid w:val="008D6714"/>
    <w:rsid w:val="008E002C"/>
    <w:rsid w:val="008E271C"/>
    <w:rsid w:val="008E418E"/>
    <w:rsid w:val="008E5BC6"/>
    <w:rsid w:val="008E5E43"/>
    <w:rsid w:val="008E678E"/>
    <w:rsid w:val="008E6A25"/>
    <w:rsid w:val="008F20A5"/>
    <w:rsid w:val="008F5193"/>
    <w:rsid w:val="008F535B"/>
    <w:rsid w:val="00900C39"/>
    <w:rsid w:val="009013A7"/>
    <w:rsid w:val="009017FB"/>
    <w:rsid w:val="009017FC"/>
    <w:rsid w:val="00903B43"/>
    <w:rsid w:val="00904A5D"/>
    <w:rsid w:val="0090506B"/>
    <w:rsid w:val="009050C9"/>
    <w:rsid w:val="009066FC"/>
    <w:rsid w:val="009140A3"/>
    <w:rsid w:val="009144A2"/>
    <w:rsid w:val="0091510C"/>
    <w:rsid w:val="00920F1A"/>
    <w:rsid w:val="00921431"/>
    <w:rsid w:val="009246EC"/>
    <w:rsid w:val="009259AC"/>
    <w:rsid w:val="00926F38"/>
    <w:rsid w:val="00930969"/>
    <w:rsid w:val="00932134"/>
    <w:rsid w:val="00934301"/>
    <w:rsid w:val="00934EB3"/>
    <w:rsid w:val="00936CD1"/>
    <w:rsid w:val="00940C0C"/>
    <w:rsid w:val="00941747"/>
    <w:rsid w:val="00941EFB"/>
    <w:rsid w:val="009471E6"/>
    <w:rsid w:val="00947AFB"/>
    <w:rsid w:val="00951D7D"/>
    <w:rsid w:val="00952C12"/>
    <w:rsid w:val="00954391"/>
    <w:rsid w:val="00956E96"/>
    <w:rsid w:val="009630C7"/>
    <w:rsid w:val="00964E93"/>
    <w:rsid w:val="009664CA"/>
    <w:rsid w:val="00972B55"/>
    <w:rsid w:val="009730FF"/>
    <w:rsid w:val="009743B7"/>
    <w:rsid w:val="00974FB2"/>
    <w:rsid w:val="009772D8"/>
    <w:rsid w:val="0098228B"/>
    <w:rsid w:val="009828DA"/>
    <w:rsid w:val="009850DB"/>
    <w:rsid w:val="00985BAB"/>
    <w:rsid w:val="00986BCF"/>
    <w:rsid w:val="009941E4"/>
    <w:rsid w:val="00997F03"/>
    <w:rsid w:val="009A277B"/>
    <w:rsid w:val="009A46DF"/>
    <w:rsid w:val="009A5325"/>
    <w:rsid w:val="009B1B5F"/>
    <w:rsid w:val="009B2EC2"/>
    <w:rsid w:val="009B4133"/>
    <w:rsid w:val="009B45B1"/>
    <w:rsid w:val="009B6673"/>
    <w:rsid w:val="009C191B"/>
    <w:rsid w:val="009C2BD6"/>
    <w:rsid w:val="009C35B7"/>
    <w:rsid w:val="009C6156"/>
    <w:rsid w:val="009D10BE"/>
    <w:rsid w:val="009D143E"/>
    <w:rsid w:val="009D1859"/>
    <w:rsid w:val="009E075B"/>
    <w:rsid w:val="009E1F32"/>
    <w:rsid w:val="009E34C4"/>
    <w:rsid w:val="009E5829"/>
    <w:rsid w:val="009E776C"/>
    <w:rsid w:val="009F0D4F"/>
    <w:rsid w:val="009F7274"/>
    <w:rsid w:val="00A03080"/>
    <w:rsid w:val="00A0435D"/>
    <w:rsid w:val="00A103C7"/>
    <w:rsid w:val="00A115E5"/>
    <w:rsid w:val="00A11BB8"/>
    <w:rsid w:val="00A12170"/>
    <w:rsid w:val="00A130B4"/>
    <w:rsid w:val="00A1333F"/>
    <w:rsid w:val="00A1726E"/>
    <w:rsid w:val="00A204CF"/>
    <w:rsid w:val="00A21D61"/>
    <w:rsid w:val="00A23D49"/>
    <w:rsid w:val="00A26C92"/>
    <w:rsid w:val="00A27004"/>
    <w:rsid w:val="00A30C29"/>
    <w:rsid w:val="00A34DD6"/>
    <w:rsid w:val="00A36819"/>
    <w:rsid w:val="00A36989"/>
    <w:rsid w:val="00A43628"/>
    <w:rsid w:val="00A52D0E"/>
    <w:rsid w:val="00A54192"/>
    <w:rsid w:val="00A6035E"/>
    <w:rsid w:val="00A6144C"/>
    <w:rsid w:val="00A6227C"/>
    <w:rsid w:val="00A66617"/>
    <w:rsid w:val="00A671F8"/>
    <w:rsid w:val="00A673A4"/>
    <w:rsid w:val="00A724AE"/>
    <w:rsid w:val="00A73329"/>
    <w:rsid w:val="00A82359"/>
    <w:rsid w:val="00A856E3"/>
    <w:rsid w:val="00A865D2"/>
    <w:rsid w:val="00A86950"/>
    <w:rsid w:val="00A90075"/>
    <w:rsid w:val="00A903D9"/>
    <w:rsid w:val="00A93C20"/>
    <w:rsid w:val="00A94C20"/>
    <w:rsid w:val="00A96E54"/>
    <w:rsid w:val="00A96ED6"/>
    <w:rsid w:val="00AA0A3B"/>
    <w:rsid w:val="00AA1E66"/>
    <w:rsid w:val="00AA227F"/>
    <w:rsid w:val="00AA2325"/>
    <w:rsid w:val="00AA3BC7"/>
    <w:rsid w:val="00AA754A"/>
    <w:rsid w:val="00AB099E"/>
    <w:rsid w:val="00AB1EDA"/>
    <w:rsid w:val="00AB4328"/>
    <w:rsid w:val="00AB57ED"/>
    <w:rsid w:val="00AB5FA0"/>
    <w:rsid w:val="00AC7B7B"/>
    <w:rsid w:val="00AD3603"/>
    <w:rsid w:val="00AD7045"/>
    <w:rsid w:val="00AE048F"/>
    <w:rsid w:val="00AE0A2E"/>
    <w:rsid w:val="00AE354C"/>
    <w:rsid w:val="00AE49E0"/>
    <w:rsid w:val="00AE58DE"/>
    <w:rsid w:val="00AF01CD"/>
    <w:rsid w:val="00AF07C5"/>
    <w:rsid w:val="00AF3263"/>
    <w:rsid w:val="00AF4B07"/>
    <w:rsid w:val="00AF6186"/>
    <w:rsid w:val="00AF7A3A"/>
    <w:rsid w:val="00B043E4"/>
    <w:rsid w:val="00B10360"/>
    <w:rsid w:val="00B10D88"/>
    <w:rsid w:val="00B1138D"/>
    <w:rsid w:val="00B154A5"/>
    <w:rsid w:val="00B160DB"/>
    <w:rsid w:val="00B20836"/>
    <w:rsid w:val="00B214A6"/>
    <w:rsid w:val="00B22ED3"/>
    <w:rsid w:val="00B235BB"/>
    <w:rsid w:val="00B24A12"/>
    <w:rsid w:val="00B269C4"/>
    <w:rsid w:val="00B26BDA"/>
    <w:rsid w:val="00B27A44"/>
    <w:rsid w:val="00B30BBF"/>
    <w:rsid w:val="00B3297C"/>
    <w:rsid w:val="00B33C03"/>
    <w:rsid w:val="00B41EF0"/>
    <w:rsid w:val="00B43CE5"/>
    <w:rsid w:val="00B44E56"/>
    <w:rsid w:val="00B4611B"/>
    <w:rsid w:val="00B46543"/>
    <w:rsid w:val="00B47D33"/>
    <w:rsid w:val="00B5042D"/>
    <w:rsid w:val="00B52BE0"/>
    <w:rsid w:val="00B54133"/>
    <w:rsid w:val="00B5738D"/>
    <w:rsid w:val="00B637B9"/>
    <w:rsid w:val="00B65A69"/>
    <w:rsid w:val="00B6753D"/>
    <w:rsid w:val="00B701ED"/>
    <w:rsid w:val="00B70BFB"/>
    <w:rsid w:val="00B745FC"/>
    <w:rsid w:val="00B76208"/>
    <w:rsid w:val="00B8086C"/>
    <w:rsid w:val="00B83F92"/>
    <w:rsid w:val="00B861B4"/>
    <w:rsid w:val="00B86DFE"/>
    <w:rsid w:val="00B87844"/>
    <w:rsid w:val="00B90990"/>
    <w:rsid w:val="00B922FF"/>
    <w:rsid w:val="00B92491"/>
    <w:rsid w:val="00B9281E"/>
    <w:rsid w:val="00B93925"/>
    <w:rsid w:val="00B93D52"/>
    <w:rsid w:val="00B95187"/>
    <w:rsid w:val="00BA2D55"/>
    <w:rsid w:val="00BA4D28"/>
    <w:rsid w:val="00BA5711"/>
    <w:rsid w:val="00BA71B1"/>
    <w:rsid w:val="00BB0419"/>
    <w:rsid w:val="00BB0637"/>
    <w:rsid w:val="00BB26D7"/>
    <w:rsid w:val="00BB345F"/>
    <w:rsid w:val="00BB4B92"/>
    <w:rsid w:val="00BB5883"/>
    <w:rsid w:val="00BB68EA"/>
    <w:rsid w:val="00BB69D2"/>
    <w:rsid w:val="00BB69D3"/>
    <w:rsid w:val="00BC1C27"/>
    <w:rsid w:val="00BC266E"/>
    <w:rsid w:val="00BC6BBF"/>
    <w:rsid w:val="00BD1572"/>
    <w:rsid w:val="00BD359E"/>
    <w:rsid w:val="00BD5E99"/>
    <w:rsid w:val="00BE14E3"/>
    <w:rsid w:val="00BE3427"/>
    <w:rsid w:val="00BE3774"/>
    <w:rsid w:val="00BE41E5"/>
    <w:rsid w:val="00BE7418"/>
    <w:rsid w:val="00BF0BBB"/>
    <w:rsid w:val="00BF4109"/>
    <w:rsid w:val="00BF4CC3"/>
    <w:rsid w:val="00C048AD"/>
    <w:rsid w:val="00C054C7"/>
    <w:rsid w:val="00C057B5"/>
    <w:rsid w:val="00C15F4C"/>
    <w:rsid w:val="00C22636"/>
    <w:rsid w:val="00C22687"/>
    <w:rsid w:val="00C22D9C"/>
    <w:rsid w:val="00C241E8"/>
    <w:rsid w:val="00C24A1A"/>
    <w:rsid w:val="00C32E4D"/>
    <w:rsid w:val="00C333A0"/>
    <w:rsid w:val="00C359E4"/>
    <w:rsid w:val="00C35F04"/>
    <w:rsid w:val="00C35F5B"/>
    <w:rsid w:val="00C36A81"/>
    <w:rsid w:val="00C40D1A"/>
    <w:rsid w:val="00C41357"/>
    <w:rsid w:val="00C41974"/>
    <w:rsid w:val="00C447AD"/>
    <w:rsid w:val="00C44C1D"/>
    <w:rsid w:val="00C53F4A"/>
    <w:rsid w:val="00C54125"/>
    <w:rsid w:val="00C55447"/>
    <w:rsid w:val="00C55B54"/>
    <w:rsid w:val="00C56FD8"/>
    <w:rsid w:val="00C57462"/>
    <w:rsid w:val="00C6098E"/>
    <w:rsid w:val="00C6152C"/>
    <w:rsid w:val="00C621C2"/>
    <w:rsid w:val="00C62D13"/>
    <w:rsid w:val="00C63D85"/>
    <w:rsid w:val="00C66CC5"/>
    <w:rsid w:val="00C6738B"/>
    <w:rsid w:val="00C711E1"/>
    <w:rsid w:val="00C74810"/>
    <w:rsid w:val="00C75E02"/>
    <w:rsid w:val="00C75F07"/>
    <w:rsid w:val="00C80011"/>
    <w:rsid w:val="00C80516"/>
    <w:rsid w:val="00C82557"/>
    <w:rsid w:val="00C90D68"/>
    <w:rsid w:val="00C915FB"/>
    <w:rsid w:val="00C91D70"/>
    <w:rsid w:val="00C939FE"/>
    <w:rsid w:val="00CA209F"/>
    <w:rsid w:val="00CA268B"/>
    <w:rsid w:val="00CA31B8"/>
    <w:rsid w:val="00CA4BDA"/>
    <w:rsid w:val="00CB1F66"/>
    <w:rsid w:val="00CB2951"/>
    <w:rsid w:val="00CB73FA"/>
    <w:rsid w:val="00CC0566"/>
    <w:rsid w:val="00CC0B55"/>
    <w:rsid w:val="00CC0E17"/>
    <w:rsid w:val="00CC1C3E"/>
    <w:rsid w:val="00CC61E4"/>
    <w:rsid w:val="00CC6787"/>
    <w:rsid w:val="00CC7612"/>
    <w:rsid w:val="00CD1DCA"/>
    <w:rsid w:val="00CD232A"/>
    <w:rsid w:val="00CD282B"/>
    <w:rsid w:val="00CD34D7"/>
    <w:rsid w:val="00CD4C35"/>
    <w:rsid w:val="00CD7369"/>
    <w:rsid w:val="00CD7DA9"/>
    <w:rsid w:val="00CE0B0E"/>
    <w:rsid w:val="00CE2F1E"/>
    <w:rsid w:val="00CE2F49"/>
    <w:rsid w:val="00CE372A"/>
    <w:rsid w:val="00CE3831"/>
    <w:rsid w:val="00CE5F6E"/>
    <w:rsid w:val="00CF614E"/>
    <w:rsid w:val="00D00326"/>
    <w:rsid w:val="00D00ABB"/>
    <w:rsid w:val="00D00E9E"/>
    <w:rsid w:val="00D01331"/>
    <w:rsid w:val="00D02EEC"/>
    <w:rsid w:val="00D030E4"/>
    <w:rsid w:val="00D03551"/>
    <w:rsid w:val="00D03F4C"/>
    <w:rsid w:val="00D04560"/>
    <w:rsid w:val="00D04C81"/>
    <w:rsid w:val="00D06216"/>
    <w:rsid w:val="00D06A63"/>
    <w:rsid w:val="00D0700D"/>
    <w:rsid w:val="00D07E0E"/>
    <w:rsid w:val="00D11478"/>
    <w:rsid w:val="00D11E52"/>
    <w:rsid w:val="00D12C6D"/>
    <w:rsid w:val="00D15269"/>
    <w:rsid w:val="00D15ED0"/>
    <w:rsid w:val="00D21B3E"/>
    <w:rsid w:val="00D21FED"/>
    <w:rsid w:val="00D24251"/>
    <w:rsid w:val="00D259E3"/>
    <w:rsid w:val="00D343E2"/>
    <w:rsid w:val="00D361A2"/>
    <w:rsid w:val="00D40961"/>
    <w:rsid w:val="00D40D4A"/>
    <w:rsid w:val="00D44C2E"/>
    <w:rsid w:val="00D45414"/>
    <w:rsid w:val="00D526D7"/>
    <w:rsid w:val="00D536E6"/>
    <w:rsid w:val="00D53C0F"/>
    <w:rsid w:val="00D54BB1"/>
    <w:rsid w:val="00D566BD"/>
    <w:rsid w:val="00D57A4D"/>
    <w:rsid w:val="00D60AA7"/>
    <w:rsid w:val="00D60D87"/>
    <w:rsid w:val="00D61F58"/>
    <w:rsid w:val="00D63229"/>
    <w:rsid w:val="00D6435F"/>
    <w:rsid w:val="00D64D84"/>
    <w:rsid w:val="00D7410C"/>
    <w:rsid w:val="00D743B0"/>
    <w:rsid w:val="00D75E28"/>
    <w:rsid w:val="00D763B3"/>
    <w:rsid w:val="00D772C2"/>
    <w:rsid w:val="00D8008E"/>
    <w:rsid w:val="00D82C45"/>
    <w:rsid w:val="00D835EA"/>
    <w:rsid w:val="00D83886"/>
    <w:rsid w:val="00D84798"/>
    <w:rsid w:val="00D849B5"/>
    <w:rsid w:val="00D85505"/>
    <w:rsid w:val="00D859D0"/>
    <w:rsid w:val="00D864E5"/>
    <w:rsid w:val="00D908A8"/>
    <w:rsid w:val="00D917FA"/>
    <w:rsid w:val="00D93FAE"/>
    <w:rsid w:val="00D977B6"/>
    <w:rsid w:val="00D97A48"/>
    <w:rsid w:val="00DA05D3"/>
    <w:rsid w:val="00DA1993"/>
    <w:rsid w:val="00DA3B32"/>
    <w:rsid w:val="00DA4037"/>
    <w:rsid w:val="00DA4A31"/>
    <w:rsid w:val="00DA61F2"/>
    <w:rsid w:val="00DA7B04"/>
    <w:rsid w:val="00DB30A0"/>
    <w:rsid w:val="00DB36C2"/>
    <w:rsid w:val="00DB68AC"/>
    <w:rsid w:val="00DB7196"/>
    <w:rsid w:val="00DC169B"/>
    <w:rsid w:val="00DC2AB9"/>
    <w:rsid w:val="00DC63F0"/>
    <w:rsid w:val="00DD1969"/>
    <w:rsid w:val="00DD33E6"/>
    <w:rsid w:val="00DD6EE5"/>
    <w:rsid w:val="00DD75E0"/>
    <w:rsid w:val="00DE1B8E"/>
    <w:rsid w:val="00DE2269"/>
    <w:rsid w:val="00DE386C"/>
    <w:rsid w:val="00DE395A"/>
    <w:rsid w:val="00DE4D35"/>
    <w:rsid w:val="00DF0549"/>
    <w:rsid w:val="00DF098B"/>
    <w:rsid w:val="00DF11C4"/>
    <w:rsid w:val="00DF210C"/>
    <w:rsid w:val="00DF4B6A"/>
    <w:rsid w:val="00DF64FB"/>
    <w:rsid w:val="00E01AD9"/>
    <w:rsid w:val="00E02C09"/>
    <w:rsid w:val="00E04D59"/>
    <w:rsid w:val="00E06A94"/>
    <w:rsid w:val="00E07DA1"/>
    <w:rsid w:val="00E123CB"/>
    <w:rsid w:val="00E1557C"/>
    <w:rsid w:val="00E20E13"/>
    <w:rsid w:val="00E21D72"/>
    <w:rsid w:val="00E21DBC"/>
    <w:rsid w:val="00E24B82"/>
    <w:rsid w:val="00E24C37"/>
    <w:rsid w:val="00E275D7"/>
    <w:rsid w:val="00E27DBE"/>
    <w:rsid w:val="00E32AB1"/>
    <w:rsid w:val="00E33360"/>
    <w:rsid w:val="00E36C71"/>
    <w:rsid w:val="00E370D2"/>
    <w:rsid w:val="00E40404"/>
    <w:rsid w:val="00E4133A"/>
    <w:rsid w:val="00E459C6"/>
    <w:rsid w:val="00E45C3A"/>
    <w:rsid w:val="00E46400"/>
    <w:rsid w:val="00E47327"/>
    <w:rsid w:val="00E47589"/>
    <w:rsid w:val="00E5347C"/>
    <w:rsid w:val="00E60EEF"/>
    <w:rsid w:val="00E613A9"/>
    <w:rsid w:val="00E64915"/>
    <w:rsid w:val="00E653D6"/>
    <w:rsid w:val="00E661D4"/>
    <w:rsid w:val="00E70091"/>
    <w:rsid w:val="00E720F5"/>
    <w:rsid w:val="00E736EB"/>
    <w:rsid w:val="00E76D47"/>
    <w:rsid w:val="00E838C6"/>
    <w:rsid w:val="00E849F7"/>
    <w:rsid w:val="00E878AA"/>
    <w:rsid w:val="00E90302"/>
    <w:rsid w:val="00E91BE4"/>
    <w:rsid w:val="00E920D8"/>
    <w:rsid w:val="00E92616"/>
    <w:rsid w:val="00E934C0"/>
    <w:rsid w:val="00E9597F"/>
    <w:rsid w:val="00E97396"/>
    <w:rsid w:val="00EA0081"/>
    <w:rsid w:val="00EA02D1"/>
    <w:rsid w:val="00EA185E"/>
    <w:rsid w:val="00EA3D14"/>
    <w:rsid w:val="00EA48FB"/>
    <w:rsid w:val="00EA592A"/>
    <w:rsid w:val="00EA5EB0"/>
    <w:rsid w:val="00EA7343"/>
    <w:rsid w:val="00EA737F"/>
    <w:rsid w:val="00EB14E4"/>
    <w:rsid w:val="00EB32A5"/>
    <w:rsid w:val="00EB34ED"/>
    <w:rsid w:val="00EB7BE0"/>
    <w:rsid w:val="00EC0480"/>
    <w:rsid w:val="00EC315E"/>
    <w:rsid w:val="00EC7D57"/>
    <w:rsid w:val="00ED077C"/>
    <w:rsid w:val="00ED1190"/>
    <w:rsid w:val="00ED2D29"/>
    <w:rsid w:val="00ED4859"/>
    <w:rsid w:val="00ED624D"/>
    <w:rsid w:val="00ED6544"/>
    <w:rsid w:val="00EE0277"/>
    <w:rsid w:val="00EE1DA9"/>
    <w:rsid w:val="00EE3E00"/>
    <w:rsid w:val="00EE48A8"/>
    <w:rsid w:val="00EE492D"/>
    <w:rsid w:val="00EE5DD2"/>
    <w:rsid w:val="00EF0073"/>
    <w:rsid w:val="00EF0776"/>
    <w:rsid w:val="00EF1CCC"/>
    <w:rsid w:val="00EF32A8"/>
    <w:rsid w:val="00EF41F1"/>
    <w:rsid w:val="00EF4F08"/>
    <w:rsid w:val="00EF573B"/>
    <w:rsid w:val="00F00A79"/>
    <w:rsid w:val="00F00E86"/>
    <w:rsid w:val="00F00F8B"/>
    <w:rsid w:val="00F07480"/>
    <w:rsid w:val="00F07C1E"/>
    <w:rsid w:val="00F07ECE"/>
    <w:rsid w:val="00F105DB"/>
    <w:rsid w:val="00F132BC"/>
    <w:rsid w:val="00F13D80"/>
    <w:rsid w:val="00F13D81"/>
    <w:rsid w:val="00F154E1"/>
    <w:rsid w:val="00F164E2"/>
    <w:rsid w:val="00F16AAA"/>
    <w:rsid w:val="00F20E57"/>
    <w:rsid w:val="00F2105E"/>
    <w:rsid w:val="00F21161"/>
    <w:rsid w:val="00F218EF"/>
    <w:rsid w:val="00F21BC7"/>
    <w:rsid w:val="00F266A2"/>
    <w:rsid w:val="00F30280"/>
    <w:rsid w:val="00F32269"/>
    <w:rsid w:val="00F43F98"/>
    <w:rsid w:val="00F44529"/>
    <w:rsid w:val="00F4457E"/>
    <w:rsid w:val="00F447FF"/>
    <w:rsid w:val="00F47600"/>
    <w:rsid w:val="00F56A6F"/>
    <w:rsid w:val="00F56E12"/>
    <w:rsid w:val="00F5709C"/>
    <w:rsid w:val="00F61957"/>
    <w:rsid w:val="00F6348F"/>
    <w:rsid w:val="00F64EF1"/>
    <w:rsid w:val="00F67C03"/>
    <w:rsid w:val="00F731F5"/>
    <w:rsid w:val="00F75C72"/>
    <w:rsid w:val="00F80EFA"/>
    <w:rsid w:val="00F83FC0"/>
    <w:rsid w:val="00F86782"/>
    <w:rsid w:val="00F8765F"/>
    <w:rsid w:val="00F90767"/>
    <w:rsid w:val="00F92714"/>
    <w:rsid w:val="00F95450"/>
    <w:rsid w:val="00FA4698"/>
    <w:rsid w:val="00FA57FD"/>
    <w:rsid w:val="00FA67E9"/>
    <w:rsid w:val="00FA685B"/>
    <w:rsid w:val="00FA744A"/>
    <w:rsid w:val="00FB0C01"/>
    <w:rsid w:val="00FB13AB"/>
    <w:rsid w:val="00FC037D"/>
    <w:rsid w:val="00FC18F2"/>
    <w:rsid w:val="00FC39E5"/>
    <w:rsid w:val="00FC3A78"/>
    <w:rsid w:val="00FC5FFE"/>
    <w:rsid w:val="00FD1005"/>
    <w:rsid w:val="00FD135C"/>
    <w:rsid w:val="00FD1754"/>
    <w:rsid w:val="00FD3180"/>
    <w:rsid w:val="00FD6C75"/>
    <w:rsid w:val="00FE254F"/>
    <w:rsid w:val="00FE71B3"/>
    <w:rsid w:val="00FF2AC9"/>
    <w:rsid w:val="00FF3136"/>
    <w:rsid w:val="00FF3610"/>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681780"/>
    <w:pPr>
      <w:jc w:val="both"/>
    </w:pPr>
    <w:rPr>
      <w:rFonts w:eastAsiaTheme="minorEastAsia"/>
      <w:sz w:val="24"/>
      <w:lang w:val="en-GB"/>
    </w:rPr>
  </w:style>
  <w:style w:type="paragraph" w:styleId="1">
    <w:name w:val="heading 1"/>
    <w:basedOn w:val="a2"/>
    <w:next w:val="a2"/>
    <w:link w:val="10"/>
    <w:uiPriority w:val="99"/>
    <w:semiHidden/>
    <w:rsid w:val="00681780"/>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681780"/>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681780"/>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681780"/>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681780"/>
    <w:pPr>
      <w:spacing w:before="200"/>
      <w:outlineLvl w:val="4"/>
    </w:pPr>
    <w:rPr>
      <w:rFonts w:asciiTheme="majorHAnsi" w:eastAsiaTheme="majorEastAsia" w:hAnsiTheme="majorHAnsi" w:cstheme="majorBidi"/>
      <w:b/>
      <w:bCs/>
      <w:color w:val="808080"/>
      <w:sz w:val="22"/>
      <w:lang w:val="en-US"/>
    </w:rPr>
  </w:style>
  <w:style w:type="paragraph" w:styleId="6">
    <w:name w:val="heading 6"/>
    <w:basedOn w:val="a2"/>
    <w:next w:val="a2"/>
    <w:link w:val="60"/>
    <w:uiPriority w:val="99"/>
    <w:semiHidden/>
    <w:rsid w:val="0068178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681780"/>
    <w:pPr>
      <w:outlineLvl w:val="6"/>
    </w:pPr>
    <w:rPr>
      <w:rFonts w:asciiTheme="majorHAnsi" w:eastAsiaTheme="majorEastAsia" w:hAnsiTheme="majorHAnsi" w:cstheme="majorBidi"/>
      <w:i/>
      <w:iCs/>
      <w:sz w:val="22"/>
      <w:lang w:val="en-US" w:bidi="en-US"/>
    </w:rPr>
  </w:style>
  <w:style w:type="paragraph" w:styleId="8">
    <w:name w:val="heading 8"/>
    <w:basedOn w:val="a2"/>
    <w:next w:val="a2"/>
    <w:link w:val="80"/>
    <w:uiPriority w:val="99"/>
    <w:semiHidden/>
    <w:qFormat/>
    <w:rsid w:val="00681780"/>
    <w:pPr>
      <w:outlineLvl w:val="7"/>
    </w:pPr>
    <w:rPr>
      <w:rFonts w:asciiTheme="majorHAnsi" w:eastAsiaTheme="majorEastAsia" w:hAnsiTheme="majorHAnsi" w:cstheme="majorBidi"/>
      <w:sz w:val="20"/>
      <w:szCs w:val="20"/>
      <w:lang w:val="en-US" w:bidi="en-US"/>
    </w:rPr>
  </w:style>
  <w:style w:type="paragraph" w:styleId="9">
    <w:name w:val="heading 9"/>
    <w:basedOn w:val="a2"/>
    <w:next w:val="a2"/>
    <w:link w:val="90"/>
    <w:uiPriority w:val="99"/>
    <w:semiHidden/>
    <w:qFormat/>
    <w:rsid w:val="00681780"/>
    <w:pPr>
      <w:outlineLvl w:val="8"/>
    </w:pPr>
    <w:rPr>
      <w:rFonts w:asciiTheme="majorHAnsi" w:eastAsiaTheme="majorEastAsia" w:hAnsiTheme="majorHAnsi" w:cstheme="majorBidi"/>
      <w:i/>
      <w:iCs/>
      <w:spacing w:val="5"/>
      <w:sz w:val="20"/>
      <w:szCs w:val="20"/>
      <w:lang w:val="en-US"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681780"/>
    <w:rPr>
      <w:rFonts w:ascii="Tahoma" w:hAnsi="Tahoma" w:cs="Tahoma"/>
      <w:sz w:val="16"/>
      <w:szCs w:val="16"/>
    </w:rPr>
  </w:style>
  <w:style w:type="character" w:customStyle="1" w:styleId="a7">
    <w:name w:val="Текст выноски Знак"/>
    <w:basedOn w:val="a3"/>
    <w:link w:val="a6"/>
    <w:uiPriority w:val="99"/>
    <w:semiHidden/>
    <w:rsid w:val="00681780"/>
    <w:rPr>
      <w:rFonts w:ascii="Tahoma" w:eastAsiaTheme="minorEastAsia" w:hAnsi="Tahoma" w:cs="Tahoma"/>
      <w:sz w:val="16"/>
      <w:szCs w:val="16"/>
      <w:lang w:val="en-GB"/>
    </w:rPr>
  </w:style>
  <w:style w:type="character" w:styleId="a8">
    <w:name w:val="Book Title"/>
    <w:uiPriority w:val="99"/>
    <w:semiHidden/>
    <w:qFormat/>
    <w:rsid w:val="00681780"/>
    <w:rPr>
      <w:i/>
      <w:iCs/>
      <w:smallCaps/>
      <w:spacing w:val="5"/>
    </w:rPr>
  </w:style>
  <w:style w:type="paragraph" w:customStyle="1" w:styleId="ECHRHeader">
    <w:name w:val="ECHR_Header"/>
    <w:aliases w:val="Ju_Header"/>
    <w:basedOn w:val="a9"/>
    <w:uiPriority w:val="4"/>
    <w:qFormat/>
    <w:rsid w:val="00681780"/>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681780"/>
    <w:pPr>
      <w:jc w:val="left"/>
    </w:pPr>
    <w:rPr>
      <w:sz w:val="8"/>
    </w:rPr>
  </w:style>
  <w:style w:type="character" w:styleId="ab">
    <w:name w:val="Strong"/>
    <w:uiPriority w:val="99"/>
    <w:semiHidden/>
    <w:qFormat/>
    <w:rsid w:val="00681780"/>
    <w:rPr>
      <w:b/>
      <w:bCs/>
    </w:rPr>
  </w:style>
  <w:style w:type="paragraph" w:styleId="ac">
    <w:name w:val="No Spacing"/>
    <w:basedOn w:val="a2"/>
    <w:link w:val="ad"/>
    <w:semiHidden/>
    <w:qFormat/>
    <w:rsid w:val="00681780"/>
    <w:rPr>
      <w:sz w:val="22"/>
      <w:lang w:val="en-US"/>
    </w:rPr>
  </w:style>
  <w:style w:type="character" w:customStyle="1" w:styleId="ad">
    <w:name w:val="Без интервала Знак"/>
    <w:basedOn w:val="a3"/>
    <w:link w:val="ac"/>
    <w:semiHidden/>
    <w:rsid w:val="00681780"/>
    <w:rPr>
      <w:rFonts w:eastAsiaTheme="minorEastAsia"/>
    </w:rPr>
  </w:style>
  <w:style w:type="paragraph" w:customStyle="1" w:styleId="ECHRFooterLine">
    <w:name w:val="ECHR_Footer_Line"/>
    <w:aliases w:val="Footer_Line"/>
    <w:basedOn w:val="a2"/>
    <w:next w:val="ECHRFooter"/>
    <w:uiPriority w:val="57"/>
    <w:semiHidden/>
    <w:rsid w:val="00681780"/>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681780"/>
  </w:style>
  <w:style w:type="paragraph" w:customStyle="1" w:styleId="DecList">
    <w:name w:val="Dec_List"/>
    <w:basedOn w:val="a2"/>
    <w:uiPriority w:val="9"/>
    <w:semiHidden/>
    <w:qFormat/>
    <w:rsid w:val="00681780"/>
    <w:pPr>
      <w:spacing w:before="240"/>
      <w:ind w:left="284"/>
    </w:pPr>
  </w:style>
  <w:style w:type="paragraph" w:customStyle="1" w:styleId="DummyStyle">
    <w:name w:val="Dummy_Style"/>
    <w:basedOn w:val="a2"/>
    <w:semiHidden/>
    <w:qFormat/>
    <w:rsid w:val="00681780"/>
    <w:rPr>
      <w:color w:val="00B050"/>
    </w:rPr>
  </w:style>
  <w:style w:type="paragraph" w:customStyle="1" w:styleId="ECHRTitleCentre3">
    <w:name w:val="ECHR_Title_Centre_3"/>
    <w:aliases w:val="Ju_H_Article"/>
    <w:basedOn w:val="a2"/>
    <w:next w:val="ECHRParaQuote"/>
    <w:uiPriority w:val="27"/>
    <w:qFormat/>
    <w:rsid w:val="00681780"/>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681780"/>
    <w:pPr>
      <w:keepNext/>
      <w:keepLines/>
      <w:spacing w:after="240"/>
      <w:jc w:val="center"/>
      <w:outlineLvl w:val="0"/>
    </w:pPr>
    <w:rPr>
      <w:rFonts w:asciiTheme="majorHAnsi" w:hAnsiTheme="majorHAnsi"/>
      <w:sz w:val="28"/>
    </w:rPr>
  </w:style>
  <w:style w:type="paragraph" w:customStyle="1" w:styleId="JuAppQuestion">
    <w:name w:val="Ju_App_Question"/>
    <w:basedOn w:val="a2"/>
    <w:uiPriority w:val="5"/>
    <w:semiHidden/>
    <w:qFormat/>
    <w:rsid w:val="00681780"/>
    <w:pPr>
      <w:numPr>
        <w:numId w:val="23"/>
      </w:numPr>
      <w:jc w:val="left"/>
    </w:pPr>
    <w:rPr>
      <w:b/>
    </w:rPr>
  </w:style>
  <w:style w:type="paragraph" w:customStyle="1" w:styleId="JuCourt">
    <w:name w:val="Ju_Court"/>
    <w:basedOn w:val="a2"/>
    <w:next w:val="a2"/>
    <w:uiPriority w:val="16"/>
    <w:qFormat/>
    <w:rsid w:val="00681780"/>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681780"/>
    <w:pPr>
      <w:tabs>
        <w:tab w:val="clear" w:pos="3686"/>
        <w:tab w:val="clear" w:pos="7371"/>
        <w:tab w:val="center" w:pos="6146"/>
        <w:tab w:val="right" w:pos="12293"/>
      </w:tabs>
    </w:pPr>
  </w:style>
  <w:style w:type="paragraph" w:customStyle="1" w:styleId="ECHRTitleCentre2">
    <w:name w:val="ECHR_Title_Centre_2"/>
    <w:aliases w:val="Dec_H_Case"/>
    <w:basedOn w:val="a2"/>
    <w:next w:val="ECHRPara"/>
    <w:uiPriority w:val="8"/>
    <w:qFormat/>
    <w:rsid w:val="00681780"/>
    <w:pPr>
      <w:spacing w:after="240"/>
      <w:jc w:val="center"/>
      <w:outlineLvl w:val="0"/>
    </w:pPr>
    <w:rPr>
      <w:rFonts w:asciiTheme="majorHAnsi" w:hAnsiTheme="majorHAnsi"/>
    </w:rPr>
  </w:style>
  <w:style w:type="paragraph" w:customStyle="1" w:styleId="JuInitialled">
    <w:name w:val="Ju_Initialled"/>
    <w:basedOn w:val="a2"/>
    <w:uiPriority w:val="31"/>
    <w:qFormat/>
    <w:rsid w:val="00681780"/>
    <w:pPr>
      <w:tabs>
        <w:tab w:val="center" w:pos="6407"/>
      </w:tabs>
      <w:spacing w:before="720"/>
      <w:jc w:val="right"/>
    </w:pPr>
  </w:style>
  <w:style w:type="paragraph" w:styleId="ae">
    <w:name w:val="Title"/>
    <w:basedOn w:val="a2"/>
    <w:next w:val="a2"/>
    <w:link w:val="af"/>
    <w:uiPriority w:val="99"/>
    <w:semiHidden/>
    <w:qFormat/>
    <w:rsid w:val="00681780"/>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af">
    <w:name w:val="Заголовок Знак"/>
    <w:basedOn w:val="a3"/>
    <w:link w:val="ae"/>
    <w:uiPriority w:val="99"/>
    <w:semiHidden/>
    <w:rsid w:val="00681780"/>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31"/>
    <w:next w:val="ECHRPara"/>
    <w:uiPriority w:val="21"/>
    <w:qFormat/>
    <w:rsid w:val="00681780"/>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link w:val="JuHaChar"/>
    <w:uiPriority w:val="22"/>
    <w:qFormat/>
    <w:rsid w:val="00681780"/>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681780"/>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6"/>
    <w:next w:val="ECHRPara"/>
    <w:uiPriority w:val="24"/>
    <w:qFormat/>
    <w:rsid w:val="00681780"/>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7"/>
    <w:next w:val="ECHRPara"/>
    <w:uiPriority w:val="25"/>
    <w:qFormat/>
    <w:rsid w:val="00681780"/>
    <w:pPr>
      <w:keepNext/>
      <w:keepLines/>
      <w:spacing w:before="240" w:after="120"/>
      <w:ind w:left="1236"/>
    </w:pPr>
    <w:rPr>
      <w:sz w:val="20"/>
      <w:lang w:val="en-GB"/>
    </w:rPr>
  </w:style>
  <w:style w:type="character" w:customStyle="1" w:styleId="JuITMark">
    <w:name w:val="Ju_ITMark"/>
    <w:basedOn w:val="a3"/>
    <w:uiPriority w:val="38"/>
    <w:qFormat/>
    <w:rsid w:val="00681780"/>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681780"/>
    <w:rPr>
      <w:caps w:val="0"/>
      <w:smallCaps/>
    </w:rPr>
  </w:style>
  <w:style w:type="paragraph" w:customStyle="1" w:styleId="JuParaSub">
    <w:name w:val="Ju_Para_Sub"/>
    <w:basedOn w:val="ECHRPara"/>
    <w:uiPriority w:val="13"/>
    <w:qFormat/>
    <w:rsid w:val="00681780"/>
    <w:pPr>
      <w:ind w:left="284"/>
    </w:pPr>
  </w:style>
  <w:style w:type="paragraph" w:styleId="a9">
    <w:name w:val="header"/>
    <w:basedOn w:val="a2"/>
    <w:link w:val="af0"/>
    <w:uiPriority w:val="57"/>
    <w:semiHidden/>
    <w:rsid w:val="00681780"/>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681780"/>
    <w:rPr>
      <w:sz w:val="24"/>
      <w:lang w:val="en-GB"/>
    </w:rPr>
  </w:style>
  <w:style w:type="character" w:customStyle="1" w:styleId="10">
    <w:name w:val="Заголовок 1 Знак"/>
    <w:basedOn w:val="a3"/>
    <w:link w:val="1"/>
    <w:uiPriority w:val="99"/>
    <w:semiHidden/>
    <w:rsid w:val="00681780"/>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1"/>
    <w:next w:val="ECHRPara"/>
    <w:uiPriority w:val="19"/>
    <w:qFormat/>
    <w:rsid w:val="0068178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681780"/>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681780"/>
    <w:rPr>
      <w:rFonts w:asciiTheme="majorHAnsi" w:eastAsiaTheme="majorEastAsia" w:hAnsiTheme="majorHAnsi" w:cstheme="majorBidi"/>
      <w:b/>
      <w:bCs/>
      <w:color w:val="4D4D4D"/>
      <w:sz w:val="26"/>
      <w:szCs w:val="26"/>
      <w:lang w:val="en-GB"/>
    </w:rPr>
  </w:style>
  <w:style w:type="paragraph" w:customStyle="1" w:styleId="JuQuotSub">
    <w:name w:val="Ju_Quot_Sub"/>
    <w:basedOn w:val="ECHRParaQuote"/>
    <w:uiPriority w:val="15"/>
    <w:qFormat/>
    <w:rsid w:val="00681780"/>
    <w:pPr>
      <w:ind w:left="567"/>
    </w:pPr>
  </w:style>
  <w:style w:type="paragraph" w:customStyle="1" w:styleId="JuCase">
    <w:name w:val="Ju_Case"/>
    <w:basedOn w:val="a2"/>
    <w:next w:val="ECHRPara"/>
    <w:uiPriority w:val="10"/>
    <w:rsid w:val="00681780"/>
    <w:pPr>
      <w:ind w:firstLine="284"/>
    </w:pPr>
    <w:rPr>
      <w:b/>
    </w:rPr>
  </w:style>
  <w:style w:type="character" w:customStyle="1" w:styleId="32">
    <w:name w:val="Заголовок 3 Знак"/>
    <w:basedOn w:val="a3"/>
    <w:link w:val="31"/>
    <w:uiPriority w:val="99"/>
    <w:semiHidden/>
    <w:rsid w:val="00681780"/>
    <w:rPr>
      <w:rFonts w:asciiTheme="majorHAnsi" w:eastAsiaTheme="majorEastAsia" w:hAnsiTheme="majorHAnsi" w:cstheme="majorBidi"/>
      <w:b/>
      <w:bCs/>
      <w:color w:val="5F5F5F"/>
      <w:sz w:val="24"/>
      <w:lang w:val="en-GB"/>
    </w:rPr>
  </w:style>
  <w:style w:type="character" w:customStyle="1" w:styleId="42">
    <w:name w:val="Заголовок 4 Знак"/>
    <w:basedOn w:val="a3"/>
    <w:link w:val="41"/>
    <w:uiPriority w:val="99"/>
    <w:semiHidden/>
    <w:rsid w:val="00681780"/>
    <w:rPr>
      <w:rFonts w:asciiTheme="majorHAnsi" w:eastAsiaTheme="majorEastAsia" w:hAnsiTheme="majorHAnsi" w:cstheme="majorBidi"/>
      <w:b/>
      <w:bCs/>
      <w:i/>
      <w:iCs/>
      <w:color w:val="777777"/>
      <w:sz w:val="24"/>
      <w:lang w:val="en-GB"/>
    </w:rPr>
  </w:style>
  <w:style w:type="character" w:customStyle="1" w:styleId="52">
    <w:name w:val="Заголовок 5 Знак"/>
    <w:basedOn w:val="a3"/>
    <w:link w:val="51"/>
    <w:uiPriority w:val="99"/>
    <w:semiHidden/>
    <w:rsid w:val="00681780"/>
    <w:rPr>
      <w:rFonts w:asciiTheme="majorHAnsi" w:eastAsiaTheme="majorEastAsia" w:hAnsiTheme="majorHAnsi" w:cstheme="majorBidi"/>
      <w:b/>
      <w:bCs/>
      <w:color w:val="808080"/>
    </w:rPr>
  </w:style>
  <w:style w:type="character" w:styleId="af1">
    <w:name w:val="Subtle Emphasis"/>
    <w:uiPriority w:val="99"/>
    <w:semiHidden/>
    <w:qFormat/>
    <w:rsid w:val="00681780"/>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681780"/>
    <w:pPr>
      <w:keepNext/>
      <w:keepLines/>
      <w:spacing w:before="720" w:after="240"/>
      <w:outlineLvl w:val="0"/>
    </w:pPr>
    <w:rPr>
      <w:rFonts w:asciiTheme="majorHAnsi" w:hAnsiTheme="majorHAnsi"/>
      <w:sz w:val="28"/>
    </w:rPr>
  </w:style>
  <w:style w:type="character" w:styleId="af2">
    <w:name w:val="Emphasis"/>
    <w:uiPriority w:val="99"/>
    <w:semiHidden/>
    <w:qFormat/>
    <w:rsid w:val="00681780"/>
    <w:rPr>
      <w:b/>
      <w:bCs/>
      <w:i/>
      <w:iCs/>
      <w:spacing w:val="10"/>
      <w:bdr w:val="none" w:sz="0" w:space="0" w:color="auto"/>
      <w:shd w:val="clear" w:color="auto" w:fill="auto"/>
    </w:rPr>
  </w:style>
  <w:style w:type="paragraph" w:styleId="aa">
    <w:name w:val="footer"/>
    <w:basedOn w:val="a2"/>
    <w:link w:val="af3"/>
    <w:uiPriority w:val="57"/>
    <w:semiHidden/>
    <w:rsid w:val="00681780"/>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681780"/>
    <w:rPr>
      <w:sz w:val="24"/>
      <w:lang w:val="en-GB"/>
    </w:rPr>
  </w:style>
  <w:style w:type="character" w:styleId="af4">
    <w:name w:val="footnote reference"/>
    <w:basedOn w:val="a3"/>
    <w:uiPriority w:val="99"/>
    <w:semiHidden/>
    <w:rsid w:val="00681780"/>
    <w:rPr>
      <w:vertAlign w:val="superscript"/>
    </w:rPr>
  </w:style>
  <w:style w:type="paragraph" w:styleId="af5">
    <w:name w:val="footnote text"/>
    <w:basedOn w:val="a2"/>
    <w:link w:val="af6"/>
    <w:uiPriority w:val="99"/>
    <w:semiHidden/>
    <w:rsid w:val="00681780"/>
    <w:rPr>
      <w:sz w:val="20"/>
      <w:szCs w:val="20"/>
    </w:rPr>
  </w:style>
  <w:style w:type="character" w:customStyle="1" w:styleId="af6">
    <w:name w:val="Текст сноски Знак"/>
    <w:basedOn w:val="a3"/>
    <w:link w:val="af5"/>
    <w:uiPriority w:val="99"/>
    <w:semiHidden/>
    <w:rsid w:val="00681780"/>
    <w:rPr>
      <w:rFonts w:eastAsiaTheme="minorEastAsia"/>
      <w:sz w:val="20"/>
      <w:szCs w:val="20"/>
      <w:lang w:val="en-GB"/>
    </w:rPr>
  </w:style>
  <w:style w:type="character" w:customStyle="1" w:styleId="60">
    <w:name w:val="Заголовок 6 Знак"/>
    <w:basedOn w:val="a3"/>
    <w:link w:val="6"/>
    <w:uiPriority w:val="99"/>
    <w:semiHidden/>
    <w:rsid w:val="00681780"/>
    <w:rPr>
      <w:rFonts w:asciiTheme="majorHAnsi" w:eastAsiaTheme="majorEastAsia" w:hAnsiTheme="majorHAnsi" w:cstheme="majorBidi"/>
      <w:b/>
      <w:bCs/>
      <w:i/>
      <w:iCs/>
      <w:color w:val="7F7F7F" w:themeColor="text1" w:themeTint="80"/>
      <w:sz w:val="24"/>
      <w:lang w:val="en-GB" w:bidi="en-US"/>
    </w:rPr>
  </w:style>
  <w:style w:type="character" w:customStyle="1" w:styleId="70">
    <w:name w:val="Заголовок 7 Знак"/>
    <w:basedOn w:val="a3"/>
    <w:link w:val="7"/>
    <w:uiPriority w:val="99"/>
    <w:semiHidden/>
    <w:rsid w:val="00681780"/>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681780"/>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681780"/>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681780"/>
    <w:rPr>
      <w:color w:val="0072BC" w:themeColor="hyperlink"/>
      <w:u w:val="single"/>
    </w:rPr>
  </w:style>
  <w:style w:type="character" w:styleId="af8">
    <w:name w:val="Intense Emphasis"/>
    <w:uiPriority w:val="99"/>
    <w:semiHidden/>
    <w:qFormat/>
    <w:rsid w:val="00681780"/>
    <w:rPr>
      <w:b/>
      <w:bCs/>
    </w:rPr>
  </w:style>
  <w:style w:type="paragraph" w:styleId="af9">
    <w:name w:val="Intense Quote"/>
    <w:basedOn w:val="a2"/>
    <w:next w:val="a2"/>
    <w:link w:val="afa"/>
    <w:uiPriority w:val="99"/>
    <w:semiHidden/>
    <w:qFormat/>
    <w:rsid w:val="00681780"/>
    <w:pPr>
      <w:pBdr>
        <w:bottom w:val="single" w:sz="4" w:space="1" w:color="auto"/>
      </w:pBdr>
      <w:spacing w:before="200" w:after="280"/>
      <w:ind w:left="1008" w:right="1152"/>
    </w:pPr>
    <w:rPr>
      <w:b/>
      <w:bCs/>
      <w:i/>
      <w:iCs/>
      <w:sz w:val="22"/>
      <w:lang w:val="en-US" w:bidi="en-US"/>
    </w:rPr>
  </w:style>
  <w:style w:type="character" w:customStyle="1" w:styleId="afa">
    <w:name w:val="Выделенная цитата Знак"/>
    <w:basedOn w:val="a3"/>
    <w:link w:val="af9"/>
    <w:uiPriority w:val="99"/>
    <w:semiHidden/>
    <w:rsid w:val="00681780"/>
    <w:rPr>
      <w:rFonts w:eastAsiaTheme="minorEastAsia"/>
      <w:b/>
      <w:bCs/>
      <w:i/>
      <w:iCs/>
      <w:lang w:bidi="en-US"/>
    </w:rPr>
  </w:style>
  <w:style w:type="character" w:styleId="afb">
    <w:name w:val="Intense Reference"/>
    <w:uiPriority w:val="99"/>
    <w:semiHidden/>
    <w:qFormat/>
    <w:rsid w:val="00681780"/>
    <w:rPr>
      <w:smallCaps/>
      <w:spacing w:val="5"/>
      <w:u w:val="single"/>
    </w:rPr>
  </w:style>
  <w:style w:type="paragraph" w:styleId="afc">
    <w:name w:val="List Paragraph"/>
    <w:basedOn w:val="a2"/>
    <w:uiPriority w:val="99"/>
    <w:semiHidden/>
    <w:qFormat/>
    <w:rsid w:val="00681780"/>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681780"/>
    <w:pPr>
      <w:spacing w:before="200"/>
      <w:ind w:left="360" w:right="360"/>
    </w:pPr>
    <w:rPr>
      <w:i/>
      <w:iCs/>
      <w:sz w:val="22"/>
      <w:lang w:val="en-US" w:bidi="en-US"/>
    </w:rPr>
  </w:style>
  <w:style w:type="character" w:customStyle="1" w:styleId="24">
    <w:name w:val="Цитата 2 Знак"/>
    <w:basedOn w:val="a3"/>
    <w:link w:val="23"/>
    <w:uiPriority w:val="99"/>
    <w:semiHidden/>
    <w:rsid w:val="00681780"/>
    <w:rPr>
      <w:rFonts w:eastAsiaTheme="minorEastAsia"/>
      <w:i/>
      <w:iCs/>
      <w:lang w:bidi="en-US"/>
    </w:rPr>
  </w:style>
  <w:style w:type="character" w:styleId="afd">
    <w:name w:val="Subtle Reference"/>
    <w:uiPriority w:val="99"/>
    <w:semiHidden/>
    <w:qFormat/>
    <w:rsid w:val="00681780"/>
    <w:rPr>
      <w:smallCaps/>
    </w:rPr>
  </w:style>
  <w:style w:type="table" w:styleId="afe">
    <w:name w:val="Table Grid"/>
    <w:basedOn w:val="a4"/>
    <w:uiPriority w:val="59"/>
    <w:semiHidden/>
    <w:rsid w:val="0068178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681780"/>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681780"/>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681780"/>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681780"/>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681780"/>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681780"/>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68178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a2"/>
    <w:uiPriority w:val="14"/>
    <w:qFormat/>
    <w:rsid w:val="00681780"/>
    <w:pPr>
      <w:spacing w:before="120" w:after="120"/>
      <w:ind w:left="425" w:firstLine="142"/>
    </w:pPr>
    <w:rPr>
      <w:sz w:val="20"/>
    </w:rPr>
  </w:style>
  <w:style w:type="paragraph" w:customStyle="1" w:styleId="ECHRPara">
    <w:name w:val="ECHR_Para"/>
    <w:aliases w:val="Ju_Para"/>
    <w:basedOn w:val="a2"/>
    <w:link w:val="ECHRParaChar"/>
    <w:uiPriority w:val="12"/>
    <w:qFormat/>
    <w:rsid w:val="00681780"/>
    <w:pPr>
      <w:ind w:firstLine="284"/>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68178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681780"/>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681780"/>
    <w:pPr>
      <w:ind w:left="340" w:hanging="340"/>
    </w:pPr>
  </w:style>
  <w:style w:type="paragraph" w:customStyle="1" w:styleId="JuSigned">
    <w:name w:val="Ju_Signed"/>
    <w:basedOn w:val="a2"/>
    <w:next w:val="JuParaLast"/>
    <w:uiPriority w:val="32"/>
    <w:qFormat/>
    <w:rsid w:val="00681780"/>
    <w:pPr>
      <w:tabs>
        <w:tab w:val="center" w:pos="851"/>
        <w:tab w:val="center" w:pos="6407"/>
      </w:tabs>
      <w:spacing w:before="720"/>
      <w:jc w:val="left"/>
    </w:pPr>
  </w:style>
  <w:style w:type="paragraph" w:customStyle="1" w:styleId="JuParaLast">
    <w:name w:val="Ju_Para_Last"/>
    <w:basedOn w:val="a2"/>
    <w:next w:val="ECHRPara"/>
    <w:uiPriority w:val="30"/>
    <w:qFormat/>
    <w:rsid w:val="00681780"/>
    <w:pPr>
      <w:keepNext/>
      <w:keepLines/>
      <w:spacing w:before="240"/>
      <w:ind w:firstLine="284"/>
    </w:pPr>
  </w:style>
  <w:style w:type="paragraph" w:customStyle="1" w:styleId="JuTitle">
    <w:name w:val="Ju_Title"/>
    <w:basedOn w:val="a2"/>
    <w:next w:val="ECHRPara"/>
    <w:uiPriority w:val="3"/>
    <w:semiHidden/>
    <w:qFormat/>
    <w:rsid w:val="00681780"/>
    <w:pPr>
      <w:spacing w:before="720" w:after="240"/>
      <w:jc w:val="center"/>
      <w:outlineLvl w:val="0"/>
    </w:pPr>
    <w:rPr>
      <w:rFonts w:asciiTheme="majorHAnsi" w:hAnsiTheme="majorHAnsi"/>
      <w:b/>
      <w:caps/>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681780"/>
    <w:pPr>
      <w:ind w:left="346" w:firstLine="0"/>
    </w:pPr>
  </w:style>
  <w:style w:type="paragraph" w:customStyle="1" w:styleId="JuListi">
    <w:name w:val="Ju_List_i"/>
    <w:basedOn w:val="a2"/>
    <w:next w:val="JuLista"/>
    <w:uiPriority w:val="28"/>
    <w:qFormat/>
    <w:rsid w:val="00681780"/>
    <w:pPr>
      <w:ind w:left="794"/>
    </w:pPr>
  </w:style>
  <w:style w:type="character" w:styleId="aff2">
    <w:name w:val="annotation reference"/>
    <w:uiPriority w:val="99"/>
    <w:semiHidden/>
    <w:rsid w:val="00014566"/>
    <w:rPr>
      <w:sz w:val="16"/>
    </w:rPr>
  </w:style>
  <w:style w:type="paragraph" w:styleId="aff3">
    <w:name w:val="annotation text"/>
    <w:basedOn w:val="a2"/>
    <w:link w:val="aff4"/>
    <w:uiPriority w:val="99"/>
    <w:semiHidden/>
    <w:rsid w:val="00014566"/>
    <w:rPr>
      <w:sz w:val="20"/>
    </w:rPr>
  </w:style>
  <w:style w:type="character" w:customStyle="1" w:styleId="aff4">
    <w:name w:val="Текст примечания Знак"/>
    <w:basedOn w:val="a3"/>
    <w:link w:val="aff3"/>
    <w:uiPriority w:val="99"/>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basedOn w:val="a3"/>
    <w:uiPriority w:val="99"/>
    <w:semiHidden/>
    <w:rsid w:val="00681780"/>
    <w:rPr>
      <w:vertAlign w:val="superscript"/>
    </w:rPr>
  </w:style>
  <w:style w:type="paragraph" w:styleId="aff8">
    <w:name w:val="endnote text"/>
    <w:basedOn w:val="a2"/>
    <w:link w:val="aff9"/>
    <w:uiPriority w:val="99"/>
    <w:semiHidden/>
    <w:rsid w:val="00681780"/>
    <w:rPr>
      <w:sz w:val="20"/>
      <w:szCs w:val="20"/>
    </w:rPr>
  </w:style>
  <w:style w:type="character" w:customStyle="1" w:styleId="aff9">
    <w:name w:val="Текст концевой сноски Знак"/>
    <w:basedOn w:val="a3"/>
    <w:link w:val="aff8"/>
    <w:uiPriority w:val="99"/>
    <w:semiHidden/>
    <w:rsid w:val="00681780"/>
    <w:rPr>
      <w:rFonts w:eastAsiaTheme="minorEastAsia"/>
      <w:sz w:val="20"/>
      <w:szCs w:val="20"/>
      <w:lang w:val="en-GB"/>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681780"/>
    <w:pPr>
      <w:ind w:left="635" w:hanging="357"/>
      <w:outlineLvl w:val="2"/>
    </w:pPr>
  </w:style>
  <w:style w:type="paragraph" w:styleId="a0">
    <w:name w:val="List Bullet"/>
    <w:basedOn w:val="a2"/>
    <w:uiPriority w:val="99"/>
    <w:semiHidden/>
    <w:rsid w:val="00014566"/>
    <w:pPr>
      <w:numPr>
        <w:numId w:val="1"/>
      </w:numPr>
    </w:pPr>
  </w:style>
  <w:style w:type="paragraph" w:customStyle="1" w:styleId="OpiHa">
    <w:name w:val="Opi_H_a"/>
    <w:basedOn w:val="ECHRHeading3"/>
    <w:uiPriority w:val="43"/>
    <w:qFormat/>
    <w:rsid w:val="00681780"/>
    <w:pPr>
      <w:ind w:left="833" w:hanging="357"/>
      <w:outlineLvl w:val="3"/>
    </w:pPr>
    <w:rPr>
      <w:b/>
      <w:i w:val="0"/>
      <w:sz w:val="20"/>
    </w:rPr>
  </w:style>
  <w:style w:type="paragraph" w:styleId="affd">
    <w:name w:val="Subtitle"/>
    <w:basedOn w:val="a2"/>
    <w:next w:val="a2"/>
    <w:link w:val="affe"/>
    <w:uiPriority w:val="99"/>
    <w:semiHidden/>
    <w:qFormat/>
    <w:rsid w:val="00681780"/>
    <w:pPr>
      <w:spacing w:after="600"/>
    </w:pPr>
    <w:rPr>
      <w:rFonts w:asciiTheme="majorHAnsi" w:eastAsiaTheme="majorEastAsia" w:hAnsiTheme="majorHAnsi" w:cstheme="majorBidi"/>
      <w:i/>
      <w:iCs/>
      <w:spacing w:val="13"/>
      <w:szCs w:val="24"/>
      <w:lang w:val="en-US" w:bidi="en-US"/>
    </w:rPr>
  </w:style>
  <w:style w:type="character" w:customStyle="1" w:styleId="affe">
    <w:name w:val="Подзаголовок Знак"/>
    <w:basedOn w:val="a3"/>
    <w:link w:val="affd"/>
    <w:uiPriority w:val="99"/>
    <w:semiHidden/>
    <w:rsid w:val="00681780"/>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en-GB" w:eastAsia="fr-FR"/>
    </w:rPr>
  </w:style>
  <w:style w:type="table" w:styleId="13">
    <w:name w:val="Medium Grid 1"/>
    <w:basedOn w:val="a4"/>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681780"/>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681780"/>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681780"/>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OpiHA0">
    <w:name w:val="Opi_H_A"/>
    <w:basedOn w:val="ECHRHeading1"/>
    <w:next w:val="OpiPara"/>
    <w:uiPriority w:val="41"/>
    <w:qFormat/>
    <w:rsid w:val="00681780"/>
    <w:pPr>
      <w:tabs>
        <w:tab w:val="clear" w:pos="357"/>
      </w:tabs>
      <w:outlineLvl w:val="1"/>
    </w:pPr>
    <w:rPr>
      <w:b/>
    </w:rPr>
  </w:style>
  <w:style w:type="paragraph" w:customStyle="1" w:styleId="OpiHi">
    <w:name w:val="Opi_H_i"/>
    <w:basedOn w:val="ECHRHeading4"/>
    <w:uiPriority w:val="44"/>
    <w:qFormat/>
    <w:rsid w:val="00681780"/>
    <w:pPr>
      <w:ind w:left="1037" w:hanging="357"/>
      <w:outlineLvl w:val="4"/>
    </w:pPr>
    <w:rPr>
      <w:b w:val="0"/>
      <w:i/>
    </w:rPr>
  </w:style>
  <w:style w:type="paragraph" w:customStyle="1" w:styleId="OpiPara">
    <w:name w:val="Opi_Para"/>
    <w:basedOn w:val="ECHRPara"/>
    <w:uiPriority w:val="46"/>
    <w:qFormat/>
    <w:rsid w:val="00681780"/>
  </w:style>
  <w:style w:type="paragraph" w:customStyle="1" w:styleId="OpiParaSub">
    <w:name w:val="Opi_Para_Sub"/>
    <w:basedOn w:val="JuParaSub"/>
    <w:uiPriority w:val="47"/>
    <w:qFormat/>
    <w:rsid w:val="00681780"/>
  </w:style>
  <w:style w:type="paragraph" w:customStyle="1" w:styleId="OpiQuot">
    <w:name w:val="Opi_Quot"/>
    <w:basedOn w:val="ECHRParaQuote"/>
    <w:uiPriority w:val="48"/>
    <w:qFormat/>
    <w:rsid w:val="00681780"/>
  </w:style>
  <w:style w:type="paragraph" w:customStyle="1" w:styleId="OpiQuotSub">
    <w:name w:val="Opi_Quot_Sub"/>
    <w:basedOn w:val="JuQuotSub"/>
    <w:uiPriority w:val="49"/>
    <w:qFormat/>
    <w:rsid w:val="00681780"/>
  </w:style>
  <w:style w:type="paragraph" w:customStyle="1" w:styleId="OpiTranslation">
    <w:name w:val="Opi_Translation"/>
    <w:basedOn w:val="a2"/>
    <w:next w:val="OpiPara"/>
    <w:uiPriority w:val="40"/>
    <w:qFormat/>
    <w:rsid w:val="00681780"/>
    <w:pPr>
      <w:jc w:val="center"/>
      <w:outlineLvl w:val="0"/>
    </w:pPr>
    <w:rPr>
      <w:i/>
    </w:rPr>
  </w:style>
  <w:style w:type="character" w:customStyle="1" w:styleId="ECHRParaChar">
    <w:name w:val="ECHR_Para Char"/>
    <w:aliases w:val="Ju_Para Char"/>
    <w:link w:val="ECHRPara"/>
    <w:uiPriority w:val="12"/>
    <w:rsid w:val="00900C39"/>
    <w:rPr>
      <w:rFonts w:eastAsiaTheme="minorEastAsia"/>
      <w:sz w:val="24"/>
      <w:lang w:val="en-GB"/>
    </w:rPr>
  </w:style>
  <w:style w:type="character" w:customStyle="1" w:styleId="JuHaChar">
    <w:name w:val="Ju_H_a Char"/>
    <w:link w:val="ECHRHeading4"/>
    <w:uiPriority w:val="22"/>
    <w:rsid w:val="00900C39"/>
    <w:rPr>
      <w:rFonts w:asciiTheme="majorHAnsi" w:eastAsiaTheme="majorEastAsia" w:hAnsiTheme="majorHAnsi" w:cstheme="majorBidi"/>
      <w:b/>
      <w:bCs/>
      <w:iCs/>
      <w:sz w:val="20"/>
      <w:lang w:val="en-GB"/>
    </w:rPr>
  </w:style>
  <w:style w:type="paragraph" w:styleId="affffff">
    <w:name w:val="Revision"/>
    <w:hidden/>
    <w:uiPriority w:val="99"/>
    <w:semiHidden/>
    <w:rsid w:val="004B1E2C"/>
    <w:rPr>
      <w:rFonts w:eastAsiaTheme="minorEastAsia"/>
      <w:sz w:val="24"/>
    </w:rPr>
  </w:style>
  <w:style w:type="paragraph" w:customStyle="1" w:styleId="jupara">
    <w:name w:val="jupara"/>
    <w:basedOn w:val="a2"/>
    <w:rsid w:val="00B65A69"/>
    <w:pPr>
      <w:ind w:firstLine="284"/>
    </w:pPr>
    <w:rPr>
      <w:rFonts w:ascii="Times New Roman" w:eastAsia="Times New Roman" w:hAnsi="Times New Roman" w:cs="Times New Roman"/>
      <w:szCs w:val="24"/>
      <w:lang w:eastAsia="en-GB"/>
    </w:rPr>
  </w:style>
  <w:style w:type="paragraph" w:customStyle="1" w:styleId="jucase0">
    <w:name w:val="jucase"/>
    <w:basedOn w:val="a2"/>
    <w:rsid w:val="00B65A69"/>
    <w:pPr>
      <w:ind w:firstLine="284"/>
    </w:pPr>
    <w:rPr>
      <w:rFonts w:ascii="Times New Roman" w:eastAsia="Times New Roman" w:hAnsi="Times New Roman" w:cs="Times New Roman"/>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5896">
      <w:bodyDiv w:val="1"/>
      <w:marLeft w:val="0"/>
      <w:marRight w:val="0"/>
      <w:marTop w:val="0"/>
      <w:marBottom w:val="0"/>
      <w:divBdr>
        <w:top w:val="none" w:sz="0" w:space="0" w:color="auto"/>
        <w:left w:val="none" w:sz="0" w:space="0" w:color="auto"/>
        <w:bottom w:val="none" w:sz="0" w:space="0" w:color="auto"/>
        <w:right w:val="none" w:sz="0" w:space="0" w:color="auto"/>
      </w:divBdr>
    </w:div>
    <w:div w:id="184489436">
      <w:bodyDiv w:val="1"/>
      <w:marLeft w:val="0"/>
      <w:marRight w:val="0"/>
      <w:marTop w:val="0"/>
      <w:marBottom w:val="0"/>
      <w:divBdr>
        <w:top w:val="none" w:sz="0" w:space="0" w:color="auto"/>
        <w:left w:val="none" w:sz="0" w:space="0" w:color="auto"/>
        <w:bottom w:val="none" w:sz="0" w:space="0" w:color="auto"/>
        <w:right w:val="none" w:sz="0" w:space="0" w:color="auto"/>
      </w:divBdr>
    </w:div>
    <w:div w:id="243729022">
      <w:bodyDiv w:val="1"/>
      <w:marLeft w:val="0"/>
      <w:marRight w:val="0"/>
      <w:marTop w:val="0"/>
      <w:marBottom w:val="0"/>
      <w:divBdr>
        <w:top w:val="none" w:sz="0" w:space="0" w:color="auto"/>
        <w:left w:val="none" w:sz="0" w:space="0" w:color="auto"/>
        <w:bottom w:val="none" w:sz="0" w:space="0" w:color="auto"/>
        <w:right w:val="none" w:sz="0" w:space="0" w:color="auto"/>
      </w:divBdr>
    </w:div>
    <w:div w:id="506402299">
      <w:bodyDiv w:val="1"/>
      <w:marLeft w:val="0"/>
      <w:marRight w:val="0"/>
      <w:marTop w:val="0"/>
      <w:marBottom w:val="0"/>
      <w:divBdr>
        <w:top w:val="none" w:sz="0" w:space="0" w:color="auto"/>
        <w:left w:val="none" w:sz="0" w:space="0" w:color="auto"/>
        <w:bottom w:val="none" w:sz="0" w:space="0" w:color="auto"/>
        <w:right w:val="none" w:sz="0" w:space="0" w:color="auto"/>
      </w:divBdr>
    </w:div>
    <w:div w:id="773601002">
      <w:bodyDiv w:val="1"/>
      <w:marLeft w:val="0"/>
      <w:marRight w:val="0"/>
      <w:marTop w:val="0"/>
      <w:marBottom w:val="0"/>
      <w:divBdr>
        <w:top w:val="none" w:sz="0" w:space="0" w:color="auto"/>
        <w:left w:val="none" w:sz="0" w:space="0" w:color="auto"/>
        <w:bottom w:val="none" w:sz="0" w:space="0" w:color="auto"/>
        <w:right w:val="none" w:sz="0" w:space="0" w:color="auto"/>
      </w:divBdr>
      <w:divsChild>
        <w:div w:id="1305426124">
          <w:marLeft w:val="0"/>
          <w:marRight w:val="0"/>
          <w:marTop w:val="0"/>
          <w:marBottom w:val="0"/>
          <w:divBdr>
            <w:top w:val="none" w:sz="0" w:space="0" w:color="auto"/>
            <w:left w:val="none" w:sz="0" w:space="0" w:color="auto"/>
            <w:bottom w:val="single" w:sz="6" w:space="0" w:color="D3D3D3"/>
            <w:right w:val="none" w:sz="0" w:space="0" w:color="auto"/>
          </w:divBdr>
          <w:divsChild>
            <w:div w:id="2045015757">
              <w:marLeft w:val="0"/>
              <w:marRight w:val="0"/>
              <w:marTop w:val="0"/>
              <w:marBottom w:val="0"/>
              <w:divBdr>
                <w:top w:val="none" w:sz="0" w:space="0" w:color="auto"/>
                <w:left w:val="none" w:sz="0" w:space="0" w:color="auto"/>
                <w:bottom w:val="none" w:sz="0" w:space="0" w:color="auto"/>
                <w:right w:val="none" w:sz="0" w:space="0" w:color="auto"/>
              </w:divBdr>
            </w:div>
          </w:divsChild>
        </w:div>
        <w:div w:id="94136254">
          <w:marLeft w:val="0"/>
          <w:marRight w:val="0"/>
          <w:marTop w:val="0"/>
          <w:marBottom w:val="0"/>
          <w:divBdr>
            <w:top w:val="none" w:sz="0" w:space="0" w:color="auto"/>
            <w:left w:val="none" w:sz="0" w:space="0" w:color="auto"/>
            <w:bottom w:val="none" w:sz="0" w:space="0" w:color="auto"/>
            <w:right w:val="none" w:sz="0" w:space="0" w:color="auto"/>
          </w:divBdr>
        </w:div>
        <w:div w:id="488208467">
          <w:marLeft w:val="0"/>
          <w:marRight w:val="0"/>
          <w:marTop w:val="0"/>
          <w:marBottom w:val="0"/>
          <w:divBdr>
            <w:top w:val="none" w:sz="0" w:space="0" w:color="auto"/>
            <w:left w:val="none" w:sz="0" w:space="0" w:color="auto"/>
            <w:bottom w:val="none" w:sz="0" w:space="0" w:color="auto"/>
            <w:right w:val="none" w:sz="0" w:space="0" w:color="auto"/>
          </w:divBdr>
        </w:div>
      </w:divsChild>
    </w:div>
    <w:div w:id="921645911">
      <w:bodyDiv w:val="1"/>
      <w:marLeft w:val="0"/>
      <w:marRight w:val="0"/>
      <w:marTop w:val="0"/>
      <w:marBottom w:val="0"/>
      <w:divBdr>
        <w:top w:val="none" w:sz="0" w:space="0" w:color="auto"/>
        <w:left w:val="none" w:sz="0" w:space="0" w:color="auto"/>
        <w:bottom w:val="none" w:sz="0" w:space="0" w:color="auto"/>
        <w:right w:val="none" w:sz="0" w:space="0" w:color="auto"/>
      </w:divBdr>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336222649">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87172012">
      <w:bodyDiv w:val="1"/>
      <w:marLeft w:val="0"/>
      <w:marRight w:val="0"/>
      <w:marTop w:val="0"/>
      <w:marBottom w:val="0"/>
      <w:divBdr>
        <w:top w:val="none" w:sz="0" w:space="0" w:color="auto"/>
        <w:left w:val="none" w:sz="0" w:space="0" w:color="auto"/>
        <w:bottom w:val="none" w:sz="0" w:space="0" w:color="auto"/>
        <w:right w:val="none" w:sz="0" w:space="0" w:color="auto"/>
      </w:divBdr>
    </w:div>
    <w:div w:id="183337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hudoc.echr.coe.int/en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8F748-9BB1-4D42-A3C4-968A2569E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CA06E8-71BA-413E-8220-3F660183EF82}">
  <ds:schemaRefs>
    <ds:schemaRef ds:uri="http://schemas.microsoft.com/sharepoint/v3/contenttype/forms"/>
  </ds:schemaRefs>
</ds:datastoreItem>
</file>

<file path=customXml/itemProps3.xml><?xml version="1.0" encoding="utf-8"?>
<ds:datastoreItem xmlns:ds="http://schemas.openxmlformats.org/officeDocument/2006/customXml" ds:itemID="{4E3633DD-BEE7-47D1-A0D8-FEF83824AC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CFCFEB-13E6-481F-8295-8F11AFD8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12770</Words>
  <Characters>72793</Characters>
  <Application>Microsoft Office Word</Application>
  <DocSecurity>0</DocSecurity>
  <Lines>606</Lines>
  <Paragraphs>170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85393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2019-08-05T11:28:00Z</dcterms:created>
  <dcterms:modified xsi:type="dcterms:W3CDTF">2019-08-05T11:28:00Z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61064/10</vt:lpwstr>
  </property>
  <property fmtid="{D5CDD505-2E9C-101B-9397-08002B2CF9AE}" pid="4" name="CASEID">
    <vt:lpwstr>675061</vt:lpwstr>
  </property>
  <property fmtid="{D5CDD505-2E9C-101B-9397-08002B2CF9AE}" pid="5" name="ContentTypeId">
    <vt:lpwstr>0x010100558EB02BDB9E204AB350EDD385B68E10</vt:lpwstr>
  </property>
</Properties>
</file>