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C5864" w:rsidR="00D420F3" w:rsidP="00EC5864" w:rsidRDefault="00D420F3">
      <w:pPr>
        <w:pStyle w:val="ECHRDecisionBody"/>
      </w:pPr>
      <w:bookmarkStart w:name="_GoBack" w:id="0"/>
      <w:bookmarkEnd w:id="0"/>
    </w:p>
    <w:p w:rsidRPr="00EC5864" w:rsidR="000B07E4" w:rsidP="00EC5864" w:rsidRDefault="000B07E4">
      <w:pPr>
        <w:pStyle w:val="ECHRDecisionBody"/>
      </w:pPr>
    </w:p>
    <w:p w:rsidRPr="00EC5864" w:rsidR="000B07E4" w:rsidP="00EC5864" w:rsidRDefault="000B07E4">
      <w:pPr>
        <w:pStyle w:val="ECHRDecisionBody"/>
      </w:pPr>
    </w:p>
    <w:p w:rsidRPr="00EC5864" w:rsidR="00D420F3" w:rsidP="00EC5864" w:rsidRDefault="005736D7">
      <w:pPr>
        <w:jc w:val="center"/>
      </w:pPr>
      <w:r w:rsidRPr="00EC5864">
        <w:t>THIRD SECTION</w:t>
      </w:r>
    </w:p>
    <w:p w:rsidRPr="00EC5864" w:rsidR="00D420F3" w:rsidP="00EC5864" w:rsidRDefault="00D420F3">
      <w:pPr>
        <w:jc w:val="center"/>
      </w:pPr>
    </w:p>
    <w:p w:rsidRPr="00EC5864" w:rsidR="000B07E4" w:rsidP="00EC5864" w:rsidRDefault="000B07E4">
      <w:pPr>
        <w:jc w:val="center"/>
      </w:pPr>
    </w:p>
    <w:p w:rsidRPr="00EC5864" w:rsidR="000B07E4" w:rsidP="00EC5864" w:rsidRDefault="000B07E4">
      <w:pPr>
        <w:jc w:val="center"/>
      </w:pPr>
    </w:p>
    <w:p w:rsidRPr="00EC5864" w:rsidR="000B07E4" w:rsidP="00EC5864" w:rsidRDefault="000B07E4">
      <w:pPr>
        <w:jc w:val="center"/>
      </w:pPr>
    </w:p>
    <w:p w:rsidRPr="00EC5864" w:rsidR="000B07E4" w:rsidP="00EC5864" w:rsidRDefault="000B07E4">
      <w:pPr>
        <w:jc w:val="center"/>
      </w:pPr>
    </w:p>
    <w:p w:rsidRPr="00EC5864" w:rsidR="000B07E4" w:rsidP="00EC5864" w:rsidRDefault="000B07E4">
      <w:pPr>
        <w:jc w:val="center"/>
      </w:pPr>
    </w:p>
    <w:p w:rsidRPr="00EC5864" w:rsidR="000B07E4" w:rsidP="00EC5864" w:rsidRDefault="000B07E4">
      <w:pPr>
        <w:jc w:val="center"/>
      </w:pPr>
    </w:p>
    <w:p w:rsidRPr="00EC5864" w:rsidR="000B07E4" w:rsidP="00EC5864" w:rsidRDefault="000B07E4">
      <w:pPr>
        <w:jc w:val="center"/>
      </w:pPr>
    </w:p>
    <w:p w:rsidRPr="00EC5864" w:rsidR="00D420F3" w:rsidP="00EC5864" w:rsidRDefault="0077175D">
      <w:pPr>
        <w:jc w:val="center"/>
        <w:rPr>
          <w:b/>
        </w:rPr>
      </w:pPr>
      <w:bookmarkStart w:name="To" w:id="1"/>
      <w:r w:rsidRPr="00EC5864">
        <w:rPr>
          <w:b/>
        </w:rPr>
        <w:t xml:space="preserve">CASE OF </w:t>
      </w:r>
      <w:bookmarkEnd w:id="1"/>
      <w:r w:rsidRPr="00EC5864" w:rsidR="005736D7">
        <w:rPr>
          <w:b/>
        </w:rPr>
        <w:t>VAKHITOV v. RUSSIA</w:t>
      </w:r>
    </w:p>
    <w:p w:rsidRPr="00EC5864" w:rsidR="00D420F3" w:rsidP="00EC5864" w:rsidRDefault="00D420F3">
      <w:pPr>
        <w:jc w:val="center"/>
      </w:pPr>
    </w:p>
    <w:p w:rsidRPr="00EC5864" w:rsidR="00D420F3" w:rsidP="00EC5864" w:rsidRDefault="0077175D">
      <w:pPr>
        <w:jc w:val="center"/>
        <w:rPr>
          <w:i/>
        </w:rPr>
      </w:pPr>
      <w:r w:rsidRPr="00EC5864">
        <w:rPr>
          <w:i/>
        </w:rPr>
        <w:t>(</w:t>
      </w:r>
      <w:r w:rsidRPr="00EC5864" w:rsidR="005736D7">
        <w:rPr>
          <w:i/>
        </w:rPr>
        <w:t>Application no. 42932/11</w:t>
      </w:r>
      <w:r w:rsidRPr="00EC5864">
        <w:rPr>
          <w:i/>
        </w:rPr>
        <w:t>)</w:t>
      </w:r>
    </w:p>
    <w:p w:rsidRPr="00EC5864" w:rsidR="00D420F3" w:rsidP="00EC5864" w:rsidRDefault="00D420F3">
      <w:pPr>
        <w:jc w:val="center"/>
      </w:pPr>
    </w:p>
    <w:p w:rsidRPr="00EC5864" w:rsidR="00D420F3" w:rsidP="00EC5864" w:rsidRDefault="00D420F3">
      <w:pPr>
        <w:jc w:val="center"/>
      </w:pPr>
    </w:p>
    <w:p w:rsidRPr="00EC5864" w:rsidR="00D420F3" w:rsidP="00EC5864" w:rsidRDefault="00D420F3">
      <w:pPr>
        <w:jc w:val="center"/>
      </w:pPr>
    </w:p>
    <w:p w:rsidRPr="00EC5864" w:rsidR="00D420F3" w:rsidP="00EC5864" w:rsidRDefault="00D420F3">
      <w:pPr>
        <w:jc w:val="center"/>
      </w:pPr>
    </w:p>
    <w:p w:rsidRPr="00EC5864" w:rsidR="00D420F3" w:rsidP="00EC5864" w:rsidRDefault="00D420F3">
      <w:pPr>
        <w:jc w:val="center"/>
      </w:pPr>
    </w:p>
    <w:p w:rsidRPr="00EC5864" w:rsidR="000B07E4" w:rsidP="00EC5864" w:rsidRDefault="000B07E4">
      <w:pPr>
        <w:jc w:val="center"/>
      </w:pPr>
    </w:p>
    <w:p w:rsidRPr="00EC5864" w:rsidR="000B07E4" w:rsidP="00EC5864" w:rsidRDefault="000B07E4">
      <w:pPr>
        <w:jc w:val="center"/>
      </w:pPr>
    </w:p>
    <w:p w:rsidRPr="00EC5864" w:rsidR="00D420F3" w:rsidP="00EC5864" w:rsidRDefault="00D420F3">
      <w:pPr>
        <w:jc w:val="center"/>
      </w:pPr>
    </w:p>
    <w:p w:rsidRPr="00EC5864" w:rsidR="00D420F3" w:rsidP="00EC5864" w:rsidRDefault="000B07E4">
      <w:pPr>
        <w:jc w:val="center"/>
        <w:rPr>
          <w:szCs w:val="24"/>
        </w:rPr>
      </w:pPr>
      <w:r w:rsidRPr="00EC5864">
        <w:rPr>
          <w:szCs w:val="24"/>
        </w:rPr>
        <w:t>JUDGMENT</w:t>
      </w:r>
    </w:p>
    <w:p w:rsidRPr="00EC5864" w:rsidR="000B07E4" w:rsidP="00EC5864" w:rsidRDefault="000B07E4">
      <w:pPr>
        <w:pStyle w:val="JuCase"/>
        <w:ind w:firstLine="0"/>
        <w:jc w:val="center"/>
        <w:rPr>
          <w:b w:val="0"/>
        </w:rPr>
      </w:pPr>
    </w:p>
    <w:p w:rsidRPr="00EC5864" w:rsidR="000B07E4" w:rsidP="00EC5864" w:rsidRDefault="000B07E4">
      <w:pPr>
        <w:pStyle w:val="JuCase"/>
        <w:ind w:firstLine="0"/>
        <w:jc w:val="center"/>
        <w:rPr>
          <w:b w:val="0"/>
        </w:rPr>
      </w:pPr>
    </w:p>
    <w:p w:rsidRPr="00EC5864" w:rsidR="000B07E4" w:rsidP="00EC5864" w:rsidRDefault="000B07E4">
      <w:pPr>
        <w:pStyle w:val="JuCase"/>
        <w:ind w:firstLine="0"/>
        <w:jc w:val="center"/>
        <w:rPr>
          <w:b w:val="0"/>
        </w:rPr>
      </w:pPr>
      <w:r w:rsidRPr="00EC5864">
        <w:rPr>
          <w:b w:val="0"/>
        </w:rPr>
        <w:t>STRASBOURG</w:t>
      </w:r>
    </w:p>
    <w:p w:rsidRPr="00EC5864" w:rsidR="000B07E4" w:rsidP="00EC5864" w:rsidRDefault="000B07E4">
      <w:pPr>
        <w:pStyle w:val="JuCase"/>
        <w:ind w:firstLine="0"/>
        <w:jc w:val="center"/>
        <w:rPr>
          <w:b w:val="0"/>
        </w:rPr>
      </w:pPr>
    </w:p>
    <w:p w:rsidRPr="00EC5864" w:rsidR="000B07E4" w:rsidP="00EC5864" w:rsidRDefault="000B07E4">
      <w:pPr>
        <w:pStyle w:val="JuCase"/>
        <w:ind w:firstLine="0"/>
        <w:jc w:val="center"/>
        <w:rPr>
          <w:b w:val="0"/>
        </w:rPr>
      </w:pPr>
      <w:r w:rsidRPr="00EC5864">
        <w:rPr>
          <w:b w:val="0"/>
        </w:rPr>
        <w:t>9 July 2019</w:t>
      </w:r>
    </w:p>
    <w:p w:rsidRPr="00EC5864" w:rsidR="000B07E4" w:rsidP="00EC5864" w:rsidRDefault="000B07E4">
      <w:pPr>
        <w:pStyle w:val="JuCase"/>
        <w:ind w:firstLine="0"/>
        <w:jc w:val="center"/>
        <w:rPr>
          <w:b w:val="0"/>
        </w:rPr>
      </w:pPr>
    </w:p>
    <w:p w:rsidRPr="00EC5864" w:rsidR="000B07E4" w:rsidP="00EC5864" w:rsidRDefault="000B07E4">
      <w:pPr>
        <w:pStyle w:val="JuCase"/>
        <w:ind w:firstLine="0"/>
        <w:jc w:val="center"/>
        <w:rPr>
          <w:b w:val="0"/>
        </w:rPr>
      </w:pPr>
    </w:p>
    <w:p w:rsidRPr="00EC5864" w:rsidR="00EC5864" w:rsidP="00EC5864" w:rsidRDefault="00EC5864">
      <w:pPr>
        <w:pStyle w:val="ECHRPara"/>
      </w:pPr>
    </w:p>
    <w:p w:rsidRPr="00EC5864" w:rsidR="00EC5864" w:rsidP="00EC5864" w:rsidRDefault="00EC5864">
      <w:pPr>
        <w:pStyle w:val="ECHRPara"/>
      </w:pPr>
    </w:p>
    <w:p w:rsidRPr="00EC5864" w:rsidR="00EC5864" w:rsidP="00EC5864" w:rsidRDefault="00EC5864">
      <w:pPr>
        <w:pStyle w:val="ECHRPara"/>
      </w:pPr>
    </w:p>
    <w:p w:rsidRPr="00EC5864" w:rsidR="00EC5864" w:rsidP="00EC5864" w:rsidRDefault="00EC5864">
      <w:pPr>
        <w:pStyle w:val="ECHRPara"/>
      </w:pPr>
    </w:p>
    <w:p w:rsidRPr="00EC5864" w:rsidR="000B07E4" w:rsidP="00EC5864" w:rsidRDefault="000B07E4">
      <w:pPr>
        <w:pStyle w:val="JuCase"/>
        <w:ind w:firstLine="0"/>
        <w:jc w:val="left"/>
        <w:rPr>
          <w:b w:val="0"/>
          <w:i/>
          <w:sz w:val="22"/>
        </w:rPr>
      </w:pPr>
      <w:r w:rsidRPr="00EC5864">
        <w:rPr>
          <w:b w:val="0"/>
          <w:i/>
          <w:sz w:val="22"/>
        </w:rPr>
        <w:t>This judgment is final but it may be subject to editorial revision.</w:t>
      </w:r>
    </w:p>
    <w:p w:rsidRPr="00EC5864" w:rsidR="00EC5864" w:rsidP="00EC5864" w:rsidRDefault="00EC5864">
      <w:pPr>
        <w:pStyle w:val="ECHRPara"/>
        <w:sectPr w:rsidRPr="00EC5864" w:rsidR="00EC5864" w:rsidSect="000B07E4">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titlePg/>
          <w:docGrid w:linePitch="326"/>
        </w:sectPr>
      </w:pPr>
    </w:p>
    <w:p w:rsidRPr="00EC5864" w:rsidR="00D420F3" w:rsidP="00EC5864" w:rsidRDefault="0077175D">
      <w:pPr>
        <w:pStyle w:val="JuCase"/>
        <w:rPr>
          <w:bCs/>
        </w:rPr>
      </w:pPr>
      <w:r w:rsidRPr="00EC5864">
        <w:t xml:space="preserve">In the case of </w:t>
      </w:r>
      <w:r w:rsidRPr="00EC5864" w:rsidR="005736D7">
        <w:t>Vakhitov v. Russia</w:t>
      </w:r>
      <w:r w:rsidRPr="00EC5864">
        <w:t>,</w:t>
      </w:r>
    </w:p>
    <w:p w:rsidRPr="00EC5864" w:rsidR="00D420F3" w:rsidP="00EC5864" w:rsidRDefault="0077175D">
      <w:pPr>
        <w:pStyle w:val="ECHRPara"/>
      </w:pPr>
      <w:r w:rsidRPr="00EC5864">
        <w:t>The European Court of Human Rights (</w:t>
      </w:r>
      <w:r w:rsidRPr="00EC5864" w:rsidR="005736D7">
        <w:t>Third Section</w:t>
      </w:r>
      <w:r w:rsidRPr="00EC5864">
        <w:t xml:space="preserve">), sitting as a </w:t>
      </w:r>
      <w:r w:rsidRPr="00EC5864" w:rsidR="005736D7">
        <w:t>Committee</w:t>
      </w:r>
      <w:r w:rsidRPr="00EC5864">
        <w:t xml:space="preserve"> composed of:</w:t>
      </w:r>
    </w:p>
    <w:p w:rsidRPr="00EC5864" w:rsidR="00D420F3" w:rsidP="00EC5864" w:rsidRDefault="000B07E4">
      <w:pPr>
        <w:pStyle w:val="ECHRDecisionBody"/>
      </w:pPr>
      <w:r w:rsidRPr="00EC5864">
        <w:tab/>
        <w:t>Georgios A. Serghides,</w:t>
      </w:r>
      <w:r w:rsidRPr="00EC5864">
        <w:rPr>
          <w:i/>
        </w:rPr>
        <w:t xml:space="preserve"> President,</w:t>
      </w:r>
      <w:r w:rsidRPr="00EC5864">
        <w:rPr>
          <w:i/>
        </w:rPr>
        <w:br/>
      </w:r>
      <w:r w:rsidRPr="00EC5864">
        <w:tab/>
        <w:t>Branko Lubarda,</w:t>
      </w:r>
      <w:r w:rsidRPr="00EC5864">
        <w:rPr>
          <w:i/>
        </w:rPr>
        <w:br/>
      </w:r>
      <w:r w:rsidRPr="00EC5864">
        <w:tab/>
        <w:t>Erik Wennerström,</w:t>
      </w:r>
      <w:r w:rsidRPr="00EC5864">
        <w:rPr>
          <w:i/>
        </w:rPr>
        <w:t xml:space="preserve"> judges,</w:t>
      </w:r>
      <w:r w:rsidRPr="00EC5864" w:rsidR="0077175D">
        <w:rPr>
          <w:szCs w:val="24"/>
        </w:rPr>
        <w:br/>
      </w:r>
      <w:r w:rsidRPr="00EC5864" w:rsidR="0077175D">
        <w:t xml:space="preserve">and </w:t>
      </w:r>
      <w:r w:rsidRPr="00EC5864" w:rsidR="005736D7">
        <w:t>Fatoş Aracı</w:t>
      </w:r>
      <w:r w:rsidRPr="00EC5864" w:rsidR="0077175D">
        <w:t xml:space="preserve">, </w:t>
      </w:r>
      <w:r w:rsidRPr="00EC5864" w:rsidR="005736D7">
        <w:rPr>
          <w:i/>
        </w:rPr>
        <w:t xml:space="preserve">Deputy Section </w:t>
      </w:r>
      <w:r w:rsidRPr="00EC5864" w:rsidR="005736D7">
        <w:rPr>
          <w:i/>
          <w:iCs/>
        </w:rPr>
        <w:t>Registrar</w:t>
      </w:r>
      <w:r w:rsidRPr="00EC5864" w:rsidR="0077175D">
        <w:rPr>
          <w:i/>
        </w:rPr>
        <w:t>,</w:t>
      </w:r>
    </w:p>
    <w:p w:rsidRPr="00EC5864" w:rsidR="00D420F3" w:rsidP="00EC5864" w:rsidRDefault="0077175D">
      <w:pPr>
        <w:pStyle w:val="ECHRPara"/>
      </w:pPr>
      <w:r w:rsidRPr="00EC5864">
        <w:t xml:space="preserve">Having deliberated in private on </w:t>
      </w:r>
      <w:r w:rsidRPr="00EC5864" w:rsidR="000B07E4">
        <w:t>18 June 2019</w:t>
      </w:r>
      <w:r w:rsidRPr="00EC5864">
        <w:t>,</w:t>
      </w:r>
    </w:p>
    <w:p w:rsidRPr="00EC5864" w:rsidR="00D420F3" w:rsidP="00EC5864" w:rsidRDefault="0077175D">
      <w:pPr>
        <w:pStyle w:val="ECHRPara"/>
      </w:pPr>
      <w:r w:rsidRPr="00EC5864">
        <w:t>Delivers the following judgment, which was adopted on that date:</w:t>
      </w:r>
    </w:p>
    <w:p w:rsidRPr="00EC5864" w:rsidR="00D420F3" w:rsidP="00EC5864" w:rsidRDefault="0077175D">
      <w:pPr>
        <w:pStyle w:val="ECHRTitle1"/>
      </w:pPr>
      <w:r w:rsidRPr="00EC5864">
        <w:t>PROCEDURE</w:t>
      </w:r>
    </w:p>
    <w:p w:rsidRPr="00EC5864" w:rsidR="005736D7" w:rsidP="00EC5864" w:rsidRDefault="005736D7">
      <w:pPr>
        <w:pStyle w:val="ECHRPara"/>
      </w:pPr>
      <w:r w:rsidRPr="00EC5864">
        <w:fldChar w:fldCharType="begin"/>
      </w:r>
      <w:r w:rsidRPr="00EC5864">
        <w:instrText xml:space="preserve"> SEQ level0 \*arabic </w:instrText>
      </w:r>
      <w:r w:rsidRPr="00EC5864">
        <w:fldChar w:fldCharType="separate"/>
      </w:r>
      <w:r w:rsidRPr="00EC5864" w:rsidR="00EC5864">
        <w:rPr>
          <w:noProof/>
        </w:rPr>
        <w:t>1</w:t>
      </w:r>
      <w:r w:rsidRPr="00EC5864">
        <w:fldChar w:fldCharType="end"/>
      </w:r>
      <w:r w:rsidRPr="00EC5864" w:rsidR="0077175D">
        <w:t xml:space="preserve">.  The case originated in </w:t>
      </w:r>
      <w:r w:rsidRPr="00EC5864" w:rsidR="004674A6">
        <w:t>an application (no. </w:t>
      </w:r>
      <w:r w:rsidRPr="00EC5864">
        <w:t>42932/11)</w:t>
      </w:r>
      <w:r w:rsidRPr="00EC5864" w:rsidR="0077175D">
        <w:t xml:space="preserve"> against </w:t>
      </w:r>
      <w:r w:rsidRPr="00EC5864">
        <w:t>the Russian Federation</w:t>
      </w:r>
      <w:r w:rsidRPr="00EC5864" w:rsidR="0077175D">
        <w:t xml:space="preserve"> lodged with the </w:t>
      </w:r>
      <w:r w:rsidRPr="00EC5864">
        <w:t xml:space="preserve">Court </w:t>
      </w:r>
      <w:r w:rsidRPr="00EC5864" w:rsidR="004674A6">
        <w:t>under Article </w:t>
      </w:r>
      <w:r w:rsidRPr="00EC5864">
        <w:t>34</w:t>
      </w:r>
      <w:r w:rsidRPr="00EC5864" w:rsidR="0077175D">
        <w:t xml:space="preserve"> of the Convention for the Protection of Human Rights and Fundamental Freedoms (“the Convention”) by </w:t>
      </w:r>
      <w:r w:rsidRPr="00EC5864">
        <w:t>a</w:t>
      </w:r>
      <w:r w:rsidRPr="00EC5864" w:rsidR="004674A6">
        <w:t xml:space="preserve"> </w:t>
      </w:r>
      <w:r w:rsidRPr="00EC5864">
        <w:t>Russian national, Mr Ildar Dinarovich Vakhitov (“the applicant”), on 16</w:t>
      </w:r>
      <w:r w:rsidRPr="00EC5864" w:rsidR="004674A6">
        <w:t> </w:t>
      </w:r>
      <w:r w:rsidRPr="00EC5864">
        <w:t>June 2011</w:t>
      </w:r>
      <w:r w:rsidRPr="00EC5864" w:rsidR="0077175D">
        <w:t>.</w:t>
      </w:r>
    </w:p>
    <w:p w:rsidRPr="00EC5864" w:rsidR="00933ACC" w:rsidP="00EC5864" w:rsidRDefault="005736D7">
      <w:pPr>
        <w:pStyle w:val="ECHRPara"/>
      </w:pPr>
      <w:r w:rsidRPr="00EC5864">
        <w:fldChar w:fldCharType="begin"/>
      </w:r>
      <w:r w:rsidRPr="00EC5864">
        <w:instrText xml:space="preserve"> SEQ level0 \*arabic </w:instrText>
      </w:r>
      <w:r w:rsidRPr="00EC5864">
        <w:fldChar w:fldCharType="separate"/>
      </w:r>
      <w:r w:rsidRPr="00EC5864" w:rsidR="00EC5864">
        <w:rPr>
          <w:noProof/>
        </w:rPr>
        <w:t>2</w:t>
      </w:r>
      <w:r w:rsidRPr="00EC5864">
        <w:fldChar w:fldCharType="end"/>
      </w:r>
      <w:r w:rsidRPr="00EC5864" w:rsidR="0077175D">
        <w:t>.  </w:t>
      </w:r>
      <w:r w:rsidRPr="00EC5864" w:rsidR="00933ACC">
        <w:t>The Russian Government (“the Government”) were represented initially by Mr G. Matyushkin, the Representative of the Russian Federation to the European Court of Human Rights, and then by his successor in that office, Mr M. Galperin.</w:t>
      </w:r>
    </w:p>
    <w:p w:rsidRPr="00EC5864" w:rsidR="00933ACC" w:rsidP="00EC5864" w:rsidRDefault="00933ACC">
      <w:pPr>
        <w:pStyle w:val="ECHRPara"/>
      </w:pPr>
      <w:r w:rsidRPr="00EC5864">
        <w:fldChar w:fldCharType="begin"/>
      </w:r>
      <w:r w:rsidRPr="00EC5864">
        <w:instrText xml:space="preserve"> SEQ level0 \*arabic </w:instrText>
      </w:r>
      <w:r w:rsidRPr="00EC5864">
        <w:fldChar w:fldCharType="separate"/>
      </w:r>
      <w:r w:rsidRPr="00EC5864" w:rsidR="00EC5864">
        <w:rPr>
          <w:noProof/>
        </w:rPr>
        <w:t>3</w:t>
      </w:r>
      <w:r w:rsidRPr="00EC5864">
        <w:fldChar w:fldCharType="end"/>
      </w:r>
      <w:r w:rsidRPr="00EC5864">
        <w:t xml:space="preserve">.  In the wake of the pilot judgment in the </w:t>
      </w:r>
      <w:r w:rsidRPr="00EC5864" w:rsidR="00D001D8">
        <w:t xml:space="preserve">case of </w:t>
      </w:r>
      <w:r w:rsidRPr="00EC5864" w:rsidR="00D001D8">
        <w:rPr>
          <w:i/>
        </w:rPr>
        <w:t>Gerasimov and Others v. </w:t>
      </w:r>
      <w:r w:rsidRPr="00EC5864">
        <w:rPr>
          <w:i/>
        </w:rPr>
        <w:t>Russia</w:t>
      </w:r>
      <w:r w:rsidRPr="00EC5864">
        <w:t>, on 24 November 2014 the non-enforcement complaint and the lack of effective remedies</w:t>
      </w:r>
      <w:r w:rsidRPr="00EC5864" w:rsidR="00EC5864">
        <w:t>’</w:t>
      </w:r>
      <w:r w:rsidRPr="00EC5864">
        <w:t xml:space="preserve"> issue were communicated to the Government for settlement or resolution (see </w:t>
      </w:r>
      <w:r w:rsidRPr="00EC5864">
        <w:rPr>
          <w:i/>
        </w:rPr>
        <w:t>Gerasimov and Others</w:t>
      </w:r>
      <w:r w:rsidRPr="00EC5864">
        <w:t xml:space="preserve"> </w:t>
      </w:r>
      <w:r w:rsidRPr="00EC5864">
        <w:rPr>
          <w:i/>
        </w:rPr>
        <w:t>v. Russia</w:t>
      </w:r>
      <w:r w:rsidRPr="00EC5864">
        <w:t>, nos. 29920/05 and 10 others, §§ 230-31 and po</w:t>
      </w:r>
      <w:r w:rsidRPr="00EC5864" w:rsidR="00D001D8">
        <w:t>int 13 of the operative part, 1 </w:t>
      </w:r>
      <w:r w:rsidRPr="00EC5864">
        <w:t>July 2014). The Court adjourned for two years, that is until 1 October 2016, the proceedings in all cases concerning non-enforcement or delayed enforcement of domestic judgments imposing obligations in kind on the State authorities (ibid.,</w:t>
      </w:r>
      <w:r w:rsidRPr="00EC5864" w:rsidR="0017501C">
        <w:t xml:space="preserve"> § 232 and point </w:t>
      </w:r>
      <w:r w:rsidRPr="00EC5864">
        <w:t>14 of the operative part). The remainder of the application was declared inadmissible pursuant to Rule 54 § 3 of the Rules of Court.</w:t>
      </w:r>
    </w:p>
    <w:p w:rsidRPr="00EC5864" w:rsidR="00933ACC" w:rsidP="00EC5864" w:rsidRDefault="00933ACC">
      <w:pPr>
        <w:pStyle w:val="ECHRPara"/>
      </w:pPr>
      <w:r w:rsidRPr="00EC5864">
        <w:rPr>
          <w:rFonts w:eastAsiaTheme="majorEastAsia"/>
        </w:rPr>
        <w:fldChar w:fldCharType="begin"/>
      </w:r>
      <w:r w:rsidRPr="00EC5864">
        <w:rPr>
          <w:rFonts w:eastAsiaTheme="majorEastAsia"/>
        </w:rPr>
        <w:instrText xml:space="preserve"> SEQ level0 \*arabic </w:instrText>
      </w:r>
      <w:r w:rsidRPr="00EC5864">
        <w:rPr>
          <w:rFonts w:eastAsiaTheme="majorEastAsia"/>
        </w:rPr>
        <w:fldChar w:fldCharType="separate"/>
      </w:r>
      <w:r w:rsidRPr="00EC5864" w:rsidR="00EC5864">
        <w:rPr>
          <w:rFonts w:eastAsiaTheme="majorEastAsia"/>
          <w:noProof/>
        </w:rPr>
        <w:t>4</w:t>
      </w:r>
      <w:r w:rsidRPr="00EC5864">
        <w:rPr>
          <w:rFonts w:eastAsiaTheme="majorEastAsia"/>
        </w:rPr>
        <w:fldChar w:fldCharType="end"/>
      </w:r>
      <w:r w:rsidRPr="00EC5864">
        <w:rPr>
          <w:rFonts w:eastAsiaTheme="majorEastAsia"/>
        </w:rPr>
        <w:t>.  </w:t>
      </w:r>
      <w:r w:rsidRPr="00EC5864">
        <w:t>On 29 September 2016 the Government advised the Court that they were unable to settle the present application within the above time-limit, as the domestic judgment in the applicant</w:t>
      </w:r>
      <w:r w:rsidRPr="00EC5864" w:rsidR="00EC5864">
        <w:t>’</w:t>
      </w:r>
      <w:r w:rsidRPr="00EC5864">
        <w:t>s favour had remained unenforced.</w:t>
      </w:r>
    </w:p>
    <w:p w:rsidRPr="00EC5864" w:rsidR="00933ACC" w:rsidP="00EC5864" w:rsidRDefault="00933ACC">
      <w:pPr>
        <w:pStyle w:val="ECHRPara"/>
      </w:pPr>
      <w:r w:rsidRPr="00EC5864">
        <w:fldChar w:fldCharType="begin"/>
      </w:r>
      <w:r w:rsidRPr="00EC5864">
        <w:instrText xml:space="preserve"> SEQ level0 \*arabic </w:instrText>
      </w:r>
      <w:r w:rsidRPr="00EC5864">
        <w:fldChar w:fldCharType="separate"/>
      </w:r>
      <w:r w:rsidRPr="00EC5864" w:rsidR="00EC5864">
        <w:rPr>
          <w:noProof/>
        </w:rPr>
        <w:t>5</w:t>
      </w:r>
      <w:r w:rsidRPr="00EC5864">
        <w:fldChar w:fldCharType="end"/>
      </w:r>
      <w:r w:rsidRPr="00EC5864">
        <w:t>.  Having regard to the expiry of the above-mentioned adjournment period, the Court has decided to resume the examination of the application. The Court informed the parties at the communication stage that the case, subject to settled case-law, would be allocated to the Committee.</w:t>
      </w:r>
    </w:p>
    <w:p w:rsidRPr="00EC5864" w:rsidR="00D420F3" w:rsidP="00EC5864" w:rsidRDefault="0077175D">
      <w:pPr>
        <w:pStyle w:val="ECHRTitle1"/>
      </w:pPr>
      <w:r w:rsidRPr="00EC5864">
        <w:t>THE FACTS</w:t>
      </w:r>
    </w:p>
    <w:p w:rsidRPr="00EC5864" w:rsidR="00D420F3" w:rsidP="00EC5864" w:rsidRDefault="0077175D">
      <w:pPr>
        <w:pStyle w:val="ECHRHeading1"/>
      </w:pPr>
      <w:r w:rsidRPr="00EC5864">
        <w:t>I.  THE CIRCUMSTANCES OF THE CASE</w:t>
      </w:r>
    </w:p>
    <w:p w:rsidRPr="00EC5864" w:rsidR="006A460B" w:rsidP="00EC5864" w:rsidRDefault="004D63CB">
      <w:pPr>
        <w:pStyle w:val="ECHRPara"/>
      </w:pPr>
      <w:r w:rsidRPr="00EC5864">
        <w:fldChar w:fldCharType="begin"/>
      </w:r>
      <w:r w:rsidRPr="00EC5864">
        <w:instrText xml:space="preserve"> SEQ level0 \*arabic </w:instrText>
      </w:r>
      <w:r w:rsidRPr="00EC5864">
        <w:fldChar w:fldCharType="separate"/>
      </w:r>
      <w:r w:rsidRPr="00EC5864" w:rsidR="00EC5864">
        <w:rPr>
          <w:noProof/>
        </w:rPr>
        <w:t>6</w:t>
      </w:r>
      <w:r w:rsidRPr="00EC5864">
        <w:fldChar w:fldCharType="end"/>
      </w:r>
      <w:r w:rsidRPr="00EC5864">
        <w:t>.  </w:t>
      </w:r>
      <w:r w:rsidRPr="00EC5864" w:rsidR="0077175D">
        <w:t xml:space="preserve">The </w:t>
      </w:r>
      <w:r w:rsidRPr="00EC5864" w:rsidR="005736D7">
        <w:t>applicant was born in 1964 and lives</w:t>
      </w:r>
      <w:r w:rsidRPr="00EC5864" w:rsidR="0077175D">
        <w:t xml:space="preserve"> in </w:t>
      </w:r>
      <w:r w:rsidRPr="00EC5864" w:rsidR="005736D7">
        <w:t>Shchemilovo</w:t>
      </w:r>
      <w:r w:rsidRPr="00EC5864">
        <w:t>, the Noginskiy District of the Moscow Region</w:t>
      </w:r>
      <w:r w:rsidRPr="00EC5864" w:rsidR="0077175D">
        <w:t>.</w:t>
      </w:r>
      <w:r w:rsidRPr="00EC5864">
        <w:t xml:space="preserve"> </w:t>
      </w:r>
      <w:r w:rsidRPr="00EC5864" w:rsidR="00F4416D">
        <w:t>He is a former military serviceman.</w:t>
      </w:r>
    </w:p>
    <w:p w:rsidRPr="00EC5864" w:rsidR="006A460B" w:rsidP="00EC5864" w:rsidRDefault="00B83447">
      <w:pPr>
        <w:pStyle w:val="ECHRHeading2"/>
      </w:pPr>
      <w:r w:rsidRPr="00EC5864">
        <w:t>A.  A service flat provided to the applicant in 2003</w:t>
      </w:r>
    </w:p>
    <w:bookmarkStart w:name="ServiceFlat2003" w:id="2"/>
    <w:p w:rsidRPr="00EC5864" w:rsidR="006A460B" w:rsidP="00EC5864" w:rsidRDefault="0002562D">
      <w:pPr>
        <w:pStyle w:val="ECHRPara"/>
      </w:pPr>
      <w:r w:rsidRPr="00EC5864">
        <w:fldChar w:fldCharType="begin"/>
      </w:r>
      <w:r w:rsidRPr="00EC5864">
        <w:instrText xml:space="preserve"> SEQ level0 \*arabic </w:instrText>
      </w:r>
      <w:r w:rsidRPr="00EC5864">
        <w:fldChar w:fldCharType="separate"/>
      </w:r>
      <w:r w:rsidRPr="00EC5864" w:rsidR="00EC5864">
        <w:rPr>
          <w:noProof/>
        </w:rPr>
        <w:t>7</w:t>
      </w:r>
      <w:r w:rsidRPr="00EC5864">
        <w:fldChar w:fldCharType="end"/>
      </w:r>
      <w:bookmarkEnd w:id="2"/>
      <w:r w:rsidRPr="00EC5864">
        <w:t xml:space="preserve">.  On 22 December 2003 the Ministry of Defence provided the applicant and his family with a flat of 78.8 sq.m. in Shchemilovo. </w:t>
      </w:r>
      <w:r w:rsidRPr="00EC5864" w:rsidR="00B83447">
        <w:t>The flat was</w:t>
      </w:r>
      <w:r w:rsidRPr="00EC5864">
        <w:t xml:space="preserve"> granted as “service </w:t>
      </w:r>
      <w:r w:rsidRPr="00EC5864" w:rsidR="00F5200C">
        <w:t>housing</w:t>
      </w:r>
      <w:r w:rsidRPr="00EC5864">
        <w:t>” (</w:t>
      </w:r>
      <w:r w:rsidRPr="00EC5864">
        <w:rPr>
          <w:lang w:val="ru-RU"/>
        </w:rPr>
        <w:t>служебн</w:t>
      </w:r>
      <w:r w:rsidRPr="00EC5864" w:rsidR="00B83447">
        <w:rPr>
          <w:lang w:val="ru-RU"/>
        </w:rPr>
        <w:t>ое</w:t>
      </w:r>
      <w:r w:rsidRPr="00EC5864">
        <w:t xml:space="preserve"> </w:t>
      </w:r>
      <w:r w:rsidRPr="00EC5864" w:rsidR="00B83447">
        <w:rPr>
          <w:lang w:val="ru-RU"/>
        </w:rPr>
        <w:t>жилое</w:t>
      </w:r>
      <w:r w:rsidRPr="00EC5864" w:rsidR="00B83447">
        <w:t xml:space="preserve"> </w:t>
      </w:r>
      <w:r w:rsidRPr="00EC5864" w:rsidR="00B83447">
        <w:rPr>
          <w:lang w:val="ru-RU"/>
        </w:rPr>
        <w:t>помещение</w:t>
      </w:r>
      <w:r w:rsidRPr="00EC5864">
        <w:t>)</w:t>
      </w:r>
      <w:r w:rsidRPr="00EC5864" w:rsidR="00B83447">
        <w:t>, in connection with, and for the period of the applicant</w:t>
      </w:r>
      <w:r w:rsidRPr="00EC5864" w:rsidR="00EC5864">
        <w:t>’</w:t>
      </w:r>
      <w:r w:rsidRPr="00EC5864" w:rsidR="00B83447">
        <w:t xml:space="preserve">s military service </w:t>
      </w:r>
      <w:r w:rsidRPr="00EC5864">
        <w:t xml:space="preserve">in a closed military </w:t>
      </w:r>
      <w:r w:rsidRPr="00EC5864" w:rsidR="000E4E69">
        <w:t xml:space="preserve">settlement </w:t>
      </w:r>
      <w:r w:rsidRPr="00EC5864">
        <w:t>(</w:t>
      </w:r>
      <w:r w:rsidRPr="00EC5864">
        <w:rPr>
          <w:lang w:val="ru-RU"/>
        </w:rPr>
        <w:t>закрытый</w:t>
      </w:r>
      <w:r w:rsidRPr="00EC5864">
        <w:t xml:space="preserve"> </w:t>
      </w:r>
      <w:r w:rsidRPr="00EC5864">
        <w:rPr>
          <w:lang w:val="ru-RU"/>
        </w:rPr>
        <w:t>военный</w:t>
      </w:r>
      <w:r w:rsidRPr="00EC5864">
        <w:t xml:space="preserve"> </w:t>
      </w:r>
      <w:r w:rsidRPr="00EC5864">
        <w:rPr>
          <w:lang w:val="ru-RU"/>
        </w:rPr>
        <w:t>городок</w:t>
      </w:r>
      <w:r w:rsidRPr="00EC5864">
        <w:t>).</w:t>
      </w:r>
    </w:p>
    <w:p w:rsidRPr="00EC5864" w:rsidR="006A460B" w:rsidP="00EC5864" w:rsidRDefault="0002562D">
      <w:pPr>
        <w:pStyle w:val="ECHRPara"/>
      </w:pPr>
      <w:r w:rsidRPr="00EC5864">
        <w:fldChar w:fldCharType="begin"/>
      </w:r>
      <w:r w:rsidRPr="00EC5864">
        <w:instrText xml:space="preserve"> SEQ level0 \*arabic </w:instrText>
      </w:r>
      <w:r w:rsidRPr="00EC5864">
        <w:fldChar w:fldCharType="separate"/>
      </w:r>
      <w:r w:rsidRPr="00EC5864" w:rsidR="00EC5864">
        <w:rPr>
          <w:noProof/>
        </w:rPr>
        <w:t>8</w:t>
      </w:r>
      <w:r w:rsidRPr="00EC5864">
        <w:fldChar w:fldCharType="end"/>
      </w:r>
      <w:r w:rsidRPr="00EC5864">
        <w:t>.  </w:t>
      </w:r>
      <w:r w:rsidRPr="00EC5864" w:rsidR="00F4416D">
        <w:t>On 23 August 2004 he was put on a list of service</w:t>
      </w:r>
      <w:r w:rsidRPr="00EC5864">
        <w:t>men in need of better housing.</w:t>
      </w:r>
    </w:p>
    <w:p w:rsidRPr="00EC5864" w:rsidR="006517B4" w:rsidP="00EC5864" w:rsidRDefault="00B83447">
      <w:pPr>
        <w:pStyle w:val="ECHRHeading2"/>
      </w:pPr>
      <w:r w:rsidRPr="00EC5864">
        <w:t>B</w:t>
      </w:r>
      <w:r w:rsidRPr="00EC5864" w:rsidR="006517B4">
        <w:t>.  Judgment in the applicant</w:t>
      </w:r>
      <w:r w:rsidRPr="00EC5864" w:rsidR="00EC5864">
        <w:t>’</w:t>
      </w:r>
      <w:r w:rsidRPr="00EC5864" w:rsidR="006517B4">
        <w:t>s favour</w:t>
      </w:r>
    </w:p>
    <w:p w:rsidRPr="00EC5864" w:rsidR="00F4416D" w:rsidP="00EC5864" w:rsidRDefault="005736D7">
      <w:pPr>
        <w:pStyle w:val="ECHRPara"/>
      </w:pPr>
      <w:r w:rsidRPr="00EC5864">
        <w:fldChar w:fldCharType="begin"/>
      </w:r>
      <w:r w:rsidRPr="00EC5864">
        <w:instrText xml:space="preserve"> SEQ level0 \*arabic </w:instrText>
      </w:r>
      <w:r w:rsidRPr="00EC5864">
        <w:fldChar w:fldCharType="separate"/>
      </w:r>
      <w:r w:rsidRPr="00EC5864" w:rsidR="00EC5864">
        <w:rPr>
          <w:noProof/>
        </w:rPr>
        <w:t>9</w:t>
      </w:r>
      <w:r w:rsidRPr="00EC5864">
        <w:fldChar w:fldCharType="end"/>
      </w:r>
      <w:r w:rsidRPr="00EC5864" w:rsidR="0077175D">
        <w:t>.  </w:t>
      </w:r>
      <w:r w:rsidRPr="00EC5864" w:rsidR="00DB0FAE">
        <w:t xml:space="preserve">On </w:t>
      </w:r>
      <w:r w:rsidRPr="00EC5864" w:rsidR="00876E0F">
        <w:t>17 February</w:t>
      </w:r>
      <w:r w:rsidRPr="00EC5864" w:rsidR="00DB0FAE">
        <w:t xml:space="preserve"> 2010 the Moscow Garrison Military Court ordered</w:t>
      </w:r>
      <w:r w:rsidRPr="00EC5864" w:rsidR="00781817">
        <w:t xml:space="preserve"> the c</w:t>
      </w:r>
      <w:r w:rsidRPr="00EC5864" w:rsidR="00DB0FAE">
        <w:t>ommander of the applicant</w:t>
      </w:r>
      <w:r w:rsidRPr="00EC5864" w:rsidR="00EC5864">
        <w:t>’</w:t>
      </w:r>
      <w:r w:rsidRPr="00EC5864" w:rsidR="00DB0FAE">
        <w:t>s military unit</w:t>
      </w:r>
      <w:r w:rsidRPr="00EC5864" w:rsidR="00F4416D">
        <w:t xml:space="preserve"> and the housing commission to provide the applicant</w:t>
      </w:r>
      <w:r w:rsidRPr="00EC5864" w:rsidR="00EC5864">
        <w:t>’</w:t>
      </w:r>
      <w:r w:rsidRPr="00EC5864" w:rsidR="006C39AD">
        <w:t xml:space="preserve">s </w:t>
      </w:r>
      <w:r w:rsidRPr="00EC5864" w:rsidR="00F4416D">
        <w:t xml:space="preserve">family </w:t>
      </w:r>
      <w:r w:rsidRPr="00EC5864" w:rsidR="0002562D">
        <w:t xml:space="preserve">of four </w:t>
      </w:r>
      <w:r w:rsidRPr="00EC5864" w:rsidR="00F4416D">
        <w:t>with housing in Moscow on a priority basis</w:t>
      </w:r>
      <w:r w:rsidRPr="00EC5864" w:rsidR="0002562D">
        <w:t>,</w:t>
      </w:r>
      <w:r w:rsidRPr="00EC5864" w:rsidR="00F4416D">
        <w:t xml:space="preserve"> </w:t>
      </w:r>
      <w:r w:rsidRPr="00EC5864" w:rsidR="0002562D">
        <w:t>in accordance with housing norms and in line with the domestic legislation, in accordance with a priority order depending on the date of placement on the list of those entitled to housing on priority basis within the same category of servicemen</w:t>
      </w:r>
      <w:r w:rsidRPr="00EC5864" w:rsidR="006C39AD">
        <w:t>. The court further ordered to</w:t>
      </w:r>
      <w:r w:rsidRPr="00EC5864" w:rsidR="00F4416D">
        <w:t xml:space="preserve"> dismiss him from service on health ground</w:t>
      </w:r>
      <w:r w:rsidRPr="00EC5864" w:rsidR="00EB15AE">
        <w:t>s</w:t>
      </w:r>
      <w:r w:rsidRPr="00EC5864" w:rsidR="00F4416D">
        <w:t xml:space="preserve"> after provision of the housing.</w:t>
      </w:r>
    </w:p>
    <w:p w:rsidRPr="00EC5864" w:rsidR="006A460B" w:rsidP="00EC5864" w:rsidRDefault="00F4416D">
      <w:pPr>
        <w:pStyle w:val="ECHRPara"/>
      </w:pPr>
      <w:r w:rsidRPr="00EC5864">
        <w:fldChar w:fldCharType="begin"/>
      </w:r>
      <w:r w:rsidRPr="00EC5864">
        <w:instrText xml:space="preserve"> SEQ level0 \*arabic </w:instrText>
      </w:r>
      <w:r w:rsidRPr="00EC5864">
        <w:fldChar w:fldCharType="separate"/>
      </w:r>
      <w:r w:rsidRPr="00EC5864" w:rsidR="00EC5864">
        <w:rPr>
          <w:noProof/>
        </w:rPr>
        <w:t>10</w:t>
      </w:r>
      <w:r w:rsidRPr="00EC5864">
        <w:fldChar w:fldCharType="end"/>
      </w:r>
      <w:r w:rsidRPr="00EC5864">
        <w:t>.  </w:t>
      </w:r>
      <w:r w:rsidRPr="00EC5864" w:rsidR="00C476C7">
        <w:t>On 10 March 2010 the judgment entered into force</w:t>
      </w:r>
      <w:r w:rsidRPr="00EC5864">
        <w:t>.</w:t>
      </w:r>
    </w:p>
    <w:p w:rsidRPr="00EC5864" w:rsidR="00471295" w:rsidP="00EC5864" w:rsidRDefault="006517B4">
      <w:pPr>
        <w:pStyle w:val="ECHRPara"/>
      </w:pPr>
      <w:r w:rsidRPr="00EC5864">
        <w:fldChar w:fldCharType="begin"/>
      </w:r>
      <w:r w:rsidRPr="00EC5864">
        <w:instrText xml:space="preserve"> SEQ level0 \*arabic </w:instrText>
      </w:r>
      <w:r w:rsidRPr="00EC5864">
        <w:fldChar w:fldCharType="separate"/>
      </w:r>
      <w:r w:rsidRPr="00EC5864" w:rsidR="00EC5864">
        <w:rPr>
          <w:noProof/>
        </w:rPr>
        <w:t>11</w:t>
      </w:r>
      <w:r w:rsidRPr="00EC5864">
        <w:fldChar w:fldCharType="end"/>
      </w:r>
      <w:r w:rsidRPr="00EC5864">
        <w:t>.  </w:t>
      </w:r>
      <w:r w:rsidRPr="00EC5864" w:rsidR="00471295">
        <w:t xml:space="preserve">On </w:t>
      </w:r>
      <w:r w:rsidRPr="00EC5864" w:rsidR="0002562D">
        <w:t>11 March</w:t>
      </w:r>
      <w:r w:rsidRPr="00EC5864" w:rsidR="00471295">
        <w:t xml:space="preserve"> 2011 the same court replaced the defendant by the Housing Provision Department of the Ministry of Defence.</w:t>
      </w:r>
    </w:p>
    <w:p w:rsidRPr="00EC5864" w:rsidR="006517B4" w:rsidP="00EC5864" w:rsidRDefault="00B83447">
      <w:pPr>
        <w:pStyle w:val="ECHRHeading2"/>
      </w:pPr>
      <w:r w:rsidRPr="00EC5864">
        <w:t>C</w:t>
      </w:r>
      <w:r w:rsidRPr="00EC5864" w:rsidR="004A5980">
        <w:t xml:space="preserve">.  Legal status of the flat in Shchemilovo </w:t>
      </w:r>
      <w:r w:rsidRPr="00EC5864" w:rsidR="006517B4">
        <w:t>in 20</w:t>
      </w:r>
      <w:r w:rsidRPr="00EC5864">
        <w:t>03</w:t>
      </w:r>
      <w:r w:rsidRPr="00EC5864" w:rsidR="006517B4">
        <w:t>-2016</w:t>
      </w:r>
    </w:p>
    <w:p w:rsidRPr="00EC5864" w:rsidR="006A460B" w:rsidP="00EC5864" w:rsidRDefault="00593911">
      <w:pPr>
        <w:pStyle w:val="ECHRPara"/>
      </w:pPr>
      <w:r w:rsidRPr="00EC5864">
        <w:fldChar w:fldCharType="begin"/>
      </w:r>
      <w:r w:rsidRPr="00EC5864">
        <w:instrText xml:space="preserve"> SEQ level0 \*arabic </w:instrText>
      </w:r>
      <w:r w:rsidRPr="00EC5864">
        <w:fldChar w:fldCharType="separate"/>
      </w:r>
      <w:r w:rsidRPr="00EC5864" w:rsidR="00EC5864">
        <w:rPr>
          <w:noProof/>
        </w:rPr>
        <w:t>12</w:t>
      </w:r>
      <w:r w:rsidRPr="00EC5864">
        <w:fldChar w:fldCharType="end"/>
      </w:r>
      <w:r w:rsidRPr="00EC5864">
        <w:t>.  </w:t>
      </w:r>
      <w:r w:rsidRPr="00EC5864" w:rsidR="000276D3">
        <w:t xml:space="preserve">At some point the applicant started performing his military service in Moscow but continued living in </w:t>
      </w:r>
      <w:r w:rsidRPr="00EC5864" w:rsidR="00B83447">
        <w:t>the service flat in Shchemilovo (see paragraph </w:t>
      </w:r>
      <w:r w:rsidRPr="00EC5864" w:rsidR="004A5980">
        <w:fldChar w:fldCharType="begin"/>
      </w:r>
      <w:r w:rsidRPr="00EC5864" w:rsidR="004A5980">
        <w:instrText xml:space="preserve"> REF ServiceFlat2003 \h </w:instrText>
      </w:r>
      <w:r w:rsidRPr="00EC5864" w:rsidR="004A5980">
        <w:fldChar w:fldCharType="separate"/>
      </w:r>
      <w:r w:rsidRPr="00EC5864" w:rsidR="00EC5864">
        <w:rPr>
          <w:noProof/>
        </w:rPr>
        <w:t>7</w:t>
      </w:r>
      <w:r w:rsidRPr="00EC5864" w:rsidR="004A5980">
        <w:fldChar w:fldCharType="end"/>
      </w:r>
      <w:r w:rsidRPr="00EC5864" w:rsidR="00B83447">
        <w:t xml:space="preserve"> above)</w:t>
      </w:r>
      <w:r w:rsidRPr="00EC5864" w:rsidR="000276D3">
        <w:t>, for the lack of available housing in Moscow</w:t>
      </w:r>
      <w:r w:rsidRPr="00EC5864" w:rsidR="00B83447">
        <w:t>. The flat</w:t>
      </w:r>
      <w:r w:rsidRPr="00EC5864" w:rsidR="00EC5864">
        <w:t>’</w:t>
      </w:r>
      <w:r w:rsidRPr="00EC5864" w:rsidR="00B83447">
        <w:t xml:space="preserve">s “service </w:t>
      </w:r>
      <w:r w:rsidRPr="00EC5864" w:rsidR="000276D3">
        <w:t>housing</w:t>
      </w:r>
      <w:r w:rsidRPr="00EC5864" w:rsidR="00B83447">
        <w:t xml:space="preserve">” </w:t>
      </w:r>
      <w:r w:rsidRPr="00EC5864" w:rsidR="000276D3">
        <w:t>status was</w:t>
      </w:r>
      <w:r w:rsidRPr="00EC5864" w:rsidR="00B83447">
        <w:t xml:space="preserve"> confirmed by the military unit officers in various documents dated 2005-2012, including </w:t>
      </w:r>
      <w:r w:rsidRPr="00EC5864" w:rsidR="00F13A54">
        <w:t>a</w:t>
      </w:r>
      <w:r w:rsidRPr="00EC5864" w:rsidR="00B83447">
        <w:t xml:space="preserve"> local housing exploitation unit</w:t>
      </w:r>
      <w:r w:rsidRPr="00EC5864" w:rsidR="00EC5864">
        <w:t>’</w:t>
      </w:r>
      <w:r w:rsidRPr="00EC5864" w:rsidR="00B83447">
        <w:t>s documents and utility bills.</w:t>
      </w:r>
    </w:p>
    <w:p w:rsidRPr="00EC5864" w:rsidR="006A460B" w:rsidP="00EC5864" w:rsidRDefault="0056648C">
      <w:pPr>
        <w:pStyle w:val="ECHRPara"/>
      </w:pPr>
      <w:r w:rsidRPr="00EC5864">
        <w:fldChar w:fldCharType="begin"/>
      </w:r>
      <w:r w:rsidRPr="00EC5864">
        <w:instrText xml:space="preserve"> SEQ level0 \*arabic </w:instrText>
      </w:r>
      <w:r w:rsidRPr="00EC5864">
        <w:fldChar w:fldCharType="separate"/>
      </w:r>
      <w:r w:rsidRPr="00EC5864" w:rsidR="00EC5864">
        <w:rPr>
          <w:noProof/>
        </w:rPr>
        <w:t>13</w:t>
      </w:r>
      <w:r w:rsidRPr="00EC5864">
        <w:rPr>
          <w:noProof/>
        </w:rPr>
        <w:fldChar w:fldCharType="end"/>
      </w:r>
      <w:r w:rsidRPr="00EC5864" w:rsidR="00B83447">
        <w:t xml:space="preserve">.  During the same period the applicant on several occasions undertook to </w:t>
      </w:r>
      <w:r w:rsidRPr="00EC5864" w:rsidR="005C1CB2">
        <w:t>vacate</w:t>
      </w:r>
      <w:r w:rsidRPr="00EC5864" w:rsidR="00B83447">
        <w:t xml:space="preserve"> the flat </w:t>
      </w:r>
      <w:r w:rsidRPr="00EC5864" w:rsidR="00855A16">
        <w:t>once</w:t>
      </w:r>
      <w:r w:rsidRPr="00EC5864" w:rsidR="00B83447">
        <w:t xml:space="preserve"> provided with </w:t>
      </w:r>
      <w:r w:rsidRPr="00EC5864" w:rsidR="00855A16">
        <w:t>State</w:t>
      </w:r>
      <w:r w:rsidRPr="00EC5864" w:rsidR="00B83447">
        <w:t xml:space="preserve"> housing in Moscow.</w:t>
      </w:r>
    </w:p>
    <w:p w:rsidRPr="00EC5864" w:rsidR="006A460B" w:rsidP="00EC5864" w:rsidRDefault="00B83447">
      <w:pPr>
        <w:pStyle w:val="ECHRPara"/>
      </w:pPr>
      <w:r w:rsidRPr="00EC5864">
        <w:fldChar w:fldCharType="begin"/>
      </w:r>
      <w:r w:rsidRPr="00EC5864">
        <w:instrText xml:space="preserve"> SEQ level0 \*arabic </w:instrText>
      </w:r>
      <w:r w:rsidRPr="00EC5864">
        <w:fldChar w:fldCharType="separate"/>
      </w:r>
      <w:r w:rsidRPr="00EC5864" w:rsidR="00EC5864">
        <w:rPr>
          <w:noProof/>
        </w:rPr>
        <w:t>14</w:t>
      </w:r>
      <w:r w:rsidRPr="00EC5864">
        <w:fldChar w:fldCharType="end"/>
      </w:r>
      <w:r w:rsidRPr="00EC5864">
        <w:t xml:space="preserve">.  In </w:t>
      </w:r>
      <w:r w:rsidRPr="00EC5864" w:rsidR="00593911">
        <w:t>2012 E., the applicant</w:t>
      </w:r>
      <w:r w:rsidRPr="00EC5864" w:rsidR="00EC5864">
        <w:t>’</w:t>
      </w:r>
      <w:r w:rsidRPr="00EC5864" w:rsidR="00593911">
        <w:t>s mother-</w:t>
      </w:r>
      <w:r w:rsidRPr="00EC5864">
        <w:t>in</w:t>
      </w:r>
      <w:r w:rsidRPr="00EC5864" w:rsidR="00593911">
        <w:t>-</w:t>
      </w:r>
      <w:r w:rsidRPr="00EC5864">
        <w:t>law</w:t>
      </w:r>
      <w:r w:rsidRPr="00EC5864" w:rsidR="00855A16">
        <w:t>,</w:t>
      </w:r>
      <w:r w:rsidRPr="00EC5864">
        <w:t xml:space="preserve"> moved into the flat to live together with the applicant</w:t>
      </w:r>
      <w:r w:rsidRPr="00EC5864" w:rsidR="00EC5864">
        <w:t>’</w:t>
      </w:r>
      <w:r w:rsidRPr="00EC5864">
        <w:t>s family.</w:t>
      </w:r>
    </w:p>
    <w:p w:rsidRPr="00EC5864" w:rsidR="006A460B" w:rsidP="00EC5864" w:rsidRDefault="00496CDA">
      <w:pPr>
        <w:pStyle w:val="ECHRPara"/>
      </w:pPr>
      <w:r w:rsidRPr="00EC5864">
        <w:fldChar w:fldCharType="begin"/>
      </w:r>
      <w:r w:rsidRPr="00EC5864">
        <w:instrText xml:space="preserve"> SEQ level0 \*arabic </w:instrText>
      </w:r>
      <w:r w:rsidRPr="00EC5864">
        <w:fldChar w:fldCharType="separate"/>
      </w:r>
      <w:r w:rsidRPr="00EC5864" w:rsidR="00EC5864">
        <w:rPr>
          <w:noProof/>
        </w:rPr>
        <w:t>15</w:t>
      </w:r>
      <w:r w:rsidRPr="00EC5864">
        <w:fldChar w:fldCharType="end"/>
      </w:r>
      <w:r w:rsidRPr="00EC5864">
        <w:t>.  </w:t>
      </w:r>
      <w:r w:rsidRPr="00EC5864" w:rsidR="00B83447">
        <w:t>In 2014 the administration of the Staraya Kupavna settlement of the Noginskiy District and the head of a newly-created flat owners</w:t>
      </w:r>
      <w:r w:rsidRPr="00EC5864" w:rsidR="00EC5864">
        <w:t>’</w:t>
      </w:r>
      <w:r w:rsidRPr="00EC5864" w:rsidR="00B83447">
        <w:t xml:space="preserve"> association at a special meeting informed the settlement population including the applicant that on 13 February 2009 the Min</w:t>
      </w:r>
      <w:r w:rsidRPr="00EC5864" w:rsidR="00F13A54">
        <w:t>istry of Defence</w:t>
      </w:r>
      <w:r w:rsidRPr="00EC5864" w:rsidR="00593911">
        <w:t xml:space="preserve"> had </w:t>
      </w:r>
      <w:r w:rsidRPr="00EC5864" w:rsidR="00B83447">
        <w:t xml:space="preserve">transferred </w:t>
      </w:r>
      <w:r w:rsidRPr="00EC5864" w:rsidR="00593911">
        <w:t>a</w:t>
      </w:r>
      <w:r w:rsidRPr="00EC5864" w:rsidR="00B83447">
        <w:t xml:space="preserve"> major part of the housing fund in Shchemilovo, including the applicant</w:t>
      </w:r>
      <w:r w:rsidRPr="00EC5864" w:rsidR="00EC5864">
        <w:t>’</w:t>
      </w:r>
      <w:r w:rsidRPr="00EC5864" w:rsidR="00B83447">
        <w:t xml:space="preserve">s flat, to the municipality. The flat </w:t>
      </w:r>
      <w:r w:rsidRPr="00EC5864" w:rsidR="004D63CB">
        <w:t xml:space="preserve">allocated to the applicant </w:t>
      </w:r>
      <w:r w:rsidRPr="00EC5864" w:rsidR="00B83447">
        <w:t xml:space="preserve">had become </w:t>
      </w:r>
      <w:r w:rsidRPr="00EC5864">
        <w:t>municipal property.</w:t>
      </w:r>
      <w:r w:rsidRPr="00EC5864" w:rsidR="00B83447">
        <w:t xml:space="preserve">With reference to numerous documents issued by the housing and exploitation unit until 2013 and designating the flat as service housing, the applicant submits that he had been unaware of the </w:t>
      </w:r>
      <w:r w:rsidRPr="00EC5864">
        <w:t xml:space="preserve">title </w:t>
      </w:r>
      <w:r w:rsidRPr="00EC5864" w:rsidR="00B83447">
        <w:t>transfer</w:t>
      </w:r>
      <w:r w:rsidRPr="00EC5864">
        <w:t xml:space="preserve"> until 2014</w:t>
      </w:r>
      <w:r w:rsidRPr="00EC5864" w:rsidR="00B83447">
        <w:t>.</w:t>
      </w:r>
    </w:p>
    <w:p w:rsidRPr="00EC5864" w:rsidR="006A460B" w:rsidP="00EC5864" w:rsidRDefault="00B83447">
      <w:pPr>
        <w:pStyle w:val="ECHRPara"/>
      </w:pPr>
      <w:r w:rsidRPr="00EC5864">
        <w:fldChar w:fldCharType="begin"/>
      </w:r>
      <w:r w:rsidRPr="00EC5864">
        <w:instrText xml:space="preserve"> SEQ level0 \*arabic </w:instrText>
      </w:r>
      <w:r w:rsidRPr="00EC5864">
        <w:fldChar w:fldCharType="separate"/>
      </w:r>
      <w:r w:rsidRPr="00EC5864" w:rsidR="00EC5864">
        <w:rPr>
          <w:noProof/>
        </w:rPr>
        <w:t>16</w:t>
      </w:r>
      <w:r w:rsidRPr="00EC5864">
        <w:fldChar w:fldCharType="end"/>
      </w:r>
      <w:r w:rsidRPr="00EC5864">
        <w:t>.  </w:t>
      </w:r>
      <w:r w:rsidRPr="00EC5864" w:rsidR="008E05D6">
        <w:t xml:space="preserve">On </w:t>
      </w:r>
      <w:r w:rsidRPr="00EC5864">
        <w:t xml:space="preserve">18 December </w:t>
      </w:r>
      <w:r w:rsidRPr="00EC5864" w:rsidR="008E05D6">
        <w:t>2014 the applicant concluded a social tenancy agreement in respect of the flat</w:t>
      </w:r>
      <w:r w:rsidRPr="00EC5864">
        <w:t xml:space="preserve"> with the administration of Staraya Kupavna settlement of the Noginskiy District</w:t>
      </w:r>
      <w:r w:rsidRPr="00EC5864" w:rsidR="008E05D6">
        <w:t>.</w:t>
      </w:r>
    </w:p>
    <w:p w:rsidRPr="00EC5864" w:rsidR="00B876EE" w:rsidP="00EC5864" w:rsidRDefault="00147D2E">
      <w:pPr>
        <w:pStyle w:val="ECHRPara"/>
      </w:pPr>
      <w:r w:rsidRPr="00EC5864">
        <w:fldChar w:fldCharType="begin"/>
      </w:r>
      <w:r w:rsidRPr="00EC5864">
        <w:instrText xml:space="preserve"> SEQ level0 \*arabic </w:instrText>
      </w:r>
      <w:r w:rsidRPr="00EC5864">
        <w:fldChar w:fldCharType="separate"/>
      </w:r>
      <w:r w:rsidRPr="00EC5864" w:rsidR="00EC5864">
        <w:rPr>
          <w:noProof/>
        </w:rPr>
        <w:t>17</w:t>
      </w:r>
      <w:r w:rsidRPr="00EC5864">
        <w:fldChar w:fldCharType="end"/>
      </w:r>
      <w:r w:rsidRPr="00EC5864">
        <w:t>.  </w:t>
      </w:r>
      <w:r w:rsidRPr="00EC5864" w:rsidR="00855A16">
        <w:t xml:space="preserve">On 29 December 2015 E. </w:t>
      </w:r>
      <w:r w:rsidRPr="00EC5864" w:rsidR="005E5429">
        <w:t xml:space="preserve">privatised the flat and became its owner. </w:t>
      </w:r>
      <w:r w:rsidRPr="00EC5864" w:rsidR="00347286">
        <w:t xml:space="preserve">In October 2016 E. offered </w:t>
      </w:r>
      <w:r w:rsidRPr="00EC5864" w:rsidR="00795A24">
        <w:t>the</w:t>
      </w:r>
      <w:r w:rsidRPr="00EC5864" w:rsidR="00347286">
        <w:t xml:space="preserve"> flat to P., her another daughter. </w:t>
      </w:r>
      <w:r w:rsidRPr="00EC5864" w:rsidR="00BA337D">
        <w:t>Th</w:t>
      </w:r>
      <w:r w:rsidRPr="00EC5864" w:rsidR="00540E49">
        <w:t xml:space="preserve">e </w:t>
      </w:r>
      <w:r w:rsidRPr="00EC5864" w:rsidR="005E5429">
        <w:t>applicant</w:t>
      </w:r>
      <w:r w:rsidRPr="00EC5864" w:rsidR="00EC5864">
        <w:t>’</w:t>
      </w:r>
      <w:r w:rsidRPr="00EC5864" w:rsidR="008E05D6">
        <w:t xml:space="preserve">s family </w:t>
      </w:r>
      <w:r w:rsidRPr="00EC5864" w:rsidR="00540E49">
        <w:t>have been living in the flat to date.</w:t>
      </w:r>
    </w:p>
    <w:p w:rsidRPr="00EC5864" w:rsidR="006517B4" w:rsidP="00EC5864" w:rsidRDefault="00147D2E">
      <w:pPr>
        <w:pStyle w:val="ECHRHeading2"/>
      </w:pPr>
      <w:r w:rsidRPr="00EC5864">
        <w:t>D</w:t>
      </w:r>
      <w:r w:rsidRPr="00EC5864" w:rsidR="006517B4">
        <w:t>.  Removal from the housing list</w:t>
      </w:r>
      <w:r w:rsidRPr="00EC5864">
        <w:t>, the applicant</w:t>
      </w:r>
      <w:r w:rsidRPr="00EC5864" w:rsidR="00EC5864">
        <w:t>’</w:t>
      </w:r>
      <w:r w:rsidRPr="00EC5864">
        <w:t>s dismissal from military service an subsequent proceedings</w:t>
      </w:r>
    </w:p>
    <w:bookmarkStart w:name="RemovalHousingList11042016" w:id="3"/>
    <w:p w:rsidRPr="00EC5864" w:rsidR="000C38B5" w:rsidP="00EC5864" w:rsidRDefault="00DB0FAE">
      <w:pPr>
        <w:pStyle w:val="ECHRPara"/>
      </w:pPr>
      <w:r w:rsidRPr="00EC5864">
        <w:fldChar w:fldCharType="begin"/>
      </w:r>
      <w:r w:rsidRPr="00EC5864">
        <w:instrText xml:space="preserve"> SEQ level0 \*arabic </w:instrText>
      </w:r>
      <w:r w:rsidRPr="00EC5864">
        <w:fldChar w:fldCharType="separate"/>
      </w:r>
      <w:r w:rsidRPr="00EC5864" w:rsidR="00EC5864">
        <w:rPr>
          <w:noProof/>
        </w:rPr>
        <w:t>18</w:t>
      </w:r>
      <w:r w:rsidRPr="00EC5864">
        <w:fldChar w:fldCharType="end"/>
      </w:r>
      <w:bookmarkEnd w:id="3"/>
      <w:r w:rsidRPr="00EC5864">
        <w:t xml:space="preserve">.  On 11 April 2016 the </w:t>
      </w:r>
      <w:r w:rsidRPr="00EC5864" w:rsidR="000C38B5">
        <w:t xml:space="preserve">Housing Provision Department of the Ministry of Defence refused to provide the applicant with a flat at a specific address in Moscow and </w:t>
      </w:r>
      <w:r w:rsidRPr="00EC5864" w:rsidR="005E5429">
        <w:t>decided that the applicant</w:t>
      </w:r>
      <w:r w:rsidRPr="00EC5864" w:rsidR="00EC5864">
        <w:t>’</w:t>
      </w:r>
      <w:r w:rsidRPr="00EC5864" w:rsidR="005E5429">
        <w:t>s name be removed from the list of persons in need of housing.</w:t>
      </w:r>
      <w:r w:rsidRPr="00EC5864" w:rsidR="00B750C7">
        <w:t xml:space="preserve"> The authority reiterated that m</w:t>
      </w:r>
      <w:r w:rsidRPr="00EC5864" w:rsidR="0099688E">
        <w:t>ilitary serviceme</w:t>
      </w:r>
      <w:r w:rsidRPr="00EC5864" w:rsidR="0010070D">
        <w:t>n w</w:t>
      </w:r>
      <w:r w:rsidRPr="00EC5864" w:rsidR="00B750C7">
        <w:t>ere</w:t>
      </w:r>
      <w:r w:rsidRPr="00EC5864" w:rsidR="0010070D">
        <w:t xml:space="preserve"> entitled to receive free State housing only once</w:t>
      </w:r>
      <w:r w:rsidRPr="00EC5864" w:rsidR="0099688E">
        <w:t xml:space="preserve">, </w:t>
      </w:r>
      <w:r w:rsidRPr="00EC5864" w:rsidR="00F13A54">
        <w:t>with</w:t>
      </w:r>
      <w:r w:rsidRPr="00EC5864" w:rsidR="0099688E">
        <w:t xml:space="preserve"> the condition that they </w:t>
      </w:r>
      <w:r w:rsidRPr="00EC5864" w:rsidR="0078248E">
        <w:t>vacate</w:t>
      </w:r>
      <w:r w:rsidRPr="00EC5864" w:rsidR="0010070D">
        <w:t xml:space="preserve"> their existing housing (</w:t>
      </w:r>
      <w:r w:rsidRPr="00EC5864" w:rsidR="009D5828">
        <w:t>see paragraph </w:t>
      </w:r>
      <w:r w:rsidRPr="00EC5864" w:rsidR="00B530FA">
        <w:fldChar w:fldCharType="begin"/>
      </w:r>
      <w:r w:rsidRPr="00EC5864" w:rsidR="00B530FA">
        <w:instrText xml:space="preserve"> REF MilitaryServicemenActSection15_14 \h </w:instrText>
      </w:r>
      <w:r w:rsidRPr="00EC5864" w:rsidR="00B530FA">
        <w:fldChar w:fldCharType="separate"/>
      </w:r>
      <w:r w:rsidRPr="00EC5864" w:rsidR="00EC5864">
        <w:rPr>
          <w:noProof/>
        </w:rPr>
        <w:t>38</w:t>
      </w:r>
      <w:r w:rsidRPr="00EC5864" w:rsidR="00B530FA">
        <w:fldChar w:fldCharType="end"/>
      </w:r>
      <w:r w:rsidRPr="00EC5864" w:rsidR="009D5828">
        <w:t xml:space="preserve"> above</w:t>
      </w:r>
      <w:r w:rsidRPr="00EC5864" w:rsidR="0010070D">
        <w:t>)</w:t>
      </w:r>
      <w:r w:rsidRPr="00EC5864" w:rsidR="00EB15AE">
        <w:t>. However, the applicant</w:t>
      </w:r>
      <w:r w:rsidRPr="00EC5864" w:rsidR="00B750C7">
        <w:t xml:space="preserve"> had not done so: in 2015 his mother-in-law had privatised the flat provided to the applicant in 2003, and he </w:t>
      </w:r>
      <w:r w:rsidRPr="00EC5864" w:rsidR="007E2F77">
        <w:t>was</w:t>
      </w:r>
      <w:r w:rsidRPr="00EC5864" w:rsidR="00B750C7">
        <w:t xml:space="preserve"> still living in th</w:t>
      </w:r>
      <w:r w:rsidRPr="00EC5864" w:rsidR="00392B52">
        <w:t>at</w:t>
      </w:r>
      <w:r w:rsidRPr="00EC5864" w:rsidR="00B750C7">
        <w:t xml:space="preserve"> flat with his family at the time of the events</w:t>
      </w:r>
      <w:r w:rsidRPr="00EC5864" w:rsidR="00F13A54">
        <w:t>.</w:t>
      </w:r>
      <w:r w:rsidRPr="00EC5864" w:rsidR="001E28E5">
        <w:t xml:space="preserve"> </w:t>
      </w:r>
      <w:r w:rsidRPr="00EC5864" w:rsidR="00F37420">
        <w:t>A total size of housing per family member exce</w:t>
      </w:r>
      <w:r w:rsidRPr="00EC5864" w:rsidR="0099688E">
        <w:t xml:space="preserve">eded the local housing norm. </w:t>
      </w:r>
      <w:r w:rsidRPr="00EC5864" w:rsidR="00202A99">
        <w:t>Accordingly, the grounds for the</w:t>
      </w:r>
      <w:r w:rsidRPr="00EC5864" w:rsidR="009D5828">
        <w:t xml:space="preserve"> applicant</w:t>
      </w:r>
      <w:r w:rsidRPr="00EC5864" w:rsidR="00EC5864">
        <w:t>’</w:t>
      </w:r>
      <w:r w:rsidRPr="00EC5864" w:rsidR="009D5828">
        <w:t>s family</w:t>
      </w:r>
      <w:r w:rsidRPr="00EC5864" w:rsidR="00EC5864">
        <w:t>’</w:t>
      </w:r>
      <w:r w:rsidRPr="00EC5864" w:rsidR="009D5828">
        <w:t>s</w:t>
      </w:r>
      <w:r w:rsidRPr="00EC5864" w:rsidR="00202A99">
        <w:t xml:space="preserve"> entitlement to receive housing under Article 29 § 1 of the Housing Code had ceased to exist.</w:t>
      </w:r>
    </w:p>
    <w:p w:rsidRPr="00EC5864" w:rsidR="00DB0FAE" w:rsidP="00EC5864" w:rsidRDefault="009D5828">
      <w:pPr>
        <w:pStyle w:val="ECHRPara"/>
      </w:pPr>
      <w:r w:rsidRPr="00EC5864">
        <w:fldChar w:fldCharType="begin"/>
      </w:r>
      <w:r w:rsidRPr="00EC5864">
        <w:instrText xml:space="preserve"> SEQ level0 \*arabic </w:instrText>
      </w:r>
      <w:r w:rsidRPr="00EC5864">
        <w:fldChar w:fldCharType="separate"/>
      </w:r>
      <w:r w:rsidRPr="00EC5864" w:rsidR="00EC5864">
        <w:rPr>
          <w:noProof/>
        </w:rPr>
        <w:t>19</w:t>
      </w:r>
      <w:r w:rsidRPr="00EC5864">
        <w:fldChar w:fldCharType="end"/>
      </w:r>
      <w:r w:rsidRPr="00EC5864">
        <w:t>.  </w:t>
      </w:r>
      <w:r w:rsidRPr="00EC5864" w:rsidR="00DB0FAE">
        <w:t>On 14 January 2017 the applicant was dismissed from military service without being provided with housing. On 16 </w:t>
      </w:r>
      <w:r w:rsidRPr="00EC5864" w:rsidR="006517B4">
        <w:t>January</w:t>
      </w:r>
      <w:r w:rsidRPr="00EC5864" w:rsidR="00DB0FAE">
        <w:t xml:space="preserve"> 201</w:t>
      </w:r>
      <w:r w:rsidRPr="00EC5864" w:rsidR="00676F5F">
        <w:t>7</w:t>
      </w:r>
      <w:r w:rsidRPr="00EC5864" w:rsidR="00DB0FAE">
        <w:t xml:space="preserve"> </w:t>
      </w:r>
      <w:r w:rsidRPr="00EC5864" w:rsidR="003F1E09">
        <w:t>he</w:t>
      </w:r>
      <w:r w:rsidRPr="00EC5864" w:rsidR="00DB0FAE">
        <w:t xml:space="preserve"> received the dismissal order.</w:t>
      </w:r>
    </w:p>
    <w:p w:rsidRPr="00EC5864" w:rsidR="006A460B" w:rsidP="00EC5864" w:rsidRDefault="00DB0FAE">
      <w:pPr>
        <w:pStyle w:val="ECHRPara"/>
      </w:pPr>
      <w:r w:rsidRPr="00EC5864">
        <w:fldChar w:fldCharType="begin"/>
      </w:r>
      <w:r w:rsidRPr="00EC5864">
        <w:instrText xml:space="preserve"> SEQ level0 \*arabic </w:instrText>
      </w:r>
      <w:r w:rsidRPr="00EC5864">
        <w:fldChar w:fldCharType="separate"/>
      </w:r>
      <w:r w:rsidRPr="00EC5864" w:rsidR="00EC5864">
        <w:rPr>
          <w:noProof/>
        </w:rPr>
        <w:t>20</w:t>
      </w:r>
      <w:r w:rsidRPr="00EC5864">
        <w:fldChar w:fldCharType="end"/>
      </w:r>
      <w:r w:rsidRPr="00EC5864">
        <w:t xml:space="preserve">.  On 10 July 2017 </w:t>
      </w:r>
      <w:r w:rsidRPr="00EC5864" w:rsidR="00676F5F">
        <w:t>he</w:t>
      </w:r>
      <w:r w:rsidRPr="00EC5864">
        <w:t xml:space="preserve"> complained to a court about his unlawful removal from the housing list and </w:t>
      </w:r>
      <w:r w:rsidRPr="00EC5864" w:rsidR="00676F5F">
        <w:t xml:space="preserve">his </w:t>
      </w:r>
      <w:r w:rsidRPr="00EC5864">
        <w:t>subsequent dismissal without housing provision.</w:t>
      </w:r>
    </w:p>
    <w:bookmarkStart w:name="Judgment27072017re_dismissal" w:id="4"/>
    <w:p w:rsidRPr="00EC5864" w:rsidR="006A460B" w:rsidP="00EC5864" w:rsidRDefault="00DB0FAE">
      <w:pPr>
        <w:pStyle w:val="ECHRPara"/>
      </w:pPr>
      <w:r w:rsidRPr="00EC5864">
        <w:fldChar w:fldCharType="begin"/>
      </w:r>
      <w:r w:rsidRPr="00EC5864">
        <w:instrText xml:space="preserve"> SEQ level0 \*arabic </w:instrText>
      </w:r>
      <w:r w:rsidRPr="00EC5864">
        <w:fldChar w:fldCharType="separate"/>
      </w:r>
      <w:r w:rsidRPr="00EC5864" w:rsidR="00EC5864">
        <w:rPr>
          <w:noProof/>
        </w:rPr>
        <w:t>21</w:t>
      </w:r>
      <w:r w:rsidRPr="00EC5864">
        <w:fldChar w:fldCharType="end"/>
      </w:r>
      <w:bookmarkEnd w:id="4"/>
      <w:r w:rsidRPr="00EC5864">
        <w:t xml:space="preserve">.  On 27 July 2017 the Moscow </w:t>
      </w:r>
      <w:r w:rsidRPr="00EC5864" w:rsidR="00450DD0">
        <w:t>Garrison</w:t>
      </w:r>
      <w:r w:rsidRPr="00EC5864">
        <w:t xml:space="preserve"> Military Court rejected his claim as lodged </w:t>
      </w:r>
      <w:r w:rsidRPr="00EC5864" w:rsidR="005E133C">
        <w:t>in breach of the</w:t>
      </w:r>
      <w:r w:rsidRPr="00EC5864">
        <w:t xml:space="preserve"> three-month time-limit set out in Article </w:t>
      </w:r>
      <w:r w:rsidRPr="00EC5864" w:rsidR="00450DD0">
        <w:t>219</w:t>
      </w:r>
      <w:r w:rsidRPr="00EC5864">
        <w:t xml:space="preserve"> of the Code of Administrative Proceedings in respect of both issues. </w:t>
      </w:r>
      <w:r w:rsidRPr="00EC5864" w:rsidR="00F0122C">
        <w:t>The</w:t>
      </w:r>
      <w:r w:rsidRPr="00EC5864">
        <w:t xml:space="preserve"> court noted that the applicant had been aware of the decision to exclude him from the housing list as early as in May 2016 and had studied the dismissal order on 16 January 2017</w:t>
      </w:r>
      <w:r w:rsidRPr="00EC5864" w:rsidR="005E133C">
        <w:t>, but only lodged his complaint in July 2017</w:t>
      </w:r>
      <w:r w:rsidRPr="00EC5864">
        <w:t xml:space="preserve">. </w:t>
      </w:r>
      <w:r w:rsidRPr="00EC5864" w:rsidR="00450DD0">
        <w:t>The court informed the applicant that the full text of the judgment would be available on 2 August 2017.</w:t>
      </w:r>
    </w:p>
    <w:p w:rsidRPr="00EC5864" w:rsidR="00450DD0" w:rsidP="00EC5864" w:rsidRDefault="00450DD0">
      <w:pPr>
        <w:pStyle w:val="ECHRPara"/>
      </w:pPr>
      <w:r w:rsidRPr="00EC5864">
        <w:fldChar w:fldCharType="begin"/>
      </w:r>
      <w:r w:rsidRPr="00EC5864">
        <w:instrText xml:space="preserve"> SEQ level0 \*arabic </w:instrText>
      </w:r>
      <w:r w:rsidRPr="00EC5864">
        <w:fldChar w:fldCharType="separate"/>
      </w:r>
      <w:r w:rsidRPr="00EC5864" w:rsidR="00EC5864">
        <w:rPr>
          <w:noProof/>
        </w:rPr>
        <w:t>22</w:t>
      </w:r>
      <w:r w:rsidRPr="00EC5864">
        <w:fldChar w:fldCharType="end"/>
      </w:r>
      <w:r w:rsidRPr="00EC5864">
        <w:t>.  </w:t>
      </w:r>
      <w:r w:rsidRPr="00EC5864" w:rsidR="00F152BA">
        <w:t xml:space="preserve">The applicant received the judgment on 4 August 2017. </w:t>
      </w:r>
      <w:r w:rsidRPr="00EC5864">
        <w:t xml:space="preserve">On 7 September 2017 he </w:t>
      </w:r>
      <w:r w:rsidRPr="00EC5864" w:rsidR="00F152BA">
        <w:t>appealed against it</w:t>
      </w:r>
      <w:r w:rsidRPr="00EC5864">
        <w:t>.</w:t>
      </w:r>
    </w:p>
    <w:p w:rsidRPr="00EC5864" w:rsidR="00F35677" w:rsidP="00EC5864" w:rsidRDefault="00F35677">
      <w:pPr>
        <w:pStyle w:val="ECHRPara"/>
      </w:pPr>
      <w:r w:rsidRPr="00EC5864">
        <w:fldChar w:fldCharType="begin"/>
      </w:r>
      <w:r w:rsidRPr="00EC5864">
        <w:instrText xml:space="preserve"> SEQ level0 \*arabic </w:instrText>
      </w:r>
      <w:r w:rsidRPr="00EC5864">
        <w:fldChar w:fldCharType="separate"/>
      </w:r>
      <w:r w:rsidRPr="00EC5864" w:rsidR="00EC5864">
        <w:rPr>
          <w:noProof/>
        </w:rPr>
        <w:t>23</w:t>
      </w:r>
      <w:r w:rsidRPr="00EC5864">
        <w:fldChar w:fldCharType="end"/>
      </w:r>
      <w:r w:rsidRPr="00EC5864">
        <w:t xml:space="preserve">.  On </w:t>
      </w:r>
      <w:r w:rsidRPr="00EC5864" w:rsidR="00450DD0">
        <w:t>11 September 2017 the Moscow Garrison Military Court returned the applicant</w:t>
      </w:r>
      <w:r w:rsidRPr="00EC5864" w:rsidR="00EC5864">
        <w:t>’</w:t>
      </w:r>
      <w:r w:rsidRPr="00EC5864" w:rsidR="00450DD0">
        <w:t xml:space="preserve">s appeal against the above judgment without examination as he had missed a one-month time-limit for </w:t>
      </w:r>
      <w:r w:rsidRPr="00EC5864" w:rsidR="005E133C">
        <w:t>its introduction</w:t>
      </w:r>
      <w:r w:rsidRPr="00EC5864" w:rsidR="00450DD0">
        <w:t>.</w:t>
      </w:r>
    </w:p>
    <w:p w:rsidRPr="00EC5864" w:rsidR="006A460B" w:rsidP="00EC5864" w:rsidRDefault="00F152BA">
      <w:pPr>
        <w:pStyle w:val="ECHRPara"/>
      </w:pPr>
      <w:r w:rsidRPr="00EC5864">
        <w:fldChar w:fldCharType="begin"/>
      </w:r>
      <w:r w:rsidRPr="00EC5864">
        <w:instrText xml:space="preserve"> SEQ level0 \*arabic </w:instrText>
      </w:r>
      <w:r w:rsidRPr="00EC5864">
        <w:fldChar w:fldCharType="separate"/>
      </w:r>
      <w:r w:rsidRPr="00EC5864" w:rsidR="00EC5864">
        <w:rPr>
          <w:noProof/>
        </w:rPr>
        <w:t>24</w:t>
      </w:r>
      <w:r w:rsidRPr="00EC5864">
        <w:fldChar w:fldCharType="end"/>
      </w:r>
      <w:r w:rsidRPr="00EC5864">
        <w:t>.  He appealed arguing that he had not m</w:t>
      </w:r>
      <w:r w:rsidRPr="00EC5864" w:rsidR="004C2008">
        <w:t>issed the time-limit, as from 4 </w:t>
      </w:r>
      <w:r w:rsidRPr="00EC5864">
        <w:t>to 6 September 2017 he had been away on business trip.</w:t>
      </w:r>
    </w:p>
    <w:p w:rsidRPr="00EC5864" w:rsidR="00450DD0" w:rsidP="00EC5864" w:rsidRDefault="00147D2E">
      <w:pPr>
        <w:pStyle w:val="ECHRPara"/>
      </w:pPr>
      <w:r w:rsidRPr="00EC5864">
        <w:fldChar w:fldCharType="begin"/>
      </w:r>
      <w:r w:rsidRPr="00EC5864">
        <w:instrText xml:space="preserve"> SEQ level0 \*arabic </w:instrText>
      </w:r>
      <w:r w:rsidRPr="00EC5864">
        <w:fldChar w:fldCharType="separate"/>
      </w:r>
      <w:r w:rsidRPr="00EC5864" w:rsidR="00EC5864">
        <w:rPr>
          <w:noProof/>
        </w:rPr>
        <w:t>25</w:t>
      </w:r>
      <w:r w:rsidRPr="00EC5864">
        <w:fldChar w:fldCharType="end"/>
      </w:r>
      <w:r w:rsidRPr="00EC5864">
        <w:t>.  </w:t>
      </w:r>
      <w:r w:rsidRPr="00EC5864" w:rsidR="00450DD0">
        <w:t xml:space="preserve">On 21 December 2017 the </w:t>
      </w:r>
      <w:r w:rsidRPr="00EC5864" w:rsidR="00700B50">
        <w:t xml:space="preserve">Military Court of the </w:t>
      </w:r>
      <w:r w:rsidRPr="00EC5864" w:rsidR="00450DD0">
        <w:t xml:space="preserve">Moscow Circuit upheld the decision </w:t>
      </w:r>
      <w:r w:rsidRPr="00EC5864">
        <w:t>of 11 September 2017</w:t>
      </w:r>
      <w:r w:rsidRPr="00EC5864" w:rsidR="00C276EB">
        <w:t>. The court found that the time</w:t>
      </w:r>
      <w:r w:rsidRPr="00EC5864" w:rsidR="00C276EB">
        <w:noBreakHyphen/>
      </w:r>
      <w:r w:rsidRPr="00EC5864" w:rsidR="00450DD0">
        <w:t xml:space="preserve">limit for lodging the appeal </w:t>
      </w:r>
      <w:r w:rsidRPr="00EC5864">
        <w:t xml:space="preserve">had </w:t>
      </w:r>
      <w:r w:rsidRPr="00EC5864" w:rsidR="00450DD0">
        <w:t>expired on 4 September 2017</w:t>
      </w:r>
      <w:r w:rsidRPr="00EC5864" w:rsidR="00676F5F">
        <w:t xml:space="preserve">. </w:t>
      </w:r>
      <w:r w:rsidRPr="00EC5864">
        <w:t xml:space="preserve">The </w:t>
      </w:r>
      <w:r w:rsidRPr="00EC5864" w:rsidR="00450DD0">
        <w:t>applicant had received a full text of the judgment on 4 August 2017 but only appealed on 7 September 2017.</w:t>
      </w:r>
    </w:p>
    <w:p w:rsidRPr="00EC5864" w:rsidR="00F152BA" w:rsidP="00EC5864" w:rsidRDefault="0056648C">
      <w:pPr>
        <w:pStyle w:val="ECHRPara"/>
      </w:pPr>
      <w:r w:rsidRPr="00EC5864">
        <w:fldChar w:fldCharType="begin"/>
      </w:r>
      <w:r w:rsidRPr="00EC5864">
        <w:instrText xml:space="preserve"> SEQ level0 \*arabic </w:instrText>
      </w:r>
      <w:r w:rsidRPr="00EC5864">
        <w:fldChar w:fldCharType="separate"/>
      </w:r>
      <w:r w:rsidRPr="00EC5864" w:rsidR="00EC5864">
        <w:rPr>
          <w:noProof/>
        </w:rPr>
        <w:t>26</w:t>
      </w:r>
      <w:r w:rsidRPr="00EC5864">
        <w:rPr>
          <w:noProof/>
        </w:rPr>
        <w:fldChar w:fldCharType="end"/>
      </w:r>
      <w:r w:rsidRPr="00EC5864" w:rsidR="00F152BA">
        <w:t xml:space="preserve">.  On 20 June 2018 the applicant lodged a single cassation appeal against the </w:t>
      </w:r>
      <w:r w:rsidRPr="00EC5864" w:rsidR="00147D2E">
        <w:t>decisions</w:t>
      </w:r>
      <w:r w:rsidRPr="00EC5864" w:rsidR="00F152BA">
        <w:t xml:space="preserve"> of 27 July and 21 December 2017 with the Presidium of the </w:t>
      </w:r>
      <w:r w:rsidRPr="00EC5864" w:rsidR="00BD7B99">
        <w:t>Military Court of the Moscow Circuit</w:t>
      </w:r>
      <w:r w:rsidRPr="00EC5864" w:rsidR="00F152BA">
        <w:t>. On 22 June 2018 the court returned the appeal without examination owing to various procedural shortcomings, such as the applicant</w:t>
      </w:r>
      <w:r w:rsidRPr="00EC5864" w:rsidR="00EC5864">
        <w:t>’</w:t>
      </w:r>
      <w:r w:rsidRPr="00EC5864" w:rsidR="00F152BA">
        <w:t>s failure to formulate his claims as regards the decision of 11 September 2017 and to submit a copy of the decision. The court further noted that under the domestic law it was impossible to lodge a single cassation appeal against several judicial acts.</w:t>
      </w:r>
    </w:p>
    <w:p w:rsidRPr="00EC5864" w:rsidR="006A460B" w:rsidP="00EC5864" w:rsidRDefault="0056648C">
      <w:pPr>
        <w:pStyle w:val="ECHRPara"/>
      </w:pPr>
      <w:r w:rsidRPr="00EC5864">
        <w:fldChar w:fldCharType="begin"/>
      </w:r>
      <w:r w:rsidRPr="00EC5864">
        <w:instrText xml:space="preserve"> SEQ level0 \*arabic </w:instrText>
      </w:r>
      <w:r w:rsidRPr="00EC5864">
        <w:fldChar w:fldCharType="separate"/>
      </w:r>
      <w:r w:rsidRPr="00EC5864" w:rsidR="00EC5864">
        <w:rPr>
          <w:noProof/>
        </w:rPr>
        <w:t>27</w:t>
      </w:r>
      <w:r w:rsidRPr="00EC5864">
        <w:rPr>
          <w:noProof/>
        </w:rPr>
        <w:fldChar w:fldCharType="end"/>
      </w:r>
      <w:r w:rsidRPr="00EC5864" w:rsidR="00F152BA">
        <w:t>.  On 6 July 2018 the applicant corrected the defects and re-introduced his complaint.</w:t>
      </w:r>
    </w:p>
    <w:p w:rsidRPr="00EC5864" w:rsidR="006A460B" w:rsidP="00EC5864" w:rsidRDefault="0056648C">
      <w:pPr>
        <w:pStyle w:val="ECHRPara"/>
      </w:pPr>
      <w:r w:rsidRPr="00EC5864">
        <w:fldChar w:fldCharType="begin"/>
      </w:r>
      <w:r w:rsidRPr="00EC5864">
        <w:instrText xml:space="preserve"> SEQ level0 \*arabic </w:instrText>
      </w:r>
      <w:r w:rsidRPr="00EC5864">
        <w:fldChar w:fldCharType="separate"/>
      </w:r>
      <w:r w:rsidRPr="00EC5864" w:rsidR="00EC5864">
        <w:rPr>
          <w:noProof/>
        </w:rPr>
        <w:t>28</w:t>
      </w:r>
      <w:r w:rsidRPr="00EC5864">
        <w:rPr>
          <w:noProof/>
        </w:rPr>
        <w:fldChar w:fldCharType="end"/>
      </w:r>
      <w:r w:rsidRPr="00EC5864" w:rsidR="00F152BA">
        <w:t xml:space="preserve">.  On 11 July 2018 </w:t>
      </w:r>
      <w:r w:rsidRPr="00EC5864" w:rsidR="00BD7B99">
        <w:t xml:space="preserve">the Military Court of the Moscow Circuit </w:t>
      </w:r>
      <w:r w:rsidRPr="00EC5864" w:rsidR="00F152BA">
        <w:t xml:space="preserve">returned his request to lodge a cassation appeal without examination, as </w:t>
      </w:r>
      <w:r w:rsidRPr="00EC5864" w:rsidR="00F0122C">
        <w:t>introduced</w:t>
      </w:r>
      <w:r w:rsidRPr="00EC5864" w:rsidR="00F152BA">
        <w:t xml:space="preserve"> outside the six-month time-limit.</w:t>
      </w:r>
    </w:p>
    <w:p w:rsidRPr="00EC5864" w:rsidR="00F152BA" w:rsidP="00EC5864" w:rsidRDefault="0056648C">
      <w:pPr>
        <w:pStyle w:val="ECHRPara"/>
      </w:pPr>
      <w:r w:rsidRPr="00EC5864">
        <w:fldChar w:fldCharType="begin"/>
      </w:r>
      <w:r w:rsidRPr="00EC5864">
        <w:instrText xml:space="preserve"> SEQ level0 \*arabic </w:instrText>
      </w:r>
      <w:r w:rsidRPr="00EC5864">
        <w:fldChar w:fldCharType="separate"/>
      </w:r>
      <w:r w:rsidRPr="00EC5864" w:rsidR="00EC5864">
        <w:rPr>
          <w:noProof/>
        </w:rPr>
        <w:t>29</w:t>
      </w:r>
      <w:r w:rsidRPr="00EC5864">
        <w:rPr>
          <w:noProof/>
        </w:rPr>
        <w:fldChar w:fldCharType="end"/>
      </w:r>
      <w:r w:rsidRPr="00EC5864" w:rsidR="00F152BA">
        <w:t>.  On 15 August 2018 the applicant lodged a further cassation appeal and a request to reinstate the six-month time-limit with the Supreme Court of Russia. On 28 August 2018 the Supreme Court refused to reinstate the time-limit.</w:t>
      </w:r>
    </w:p>
    <w:p w:rsidRPr="00EC5864" w:rsidR="006A460B" w:rsidP="00EC5864" w:rsidRDefault="0078248E">
      <w:pPr>
        <w:pStyle w:val="ECHRHeading2"/>
      </w:pPr>
      <w:r w:rsidRPr="00EC5864">
        <w:t>E.  </w:t>
      </w:r>
      <w:r w:rsidRPr="00EC5864" w:rsidR="00291DB1">
        <w:t>Proceedings concerning the defendant</w:t>
      </w:r>
      <w:r w:rsidRPr="00EC5864" w:rsidR="00EC5864">
        <w:t>’</w:t>
      </w:r>
      <w:r w:rsidRPr="00EC5864" w:rsidR="00291DB1">
        <w:t>s requests</w:t>
      </w:r>
      <w:r w:rsidRPr="00EC5864">
        <w:t xml:space="preserve"> to terminate </w:t>
      </w:r>
      <w:r w:rsidRPr="00EC5864" w:rsidR="00291DB1">
        <w:t xml:space="preserve">the </w:t>
      </w:r>
      <w:r w:rsidRPr="00EC5864">
        <w:t>execution of the judgment</w:t>
      </w:r>
    </w:p>
    <w:p w:rsidRPr="00EC5864" w:rsidR="0078248E" w:rsidP="00EC5864" w:rsidRDefault="0078248E">
      <w:pPr>
        <w:pStyle w:val="ECHRPara"/>
      </w:pPr>
      <w:r w:rsidRPr="00EC5864">
        <w:fldChar w:fldCharType="begin"/>
      </w:r>
      <w:r w:rsidRPr="00EC5864">
        <w:instrText xml:space="preserve"> SEQ level0 \*arabic </w:instrText>
      </w:r>
      <w:r w:rsidRPr="00EC5864">
        <w:fldChar w:fldCharType="separate"/>
      </w:r>
      <w:r w:rsidRPr="00EC5864" w:rsidR="00EC5864">
        <w:rPr>
          <w:noProof/>
        </w:rPr>
        <w:t>30</w:t>
      </w:r>
      <w:r w:rsidRPr="00EC5864">
        <w:fldChar w:fldCharType="end"/>
      </w:r>
      <w:r w:rsidRPr="00EC5864">
        <w:t xml:space="preserve">.  At some point </w:t>
      </w:r>
      <w:r w:rsidRPr="00EC5864" w:rsidR="00147D2E">
        <w:t xml:space="preserve">in 2017 </w:t>
      </w:r>
      <w:r w:rsidRPr="00EC5864">
        <w:t xml:space="preserve">the debtor authority requested to discontinue the enforcement proceedings in respect of the judgment of 17 February 2010, as </w:t>
      </w:r>
      <w:r w:rsidRPr="00EC5864">
        <w:rPr>
          <w:rFonts w:ascii="Times New Roman" w:hAnsi="Times New Roman" w:cs="Times New Roman"/>
          <w:color w:val="000000"/>
        </w:rPr>
        <w:t>the applicant</w:t>
      </w:r>
      <w:r w:rsidRPr="00EC5864" w:rsidR="00EC5864">
        <w:rPr>
          <w:rFonts w:ascii="Times New Roman" w:hAnsi="Times New Roman" w:cs="Times New Roman"/>
          <w:color w:val="000000"/>
        </w:rPr>
        <w:t>’</w:t>
      </w:r>
      <w:r w:rsidRPr="00EC5864">
        <w:rPr>
          <w:rFonts w:ascii="Times New Roman" w:hAnsi="Times New Roman" w:cs="Times New Roman"/>
          <w:color w:val="000000"/>
        </w:rPr>
        <w:t>s name had been removed from the list of persons in need of housing, and there had “no longer been a possibility to enforce the judgment”.</w:t>
      </w:r>
    </w:p>
    <w:bookmarkStart w:name="Judgment21042017PresnenskiyDC" w:id="5"/>
    <w:p w:rsidRPr="00EC5864" w:rsidR="006A460B" w:rsidP="00EC5864" w:rsidRDefault="0078248E">
      <w:pPr>
        <w:pStyle w:val="ECHRPara"/>
      </w:pPr>
      <w:r w:rsidRPr="00EC5864">
        <w:fldChar w:fldCharType="begin"/>
      </w:r>
      <w:r w:rsidRPr="00EC5864">
        <w:instrText xml:space="preserve"> SEQ level0 \*arabic </w:instrText>
      </w:r>
      <w:r w:rsidRPr="00EC5864">
        <w:fldChar w:fldCharType="separate"/>
      </w:r>
      <w:r w:rsidRPr="00EC5864" w:rsidR="00EC5864">
        <w:rPr>
          <w:noProof/>
        </w:rPr>
        <w:t>31</w:t>
      </w:r>
      <w:r w:rsidRPr="00EC5864">
        <w:fldChar w:fldCharType="end"/>
      </w:r>
      <w:bookmarkEnd w:id="5"/>
      <w:r w:rsidRPr="00EC5864">
        <w:t>.  On 21 April 2017 the Presnenskiy District Court of Moscow dismissed the debtor</w:t>
      </w:r>
      <w:r w:rsidRPr="00EC5864" w:rsidR="00EC5864">
        <w:t>’</w:t>
      </w:r>
      <w:r w:rsidRPr="00EC5864">
        <w:t>s request to discontinue the enforcement proceedings.</w:t>
      </w:r>
      <w:r w:rsidRPr="00EC5864" w:rsidR="00D001D8">
        <w:t xml:space="preserve"> </w:t>
      </w:r>
      <w:r w:rsidRPr="00EC5864">
        <w:t>There was no evidence that the judgment in the applicant</w:t>
      </w:r>
      <w:r w:rsidRPr="00EC5864" w:rsidR="00EC5864">
        <w:t>’</w:t>
      </w:r>
      <w:r w:rsidRPr="00EC5864">
        <w:t>s favour could no longer be enforced. It was not quashed or amended. A “loss of a possibility to enforce” should have been “of an objective nature”. The defendant</w:t>
      </w:r>
      <w:r w:rsidRPr="00EC5864" w:rsidR="00EC5864">
        <w:t>’</w:t>
      </w:r>
      <w:r w:rsidRPr="00EC5864">
        <w:t>s arguments were rather indicative of its disagreement with the court</w:t>
      </w:r>
      <w:r w:rsidRPr="00EC5864" w:rsidR="00EC5864">
        <w:t>’</w:t>
      </w:r>
      <w:r w:rsidRPr="00EC5864">
        <w:t>s findings in the judgment of 17 February 2010, but did not constitute a ground for termination of the enforcement proceedings.</w:t>
      </w:r>
    </w:p>
    <w:bookmarkStart w:name="Bailiff_refusal" w:id="6"/>
    <w:p w:rsidRPr="00EC5864" w:rsidR="0078248E" w:rsidP="00EC5864" w:rsidRDefault="0078248E">
      <w:pPr>
        <w:pStyle w:val="ECHRPara"/>
      </w:pPr>
      <w:r w:rsidRPr="00EC5864">
        <w:fldChar w:fldCharType="begin"/>
      </w:r>
      <w:r w:rsidRPr="00EC5864">
        <w:instrText xml:space="preserve"> SEQ level0 \*arabic </w:instrText>
      </w:r>
      <w:r w:rsidRPr="00EC5864">
        <w:fldChar w:fldCharType="separate"/>
      </w:r>
      <w:r w:rsidRPr="00EC5864" w:rsidR="00EC5864">
        <w:rPr>
          <w:noProof/>
        </w:rPr>
        <w:t>32</w:t>
      </w:r>
      <w:r w:rsidRPr="00EC5864">
        <w:fldChar w:fldCharType="end"/>
      </w:r>
      <w:bookmarkEnd w:id="6"/>
      <w:r w:rsidRPr="00EC5864">
        <w:t>.  On 29 November 2017 a bailiff rejected the debtor</w:t>
      </w:r>
      <w:r w:rsidRPr="00EC5864" w:rsidR="00EC5864">
        <w:t>’</w:t>
      </w:r>
      <w:r w:rsidRPr="00EC5864">
        <w:t xml:space="preserve">s request to terminate the enforcement proceedings, as </w:t>
      </w:r>
      <w:r w:rsidRPr="00EC5864" w:rsidR="00147D2E">
        <w:t xml:space="preserve">the </w:t>
      </w:r>
      <w:r w:rsidRPr="00EC5864">
        <w:t>judgment had not been enforced.</w:t>
      </w:r>
    </w:p>
    <w:p w:rsidRPr="00EC5864" w:rsidR="0078248E" w:rsidP="00EC5864" w:rsidRDefault="0078248E">
      <w:pPr>
        <w:pStyle w:val="ECHRPara"/>
      </w:pPr>
      <w:r w:rsidRPr="00EC5864">
        <w:fldChar w:fldCharType="begin"/>
      </w:r>
      <w:r w:rsidRPr="00EC5864">
        <w:instrText xml:space="preserve"> SEQ level0 \*arabic </w:instrText>
      </w:r>
      <w:r w:rsidRPr="00EC5864">
        <w:fldChar w:fldCharType="separate"/>
      </w:r>
      <w:r w:rsidRPr="00EC5864" w:rsidR="00EC5864">
        <w:rPr>
          <w:noProof/>
        </w:rPr>
        <w:t>33</w:t>
      </w:r>
      <w:r w:rsidRPr="00EC5864">
        <w:fldChar w:fldCharType="end"/>
      </w:r>
      <w:r w:rsidRPr="00EC5864">
        <w:t>.  On 29 June 2018 the defendant again requested the court to terminate the enforcement proceedings, the application being lodged this time with a military court.</w:t>
      </w:r>
    </w:p>
    <w:bookmarkStart w:name="Judgment21042017DiscontinueENF_1instance" w:id="7"/>
    <w:p w:rsidRPr="00EC5864" w:rsidR="0078248E" w:rsidP="00EC5864" w:rsidRDefault="0078248E">
      <w:pPr>
        <w:pStyle w:val="ECHRPara"/>
      </w:pPr>
      <w:r w:rsidRPr="00EC5864">
        <w:fldChar w:fldCharType="begin"/>
      </w:r>
      <w:r w:rsidRPr="00EC5864">
        <w:instrText xml:space="preserve"> SEQ level0 \*arabic </w:instrText>
      </w:r>
      <w:r w:rsidRPr="00EC5864">
        <w:fldChar w:fldCharType="separate"/>
      </w:r>
      <w:r w:rsidRPr="00EC5864" w:rsidR="00EC5864">
        <w:rPr>
          <w:noProof/>
        </w:rPr>
        <w:t>34</w:t>
      </w:r>
      <w:r w:rsidRPr="00EC5864">
        <w:fldChar w:fldCharType="end"/>
      </w:r>
      <w:bookmarkEnd w:id="7"/>
      <w:r w:rsidRPr="00EC5864">
        <w:t xml:space="preserve">.  On 11 July 2018 the Moscow Garrison Military Court granted the request and ordered to discontinue the enforcement proceedings. With reference to the judgment of 27 July 2017 (see paragraph </w:t>
      </w:r>
      <w:r w:rsidRPr="00EC5864">
        <w:fldChar w:fldCharType="begin"/>
      </w:r>
      <w:r w:rsidRPr="00EC5864">
        <w:instrText xml:space="preserve"> REF Judgment27072017re_dismissal \h </w:instrText>
      </w:r>
      <w:r w:rsidRPr="00EC5864">
        <w:fldChar w:fldCharType="separate"/>
      </w:r>
      <w:r w:rsidRPr="00EC5864" w:rsidR="00EC5864">
        <w:rPr>
          <w:noProof/>
        </w:rPr>
        <w:t>21</w:t>
      </w:r>
      <w:r w:rsidRPr="00EC5864">
        <w:fldChar w:fldCharType="end"/>
      </w:r>
      <w:r w:rsidRPr="00EC5864">
        <w:t xml:space="preserve"> </w:t>
      </w:r>
      <w:r w:rsidRPr="00EC5864" w:rsidR="00B62910">
        <w:t>above</w:t>
      </w:r>
      <w:r w:rsidRPr="00EC5864">
        <w:t>) it found established that as of 11 April 2016 the applicant had no longer been in need of housing, which meant that the possibility to enforce the judgment of 17 February 2010 had ceased to exist.</w:t>
      </w:r>
    </w:p>
    <w:bookmarkStart w:name="Judgment06092017DiscontinueENF_2instance" w:id="8"/>
    <w:p w:rsidRPr="00EC5864" w:rsidR="0078248E" w:rsidP="00EC5864" w:rsidRDefault="0078248E">
      <w:pPr>
        <w:pStyle w:val="ECHRPara"/>
      </w:pPr>
      <w:r w:rsidRPr="00EC5864">
        <w:fldChar w:fldCharType="begin"/>
      </w:r>
      <w:r w:rsidRPr="00EC5864">
        <w:instrText xml:space="preserve"> SEQ level0 \*arabic </w:instrText>
      </w:r>
      <w:r w:rsidRPr="00EC5864">
        <w:fldChar w:fldCharType="separate"/>
      </w:r>
      <w:r w:rsidRPr="00EC5864" w:rsidR="00EC5864">
        <w:rPr>
          <w:noProof/>
        </w:rPr>
        <w:t>35</w:t>
      </w:r>
      <w:r w:rsidRPr="00EC5864">
        <w:fldChar w:fldCharType="end"/>
      </w:r>
      <w:bookmarkEnd w:id="8"/>
      <w:r w:rsidRPr="00EC5864">
        <w:t xml:space="preserve">.  On 6 September 2018 the Appellate Chamber for Administrative Cases of the </w:t>
      </w:r>
      <w:r w:rsidRPr="00EC5864" w:rsidR="00BD7B99">
        <w:t xml:space="preserve">Military Court of the Moscow Circuit </w:t>
      </w:r>
      <w:r w:rsidRPr="00EC5864">
        <w:t xml:space="preserve">upheld the decision on appeal. The court observed that in 2003 the applicant had received a flat from the Ministry of Defence. In 2011 he and his family </w:t>
      </w:r>
      <w:r w:rsidRPr="00EC5864" w:rsidR="00347286">
        <w:t xml:space="preserve">undertook to vacate </w:t>
      </w:r>
      <w:r w:rsidRPr="00EC5864" w:rsidR="003972E0">
        <w:t>it</w:t>
      </w:r>
      <w:r w:rsidRPr="00EC5864">
        <w:t xml:space="preserve">, if provided with housing in Moscow. However, in 2014 the applicant concluded a social tenancy agreement in respect of the flat, and in November 2015 it was privatised by his mother-in-law. His family had still been living in the flat. Accordingly, the applicant had no longer been entitled to State housing, and </w:t>
      </w:r>
      <w:r w:rsidRPr="00EC5864" w:rsidR="00452F80">
        <w:t>his</w:t>
      </w:r>
      <w:r w:rsidRPr="00EC5864">
        <w:t xml:space="preserve"> name </w:t>
      </w:r>
      <w:r w:rsidRPr="00EC5864" w:rsidR="00452F80">
        <w:t xml:space="preserve">had been </w:t>
      </w:r>
      <w:r w:rsidRPr="00EC5864">
        <w:t xml:space="preserve">struck </w:t>
      </w:r>
      <w:r w:rsidRPr="00EC5864" w:rsidR="003972E0">
        <w:t>out of</w:t>
      </w:r>
      <w:r w:rsidRPr="00EC5864">
        <w:t xml:space="preserve"> the</w:t>
      </w:r>
      <w:r w:rsidRPr="00EC5864" w:rsidR="00452F80">
        <w:t xml:space="preserve"> respective</w:t>
      </w:r>
      <w:r w:rsidRPr="00EC5864">
        <w:t xml:space="preserve"> lists. Thus, the possibility to enforce the initial judgment had been lost.</w:t>
      </w:r>
    </w:p>
    <w:p w:rsidRPr="00EC5864" w:rsidR="006A460B" w:rsidP="00EC5864" w:rsidRDefault="0078248E">
      <w:pPr>
        <w:pStyle w:val="ECHRPara"/>
      </w:pPr>
      <w:r w:rsidRPr="00EC5864">
        <w:fldChar w:fldCharType="begin"/>
      </w:r>
      <w:r w:rsidRPr="00EC5864">
        <w:instrText xml:space="preserve"> SEQ level0 \*arabic </w:instrText>
      </w:r>
      <w:r w:rsidRPr="00EC5864">
        <w:fldChar w:fldCharType="separate"/>
      </w:r>
      <w:r w:rsidRPr="00EC5864" w:rsidR="00EC5864">
        <w:rPr>
          <w:noProof/>
        </w:rPr>
        <w:t>36</w:t>
      </w:r>
      <w:r w:rsidRPr="00EC5864">
        <w:fldChar w:fldCharType="end"/>
      </w:r>
      <w:r w:rsidRPr="00EC5864">
        <w:t xml:space="preserve">.  It is unclear </w:t>
      </w:r>
      <w:r w:rsidRPr="00EC5864" w:rsidR="0094149D">
        <w:t>whether</w:t>
      </w:r>
      <w:r w:rsidRPr="00EC5864">
        <w:t xml:space="preserve"> the applicant lodged a cassation appeal against that decision.</w:t>
      </w:r>
    </w:p>
    <w:p w:rsidRPr="00EC5864" w:rsidR="006A460B" w:rsidP="00EC5864" w:rsidRDefault="000B192E">
      <w:pPr>
        <w:pStyle w:val="ECHRPara"/>
      </w:pPr>
      <w:r w:rsidRPr="00EC5864">
        <w:fldChar w:fldCharType="begin"/>
      </w:r>
      <w:r w:rsidRPr="00EC5864">
        <w:instrText xml:space="preserve"> SEQ level0 \*arabic </w:instrText>
      </w:r>
      <w:r w:rsidRPr="00EC5864">
        <w:fldChar w:fldCharType="separate"/>
      </w:r>
      <w:r w:rsidRPr="00EC5864" w:rsidR="00EC5864">
        <w:rPr>
          <w:noProof/>
        </w:rPr>
        <w:t>37</w:t>
      </w:r>
      <w:r w:rsidRPr="00EC5864">
        <w:fldChar w:fldCharType="end"/>
      </w:r>
      <w:r w:rsidRPr="00EC5864">
        <w:t>.  </w:t>
      </w:r>
      <w:r w:rsidRPr="00EC5864" w:rsidR="0078248E">
        <w:t>At some</w:t>
      </w:r>
      <w:r w:rsidRPr="00EC5864" w:rsidR="00982907">
        <w:t xml:space="preserve"> point before 6 </w:t>
      </w:r>
      <w:r w:rsidRPr="00EC5864" w:rsidR="0078248E">
        <w:t>October 2018, date of the applicant</w:t>
      </w:r>
      <w:r w:rsidRPr="00EC5864" w:rsidR="00EC5864">
        <w:t>’</w:t>
      </w:r>
      <w:r w:rsidRPr="00EC5864" w:rsidR="0078248E">
        <w:t>s latest submissions, the bailiffs service discontinued the enforcement of the judgment.</w:t>
      </w:r>
    </w:p>
    <w:p w:rsidRPr="00EC5864" w:rsidR="00D420F3" w:rsidP="00EC5864" w:rsidRDefault="0077175D">
      <w:pPr>
        <w:pStyle w:val="ECHRHeading1"/>
      </w:pPr>
      <w:r w:rsidRPr="00EC5864">
        <w:t>II.  RELEVANT DOMESTIC LAW AND PRACTICE</w:t>
      </w:r>
    </w:p>
    <w:p w:rsidRPr="00EC5864" w:rsidR="001059E8" w:rsidP="00EC5864" w:rsidRDefault="001059E8">
      <w:pPr>
        <w:pStyle w:val="ECHRHeading2"/>
      </w:pPr>
      <w:r w:rsidRPr="00EC5864">
        <w:t>A.  </w:t>
      </w:r>
      <w:r w:rsidRPr="00EC5864" w:rsidR="00B62910">
        <w:t>Rules of provision of housing to military servicemen</w:t>
      </w:r>
    </w:p>
    <w:bookmarkStart w:name="MilitaryServicemenActSection15_14" w:id="9"/>
    <w:p w:rsidRPr="00EC5864" w:rsidR="00B62910" w:rsidP="00EC5864" w:rsidRDefault="00B62910">
      <w:pPr>
        <w:pStyle w:val="ECHRPara"/>
        <w:spacing w:before="240"/>
      </w:pPr>
      <w:r w:rsidRPr="00EC5864">
        <w:fldChar w:fldCharType="begin"/>
      </w:r>
      <w:r w:rsidRPr="00EC5864">
        <w:instrText xml:space="preserve"> SEQ level0 \*arabic </w:instrText>
      </w:r>
      <w:r w:rsidRPr="00EC5864">
        <w:fldChar w:fldCharType="separate"/>
      </w:r>
      <w:r w:rsidRPr="00EC5864" w:rsidR="00EC5864">
        <w:rPr>
          <w:noProof/>
        </w:rPr>
        <w:t>38</w:t>
      </w:r>
      <w:r w:rsidRPr="00EC5864">
        <w:fldChar w:fldCharType="end"/>
      </w:r>
      <w:bookmarkEnd w:id="9"/>
      <w:r w:rsidRPr="00EC5864">
        <w:t>.  Federal Law no. 76-FZ of 27 May 1998 on the Status of Military Servicemen grants them the right to housing (section 15(1)(1)). That provision has been subject to numerous amendments over the years. According to the text in force as from</w:t>
      </w:r>
      <w:r w:rsidRPr="00EC5864" w:rsidR="00D001D8">
        <w:t xml:space="preserve"> 8 May 2006 (Law no. 66-FZ of 8 </w:t>
      </w:r>
      <w:r w:rsidRPr="00EC5864">
        <w:t xml:space="preserve">May 2006), the State was to ensure that servicemen be provided with housing or monetary funds to allow them to purchase housing in accordance with the procedure and under the conditions set by the federal laws and regulations. Construction and purchase of housing for servicemen was performed by the federal executive authorities at the expense of the federal budget. A right to be provided with </w:t>
      </w:r>
      <w:r w:rsidRPr="00EC5864" w:rsidR="000B192E">
        <w:t xml:space="preserve">State </w:t>
      </w:r>
      <w:r w:rsidRPr="00EC5864">
        <w:t xml:space="preserve">housing is granted to </w:t>
      </w:r>
      <w:r w:rsidRPr="00EC5864" w:rsidR="000B192E">
        <w:t>servicemen</w:t>
      </w:r>
      <w:r w:rsidRPr="00EC5864">
        <w:t xml:space="preserve"> only once. On receipt of housing at a place of their choosing, servicemen and their family members must submit documents confirming that they have vacated living premises to the Ministry of Defence and discontinued residence registration at their previous place</w:t>
      </w:r>
      <w:r w:rsidRPr="00EC5864" w:rsidR="000B192E">
        <w:t>s</w:t>
      </w:r>
      <w:r w:rsidRPr="00EC5864">
        <w:t xml:space="preserve"> of residence (section</w:t>
      </w:r>
      <w:r w:rsidRPr="00EC5864" w:rsidR="000B192E">
        <w:t> 15(</w:t>
      </w:r>
      <w:r w:rsidRPr="00EC5864">
        <w:t>14</w:t>
      </w:r>
      <w:r w:rsidRPr="00EC5864" w:rsidR="000B192E">
        <w:t>)</w:t>
      </w:r>
      <w:r w:rsidRPr="00EC5864">
        <w:t xml:space="preserve"> of the Law).</w:t>
      </w:r>
    </w:p>
    <w:p w:rsidRPr="00EC5864" w:rsidR="001059E8" w:rsidP="00EC5864" w:rsidRDefault="0056648C">
      <w:pPr>
        <w:pStyle w:val="ECHRPara"/>
      </w:pPr>
      <w:r w:rsidRPr="00EC5864">
        <w:fldChar w:fldCharType="begin"/>
      </w:r>
      <w:r w:rsidRPr="00EC5864">
        <w:instrText xml:space="preserve"> SEQ level0 \*arabic </w:instrText>
      </w:r>
      <w:r w:rsidRPr="00EC5864">
        <w:fldChar w:fldCharType="separate"/>
      </w:r>
      <w:r w:rsidRPr="00EC5864" w:rsidR="00EC5864">
        <w:rPr>
          <w:noProof/>
        </w:rPr>
        <w:t>39</w:t>
      </w:r>
      <w:r w:rsidRPr="00EC5864">
        <w:rPr>
          <w:noProof/>
        </w:rPr>
        <w:fldChar w:fldCharType="end"/>
      </w:r>
      <w:r w:rsidRPr="00EC5864" w:rsidR="00B62910">
        <w:t xml:space="preserve">.  For a summary of other relevant provisions of the </w:t>
      </w:r>
      <w:r w:rsidRPr="00EC5864" w:rsidR="00347286">
        <w:t>Russian Housing Code of 29 December 2004</w:t>
      </w:r>
      <w:r w:rsidRPr="00EC5864" w:rsidR="00B62910">
        <w:t xml:space="preserve">, the </w:t>
      </w:r>
      <w:r w:rsidRPr="00EC5864" w:rsidR="001059E8">
        <w:t>Federal Law on the Status of Military Servicemen</w:t>
      </w:r>
      <w:r w:rsidRPr="00EC5864" w:rsidR="00B62910">
        <w:t>, the Enforcement Act</w:t>
      </w:r>
      <w:r w:rsidRPr="00EC5864" w:rsidR="001059E8">
        <w:t xml:space="preserve"> </w:t>
      </w:r>
      <w:r w:rsidRPr="00EC5864" w:rsidR="00B62910">
        <w:t>and Instruction of the Ministry of Defence of</w:t>
      </w:r>
      <w:r w:rsidRPr="00EC5864" w:rsidR="000B192E">
        <w:t xml:space="preserve"> 30 September 2010 No. </w:t>
      </w:r>
      <w:r w:rsidRPr="00EC5864" w:rsidR="00B62910">
        <w:t xml:space="preserve">1280 setting out rules governing provision of housing to military servicemen under social tenancy agreements, see </w:t>
      </w:r>
      <w:r w:rsidRPr="00EC5864" w:rsidR="00B62910">
        <w:rPr>
          <w:i/>
        </w:rPr>
        <w:t>Lebedenko v. Russia</w:t>
      </w:r>
      <w:r w:rsidRPr="00EC5864" w:rsidR="00B62910">
        <w:t xml:space="preserve"> (dec.), no. 60432/13, §§ 26-39, 4 December 2018.</w:t>
      </w:r>
      <w:r w:rsidRPr="00EC5864" w:rsidR="000B192E">
        <w:t xml:space="preserve"> Annex II to the aforementioned Instruction sets out rules for provision of service housing.</w:t>
      </w:r>
    </w:p>
    <w:p w:rsidRPr="00EC5864" w:rsidR="007A74FF" w:rsidP="00EC5864" w:rsidRDefault="00B57A14">
      <w:pPr>
        <w:pStyle w:val="ECHRHeading2"/>
      </w:pPr>
      <w:r w:rsidRPr="00EC5864">
        <w:t>B</w:t>
      </w:r>
      <w:r w:rsidRPr="00EC5864" w:rsidR="007A74FF">
        <w:t>.  Code of Administrative Procedure</w:t>
      </w:r>
    </w:p>
    <w:bookmarkStart w:name="CodeAdmProcedureA359" w:id="10"/>
    <w:p w:rsidRPr="00EC5864" w:rsidR="007A74FF" w:rsidP="00EC5864" w:rsidRDefault="007A74FF">
      <w:pPr>
        <w:pStyle w:val="ECHRPara"/>
      </w:pPr>
      <w:r w:rsidRPr="00EC5864">
        <w:fldChar w:fldCharType="begin"/>
      </w:r>
      <w:r w:rsidRPr="00EC5864">
        <w:instrText xml:space="preserve"> SEQ level0 \*arabic </w:instrText>
      </w:r>
      <w:r w:rsidRPr="00EC5864">
        <w:fldChar w:fldCharType="separate"/>
      </w:r>
      <w:r w:rsidRPr="00EC5864" w:rsidR="00EC5864">
        <w:rPr>
          <w:noProof/>
        </w:rPr>
        <w:t>40</w:t>
      </w:r>
      <w:r w:rsidRPr="00EC5864">
        <w:fldChar w:fldCharType="end"/>
      </w:r>
      <w:bookmarkEnd w:id="10"/>
      <w:r w:rsidRPr="00EC5864">
        <w:t>.  According to Article 359 of the Code of Administrative Procedure, enforcement proceedings are discontinued either by a court which had issued the writ of execution or a court of the bailiff</w:t>
      </w:r>
      <w:r w:rsidRPr="00EC5864" w:rsidR="00EC5864">
        <w:t>’</w:t>
      </w:r>
      <w:r w:rsidRPr="00EC5864">
        <w:t>s location.</w:t>
      </w:r>
    </w:p>
    <w:p w:rsidRPr="00EC5864" w:rsidR="001059E8" w:rsidP="00EC5864" w:rsidRDefault="00B57A14">
      <w:pPr>
        <w:pStyle w:val="ECHRHeading2"/>
      </w:pPr>
      <w:r w:rsidRPr="00EC5864">
        <w:t>C</w:t>
      </w:r>
      <w:r w:rsidRPr="00EC5864" w:rsidR="001059E8">
        <w:t>.  </w:t>
      </w:r>
      <w:r w:rsidRPr="00EC5864" w:rsidR="007F79EE">
        <w:t>Compensation</w:t>
      </w:r>
      <w:r w:rsidRPr="00EC5864" w:rsidR="001059E8">
        <w:t xml:space="preserve"> Act</w:t>
      </w:r>
    </w:p>
    <w:bookmarkStart w:name="CompensationAct" w:id="11"/>
    <w:p w:rsidRPr="00EC5864" w:rsidR="00D420F3" w:rsidP="00EC5864" w:rsidRDefault="00B876EE">
      <w:pPr>
        <w:pStyle w:val="ECHRPara"/>
      </w:pPr>
      <w:r w:rsidRPr="00EC5864">
        <w:fldChar w:fldCharType="begin"/>
      </w:r>
      <w:r w:rsidRPr="00EC5864">
        <w:instrText xml:space="preserve"> SEQ level0 \*arabic </w:instrText>
      </w:r>
      <w:r w:rsidRPr="00EC5864">
        <w:fldChar w:fldCharType="separate"/>
      </w:r>
      <w:r w:rsidRPr="00EC5864" w:rsidR="00EC5864">
        <w:rPr>
          <w:noProof/>
        </w:rPr>
        <w:t>41</w:t>
      </w:r>
      <w:r w:rsidRPr="00EC5864">
        <w:fldChar w:fldCharType="end"/>
      </w:r>
      <w:bookmarkEnd w:id="11"/>
      <w:r w:rsidRPr="00EC5864">
        <w:t>.  </w:t>
      </w:r>
      <w:r w:rsidRPr="00EC5864" w:rsidR="00D0430D">
        <w:t xml:space="preserve">Relevant provisions of the Federal Law No. 450-FZ amending the Compensation Act of 2010, in force as of 1 January 2017 and extending the scope of the Compensation Act to cases of excessive delays in the enforcement of court judgments ordering the domestic authorities to fulfil various obligations in kind are summarised in </w:t>
      </w:r>
      <w:r w:rsidRPr="00EC5864" w:rsidR="00D0430D">
        <w:rPr>
          <w:i/>
        </w:rPr>
        <w:t>Shtolts and Others v. Russia</w:t>
      </w:r>
      <w:r w:rsidRPr="00EC5864" w:rsidR="00D0430D">
        <w:t xml:space="preserve"> (dec.), nos. 77056/14 and 2 others, §§ 31</w:t>
      </w:r>
      <w:r w:rsidRPr="00EC5864" w:rsidR="00D0430D">
        <w:noBreakHyphen/>
        <w:t>41, 30 January 2018.</w:t>
      </w:r>
    </w:p>
    <w:p w:rsidRPr="00EC5864" w:rsidR="00D420F3" w:rsidP="00EC5864" w:rsidRDefault="0077175D">
      <w:pPr>
        <w:pStyle w:val="ECHRTitle1"/>
      </w:pPr>
      <w:r w:rsidRPr="00EC5864">
        <w:t>THE LAW</w:t>
      </w:r>
    </w:p>
    <w:p w:rsidRPr="00EC5864" w:rsidR="00D420F3" w:rsidP="00EC5864" w:rsidRDefault="0077175D">
      <w:pPr>
        <w:pStyle w:val="ECHRHeading1"/>
      </w:pPr>
      <w:r w:rsidRPr="00EC5864">
        <w:t>I.</w:t>
      </w:r>
      <w:r w:rsidRPr="00EC5864" w:rsidR="00933ACC">
        <w:t>  ALLEGED VIOLATION OF ARTICLE </w:t>
      </w:r>
      <w:r w:rsidRPr="00EC5864" w:rsidR="0005547C">
        <w:t>6</w:t>
      </w:r>
      <w:r w:rsidRPr="00EC5864">
        <w:t xml:space="preserve"> OF THE CONVENTION</w:t>
      </w:r>
      <w:r w:rsidRPr="00EC5864" w:rsidR="0005547C">
        <w:t xml:space="preserve"> AND ARTICLE 1 OF PROTOCOL </w:t>
      </w:r>
      <w:r w:rsidRPr="00EC5864" w:rsidR="00D001D8">
        <w:t>No</w:t>
      </w:r>
      <w:r w:rsidRPr="00EC5864" w:rsidR="00933ACC">
        <w:t>. </w:t>
      </w:r>
      <w:r w:rsidRPr="00EC5864" w:rsidR="0005547C">
        <w:t>1 ON ACCOUNT OF THE NON-ENFORCEMENT</w:t>
      </w:r>
    </w:p>
    <w:p w:rsidRPr="00EC5864" w:rsidR="00D420F3" w:rsidP="00EC5864" w:rsidRDefault="005736D7">
      <w:pPr>
        <w:pStyle w:val="ECHRPara"/>
      </w:pPr>
      <w:r w:rsidRPr="00EC5864">
        <w:fldChar w:fldCharType="begin"/>
      </w:r>
      <w:r w:rsidRPr="00EC5864">
        <w:instrText xml:space="preserve"> SEQ level0 \*arabic </w:instrText>
      </w:r>
      <w:r w:rsidRPr="00EC5864">
        <w:fldChar w:fldCharType="separate"/>
      </w:r>
      <w:r w:rsidRPr="00EC5864" w:rsidR="00EC5864">
        <w:rPr>
          <w:noProof/>
        </w:rPr>
        <w:t>42</w:t>
      </w:r>
      <w:r w:rsidRPr="00EC5864">
        <w:fldChar w:fldCharType="end"/>
      </w:r>
      <w:r w:rsidRPr="00EC5864" w:rsidR="0077175D">
        <w:t>.  </w:t>
      </w:r>
      <w:r w:rsidRPr="00EC5864" w:rsidR="0005547C">
        <w:t>The applicant complained of the non</w:t>
      </w:r>
      <w:r w:rsidRPr="00EC5864" w:rsidR="0005547C">
        <w:noBreakHyphen/>
        <w:t>enforcement of the judgment given in h</w:t>
      </w:r>
      <w:r w:rsidRPr="00EC5864" w:rsidR="00C873E1">
        <w:t>is</w:t>
      </w:r>
      <w:r w:rsidRPr="00EC5864" w:rsidR="0005547C">
        <w:t xml:space="preserve"> favour. He relied on Article 6 § 1 of the Convention and on Article 1 of Protocol No. 1, which read as follows</w:t>
      </w:r>
      <w:r w:rsidRPr="00EC5864" w:rsidR="0077175D">
        <w:t>:</w:t>
      </w:r>
    </w:p>
    <w:p w:rsidRPr="00EC5864" w:rsidR="0005547C" w:rsidP="00EC5864" w:rsidRDefault="0005547C">
      <w:pPr>
        <w:pStyle w:val="ECHRTitleCentre3"/>
      </w:pPr>
      <w:r w:rsidRPr="00EC5864">
        <w:t>Article 6 § 1</w:t>
      </w:r>
    </w:p>
    <w:p w:rsidRPr="00EC5864" w:rsidR="0005547C" w:rsidP="00EC5864" w:rsidRDefault="0005547C">
      <w:pPr>
        <w:pStyle w:val="ECHRParaQuote"/>
      </w:pPr>
      <w:r w:rsidRPr="00EC5864">
        <w:t>“In the determination of his civil rights and obligations ... everyone is entitled to a fair ... hearing ... by [a] ... tribunal ...”</w:t>
      </w:r>
    </w:p>
    <w:p w:rsidRPr="00EC5864" w:rsidR="0005547C" w:rsidP="00EC5864" w:rsidRDefault="0005547C">
      <w:pPr>
        <w:pStyle w:val="ECHRTitleCentre3"/>
      </w:pPr>
      <w:r w:rsidRPr="00EC5864">
        <w:t>Article 1 of Protocol No. 1</w:t>
      </w:r>
    </w:p>
    <w:p w:rsidRPr="00EC5864" w:rsidR="0005547C" w:rsidP="00EC5864" w:rsidRDefault="0005547C">
      <w:pPr>
        <w:pStyle w:val="ECHRParaQuote"/>
      </w:pPr>
      <w:r w:rsidRPr="00EC5864">
        <w:t>“Every natural or legal person is entitled to the peaceful enjoyment of his possessions. No one shall be deprived of his possessions except in the public interest and subject to the conditions provided for by law and by the general principles of international law.</w:t>
      </w:r>
    </w:p>
    <w:p w:rsidRPr="00EC5864" w:rsidR="0005547C" w:rsidP="00EC5864" w:rsidRDefault="0005547C">
      <w:pPr>
        <w:pStyle w:val="ECHRParaQuote"/>
      </w:pPr>
      <w:r w:rsidRPr="00EC5864">
        <w:t>The preceding provisions shall not, however, in any way impair the right of a State to enforce such laws as it deems necessary to control the use of property in accordance with the general interest or to secure the payment of taxes or other contributions or penalties.”</w:t>
      </w:r>
    </w:p>
    <w:p w:rsidRPr="00EC5864" w:rsidR="006A460B" w:rsidP="00EC5864" w:rsidRDefault="005736D7">
      <w:pPr>
        <w:pStyle w:val="ECHRPara"/>
      </w:pPr>
      <w:r w:rsidRPr="00EC5864">
        <w:fldChar w:fldCharType="begin"/>
      </w:r>
      <w:r w:rsidRPr="00EC5864">
        <w:instrText xml:space="preserve"> SEQ level0 \*arabic </w:instrText>
      </w:r>
      <w:r w:rsidRPr="00EC5864">
        <w:fldChar w:fldCharType="separate"/>
      </w:r>
      <w:r w:rsidRPr="00EC5864" w:rsidR="00EC5864">
        <w:rPr>
          <w:noProof/>
        </w:rPr>
        <w:t>43</w:t>
      </w:r>
      <w:r w:rsidRPr="00EC5864">
        <w:fldChar w:fldCharType="end"/>
      </w:r>
      <w:r w:rsidRPr="00EC5864" w:rsidR="0077175D">
        <w:t>.  </w:t>
      </w:r>
      <w:r w:rsidRPr="00EC5864" w:rsidR="0005547C">
        <w:t>The Government initially submitted that the judgment in the applicant</w:t>
      </w:r>
      <w:r w:rsidRPr="00EC5864" w:rsidR="00EC5864">
        <w:t>’</w:t>
      </w:r>
      <w:r w:rsidRPr="00EC5864" w:rsidR="0005547C">
        <w:t xml:space="preserve">s favour had remained unenforced. They acknowledged their obligations under the </w:t>
      </w:r>
      <w:r w:rsidRPr="00EC5864" w:rsidR="0005547C">
        <w:rPr>
          <w:i/>
        </w:rPr>
        <w:t>Gerasimov and Others</w:t>
      </w:r>
      <w:r w:rsidRPr="00EC5864" w:rsidR="0005547C">
        <w:t xml:space="preserve"> pilot judgment (cited above) and stated that they would deploy al</w:t>
      </w:r>
      <w:r w:rsidRPr="00EC5864" w:rsidR="00C873E1">
        <w:t>l means to enforce the judgment</w:t>
      </w:r>
      <w:r w:rsidRPr="00EC5864" w:rsidR="0005547C">
        <w:t xml:space="preserve"> which had remained without execution or resolve the issues by any appropriate means. In their further observations the Government argued that the judgment could not have been enforced, as </w:t>
      </w:r>
      <w:r w:rsidRPr="00EC5864" w:rsidR="00C873E1">
        <w:t xml:space="preserve">the applicant </w:t>
      </w:r>
      <w:r w:rsidRPr="00EC5864" w:rsidR="00B876EE">
        <w:t xml:space="preserve">had </w:t>
      </w:r>
      <w:r w:rsidRPr="00EC5864" w:rsidR="00C873E1">
        <w:t xml:space="preserve">received the flat from </w:t>
      </w:r>
      <w:r w:rsidRPr="00EC5864" w:rsidR="00B876EE">
        <w:t>the Ministry of Defense and privatised it.</w:t>
      </w:r>
    </w:p>
    <w:p w:rsidRPr="00EC5864" w:rsidR="005736D7" w:rsidP="00EC5864" w:rsidRDefault="0056648C">
      <w:pPr>
        <w:pStyle w:val="ECHRPara"/>
      </w:pPr>
      <w:r w:rsidRPr="00EC5864">
        <w:fldChar w:fldCharType="begin"/>
      </w:r>
      <w:r w:rsidRPr="00EC5864">
        <w:instrText xml:space="preserve"> SEQ level0 \*arabic </w:instrText>
      </w:r>
      <w:r w:rsidRPr="00EC5864">
        <w:fldChar w:fldCharType="separate"/>
      </w:r>
      <w:r w:rsidRPr="00EC5864" w:rsidR="00EC5864">
        <w:rPr>
          <w:noProof/>
        </w:rPr>
        <w:t>44</w:t>
      </w:r>
      <w:r w:rsidRPr="00EC5864">
        <w:rPr>
          <w:noProof/>
        </w:rPr>
        <w:fldChar w:fldCharType="end"/>
      </w:r>
      <w:r w:rsidRPr="00EC5864" w:rsidR="0077175D">
        <w:t>.  </w:t>
      </w:r>
      <w:r w:rsidRPr="00EC5864" w:rsidR="0005547C">
        <w:t xml:space="preserve">The applicant maintained his complaint. He stated that </w:t>
      </w:r>
      <w:r w:rsidRPr="00EC5864" w:rsidR="00540E49">
        <w:t xml:space="preserve">the judgment had not been quashed or amended but had remained without execution. The Ministry of Defence had never provided the flat in Shchemilovo to him on a permanent basis, but only as </w:t>
      </w:r>
      <w:r w:rsidRPr="00EC5864" w:rsidR="00BD02CF">
        <w:t xml:space="preserve">temporary </w:t>
      </w:r>
      <w:r w:rsidRPr="00EC5864" w:rsidR="00540E49">
        <w:t xml:space="preserve">“service housing”. The transfer of the title </w:t>
      </w:r>
      <w:r w:rsidRPr="00EC5864" w:rsidR="00C873E1">
        <w:t>thereto</w:t>
      </w:r>
      <w:r w:rsidRPr="00EC5864" w:rsidR="00540E49">
        <w:t xml:space="preserve"> from the Ministry of Defence to the municipality had been beyond the applicant</w:t>
      </w:r>
      <w:r w:rsidRPr="00EC5864" w:rsidR="00EC5864">
        <w:t>’</w:t>
      </w:r>
      <w:r w:rsidRPr="00EC5864" w:rsidR="00540E49">
        <w:t xml:space="preserve">s control. The lawfulness of the transfer or of the privatization of the flat by E. had never been reviewed by courts. </w:t>
      </w:r>
      <w:r w:rsidRPr="00EC5864" w:rsidR="00CA4140">
        <w:t xml:space="preserve">Once the flat </w:t>
      </w:r>
      <w:r w:rsidRPr="00EC5864" w:rsidR="00C873E1">
        <w:t>had become</w:t>
      </w:r>
      <w:r w:rsidRPr="00EC5864" w:rsidR="00CA4140">
        <w:t xml:space="preserve"> municipal property, </w:t>
      </w:r>
      <w:r w:rsidRPr="00EC5864" w:rsidR="00BD02CF">
        <w:t xml:space="preserve">it no longer </w:t>
      </w:r>
      <w:r w:rsidRPr="00EC5864" w:rsidR="00C873E1">
        <w:t xml:space="preserve">had </w:t>
      </w:r>
      <w:r w:rsidRPr="00EC5864" w:rsidR="00BD02CF">
        <w:t>any legal tie</w:t>
      </w:r>
      <w:r w:rsidRPr="00EC5864" w:rsidR="00417770">
        <w:t>s</w:t>
      </w:r>
      <w:r w:rsidRPr="00EC5864" w:rsidR="00BD02CF">
        <w:t xml:space="preserve"> with the Ministry of Defence, and could have no longer been regarded</w:t>
      </w:r>
      <w:r w:rsidRPr="00EC5864" w:rsidR="00CA4140">
        <w:t xml:space="preserve"> </w:t>
      </w:r>
      <w:r w:rsidRPr="00EC5864" w:rsidR="00BD02CF">
        <w:t xml:space="preserve">as </w:t>
      </w:r>
      <w:r w:rsidRPr="00EC5864" w:rsidR="00CA4140">
        <w:t xml:space="preserve">service </w:t>
      </w:r>
      <w:r w:rsidRPr="00EC5864" w:rsidR="00BD02CF">
        <w:t>housing.</w:t>
      </w:r>
      <w:r w:rsidRPr="00EC5864" w:rsidR="00CA4140">
        <w:t xml:space="preserve"> </w:t>
      </w:r>
      <w:r w:rsidRPr="00EC5864" w:rsidR="00540E49">
        <w:t xml:space="preserve">The privatization of the flat had been </w:t>
      </w:r>
      <w:r w:rsidRPr="00EC5864" w:rsidR="00417770">
        <w:t>in compliance</w:t>
      </w:r>
      <w:r w:rsidRPr="00EC5864" w:rsidR="00540E49">
        <w:t xml:space="preserve"> with the privatisation laws. He had not lost entitlement to receive State housing. The domestic courts</w:t>
      </w:r>
      <w:r w:rsidRPr="00EC5864" w:rsidR="00EC5864">
        <w:t>’</w:t>
      </w:r>
      <w:r w:rsidRPr="00EC5864" w:rsidR="00540E49">
        <w:t xml:space="preserve"> decisions concerning both the dismissal in 2017 and the termination of the enforcement proceedings in 2018 had been unlawful. He had been under no obligation to vacate the flat in Shchemilovo owned by the third person and not belonging to the applicant or his family members.</w:t>
      </w:r>
    </w:p>
    <w:p w:rsidRPr="00EC5864" w:rsidR="00D420F3" w:rsidP="00EC5864" w:rsidRDefault="0077175D">
      <w:pPr>
        <w:pStyle w:val="ECHRHeading2"/>
      </w:pPr>
      <w:r w:rsidRPr="00EC5864">
        <w:t>A.  Admissibility</w:t>
      </w:r>
    </w:p>
    <w:p w:rsidRPr="00EC5864" w:rsidR="00D420F3" w:rsidP="00EC5864" w:rsidRDefault="005736D7">
      <w:pPr>
        <w:pStyle w:val="ECHRPara"/>
      </w:pPr>
      <w:r w:rsidRPr="00EC5864">
        <w:fldChar w:fldCharType="begin"/>
      </w:r>
      <w:r w:rsidRPr="00EC5864">
        <w:instrText xml:space="preserve"> SEQ level0 \*arabic </w:instrText>
      </w:r>
      <w:r w:rsidRPr="00EC5864">
        <w:fldChar w:fldCharType="separate"/>
      </w:r>
      <w:r w:rsidRPr="00EC5864" w:rsidR="00EC5864">
        <w:rPr>
          <w:noProof/>
        </w:rPr>
        <w:t>45</w:t>
      </w:r>
      <w:r w:rsidRPr="00EC5864">
        <w:fldChar w:fldCharType="end"/>
      </w:r>
      <w:r w:rsidRPr="00EC5864" w:rsidR="0077175D">
        <w:t>.  The Court notes that this complaint is not manifestly ill-founde</w:t>
      </w:r>
      <w:r w:rsidRPr="00EC5864" w:rsidR="0005547C">
        <w:t>d within the meaning of Article </w:t>
      </w:r>
      <w:r w:rsidRPr="00EC5864" w:rsidR="00933ACC">
        <w:t>35 </w:t>
      </w:r>
      <w:r w:rsidRPr="00EC5864" w:rsidR="0077175D">
        <w:t>§</w:t>
      </w:r>
      <w:r w:rsidRPr="00EC5864" w:rsidR="00933ACC">
        <w:t> </w:t>
      </w:r>
      <w:r w:rsidRPr="00EC5864" w:rsidR="0077175D">
        <w:t>3</w:t>
      </w:r>
      <w:r w:rsidRPr="00EC5864" w:rsidR="00933ACC">
        <w:t> </w:t>
      </w:r>
      <w:r w:rsidRPr="00EC5864" w:rsidR="0077175D">
        <w:t>(a) of the Convention. It further notes that it is not inadmissible on any other grounds. It must therefore be declared admissible.</w:t>
      </w:r>
    </w:p>
    <w:p w:rsidRPr="00EC5864" w:rsidR="00D420F3" w:rsidP="00EC5864" w:rsidRDefault="0077175D">
      <w:pPr>
        <w:pStyle w:val="ECHRHeading2"/>
      </w:pPr>
      <w:r w:rsidRPr="00EC5864">
        <w:t>B.  Merits</w:t>
      </w:r>
    </w:p>
    <w:p w:rsidRPr="00EC5864" w:rsidR="006A460B" w:rsidP="00EC5864" w:rsidRDefault="0056648C">
      <w:pPr>
        <w:pStyle w:val="ECHRPara"/>
      </w:pPr>
      <w:r w:rsidRPr="00EC5864">
        <w:fldChar w:fldCharType="begin"/>
      </w:r>
      <w:r w:rsidRPr="00EC5864">
        <w:instrText xml:space="preserve"> SEQ level0 \*arabic </w:instrText>
      </w:r>
      <w:r w:rsidRPr="00EC5864">
        <w:fldChar w:fldCharType="separate"/>
      </w:r>
      <w:r w:rsidRPr="00EC5864" w:rsidR="00EC5864">
        <w:rPr>
          <w:noProof/>
        </w:rPr>
        <w:t>46</w:t>
      </w:r>
      <w:r w:rsidRPr="00EC5864">
        <w:rPr>
          <w:noProof/>
        </w:rPr>
        <w:fldChar w:fldCharType="end"/>
      </w:r>
      <w:r w:rsidRPr="00EC5864" w:rsidR="00C3094A">
        <w:t>.  </w:t>
      </w:r>
      <w:r w:rsidRPr="00EC5864" w:rsidR="00DF5410">
        <w:t>The Court observes at the outset that the judgment of 17 February 2010 has not been annulled or modified to date.</w:t>
      </w:r>
    </w:p>
    <w:bookmarkStart w:name="EntitlementToHousingIssue" w:id="12"/>
    <w:p w:rsidRPr="00EC5864" w:rsidR="00DF5410" w:rsidP="00EC5864" w:rsidRDefault="00EB42C9">
      <w:pPr>
        <w:pStyle w:val="ECHRPara"/>
      </w:pPr>
      <w:r w:rsidRPr="00EC5864">
        <w:fldChar w:fldCharType="begin"/>
      </w:r>
      <w:r w:rsidRPr="00EC5864">
        <w:instrText xml:space="preserve"> SEQ level0 \*arabic </w:instrText>
      </w:r>
      <w:r w:rsidRPr="00EC5864">
        <w:fldChar w:fldCharType="separate"/>
      </w:r>
      <w:r w:rsidRPr="00EC5864" w:rsidR="00EC5864">
        <w:rPr>
          <w:noProof/>
        </w:rPr>
        <w:t>47</w:t>
      </w:r>
      <w:r w:rsidRPr="00EC5864">
        <w:rPr>
          <w:noProof/>
        </w:rPr>
        <w:fldChar w:fldCharType="end"/>
      </w:r>
      <w:bookmarkEnd w:id="12"/>
      <w:r w:rsidRPr="00EC5864" w:rsidR="005805F5">
        <w:t>.  </w:t>
      </w:r>
      <w:r w:rsidRPr="00EC5864" w:rsidR="00C3094A">
        <w:t>The Court notes the Government</w:t>
      </w:r>
      <w:r w:rsidRPr="00EC5864" w:rsidR="00EC5864">
        <w:t>’</w:t>
      </w:r>
      <w:r w:rsidRPr="00EC5864" w:rsidR="00C3094A">
        <w:t xml:space="preserve">s argument to the effect that in April 2016 the applicant was struck off the list of persons in need of housing and the judgment became unenforceable. </w:t>
      </w:r>
      <w:r w:rsidRPr="00EC5864" w:rsidR="000621BF">
        <w:t xml:space="preserve">The Court reiterates its settled approach that any dispute concerning the proper method of enforcement and full and appropriate compliance with a judgment must be first foremost examined by domestic courts (see </w:t>
      </w:r>
      <w:r w:rsidRPr="00EC5864" w:rsidR="000621BF">
        <w:rPr>
          <w:i/>
        </w:rPr>
        <w:t>Gerasimov and Others</w:t>
      </w:r>
      <w:r w:rsidRPr="00EC5864" w:rsidR="000621BF">
        <w:t>, cited above, § 173).</w:t>
      </w:r>
      <w:r w:rsidRPr="00EC5864" w:rsidR="00FE081D">
        <w:t xml:space="preserve"> </w:t>
      </w:r>
      <w:r w:rsidRPr="00EC5864" w:rsidR="00C3094A">
        <w:t xml:space="preserve">However, in </w:t>
      </w:r>
      <w:r w:rsidRPr="00EC5864" w:rsidR="000621BF">
        <w:t>the present case</w:t>
      </w:r>
      <w:r w:rsidRPr="00EC5864" w:rsidR="005805F5">
        <w:t xml:space="preserve"> </w:t>
      </w:r>
      <w:r w:rsidRPr="00EC5864" w:rsidR="009F79D7">
        <w:t>the applicant</w:t>
      </w:r>
      <w:r w:rsidRPr="00EC5864" w:rsidR="00EC5864">
        <w:t>’</w:t>
      </w:r>
      <w:r w:rsidRPr="00EC5864" w:rsidR="009F79D7">
        <w:t xml:space="preserve">s </w:t>
      </w:r>
      <w:r w:rsidRPr="00EC5864" w:rsidR="00264FD1">
        <w:t xml:space="preserve">appeal against </w:t>
      </w:r>
      <w:r w:rsidRPr="00EC5864" w:rsidR="00341DEC">
        <w:t>both the</w:t>
      </w:r>
      <w:r w:rsidRPr="00EC5864" w:rsidR="00264FD1">
        <w:t xml:space="preserve"> </w:t>
      </w:r>
      <w:r w:rsidRPr="00EC5864" w:rsidR="00A53465">
        <w:t>removal from the housing list</w:t>
      </w:r>
      <w:r w:rsidRPr="00EC5864" w:rsidR="004C2008">
        <w:t xml:space="preserve"> </w:t>
      </w:r>
      <w:r w:rsidRPr="00EC5864" w:rsidR="00341DEC">
        <w:t xml:space="preserve">and </w:t>
      </w:r>
      <w:r w:rsidRPr="00EC5864" w:rsidR="00A53465">
        <w:t>the</w:t>
      </w:r>
      <w:r w:rsidRPr="00EC5864" w:rsidR="00341DEC">
        <w:t xml:space="preserve"> dismissal without housing provision </w:t>
      </w:r>
      <w:r w:rsidRPr="00EC5864" w:rsidR="004C2008">
        <w:t xml:space="preserve">was examined by the </w:t>
      </w:r>
      <w:r w:rsidRPr="00EC5864" w:rsidR="00341DEC">
        <w:t xml:space="preserve">first-instance </w:t>
      </w:r>
      <w:r w:rsidRPr="00EC5864" w:rsidR="004C2008">
        <w:t>court and rejected as belated (see paragraph </w:t>
      </w:r>
      <w:r w:rsidRPr="00EC5864" w:rsidR="000621BF">
        <w:fldChar w:fldCharType="begin"/>
      </w:r>
      <w:r w:rsidRPr="00EC5864" w:rsidR="000621BF">
        <w:instrText xml:space="preserve"> REF Judgment27072017re_dismissal \h </w:instrText>
      </w:r>
      <w:r w:rsidRPr="00EC5864" w:rsidR="005805F5">
        <w:instrText xml:space="preserve"> \* MERGEFORMAT </w:instrText>
      </w:r>
      <w:r w:rsidRPr="00EC5864" w:rsidR="000621BF">
        <w:fldChar w:fldCharType="separate"/>
      </w:r>
      <w:r w:rsidRPr="00EC5864" w:rsidR="00EC5864">
        <w:rPr>
          <w:noProof/>
        </w:rPr>
        <w:t>21</w:t>
      </w:r>
      <w:r w:rsidRPr="00EC5864" w:rsidR="000621BF">
        <w:fldChar w:fldCharType="end"/>
      </w:r>
      <w:r w:rsidRPr="00EC5864" w:rsidR="000621BF">
        <w:t xml:space="preserve"> above)</w:t>
      </w:r>
      <w:r w:rsidRPr="00EC5864" w:rsidR="00341DEC">
        <w:t xml:space="preserve">. As </w:t>
      </w:r>
      <w:r w:rsidRPr="00EC5864" w:rsidR="00A53465">
        <w:t>his</w:t>
      </w:r>
      <w:r w:rsidRPr="00EC5864" w:rsidR="004C2008">
        <w:t xml:space="preserve"> subsequent appeals </w:t>
      </w:r>
      <w:r w:rsidRPr="00EC5864" w:rsidR="009F79D7">
        <w:t xml:space="preserve">were disallowed </w:t>
      </w:r>
      <w:r w:rsidRPr="00EC5864" w:rsidR="00D3483C">
        <w:t>owing to</w:t>
      </w:r>
      <w:r w:rsidRPr="00EC5864" w:rsidR="009F79D7">
        <w:t xml:space="preserve"> his failure to comply with formal requirements, that decision became final. </w:t>
      </w:r>
      <w:r w:rsidRPr="00EC5864" w:rsidR="00341DEC">
        <w:t xml:space="preserve">With reference to those proceedings, domestic courts at two instances </w:t>
      </w:r>
      <w:r w:rsidRPr="00EC5864" w:rsidR="00A53465">
        <w:t xml:space="preserve">further </w:t>
      </w:r>
      <w:r w:rsidRPr="00EC5864" w:rsidR="00341DEC">
        <w:t xml:space="preserve">ordered to terminate the enforcement </w:t>
      </w:r>
      <w:r w:rsidRPr="00EC5864" w:rsidR="00995EEF">
        <w:t>proceedings</w:t>
      </w:r>
      <w:r w:rsidRPr="00EC5864" w:rsidR="00341DEC">
        <w:t xml:space="preserve"> (see paragraph </w:t>
      </w:r>
      <w:r w:rsidRPr="00EC5864" w:rsidR="00341DEC">
        <w:fldChar w:fldCharType="begin"/>
      </w:r>
      <w:r w:rsidRPr="00EC5864" w:rsidR="00341DEC">
        <w:instrText xml:space="preserve"> REF Judgment21042017DiscontinueENF_1instance \h </w:instrText>
      </w:r>
      <w:r w:rsidRPr="00EC5864" w:rsidR="005805F5">
        <w:instrText xml:space="preserve"> \* MERGEFORMAT </w:instrText>
      </w:r>
      <w:r w:rsidRPr="00EC5864" w:rsidR="00341DEC">
        <w:fldChar w:fldCharType="separate"/>
      </w:r>
      <w:r w:rsidRPr="00EC5864" w:rsidR="00EC5864">
        <w:rPr>
          <w:noProof/>
        </w:rPr>
        <w:t>34</w:t>
      </w:r>
      <w:r w:rsidRPr="00EC5864" w:rsidR="00341DEC">
        <w:fldChar w:fldCharType="end"/>
      </w:r>
      <w:r w:rsidRPr="00EC5864" w:rsidR="00341DEC">
        <w:t xml:space="preserve"> and </w:t>
      </w:r>
      <w:r w:rsidRPr="00EC5864" w:rsidR="00341DEC">
        <w:fldChar w:fldCharType="begin"/>
      </w:r>
      <w:r w:rsidRPr="00EC5864" w:rsidR="00341DEC">
        <w:instrText xml:space="preserve"> REF Judgment06092017DiscontinueENF_2instance \h </w:instrText>
      </w:r>
      <w:r w:rsidRPr="00EC5864" w:rsidR="005805F5">
        <w:instrText xml:space="preserve"> \* MERGEFORMAT </w:instrText>
      </w:r>
      <w:r w:rsidRPr="00EC5864" w:rsidR="00341DEC">
        <w:fldChar w:fldCharType="separate"/>
      </w:r>
      <w:r w:rsidRPr="00EC5864" w:rsidR="00EC5864">
        <w:rPr>
          <w:noProof/>
        </w:rPr>
        <w:t>35</w:t>
      </w:r>
      <w:r w:rsidRPr="00EC5864" w:rsidR="00341DEC">
        <w:fldChar w:fldCharType="end"/>
      </w:r>
      <w:r w:rsidRPr="00EC5864" w:rsidR="00341DEC">
        <w:t xml:space="preserve"> above). </w:t>
      </w:r>
      <w:r w:rsidRPr="00EC5864" w:rsidR="00A3078F">
        <w:t xml:space="preserve">In </w:t>
      </w:r>
      <w:r w:rsidRPr="00EC5864" w:rsidR="00CD7951">
        <w:t>any event, the</w:t>
      </w:r>
      <w:r w:rsidRPr="00EC5864" w:rsidR="00A3078F">
        <w:t xml:space="preserve"> Court </w:t>
      </w:r>
      <w:r w:rsidRPr="00EC5864" w:rsidR="00CD7951">
        <w:t xml:space="preserve">does not need to </w:t>
      </w:r>
      <w:r w:rsidRPr="00EC5864" w:rsidR="00375193">
        <w:t xml:space="preserve">examine </w:t>
      </w:r>
      <w:r w:rsidRPr="00EC5864">
        <w:t xml:space="preserve">the issue of </w:t>
      </w:r>
      <w:r w:rsidRPr="00EC5864" w:rsidR="0056648C">
        <w:t xml:space="preserve">either the legal status of the flat in Shchemilovo or </w:t>
      </w:r>
      <w:r w:rsidRPr="00EC5864">
        <w:t>the applicant</w:t>
      </w:r>
      <w:r w:rsidRPr="00EC5864" w:rsidR="00EC5864">
        <w:t>’</w:t>
      </w:r>
      <w:r w:rsidRPr="00EC5864">
        <w:t>s entitlement to State housing</w:t>
      </w:r>
      <w:r w:rsidRPr="00EC5864" w:rsidR="00CD7951">
        <w:t>,</w:t>
      </w:r>
      <w:r w:rsidRPr="00EC5864" w:rsidR="000562EE">
        <w:t xml:space="preserve"> </w:t>
      </w:r>
      <w:r w:rsidRPr="00EC5864" w:rsidR="00375193">
        <w:t>for the following reasons</w:t>
      </w:r>
      <w:r w:rsidRPr="00EC5864" w:rsidR="00A3078F">
        <w:t>.</w:t>
      </w:r>
    </w:p>
    <w:bookmarkStart w:name="EnforcementPeriod" w:id="13"/>
    <w:p w:rsidRPr="00EC5864" w:rsidR="006A460B" w:rsidP="00EC5864" w:rsidRDefault="00EB42C9">
      <w:pPr>
        <w:pStyle w:val="ECHRPara"/>
        <w:rPr>
          <w:lang w:val="pt-PT"/>
        </w:rPr>
      </w:pPr>
      <w:r w:rsidRPr="00EC5864">
        <w:fldChar w:fldCharType="begin"/>
      </w:r>
      <w:r w:rsidRPr="00EC5864">
        <w:instrText xml:space="preserve"> SEQ level0 \*arabic </w:instrText>
      </w:r>
      <w:r w:rsidRPr="00EC5864">
        <w:fldChar w:fldCharType="separate"/>
      </w:r>
      <w:r w:rsidRPr="00EC5864" w:rsidR="00EC5864">
        <w:rPr>
          <w:noProof/>
        </w:rPr>
        <w:t>48</w:t>
      </w:r>
      <w:r w:rsidRPr="00EC5864">
        <w:rPr>
          <w:noProof/>
        </w:rPr>
        <w:fldChar w:fldCharType="end"/>
      </w:r>
      <w:bookmarkEnd w:id="13"/>
      <w:r w:rsidRPr="00EC5864" w:rsidR="00DF5410">
        <w:t>.  </w:t>
      </w:r>
      <w:r w:rsidRPr="00EC5864" w:rsidR="00375193">
        <w:t>The Court</w:t>
      </w:r>
      <w:r w:rsidRPr="00EC5864" w:rsidR="00DF5410">
        <w:t xml:space="preserve"> notes</w:t>
      </w:r>
      <w:r w:rsidRPr="00EC5864" w:rsidR="005805F5">
        <w:t xml:space="preserve"> </w:t>
      </w:r>
      <w:r w:rsidRPr="00EC5864" w:rsidR="00DF5410">
        <w:t xml:space="preserve">that in any event the </w:t>
      </w:r>
      <w:r w:rsidRPr="00EC5864" w:rsidR="00D77DD4">
        <w:t>Government provided no reasons for the authorities</w:t>
      </w:r>
      <w:r w:rsidRPr="00EC5864" w:rsidR="00EC5864">
        <w:t>’</w:t>
      </w:r>
      <w:r w:rsidRPr="00EC5864" w:rsidR="00D77DD4">
        <w:t xml:space="preserve"> failure to enforce the judgment prior to </w:t>
      </w:r>
      <w:r w:rsidRPr="00EC5864" w:rsidR="00DF5410">
        <w:t xml:space="preserve">April </w:t>
      </w:r>
      <w:r w:rsidRPr="00EC5864" w:rsidR="00D77DD4">
        <w:t>2016, when the applicant</w:t>
      </w:r>
      <w:r w:rsidRPr="00EC5864" w:rsidR="00EC5864">
        <w:t>’</w:t>
      </w:r>
      <w:r w:rsidRPr="00EC5864" w:rsidR="00D77DD4">
        <w:t>s name was str</w:t>
      </w:r>
      <w:r w:rsidRPr="00EC5864" w:rsidR="00301CA7">
        <w:t xml:space="preserve">uck off the housing list, that is for more than six years. </w:t>
      </w:r>
      <w:r w:rsidRPr="00EC5864" w:rsidR="00C3094A">
        <w:t xml:space="preserve">As regards the subsequent period, the </w:t>
      </w:r>
      <w:r w:rsidRPr="00EC5864" w:rsidR="00D77DD4">
        <w:t>Court notes that i</w:t>
      </w:r>
      <w:r w:rsidRPr="00EC5864" w:rsidR="00341DEC">
        <w:t>n</w:t>
      </w:r>
      <w:r w:rsidRPr="00EC5864" w:rsidR="00BA337D">
        <w:t xml:space="preserve"> 2017 the domestic court </w:t>
      </w:r>
      <w:r w:rsidRPr="00EC5864" w:rsidR="00C3094A">
        <w:t xml:space="preserve">confirmed that the possibility to enforce the judgment had not been lost at the material time </w:t>
      </w:r>
      <w:r w:rsidRPr="00EC5864" w:rsidR="00BA337D">
        <w:t>(see paragraph </w:t>
      </w:r>
      <w:r w:rsidRPr="00EC5864" w:rsidR="007E2F77">
        <w:fldChar w:fldCharType="begin"/>
      </w:r>
      <w:r w:rsidRPr="00EC5864" w:rsidR="007E2F77">
        <w:instrText xml:space="preserve"> REF Judgment21042017PresnenskiyDC \h </w:instrText>
      </w:r>
      <w:r w:rsidRPr="00EC5864" w:rsidR="007E2F77">
        <w:fldChar w:fldCharType="separate"/>
      </w:r>
      <w:r w:rsidRPr="00EC5864" w:rsidR="00EC5864">
        <w:rPr>
          <w:noProof/>
        </w:rPr>
        <w:t>31</w:t>
      </w:r>
      <w:r w:rsidRPr="00EC5864" w:rsidR="007E2F77">
        <w:fldChar w:fldCharType="end"/>
      </w:r>
      <w:r w:rsidRPr="00EC5864" w:rsidR="00BA337D">
        <w:t xml:space="preserve"> above). </w:t>
      </w:r>
      <w:r w:rsidRPr="00EC5864" w:rsidR="00C76C79">
        <w:t>T</w:t>
      </w:r>
      <w:r w:rsidRPr="00EC5864" w:rsidR="007E2F77">
        <w:t xml:space="preserve">he defendant did not appeal against </w:t>
      </w:r>
      <w:r w:rsidRPr="00EC5864" w:rsidR="00C3094A">
        <w:t>that decision which accordingly became final</w:t>
      </w:r>
      <w:r w:rsidRPr="00EC5864" w:rsidR="00266333">
        <w:t>. I</w:t>
      </w:r>
      <w:r w:rsidRPr="00EC5864" w:rsidR="00C3094A">
        <w:t xml:space="preserve">nstead, </w:t>
      </w:r>
      <w:r w:rsidRPr="00EC5864" w:rsidR="00AE4AF0">
        <w:t>the debtor authority</w:t>
      </w:r>
      <w:r w:rsidRPr="00EC5864" w:rsidR="00C3094A">
        <w:t xml:space="preserve"> cho</w:t>
      </w:r>
      <w:r w:rsidRPr="00EC5864" w:rsidR="007E2F77">
        <w:t xml:space="preserve">se to introduce a new request </w:t>
      </w:r>
      <w:r w:rsidRPr="00EC5864" w:rsidR="00AE4AF0">
        <w:t>for termination of</w:t>
      </w:r>
      <w:r w:rsidRPr="00EC5864" w:rsidR="007E2F77">
        <w:t xml:space="preserve"> the enforcement with military courts</w:t>
      </w:r>
      <w:r w:rsidRPr="00EC5864" w:rsidR="00DF5410">
        <w:t xml:space="preserve">, </w:t>
      </w:r>
      <w:r w:rsidRPr="00EC5864" w:rsidR="007E2F77">
        <w:t xml:space="preserve">which granted </w:t>
      </w:r>
      <w:r w:rsidRPr="00EC5864" w:rsidR="00AE4AF0">
        <w:t>it</w:t>
      </w:r>
      <w:r w:rsidRPr="00EC5864" w:rsidR="007E2F77">
        <w:t xml:space="preserve"> </w:t>
      </w:r>
      <w:r w:rsidRPr="00EC5864" w:rsidR="00AE4AF0">
        <w:t xml:space="preserve">on 21 April </w:t>
      </w:r>
      <w:r w:rsidRPr="00EC5864" w:rsidR="007E2F77">
        <w:t xml:space="preserve">2018 </w:t>
      </w:r>
      <w:r w:rsidRPr="00EC5864" w:rsidR="00BA337D">
        <w:t>(see paragraph</w:t>
      </w:r>
      <w:r w:rsidRPr="00EC5864" w:rsidR="007E2F77">
        <w:t>s</w:t>
      </w:r>
      <w:r w:rsidRPr="00EC5864" w:rsidR="00AE4AF0">
        <w:t> </w:t>
      </w:r>
      <w:r w:rsidRPr="00EC5864" w:rsidR="007E2F77">
        <w:fldChar w:fldCharType="begin"/>
      </w:r>
      <w:r w:rsidRPr="00EC5864" w:rsidR="007E2F77">
        <w:instrText xml:space="preserve"> REF Judgment21042017DiscontinueENF_1instance \h </w:instrText>
      </w:r>
      <w:r w:rsidRPr="00EC5864" w:rsidR="007E2F77">
        <w:fldChar w:fldCharType="separate"/>
      </w:r>
      <w:r w:rsidRPr="00EC5864" w:rsidR="00EC5864">
        <w:rPr>
          <w:noProof/>
        </w:rPr>
        <w:t>34</w:t>
      </w:r>
      <w:r w:rsidRPr="00EC5864" w:rsidR="007E2F77">
        <w:fldChar w:fldCharType="end"/>
      </w:r>
      <w:r w:rsidRPr="00EC5864" w:rsidR="007E2F77">
        <w:t xml:space="preserve"> </w:t>
      </w:r>
      <w:r w:rsidRPr="00EC5864" w:rsidR="00BA337D">
        <w:t xml:space="preserve">and </w:t>
      </w:r>
      <w:r w:rsidRPr="00EC5864" w:rsidR="007E2F77">
        <w:fldChar w:fldCharType="begin"/>
      </w:r>
      <w:r w:rsidRPr="00EC5864" w:rsidR="007E2F77">
        <w:instrText xml:space="preserve"> REF Judgment06092017DiscontinueENF_2instance \h </w:instrText>
      </w:r>
      <w:r w:rsidRPr="00EC5864" w:rsidR="007E2F77">
        <w:fldChar w:fldCharType="separate"/>
      </w:r>
      <w:r w:rsidRPr="00EC5864" w:rsidR="00EC5864">
        <w:rPr>
          <w:noProof/>
        </w:rPr>
        <w:t>35</w:t>
      </w:r>
      <w:r w:rsidRPr="00EC5864" w:rsidR="007E2F77">
        <w:fldChar w:fldCharType="end"/>
      </w:r>
      <w:r w:rsidRPr="00EC5864" w:rsidR="00BA337D">
        <w:t xml:space="preserve"> above). Without delving into the issue of an alleged discrepancy between the courts</w:t>
      </w:r>
      <w:r w:rsidRPr="00EC5864" w:rsidR="00EC5864">
        <w:t>’</w:t>
      </w:r>
      <w:r w:rsidRPr="00EC5864" w:rsidR="00BA337D">
        <w:t xml:space="preserve"> conclusions in th</w:t>
      </w:r>
      <w:r w:rsidRPr="00EC5864" w:rsidR="00C3094A">
        <w:t>ose</w:t>
      </w:r>
      <w:r w:rsidRPr="00EC5864" w:rsidR="00BA337D">
        <w:t xml:space="preserve"> </w:t>
      </w:r>
      <w:r w:rsidRPr="00EC5864" w:rsidR="00C3094A">
        <w:t xml:space="preserve">two </w:t>
      </w:r>
      <w:r w:rsidRPr="00EC5864" w:rsidR="00BA337D">
        <w:t xml:space="preserve">sets of proceedings, the Court finds it sufficient to note that at least by </w:t>
      </w:r>
      <w:r w:rsidRPr="00EC5864" w:rsidR="007E2F77">
        <w:t>21 April 2018</w:t>
      </w:r>
      <w:r w:rsidRPr="00EC5864" w:rsidR="00BA337D">
        <w:t>, when the authority</w:t>
      </w:r>
      <w:r w:rsidRPr="00EC5864" w:rsidR="00EC5864">
        <w:t>’</w:t>
      </w:r>
      <w:r w:rsidRPr="00EC5864" w:rsidR="00BA337D">
        <w:t xml:space="preserve">s request to discontinue the enforcement was granted by the first instance court, the judgment of </w:t>
      </w:r>
      <w:r w:rsidRPr="00EC5864" w:rsidR="00D77DD4">
        <w:t xml:space="preserve">17 February 2010 </w:t>
      </w:r>
      <w:r w:rsidRPr="00EC5864" w:rsidR="00BA337D">
        <w:t>in the applicant</w:t>
      </w:r>
      <w:r w:rsidRPr="00EC5864" w:rsidR="00EC5864">
        <w:t>’</w:t>
      </w:r>
      <w:r w:rsidRPr="00EC5864" w:rsidR="00BA337D">
        <w:t xml:space="preserve">s favour had already remained without execution for more than </w:t>
      </w:r>
      <w:r w:rsidRPr="00EC5864" w:rsidR="007E2F77">
        <w:t>eight</w:t>
      </w:r>
      <w:r w:rsidRPr="00EC5864" w:rsidR="00BA337D">
        <w:t xml:space="preserve"> years</w:t>
      </w:r>
      <w:r w:rsidRPr="00EC5864" w:rsidR="00C3094A">
        <w:t>, and its enforceability was confirmed by the final domestic court</w:t>
      </w:r>
      <w:r w:rsidRPr="00EC5864" w:rsidR="00EC5864">
        <w:t>’</w:t>
      </w:r>
      <w:r w:rsidRPr="00EC5864" w:rsidR="00C3094A">
        <w:t>s decision in 2017 (see paragraphs </w:t>
      </w:r>
      <w:r w:rsidRPr="00EC5864" w:rsidR="00C3094A">
        <w:fldChar w:fldCharType="begin"/>
      </w:r>
      <w:r w:rsidRPr="00EC5864" w:rsidR="00C3094A">
        <w:instrText xml:space="preserve"> REF Judgment21042017PresnenskiyDC \h  \* MERGEFORMAT </w:instrText>
      </w:r>
      <w:r w:rsidRPr="00EC5864" w:rsidR="00C3094A">
        <w:fldChar w:fldCharType="separate"/>
      </w:r>
      <w:r w:rsidRPr="00EC5864" w:rsidR="00EC5864">
        <w:rPr>
          <w:noProof/>
        </w:rPr>
        <w:t>31</w:t>
      </w:r>
      <w:r w:rsidRPr="00EC5864" w:rsidR="00C3094A">
        <w:fldChar w:fldCharType="end"/>
      </w:r>
      <w:r w:rsidRPr="00EC5864" w:rsidR="00C3094A">
        <w:t xml:space="preserve"> and </w:t>
      </w:r>
      <w:r w:rsidRPr="00EC5864" w:rsidR="00C3094A">
        <w:fldChar w:fldCharType="begin"/>
      </w:r>
      <w:r w:rsidRPr="00EC5864" w:rsidR="00C3094A">
        <w:instrText xml:space="preserve"> REF Bailiff_refusal \h  \* MERGEFORMAT </w:instrText>
      </w:r>
      <w:r w:rsidRPr="00EC5864" w:rsidR="00C3094A">
        <w:fldChar w:fldCharType="separate"/>
      </w:r>
      <w:r w:rsidRPr="00EC5864" w:rsidR="00EC5864">
        <w:rPr>
          <w:noProof/>
        </w:rPr>
        <w:t>32</w:t>
      </w:r>
      <w:r w:rsidRPr="00EC5864" w:rsidR="00C3094A">
        <w:fldChar w:fldCharType="end"/>
      </w:r>
      <w:r w:rsidRPr="00EC5864" w:rsidR="00C3094A">
        <w:t xml:space="preserve"> above; </w:t>
      </w:r>
      <w:r w:rsidRPr="00EC5864" w:rsidR="007E2F77">
        <w:t xml:space="preserve">see, </w:t>
      </w:r>
      <w:r w:rsidRPr="00EC5864" w:rsidR="007E2F77">
        <w:rPr>
          <w:i/>
        </w:rPr>
        <w:t>mutatis</w:t>
      </w:r>
      <w:r w:rsidRPr="00EC5864" w:rsidR="007E2F77">
        <w:t xml:space="preserve"> </w:t>
      </w:r>
      <w:r w:rsidRPr="00EC5864" w:rsidR="007E2F77">
        <w:rPr>
          <w:i/>
        </w:rPr>
        <w:t>mutandis</w:t>
      </w:r>
      <w:r w:rsidRPr="00EC5864" w:rsidR="007E2F77">
        <w:t xml:space="preserve">, </w:t>
      </w:r>
      <w:r w:rsidRPr="00EC5864" w:rsidR="007E2F77">
        <w:rPr>
          <w:i/>
          <w:lang w:val="pt-PT"/>
        </w:rPr>
        <w:t>Kotsar v. Russia</w:t>
      </w:r>
      <w:r w:rsidRPr="00EC5864" w:rsidR="007E2F77">
        <w:rPr>
          <w:lang w:val="pt-PT"/>
        </w:rPr>
        <w:t>, no. </w:t>
      </w:r>
      <w:r w:rsidRPr="00EC5864" w:rsidR="00D001D8">
        <w:rPr>
          <w:lang w:val="pt-PT"/>
        </w:rPr>
        <w:t>25971/03, § 28, 29 January 2009,</w:t>
      </w:r>
      <w:r w:rsidRPr="00EC5864" w:rsidR="007E2F77">
        <w:rPr>
          <w:lang w:val="pt-PT"/>
        </w:rPr>
        <w:t xml:space="preserve"> and </w:t>
      </w:r>
      <w:r w:rsidRPr="00EC5864" w:rsidR="007E2F77">
        <w:rPr>
          <w:i/>
          <w:lang w:val="pt-PT"/>
        </w:rPr>
        <w:t>Anankin and Others</w:t>
      </w:r>
      <w:r w:rsidRPr="00EC5864" w:rsidR="007E2F77">
        <w:rPr>
          <w:lang w:val="pt-PT"/>
        </w:rPr>
        <w:t>, no. </w:t>
      </w:r>
      <w:r w:rsidRPr="00EC5864" w:rsidR="007E2F77">
        <w:t>79757/12, § 62, 22 January 2019</w:t>
      </w:r>
      <w:r w:rsidRPr="00EC5864" w:rsidR="007E2F77">
        <w:rPr>
          <w:lang w:val="pt-PT"/>
        </w:rPr>
        <w:t>)</w:t>
      </w:r>
      <w:r w:rsidRPr="00EC5864" w:rsidR="00BA337D">
        <w:t xml:space="preserve">. </w:t>
      </w:r>
      <w:r w:rsidRPr="00EC5864" w:rsidR="00C3094A">
        <w:t>Accordingly, the period until</w:t>
      </w:r>
      <w:r w:rsidRPr="00EC5864" w:rsidR="005563B0">
        <w:t xml:space="preserve"> at least </w:t>
      </w:r>
      <w:r w:rsidRPr="00EC5864" w:rsidR="0056648C">
        <w:t xml:space="preserve">21 </w:t>
      </w:r>
      <w:r w:rsidRPr="00EC5864" w:rsidR="005563B0">
        <w:t xml:space="preserve">April 2018 </w:t>
      </w:r>
      <w:r w:rsidRPr="00EC5864" w:rsidR="00C3094A">
        <w:t>is</w:t>
      </w:r>
      <w:r w:rsidRPr="00EC5864" w:rsidR="00BA337D">
        <w:t xml:space="preserve"> attributable to the authorities</w:t>
      </w:r>
      <w:r w:rsidRPr="00EC5864" w:rsidR="00375193">
        <w:t xml:space="preserve"> and</w:t>
      </w:r>
      <w:r w:rsidRPr="00EC5864" w:rsidR="00301CA7">
        <w:t xml:space="preserve"> </w:t>
      </w:r>
      <w:r w:rsidRPr="00EC5864" w:rsidR="00BA337D">
        <w:t>is clearly in breach</w:t>
      </w:r>
      <w:r w:rsidRPr="00EC5864" w:rsidR="007E2F77">
        <w:t xml:space="preserve"> of the Convention requirements</w:t>
      </w:r>
      <w:r w:rsidRPr="00EC5864" w:rsidR="00141EB0">
        <w:t xml:space="preserve"> (see </w:t>
      </w:r>
      <w:r w:rsidRPr="00EC5864" w:rsidR="00141EB0">
        <w:rPr>
          <w:i/>
        </w:rPr>
        <w:t>Gerasimov and Others</w:t>
      </w:r>
      <w:r w:rsidRPr="00EC5864" w:rsidR="00141EB0">
        <w:t>, cited above, § </w:t>
      </w:r>
      <w:r w:rsidRPr="00EC5864" w:rsidR="007E2F77">
        <w:t>171</w:t>
      </w:r>
      <w:r w:rsidRPr="00EC5864" w:rsidR="00141EB0">
        <w:t>).</w:t>
      </w:r>
    </w:p>
    <w:p w:rsidRPr="00EC5864" w:rsidR="0043348B" w:rsidP="00EC5864" w:rsidRDefault="00EB42C9">
      <w:pPr>
        <w:pStyle w:val="ECHRPara"/>
      </w:pPr>
      <w:r w:rsidRPr="00EC5864">
        <w:rPr>
          <w:lang w:val="pt-PT"/>
        </w:rPr>
        <w:fldChar w:fldCharType="begin"/>
      </w:r>
      <w:r w:rsidRPr="00EC5864">
        <w:rPr>
          <w:lang w:val="pt-PT"/>
        </w:rPr>
        <w:instrText xml:space="preserve"> SEQ level0 \*arabic </w:instrText>
      </w:r>
      <w:r w:rsidRPr="00EC5864">
        <w:rPr>
          <w:lang w:val="pt-PT"/>
        </w:rPr>
        <w:fldChar w:fldCharType="separate"/>
      </w:r>
      <w:r w:rsidRPr="00EC5864" w:rsidR="00EC5864">
        <w:rPr>
          <w:noProof/>
          <w:lang w:val="pt-PT"/>
        </w:rPr>
        <w:t>49</w:t>
      </w:r>
      <w:r w:rsidRPr="00EC5864">
        <w:rPr>
          <w:lang w:val="pt-PT"/>
        </w:rPr>
        <w:fldChar w:fldCharType="end"/>
      </w:r>
      <w:r w:rsidRPr="00EC5864">
        <w:rPr>
          <w:lang w:val="pt-PT"/>
        </w:rPr>
        <w:t>.  </w:t>
      </w:r>
      <w:r w:rsidRPr="00EC5864" w:rsidR="0043348B">
        <w:t>Having regard to its case-law on the subject, the Court considers that the authorities did not deploy all necessary efforts to enforce fully and in due time the judicial decision in the applicant</w:t>
      </w:r>
      <w:r w:rsidRPr="00EC5864" w:rsidR="00EC5864">
        <w:t>’</w:t>
      </w:r>
      <w:r w:rsidRPr="00EC5864" w:rsidR="0043348B">
        <w:t>s favour.</w:t>
      </w:r>
    </w:p>
    <w:p w:rsidRPr="00EC5864" w:rsidR="0043348B" w:rsidP="00EC5864" w:rsidRDefault="0043348B">
      <w:pPr>
        <w:pStyle w:val="ECHRPara"/>
      </w:pPr>
      <w:r w:rsidRPr="00EC5864">
        <w:fldChar w:fldCharType="begin"/>
      </w:r>
      <w:r w:rsidRPr="00EC5864">
        <w:instrText xml:space="preserve"> SEQ level0 \*arabic </w:instrText>
      </w:r>
      <w:r w:rsidRPr="00EC5864">
        <w:fldChar w:fldCharType="separate"/>
      </w:r>
      <w:r w:rsidRPr="00EC5864" w:rsidR="00EC5864">
        <w:rPr>
          <w:noProof/>
        </w:rPr>
        <w:t>50</w:t>
      </w:r>
      <w:r w:rsidRPr="00EC5864">
        <w:fldChar w:fldCharType="end"/>
      </w:r>
      <w:r w:rsidRPr="00EC5864">
        <w:t>.  His complaint therefore discloses a breach of Article 6 § 1 of the Convention and Article 1 of Protocol No. 1.</w:t>
      </w:r>
    </w:p>
    <w:p w:rsidRPr="00EC5864" w:rsidR="00D420F3" w:rsidP="00EC5864" w:rsidRDefault="00F259D3">
      <w:pPr>
        <w:pStyle w:val="ECHRHeading1"/>
      </w:pPr>
      <w:r w:rsidRPr="00EC5864">
        <w:t>II</w:t>
      </w:r>
      <w:r w:rsidRPr="00EC5864" w:rsidR="0077175D">
        <w:t>.  ALLEGED VIOLATION OF ARTICLE</w:t>
      </w:r>
      <w:r w:rsidRPr="00EC5864" w:rsidR="00141EB0">
        <w:t> </w:t>
      </w:r>
      <w:r w:rsidRPr="00EC5864">
        <w:t>13</w:t>
      </w:r>
      <w:r w:rsidRPr="00EC5864" w:rsidR="0077175D">
        <w:t xml:space="preserve"> OF THE CONVENTION</w:t>
      </w:r>
    </w:p>
    <w:p w:rsidRPr="00EC5864" w:rsidR="00E83906" w:rsidP="00EC5864" w:rsidRDefault="005736D7">
      <w:pPr>
        <w:pStyle w:val="ECHRPara"/>
      </w:pPr>
      <w:r w:rsidRPr="00EC5864">
        <w:fldChar w:fldCharType="begin"/>
      </w:r>
      <w:r w:rsidRPr="00EC5864">
        <w:instrText xml:space="preserve"> SEQ level0 \*arabic </w:instrText>
      </w:r>
      <w:r w:rsidRPr="00EC5864">
        <w:fldChar w:fldCharType="separate"/>
      </w:r>
      <w:r w:rsidRPr="00EC5864" w:rsidR="00EC5864">
        <w:rPr>
          <w:noProof/>
        </w:rPr>
        <w:t>51</w:t>
      </w:r>
      <w:r w:rsidRPr="00EC5864">
        <w:fldChar w:fldCharType="end"/>
      </w:r>
      <w:r w:rsidRPr="00EC5864" w:rsidR="0077175D">
        <w:t>.  </w:t>
      </w:r>
      <w:r w:rsidRPr="00EC5864" w:rsidR="00E83906">
        <w:t>The applicant may be understood to complain about the lack of an effective domestic remedy in respect of the non-enforcement. Relevant Convention provision reads as follows:</w:t>
      </w:r>
    </w:p>
    <w:p w:rsidRPr="00EC5864" w:rsidR="00E83906" w:rsidP="00EC5864" w:rsidRDefault="00E83906">
      <w:pPr>
        <w:pStyle w:val="ECHRTitleCentre3"/>
      </w:pPr>
      <w:r w:rsidRPr="00EC5864">
        <w:t>Article 13</w:t>
      </w:r>
    </w:p>
    <w:p w:rsidRPr="00EC5864" w:rsidR="00E83906" w:rsidP="00EC5864" w:rsidRDefault="00D001D8">
      <w:pPr>
        <w:pStyle w:val="ECHRParaQuote"/>
      </w:pPr>
      <w:r w:rsidRPr="00EC5864">
        <w:t>“</w:t>
      </w:r>
      <w:r w:rsidRPr="00EC5864" w:rsidR="00E83906">
        <w:t>Everyone whose rights and freedoms as set forth in [the] Convention are violated shall have an effective remedy before a national authority notwithstanding that the violation has been committed by persons acting in an official capacity.”</w:t>
      </w:r>
    </w:p>
    <w:p w:rsidRPr="00EC5864" w:rsidR="00E83906" w:rsidP="00EC5864" w:rsidRDefault="0056648C">
      <w:pPr>
        <w:pStyle w:val="ECHRPara"/>
      </w:pPr>
      <w:r w:rsidRPr="00EC5864">
        <w:fldChar w:fldCharType="begin"/>
      </w:r>
      <w:r w:rsidRPr="00EC5864">
        <w:instrText xml:space="preserve"> SEQ level0 \*arabic </w:instrText>
      </w:r>
      <w:r w:rsidRPr="00EC5864">
        <w:fldChar w:fldCharType="separate"/>
      </w:r>
      <w:r w:rsidRPr="00EC5864" w:rsidR="00EC5864">
        <w:rPr>
          <w:noProof/>
        </w:rPr>
        <w:t>52</w:t>
      </w:r>
      <w:r w:rsidRPr="00EC5864">
        <w:rPr>
          <w:noProof/>
        </w:rPr>
        <w:fldChar w:fldCharType="end"/>
      </w:r>
      <w:r w:rsidRPr="00EC5864" w:rsidR="00E83906">
        <w:t>.  The Court has already noted the existence of a new domestic remedy against the non-enforcement of domestic judgments imposing obligations of a pecuniary and non-pecuniary nature on the Russian authorities, introduced in the wake of the pilot judgment by Federal Law No.</w:t>
      </w:r>
      <w:r w:rsidRPr="00EC5864" w:rsidR="00D072D5">
        <w:t> </w:t>
      </w:r>
      <w:r w:rsidRPr="00EC5864" w:rsidR="00E83906">
        <w:t xml:space="preserve">450-FZ amending the Compensation Act of 2010. That statute, which entered into force on 1 January 2017, enables those concerned to seek compensation for damage sustained as a result of excessive delays in the enforcement of court judgments ordering the domestic authorities to fulfil various obligations in kind (see </w:t>
      </w:r>
      <w:r w:rsidRPr="00EC5864" w:rsidR="00E83906">
        <w:rPr>
          <w:i/>
          <w:iCs/>
        </w:rPr>
        <w:t>Kamneva and Others v. Russia</w:t>
      </w:r>
      <w:r w:rsidRPr="00EC5864" w:rsidR="00E83906">
        <w:t xml:space="preserve"> (dec.), nos. 35555/05 and 6 others, 2 May 2017). The Court has found that the amended Compensation Act in principle meets the criteria set out in the </w:t>
      </w:r>
      <w:r w:rsidRPr="00EC5864" w:rsidR="00E83906">
        <w:rPr>
          <w:i/>
          <w:iCs/>
        </w:rPr>
        <w:t>Gerasimov and Others</w:t>
      </w:r>
      <w:r w:rsidRPr="00EC5864" w:rsidR="00E83906">
        <w:t xml:space="preserve"> pilot judgment and provides the applicants with a potentially effective remedy for their non-enforcement complaint (see </w:t>
      </w:r>
      <w:r w:rsidRPr="00EC5864" w:rsidR="00E83906">
        <w:rPr>
          <w:i/>
          <w:iCs/>
        </w:rPr>
        <w:t>Shtolts and Others</w:t>
      </w:r>
      <w:r w:rsidRPr="00EC5864" w:rsidR="00E83906">
        <w:t>, cited above, §§ 87-116 and 123).</w:t>
      </w:r>
    </w:p>
    <w:p w:rsidRPr="00EC5864" w:rsidR="00E83906" w:rsidP="00EC5864" w:rsidRDefault="0056648C">
      <w:pPr>
        <w:pStyle w:val="ECHRPara"/>
      </w:pPr>
      <w:r w:rsidRPr="00EC5864">
        <w:fldChar w:fldCharType="begin"/>
      </w:r>
      <w:r w:rsidRPr="00EC5864">
        <w:instrText xml:space="preserve"> SEQ level0 \*arabic </w:instrText>
      </w:r>
      <w:r w:rsidRPr="00EC5864">
        <w:fldChar w:fldCharType="separate"/>
      </w:r>
      <w:r w:rsidRPr="00EC5864" w:rsidR="00EC5864">
        <w:rPr>
          <w:noProof/>
        </w:rPr>
        <w:t>53</w:t>
      </w:r>
      <w:r w:rsidRPr="00EC5864">
        <w:rPr>
          <w:noProof/>
        </w:rPr>
        <w:fldChar w:fldCharType="end"/>
      </w:r>
      <w:r w:rsidRPr="00EC5864" w:rsidR="00E83906">
        <w:t xml:space="preserve">.  Even though the remedy was – and still is – available to the applicant, the Court reiterates that it would be unfair to request the applicants whose cases have already been pending for many years in the domestic system and who have come to seek relief at the Court, to bring again their claims before domestic tribunals (see </w:t>
      </w:r>
      <w:r w:rsidRPr="00EC5864" w:rsidR="00E83906">
        <w:rPr>
          <w:i/>
          <w:iCs/>
        </w:rPr>
        <w:t>Gerasimov and Others</w:t>
      </w:r>
      <w:r w:rsidRPr="00EC5864" w:rsidR="00E83906">
        <w:t>, cited above, § 230).</w:t>
      </w:r>
    </w:p>
    <w:p w:rsidRPr="00EC5864" w:rsidR="00E83906" w:rsidP="00EC5864" w:rsidRDefault="0056648C">
      <w:pPr>
        <w:pStyle w:val="ECHRPara"/>
      </w:pPr>
      <w:r w:rsidRPr="00EC5864">
        <w:fldChar w:fldCharType="begin"/>
      </w:r>
      <w:r w:rsidRPr="00EC5864">
        <w:instrText xml:space="preserve"> SEQ level0 \*arabic </w:instrText>
      </w:r>
      <w:r w:rsidRPr="00EC5864">
        <w:fldChar w:fldCharType="separate"/>
      </w:r>
      <w:r w:rsidRPr="00EC5864" w:rsidR="00EC5864">
        <w:rPr>
          <w:noProof/>
        </w:rPr>
        <w:t>54</w:t>
      </w:r>
      <w:r w:rsidRPr="00EC5864">
        <w:rPr>
          <w:noProof/>
        </w:rPr>
        <w:fldChar w:fldCharType="end"/>
      </w:r>
      <w:r w:rsidRPr="00EC5864" w:rsidR="00E83906">
        <w:t>.  However, in the light of the adoption of the new domestic remedy, the Court, as in its previous decisions, considers that it is not necessary to examine separately the admissibility and merits of the applicant</w:t>
      </w:r>
      <w:r w:rsidRPr="00EC5864" w:rsidR="00EC5864">
        <w:t>’</w:t>
      </w:r>
      <w:r w:rsidRPr="00EC5864" w:rsidR="00E83906">
        <w:t xml:space="preserve">s complaint under Article 13 in the present case (see, </w:t>
      </w:r>
      <w:r w:rsidRPr="00EC5864" w:rsidR="00E83906">
        <w:rPr>
          <w:i/>
          <w:iCs/>
        </w:rPr>
        <w:t>mutatis mutandis</w:t>
      </w:r>
      <w:r w:rsidRPr="00EC5864" w:rsidR="00E83906">
        <w:t xml:space="preserve">, </w:t>
      </w:r>
      <w:r w:rsidRPr="00EC5864" w:rsidR="00E83906">
        <w:rPr>
          <w:i/>
          <w:iCs/>
        </w:rPr>
        <w:t>Korotyayeva and Others</w:t>
      </w:r>
      <w:r w:rsidRPr="00EC5864" w:rsidR="00E83906">
        <w:t xml:space="preserve">, nos. 13122/11 and 2 others, § 40, 18 July 2017, and </w:t>
      </w:r>
      <w:r w:rsidRPr="00EC5864" w:rsidR="00E83906">
        <w:rPr>
          <w:i/>
          <w:iCs/>
        </w:rPr>
        <w:t>Tkhyegepso and Others v. Russia,</w:t>
      </w:r>
      <w:r w:rsidRPr="00EC5864" w:rsidR="00E83906">
        <w:t xml:space="preserve"> nos. 44387/04 and 11 others, §§ 21-24, 25 October 2011).</w:t>
      </w:r>
    </w:p>
    <w:p w:rsidRPr="00EC5864" w:rsidR="00236F79" w:rsidP="00EC5864" w:rsidRDefault="00236F79">
      <w:pPr>
        <w:pStyle w:val="ECHRHeading1"/>
      </w:pPr>
      <w:r w:rsidRPr="00EC5864">
        <w:t>III.  OTHER COMPLAINTS RAISED BY THE APPLICANT</w:t>
      </w:r>
    </w:p>
    <w:p w:rsidRPr="00EC5864" w:rsidR="000E4E69" w:rsidP="00EC5864" w:rsidRDefault="00236F79">
      <w:pPr>
        <w:pStyle w:val="ECHRPara"/>
      </w:pPr>
      <w:r w:rsidRPr="00EC5864">
        <w:fldChar w:fldCharType="begin"/>
      </w:r>
      <w:r w:rsidRPr="00EC5864">
        <w:instrText xml:space="preserve"> SEQ level0 \*arabic </w:instrText>
      </w:r>
      <w:r w:rsidRPr="00EC5864">
        <w:fldChar w:fldCharType="separate"/>
      </w:r>
      <w:r w:rsidRPr="00EC5864" w:rsidR="00EC5864">
        <w:rPr>
          <w:noProof/>
        </w:rPr>
        <w:t>55</w:t>
      </w:r>
      <w:r w:rsidRPr="00EC5864">
        <w:fldChar w:fldCharType="end"/>
      </w:r>
      <w:r w:rsidRPr="00EC5864">
        <w:t>.  </w:t>
      </w:r>
      <w:r w:rsidRPr="00EC5864" w:rsidR="000E4E69">
        <w:t>The applicant may be understood to complain that his right to a fair hearing within the meaning of Article 6 was violated in the second set of proceedings concerning the debtor</w:t>
      </w:r>
      <w:r w:rsidRPr="00EC5864" w:rsidR="00EC5864">
        <w:t>’</w:t>
      </w:r>
      <w:r w:rsidRPr="00EC5864" w:rsidR="000E4E69">
        <w:t>s request to terminate the enforcement, when the military court granted the debtor</w:t>
      </w:r>
      <w:r w:rsidRPr="00EC5864" w:rsidR="00EC5864">
        <w:t>’</w:t>
      </w:r>
      <w:r w:rsidRPr="00EC5864" w:rsidR="000E4E69">
        <w:t>s claim despite the existence of a final decision of the district court in the proceedings between the same parties and concerning the same subject</w:t>
      </w:r>
      <w:r w:rsidRPr="00EC5864" w:rsidR="000E4E69">
        <w:noBreakHyphen/>
        <w:t>matter.</w:t>
      </w:r>
    </w:p>
    <w:p w:rsidRPr="00EC5864" w:rsidR="000E4E69" w:rsidP="00EC5864" w:rsidRDefault="0056648C">
      <w:pPr>
        <w:pStyle w:val="ECHRPara"/>
      </w:pPr>
      <w:r w:rsidRPr="00EC5864">
        <w:fldChar w:fldCharType="begin"/>
      </w:r>
      <w:r w:rsidRPr="00EC5864">
        <w:instrText xml:space="preserve"> SEQ level0 \*arabic </w:instrText>
      </w:r>
      <w:r w:rsidRPr="00EC5864">
        <w:fldChar w:fldCharType="separate"/>
      </w:r>
      <w:r w:rsidRPr="00EC5864" w:rsidR="00EC5864">
        <w:rPr>
          <w:noProof/>
        </w:rPr>
        <w:t>56</w:t>
      </w:r>
      <w:r w:rsidRPr="00EC5864">
        <w:rPr>
          <w:noProof/>
        </w:rPr>
        <w:fldChar w:fldCharType="end"/>
      </w:r>
      <w:r w:rsidRPr="00EC5864" w:rsidR="000E4E69">
        <w:t>.  Bearing in mind its conclusions above concerning the non</w:t>
      </w:r>
      <w:r w:rsidRPr="00EC5864" w:rsidR="000E4E69">
        <w:noBreakHyphen/>
        <w:t>enforcement issue (see paragraph</w:t>
      </w:r>
      <w:r w:rsidRPr="00EC5864" w:rsidR="00737EF1">
        <w:t> </w:t>
      </w:r>
      <w:r w:rsidRPr="00EC5864" w:rsidR="00737EF1">
        <w:fldChar w:fldCharType="begin"/>
      </w:r>
      <w:r w:rsidRPr="00EC5864" w:rsidR="00737EF1">
        <w:instrText xml:space="preserve"> REF EnforcementPeriod \h </w:instrText>
      </w:r>
      <w:r w:rsidRPr="00EC5864" w:rsidR="00737EF1">
        <w:fldChar w:fldCharType="separate"/>
      </w:r>
      <w:r w:rsidRPr="00EC5864" w:rsidR="00EC5864">
        <w:rPr>
          <w:noProof/>
        </w:rPr>
        <w:t>48</w:t>
      </w:r>
      <w:r w:rsidRPr="00EC5864" w:rsidR="00737EF1">
        <w:fldChar w:fldCharType="end"/>
      </w:r>
      <w:r w:rsidRPr="00EC5864" w:rsidR="000E4E69">
        <w:t xml:space="preserve"> above), the Court considers that it is not necessary to examine separately the admissibility and merits of this complaint (see </w:t>
      </w:r>
      <w:r w:rsidRPr="00EC5864" w:rsidR="000E4E69">
        <w:rPr>
          <w:i/>
        </w:rPr>
        <w:t>Anankin and Others</w:t>
      </w:r>
      <w:r w:rsidRPr="00EC5864" w:rsidR="000E4E69">
        <w:t xml:space="preserve">, </w:t>
      </w:r>
      <w:r w:rsidRPr="00EC5864" w:rsidR="00D001D8">
        <w:t>cited above, § 65</w:t>
      </w:r>
      <w:r w:rsidRPr="00EC5864" w:rsidR="000E4E69">
        <w:t>).</w:t>
      </w:r>
    </w:p>
    <w:p w:rsidRPr="00EC5864" w:rsidR="006A460B" w:rsidP="00EC5864" w:rsidRDefault="00236F79">
      <w:pPr>
        <w:pStyle w:val="ECHRPara"/>
      </w:pPr>
      <w:r w:rsidRPr="00EC5864">
        <w:fldChar w:fldCharType="begin"/>
      </w:r>
      <w:r w:rsidRPr="00EC5864">
        <w:instrText xml:space="preserve"> SEQ level0 \*arabic </w:instrText>
      </w:r>
      <w:r w:rsidRPr="00EC5864">
        <w:fldChar w:fldCharType="separate"/>
      </w:r>
      <w:r w:rsidRPr="00EC5864" w:rsidR="00EC5864">
        <w:rPr>
          <w:noProof/>
        </w:rPr>
        <w:t>57</w:t>
      </w:r>
      <w:r w:rsidRPr="00EC5864">
        <w:fldChar w:fldCharType="end"/>
      </w:r>
      <w:r w:rsidRPr="00EC5864">
        <w:t>.  </w:t>
      </w:r>
      <w:r w:rsidRPr="00EC5864" w:rsidR="000E4E69">
        <w:t xml:space="preserve">The applicant further </w:t>
      </w:r>
      <w:r w:rsidRPr="00EC5864" w:rsidR="00540E49">
        <w:t>raised a number of complaints</w:t>
      </w:r>
      <w:r w:rsidRPr="00EC5864" w:rsidR="000E4E69">
        <w:t xml:space="preserve"> under A</w:t>
      </w:r>
      <w:r w:rsidRPr="00EC5864" w:rsidR="00B83447">
        <w:t>rticle</w:t>
      </w:r>
      <w:r w:rsidRPr="00EC5864" w:rsidR="00540E49">
        <w:t>s</w:t>
      </w:r>
      <w:r w:rsidRPr="00EC5864" w:rsidR="00B83447">
        <w:t> 6</w:t>
      </w:r>
      <w:r w:rsidRPr="00EC5864" w:rsidR="00540E49">
        <w:t>, 8, 13 and 17</w:t>
      </w:r>
      <w:r w:rsidRPr="00EC5864" w:rsidR="00B83447">
        <w:t xml:space="preserve"> of the Convention </w:t>
      </w:r>
      <w:r w:rsidRPr="00EC5864" w:rsidR="00540E49">
        <w:t>in respect of the</w:t>
      </w:r>
      <w:r w:rsidRPr="00EC5864" w:rsidR="00B83447">
        <w:t xml:space="preserve"> </w:t>
      </w:r>
      <w:r w:rsidRPr="00EC5864" w:rsidR="00540E49">
        <w:t>proceedings concerning both his dismissal and the termination of the enforcement proceedings.</w:t>
      </w:r>
    </w:p>
    <w:p w:rsidRPr="00EC5864" w:rsidR="00B83447" w:rsidP="00EC5864" w:rsidRDefault="00B83447">
      <w:pPr>
        <w:pStyle w:val="ECHRPara"/>
      </w:pPr>
      <w:r w:rsidRPr="00EC5864">
        <w:fldChar w:fldCharType="begin"/>
      </w:r>
      <w:r w:rsidRPr="00EC5864">
        <w:instrText xml:space="preserve"> SEQ level0 \*arabic </w:instrText>
      </w:r>
      <w:r w:rsidRPr="00EC5864">
        <w:fldChar w:fldCharType="separate"/>
      </w:r>
      <w:r w:rsidRPr="00EC5864" w:rsidR="00EC5864">
        <w:rPr>
          <w:noProof/>
        </w:rPr>
        <w:t>58</w:t>
      </w:r>
      <w:r w:rsidRPr="00EC5864">
        <w:fldChar w:fldCharType="end"/>
      </w:r>
      <w:r w:rsidRPr="00EC5864">
        <w:t>.  Having regard to all the material in its possession and in so far as the complaint falls within the Court</w:t>
      </w:r>
      <w:r w:rsidRPr="00EC5864" w:rsidR="00EC5864">
        <w:t>’</w:t>
      </w:r>
      <w:r w:rsidRPr="00EC5864">
        <w:t>s competence, it finds that it does not disclose any appearance of a violation of the rights and freedoms set out in the Convention or its Protocols. It follows that this part of the application must be rejected as manifestly ill-founded, pursuant to Article 35 §§ 3 (a) and 4 of the Convention.</w:t>
      </w:r>
    </w:p>
    <w:p w:rsidRPr="00EC5864" w:rsidR="00D420F3" w:rsidP="00EC5864" w:rsidRDefault="00E83906">
      <w:pPr>
        <w:pStyle w:val="ECHRHeading1"/>
      </w:pPr>
      <w:r w:rsidRPr="00EC5864">
        <w:t>I</w:t>
      </w:r>
      <w:r w:rsidRPr="00EC5864" w:rsidR="00236F79">
        <w:t>V</w:t>
      </w:r>
      <w:r w:rsidRPr="00EC5864">
        <w:t>.  APPLICATION OF ARTICLE </w:t>
      </w:r>
      <w:r w:rsidRPr="00EC5864" w:rsidR="0077175D">
        <w:t>41 OF THE CONVENTION</w:t>
      </w:r>
    </w:p>
    <w:p w:rsidRPr="00EC5864" w:rsidR="00D420F3" w:rsidP="00EC5864" w:rsidRDefault="005736D7">
      <w:pPr>
        <w:pStyle w:val="ECHRPara"/>
      </w:pPr>
      <w:r w:rsidRPr="00EC5864">
        <w:fldChar w:fldCharType="begin"/>
      </w:r>
      <w:r w:rsidRPr="00EC5864">
        <w:instrText xml:space="preserve"> SEQ level0 \*arabic </w:instrText>
      </w:r>
      <w:r w:rsidRPr="00EC5864">
        <w:fldChar w:fldCharType="separate"/>
      </w:r>
      <w:r w:rsidRPr="00EC5864" w:rsidR="00EC5864">
        <w:rPr>
          <w:noProof/>
        </w:rPr>
        <w:t>59</w:t>
      </w:r>
      <w:r w:rsidRPr="00EC5864">
        <w:fldChar w:fldCharType="end"/>
      </w:r>
      <w:r w:rsidRPr="00EC5864" w:rsidR="0077175D">
        <w:t>.  Article 41 of the Convention provides:</w:t>
      </w:r>
    </w:p>
    <w:p w:rsidRPr="00EC5864" w:rsidR="00D420F3" w:rsidP="00EC5864" w:rsidRDefault="0077175D">
      <w:pPr>
        <w:pStyle w:val="ECHRParaQuote"/>
        <w:keepNext/>
        <w:keepLines/>
      </w:pPr>
      <w:r w:rsidRPr="00EC5864">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EC5864" w:rsidR="00D420F3" w:rsidP="00EC5864" w:rsidRDefault="0077175D">
      <w:pPr>
        <w:pStyle w:val="ECHRHeading2"/>
      </w:pPr>
      <w:r w:rsidRPr="00EC5864">
        <w:t>A.  Damage</w:t>
      </w:r>
    </w:p>
    <w:p w:rsidRPr="00EC5864" w:rsidR="00A3078F" w:rsidP="00EC5864" w:rsidRDefault="005736D7">
      <w:pPr>
        <w:pStyle w:val="ECHRPara"/>
      </w:pPr>
      <w:r w:rsidRPr="00EC5864">
        <w:fldChar w:fldCharType="begin"/>
      </w:r>
      <w:r w:rsidRPr="00EC5864">
        <w:instrText xml:space="preserve"> SEQ level0 \*arabic </w:instrText>
      </w:r>
      <w:r w:rsidRPr="00EC5864">
        <w:fldChar w:fldCharType="separate"/>
      </w:r>
      <w:r w:rsidRPr="00EC5864" w:rsidR="00EC5864">
        <w:rPr>
          <w:noProof/>
        </w:rPr>
        <w:t>60</w:t>
      </w:r>
      <w:r w:rsidRPr="00EC5864">
        <w:fldChar w:fldCharType="end"/>
      </w:r>
      <w:r w:rsidRPr="00EC5864" w:rsidR="0077175D">
        <w:t xml:space="preserve">.  The applicant claimed </w:t>
      </w:r>
      <w:r w:rsidRPr="00EC5864" w:rsidR="00A3078F">
        <w:t>16,638,979 Russian roubles</w:t>
      </w:r>
      <w:r w:rsidRPr="00EC5864" w:rsidR="0077175D">
        <w:t xml:space="preserve"> </w:t>
      </w:r>
      <w:r w:rsidRPr="00EC5864" w:rsidR="00A3078F">
        <w:t xml:space="preserve">(approximately 258,811 </w:t>
      </w:r>
      <w:r w:rsidRPr="00EC5864" w:rsidR="0077175D">
        <w:t>euros (EUR) in respect of pecuniary damage</w:t>
      </w:r>
      <w:r w:rsidRPr="00EC5864" w:rsidR="00204804">
        <w:t>,</w:t>
      </w:r>
      <w:r w:rsidRPr="00EC5864" w:rsidR="00A3078F">
        <w:t xml:space="preserve"> that amount representing an average price of a new-build flat in Moscow of 76,5 sq.m. for a family of four, as well as finishing works therein</w:t>
      </w:r>
      <w:r w:rsidRPr="00EC5864" w:rsidR="0077175D">
        <w:t>.</w:t>
      </w:r>
      <w:r w:rsidRPr="00EC5864" w:rsidR="00176558">
        <w:t xml:space="preserve"> </w:t>
      </w:r>
      <w:r w:rsidRPr="00EC5864" w:rsidR="00BB228B">
        <w:t>He further claimed EUR 50,000 in respect of non-pecuniary damage.</w:t>
      </w:r>
    </w:p>
    <w:p w:rsidRPr="00EC5864" w:rsidR="006A460B" w:rsidP="00EC5864" w:rsidRDefault="005736D7">
      <w:pPr>
        <w:pStyle w:val="ECHRPara"/>
      </w:pPr>
      <w:r w:rsidRPr="00EC5864">
        <w:fldChar w:fldCharType="begin"/>
      </w:r>
      <w:r w:rsidRPr="00EC5864">
        <w:instrText xml:space="preserve"> SEQ level0 \*arabic </w:instrText>
      </w:r>
      <w:r w:rsidRPr="00EC5864">
        <w:fldChar w:fldCharType="separate"/>
      </w:r>
      <w:r w:rsidRPr="00EC5864" w:rsidR="00EC5864">
        <w:rPr>
          <w:noProof/>
        </w:rPr>
        <w:t>61</w:t>
      </w:r>
      <w:r w:rsidRPr="00EC5864">
        <w:fldChar w:fldCharType="end"/>
      </w:r>
      <w:r w:rsidRPr="00EC5864" w:rsidR="00B876EE">
        <w:t>.  The Government considered his claims in respect of pecuniary damage unsubstantiated, as the applicant had already been provided with hous</w:t>
      </w:r>
      <w:r w:rsidRPr="00EC5864" w:rsidR="00F05B18">
        <w:t>ing by the Ministry of Defenc</w:t>
      </w:r>
      <w:r w:rsidRPr="00EC5864" w:rsidR="00B876EE">
        <w:t>e. They further contested the claims in respect of non-pecuniary damage as manifestly excessive.</w:t>
      </w:r>
    </w:p>
    <w:p w:rsidRPr="00EC5864" w:rsidR="006A460B" w:rsidP="00EC5864" w:rsidRDefault="005736D7">
      <w:pPr>
        <w:pStyle w:val="ECHRPara"/>
      </w:pPr>
      <w:r w:rsidRPr="00EC5864">
        <w:fldChar w:fldCharType="begin"/>
      </w:r>
      <w:r w:rsidRPr="00EC5864">
        <w:instrText xml:space="preserve"> SEQ level0 \*arabic </w:instrText>
      </w:r>
      <w:r w:rsidRPr="00EC5864">
        <w:fldChar w:fldCharType="separate"/>
      </w:r>
      <w:r w:rsidRPr="00EC5864" w:rsidR="00EC5864">
        <w:rPr>
          <w:noProof/>
        </w:rPr>
        <w:t>62</w:t>
      </w:r>
      <w:r w:rsidRPr="00EC5864">
        <w:fldChar w:fldCharType="end"/>
      </w:r>
      <w:r w:rsidRPr="00EC5864" w:rsidR="0077175D">
        <w:t>.  The Court does not discern any causal link between the violation found and the pecuniary damage alleged</w:t>
      </w:r>
      <w:r w:rsidRPr="00EC5864" w:rsidR="00A3078F">
        <w:t xml:space="preserve"> (see paragraph </w:t>
      </w:r>
      <w:r w:rsidRPr="00EC5864" w:rsidR="005563B0">
        <w:fldChar w:fldCharType="begin"/>
      </w:r>
      <w:r w:rsidRPr="00EC5864" w:rsidR="005563B0">
        <w:instrText xml:space="preserve"> REF EntitlementToHousingIssue \h </w:instrText>
      </w:r>
      <w:r w:rsidRPr="00EC5864" w:rsidR="005563B0">
        <w:fldChar w:fldCharType="separate"/>
      </w:r>
      <w:r w:rsidRPr="00EC5864" w:rsidR="00EC5864">
        <w:rPr>
          <w:noProof/>
        </w:rPr>
        <w:t>47</w:t>
      </w:r>
      <w:r w:rsidRPr="00EC5864" w:rsidR="005563B0">
        <w:fldChar w:fldCharType="end"/>
      </w:r>
      <w:r w:rsidRPr="00EC5864" w:rsidR="00A3078F">
        <w:t xml:space="preserve"> above)</w:t>
      </w:r>
      <w:r w:rsidRPr="00EC5864" w:rsidR="0077175D">
        <w:t>; it therefore rejects this claim.</w:t>
      </w:r>
    </w:p>
    <w:p w:rsidRPr="00EC5864" w:rsidR="00D420F3" w:rsidP="00EC5864" w:rsidRDefault="00BB228B">
      <w:pPr>
        <w:pStyle w:val="ECHRPara"/>
      </w:pPr>
      <w:r w:rsidRPr="00EC5864">
        <w:fldChar w:fldCharType="begin"/>
      </w:r>
      <w:r w:rsidRPr="00EC5864">
        <w:instrText xml:space="preserve"> SEQ level0 \*arabic </w:instrText>
      </w:r>
      <w:r w:rsidRPr="00EC5864">
        <w:fldChar w:fldCharType="separate"/>
      </w:r>
      <w:r w:rsidRPr="00EC5864" w:rsidR="00EC5864">
        <w:rPr>
          <w:noProof/>
        </w:rPr>
        <w:t>63</w:t>
      </w:r>
      <w:r w:rsidRPr="00EC5864">
        <w:fldChar w:fldCharType="end"/>
      </w:r>
      <w:r w:rsidRPr="00EC5864">
        <w:t>.  </w:t>
      </w:r>
      <w:r w:rsidRPr="00EC5864" w:rsidR="0077175D">
        <w:t>On the other hand, it awards the applicant EUR</w:t>
      </w:r>
      <w:r w:rsidRPr="00EC5864" w:rsidR="00236F79">
        <w:t> </w:t>
      </w:r>
      <w:r w:rsidRPr="00EC5864">
        <w:t>7,800</w:t>
      </w:r>
      <w:r w:rsidRPr="00EC5864" w:rsidR="0077175D">
        <w:t xml:space="preserve"> in respect of non-pecuniary damage</w:t>
      </w:r>
      <w:r w:rsidRPr="00EC5864" w:rsidR="00236F79">
        <w:t xml:space="preserve"> and dismisses the remainder of his claims under this head.</w:t>
      </w:r>
    </w:p>
    <w:p w:rsidRPr="00EC5864" w:rsidR="00D420F3" w:rsidP="00EC5864" w:rsidRDefault="0077175D">
      <w:pPr>
        <w:pStyle w:val="ECHRHeading2"/>
      </w:pPr>
      <w:r w:rsidRPr="00EC5864">
        <w:t>B.  Costs and expenses</w:t>
      </w:r>
    </w:p>
    <w:p w:rsidRPr="00EC5864" w:rsidR="006A460B" w:rsidP="00EC5864" w:rsidRDefault="005736D7">
      <w:pPr>
        <w:pStyle w:val="ECHRPara"/>
      </w:pPr>
      <w:r w:rsidRPr="00EC5864">
        <w:fldChar w:fldCharType="begin"/>
      </w:r>
      <w:r w:rsidRPr="00EC5864">
        <w:instrText xml:space="preserve"> SEQ level0 \*arabic </w:instrText>
      </w:r>
      <w:r w:rsidRPr="00EC5864">
        <w:fldChar w:fldCharType="separate"/>
      </w:r>
      <w:r w:rsidRPr="00EC5864" w:rsidR="00EC5864">
        <w:rPr>
          <w:noProof/>
        </w:rPr>
        <w:t>64</w:t>
      </w:r>
      <w:r w:rsidRPr="00EC5864">
        <w:fldChar w:fldCharType="end"/>
      </w:r>
      <w:r w:rsidRPr="00EC5864" w:rsidR="0077175D">
        <w:t xml:space="preserve">.  The applicant </w:t>
      </w:r>
      <w:r w:rsidRPr="00EC5864" w:rsidR="00BB228B">
        <w:t>did not claim costs and expenses. Accordingly, there is no call to make an award under this head.</w:t>
      </w:r>
    </w:p>
    <w:p w:rsidRPr="00EC5864" w:rsidR="00D420F3" w:rsidP="00EC5864" w:rsidRDefault="0077175D">
      <w:pPr>
        <w:pStyle w:val="ECHRHeading2"/>
      </w:pPr>
      <w:r w:rsidRPr="00EC5864">
        <w:t>C.  Default interest</w:t>
      </w:r>
    </w:p>
    <w:p w:rsidRPr="00EC5864" w:rsidR="00D420F3" w:rsidP="00EC5864" w:rsidRDefault="005736D7">
      <w:pPr>
        <w:pStyle w:val="ECHRPara"/>
      </w:pPr>
      <w:r w:rsidRPr="00EC5864">
        <w:fldChar w:fldCharType="begin"/>
      </w:r>
      <w:r w:rsidRPr="00EC5864">
        <w:instrText xml:space="preserve"> SEQ level0 \*arabic </w:instrText>
      </w:r>
      <w:r w:rsidRPr="00EC5864">
        <w:fldChar w:fldCharType="separate"/>
      </w:r>
      <w:r w:rsidRPr="00EC5864" w:rsidR="00EC5864">
        <w:rPr>
          <w:noProof/>
        </w:rPr>
        <w:t>65</w:t>
      </w:r>
      <w:r w:rsidRPr="00EC5864">
        <w:fldChar w:fldCharType="end"/>
      </w:r>
      <w:r w:rsidRPr="00EC5864" w:rsidR="0077175D">
        <w:t>.  The Court considers it appropriate that the default interest rate should be based on the marginal lending rate of the European Central Bank, to which should be added three percentage points.</w:t>
      </w:r>
    </w:p>
    <w:p w:rsidRPr="00EC5864" w:rsidR="00D420F3" w:rsidP="00EC5864" w:rsidRDefault="0077175D">
      <w:pPr>
        <w:pStyle w:val="ECHRTitle1"/>
      </w:pPr>
      <w:r w:rsidRPr="00EC5864">
        <w:t>FOR THESE REASONS, THE COURT</w:t>
      </w:r>
      <w:r w:rsidRPr="00EC5864" w:rsidR="005736D7">
        <w:t>, UNANIMOUSLY,</w:t>
      </w:r>
    </w:p>
    <w:p w:rsidRPr="00EC5864" w:rsidR="00D420F3" w:rsidP="00EC5864" w:rsidRDefault="0077175D">
      <w:pPr>
        <w:pStyle w:val="JuList"/>
      </w:pPr>
      <w:r w:rsidRPr="00EC5864">
        <w:t>1.  </w:t>
      </w:r>
      <w:r w:rsidRPr="00EC5864">
        <w:rPr>
          <w:i/>
        </w:rPr>
        <w:t>Declares</w:t>
      </w:r>
      <w:r w:rsidRPr="00EC5864" w:rsidR="00815A06">
        <w:t xml:space="preserve"> the complaint</w:t>
      </w:r>
      <w:r w:rsidRPr="00EC5864">
        <w:t xml:space="preserve"> </w:t>
      </w:r>
      <w:r w:rsidRPr="00EC5864" w:rsidR="00815A06">
        <w:t>under Article 6 of the Convention and Article 1 of Protocol No.</w:t>
      </w:r>
      <w:r w:rsidRPr="00EC5864" w:rsidR="00D001D8">
        <w:t xml:space="preserve"> </w:t>
      </w:r>
      <w:r w:rsidRPr="00EC5864" w:rsidR="00815A06">
        <w:t xml:space="preserve">1 </w:t>
      </w:r>
      <w:r w:rsidRPr="00EC5864">
        <w:t xml:space="preserve">concerning </w:t>
      </w:r>
      <w:r w:rsidRPr="00EC5864" w:rsidR="00815A06">
        <w:t>the non-enforcement admissible</w:t>
      </w:r>
      <w:r w:rsidRPr="00EC5864">
        <w:t>;</w:t>
      </w:r>
    </w:p>
    <w:p w:rsidRPr="00EC5864" w:rsidR="00D420F3" w:rsidP="00EC5864" w:rsidRDefault="00D420F3">
      <w:pPr>
        <w:pStyle w:val="JuList"/>
        <w:ind w:left="0" w:firstLine="0"/>
      </w:pPr>
    </w:p>
    <w:p w:rsidRPr="00EC5864" w:rsidR="00D420F3" w:rsidP="00EC5864" w:rsidRDefault="00815A06">
      <w:pPr>
        <w:pStyle w:val="JuList"/>
      </w:pPr>
      <w:r w:rsidRPr="00EC5864">
        <w:t>2</w:t>
      </w:r>
      <w:r w:rsidRPr="00EC5864" w:rsidR="0077175D">
        <w:t>.  </w:t>
      </w:r>
      <w:r w:rsidRPr="00EC5864" w:rsidR="0077175D">
        <w:rPr>
          <w:i/>
        </w:rPr>
        <w:t>Holds</w:t>
      </w:r>
      <w:r w:rsidRPr="00EC5864" w:rsidR="0077175D">
        <w:rPr>
          <w:color w:val="000000"/>
        </w:rPr>
        <w:t xml:space="preserve"> </w:t>
      </w:r>
      <w:r w:rsidRPr="00EC5864" w:rsidR="0077175D">
        <w:t>that there has been a violation of Article</w:t>
      </w:r>
      <w:r w:rsidRPr="00EC5864">
        <w:t> 6</w:t>
      </w:r>
      <w:r w:rsidRPr="00EC5864" w:rsidR="0077175D">
        <w:t xml:space="preserve"> of the Convention</w:t>
      </w:r>
      <w:r w:rsidRPr="00EC5864">
        <w:t xml:space="preserve"> and Article 1 of Protocol No. 1 on account of the non-enforcement of the judgment of 17 February 2010 in the applicant</w:t>
      </w:r>
      <w:r w:rsidRPr="00EC5864" w:rsidR="00EC5864">
        <w:t>’</w:t>
      </w:r>
      <w:r w:rsidRPr="00EC5864">
        <w:t>s favour</w:t>
      </w:r>
      <w:r w:rsidRPr="00EC5864" w:rsidR="0077175D">
        <w:t>;</w:t>
      </w:r>
    </w:p>
    <w:p w:rsidRPr="00EC5864" w:rsidR="00D420F3" w:rsidP="00EC5864" w:rsidRDefault="00D420F3">
      <w:pPr>
        <w:pStyle w:val="JuList"/>
      </w:pPr>
    </w:p>
    <w:p w:rsidRPr="00EC5864" w:rsidR="00D420F3" w:rsidP="00EC5864" w:rsidRDefault="00815A06">
      <w:pPr>
        <w:pStyle w:val="JuList"/>
      </w:pPr>
      <w:r w:rsidRPr="00EC5864">
        <w:t>3</w:t>
      </w:r>
      <w:r w:rsidRPr="00EC5864" w:rsidR="0077175D">
        <w:t>.  </w:t>
      </w:r>
      <w:r w:rsidRPr="00EC5864" w:rsidR="0077175D">
        <w:rPr>
          <w:i/>
        </w:rPr>
        <w:t>Holds</w:t>
      </w:r>
      <w:r w:rsidRPr="00EC5864" w:rsidR="0077175D">
        <w:rPr>
          <w:color w:val="000000"/>
        </w:rPr>
        <w:t xml:space="preserve"> </w:t>
      </w:r>
      <w:r w:rsidRPr="00EC5864" w:rsidR="0077175D">
        <w:t xml:space="preserve">that there is no need to examine the </w:t>
      </w:r>
      <w:r w:rsidRPr="00EC5864">
        <w:t>admissibility and merits of the complaint under Article 13</w:t>
      </w:r>
      <w:r w:rsidRPr="00EC5864" w:rsidR="0077175D">
        <w:t xml:space="preserve"> of the Convention;</w:t>
      </w:r>
    </w:p>
    <w:p w:rsidRPr="00EC5864" w:rsidR="000E4E69" w:rsidP="00EC5864" w:rsidRDefault="000E4E69">
      <w:pPr>
        <w:pStyle w:val="JuList"/>
      </w:pPr>
    </w:p>
    <w:p w:rsidRPr="00EC5864" w:rsidR="000E4E69" w:rsidP="00EC5864" w:rsidRDefault="000E4E69">
      <w:pPr>
        <w:pStyle w:val="JuList"/>
      </w:pPr>
      <w:r w:rsidRPr="00EC5864">
        <w:rPr>
          <w:i/>
        </w:rPr>
        <w:t>4</w:t>
      </w:r>
      <w:r w:rsidRPr="00EC5864" w:rsidR="006A460B">
        <w:rPr>
          <w:i/>
        </w:rPr>
        <w:t>.  </w:t>
      </w:r>
      <w:r w:rsidRPr="00EC5864">
        <w:rPr>
          <w:i/>
        </w:rPr>
        <w:t>Decides</w:t>
      </w:r>
      <w:r w:rsidRPr="00EC5864">
        <w:t xml:space="preserve"> that it is not necessary to examine the admissibility and merits of the complaint about the alleged violation of the legal certainty principle in the second set of the court proceedings concerning the termination of the execution of the judgment in his favour;</w:t>
      </w:r>
    </w:p>
    <w:p w:rsidRPr="00EC5864" w:rsidR="00D420F3" w:rsidP="00EC5864" w:rsidRDefault="00D420F3">
      <w:pPr>
        <w:pStyle w:val="JuList"/>
      </w:pPr>
    </w:p>
    <w:p w:rsidRPr="00EC5864" w:rsidR="00D420F3" w:rsidP="00EC5864" w:rsidRDefault="000E4E69">
      <w:pPr>
        <w:pStyle w:val="JuList"/>
      </w:pPr>
      <w:r w:rsidRPr="00EC5864">
        <w:rPr>
          <w:i/>
        </w:rPr>
        <w:t>5</w:t>
      </w:r>
      <w:r w:rsidRPr="00EC5864" w:rsidR="0077175D">
        <w:rPr>
          <w:i/>
        </w:rPr>
        <w:t>.  </w:t>
      </w:r>
      <w:r w:rsidRPr="00EC5864" w:rsidR="00815A06">
        <w:rPr>
          <w:i/>
        </w:rPr>
        <w:t>Declares</w:t>
      </w:r>
      <w:r w:rsidRPr="00EC5864" w:rsidR="00815A06">
        <w:t xml:space="preserve"> the remainder of the application inadmissible;</w:t>
      </w:r>
    </w:p>
    <w:p w:rsidRPr="00EC5864" w:rsidR="00D420F3" w:rsidP="00EC5864" w:rsidRDefault="00D420F3">
      <w:pPr>
        <w:pStyle w:val="JuList"/>
      </w:pPr>
    </w:p>
    <w:p w:rsidRPr="00EC5864" w:rsidR="005736D7" w:rsidP="00EC5864" w:rsidRDefault="000E4E69">
      <w:pPr>
        <w:pStyle w:val="JuList"/>
        <w:keepNext/>
        <w:keepLines/>
      </w:pPr>
      <w:r w:rsidRPr="00EC5864">
        <w:t>6</w:t>
      </w:r>
      <w:r w:rsidRPr="00EC5864" w:rsidR="0077175D">
        <w:t>.  </w:t>
      </w:r>
      <w:r w:rsidRPr="00EC5864" w:rsidR="0077175D">
        <w:rPr>
          <w:i/>
        </w:rPr>
        <w:t>Holds</w:t>
      </w:r>
    </w:p>
    <w:p w:rsidRPr="00EC5864" w:rsidR="00D420F3" w:rsidP="00EC5864" w:rsidRDefault="0077175D">
      <w:pPr>
        <w:pStyle w:val="JuLista"/>
        <w:keepNext/>
        <w:keepLines/>
      </w:pPr>
      <w:r w:rsidRPr="00EC5864">
        <w:t>(a)  that the respondent State is to pay the applicant, within three months</w:t>
      </w:r>
      <w:r w:rsidRPr="00EC5864" w:rsidR="00B7526E">
        <w:t>,</w:t>
      </w:r>
      <w:r w:rsidRPr="00EC5864" w:rsidR="005736D7">
        <w:t xml:space="preserve"> </w:t>
      </w:r>
      <w:r w:rsidRPr="00EC5864" w:rsidR="00B7526E">
        <w:t xml:space="preserve">EUR 7,800 (seven thousand eight hundred euros), plus any tax that may be chargeable, in respect of non-pecuniary damage, </w:t>
      </w:r>
      <w:r w:rsidRPr="00EC5864">
        <w:t xml:space="preserve">to be converted into </w:t>
      </w:r>
      <w:r w:rsidRPr="00EC5864">
        <w:rPr>
          <w:color w:val="000000"/>
        </w:rPr>
        <w:t>the currency of the respondent State</w:t>
      </w:r>
      <w:r w:rsidRPr="00EC5864" w:rsidR="00815A06">
        <w:rPr>
          <w:color w:val="000000"/>
        </w:rPr>
        <w:t xml:space="preserve"> </w:t>
      </w:r>
      <w:r w:rsidRPr="00EC5864">
        <w:t>at the rate appli</w:t>
      </w:r>
      <w:r w:rsidRPr="00EC5864" w:rsidR="00B7526E">
        <w:t>cable at the date of settlement;</w:t>
      </w:r>
    </w:p>
    <w:p w:rsidRPr="00EC5864" w:rsidR="00D420F3" w:rsidP="00EC5864" w:rsidRDefault="0077175D">
      <w:pPr>
        <w:pStyle w:val="JuLista"/>
      </w:pPr>
      <w:r w:rsidRPr="00EC5864">
        <w:t>(b)  that from the expiry of the above-mentioned three months until settlement simple interest shall be payable on the above amounts at a rate equal to the marginal lending rate of the European Central Bank during the default period plus three percentage points;</w:t>
      </w:r>
    </w:p>
    <w:p w:rsidRPr="00EC5864" w:rsidR="00D420F3" w:rsidP="00EC5864" w:rsidRDefault="00D420F3">
      <w:pPr>
        <w:pStyle w:val="JuList"/>
      </w:pPr>
    </w:p>
    <w:p w:rsidRPr="00EC5864" w:rsidR="00D420F3" w:rsidP="00EC5864" w:rsidRDefault="000E4E69">
      <w:pPr>
        <w:pStyle w:val="JuList"/>
      </w:pPr>
      <w:r w:rsidRPr="00EC5864">
        <w:t>7</w:t>
      </w:r>
      <w:r w:rsidRPr="00EC5864" w:rsidR="0077175D">
        <w:t>.  </w:t>
      </w:r>
      <w:r w:rsidRPr="00EC5864" w:rsidR="0077175D">
        <w:rPr>
          <w:i/>
        </w:rPr>
        <w:t>Dismisses</w:t>
      </w:r>
      <w:r w:rsidRPr="00EC5864" w:rsidR="0077175D">
        <w:rPr>
          <w:color w:val="000000"/>
        </w:rPr>
        <w:t xml:space="preserve"> </w:t>
      </w:r>
      <w:r w:rsidRPr="00EC5864" w:rsidR="0077175D">
        <w:t>the remainder of the applicant</w:t>
      </w:r>
      <w:r w:rsidRPr="00EC5864" w:rsidR="00EC5864">
        <w:t>’</w:t>
      </w:r>
      <w:r w:rsidRPr="00EC5864" w:rsidR="005736D7">
        <w:t>s</w:t>
      </w:r>
      <w:r w:rsidRPr="00EC5864" w:rsidR="0077175D">
        <w:t xml:space="preserve"> claim for just satisfaction.</w:t>
      </w:r>
    </w:p>
    <w:p w:rsidRPr="00EC5864" w:rsidR="00D420F3" w:rsidP="00EC5864" w:rsidRDefault="0077175D">
      <w:pPr>
        <w:pStyle w:val="JuParaLast"/>
      </w:pPr>
      <w:r w:rsidRPr="00EC5864">
        <w:t xml:space="preserve">Done in English, and notified in writing on </w:t>
      </w:r>
      <w:r w:rsidRPr="00EC5864" w:rsidR="00EB6E8C">
        <w:t>9 July 2019</w:t>
      </w:r>
      <w:r w:rsidRPr="00EC5864">
        <w:t>, pursuant to Rule 77 §§ 2 and 3 of the Rules of Court.</w:t>
      </w:r>
    </w:p>
    <w:p w:rsidRPr="00EC5864" w:rsidR="00D420F3" w:rsidP="00EC5864" w:rsidRDefault="0077175D">
      <w:pPr>
        <w:pStyle w:val="JuSigned"/>
      </w:pPr>
      <w:r w:rsidRPr="00EC5864">
        <w:tab/>
      </w:r>
      <w:r w:rsidRPr="00EC5864" w:rsidR="005736D7">
        <w:t>Fatoş Aracı</w:t>
      </w:r>
      <w:r w:rsidRPr="00EC5864">
        <w:tab/>
      </w:r>
      <w:r w:rsidRPr="00EC5864" w:rsidR="00EB6E8C">
        <w:t>Georgios A. Serghides</w:t>
      </w:r>
      <w:r w:rsidRPr="00EC5864">
        <w:rPr>
          <w:szCs w:val="24"/>
        </w:rPr>
        <w:br/>
      </w:r>
      <w:r w:rsidRPr="00EC5864">
        <w:tab/>
      </w:r>
      <w:r w:rsidRPr="00EC5864" w:rsidR="005736D7">
        <w:t xml:space="preserve">Deputy </w:t>
      </w:r>
      <w:r w:rsidRPr="00EC5864" w:rsidR="005736D7">
        <w:rPr>
          <w:iCs/>
        </w:rPr>
        <w:t>Registrar</w:t>
      </w:r>
      <w:r w:rsidRPr="00EC5864">
        <w:tab/>
        <w:t>President</w:t>
      </w:r>
    </w:p>
    <w:p w:rsidRPr="00EC5864" w:rsidR="00EC5864" w:rsidP="00EC5864" w:rsidRDefault="00EC5864">
      <w:pPr>
        <w:pStyle w:val="JuParaLast"/>
      </w:pPr>
    </w:p>
    <w:sectPr w:rsidRPr="00EC5864" w:rsidR="00EC5864" w:rsidSect="000B07E4">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0DB" w:rsidRDefault="007020DB">
      <w:r>
        <w:separator/>
      </w:r>
    </w:p>
  </w:endnote>
  <w:endnote w:type="continuationSeparator" w:id="0">
    <w:p w:rsidR="007020DB" w:rsidRDefault="0070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7E4" w:rsidRDefault="000B07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7E4" w:rsidRDefault="000B07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7E4" w:rsidRPr="00150BFA" w:rsidRDefault="000B07E4" w:rsidP="0020718E">
    <w:pPr>
      <w:jc w:val="center"/>
    </w:pPr>
    <w:r>
      <w:rPr>
        <w:noProof/>
        <w:lang w:val="en-US" w:eastAsia="ja-JP"/>
      </w:rPr>
      <w:drawing>
        <wp:inline distT="0" distB="0" distL="0" distR="0" wp14:anchorId="5655FC31" wp14:editId="3BB8D132">
          <wp:extent cx="771525" cy="619125"/>
          <wp:effectExtent l="0" t="0" r="9525" b="9525"/>
          <wp:docPr id="17" name="Picture 17"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0B07E4" w:rsidRDefault="000B07E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8B3" w:rsidRDefault="00B358B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8B3" w:rsidRDefault="00B358B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8B3" w:rsidRPr="00150BFA" w:rsidRDefault="00B358B3" w:rsidP="0020718E">
    <w:pPr>
      <w:jc w:val="center"/>
    </w:pPr>
    <w:r>
      <w:rPr>
        <w:noProof/>
        <w:lang w:val="en-US" w:eastAsia="ja-JP"/>
      </w:rPr>
      <w:drawing>
        <wp:inline distT="0" distB="0" distL="0" distR="0" wp14:anchorId="7431B805" wp14:editId="326D9DB7">
          <wp:extent cx="771525" cy="619125"/>
          <wp:effectExtent l="0" t="0" r="9525" b="9525"/>
          <wp:docPr id="2" name="Picture 2"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B358B3" w:rsidRDefault="00B358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0DB" w:rsidRPr="003152BA" w:rsidRDefault="007020DB" w:rsidP="00D420F3">
      <w:r w:rsidRPr="003152BA">
        <w:separator/>
      </w:r>
    </w:p>
  </w:footnote>
  <w:footnote w:type="continuationSeparator" w:id="0">
    <w:p w:rsidR="007020DB" w:rsidRPr="003152BA" w:rsidRDefault="007020DB" w:rsidP="00D420F3">
      <w:r w:rsidRPr="003152BA">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7E4" w:rsidRDefault="000B07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0DB" w:rsidRPr="000B07E4" w:rsidRDefault="007020DB" w:rsidP="000B07E4">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7E4" w:rsidRPr="00A45145" w:rsidRDefault="000B07E4" w:rsidP="00A45145">
    <w:pPr>
      <w:jc w:val="center"/>
    </w:pPr>
    <w:r>
      <w:rPr>
        <w:noProof/>
        <w:lang w:val="en-US" w:eastAsia="ja-JP"/>
      </w:rPr>
      <w:drawing>
        <wp:inline distT="0" distB="0" distL="0" distR="0" wp14:anchorId="76CC296A" wp14:editId="115DCB89">
          <wp:extent cx="2962275" cy="1219200"/>
          <wp:effectExtent l="0" t="0" r="9525" b="0"/>
          <wp:docPr id="9" name="Picture 9"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7020DB" w:rsidRDefault="007020D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7E4" w:rsidRPr="003152BA" w:rsidRDefault="000B07E4" w:rsidP="00D420F3">
    <w:pPr>
      <w:pStyle w:val="ECHRHeader"/>
    </w:pPr>
    <w:r>
      <w:rPr>
        <w:rStyle w:val="PageNumber"/>
        <w:szCs w:val="18"/>
      </w:rPr>
      <w:fldChar w:fldCharType="begin"/>
    </w:r>
    <w:r>
      <w:rPr>
        <w:rStyle w:val="PageNumber"/>
        <w:szCs w:val="18"/>
      </w:rPr>
      <w:instrText xml:space="preserve"> PAGE </w:instrText>
    </w:r>
    <w:r>
      <w:rPr>
        <w:rStyle w:val="PageNumber"/>
        <w:szCs w:val="18"/>
      </w:rPr>
      <w:fldChar w:fldCharType="separate"/>
    </w:r>
    <w:r w:rsidR="00EC5864">
      <w:rPr>
        <w:rStyle w:val="PageNumber"/>
        <w:noProof/>
        <w:szCs w:val="18"/>
      </w:rPr>
      <w:t>12</w:t>
    </w:r>
    <w:r>
      <w:rPr>
        <w:rStyle w:val="PageNumber"/>
        <w:szCs w:val="18"/>
      </w:rPr>
      <w:fldChar w:fldCharType="end"/>
    </w:r>
    <w:r w:rsidRPr="003152BA">
      <w:tab/>
    </w:r>
    <w:r>
      <w:t>VAKHITOV v. RUSSIA</w:t>
    </w:r>
    <w:r w:rsidR="00B358B3">
      <w:t xml:space="preserve"> </w:t>
    </w:r>
    <w:r w:rsidR="00B358B3" w:rsidRPr="00B358B3">
      <w:t>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7E4" w:rsidRPr="003152BA" w:rsidRDefault="000B07E4" w:rsidP="00D420F3">
    <w:pPr>
      <w:pStyle w:val="ECHRHeader"/>
    </w:pPr>
    <w:r w:rsidRPr="003152BA">
      <w:tab/>
    </w:r>
    <w:r>
      <w:t>VAKHITOV v. RUSSIA</w:t>
    </w:r>
    <w:r w:rsidRPr="003152BA">
      <w:t xml:space="preserve"> </w:t>
    </w:r>
    <w:r w:rsidR="00B358B3" w:rsidRPr="00B358B3">
      <w:t>JUDGMENT</w:t>
    </w:r>
    <w:r w:rsidRPr="003152BA">
      <w:tab/>
    </w:r>
    <w:r>
      <w:rPr>
        <w:rStyle w:val="PageNumber"/>
        <w:szCs w:val="18"/>
      </w:rPr>
      <w:fldChar w:fldCharType="begin"/>
    </w:r>
    <w:r>
      <w:rPr>
        <w:rStyle w:val="PageNumber"/>
        <w:szCs w:val="18"/>
      </w:rPr>
      <w:instrText xml:space="preserve"> PAGE </w:instrText>
    </w:r>
    <w:r>
      <w:rPr>
        <w:rStyle w:val="PageNumber"/>
        <w:szCs w:val="18"/>
      </w:rPr>
      <w:fldChar w:fldCharType="separate"/>
    </w:r>
    <w:r w:rsidR="00EC5864">
      <w:rPr>
        <w:rStyle w:val="PageNumber"/>
        <w:noProof/>
        <w:szCs w:val="18"/>
      </w:rPr>
      <w:t>11</w:t>
    </w:r>
    <w:r>
      <w:rPr>
        <w:rStyle w:val="PageNumber"/>
        <w:szCs w:val="18"/>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8B3" w:rsidRPr="00A45145" w:rsidRDefault="00B358B3" w:rsidP="00A45145">
    <w:pPr>
      <w:jc w:val="center"/>
    </w:pPr>
    <w:r>
      <w:rPr>
        <w:noProof/>
        <w:lang w:val="en-US" w:eastAsia="ja-JP"/>
      </w:rPr>
      <w:drawing>
        <wp:inline distT="0" distB="0" distL="0" distR="0" wp14:anchorId="131D8531" wp14:editId="6E8B61BE">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B358B3" w:rsidRDefault="00B358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90363F1"/>
    <w:multiLevelType w:val="hybridMultilevel"/>
    <w:tmpl w:val="BB76205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67FD1241"/>
    <w:multiLevelType w:val="hybridMultilevel"/>
    <w:tmpl w:val="F6D86CC2"/>
    <w:lvl w:ilvl="0" w:tplc="135E7E6C">
      <w:start w:val="1"/>
      <w:numFmt w:val="bullet"/>
      <w:pStyle w:val="ListBullet"/>
      <w:lvlText w:val=""/>
      <w:lvlJc w:val="left"/>
      <w:pPr>
        <w:tabs>
          <w:tab w:val="num" w:pos="851"/>
        </w:tabs>
        <w:ind w:left="568" w:firstLine="0"/>
      </w:pPr>
      <w:rPr>
        <w:rFonts w:ascii="Wingdings" w:hAnsi="Wingdings" w:hint="default"/>
        <w:color w:val="808080"/>
        <w:sz w:val="16"/>
      </w:rPr>
    </w:lvl>
    <w:lvl w:ilvl="1" w:tplc="810288C4" w:tentative="1">
      <w:start w:val="1"/>
      <w:numFmt w:val="bullet"/>
      <w:lvlText w:val="o"/>
      <w:lvlJc w:val="left"/>
      <w:pPr>
        <w:tabs>
          <w:tab w:val="num" w:pos="1724"/>
        </w:tabs>
        <w:ind w:left="1724" w:hanging="360"/>
      </w:pPr>
      <w:rPr>
        <w:rFonts w:ascii="Courier New" w:hAnsi="Courier New" w:cs="Courier New" w:hint="default"/>
      </w:rPr>
    </w:lvl>
    <w:lvl w:ilvl="2" w:tplc="4470F988" w:tentative="1">
      <w:start w:val="1"/>
      <w:numFmt w:val="bullet"/>
      <w:lvlText w:val=""/>
      <w:lvlJc w:val="left"/>
      <w:pPr>
        <w:tabs>
          <w:tab w:val="num" w:pos="2444"/>
        </w:tabs>
        <w:ind w:left="2444" w:hanging="360"/>
      </w:pPr>
      <w:rPr>
        <w:rFonts w:ascii="Wingdings" w:hAnsi="Wingdings" w:hint="default"/>
      </w:rPr>
    </w:lvl>
    <w:lvl w:ilvl="3" w:tplc="5FACB78A" w:tentative="1">
      <w:start w:val="1"/>
      <w:numFmt w:val="bullet"/>
      <w:lvlText w:val=""/>
      <w:lvlJc w:val="left"/>
      <w:pPr>
        <w:tabs>
          <w:tab w:val="num" w:pos="3164"/>
        </w:tabs>
        <w:ind w:left="3164" w:hanging="360"/>
      </w:pPr>
      <w:rPr>
        <w:rFonts w:ascii="Symbol" w:hAnsi="Symbol" w:hint="default"/>
      </w:rPr>
    </w:lvl>
    <w:lvl w:ilvl="4" w:tplc="B63E179C" w:tentative="1">
      <w:start w:val="1"/>
      <w:numFmt w:val="bullet"/>
      <w:lvlText w:val="o"/>
      <w:lvlJc w:val="left"/>
      <w:pPr>
        <w:tabs>
          <w:tab w:val="num" w:pos="3884"/>
        </w:tabs>
        <w:ind w:left="3884" w:hanging="360"/>
      </w:pPr>
      <w:rPr>
        <w:rFonts w:ascii="Courier New" w:hAnsi="Courier New" w:cs="Courier New" w:hint="default"/>
      </w:rPr>
    </w:lvl>
    <w:lvl w:ilvl="5" w:tplc="204A3DC2" w:tentative="1">
      <w:start w:val="1"/>
      <w:numFmt w:val="bullet"/>
      <w:lvlText w:val=""/>
      <w:lvlJc w:val="left"/>
      <w:pPr>
        <w:tabs>
          <w:tab w:val="num" w:pos="4604"/>
        </w:tabs>
        <w:ind w:left="4604" w:hanging="360"/>
      </w:pPr>
      <w:rPr>
        <w:rFonts w:ascii="Wingdings" w:hAnsi="Wingdings" w:hint="default"/>
      </w:rPr>
    </w:lvl>
    <w:lvl w:ilvl="6" w:tplc="C58C412E" w:tentative="1">
      <w:start w:val="1"/>
      <w:numFmt w:val="bullet"/>
      <w:lvlText w:val=""/>
      <w:lvlJc w:val="left"/>
      <w:pPr>
        <w:tabs>
          <w:tab w:val="num" w:pos="5324"/>
        </w:tabs>
        <w:ind w:left="5324" w:hanging="360"/>
      </w:pPr>
      <w:rPr>
        <w:rFonts w:ascii="Symbol" w:hAnsi="Symbol" w:hint="default"/>
      </w:rPr>
    </w:lvl>
    <w:lvl w:ilvl="7" w:tplc="D4D47A0A" w:tentative="1">
      <w:start w:val="1"/>
      <w:numFmt w:val="bullet"/>
      <w:lvlText w:val="o"/>
      <w:lvlJc w:val="left"/>
      <w:pPr>
        <w:tabs>
          <w:tab w:val="num" w:pos="6044"/>
        </w:tabs>
        <w:ind w:left="6044" w:hanging="360"/>
      </w:pPr>
      <w:rPr>
        <w:rFonts w:ascii="Courier New" w:hAnsi="Courier New" w:cs="Courier New" w:hint="default"/>
      </w:rPr>
    </w:lvl>
    <w:lvl w:ilvl="8" w:tplc="4AF04BF4" w:tentative="1">
      <w:start w:val="1"/>
      <w:numFmt w:val="bullet"/>
      <w:lvlText w:val=""/>
      <w:lvlJc w:val="left"/>
      <w:pPr>
        <w:tabs>
          <w:tab w:val="num" w:pos="6764"/>
        </w:tabs>
        <w:ind w:left="6764" w:hanging="360"/>
      </w:pPr>
      <w:rPr>
        <w:rFonts w:ascii="Wingdings" w:hAnsi="Wingdings" w:hint="default"/>
      </w:rPr>
    </w:lvl>
  </w:abstractNum>
  <w:abstractNum w:abstractNumId="13">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9"/>
  </w:num>
  <w:num w:numId="4">
    <w:abstractNumId w:val="14"/>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3"/>
  </w:num>
  <w:num w:numId="16">
    <w:abstractNumId w:val="13"/>
  </w:num>
  <w:num w:numId="17">
    <w:abstractNumId w:val="11"/>
  </w:num>
  <w:num w:numId="18">
    <w:abstractNumId w:val="13"/>
  </w:num>
  <w:num w:numId="19">
    <w:abstractNumId w:val="13"/>
  </w:num>
  <w:num w:numId="20">
    <w:abstractNumId w:val="1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MM" w:val="0"/>
    <w:docVar w:name="NBEMMDOC" w:val="0"/>
  </w:docVars>
  <w:rsids>
    <w:rsidRoot w:val="005736D7"/>
    <w:rsid w:val="0002562D"/>
    <w:rsid w:val="000276D3"/>
    <w:rsid w:val="00027A67"/>
    <w:rsid w:val="0005547C"/>
    <w:rsid w:val="00055E65"/>
    <w:rsid w:val="000562EE"/>
    <w:rsid w:val="000621BF"/>
    <w:rsid w:val="000953D4"/>
    <w:rsid w:val="000B07E4"/>
    <w:rsid w:val="000B192E"/>
    <w:rsid w:val="000C38B5"/>
    <w:rsid w:val="000C7AA9"/>
    <w:rsid w:val="000E4E69"/>
    <w:rsid w:val="0010070D"/>
    <w:rsid w:val="001033AA"/>
    <w:rsid w:val="001059E8"/>
    <w:rsid w:val="00113DC6"/>
    <w:rsid w:val="00130880"/>
    <w:rsid w:val="00141EB0"/>
    <w:rsid w:val="00147D2E"/>
    <w:rsid w:val="00154698"/>
    <w:rsid w:val="00170A9F"/>
    <w:rsid w:val="0017501C"/>
    <w:rsid w:val="00176558"/>
    <w:rsid w:val="001862B9"/>
    <w:rsid w:val="001A60DD"/>
    <w:rsid w:val="001B6CA5"/>
    <w:rsid w:val="001E28E5"/>
    <w:rsid w:val="00200379"/>
    <w:rsid w:val="00202A99"/>
    <w:rsid w:val="00203608"/>
    <w:rsid w:val="00204804"/>
    <w:rsid w:val="0021779C"/>
    <w:rsid w:val="002260BC"/>
    <w:rsid w:val="00236F79"/>
    <w:rsid w:val="002448C0"/>
    <w:rsid w:val="00264FD1"/>
    <w:rsid w:val="00266333"/>
    <w:rsid w:val="002842EC"/>
    <w:rsid w:val="00291DB1"/>
    <w:rsid w:val="002D2B40"/>
    <w:rsid w:val="002E14F6"/>
    <w:rsid w:val="00301CA7"/>
    <w:rsid w:val="003176C8"/>
    <w:rsid w:val="00341DEC"/>
    <w:rsid w:val="00345A8C"/>
    <w:rsid w:val="00347286"/>
    <w:rsid w:val="003607A1"/>
    <w:rsid w:val="00375193"/>
    <w:rsid w:val="00392B52"/>
    <w:rsid w:val="003972E0"/>
    <w:rsid w:val="003D0594"/>
    <w:rsid w:val="003D64E7"/>
    <w:rsid w:val="003F1E09"/>
    <w:rsid w:val="003F2204"/>
    <w:rsid w:val="00417770"/>
    <w:rsid w:val="0043348B"/>
    <w:rsid w:val="00450DD0"/>
    <w:rsid w:val="00452F80"/>
    <w:rsid w:val="0045583A"/>
    <w:rsid w:val="004674A6"/>
    <w:rsid w:val="00471295"/>
    <w:rsid w:val="0047774C"/>
    <w:rsid w:val="00492E6A"/>
    <w:rsid w:val="00496CDA"/>
    <w:rsid w:val="004A5980"/>
    <w:rsid w:val="004C2008"/>
    <w:rsid w:val="004D221A"/>
    <w:rsid w:val="004D63CB"/>
    <w:rsid w:val="005224A8"/>
    <w:rsid w:val="00540E49"/>
    <w:rsid w:val="005563B0"/>
    <w:rsid w:val="0056461E"/>
    <w:rsid w:val="0056648C"/>
    <w:rsid w:val="005736D7"/>
    <w:rsid w:val="005805F5"/>
    <w:rsid w:val="00593911"/>
    <w:rsid w:val="005A347E"/>
    <w:rsid w:val="005C1CB2"/>
    <w:rsid w:val="005E133C"/>
    <w:rsid w:val="005E5429"/>
    <w:rsid w:val="005F1CF6"/>
    <w:rsid w:val="00630F58"/>
    <w:rsid w:val="006517B4"/>
    <w:rsid w:val="00667E62"/>
    <w:rsid w:val="00676F5F"/>
    <w:rsid w:val="006A460B"/>
    <w:rsid w:val="006C39AD"/>
    <w:rsid w:val="006D5854"/>
    <w:rsid w:val="00700B50"/>
    <w:rsid w:val="007020DB"/>
    <w:rsid w:val="00702A81"/>
    <w:rsid w:val="00704D3E"/>
    <w:rsid w:val="00711781"/>
    <w:rsid w:val="00737EF1"/>
    <w:rsid w:val="00745782"/>
    <w:rsid w:val="00747225"/>
    <w:rsid w:val="0077175D"/>
    <w:rsid w:val="00781817"/>
    <w:rsid w:val="0078248E"/>
    <w:rsid w:val="00795A24"/>
    <w:rsid w:val="007A1E56"/>
    <w:rsid w:val="007A74FF"/>
    <w:rsid w:val="007C336A"/>
    <w:rsid w:val="007E2F77"/>
    <w:rsid w:val="007F79EE"/>
    <w:rsid w:val="00800C49"/>
    <w:rsid w:val="0080122D"/>
    <w:rsid w:val="008053A5"/>
    <w:rsid w:val="00806149"/>
    <w:rsid w:val="00815A06"/>
    <w:rsid w:val="008347F1"/>
    <w:rsid w:val="00855A16"/>
    <w:rsid w:val="008573DD"/>
    <w:rsid w:val="008622C5"/>
    <w:rsid w:val="00871700"/>
    <w:rsid w:val="00876E0F"/>
    <w:rsid w:val="00884F3B"/>
    <w:rsid w:val="008D0C5E"/>
    <w:rsid w:val="008E05D6"/>
    <w:rsid w:val="008F323C"/>
    <w:rsid w:val="009027C0"/>
    <w:rsid w:val="00917DEB"/>
    <w:rsid w:val="00933ACC"/>
    <w:rsid w:val="0094149D"/>
    <w:rsid w:val="009722F4"/>
    <w:rsid w:val="00974009"/>
    <w:rsid w:val="00982907"/>
    <w:rsid w:val="00995EEF"/>
    <w:rsid w:val="0099688E"/>
    <w:rsid w:val="009D5828"/>
    <w:rsid w:val="009F3D65"/>
    <w:rsid w:val="009F79D7"/>
    <w:rsid w:val="00A062F4"/>
    <w:rsid w:val="00A16EFE"/>
    <w:rsid w:val="00A3078F"/>
    <w:rsid w:val="00A375A2"/>
    <w:rsid w:val="00A53465"/>
    <w:rsid w:val="00A6199D"/>
    <w:rsid w:val="00AA7A65"/>
    <w:rsid w:val="00AC3914"/>
    <w:rsid w:val="00AE4AF0"/>
    <w:rsid w:val="00B02159"/>
    <w:rsid w:val="00B358B3"/>
    <w:rsid w:val="00B530FA"/>
    <w:rsid w:val="00B57A14"/>
    <w:rsid w:val="00B6076A"/>
    <w:rsid w:val="00B60E67"/>
    <w:rsid w:val="00B62910"/>
    <w:rsid w:val="00B750C7"/>
    <w:rsid w:val="00B7526E"/>
    <w:rsid w:val="00B83447"/>
    <w:rsid w:val="00B876EE"/>
    <w:rsid w:val="00B9364F"/>
    <w:rsid w:val="00BA337D"/>
    <w:rsid w:val="00BA38E6"/>
    <w:rsid w:val="00BB228B"/>
    <w:rsid w:val="00BD02CF"/>
    <w:rsid w:val="00BD7B99"/>
    <w:rsid w:val="00BE185F"/>
    <w:rsid w:val="00C14D7D"/>
    <w:rsid w:val="00C16B04"/>
    <w:rsid w:val="00C276EB"/>
    <w:rsid w:val="00C3094A"/>
    <w:rsid w:val="00C476C7"/>
    <w:rsid w:val="00C55928"/>
    <w:rsid w:val="00C64F55"/>
    <w:rsid w:val="00C76C79"/>
    <w:rsid w:val="00C84202"/>
    <w:rsid w:val="00C8478B"/>
    <w:rsid w:val="00C873E1"/>
    <w:rsid w:val="00CA4140"/>
    <w:rsid w:val="00CB20C3"/>
    <w:rsid w:val="00CC3DE3"/>
    <w:rsid w:val="00CC45FE"/>
    <w:rsid w:val="00CD7951"/>
    <w:rsid w:val="00CE00E3"/>
    <w:rsid w:val="00D001D8"/>
    <w:rsid w:val="00D00920"/>
    <w:rsid w:val="00D0430D"/>
    <w:rsid w:val="00D072D5"/>
    <w:rsid w:val="00D073CB"/>
    <w:rsid w:val="00D161F5"/>
    <w:rsid w:val="00D3483C"/>
    <w:rsid w:val="00D420F3"/>
    <w:rsid w:val="00D66218"/>
    <w:rsid w:val="00D77C24"/>
    <w:rsid w:val="00D77DD4"/>
    <w:rsid w:val="00DA6CB8"/>
    <w:rsid w:val="00DB0FAE"/>
    <w:rsid w:val="00DF5410"/>
    <w:rsid w:val="00E676D5"/>
    <w:rsid w:val="00E82B52"/>
    <w:rsid w:val="00E83906"/>
    <w:rsid w:val="00E87134"/>
    <w:rsid w:val="00E945B9"/>
    <w:rsid w:val="00EB15AE"/>
    <w:rsid w:val="00EB42C9"/>
    <w:rsid w:val="00EB6E8C"/>
    <w:rsid w:val="00EC5864"/>
    <w:rsid w:val="00ED72A3"/>
    <w:rsid w:val="00EE09A7"/>
    <w:rsid w:val="00F0122C"/>
    <w:rsid w:val="00F05B18"/>
    <w:rsid w:val="00F11D8F"/>
    <w:rsid w:val="00F13A54"/>
    <w:rsid w:val="00F152BA"/>
    <w:rsid w:val="00F259D3"/>
    <w:rsid w:val="00F35677"/>
    <w:rsid w:val="00F37420"/>
    <w:rsid w:val="00F4416D"/>
    <w:rsid w:val="00F5200C"/>
    <w:rsid w:val="00F54D80"/>
    <w:rsid w:val="00F62D54"/>
    <w:rsid w:val="00F93B53"/>
    <w:rsid w:val="00FA4F8F"/>
    <w:rsid w:val="00FD3A5F"/>
    <w:rsid w:val="00FE081D"/>
    <w:rsid w:val="00FF18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130880"/>
    <w:pPr>
      <w:jc w:val="both"/>
    </w:pPr>
    <w:rPr>
      <w:rFonts w:eastAsiaTheme="minorEastAsia"/>
      <w:sz w:val="24"/>
      <w:lang w:val="en-GB"/>
    </w:rPr>
  </w:style>
  <w:style w:type="paragraph" w:styleId="Heading1">
    <w:name w:val="heading 1"/>
    <w:basedOn w:val="Normal"/>
    <w:next w:val="Normal"/>
    <w:link w:val="Heading1Char"/>
    <w:uiPriority w:val="99"/>
    <w:semiHidden/>
    <w:rsid w:val="00130880"/>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130880"/>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130880"/>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130880"/>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130880"/>
    <w:pPr>
      <w:spacing w:before="200"/>
      <w:outlineLvl w:val="4"/>
    </w:pPr>
    <w:rPr>
      <w:rFonts w:asciiTheme="majorHAnsi" w:eastAsiaTheme="majorEastAsia" w:hAnsiTheme="majorHAnsi" w:cstheme="majorBidi"/>
      <w:b/>
      <w:bCs/>
      <w:color w:val="808080"/>
      <w:sz w:val="22"/>
      <w:lang w:val="en-US"/>
    </w:rPr>
  </w:style>
  <w:style w:type="paragraph" w:styleId="Heading6">
    <w:name w:val="heading 6"/>
    <w:basedOn w:val="Normal"/>
    <w:next w:val="Normal"/>
    <w:link w:val="Heading6Char"/>
    <w:uiPriority w:val="99"/>
    <w:semiHidden/>
    <w:rsid w:val="00130880"/>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130880"/>
    <w:pPr>
      <w:outlineLvl w:val="6"/>
    </w:pPr>
    <w:rPr>
      <w:rFonts w:asciiTheme="majorHAnsi" w:eastAsiaTheme="majorEastAsia" w:hAnsiTheme="majorHAnsi" w:cstheme="majorBidi"/>
      <w:i/>
      <w:iCs/>
      <w:sz w:val="22"/>
      <w:lang w:val="en-US" w:bidi="en-US"/>
    </w:rPr>
  </w:style>
  <w:style w:type="paragraph" w:styleId="Heading8">
    <w:name w:val="heading 8"/>
    <w:basedOn w:val="Normal"/>
    <w:next w:val="Normal"/>
    <w:link w:val="Heading8Char"/>
    <w:uiPriority w:val="99"/>
    <w:semiHidden/>
    <w:qFormat/>
    <w:rsid w:val="00130880"/>
    <w:pPr>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9"/>
    <w:semiHidden/>
    <w:qFormat/>
    <w:rsid w:val="00130880"/>
    <w:pPr>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30880"/>
    <w:rPr>
      <w:rFonts w:ascii="Tahoma" w:hAnsi="Tahoma" w:cs="Tahoma"/>
      <w:sz w:val="16"/>
      <w:szCs w:val="16"/>
    </w:rPr>
  </w:style>
  <w:style w:type="character" w:customStyle="1" w:styleId="BalloonTextChar">
    <w:name w:val="Balloon Text Char"/>
    <w:basedOn w:val="DefaultParagraphFont"/>
    <w:link w:val="BalloonText"/>
    <w:uiPriority w:val="99"/>
    <w:semiHidden/>
    <w:rsid w:val="00130880"/>
    <w:rPr>
      <w:rFonts w:ascii="Tahoma" w:eastAsiaTheme="minorEastAsia" w:hAnsi="Tahoma" w:cs="Tahoma"/>
      <w:sz w:val="16"/>
      <w:szCs w:val="16"/>
      <w:lang w:val="en-GB"/>
    </w:rPr>
  </w:style>
  <w:style w:type="character" w:styleId="BookTitle">
    <w:name w:val="Book Title"/>
    <w:uiPriority w:val="99"/>
    <w:semiHidden/>
    <w:qFormat/>
    <w:rsid w:val="00130880"/>
    <w:rPr>
      <w:i/>
      <w:iCs/>
      <w:smallCaps/>
      <w:spacing w:val="5"/>
    </w:rPr>
  </w:style>
  <w:style w:type="paragraph" w:customStyle="1" w:styleId="ECHRHeader">
    <w:name w:val="ECHR_Header"/>
    <w:aliases w:val="Ju_Header"/>
    <w:basedOn w:val="Header"/>
    <w:uiPriority w:val="4"/>
    <w:qFormat/>
    <w:rsid w:val="00130880"/>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130880"/>
    <w:pPr>
      <w:jc w:val="left"/>
    </w:pPr>
    <w:rPr>
      <w:sz w:val="8"/>
    </w:rPr>
  </w:style>
  <w:style w:type="character" w:styleId="Strong">
    <w:name w:val="Strong"/>
    <w:uiPriority w:val="99"/>
    <w:semiHidden/>
    <w:qFormat/>
    <w:rsid w:val="00130880"/>
    <w:rPr>
      <w:b/>
      <w:bCs/>
    </w:rPr>
  </w:style>
  <w:style w:type="paragraph" w:styleId="NoSpacing">
    <w:name w:val="No Spacing"/>
    <w:basedOn w:val="Normal"/>
    <w:link w:val="NoSpacingChar"/>
    <w:semiHidden/>
    <w:qFormat/>
    <w:rsid w:val="00130880"/>
    <w:rPr>
      <w:sz w:val="22"/>
      <w:lang w:val="en-US"/>
    </w:rPr>
  </w:style>
  <w:style w:type="character" w:customStyle="1" w:styleId="NoSpacingChar">
    <w:name w:val="No Spacing Char"/>
    <w:basedOn w:val="DefaultParagraphFont"/>
    <w:link w:val="NoSpacing"/>
    <w:semiHidden/>
    <w:rsid w:val="00130880"/>
    <w:rPr>
      <w:rFonts w:eastAsiaTheme="minorEastAsia"/>
    </w:rPr>
  </w:style>
  <w:style w:type="paragraph" w:customStyle="1" w:styleId="ECHRFooterLine">
    <w:name w:val="ECHR_Footer_Line"/>
    <w:aliases w:val="Footer_Line"/>
    <w:basedOn w:val="Normal"/>
    <w:next w:val="ECHRFooter"/>
    <w:uiPriority w:val="57"/>
    <w:semiHidden/>
    <w:rsid w:val="00130880"/>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qFormat/>
    <w:rsid w:val="00130880"/>
    <w:pPr>
      <w:numPr>
        <w:numId w:val="21"/>
      </w:numPr>
      <w:jc w:val="left"/>
    </w:pPr>
    <w:rPr>
      <w:b/>
    </w:rPr>
  </w:style>
  <w:style w:type="paragraph" w:customStyle="1" w:styleId="DummyStyle">
    <w:name w:val="Dummy_Style"/>
    <w:basedOn w:val="Normal"/>
    <w:semiHidden/>
    <w:qFormat/>
    <w:rsid w:val="00130880"/>
    <w:rPr>
      <w:color w:val="00B050"/>
    </w:rPr>
  </w:style>
  <w:style w:type="paragraph" w:customStyle="1" w:styleId="JuParaSub">
    <w:name w:val="Ju_Para_Sub"/>
    <w:basedOn w:val="ECHRPara"/>
    <w:uiPriority w:val="13"/>
    <w:qFormat/>
    <w:rsid w:val="00130880"/>
    <w:pPr>
      <w:ind w:left="284"/>
    </w:pPr>
  </w:style>
  <w:style w:type="paragraph" w:customStyle="1" w:styleId="ECHRTitleCentre3">
    <w:name w:val="ECHR_Title_Centre_3"/>
    <w:aliases w:val="Ju_H_Article"/>
    <w:basedOn w:val="Normal"/>
    <w:next w:val="ECHRParaQuote"/>
    <w:uiPriority w:val="27"/>
    <w:qFormat/>
    <w:rsid w:val="00130880"/>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130880"/>
    <w:pPr>
      <w:keepNext/>
      <w:keepLines/>
      <w:spacing w:after="240"/>
      <w:jc w:val="center"/>
      <w:outlineLvl w:val="0"/>
    </w:pPr>
    <w:rPr>
      <w:rFonts w:asciiTheme="majorHAnsi" w:hAnsiTheme="majorHAnsi"/>
      <w:sz w:val="28"/>
    </w:rPr>
  </w:style>
  <w:style w:type="paragraph" w:customStyle="1" w:styleId="OpiH1">
    <w:name w:val="Opi_H_1"/>
    <w:basedOn w:val="ECHRHeading2"/>
    <w:uiPriority w:val="42"/>
    <w:qFormat/>
    <w:rsid w:val="00130880"/>
    <w:pPr>
      <w:ind w:left="635" w:hanging="357"/>
      <w:outlineLvl w:val="2"/>
    </w:pPr>
  </w:style>
  <w:style w:type="paragraph" w:customStyle="1" w:styleId="OpiHa">
    <w:name w:val="Opi_H_a"/>
    <w:basedOn w:val="ECHRHeading3"/>
    <w:uiPriority w:val="43"/>
    <w:qFormat/>
    <w:rsid w:val="00130880"/>
    <w:pPr>
      <w:ind w:left="833" w:hanging="357"/>
      <w:outlineLvl w:val="3"/>
    </w:pPr>
    <w:rPr>
      <w:b/>
      <w:i w:val="0"/>
      <w:sz w:val="20"/>
    </w:rPr>
  </w:style>
  <w:style w:type="paragraph" w:customStyle="1" w:styleId="OpiHA0">
    <w:name w:val="Opi_H_A"/>
    <w:basedOn w:val="ECHRHeading1"/>
    <w:next w:val="OpiPara"/>
    <w:uiPriority w:val="41"/>
    <w:qFormat/>
    <w:rsid w:val="00130880"/>
    <w:pPr>
      <w:tabs>
        <w:tab w:val="clear" w:pos="357"/>
      </w:tabs>
      <w:outlineLvl w:val="1"/>
    </w:pPr>
    <w:rPr>
      <w:b/>
    </w:rPr>
  </w:style>
  <w:style w:type="paragraph" w:customStyle="1" w:styleId="ECHRTitleCentre2">
    <w:name w:val="ECHR_Title_Centre_2"/>
    <w:aliases w:val="Dec_H_Case"/>
    <w:basedOn w:val="Normal"/>
    <w:next w:val="ECHRPara"/>
    <w:uiPriority w:val="8"/>
    <w:qFormat/>
    <w:rsid w:val="00130880"/>
    <w:pPr>
      <w:spacing w:after="240"/>
      <w:jc w:val="center"/>
      <w:outlineLvl w:val="0"/>
    </w:pPr>
    <w:rPr>
      <w:rFonts w:asciiTheme="majorHAnsi" w:hAnsiTheme="majorHAnsi"/>
    </w:rPr>
  </w:style>
  <w:style w:type="paragraph" w:customStyle="1" w:styleId="JuTitle">
    <w:name w:val="Ju_Title"/>
    <w:basedOn w:val="Normal"/>
    <w:next w:val="ECHRPara"/>
    <w:uiPriority w:val="3"/>
    <w:qFormat/>
    <w:rsid w:val="00130880"/>
    <w:pPr>
      <w:spacing w:before="720" w:after="240"/>
      <w:jc w:val="center"/>
      <w:outlineLvl w:val="0"/>
    </w:pPr>
    <w:rPr>
      <w:rFonts w:asciiTheme="majorHAnsi" w:hAnsiTheme="majorHAnsi"/>
      <w:b/>
      <w:caps/>
    </w:rPr>
  </w:style>
  <w:style w:type="paragraph" w:styleId="Title">
    <w:name w:val="Title"/>
    <w:basedOn w:val="Normal"/>
    <w:next w:val="Normal"/>
    <w:link w:val="TitleChar"/>
    <w:uiPriority w:val="99"/>
    <w:semiHidden/>
    <w:qFormat/>
    <w:rsid w:val="00130880"/>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leChar">
    <w:name w:val="Title Char"/>
    <w:basedOn w:val="DefaultParagraphFont"/>
    <w:link w:val="Title"/>
    <w:uiPriority w:val="99"/>
    <w:semiHidden/>
    <w:rsid w:val="00130880"/>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Heading3"/>
    <w:next w:val="ECHRPara"/>
    <w:uiPriority w:val="21"/>
    <w:qFormat/>
    <w:rsid w:val="00130880"/>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130880"/>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130880"/>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Heading6"/>
    <w:next w:val="ECHRPara"/>
    <w:uiPriority w:val="24"/>
    <w:qFormat/>
    <w:rsid w:val="00130880"/>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Heading7"/>
    <w:next w:val="ECHRPara"/>
    <w:uiPriority w:val="25"/>
    <w:qFormat/>
    <w:rsid w:val="00130880"/>
    <w:pPr>
      <w:keepNext/>
      <w:keepLines/>
      <w:spacing w:before="240" w:after="120"/>
      <w:ind w:left="1236"/>
    </w:pPr>
    <w:rPr>
      <w:sz w:val="20"/>
      <w:lang w:val="en-GB"/>
    </w:rPr>
  </w:style>
  <w:style w:type="paragraph" w:customStyle="1" w:styleId="JuQuotSub">
    <w:name w:val="Ju_Quot_Sub"/>
    <w:basedOn w:val="ECHRParaQuote"/>
    <w:uiPriority w:val="15"/>
    <w:qFormat/>
    <w:rsid w:val="00130880"/>
    <w:pPr>
      <w:ind w:left="567"/>
    </w:pPr>
  </w:style>
  <w:style w:type="paragraph" w:customStyle="1" w:styleId="JuInitialled">
    <w:name w:val="Ju_Initialled"/>
    <w:basedOn w:val="Normal"/>
    <w:uiPriority w:val="31"/>
    <w:qFormat/>
    <w:rsid w:val="00130880"/>
    <w:pPr>
      <w:tabs>
        <w:tab w:val="center" w:pos="6407"/>
      </w:tabs>
      <w:spacing w:before="720"/>
      <w:jc w:val="right"/>
    </w:pPr>
  </w:style>
  <w:style w:type="paragraph" w:customStyle="1" w:styleId="OpiHi">
    <w:name w:val="Opi_H_i"/>
    <w:basedOn w:val="ECHRHeading4"/>
    <w:uiPriority w:val="44"/>
    <w:qFormat/>
    <w:rsid w:val="00130880"/>
    <w:pPr>
      <w:ind w:left="1037" w:hanging="357"/>
      <w:outlineLvl w:val="4"/>
    </w:pPr>
    <w:rPr>
      <w:b w:val="0"/>
      <w:i/>
    </w:rPr>
  </w:style>
  <w:style w:type="paragraph" w:styleId="Header">
    <w:name w:val="header"/>
    <w:basedOn w:val="Normal"/>
    <w:link w:val="HeaderChar"/>
    <w:uiPriority w:val="57"/>
    <w:semiHidden/>
    <w:rsid w:val="00130880"/>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130880"/>
    <w:rPr>
      <w:sz w:val="24"/>
      <w:lang w:val="en-GB"/>
    </w:rPr>
  </w:style>
  <w:style w:type="character" w:customStyle="1" w:styleId="Heading1Char">
    <w:name w:val="Heading 1 Char"/>
    <w:basedOn w:val="DefaultParagraphFont"/>
    <w:link w:val="Heading1"/>
    <w:uiPriority w:val="99"/>
    <w:semiHidden/>
    <w:rsid w:val="00130880"/>
    <w:rPr>
      <w:rFonts w:asciiTheme="majorHAnsi" w:eastAsiaTheme="majorEastAsia" w:hAnsiTheme="majorHAnsi" w:cstheme="majorBidi"/>
      <w:b/>
      <w:bCs/>
      <w:color w:val="333333"/>
      <w:sz w:val="28"/>
      <w:szCs w:val="28"/>
      <w:lang w:val="en-GB"/>
    </w:rPr>
  </w:style>
  <w:style w:type="paragraph" w:customStyle="1" w:styleId="ECHRHeading1">
    <w:name w:val="ECHR_Heading_1"/>
    <w:aliases w:val="Ju_H_I_Roman"/>
    <w:basedOn w:val="Heading1"/>
    <w:next w:val="ECHRPara"/>
    <w:uiPriority w:val="19"/>
    <w:qFormat/>
    <w:rsid w:val="00130880"/>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130880"/>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130880"/>
    <w:rPr>
      <w:rFonts w:asciiTheme="majorHAnsi" w:eastAsiaTheme="majorEastAsia" w:hAnsiTheme="majorHAnsi" w:cstheme="majorBidi"/>
      <w:b/>
      <w:bCs/>
      <w:color w:val="4D4D4D"/>
      <w:sz w:val="26"/>
      <w:szCs w:val="26"/>
      <w:lang w:val="en-GB"/>
    </w:rPr>
  </w:style>
  <w:style w:type="character" w:customStyle="1" w:styleId="JUNAMES">
    <w:name w:val="JU_NAMES"/>
    <w:uiPriority w:val="17"/>
    <w:qFormat/>
    <w:rsid w:val="00130880"/>
    <w:rPr>
      <w:caps w:val="0"/>
      <w:smallCaps/>
    </w:rPr>
  </w:style>
  <w:style w:type="paragraph" w:customStyle="1" w:styleId="JuCase">
    <w:name w:val="Ju_Case"/>
    <w:basedOn w:val="Normal"/>
    <w:next w:val="ECHRPara"/>
    <w:uiPriority w:val="10"/>
    <w:rsid w:val="00130880"/>
    <w:pPr>
      <w:ind w:firstLine="284"/>
    </w:pPr>
    <w:rPr>
      <w:b/>
    </w:rPr>
  </w:style>
  <w:style w:type="character" w:customStyle="1" w:styleId="Heading3Char">
    <w:name w:val="Heading 3 Char"/>
    <w:basedOn w:val="DefaultParagraphFont"/>
    <w:link w:val="Heading3"/>
    <w:uiPriority w:val="99"/>
    <w:semiHidden/>
    <w:rsid w:val="00130880"/>
    <w:rPr>
      <w:rFonts w:asciiTheme="majorHAnsi" w:eastAsiaTheme="majorEastAsia" w:hAnsiTheme="majorHAnsi" w:cstheme="majorBidi"/>
      <w:b/>
      <w:bCs/>
      <w:color w:val="5F5F5F"/>
      <w:sz w:val="24"/>
      <w:lang w:val="en-GB"/>
    </w:rPr>
  </w:style>
  <w:style w:type="character" w:customStyle="1" w:styleId="Heading4Char">
    <w:name w:val="Heading 4 Char"/>
    <w:basedOn w:val="DefaultParagraphFont"/>
    <w:link w:val="Heading4"/>
    <w:uiPriority w:val="99"/>
    <w:semiHidden/>
    <w:rsid w:val="00130880"/>
    <w:rPr>
      <w:rFonts w:asciiTheme="majorHAnsi" w:eastAsiaTheme="majorEastAsia" w:hAnsiTheme="majorHAnsi" w:cstheme="majorBidi"/>
      <w:b/>
      <w:bCs/>
      <w:i/>
      <w:iCs/>
      <w:color w:val="777777"/>
      <w:sz w:val="24"/>
      <w:lang w:val="en-GB"/>
    </w:rPr>
  </w:style>
  <w:style w:type="character" w:customStyle="1" w:styleId="Heading5Char">
    <w:name w:val="Heading 5 Char"/>
    <w:basedOn w:val="DefaultParagraphFont"/>
    <w:link w:val="Heading5"/>
    <w:uiPriority w:val="99"/>
    <w:semiHidden/>
    <w:rsid w:val="00130880"/>
    <w:rPr>
      <w:rFonts w:asciiTheme="majorHAnsi" w:eastAsiaTheme="majorEastAsia" w:hAnsiTheme="majorHAnsi" w:cstheme="majorBidi"/>
      <w:b/>
      <w:bCs/>
      <w:color w:val="808080"/>
    </w:rPr>
  </w:style>
  <w:style w:type="character" w:styleId="SubtleEmphasis">
    <w:name w:val="Subtle Emphasis"/>
    <w:uiPriority w:val="99"/>
    <w:semiHidden/>
    <w:qFormat/>
    <w:rsid w:val="00130880"/>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130880"/>
    <w:pPr>
      <w:keepNext/>
      <w:keepLines/>
      <w:spacing w:before="720" w:after="240"/>
      <w:outlineLvl w:val="0"/>
    </w:pPr>
    <w:rPr>
      <w:rFonts w:asciiTheme="majorHAnsi" w:hAnsiTheme="majorHAnsi"/>
      <w:sz w:val="28"/>
    </w:rPr>
  </w:style>
  <w:style w:type="character" w:styleId="Emphasis">
    <w:name w:val="Emphasis"/>
    <w:uiPriority w:val="99"/>
    <w:semiHidden/>
    <w:qFormat/>
    <w:rsid w:val="00130880"/>
    <w:rPr>
      <w:b/>
      <w:bCs/>
      <w:i/>
      <w:iCs/>
      <w:spacing w:val="10"/>
      <w:bdr w:val="none" w:sz="0" w:space="0" w:color="auto"/>
      <w:shd w:val="clear" w:color="auto" w:fill="auto"/>
    </w:rPr>
  </w:style>
  <w:style w:type="paragraph" w:styleId="Footer">
    <w:name w:val="footer"/>
    <w:basedOn w:val="Normal"/>
    <w:link w:val="FooterChar"/>
    <w:uiPriority w:val="57"/>
    <w:semiHidden/>
    <w:rsid w:val="00130880"/>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130880"/>
    <w:rPr>
      <w:sz w:val="24"/>
      <w:lang w:val="en-GB"/>
    </w:rPr>
  </w:style>
  <w:style w:type="character" w:styleId="FootnoteReference">
    <w:name w:val="footnote reference"/>
    <w:basedOn w:val="DefaultParagraphFont"/>
    <w:uiPriority w:val="99"/>
    <w:semiHidden/>
    <w:rsid w:val="00130880"/>
    <w:rPr>
      <w:vertAlign w:val="superscript"/>
    </w:rPr>
  </w:style>
  <w:style w:type="paragraph" w:styleId="FootnoteText">
    <w:name w:val="footnote text"/>
    <w:basedOn w:val="Normal"/>
    <w:link w:val="FootnoteTextChar"/>
    <w:uiPriority w:val="99"/>
    <w:semiHidden/>
    <w:rsid w:val="00130880"/>
    <w:rPr>
      <w:sz w:val="20"/>
      <w:szCs w:val="20"/>
    </w:rPr>
  </w:style>
  <w:style w:type="character" w:customStyle="1" w:styleId="FootnoteTextChar">
    <w:name w:val="Footnote Text Char"/>
    <w:basedOn w:val="DefaultParagraphFont"/>
    <w:link w:val="FootnoteText"/>
    <w:uiPriority w:val="99"/>
    <w:semiHidden/>
    <w:rsid w:val="00130880"/>
    <w:rPr>
      <w:rFonts w:eastAsiaTheme="minorEastAsia"/>
      <w:sz w:val="20"/>
      <w:szCs w:val="20"/>
      <w:lang w:val="en-GB"/>
    </w:rPr>
  </w:style>
  <w:style w:type="character" w:customStyle="1" w:styleId="Heading6Char">
    <w:name w:val="Heading 6 Char"/>
    <w:basedOn w:val="DefaultParagraphFont"/>
    <w:link w:val="Heading6"/>
    <w:uiPriority w:val="99"/>
    <w:semiHidden/>
    <w:rsid w:val="00130880"/>
    <w:rPr>
      <w:rFonts w:asciiTheme="majorHAnsi" w:eastAsiaTheme="majorEastAsia" w:hAnsiTheme="majorHAnsi" w:cstheme="majorBidi"/>
      <w:b/>
      <w:bCs/>
      <w:i/>
      <w:iCs/>
      <w:color w:val="7F7F7F" w:themeColor="text1" w:themeTint="80"/>
      <w:sz w:val="24"/>
      <w:lang w:val="en-GB" w:bidi="en-US"/>
    </w:rPr>
  </w:style>
  <w:style w:type="character" w:customStyle="1" w:styleId="Heading7Char">
    <w:name w:val="Heading 7 Char"/>
    <w:basedOn w:val="DefaultParagraphFont"/>
    <w:link w:val="Heading7"/>
    <w:uiPriority w:val="99"/>
    <w:semiHidden/>
    <w:rsid w:val="00130880"/>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130880"/>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130880"/>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130880"/>
    <w:rPr>
      <w:color w:val="0072BC" w:themeColor="hyperlink"/>
      <w:u w:val="single"/>
    </w:rPr>
  </w:style>
  <w:style w:type="character" w:styleId="IntenseEmphasis">
    <w:name w:val="Intense Emphasis"/>
    <w:uiPriority w:val="99"/>
    <w:semiHidden/>
    <w:qFormat/>
    <w:rsid w:val="00130880"/>
    <w:rPr>
      <w:b/>
      <w:bCs/>
    </w:rPr>
  </w:style>
  <w:style w:type="paragraph" w:styleId="IntenseQuote">
    <w:name w:val="Intense Quote"/>
    <w:basedOn w:val="Normal"/>
    <w:next w:val="Normal"/>
    <w:link w:val="IntenseQuoteChar"/>
    <w:uiPriority w:val="99"/>
    <w:semiHidden/>
    <w:qFormat/>
    <w:rsid w:val="00130880"/>
    <w:pPr>
      <w:pBdr>
        <w:bottom w:val="single" w:sz="4" w:space="1" w:color="auto"/>
      </w:pBdr>
      <w:spacing w:before="200" w:after="280"/>
      <w:ind w:left="1008" w:right="1152"/>
    </w:pPr>
    <w:rPr>
      <w:b/>
      <w:bCs/>
      <w:i/>
      <w:iCs/>
      <w:sz w:val="22"/>
      <w:lang w:val="en-US" w:bidi="en-US"/>
    </w:rPr>
  </w:style>
  <w:style w:type="character" w:customStyle="1" w:styleId="IntenseQuoteChar">
    <w:name w:val="Intense Quote Char"/>
    <w:basedOn w:val="DefaultParagraphFont"/>
    <w:link w:val="IntenseQuote"/>
    <w:uiPriority w:val="99"/>
    <w:semiHidden/>
    <w:rsid w:val="00130880"/>
    <w:rPr>
      <w:rFonts w:eastAsiaTheme="minorEastAsia"/>
      <w:b/>
      <w:bCs/>
      <w:i/>
      <w:iCs/>
      <w:lang w:bidi="en-US"/>
    </w:rPr>
  </w:style>
  <w:style w:type="character" w:styleId="IntenseReference">
    <w:name w:val="Intense Reference"/>
    <w:uiPriority w:val="99"/>
    <w:semiHidden/>
    <w:qFormat/>
    <w:rsid w:val="00130880"/>
    <w:rPr>
      <w:smallCaps/>
      <w:spacing w:val="5"/>
      <w:u w:val="single"/>
    </w:rPr>
  </w:style>
  <w:style w:type="paragraph" w:styleId="ListParagraph">
    <w:name w:val="List Paragraph"/>
    <w:basedOn w:val="Normal"/>
    <w:uiPriority w:val="99"/>
    <w:semiHidden/>
    <w:qFormat/>
    <w:rsid w:val="00130880"/>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130880"/>
    <w:pPr>
      <w:spacing w:before="200"/>
      <w:ind w:left="360" w:right="360"/>
    </w:pPr>
    <w:rPr>
      <w:i/>
      <w:iCs/>
      <w:sz w:val="22"/>
      <w:lang w:val="en-US" w:bidi="en-US"/>
    </w:rPr>
  </w:style>
  <w:style w:type="character" w:customStyle="1" w:styleId="QuoteChar">
    <w:name w:val="Quote Char"/>
    <w:basedOn w:val="DefaultParagraphFont"/>
    <w:link w:val="Quote"/>
    <w:uiPriority w:val="99"/>
    <w:semiHidden/>
    <w:rsid w:val="00130880"/>
    <w:rPr>
      <w:rFonts w:eastAsiaTheme="minorEastAsia"/>
      <w:i/>
      <w:iCs/>
      <w:lang w:bidi="en-US"/>
    </w:rPr>
  </w:style>
  <w:style w:type="character" w:styleId="SubtleReference">
    <w:name w:val="Subtle Reference"/>
    <w:uiPriority w:val="99"/>
    <w:semiHidden/>
    <w:qFormat/>
    <w:rsid w:val="00130880"/>
    <w:rPr>
      <w:smallCaps/>
    </w:rPr>
  </w:style>
  <w:style w:type="table" w:styleId="TableGrid">
    <w:name w:val="Table Grid"/>
    <w:basedOn w:val="TableNormal"/>
    <w:uiPriority w:val="59"/>
    <w:semiHidden/>
    <w:rsid w:val="0013088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130880"/>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130880"/>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130880"/>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130880"/>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130880"/>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130880"/>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130880"/>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
    <w:uiPriority w:val="14"/>
    <w:qFormat/>
    <w:rsid w:val="00130880"/>
    <w:pPr>
      <w:spacing w:before="120" w:after="120"/>
      <w:ind w:left="425" w:firstLine="142"/>
    </w:pPr>
    <w:rPr>
      <w:sz w:val="20"/>
    </w:rPr>
  </w:style>
  <w:style w:type="paragraph" w:customStyle="1" w:styleId="ECHRPara">
    <w:name w:val="ECHR_Para"/>
    <w:aliases w:val="Ju_Para"/>
    <w:basedOn w:val="Normal"/>
    <w:link w:val="ECHRParaChar"/>
    <w:uiPriority w:val="12"/>
    <w:qFormat/>
    <w:rsid w:val="00130880"/>
    <w:pPr>
      <w:ind w:firstLine="284"/>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130880"/>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130880"/>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
    <w:uiPriority w:val="28"/>
    <w:qFormat/>
    <w:rsid w:val="00130880"/>
    <w:pPr>
      <w:ind w:left="340" w:hanging="340"/>
    </w:pPr>
  </w:style>
  <w:style w:type="paragraph" w:customStyle="1" w:styleId="JuSigned">
    <w:name w:val="Ju_Signed"/>
    <w:basedOn w:val="Normal"/>
    <w:next w:val="JuParaLast"/>
    <w:uiPriority w:val="32"/>
    <w:qFormat/>
    <w:rsid w:val="00130880"/>
    <w:pPr>
      <w:tabs>
        <w:tab w:val="center" w:pos="851"/>
        <w:tab w:val="center" w:pos="6407"/>
      </w:tabs>
      <w:spacing w:before="720"/>
      <w:jc w:val="left"/>
    </w:pPr>
  </w:style>
  <w:style w:type="paragraph" w:customStyle="1" w:styleId="JuParaLast">
    <w:name w:val="Ju_Para_Last"/>
    <w:basedOn w:val="Normal"/>
    <w:next w:val="ECHRPara"/>
    <w:uiPriority w:val="30"/>
    <w:qFormat/>
    <w:rsid w:val="00130880"/>
    <w:pPr>
      <w:keepNext/>
      <w:keepLines/>
      <w:spacing w:before="240"/>
      <w:ind w:firstLine="284"/>
    </w:pPr>
  </w:style>
  <w:style w:type="paragraph" w:customStyle="1" w:styleId="JuCourt">
    <w:name w:val="Ju_Court"/>
    <w:basedOn w:val="Normal"/>
    <w:next w:val="Normal"/>
    <w:uiPriority w:val="16"/>
    <w:qFormat/>
    <w:rsid w:val="00130880"/>
    <w:pPr>
      <w:tabs>
        <w:tab w:val="left" w:pos="907"/>
        <w:tab w:val="left" w:pos="1701"/>
        <w:tab w:val="right" w:pos="7371"/>
      </w:tabs>
      <w:spacing w:before="240"/>
      <w:ind w:left="397" w:hanging="397"/>
      <w:jc w:val="left"/>
    </w:pPr>
    <w:rPr>
      <w:lang w:bidi="en-US"/>
    </w:rPr>
  </w:style>
  <w:style w:type="character" w:styleId="PageNumber">
    <w:name w:val="page number"/>
    <w:uiPriority w:val="99"/>
    <w:semiHidden/>
    <w:rsid w:val="00014566"/>
    <w:rPr>
      <w:sz w:val="18"/>
    </w:rPr>
  </w:style>
  <w:style w:type="paragraph" w:customStyle="1" w:styleId="JuLista">
    <w:name w:val="Ju_List_a"/>
    <w:basedOn w:val="JuList"/>
    <w:uiPriority w:val="28"/>
    <w:qFormat/>
    <w:rsid w:val="00130880"/>
    <w:pPr>
      <w:ind w:left="346" w:firstLine="0"/>
    </w:pPr>
  </w:style>
  <w:style w:type="paragraph" w:customStyle="1" w:styleId="JuListi">
    <w:name w:val="Ju_List_i"/>
    <w:basedOn w:val="Normal"/>
    <w:next w:val="JuLista"/>
    <w:uiPriority w:val="28"/>
    <w:qFormat/>
    <w:rsid w:val="00130880"/>
    <w:pPr>
      <w:ind w:left="794"/>
    </w:pPr>
  </w:style>
  <w:style w:type="character" w:styleId="CommentReference">
    <w:name w:val="annotation reference"/>
    <w:uiPriority w:val="99"/>
    <w:semiHidden/>
    <w:rsid w:val="00014566"/>
    <w:rPr>
      <w:sz w:val="16"/>
    </w:rPr>
  </w:style>
  <w:style w:type="paragraph" w:styleId="CommentText">
    <w:name w:val="annotation text"/>
    <w:basedOn w:val="Normal"/>
    <w:link w:val="CommentTextChar"/>
    <w:uiPriority w:val="99"/>
    <w:semiHidden/>
    <w:rsid w:val="00014566"/>
    <w:rPr>
      <w:sz w:val="20"/>
    </w:rPr>
  </w:style>
  <w:style w:type="character" w:customStyle="1" w:styleId="CommentTextChar">
    <w:name w:val="Comment Text Char"/>
    <w:basedOn w:val="DefaultParagraphFont"/>
    <w:link w:val="CommentText"/>
    <w:uiPriority w:val="99"/>
    <w:semiHidden/>
    <w:rsid w:val="00014566"/>
    <w:rPr>
      <w:rFonts w:eastAsiaTheme="minorEastAsia"/>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rsid w:val="00014566"/>
    <w:rPr>
      <w:rFonts w:eastAsiaTheme="minorEastAsia"/>
      <w:b/>
      <w:bCs/>
      <w:sz w:val="20"/>
    </w:rPr>
  </w:style>
  <w:style w:type="character" w:styleId="EndnoteReference">
    <w:name w:val="endnote reference"/>
    <w:basedOn w:val="DefaultParagraphFont"/>
    <w:uiPriority w:val="99"/>
    <w:semiHidden/>
    <w:rsid w:val="00130880"/>
    <w:rPr>
      <w:vertAlign w:val="superscript"/>
    </w:rPr>
  </w:style>
  <w:style w:type="paragraph" w:styleId="EndnoteText">
    <w:name w:val="endnote text"/>
    <w:basedOn w:val="Normal"/>
    <w:link w:val="EndnoteTextChar"/>
    <w:uiPriority w:val="99"/>
    <w:semiHidden/>
    <w:rsid w:val="00130880"/>
    <w:rPr>
      <w:sz w:val="20"/>
      <w:szCs w:val="20"/>
    </w:rPr>
  </w:style>
  <w:style w:type="character" w:customStyle="1" w:styleId="EndnoteTextChar">
    <w:name w:val="Endnote Text Char"/>
    <w:basedOn w:val="DefaultParagraphFont"/>
    <w:link w:val="EndnoteText"/>
    <w:uiPriority w:val="99"/>
    <w:semiHidden/>
    <w:rsid w:val="00130880"/>
    <w:rPr>
      <w:rFonts w:eastAsiaTheme="minorEastAsia"/>
      <w:sz w:val="20"/>
      <w:szCs w:val="20"/>
      <w:lang w:val="en-GB"/>
    </w:rPr>
  </w:style>
  <w:style w:type="character" w:styleId="FollowedHyperlink">
    <w:name w:val="FollowedHyperlink"/>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14566"/>
    <w:rPr>
      <w:rFonts w:ascii="Tahoma" w:eastAsiaTheme="minorEastAsia" w:hAnsi="Tahoma" w:cs="Tahoma"/>
      <w:sz w:val="20"/>
      <w:shd w:val="clear" w:color="auto" w:fill="000080"/>
    </w:rPr>
  </w:style>
  <w:style w:type="character" w:customStyle="1" w:styleId="JuNames0">
    <w:name w:val="Ju_Names"/>
    <w:rsid w:val="00014566"/>
    <w:rPr>
      <w:smallCaps/>
    </w:rPr>
  </w:style>
  <w:style w:type="paragraph" w:styleId="ListBullet">
    <w:name w:val="List Bullet"/>
    <w:basedOn w:val="Normal"/>
    <w:uiPriority w:val="99"/>
    <w:semiHidden/>
    <w:rsid w:val="00014566"/>
    <w:pPr>
      <w:numPr>
        <w:numId w:val="1"/>
      </w:numPr>
    </w:pPr>
  </w:style>
  <w:style w:type="character" w:customStyle="1" w:styleId="JuITMark">
    <w:name w:val="Ju_ITMark"/>
    <w:basedOn w:val="DefaultParagraphFont"/>
    <w:uiPriority w:val="38"/>
    <w:qFormat/>
    <w:rsid w:val="00130880"/>
    <w:rPr>
      <w:vanish w:val="0"/>
      <w:color w:val="auto"/>
      <w:sz w:val="14"/>
      <w:bdr w:val="none" w:sz="0" w:space="0" w:color="auto"/>
      <w:shd w:val="clear" w:color="auto" w:fill="BEE5FF" w:themeFill="background1" w:themeFillTint="33"/>
    </w:rPr>
  </w:style>
  <w:style w:type="paragraph" w:styleId="Subtitle">
    <w:name w:val="Subtitle"/>
    <w:basedOn w:val="Normal"/>
    <w:next w:val="Normal"/>
    <w:link w:val="SubtitleChar"/>
    <w:uiPriority w:val="99"/>
    <w:semiHidden/>
    <w:qFormat/>
    <w:rsid w:val="00130880"/>
    <w:pPr>
      <w:spacing w:after="600"/>
    </w:pPr>
    <w:rPr>
      <w:rFonts w:asciiTheme="majorHAnsi" w:eastAsiaTheme="majorEastAsia" w:hAnsiTheme="majorHAnsi" w:cstheme="majorBidi"/>
      <w:i/>
      <w:iCs/>
      <w:spacing w:val="13"/>
      <w:szCs w:val="24"/>
      <w:lang w:val="en-US" w:bidi="en-US"/>
    </w:rPr>
  </w:style>
  <w:style w:type="character" w:customStyle="1" w:styleId="SubtitleChar">
    <w:name w:val="Subtitle Char"/>
    <w:basedOn w:val="DefaultParagraphFont"/>
    <w:link w:val="Subtitle"/>
    <w:uiPriority w:val="99"/>
    <w:semiHidden/>
    <w:rsid w:val="00130880"/>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rsid w:val="00014566"/>
    <w:rPr>
      <w:rFonts w:eastAsiaTheme="minorEastAsia"/>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rsid w:val="00014566"/>
    <w:rPr>
      <w:rFonts w:eastAsiaTheme="minorEastAsia"/>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rsid w:val="00014566"/>
    <w:rPr>
      <w:rFonts w:eastAsiaTheme="minorEastAsia"/>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rsid w:val="00014566"/>
    <w:rPr>
      <w:rFonts w:eastAsiaTheme="minorEastAsia"/>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rsid w:val="00014566"/>
    <w:rPr>
      <w:rFonts w:eastAsiaTheme="minorEastAsia"/>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566"/>
    <w:rPr>
      <w:rFonts w:eastAsiaTheme="minorEastAsia"/>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rsid w:val="00014566"/>
    <w:rPr>
      <w:rFonts w:eastAsiaTheme="minorEastAsia"/>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4566"/>
    <w:rPr>
      <w:rFonts w:eastAsiaTheme="minorEastAsia"/>
      <w:sz w:val="16"/>
      <w:szCs w:val="16"/>
    </w:rPr>
  </w:style>
  <w:style w:type="paragraph" w:styleId="Caption">
    <w:name w:val="caption"/>
    <w:basedOn w:val="Normal"/>
    <w:next w:val="Normal"/>
    <w:uiPriority w:val="99"/>
    <w:semiHidden/>
    <w:qFormat/>
    <w:rsid w:val="00014566"/>
    <w:pPr>
      <w:spacing w:after="200"/>
    </w:pPr>
    <w:rPr>
      <w:b/>
      <w:bCs/>
      <w:color w:val="0072BC" w:themeColor="accent1"/>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rsid w:val="00014566"/>
    <w:rPr>
      <w:rFonts w:eastAsiaTheme="minorEastAsia"/>
      <w:sz w:val="24"/>
    </w:rPr>
  </w:style>
  <w:style w:type="table" w:styleId="ColorfulGrid">
    <w:name w:val="Colorful Grid"/>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14566"/>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14566"/>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14566"/>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14566"/>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14566"/>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14566"/>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14566"/>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14566"/>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14566"/>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014566"/>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14566"/>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14566"/>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14566"/>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14566"/>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rsid w:val="00014566"/>
    <w:rPr>
      <w:rFonts w:eastAsiaTheme="minorEastAsia"/>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rsid w:val="00014566"/>
    <w:rPr>
      <w:rFonts w:eastAsiaTheme="minorEastAsia"/>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14566"/>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rsid w:val="00014566"/>
    <w:rPr>
      <w:rFonts w:eastAsiaTheme="minorEastAsia"/>
      <w:i/>
      <w:iCs/>
      <w:sz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4566"/>
    <w:rPr>
      <w:rFonts w:ascii="Consolas" w:eastAsiaTheme="minorEastAsia"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asciiTheme="majorHAnsi" w:eastAsiaTheme="majorEastAsia" w:hAnsiTheme="majorHAnsi" w:cstheme="majorBidi"/>
      <w:b/>
      <w:bCs/>
    </w:rPr>
  </w:style>
  <w:style w:type="table" w:styleId="LightGrid">
    <w:name w:val="Light Grid"/>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14566"/>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14566"/>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14566"/>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14566"/>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14566"/>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14566"/>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14566"/>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MacroTextChar">
    <w:name w:val="Macro Text Char"/>
    <w:basedOn w:val="DefaultParagraphFont"/>
    <w:link w:val="MacroText"/>
    <w:uiPriority w:val="99"/>
    <w:semiHidden/>
    <w:rsid w:val="00014566"/>
    <w:rPr>
      <w:rFonts w:ascii="Consolas" w:hAnsi="Consolas" w:cs="Consolas"/>
      <w:sz w:val="20"/>
      <w:szCs w:val="20"/>
      <w:lang w:val="en-GB" w:eastAsia="fr-FR"/>
    </w:rPr>
  </w:style>
  <w:style w:type="table" w:styleId="MediumGrid1">
    <w:name w:val="Medium Grid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14566"/>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14566"/>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14566"/>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14566"/>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14566"/>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456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14566"/>
    <w:rPr>
      <w:rFonts w:ascii="Times New Roman" w:hAnsi="Times New Roman" w:cs="Times New Roman"/>
      <w:szCs w:val="24"/>
    </w:rPr>
  </w:style>
  <w:style w:type="paragraph" w:styleId="NormalIndent">
    <w:name w:val="Normal Indent"/>
    <w:basedOn w:val="Normal"/>
    <w:uiPriority w:val="99"/>
    <w:semiHidden/>
    <w:rsid w:val="00014566"/>
    <w:pPr>
      <w:ind w:left="720"/>
    </w:pPr>
  </w:style>
  <w:style w:type="paragraph" w:customStyle="1" w:styleId="OpiPara">
    <w:name w:val="Opi_Para"/>
    <w:basedOn w:val="ECHRPara"/>
    <w:uiPriority w:val="46"/>
    <w:qFormat/>
    <w:rsid w:val="00130880"/>
  </w:style>
  <w:style w:type="paragraph" w:customStyle="1" w:styleId="OpiParaSub">
    <w:name w:val="Opi_Para_Sub"/>
    <w:basedOn w:val="JuParaSub"/>
    <w:uiPriority w:val="47"/>
    <w:qFormat/>
    <w:rsid w:val="00130880"/>
  </w:style>
  <w:style w:type="character" w:styleId="PlaceholderText">
    <w:name w:val="Placeholder Text"/>
    <w:basedOn w:val="DefaultParagraphFont"/>
    <w:uiPriority w:val="99"/>
    <w:semiHidden/>
    <w:rsid w:val="00130880"/>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rsid w:val="00014566"/>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rsid w:val="00014566"/>
    <w:rPr>
      <w:rFonts w:eastAsiaTheme="minorEastAsia"/>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rsid w:val="00014566"/>
    <w:rPr>
      <w:rFonts w:eastAsiaTheme="minorEastAsia"/>
      <w:sz w:val="24"/>
    </w:rPr>
  </w:style>
  <w:style w:type="table" w:styleId="Table3Deffects1">
    <w:name w:val="Table 3D effects 1"/>
    <w:basedOn w:val="TableNormal"/>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130880"/>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130880"/>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OpiQuot">
    <w:name w:val="Opi_Quot"/>
    <w:basedOn w:val="ECHRParaQuote"/>
    <w:uiPriority w:val="48"/>
    <w:qFormat/>
    <w:rsid w:val="00130880"/>
  </w:style>
  <w:style w:type="paragraph" w:customStyle="1" w:styleId="DecHTitle">
    <w:name w:val="Dec_H_Title"/>
    <w:basedOn w:val="ECHRTitleCentre1"/>
    <w:uiPriority w:val="7"/>
    <w:qFormat/>
    <w:rsid w:val="00130880"/>
  </w:style>
  <w:style w:type="paragraph" w:customStyle="1" w:styleId="DecList">
    <w:name w:val="Dec_List"/>
    <w:basedOn w:val="Normal"/>
    <w:uiPriority w:val="9"/>
    <w:qFormat/>
    <w:rsid w:val="00130880"/>
    <w:pPr>
      <w:spacing w:before="240"/>
      <w:ind w:left="284"/>
    </w:pPr>
  </w:style>
  <w:style w:type="paragraph" w:customStyle="1" w:styleId="OpiQuotSub">
    <w:name w:val="Opi_Quot_Sub"/>
    <w:basedOn w:val="JuQuotSub"/>
    <w:uiPriority w:val="49"/>
    <w:qFormat/>
    <w:rsid w:val="00130880"/>
  </w:style>
  <w:style w:type="paragraph" w:customStyle="1" w:styleId="OpiTranslation">
    <w:name w:val="Opi_Translation"/>
    <w:basedOn w:val="Normal"/>
    <w:next w:val="OpiPara"/>
    <w:uiPriority w:val="40"/>
    <w:qFormat/>
    <w:rsid w:val="00130880"/>
    <w:pPr>
      <w:jc w:val="center"/>
      <w:outlineLvl w:val="0"/>
    </w:pPr>
    <w:rPr>
      <w:i/>
    </w:rPr>
  </w:style>
  <w:style w:type="paragraph" w:styleId="NoteHeading">
    <w:name w:val="Note Heading"/>
    <w:basedOn w:val="Normal"/>
    <w:next w:val="Normal"/>
    <w:link w:val="NoteHeadingChar"/>
    <w:uiPriority w:val="99"/>
    <w:semiHidden/>
    <w:rsid w:val="006A460B"/>
  </w:style>
  <w:style w:type="character" w:customStyle="1" w:styleId="NoteHeadingChar">
    <w:name w:val="Note Heading Char"/>
    <w:basedOn w:val="DefaultParagraphFont"/>
    <w:link w:val="NoteHeading"/>
    <w:uiPriority w:val="99"/>
    <w:semiHidden/>
    <w:rsid w:val="006A460B"/>
    <w:rPr>
      <w:rFonts w:eastAsiaTheme="minorEastAsia"/>
      <w:sz w:val="24"/>
      <w:lang w:val="en-GB"/>
    </w:rPr>
  </w:style>
  <w:style w:type="paragraph" w:customStyle="1" w:styleId="JuHeaderLandscape">
    <w:name w:val="Ju_Header_Landscape"/>
    <w:basedOn w:val="ECHRHeader"/>
    <w:uiPriority w:val="4"/>
    <w:qFormat/>
    <w:rsid w:val="00130880"/>
    <w:pPr>
      <w:tabs>
        <w:tab w:val="clear" w:pos="3686"/>
        <w:tab w:val="clear" w:pos="7371"/>
        <w:tab w:val="center" w:pos="6146"/>
        <w:tab w:val="right" w:pos="12293"/>
      </w:tabs>
    </w:pPr>
  </w:style>
  <w:style w:type="character" w:customStyle="1" w:styleId="ECHRParaChar">
    <w:name w:val="ECHR_Para Char"/>
    <w:aliases w:val="Ju_Para Char"/>
    <w:link w:val="ECHRPara"/>
    <w:uiPriority w:val="12"/>
    <w:rsid w:val="0043348B"/>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6038">
      <w:bodyDiv w:val="1"/>
      <w:marLeft w:val="0"/>
      <w:marRight w:val="0"/>
      <w:marTop w:val="0"/>
      <w:marBottom w:val="0"/>
      <w:divBdr>
        <w:top w:val="none" w:sz="0" w:space="0" w:color="auto"/>
        <w:left w:val="none" w:sz="0" w:space="0" w:color="auto"/>
        <w:bottom w:val="none" w:sz="0" w:space="0" w:color="auto"/>
        <w:right w:val="none" w:sz="0" w:space="0" w:color="auto"/>
      </w:divBdr>
      <w:divsChild>
        <w:div w:id="217908384">
          <w:marLeft w:val="0"/>
          <w:marRight w:val="0"/>
          <w:marTop w:val="0"/>
          <w:marBottom w:val="0"/>
          <w:divBdr>
            <w:top w:val="none" w:sz="0" w:space="0" w:color="auto"/>
            <w:left w:val="none" w:sz="0" w:space="0" w:color="auto"/>
            <w:bottom w:val="none" w:sz="0" w:space="0" w:color="auto"/>
            <w:right w:val="none" w:sz="0" w:space="0" w:color="auto"/>
          </w:divBdr>
          <w:divsChild>
            <w:div w:id="1439253839">
              <w:marLeft w:val="0"/>
              <w:marRight w:val="0"/>
              <w:marTop w:val="0"/>
              <w:marBottom w:val="0"/>
              <w:divBdr>
                <w:top w:val="none" w:sz="0" w:space="0" w:color="auto"/>
                <w:left w:val="none" w:sz="0" w:space="0" w:color="auto"/>
                <w:bottom w:val="none" w:sz="0" w:space="0" w:color="auto"/>
                <w:right w:val="none" w:sz="0" w:space="0" w:color="auto"/>
              </w:divBdr>
              <w:divsChild>
                <w:div w:id="1352336196">
                  <w:marLeft w:val="0"/>
                  <w:marRight w:val="0"/>
                  <w:marTop w:val="0"/>
                  <w:marBottom w:val="0"/>
                  <w:divBdr>
                    <w:top w:val="none" w:sz="0" w:space="0" w:color="auto"/>
                    <w:left w:val="none" w:sz="0" w:space="0" w:color="auto"/>
                    <w:bottom w:val="none" w:sz="0" w:space="0" w:color="auto"/>
                    <w:right w:val="none" w:sz="0" w:space="0" w:color="auto"/>
                  </w:divBdr>
                  <w:divsChild>
                    <w:div w:id="1394889529">
                      <w:marLeft w:val="0"/>
                      <w:marRight w:val="0"/>
                      <w:marTop w:val="0"/>
                      <w:marBottom w:val="0"/>
                      <w:divBdr>
                        <w:top w:val="none" w:sz="0" w:space="0" w:color="auto"/>
                        <w:left w:val="none" w:sz="0" w:space="0" w:color="auto"/>
                        <w:bottom w:val="none" w:sz="0" w:space="0" w:color="auto"/>
                        <w:right w:val="none" w:sz="0" w:space="0" w:color="auto"/>
                      </w:divBdr>
                      <w:divsChild>
                        <w:div w:id="1987398300">
                          <w:marLeft w:val="0"/>
                          <w:marRight w:val="0"/>
                          <w:marTop w:val="0"/>
                          <w:marBottom w:val="0"/>
                          <w:divBdr>
                            <w:top w:val="none" w:sz="0" w:space="0" w:color="auto"/>
                            <w:left w:val="none" w:sz="0" w:space="0" w:color="auto"/>
                            <w:bottom w:val="none" w:sz="0" w:space="0" w:color="auto"/>
                            <w:right w:val="none" w:sz="0" w:space="0" w:color="auto"/>
                          </w:divBdr>
                          <w:divsChild>
                            <w:div w:id="18244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625263">
      <w:bodyDiv w:val="1"/>
      <w:marLeft w:val="0"/>
      <w:marRight w:val="0"/>
      <w:marTop w:val="0"/>
      <w:marBottom w:val="0"/>
      <w:divBdr>
        <w:top w:val="none" w:sz="0" w:space="0" w:color="auto"/>
        <w:left w:val="none" w:sz="0" w:space="0" w:color="auto"/>
        <w:bottom w:val="none" w:sz="0" w:space="0" w:color="auto"/>
        <w:right w:val="none" w:sz="0" w:space="0" w:color="auto"/>
      </w:divBdr>
      <w:divsChild>
        <w:div w:id="49694269">
          <w:marLeft w:val="0"/>
          <w:marRight w:val="0"/>
          <w:marTop w:val="0"/>
          <w:marBottom w:val="0"/>
          <w:divBdr>
            <w:top w:val="none" w:sz="0" w:space="0" w:color="auto"/>
            <w:left w:val="none" w:sz="0" w:space="0" w:color="auto"/>
            <w:bottom w:val="none" w:sz="0" w:space="0" w:color="auto"/>
            <w:right w:val="none" w:sz="0" w:space="0" w:color="auto"/>
          </w:divBdr>
          <w:divsChild>
            <w:div w:id="1662538554">
              <w:marLeft w:val="0"/>
              <w:marRight w:val="0"/>
              <w:marTop w:val="0"/>
              <w:marBottom w:val="0"/>
              <w:divBdr>
                <w:top w:val="none" w:sz="0" w:space="0" w:color="auto"/>
                <w:left w:val="none" w:sz="0" w:space="0" w:color="auto"/>
                <w:bottom w:val="none" w:sz="0" w:space="0" w:color="auto"/>
                <w:right w:val="none" w:sz="0" w:space="0" w:color="auto"/>
              </w:divBdr>
              <w:divsChild>
                <w:div w:id="634992983">
                  <w:marLeft w:val="0"/>
                  <w:marRight w:val="0"/>
                  <w:marTop w:val="0"/>
                  <w:marBottom w:val="0"/>
                  <w:divBdr>
                    <w:top w:val="none" w:sz="0" w:space="0" w:color="auto"/>
                    <w:left w:val="none" w:sz="0" w:space="0" w:color="auto"/>
                    <w:bottom w:val="none" w:sz="0" w:space="0" w:color="auto"/>
                    <w:right w:val="none" w:sz="0" w:space="0" w:color="auto"/>
                  </w:divBdr>
                  <w:divsChild>
                    <w:div w:id="639462825">
                      <w:marLeft w:val="0"/>
                      <w:marRight w:val="0"/>
                      <w:marTop w:val="0"/>
                      <w:marBottom w:val="0"/>
                      <w:divBdr>
                        <w:top w:val="none" w:sz="0" w:space="0" w:color="auto"/>
                        <w:left w:val="none" w:sz="0" w:space="0" w:color="auto"/>
                        <w:bottom w:val="none" w:sz="0" w:space="0" w:color="auto"/>
                        <w:right w:val="none" w:sz="0" w:space="0" w:color="auto"/>
                      </w:divBdr>
                      <w:divsChild>
                        <w:div w:id="709034655">
                          <w:marLeft w:val="0"/>
                          <w:marRight w:val="0"/>
                          <w:marTop w:val="0"/>
                          <w:marBottom w:val="0"/>
                          <w:divBdr>
                            <w:top w:val="none" w:sz="0" w:space="0" w:color="auto"/>
                            <w:left w:val="none" w:sz="0" w:space="0" w:color="auto"/>
                            <w:bottom w:val="none" w:sz="0" w:space="0" w:color="auto"/>
                            <w:right w:val="none" w:sz="0" w:space="0" w:color="auto"/>
                          </w:divBdr>
                          <w:divsChild>
                            <w:div w:id="20303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745211">
      <w:bodyDiv w:val="1"/>
      <w:marLeft w:val="0"/>
      <w:marRight w:val="0"/>
      <w:marTop w:val="0"/>
      <w:marBottom w:val="0"/>
      <w:divBdr>
        <w:top w:val="none" w:sz="0" w:space="0" w:color="auto"/>
        <w:left w:val="none" w:sz="0" w:space="0" w:color="auto"/>
        <w:bottom w:val="none" w:sz="0" w:space="0" w:color="auto"/>
        <w:right w:val="none" w:sz="0" w:space="0" w:color="auto"/>
      </w:divBdr>
      <w:divsChild>
        <w:div w:id="1573395603">
          <w:marLeft w:val="0"/>
          <w:marRight w:val="0"/>
          <w:marTop w:val="0"/>
          <w:marBottom w:val="0"/>
          <w:divBdr>
            <w:top w:val="none" w:sz="0" w:space="0" w:color="auto"/>
            <w:left w:val="none" w:sz="0" w:space="0" w:color="auto"/>
            <w:bottom w:val="none" w:sz="0" w:space="0" w:color="auto"/>
            <w:right w:val="none" w:sz="0" w:space="0" w:color="auto"/>
          </w:divBdr>
          <w:divsChild>
            <w:div w:id="1950044628">
              <w:marLeft w:val="0"/>
              <w:marRight w:val="0"/>
              <w:marTop w:val="0"/>
              <w:marBottom w:val="0"/>
              <w:divBdr>
                <w:top w:val="none" w:sz="0" w:space="0" w:color="auto"/>
                <w:left w:val="none" w:sz="0" w:space="0" w:color="auto"/>
                <w:bottom w:val="none" w:sz="0" w:space="0" w:color="auto"/>
                <w:right w:val="none" w:sz="0" w:space="0" w:color="auto"/>
              </w:divBdr>
              <w:divsChild>
                <w:div w:id="2011522171">
                  <w:marLeft w:val="0"/>
                  <w:marRight w:val="0"/>
                  <w:marTop w:val="0"/>
                  <w:marBottom w:val="0"/>
                  <w:divBdr>
                    <w:top w:val="none" w:sz="0" w:space="0" w:color="auto"/>
                    <w:left w:val="none" w:sz="0" w:space="0" w:color="auto"/>
                    <w:bottom w:val="none" w:sz="0" w:space="0" w:color="auto"/>
                    <w:right w:val="none" w:sz="0" w:space="0" w:color="auto"/>
                  </w:divBdr>
                  <w:divsChild>
                    <w:div w:id="688213384">
                      <w:marLeft w:val="0"/>
                      <w:marRight w:val="0"/>
                      <w:marTop w:val="0"/>
                      <w:marBottom w:val="0"/>
                      <w:divBdr>
                        <w:top w:val="none" w:sz="0" w:space="0" w:color="auto"/>
                        <w:left w:val="none" w:sz="0" w:space="0" w:color="auto"/>
                        <w:bottom w:val="none" w:sz="0" w:space="0" w:color="auto"/>
                        <w:right w:val="none" w:sz="0" w:space="0" w:color="auto"/>
                      </w:divBdr>
                      <w:divsChild>
                        <w:div w:id="217130184">
                          <w:marLeft w:val="0"/>
                          <w:marRight w:val="0"/>
                          <w:marTop w:val="0"/>
                          <w:marBottom w:val="0"/>
                          <w:divBdr>
                            <w:top w:val="none" w:sz="0" w:space="0" w:color="auto"/>
                            <w:left w:val="none" w:sz="0" w:space="0" w:color="auto"/>
                            <w:bottom w:val="none" w:sz="0" w:space="0" w:color="auto"/>
                            <w:right w:val="none" w:sz="0" w:space="0" w:color="auto"/>
                          </w:divBdr>
                          <w:divsChild>
                            <w:div w:id="153349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361439">
      <w:bodyDiv w:val="1"/>
      <w:marLeft w:val="0"/>
      <w:marRight w:val="0"/>
      <w:marTop w:val="0"/>
      <w:marBottom w:val="0"/>
      <w:divBdr>
        <w:top w:val="none" w:sz="0" w:space="0" w:color="auto"/>
        <w:left w:val="none" w:sz="0" w:space="0" w:color="auto"/>
        <w:bottom w:val="none" w:sz="0" w:space="0" w:color="auto"/>
        <w:right w:val="none" w:sz="0" w:space="0" w:color="auto"/>
      </w:divBdr>
      <w:divsChild>
        <w:div w:id="278344229">
          <w:marLeft w:val="0"/>
          <w:marRight w:val="0"/>
          <w:marTop w:val="0"/>
          <w:marBottom w:val="0"/>
          <w:divBdr>
            <w:top w:val="none" w:sz="0" w:space="0" w:color="auto"/>
            <w:left w:val="none" w:sz="0" w:space="0" w:color="auto"/>
            <w:bottom w:val="none" w:sz="0" w:space="0" w:color="auto"/>
            <w:right w:val="none" w:sz="0" w:space="0" w:color="auto"/>
          </w:divBdr>
          <w:divsChild>
            <w:div w:id="1213999948">
              <w:marLeft w:val="0"/>
              <w:marRight w:val="0"/>
              <w:marTop w:val="0"/>
              <w:marBottom w:val="0"/>
              <w:divBdr>
                <w:top w:val="none" w:sz="0" w:space="0" w:color="auto"/>
                <w:left w:val="none" w:sz="0" w:space="0" w:color="auto"/>
                <w:bottom w:val="none" w:sz="0" w:space="0" w:color="auto"/>
                <w:right w:val="none" w:sz="0" w:space="0" w:color="auto"/>
              </w:divBdr>
              <w:divsChild>
                <w:div w:id="2024358865">
                  <w:marLeft w:val="0"/>
                  <w:marRight w:val="0"/>
                  <w:marTop w:val="0"/>
                  <w:marBottom w:val="0"/>
                  <w:divBdr>
                    <w:top w:val="none" w:sz="0" w:space="0" w:color="auto"/>
                    <w:left w:val="none" w:sz="0" w:space="0" w:color="auto"/>
                    <w:bottom w:val="none" w:sz="0" w:space="0" w:color="auto"/>
                    <w:right w:val="none" w:sz="0" w:space="0" w:color="auto"/>
                  </w:divBdr>
                  <w:divsChild>
                    <w:div w:id="1609584972">
                      <w:marLeft w:val="0"/>
                      <w:marRight w:val="0"/>
                      <w:marTop w:val="0"/>
                      <w:marBottom w:val="0"/>
                      <w:divBdr>
                        <w:top w:val="none" w:sz="0" w:space="0" w:color="auto"/>
                        <w:left w:val="none" w:sz="0" w:space="0" w:color="auto"/>
                        <w:bottom w:val="none" w:sz="0" w:space="0" w:color="auto"/>
                        <w:right w:val="none" w:sz="0" w:space="0" w:color="auto"/>
                      </w:divBdr>
                      <w:divsChild>
                        <w:div w:id="144123609">
                          <w:marLeft w:val="0"/>
                          <w:marRight w:val="0"/>
                          <w:marTop w:val="0"/>
                          <w:marBottom w:val="0"/>
                          <w:divBdr>
                            <w:top w:val="none" w:sz="0" w:space="0" w:color="auto"/>
                            <w:left w:val="none" w:sz="0" w:space="0" w:color="auto"/>
                            <w:bottom w:val="none" w:sz="0" w:space="0" w:color="auto"/>
                            <w:right w:val="none" w:sz="0" w:space="0" w:color="auto"/>
                          </w:divBdr>
                          <w:divsChild>
                            <w:div w:id="15939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427368">
      <w:bodyDiv w:val="1"/>
      <w:marLeft w:val="0"/>
      <w:marRight w:val="0"/>
      <w:marTop w:val="0"/>
      <w:marBottom w:val="0"/>
      <w:divBdr>
        <w:top w:val="none" w:sz="0" w:space="0" w:color="auto"/>
        <w:left w:val="none" w:sz="0" w:space="0" w:color="auto"/>
        <w:bottom w:val="none" w:sz="0" w:space="0" w:color="auto"/>
        <w:right w:val="none" w:sz="0" w:space="0" w:color="auto"/>
      </w:divBdr>
      <w:divsChild>
        <w:div w:id="623925746">
          <w:marLeft w:val="0"/>
          <w:marRight w:val="0"/>
          <w:marTop w:val="0"/>
          <w:marBottom w:val="0"/>
          <w:divBdr>
            <w:top w:val="none" w:sz="0" w:space="0" w:color="auto"/>
            <w:left w:val="none" w:sz="0" w:space="0" w:color="auto"/>
            <w:bottom w:val="none" w:sz="0" w:space="0" w:color="auto"/>
            <w:right w:val="none" w:sz="0" w:space="0" w:color="auto"/>
          </w:divBdr>
          <w:divsChild>
            <w:div w:id="612632778">
              <w:marLeft w:val="0"/>
              <w:marRight w:val="0"/>
              <w:marTop w:val="0"/>
              <w:marBottom w:val="0"/>
              <w:divBdr>
                <w:top w:val="none" w:sz="0" w:space="0" w:color="auto"/>
                <w:left w:val="none" w:sz="0" w:space="0" w:color="auto"/>
                <w:bottom w:val="none" w:sz="0" w:space="0" w:color="auto"/>
                <w:right w:val="none" w:sz="0" w:space="0" w:color="auto"/>
              </w:divBdr>
              <w:divsChild>
                <w:div w:id="1344358976">
                  <w:marLeft w:val="0"/>
                  <w:marRight w:val="0"/>
                  <w:marTop w:val="0"/>
                  <w:marBottom w:val="0"/>
                  <w:divBdr>
                    <w:top w:val="none" w:sz="0" w:space="0" w:color="auto"/>
                    <w:left w:val="none" w:sz="0" w:space="0" w:color="auto"/>
                    <w:bottom w:val="none" w:sz="0" w:space="0" w:color="auto"/>
                    <w:right w:val="none" w:sz="0" w:space="0" w:color="auto"/>
                  </w:divBdr>
                  <w:divsChild>
                    <w:div w:id="551311825">
                      <w:marLeft w:val="0"/>
                      <w:marRight w:val="0"/>
                      <w:marTop w:val="0"/>
                      <w:marBottom w:val="0"/>
                      <w:divBdr>
                        <w:top w:val="none" w:sz="0" w:space="0" w:color="auto"/>
                        <w:left w:val="none" w:sz="0" w:space="0" w:color="auto"/>
                        <w:bottom w:val="none" w:sz="0" w:space="0" w:color="auto"/>
                        <w:right w:val="none" w:sz="0" w:space="0" w:color="auto"/>
                      </w:divBdr>
                      <w:divsChild>
                        <w:div w:id="757363507">
                          <w:marLeft w:val="0"/>
                          <w:marRight w:val="0"/>
                          <w:marTop w:val="0"/>
                          <w:marBottom w:val="0"/>
                          <w:divBdr>
                            <w:top w:val="none" w:sz="0" w:space="0" w:color="auto"/>
                            <w:left w:val="none" w:sz="0" w:space="0" w:color="auto"/>
                            <w:bottom w:val="none" w:sz="0" w:space="0" w:color="auto"/>
                            <w:right w:val="none" w:sz="0" w:space="0" w:color="auto"/>
                          </w:divBdr>
                          <w:divsChild>
                            <w:div w:id="14177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84376">
      <w:bodyDiv w:val="1"/>
      <w:marLeft w:val="0"/>
      <w:marRight w:val="0"/>
      <w:marTop w:val="0"/>
      <w:marBottom w:val="0"/>
      <w:divBdr>
        <w:top w:val="none" w:sz="0" w:space="0" w:color="auto"/>
        <w:left w:val="none" w:sz="0" w:space="0" w:color="auto"/>
        <w:bottom w:val="none" w:sz="0" w:space="0" w:color="auto"/>
        <w:right w:val="none" w:sz="0" w:space="0" w:color="auto"/>
      </w:divBdr>
      <w:divsChild>
        <w:div w:id="1651902833">
          <w:marLeft w:val="0"/>
          <w:marRight w:val="0"/>
          <w:marTop w:val="0"/>
          <w:marBottom w:val="0"/>
          <w:divBdr>
            <w:top w:val="none" w:sz="0" w:space="0" w:color="auto"/>
            <w:left w:val="none" w:sz="0" w:space="0" w:color="auto"/>
            <w:bottom w:val="none" w:sz="0" w:space="0" w:color="auto"/>
            <w:right w:val="none" w:sz="0" w:space="0" w:color="auto"/>
          </w:divBdr>
          <w:divsChild>
            <w:div w:id="908998229">
              <w:marLeft w:val="0"/>
              <w:marRight w:val="0"/>
              <w:marTop w:val="0"/>
              <w:marBottom w:val="0"/>
              <w:divBdr>
                <w:top w:val="none" w:sz="0" w:space="0" w:color="auto"/>
                <w:left w:val="none" w:sz="0" w:space="0" w:color="auto"/>
                <w:bottom w:val="none" w:sz="0" w:space="0" w:color="auto"/>
                <w:right w:val="none" w:sz="0" w:space="0" w:color="auto"/>
              </w:divBdr>
              <w:divsChild>
                <w:div w:id="1218203862">
                  <w:marLeft w:val="0"/>
                  <w:marRight w:val="0"/>
                  <w:marTop w:val="0"/>
                  <w:marBottom w:val="0"/>
                  <w:divBdr>
                    <w:top w:val="none" w:sz="0" w:space="0" w:color="auto"/>
                    <w:left w:val="none" w:sz="0" w:space="0" w:color="auto"/>
                    <w:bottom w:val="none" w:sz="0" w:space="0" w:color="auto"/>
                    <w:right w:val="none" w:sz="0" w:space="0" w:color="auto"/>
                  </w:divBdr>
                  <w:divsChild>
                    <w:div w:id="1618220979">
                      <w:marLeft w:val="0"/>
                      <w:marRight w:val="0"/>
                      <w:marTop w:val="0"/>
                      <w:marBottom w:val="0"/>
                      <w:divBdr>
                        <w:top w:val="none" w:sz="0" w:space="0" w:color="auto"/>
                        <w:left w:val="none" w:sz="0" w:space="0" w:color="auto"/>
                        <w:bottom w:val="none" w:sz="0" w:space="0" w:color="auto"/>
                        <w:right w:val="none" w:sz="0" w:space="0" w:color="auto"/>
                      </w:divBdr>
                      <w:divsChild>
                        <w:div w:id="655377835">
                          <w:marLeft w:val="0"/>
                          <w:marRight w:val="0"/>
                          <w:marTop w:val="0"/>
                          <w:marBottom w:val="0"/>
                          <w:divBdr>
                            <w:top w:val="none" w:sz="0" w:space="0" w:color="auto"/>
                            <w:left w:val="none" w:sz="0" w:space="0" w:color="auto"/>
                            <w:bottom w:val="none" w:sz="0" w:space="0" w:color="auto"/>
                            <w:right w:val="none" w:sz="0" w:space="0" w:color="auto"/>
                          </w:divBdr>
                          <w:divsChild>
                            <w:div w:id="36683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508071">
      <w:bodyDiv w:val="1"/>
      <w:marLeft w:val="0"/>
      <w:marRight w:val="0"/>
      <w:marTop w:val="0"/>
      <w:marBottom w:val="0"/>
      <w:divBdr>
        <w:top w:val="none" w:sz="0" w:space="0" w:color="auto"/>
        <w:left w:val="none" w:sz="0" w:space="0" w:color="auto"/>
        <w:bottom w:val="none" w:sz="0" w:space="0" w:color="auto"/>
        <w:right w:val="none" w:sz="0" w:space="0" w:color="auto"/>
      </w:divBdr>
      <w:divsChild>
        <w:div w:id="2047412207">
          <w:marLeft w:val="0"/>
          <w:marRight w:val="0"/>
          <w:marTop w:val="0"/>
          <w:marBottom w:val="0"/>
          <w:divBdr>
            <w:top w:val="none" w:sz="0" w:space="0" w:color="auto"/>
            <w:left w:val="none" w:sz="0" w:space="0" w:color="auto"/>
            <w:bottom w:val="none" w:sz="0" w:space="0" w:color="auto"/>
            <w:right w:val="none" w:sz="0" w:space="0" w:color="auto"/>
          </w:divBdr>
          <w:divsChild>
            <w:div w:id="1210919558">
              <w:marLeft w:val="0"/>
              <w:marRight w:val="0"/>
              <w:marTop w:val="0"/>
              <w:marBottom w:val="0"/>
              <w:divBdr>
                <w:top w:val="none" w:sz="0" w:space="0" w:color="auto"/>
                <w:left w:val="none" w:sz="0" w:space="0" w:color="auto"/>
                <w:bottom w:val="none" w:sz="0" w:space="0" w:color="auto"/>
                <w:right w:val="none" w:sz="0" w:space="0" w:color="auto"/>
              </w:divBdr>
              <w:divsChild>
                <w:div w:id="1092435687">
                  <w:marLeft w:val="0"/>
                  <w:marRight w:val="0"/>
                  <w:marTop w:val="0"/>
                  <w:marBottom w:val="0"/>
                  <w:divBdr>
                    <w:top w:val="none" w:sz="0" w:space="0" w:color="auto"/>
                    <w:left w:val="none" w:sz="0" w:space="0" w:color="auto"/>
                    <w:bottom w:val="none" w:sz="0" w:space="0" w:color="auto"/>
                    <w:right w:val="none" w:sz="0" w:space="0" w:color="auto"/>
                  </w:divBdr>
                  <w:divsChild>
                    <w:div w:id="1509634093">
                      <w:marLeft w:val="0"/>
                      <w:marRight w:val="0"/>
                      <w:marTop w:val="0"/>
                      <w:marBottom w:val="0"/>
                      <w:divBdr>
                        <w:top w:val="none" w:sz="0" w:space="0" w:color="auto"/>
                        <w:left w:val="none" w:sz="0" w:space="0" w:color="auto"/>
                        <w:bottom w:val="none" w:sz="0" w:space="0" w:color="auto"/>
                        <w:right w:val="none" w:sz="0" w:space="0" w:color="auto"/>
                      </w:divBdr>
                      <w:divsChild>
                        <w:div w:id="846822367">
                          <w:marLeft w:val="0"/>
                          <w:marRight w:val="0"/>
                          <w:marTop w:val="0"/>
                          <w:marBottom w:val="0"/>
                          <w:divBdr>
                            <w:top w:val="none" w:sz="0" w:space="0" w:color="auto"/>
                            <w:left w:val="none" w:sz="0" w:space="0" w:color="auto"/>
                            <w:bottom w:val="none" w:sz="0" w:space="0" w:color="auto"/>
                            <w:right w:val="none" w:sz="0" w:space="0" w:color="auto"/>
                          </w:divBdr>
                          <w:divsChild>
                            <w:div w:id="52305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498575">
      <w:bodyDiv w:val="1"/>
      <w:marLeft w:val="0"/>
      <w:marRight w:val="0"/>
      <w:marTop w:val="0"/>
      <w:marBottom w:val="0"/>
      <w:divBdr>
        <w:top w:val="none" w:sz="0" w:space="0" w:color="auto"/>
        <w:left w:val="none" w:sz="0" w:space="0" w:color="auto"/>
        <w:bottom w:val="none" w:sz="0" w:space="0" w:color="auto"/>
        <w:right w:val="none" w:sz="0" w:space="0" w:color="auto"/>
      </w:divBdr>
      <w:divsChild>
        <w:div w:id="588465049">
          <w:marLeft w:val="0"/>
          <w:marRight w:val="0"/>
          <w:marTop w:val="0"/>
          <w:marBottom w:val="0"/>
          <w:divBdr>
            <w:top w:val="none" w:sz="0" w:space="0" w:color="auto"/>
            <w:left w:val="none" w:sz="0" w:space="0" w:color="auto"/>
            <w:bottom w:val="none" w:sz="0" w:space="0" w:color="auto"/>
            <w:right w:val="none" w:sz="0" w:space="0" w:color="auto"/>
          </w:divBdr>
          <w:divsChild>
            <w:div w:id="1548177374">
              <w:marLeft w:val="0"/>
              <w:marRight w:val="0"/>
              <w:marTop w:val="0"/>
              <w:marBottom w:val="0"/>
              <w:divBdr>
                <w:top w:val="none" w:sz="0" w:space="0" w:color="auto"/>
                <w:left w:val="none" w:sz="0" w:space="0" w:color="auto"/>
                <w:bottom w:val="none" w:sz="0" w:space="0" w:color="auto"/>
                <w:right w:val="none" w:sz="0" w:space="0" w:color="auto"/>
              </w:divBdr>
              <w:divsChild>
                <w:div w:id="311640428">
                  <w:marLeft w:val="0"/>
                  <w:marRight w:val="0"/>
                  <w:marTop w:val="0"/>
                  <w:marBottom w:val="0"/>
                  <w:divBdr>
                    <w:top w:val="none" w:sz="0" w:space="0" w:color="auto"/>
                    <w:left w:val="none" w:sz="0" w:space="0" w:color="auto"/>
                    <w:bottom w:val="none" w:sz="0" w:space="0" w:color="auto"/>
                    <w:right w:val="none" w:sz="0" w:space="0" w:color="auto"/>
                  </w:divBdr>
                  <w:divsChild>
                    <w:div w:id="1222866933">
                      <w:marLeft w:val="0"/>
                      <w:marRight w:val="0"/>
                      <w:marTop w:val="0"/>
                      <w:marBottom w:val="0"/>
                      <w:divBdr>
                        <w:top w:val="none" w:sz="0" w:space="0" w:color="auto"/>
                        <w:left w:val="none" w:sz="0" w:space="0" w:color="auto"/>
                        <w:bottom w:val="none" w:sz="0" w:space="0" w:color="auto"/>
                        <w:right w:val="none" w:sz="0" w:space="0" w:color="auto"/>
                      </w:divBdr>
                      <w:divsChild>
                        <w:div w:id="973146912">
                          <w:marLeft w:val="0"/>
                          <w:marRight w:val="0"/>
                          <w:marTop w:val="0"/>
                          <w:marBottom w:val="0"/>
                          <w:divBdr>
                            <w:top w:val="none" w:sz="0" w:space="0" w:color="auto"/>
                            <w:left w:val="none" w:sz="0" w:space="0" w:color="auto"/>
                            <w:bottom w:val="none" w:sz="0" w:space="0" w:color="auto"/>
                            <w:right w:val="none" w:sz="0" w:space="0" w:color="auto"/>
                          </w:divBdr>
                          <w:divsChild>
                            <w:div w:id="149140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87594D-E8B8-40A4-BF83-BF6993B78C5F}"/>
</file>

<file path=customXml/itemProps2.xml><?xml version="1.0" encoding="utf-8"?>
<ds:datastoreItem xmlns:ds="http://schemas.openxmlformats.org/officeDocument/2006/customXml" ds:itemID="{901E92A9-BF88-421A-8463-CEECB2215684}"/>
</file>

<file path=customXml/itemProps3.xml><?xml version="1.0" encoding="utf-8"?>
<ds:datastoreItem xmlns:ds="http://schemas.openxmlformats.org/officeDocument/2006/customXml" ds:itemID="{5D253664-0100-4AC6-AD31-31A365B3986F}"/>
</file>

<file path=customXml/itemProps4.xml><?xml version="1.0" encoding="utf-8"?>
<ds:datastoreItem xmlns:ds="http://schemas.openxmlformats.org/officeDocument/2006/customXml" ds:itemID="{9CF65ACF-2BC0-4FA3-AA2B-77AB9F27AE4D}"/>
</file>

<file path=docProps/app.xml><?xml version="1.0" encoding="utf-8"?>
<Properties xmlns="http://schemas.openxmlformats.org/officeDocument/2006/extended-properties" xmlns:vt="http://schemas.openxmlformats.org/officeDocument/2006/docPropsVTypes">
  <Template>Normal.dotm</Template>
  <TotalTime>0</TotalTime>
  <Pages>1</Pages>
  <Words>4398</Words>
  <Characters>25074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29414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dcterms:created xsi:type="dcterms:W3CDTF">2019-07-09T07:50:00Z</dcterms:created>
  <dcterms:modified xsi:type="dcterms:W3CDTF">2019-07-09T07:50:00Z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42932/11</vt:lpwstr>
  </property>
  <property fmtid="{D5CDD505-2E9C-101B-9397-08002B2CF9AE}" pid="4" name="CASEID">
    <vt:lpwstr>732439</vt:lpwstr>
  </property>
  <property fmtid="{D5CDD505-2E9C-101B-9397-08002B2CF9AE}" pid="5" name="ContentTypeId">
    <vt:lpwstr>0x010100558EB02BDB9E204AB350EDD385B68E10</vt:lpwstr>
  </property>
</Properties>
</file>