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933" w:rsidRPr="003A08D9" w:rsidRDefault="00AA6933" w:rsidP="003A08D9">
      <w:pPr>
        <w:jc w:val="center"/>
      </w:pPr>
      <w:bookmarkStart w:id="0" w:name="_GoBack"/>
      <w:bookmarkEnd w:id="0"/>
    </w:p>
    <w:p w:rsidR="00AA6933" w:rsidRPr="003A08D9" w:rsidRDefault="00AA6933" w:rsidP="003A08D9">
      <w:pPr>
        <w:pStyle w:val="DecHCase"/>
      </w:pPr>
      <w:r w:rsidRPr="003A08D9">
        <w:t>SECOND SECTION</w:t>
      </w:r>
    </w:p>
    <w:p w:rsidR="00AA6933" w:rsidRPr="003A08D9" w:rsidRDefault="00AA6933" w:rsidP="003A08D9">
      <w:pPr>
        <w:pStyle w:val="JuTitle"/>
      </w:pPr>
      <w:r w:rsidRPr="003A08D9">
        <w:t>CASE OF ÜREK AND ÜREK v. TURKEY</w:t>
      </w:r>
    </w:p>
    <w:p w:rsidR="00AA6933" w:rsidRPr="003A08D9" w:rsidRDefault="00AA6933" w:rsidP="003A08D9">
      <w:pPr>
        <w:pStyle w:val="Title4"/>
      </w:pPr>
      <w:r w:rsidRPr="003A08D9">
        <w:t>(Application no. 74845/12)</w:t>
      </w:r>
    </w:p>
    <w:p w:rsidR="00AA6933" w:rsidRPr="003A08D9" w:rsidRDefault="00AA6933" w:rsidP="003A08D9">
      <w:pPr>
        <w:pStyle w:val="DecHCase"/>
      </w:pPr>
    </w:p>
    <w:p w:rsidR="00AA6933" w:rsidRPr="003A08D9" w:rsidRDefault="00AA6933" w:rsidP="003A08D9">
      <w:pPr>
        <w:pStyle w:val="DecHCase"/>
      </w:pPr>
    </w:p>
    <w:p w:rsidR="00AA6933" w:rsidRPr="003A08D9" w:rsidRDefault="00AA6933" w:rsidP="003A08D9">
      <w:pPr>
        <w:pStyle w:val="DecHCase"/>
      </w:pPr>
    </w:p>
    <w:p w:rsidR="00AA6933" w:rsidRPr="003A08D9" w:rsidRDefault="00AA6933" w:rsidP="003A08D9">
      <w:pPr>
        <w:pStyle w:val="DecHCase"/>
      </w:pPr>
    </w:p>
    <w:p w:rsidR="00AA6933" w:rsidRPr="003A08D9" w:rsidRDefault="00AA6933" w:rsidP="003A08D9">
      <w:pPr>
        <w:pStyle w:val="DecHCase"/>
      </w:pPr>
    </w:p>
    <w:p w:rsidR="00AA6933" w:rsidRPr="003A08D9" w:rsidRDefault="00AA6933" w:rsidP="003A08D9">
      <w:pPr>
        <w:pStyle w:val="DecHCase"/>
      </w:pPr>
    </w:p>
    <w:p w:rsidR="00AA6933" w:rsidRPr="003A08D9" w:rsidRDefault="00AA6933" w:rsidP="003A08D9">
      <w:pPr>
        <w:pStyle w:val="DecHCase"/>
      </w:pPr>
      <w:r w:rsidRPr="003A08D9">
        <w:t>JUDGMENT</w:t>
      </w:r>
    </w:p>
    <w:p w:rsidR="00AA6933" w:rsidRPr="003A08D9" w:rsidRDefault="00AA6933" w:rsidP="003A08D9">
      <w:pPr>
        <w:pStyle w:val="DecHCase"/>
      </w:pPr>
      <w:r w:rsidRPr="003A08D9">
        <w:t>STRASBOURG</w:t>
      </w:r>
    </w:p>
    <w:p w:rsidR="00AA6933" w:rsidRPr="003A08D9" w:rsidRDefault="00AA6933" w:rsidP="003A08D9">
      <w:pPr>
        <w:pStyle w:val="DecHCase"/>
      </w:pPr>
      <w:r w:rsidRPr="003A08D9">
        <w:t>30 July 2019</w:t>
      </w:r>
    </w:p>
    <w:p w:rsidR="00AA6933" w:rsidRPr="003A08D9" w:rsidRDefault="00AA6933" w:rsidP="003A08D9">
      <w:pPr>
        <w:pStyle w:val="DecHCase"/>
      </w:pPr>
    </w:p>
    <w:p w:rsidR="003A08D9" w:rsidRPr="003A08D9" w:rsidRDefault="00AA6933" w:rsidP="003A08D9">
      <w:pPr>
        <w:rPr>
          <w:szCs w:val="24"/>
        </w:rPr>
      </w:pPr>
      <w:r w:rsidRPr="003A08D9">
        <w:rPr>
          <w:i/>
          <w:sz w:val="22"/>
        </w:rPr>
        <w:t>This judgment will become final in the circumstances set out in Article 44 § 2 of the Convention. It may be subject to editorial revision.</w:t>
      </w:r>
    </w:p>
    <w:p w:rsidR="00867D8C" w:rsidRPr="003A08D9" w:rsidRDefault="00867D8C" w:rsidP="003A08D9">
      <w:pPr>
        <w:pStyle w:val="JuCase"/>
        <w:sectPr w:rsidR="00867D8C" w:rsidRPr="003A08D9" w:rsidSect="00867D8C">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167716" w:rsidRPr="003A08D9" w:rsidRDefault="00167716" w:rsidP="003A08D9">
      <w:pPr>
        <w:pStyle w:val="JuCase"/>
      </w:pPr>
      <w:r w:rsidRPr="003A08D9">
        <w:lastRenderedPageBreak/>
        <w:t>In the case of Ürek and Ürek v. Turkey,</w:t>
      </w:r>
    </w:p>
    <w:p w:rsidR="00014566" w:rsidRPr="003A08D9" w:rsidRDefault="00014566" w:rsidP="003A08D9">
      <w:pPr>
        <w:pStyle w:val="JuPara"/>
      </w:pPr>
      <w:r w:rsidRPr="003A08D9">
        <w:t>The European Court of Human Rights (</w:t>
      </w:r>
      <w:r w:rsidR="00BB1312" w:rsidRPr="003A08D9">
        <w:t>Second Section</w:t>
      </w:r>
      <w:r w:rsidRPr="003A08D9">
        <w:t xml:space="preserve">), sitting as a </w:t>
      </w:r>
      <w:r w:rsidR="00BB1312" w:rsidRPr="003A08D9">
        <w:t>Chamber</w:t>
      </w:r>
      <w:r w:rsidRPr="003A08D9">
        <w:t xml:space="preserve"> composed of:</w:t>
      </w:r>
    </w:p>
    <w:p w:rsidR="00014566" w:rsidRPr="003A08D9" w:rsidRDefault="00867D8C" w:rsidP="003A08D9">
      <w:pPr>
        <w:pStyle w:val="JuJudges"/>
      </w:pPr>
      <w:r w:rsidRPr="003A08D9">
        <w:tab/>
        <w:t>Robert Spano,</w:t>
      </w:r>
      <w:r w:rsidRPr="003A08D9">
        <w:rPr>
          <w:i/>
        </w:rPr>
        <w:t xml:space="preserve"> President,</w:t>
      </w:r>
      <w:r w:rsidRPr="003A08D9">
        <w:rPr>
          <w:i/>
        </w:rPr>
        <w:br/>
      </w:r>
      <w:r w:rsidRPr="003A08D9">
        <w:tab/>
        <w:t>Marko Bošnjak,</w:t>
      </w:r>
      <w:r w:rsidRPr="003A08D9">
        <w:rPr>
          <w:i/>
        </w:rPr>
        <w:br/>
      </w:r>
      <w:r w:rsidRPr="003A08D9">
        <w:tab/>
        <w:t>Julia Laffranque,</w:t>
      </w:r>
      <w:r w:rsidRPr="003A08D9">
        <w:rPr>
          <w:i/>
        </w:rPr>
        <w:br/>
      </w:r>
      <w:r w:rsidRPr="003A08D9">
        <w:tab/>
        <w:t>Egidijus Kūris,</w:t>
      </w:r>
      <w:r w:rsidRPr="003A08D9">
        <w:rPr>
          <w:i/>
        </w:rPr>
        <w:br/>
      </w:r>
      <w:r w:rsidRPr="003A08D9">
        <w:tab/>
        <w:t>Stéphanie Mourou-Vikström,</w:t>
      </w:r>
      <w:r w:rsidRPr="003A08D9">
        <w:rPr>
          <w:i/>
        </w:rPr>
        <w:br/>
      </w:r>
      <w:r w:rsidRPr="003A08D9">
        <w:tab/>
        <w:t>Arnfinn Bårdsen,</w:t>
      </w:r>
      <w:r w:rsidRPr="003A08D9">
        <w:rPr>
          <w:i/>
        </w:rPr>
        <w:br/>
      </w:r>
      <w:r w:rsidRPr="003A08D9">
        <w:tab/>
        <w:t>Saadet Yüksel,</w:t>
      </w:r>
      <w:r w:rsidRPr="003A08D9">
        <w:rPr>
          <w:i/>
        </w:rPr>
        <w:t xml:space="preserve"> judges,</w:t>
      </w:r>
      <w:r w:rsidR="00014566" w:rsidRPr="003A08D9">
        <w:rPr>
          <w:szCs w:val="24"/>
        </w:rPr>
        <w:br/>
      </w:r>
      <w:r w:rsidR="00014566" w:rsidRPr="003A08D9">
        <w:t xml:space="preserve">and </w:t>
      </w:r>
      <w:r w:rsidR="00BB1312" w:rsidRPr="003A08D9">
        <w:t>Stanley Naismith</w:t>
      </w:r>
      <w:r w:rsidR="00014566" w:rsidRPr="003A08D9">
        <w:t xml:space="preserve">, </w:t>
      </w:r>
      <w:r w:rsidR="00BB1312" w:rsidRPr="003A08D9">
        <w:rPr>
          <w:i/>
        </w:rPr>
        <w:t xml:space="preserve">Section </w:t>
      </w:r>
      <w:r w:rsidR="00BB1312" w:rsidRPr="003A08D9">
        <w:rPr>
          <w:i/>
          <w:iCs/>
        </w:rPr>
        <w:t>Registrar</w:t>
      </w:r>
      <w:r w:rsidR="00014566" w:rsidRPr="003A08D9">
        <w:rPr>
          <w:i/>
        </w:rPr>
        <w:t>,</w:t>
      </w:r>
    </w:p>
    <w:p w:rsidR="00014566" w:rsidRPr="003A08D9" w:rsidRDefault="00014566" w:rsidP="003A08D9">
      <w:pPr>
        <w:pStyle w:val="JuPara"/>
      </w:pPr>
      <w:r w:rsidRPr="003A08D9">
        <w:t xml:space="preserve">Having deliberated in private on </w:t>
      </w:r>
      <w:r w:rsidR="00867D8C" w:rsidRPr="003A08D9">
        <w:t>9 July 2019</w:t>
      </w:r>
      <w:r w:rsidRPr="003A08D9">
        <w:t>,</w:t>
      </w:r>
    </w:p>
    <w:p w:rsidR="00014566" w:rsidRPr="003A08D9" w:rsidRDefault="00014566" w:rsidP="003A08D9">
      <w:pPr>
        <w:pStyle w:val="JuPara"/>
      </w:pPr>
      <w:r w:rsidRPr="003A08D9">
        <w:t>Delivers the following judgment, which was adopted on that date:</w:t>
      </w:r>
    </w:p>
    <w:p w:rsidR="00014566" w:rsidRPr="003A08D9" w:rsidRDefault="00014566" w:rsidP="003A08D9">
      <w:pPr>
        <w:pStyle w:val="JuHHead"/>
      </w:pPr>
      <w:r w:rsidRPr="003A08D9">
        <w:t>PROCEDURE</w:t>
      </w:r>
    </w:p>
    <w:p w:rsidR="00BB1312"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1</w:t>
      </w:r>
      <w:r w:rsidRPr="003A08D9">
        <w:rPr>
          <w:noProof/>
        </w:rPr>
        <w:fldChar w:fldCharType="end"/>
      </w:r>
      <w:r w:rsidR="00014566" w:rsidRPr="003A08D9">
        <w:t xml:space="preserve">.  The case originated in </w:t>
      </w:r>
      <w:r w:rsidR="00BB1312" w:rsidRPr="003A08D9">
        <w:t>an application (no. 74845/12)</w:t>
      </w:r>
      <w:r w:rsidR="00014566" w:rsidRPr="003A08D9">
        <w:t xml:space="preserve"> against </w:t>
      </w:r>
      <w:r w:rsidR="00BB1312" w:rsidRPr="003A08D9">
        <w:t>the Republic of Turkey</w:t>
      </w:r>
      <w:r w:rsidR="00014566" w:rsidRPr="003A08D9">
        <w:t xml:space="preserve"> lodged with the </w:t>
      </w:r>
      <w:r w:rsidR="00BB1312" w:rsidRPr="003A08D9">
        <w:t>Court under Article 34</w:t>
      </w:r>
      <w:r w:rsidR="00014566" w:rsidRPr="003A08D9">
        <w:t xml:space="preserve"> of the Convention for the Protection of Human Rights and Fundamental Freedoms (“the Convention”) by </w:t>
      </w:r>
      <w:r w:rsidR="002868D4" w:rsidRPr="003A08D9">
        <w:t>two</w:t>
      </w:r>
      <w:r w:rsidR="00BB1312" w:rsidRPr="003A08D9">
        <w:t xml:space="preserve"> Turkish nationals, Mr Nezir Ürek</w:t>
      </w:r>
      <w:r w:rsidR="00181AE2" w:rsidRPr="003A08D9">
        <w:t xml:space="preserve"> and Mr Ahmet </w:t>
      </w:r>
      <w:r w:rsidR="002868D4" w:rsidRPr="003A08D9">
        <w:t>Ürek</w:t>
      </w:r>
      <w:r w:rsidR="00BB1312" w:rsidRPr="003A08D9">
        <w:t xml:space="preserve"> (“the applicants”), on 18 September 2012</w:t>
      </w:r>
      <w:r w:rsidR="00014566" w:rsidRPr="003A08D9">
        <w:t>.</w:t>
      </w:r>
    </w:p>
    <w:p w:rsidR="002868D4"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2</w:t>
      </w:r>
      <w:r w:rsidRPr="003A08D9">
        <w:rPr>
          <w:noProof/>
        </w:rPr>
        <w:fldChar w:fldCharType="end"/>
      </w:r>
      <w:r w:rsidR="00014566" w:rsidRPr="003A08D9">
        <w:t>.  </w:t>
      </w:r>
      <w:r w:rsidR="00BB1312" w:rsidRPr="003A08D9">
        <w:t xml:space="preserve">The applicants were represented by Ms A. Pamukçu Yördem, a lawyer practising in </w:t>
      </w:r>
      <w:r w:rsidR="002868D4" w:rsidRPr="003A08D9">
        <w:t>Diyarbak</w:t>
      </w:r>
      <w:r w:rsidR="002868D4" w:rsidRPr="003A08D9">
        <w:rPr>
          <w:rFonts w:cstheme="minorHAnsi"/>
        </w:rPr>
        <w:t>ı</w:t>
      </w:r>
      <w:r w:rsidR="00BB1312" w:rsidRPr="003A08D9">
        <w:t xml:space="preserve">r. </w:t>
      </w:r>
      <w:r w:rsidR="00014566" w:rsidRPr="003A08D9">
        <w:t xml:space="preserve">The </w:t>
      </w:r>
      <w:r w:rsidR="00BB1312" w:rsidRPr="003A08D9">
        <w:t>Turkish</w:t>
      </w:r>
      <w:r w:rsidR="00014566" w:rsidRPr="003A08D9">
        <w:t xml:space="preserve"> Government (“the Government”) w</w:t>
      </w:r>
      <w:r w:rsidR="002868D4" w:rsidRPr="003A08D9">
        <w:t>ere represented by their Agent</w:t>
      </w:r>
    </w:p>
    <w:p w:rsidR="00084AB3"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3</w:t>
      </w:r>
      <w:r w:rsidRPr="003A08D9">
        <w:rPr>
          <w:noProof/>
        </w:rPr>
        <w:fldChar w:fldCharType="end"/>
      </w:r>
      <w:r w:rsidR="00BB1312" w:rsidRPr="003A08D9">
        <w:t>.  The applicants alleged</w:t>
      </w:r>
      <w:r w:rsidR="002868D4" w:rsidRPr="003A08D9">
        <w:t xml:space="preserve"> that their criminal conviction</w:t>
      </w:r>
      <w:r w:rsidR="000107F9" w:rsidRPr="003A08D9">
        <w:t>s</w:t>
      </w:r>
      <w:r w:rsidR="002868D4" w:rsidRPr="003A08D9">
        <w:t xml:space="preserve"> </w:t>
      </w:r>
      <w:r w:rsidR="000107F9" w:rsidRPr="003A08D9">
        <w:t>had been</w:t>
      </w:r>
      <w:r w:rsidR="002868D4" w:rsidRPr="003A08D9">
        <w:t xml:space="preserve"> in breach of their rights </w:t>
      </w:r>
      <w:r w:rsidR="000107F9" w:rsidRPr="003A08D9">
        <w:t xml:space="preserve">under Articles 9, 10 and 11 of the Convention. They also alleged under Article 6 </w:t>
      </w:r>
      <w:r w:rsidR="000107F9" w:rsidRPr="003A08D9">
        <w:rPr>
          <w:rFonts w:cstheme="minorHAnsi"/>
        </w:rPr>
        <w:t>§§</w:t>
      </w:r>
      <w:r w:rsidR="000107F9" w:rsidRPr="003A08D9">
        <w:t xml:space="preserve"> 1 and 3 of the Convention </w:t>
      </w:r>
      <w:r w:rsidR="00DF62BD" w:rsidRPr="003A08D9">
        <w:t xml:space="preserve">that they </w:t>
      </w:r>
      <w:r w:rsidR="000107F9" w:rsidRPr="003A08D9">
        <w:t>had been</w:t>
      </w:r>
      <w:r w:rsidR="00DF62BD" w:rsidRPr="003A08D9">
        <w:t xml:space="preserve"> convicted despite the fact that they had no</w:t>
      </w:r>
      <w:r w:rsidR="000107F9" w:rsidRPr="003A08D9">
        <w:t xml:space="preserve">t been involved in any violence; </w:t>
      </w:r>
      <w:r w:rsidR="00DF62BD" w:rsidRPr="003A08D9">
        <w:t xml:space="preserve">that the first-instance court </w:t>
      </w:r>
      <w:r w:rsidR="000107F9" w:rsidRPr="003A08D9">
        <w:t xml:space="preserve">had </w:t>
      </w:r>
      <w:r w:rsidR="00DF62BD" w:rsidRPr="003A08D9">
        <w:t xml:space="preserve">failed to conduct a proper enquiry regarding the events; that they </w:t>
      </w:r>
      <w:r w:rsidR="000107F9" w:rsidRPr="003A08D9">
        <w:t>had been</w:t>
      </w:r>
      <w:r w:rsidR="00DF62BD" w:rsidRPr="003A08D9">
        <w:t xml:space="preserve"> deprived of the opportunity to question police officers </w:t>
      </w:r>
      <w:r w:rsidR="00C911E3" w:rsidRPr="003A08D9">
        <w:t xml:space="preserve">whose </w:t>
      </w:r>
      <w:r w:rsidR="00DF62BD" w:rsidRPr="003A08D9">
        <w:t xml:space="preserve">statements </w:t>
      </w:r>
      <w:r w:rsidR="000107F9" w:rsidRPr="003A08D9">
        <w:t>had</w:t>
      </w:r>
      <w:r w:rsidR="00DF62BD" w:rsidRPr="003A08D9">
        <w:t xml:space="preserve"> </w:t>
      </w:r>
      <w:r w:rsidR="000107F9" w:rsidRPr="003A08D9">
        <w:t>been</w:t>
      </w:r>
      <w:r w:rsidR="00DF62BD" w:rsidRPr="003A08D9">
        <w:t xml:space="preserve"> taken </w:t>
      </w:r>
      <w:r w:rsidR="00C911E3" w:rsidRPr="003A08D9">
        <w:t>in court in the applicants</w:t>
      </w:r>
      <w:r w:rsidR="003A08D9" w:rsidRPr="003A08D9">
        <w:t>’</w:t>
      </w:r>
      <w:r w:rsidR="00C911E3" w:rsidRPr="003A08D9">
        <w:t xml:space="preserve"> absence</w:t>
      </w:r>
      <w:r w:rsidR="00DF62BD" w:rsidRPr="003A08D9">
        <w:t xml:space="preserve">; and that </w:t>
      </w:r>
      <w:r w:rsidR="00C911E3" w:rsidRPr="003A08D9">
        <w:t xml:space="preserve">the first-instance court </w:t>
      </w:r>
      <w:r w:rsidR="000107F9" w:rsidRPr="003A08D9">
        <w:t>had</w:t>
      </w:r>
      <w:r w:rsidR="00DF62BD" w:rsidRPr="003A08D9">
        <w:t xml:space="preserve"> not taken </w:t>
      </w:r>
      <w:r w:rsidR="00C911E3" w:rsidRPr="003A08D9">
        <w:t xml:space="preserve">their written and oral defence submissions </w:t>
      </w:r>
      <w:r w:rsidR="00DF62BD" w:rsidRPr="003A08D9">
        <w:t>into account.</w:t>
      </w:r>
    </w:p>
    <w:p w:rsidR="00014566"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4</w:t>
      </w:r>
      <w:r w:rsidRPr="003A08D9">
        <w:rPr>
          <w:noProof/>
        </w:rPr>
        <w:fldChar w:fldCharType="end"/>
      </w:r>
      <w:r w:rsidR="00014566" w:rsidRPr="003A08D9">
        <w:t>.  </w:t>
      </w:r>
      <w:r w:rsidR="00BB1312" w:rsidRPr="003A08D9">
        <w:t xml:space="preserve">On </w:t>
      </w:r>
      <w:r w:rsidR="00BB1312" w:rsidRPr="003A08D9">
        <w:rPr>
          <w:szCs w:val="24"/>
        </w:rPr>
        <w:t>8 January 2014</w:t>
      </w:r>
      <w:r w:rsidR="00014566" w:rsidRPr="003A08D9">
        <w:t xml:space="preserve"> </w:t>
      </w:r>
      <w:r w:rsidR="009A66B5" w:rsidRPr="003A08D9">
        <w:t xml:space="preserve">notice of </w:t>
      </w:r>
      <w:r w:rsidR="00014566" w:rsidRPr="003A08D9">
        <w:t xml:space="preserve">the </w:t>
      </w:r>
      <w:r w:rsidR="00DF62BD" w:rsidRPr="003A08D9">
        <w:t xml:space="preserve">aforementioned </w:t>
      </w:r>
      <w:r w:rsidR="00BB1312" w:rsidRPr="003A08D9">
        <w:t>complaint</w:t>
      </w:r>
      <w:r w:rsidR="00DF62BD" w:rsidRPr="003A08D9">
        <w:t>s</w:t>
      </w:r>
      <w:r w:rsidR="00BB1312" w:rsidRPr="003A08D9">
        <w:t xml:space="preserve"> </w:t>
      </w:r>
      <w:r w:rsidR="009A66B5" w:rsidRPr="003A08D9">
        <w:t xml:space="preserve">was given </w:t>
      </w:r>
      <w:r w:rsidR="00BB1312" w:rsidRPr="003A08D9">
        <w:t>to the Government and the remainder of the application was declared inadmissible</w:t>
      </w:r>
      <w:r w:rsidR="00BB1312" w:rsidRPr="003A08D9">
        <w:rPr>
          <w:szCs w:val="24"/>
        </w:rPr>
        <w:t xml:space="preserve"> </w:t>
      </w:r>
      <w:r w:rsidR="00BB1312" w:rsidRPr="003A08D9">
        <w:t>pursuant to Rule 54 § 3 of the Rules of Court</w:t>
      </w:r>
      <w:r w:rsidR="00014566" w:rsidRPr="003A08D9">
        <w:t>.</w:t>
      </w:r>
    </w:p>
    <w:p w:rsidR="00014566" w:rsidRPr="003A08D9" w:rsidRDefault="00014566" w:rsidP="003A08D9">
      <w:pPr>
        <w:pStyle w:val="JuHHead"/>
      </w:pPr>
      <w:r w:rsidRPr="003A08D9">
        <w:t>THE FACTS</w:t>
      </w:r>
    </w:p>
    <w:p w:rsidR="00014566" w:rsidRPr="003A08D9" w:rsidRDefault="00014566" w:rsidP="003A08D9">
      <w:pPr>
        <w:pStyle w:val="JuHIRoman"/>
      </w:pPr>
      <w:r w:rsidRPr="003A08D9">
        <w:t>THE CIRCUMSTANCES OF THE CASE</w:t>
      </w:r>
    </w:p>
    <w:p w:rsidR="00014566"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5</w:t>
      </w:r>
      <w:r w:rsidRPr="003A08D9">
        <w:rPr>
          <w:noProof/>
        </w:rPr>
        <w:fldChar w:fldCharType="end"/>
      </w:r>
      <w:r w:rsidR="00014566" w:rsidRPr="003A08D9">
        <w:t xml:space="preserve">.  The </w:t>
      </w:r>
      <w:r w:rsidR="00BB1312" w:rsidRPr="003A08D9">
        <w:t>applicant</w:t>
      </w:r>
      <w:r w:rsidR="00014126" w:rsidRPr="003A08D9">
        <w:t>s</w:t>
      </w:r>
      <w:r w:rsidR="00BB1312" w:rsidRPr="003A08D9">
        <w:t xml:space="preserve"> </w:t>
      </w:r>
      <w:r w:rsidR="00014126" w:rsidRPr="003A08D9">
        <w:t>were</w:t>
      </w:r>
      <w:r w:rsidR="00BB1312" w:rsidRPr="003A08D9">
        <w:t xml:space="preserve"> born in 1960 and </w:t>
      </w:r>
      <w:r w:rsidR="00014126" w:rsidRPr="003A08D9">
        <w:t>live</w:t>
      </w:r>
      <w:r w:rsidR="00014566" w:rsidRPr="003A08D9">
        <w:t xml:space="preserve"> in </w:t>
      </w:r>
      <w:r w:rsidR="00BB1312" w:rsidRPr="003A08D9">
        <w:t>Şırnak</w:t>
      </w:r>
      <w:r w:rsidR="00014566" w:rsidRPr="003A08D9">
        <w:t>.</w:t>
      </w:r>
    </w:p>
    <w:p w:rsidR="002B6DD7" w:rsidRPr="003A08D9" w:rsidRDefault="002B6DD7" w:rsidP="003A08D9">
      <w:pPr>
        <w:pStyle w:val="JuHA"/>
      </w:pPr>
      <w:r w:rsidRPr="003A08D9">
        <w:lastRenderedPageBreak/>
        <w:t>Events of 5 December 2009</w:t>
      </w:r>
      <w:r w:rsidR="006F0F29" w:rsidRPr="003A08D9">
        <w:t>, the applicants</w:t>
      </w:r>
      <w:r w:rsidR="003A08D9" w:rsidRPr="003A08D9">
        <w:t>’</w:t>
      </w:r>
      <w:r w:rsidR="006F0F29" w:rsidRPr="003A08D9">
        <w:t xml:space="preserve"> arrest and detention pending trial</w:t>
      </w:r>
    </w:p>
    <w:p w:rsidR="001270E4"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6</w:t>
      </w:r>
      <w:r w:rsidRPr="003A08D9">
        <w:rPr>
          <w:noProof/>
        </w:rPr>
        <w:fldChar w:fldCharType="end"/>
      </w:r>
      <w:r w:rsidR="00014566" w:rsidRPr="003A08D9">
        <w:t>.  </w:t>
      </w:r>
      <w:r w:rsidR="0064165D" w:rsidRPr="003A08D9">
        <w:t>On 5 December 2009 a demonstration was held in Cizre to protest about the conditions of detention of Abdullah Öcalan, the leader of the PKK (Kurdish Workers</w:t>
      </w:r>
      <w:r w:rsidR="003A08D9" w:rsidRPr="003A08D9">
        <w:t>’</w:t>
      </w:r>
      <w:r w:rsidR="0064165D" w:rsidRPr="003A08D9">
        <w:t xml:space="preserve"> Party), an illegal </w:t>
      </w:r>
      <w:r w:rsidR="00004DE4" w:rsidRPr="003A08D9">
        <w:t>terrorist</w:t>
      </w:r>
      <w:r w:rsidR="0064165D" w:rsidRPr="003A08D9">
        <w:t xml:space="preserve"> organisation.</w:t>
      </w:r>
    </w:p>
    <w:p w:rsidR="00750B63"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7</w:t>
      </w:r>
      <w:r w:rsidRPr="003A08D9">
        <w:rPr>
          <w:noProof/>
        </w:rPr>
        <w:fldChar w:fldCharType="end"/>
      </w:r>
      <w:r w:rsidR="001270E4" w:rsidRPr="003A08D9">
        <w:t>. </w:t>
      </w:r>
      <w:r w:rsidR="007847DA" w:rsidRPr="003A08D9">
        <w:t> </w:t>
      </w:r>
      <w:r w:rsidR="001270E4" w:rsidRPr="003A08D9">
        <w:t xml:space="preserve">According to </w:t>
      </w:r>
      <w:r w:rsidR="00454C49" w:rsidRPr="003A08D9">
        <w:t>a</w:t>
      </w:r>
      <w:r w:rsidR="001270E4" w:rsidRPr="003A08D9">
        <w:t xml:space="preserve"> report prepared on </w:t>
      </w:r>
      <w:r w:rsidR="00185DA8" w:rsidRPr="003A08D9">
        <w:t>7</w:t>
      </w:r>
      <w:r w:rsidR="001270E4" w:rsidRPr="003A08D9">
        <w:t xml:space="preserve"> December 2009</w:t>
      </w:r>
      <w:r w:rsidR="00185DA8" w:rsidRPr="003A08D9">
        <w:t xml:space="preserve"> by Cizre police headquarters</w:t>
      </w:r>
      <w:r w:rsidR="001270E4" w:rsidRPr="003A08D9">
        <w:t>,</w:t>
      </w:r>
      <w:r w:rsidR="00D60946" w:rsidRPr="003A08D9">
        <w:t xml:space="preserve"> t</w:t>
      </w:r>
      <w:r w:rsidR="00185DA8" w:rsidRPr="003A08D9">
        <w:t xml:space="preserve">he police </w:t>
      </w:r>
      <w:r w:rsidR="005537B3" w:rsidRPr="003A08D9">
        <w:t xml:space="preserve">had </w:t>
      </w:r>
      <w:r w:rsidR="00C911E3" w:rsidRPr="003A08D9">
        <w:t xml:space="preserve">issued </w:t>
      </w:r>
      <w:r w:rsidR="00185DA8" w:rsidRPr="003A08D9">
        <w:t>a warning</w:t>
      </w:r>
      <w:r w:rsidR="00FC7DD0" w:rsidRPr="003A08D9">
        <w:t>,</w:t>
      </w:r>
      <w:r w:rsidR="00185DA8" w:rsidRPr="003A08D9">
        <w:t xml:space="preserve"> informing </w:t>
      </w:r>
      <w:r w:rsidR="00823543" w:rsidRPr="003A08D9">
        <w:t>the crowd</w:t>
      </w:r>
      <w:r w:rsidR="00185DA8" w:rsidRPr="003A08D9">
        <w:t xml:space="preserve"> that </w:t>
      </w:r>
      <w:r w:rsidR="00823543" w:rsidRPr="003A08D9">
        <w:t>the</w:t>
      </w:r>
      <w:r w:rsidR="00185DA8" w:rsidRPr="003A08D9">
        <w:t xml:space="preserve"> march and demonstration were illegal</w:t>
      </w:r>
      <w:r w:rsidR="00866751" w:rsidRPr="003A08D9">
        <w:t>,</w:t>
      </w:r>
      <w:r w:rsidR="00185DA8" w:rsidRPr="003A08D9">
        <w:t xml:space="preserve"> and </w:t>
      </w:r>
      <w:r w:rsidR="00823543" w:rsidRPr="003A08D9">
        <w:t xml:space="preserve">asked them to disperse. The demonstrators </w:t>
      </w:r>
      <w:r w:rsidR="005537B3" w:rsidRPr="003A08D9">
        <w:t xml:space="preserve">had </w:t>
      </w:r>
      <w:r w:rsidR="00823543" w:rsidRPr="003A08D9">
        <w:t>not obey</w:t>
      </w:r>
      <w:r w:rsidR="005537B3" w:rsidRPr="003A08D9">
        <w:t>ed</w:t>
      </w:r>
      <w:r w:rsidR="00823543" w:rsidRPr="003A08D9">
        <w:t xml:space="preserve"> the warning</w:t>
      </w:r>
      <w:r w:rsidR="00185DA8" w:rsidRPr="003A08D9">
        <w:t xml:space="preserve">. </w:t>
      </w:r>
      <w:r w:rsidR="00823543" w:rsidRPr="003A08D9">
        <w:t xml:space="preserve">The police </w:t>
      </w:r>
      <w:r w:rsidR="005537B3" w:rsidRPr="003A08D9">
        <w:t xml:space="preserve">had </w:t>
      </w:r>
      <w:r w:rsidR="00823543" w:rsidRPr="003A08D9">
        <w:t>then used tear gas to disperse the crowd. The demonstrat</w:t>
      </w:r>
      <w:r w:rsidR="00FC7DD0" w:rsidRPr="003A08D9">
        <w:t xml:space="preserve">ions </w:t>
      </w:r>
      <w:r w:rsidR="005537B3" w:rsidRPr="003A08D9">
        <w:t xml:space="preserve">had </w:t>
      </w:r>
      <w:r w:rsidR="00823543" w:rsidRPr="003A08D9">
        <w:t>continued in other streets.</w:t>
      </w:r>
    </w:p>
    <w:p w:rsidR="00823543" w:rsidRPr="003A08D9" w:rsidRDefault="00734B6C"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8</w:t>
      </w:r>
      <w:r w:rsidRPr="003A08D9">
        <w:fldChar w:fldCharType="end"/>
      </w:r>
      <w:r w:rsidRPr="003A08D9">
        <w:t>.  </w:t>
      </w:r>
      <w:r w:rsidR="00823543" w:rsidRPr="003A08D9">
        <w:t xml:space="preserve">The report </w:t>
      </w:r>
      <w:r w:rsidR="00765C82" w:rsidRPr="003A08D9">
        <w:t xml:space="preserve">went on to </w:t>
      </w:r>
      <w:r w:rsidR="00823543" w:rsidRPr="003A08D9">
        <w:t xml:space="preserve">state that at around 1.30 p.m. a group of </w:t>
      </w:r>
      <w:r w:rsidR="00FC7DD0" w:rsidRPr="003A08D9">
        <w:t xml:space="preserve">ten to fifteen people </w:t>
      </w:r>
      <w:r w:rsidR="005537B3" w:rsidRPr="003A08D9">
        <w:t xml:space="preserve">had </w:t>
      </w:r>
      <w:r w:rsidR="00823543" w:rsidRPr="003A08D9">
        <w:t xml:space="preserve">gathered in a street close to the </w:t>
      </w:r>
      <w:r w:rsidR="00FF54CF" w:rsidRPr="003A08D9">
        <w:t xml:space="preserve">office of the </w:t>
      </w:r>
      <w:r w:rsidR="00823543" w:rsidRPr="003A08D9">
        <w:t xml:space="preserve">DTP </w:t>
      </w:r>
      <w:r w:rsidRPr="003A08D9">
        <w:t>(Party for a Democratic Society)</w:t>
      </w:r>
      <w:r w:rsidR="00823543" w:rsidRPr="003A08D9">
        <w:t xml:space="preserve">. They </w:t>
      </w:r>
      <w:r w:rsidR="005537B3" w:rsidRPr="003A08D9">
        <w:t xml:space="preserve">had </w:t>
      </w:r>
      <w:r w:rsidR="00823543" w:rsidRPr="003A08D9">
        <w:t xml:space="preserve">waved posters of </w:t>
      </w:r>
      <w:r w:rsidR="00561314" w:rsidRPr="003A08D9">
        <w:t xml:space="preserve">the leader of the terrorist organisation </w:t>
      </w:r>
      <w:r w:rsidR="00823543" w:rsidRPr="003A08D9">
        <w:t xml:space="preserve">and shouted slogans in </w:t>
      </w:r>
      <w:r w:rsidR="00765C82" w:rsidRPr="003A08D9">
        <w:t>support</w:t>
      </w:r>
      <w:r w:rsidR="00823543" w:rsidRPr="003A08D9">
        <w:t xml:space="preserve"> of him. Some of them </w:t>
      </w:r>
      <w:r w:rsidR="00765C82" w:rsidRPr="003A08D9">
        <w:t xml:space="preserve">had </w:t>
      </w:r>
      <w:r w:rsidR="00823543" w:rsidRPr="003A08D9">
        <w:t>had their faces covered and</w:t>
      </w:r>
      <w:r w:rsidR="00866751" w:rsidRPr="003A08D9">
        <w:t xml:space="preserve"> had</w:t>
      </w:r>
      <w:r w:rsidR="00823543" w:rsidRPr="003A08D9">
        <w:t xml:space="preserve"> had stones and Molotov cocktails in their hands. They </w:t>
      </w:r>
      <w:r w:rsidR="005537B3" w:rsidRPr="003A08D9">
        <w:t xml:space="preserve">had </w:t>
      </w:r>
      <w:r w:rsidR="00823543" w:rsidRPr="003A08D9">
        <w:t xml:space="preserve">then started marching. The police </w:t>
      </w:r>
      <w:r w:rsidR="005537B3" w:rsidRPr="003A08D9">
        <w:t xml:space="preserve">had </w:t>
      </w:r>
      <w:r w:rsidR="00823543" w:rsidRPr="003A08D9">
        <w:t xml:space="preserve">asked them to disperse but they </w:t>
      </w:r>
      <w:r w:rsidR="005537B3" w:rsidRPr="003A08D9">
        <w:t xml:space="preserve">had </w:t>
      </w:r>
      <w:r w:rsidR="00823543" w:rsidRPr="003A08D9">
        <w:t>not obey</w:t>
      </w:r>
      <w:r w:rsidR="005537B3" w:rsidRPr="003A08D9">
        <w:t>ed</w:t>
      </w:r>
      <w:r w:rsidR="00823543" w:rsidRPr="003A08D9">
        <w:t xml:space="preserve"> and </w:t>
      </w:r>
      <w:r w:rsidR="005537B3" w:rsidRPr="003A08D9">
        <w:t xml:space="preserve">had </w:t>
      </w:r>
      <w:r w:rsidR="00823543" w:rsidRPr="003A08D9">
        <w:t xml:space="preserve">attacked the police officers with stones. When the police </w:t>
      </w:r>
      <w:r w:rsidR="005537B3" w:rsidRPr="003A08D9">
        <w:t xml:space="preserve">had </w:t>
      </w:r>
      <w:r w:rsidR="00823543" w:rsidRPr="003A08D9">
        <w:t xml:space="preserve">intervened, the demonstrators had split into groups and </w:t>
      </w:r>
      <w:r w:rsidR="005537B3" w:rsidRPr="003A08D9">
        <w:t xml:space="preserve">had </w:t>
      </w:r>
      <w:r w:rsidR="00823543" w:rsidRPr="003A08D9">
        <w:t>started running away. The applicants and four other pe</w:t>
      </w:r>
      <w:r w:rsidR="00FC7DD0" w:rsidRPr="003A08D9">
        <w:t xml:space="preserve">ople </w:t>
      </w:r>
      <w:r w:rsidR="00823543" w:rsidRPr="003A08D9">
        <w:t>had been followed and arrested</w:t>
      </w:r>
      <w:r w:rsidR="0031347F" w:rsidRPr="003A08D9">
        <w:t xml:space="preserve">. </w:t>
      </w:r>
      <w:r w:rsidR="00FC7DD0" w:rsidRPr="003A08D9">
        <w:t>At the place of the arrest of the applicants and the four other people t</w:t>
      </w:r>
      <w:r w:rsidR="0031347F" w:rsidRPr="003A08D9">
        <w:t xml:space="preserve">he police </w:t>
      </w:r>
      <w:r w:rsidR="005537B3" w:rsidRPr="003A08D9">
        <w:t xml:space="preserve">had </w:t>
      </w:r>
      <w:r w:rsidR="0031347F" w:rsidRPr="003A08D9">
        <w:t xml:space="preserve">found a number of banners </w:t>
      </w:r>
      <w:r w:rsidR="00660CB8" w:rsidRPr="003A08D9">
        <w:t xml:space="preserve">with </w:t>
      </w:r>
      <w:r w:rsidR="0031347F" w:rsidRPr="003A08D9">
        <w:t xml:space="preserve">slogans in </w:t>
      </w:r>
      <w:r w:rsidR="0099328A" w:rsidRPr="003A08D9">
        <w:t>support</w:t>
      </w:r>
      <w:r w:rsidR="0031347F" w:rsidRPr="003A08D9">
        <w:t xml:space="preserve"> of </w:t>
      </w:r>
      <w:r w:rsidR="00561314" w:rsidRPr="003A08D9">
        <w:t>the leader of the terrorist organisation</w:t>
      </w:r>
      <w:r w:rsidR="0031347F" w:rsidRPr="003A08D9">
        <w:t xml:space="preserve">, </w:t>
      </w:r>
      <w:r w:rsidR="00FC7DD0" w:rsidRPr="003A08D9">
        <w:t xml:space="preserve">as well as </w:t>
      </w:r>
      <w:r w:rsidR="0031347F" w:rsidRPr="003A08D9">
        <w:t xml:space="preserve">wooden </w:t>
      </w:r>
      <w:r w:rsidR="00FC7DD0" w:rsidRPr="003A08D9">
        <w:t xml:space="preserve">clubs </w:t>
      </w:r>
      <w:r w:rsidR="0031347F" w:rsidRPr="003A08D9">
        <w:t xml:space="preserve">and iron </w:t>
      </w:r>
      <w:r w:rsidR="00FC7DD0" w:rsidRPr="003A08D9">
        <w:t>bars.</w:t>
      </w:r>
    </w:p>
    <w:bookmarkStart w:id="1" w:name="photographs"/>
    <w:p w:rsidR="00867D8C"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9</w:t>
      </w:r>
      <w:r w:rsidRPr="003A08D9">
        <w:rPr>
          <w:noProof/>
        </w:rPr>
        <w:fldChar w:fldCharType="end"/>
      </w:r>
      <w:bookmarkEnd w:id="1"/>
      <w:r w:rsidR="0031347F" w:rsidRPr="003A08D9">
        <w:t>.  The report also contain</w:t>
      </w:r>
      <w:r w:rsidR="005537B3" w:rsidRPr="003A08D9">
        <w:t>ed</w:t>
      </w:r>
      <w:r w:rsidR="0031347F" w:rsidRPr="003A08D9">
        <w:t xml:space="preserve"> </w:t>
      </w:r>
      <w:r w:rsidR="00765C82" w:rsidRPr="003A08D9">
        <w:t>thirty</w:t>
      </w:r>
      <w:r w:rsidR="0031347F" w:rsidRPr="003A08D9">
        <w:t xml:space="preserve"> photographs of demonstrators. </w:t>
      </w:r>
      <w:r w:rsidR="00765C82" w:rsidRPr="003A08D9">
        <w:t>The second applicant, Ahmet Ürek, could be seen i</w:t>
      </w:r>
      <w:r w:rsidR="0031347F" w:rsidRPr="003A08D9">
        <w:t>n four of th</w:t>
      </w:r>
      <w:r w:rsidR="00765C82" w:rsidRPr="003A08D9">
        <w:t>em – i</w:t>
      </w:r>
      <w:r w:rsidR="0031347F" w:rsidRPr="003A08D9">
        <w:t xml:space="preserve">n the first </w:t>
      </w:r>
      <w:r w:rsidR="00765C82" w:rsidRPr="003A08D9">
        <w:t xml:space="preserve">two photographs he was </w:t>
      </w:r>
      <w:r w:rsidR="0031347F" w:rsidRPr="003A08D9">
        <w:t xml:space="preserve">walking next to </w:t>
      </w:r>
      <w:r w:rsidR="005537B3" w:rsidRPr="003A08D9">
        <w:t xml:space="preserve">the </w:t>
      </w:r>
      <w:r w:rsidR="0031347F" w:rsidRPr="003A08D9">
        <w:t>demonstrators</w:t>
      </w:r>
      <w:r w:rsidR="00765C82" w:rsidRPr="003A08D9">
        <w:t xml:space="preserve">, in the </w:t>
      </w:r>
      <w:r w:rsidR="0031347F" w:rsidRPr="003A08D9">
        <w:t xml:space="preserve">third he </w:t>
      </w:r>
      <w:r w:rsidR="00765C82" w:rsidRPr="003A08D9">
        <w:t>was</w:t>
      </w:r>
      <w:r w:rsidR="0031347F" w:rsidRPr="003A08D9">
        <w:t xml:space="preserve"> standing in </w:t>
      </w:r>
      <w:r w:rsidR="005537B3" w:rsidRPr="003A08D9">
        <w:t xml:space="preserve">the </w:t>
      </w:r>
      <w:r w:rsidR="0031347F" w:rsidRPr="003A08D9">
        <w:t>crowd and making a “V” sign</w:t>
      </w:r>
      <w:r w:rsidR="00765C82" w:rsidRPr="003A08D9">
        <w:t xml:space="preserve">, while in the </w:t>
      </w:r>
      <w:r w:rsidR="0031347F" w:rsidRPr="003A08D9">
        <w:t>fourth photograph</w:t>
      </w:r>
      <w:r w:rsidR="00765C82" w:rsidRPr="003A08D9">
        <w:t xml:space="preserve"> </w:t>
      </w:r>
      <w:r w:rsidR="0031347F" w:rsidRPr="003A08D9">
        <w:t xml:space="preserve">he </w:t>
      </w:r>
      <w:r w:rsidR="00765C82" w:rsidRPr="003A08D9">
        <w:t xml:space="preserve">was </w:t>
      </w:r>
      <w:r w:rsidR="0031347F" w:rsidRPr="003A08D9">
        <w:t>talking to a</w:t>
      </w:r>
      <w:r w:rsidR="00765C82" w:rsidRPr="003A08D9">
        <w:t>nother</w:t>
      </w:r>
      <w:r w:rsidR="0031347F" w:rsidRPr="003A08D9">
        <w:t xml:space="preserve"> man. </w:t>
      </w:r>
      <w:r w:rsidR="0099328A" w:rsidRPr="003A08D9">
        <w:t>T</w:t>
      </w:r>
      <w:r w:rsidR="00B60A79" w:rsidRPr="003A08D9">
        <w:t xml:space="preserve">he </w:t>
      </w:r>
      <w:r w:rsidR="007C62B2" w:rsidRPr="003A08D9">
        <w:t xml:space="preserve">report </w:t>
      </w:r>
      <w:r w:rsidR="00CE5508" w:rsidRPr="003A08D9">
        <w:t xml:space="preserve">did </w:t>
      </w:r>
      <w:r w:rsidR="007C62B2" w:rsidRPr="003A08D9">
        <w:t xml:space="preserve">not </w:t>
      </w:r>
      <w:r w:rsidR="00561314" w:rsidRPr="003A08D9">
        <w:t>include</w:t>
      </w:r>
      <w:r w:rsidR="007C62B2" w:rsidRPr="003A08D9">
        <w:t xml:space="preserve"> any </w:t>
      </w:r>
      <w:r w:rsidR="00A92D74" w:rsidRPr="003A08D9">
        <w:t xml:space="preserve">photograph </w:t>
      </w:r>
      <w:r w:rsidR="0099328A" w:rsidRPr="003A08D9">
        <w:t xml:space="preserve">showing </w:t>
      </w:r>
      <w:r w:rsidR="00B60A79" w:rsidRPr="003A08D9">
        <w:t>the first applicant.</w:t>
      </w:r>
    </w:p>
    <w:p w:rsidR="00014126" w:rsidRPr="003A08D9" w:rsidRDefault="00F552AF"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10</w:t>
      </w:r>
      <w:r w:rsidRPr="003A08D9">
        <w:fldChar w:fldCharType="end"/>
      </w:r>
      <w:r w:rsidRPr="003A08D9">
        <w:t>.  </w:t>
      </w:r>
      <w:r w:rsidR="0031347F" w:rsidRPr="003A08D9">
        <w:t>According to the applicants</w:t>
      </w:r>
      <w:r w:rsidR="003A08D9" w:rsidRPr="003A08D9">
        <w:t>’</w:t>
      </w:r>
      <w:r w:rsidR="0031347F" w:rsidRPr="003A08D9">
        <w:t xml:space="preserve"> submissions, </w:t>
      </w:r>
      <w:r w:rsidR="00FE4387" w:rsidRPr="003A08D9">
        <w:t>o</w:t>
      </w:r>
      <w:r w:rsidR="00014126" w:rsidRPr="003A08D9">
        <w:t>n 5 December 2009 the</w:t>
      </w:r>
      <w:r w:rsidR="00FE4387" w:rsidRPr="003A08D9">
        <w:t>y</w:t>
      </w:r>
      <w:r w:rsidR="00014126" w:rsidRPr="003A08D9">
        <w:t xml:space="preserve"> </w:t>
      </w:r>
      <w:r w:rsidR="001270E4" w:rsidRPr="003A08D9">
        <w:t xml:space="preserve">had </w:t>
      </w:r>
      <w:r w:rsidR="00014126" w:rsidRPr="003A08D9">
        <w:t>arrived in Cizre</w:t>
      </w:r>
      <w:r w:rsidR="00FE4387" w:rsidRPr="003A08D9">
        <w:t xml:space="preserve"> from the Uludere district of Hakkari</w:t>
      </w:r>
      <w:r w:rsidR="00014126" w:rsidRPr="003A08D9">
        <w:t xml:space="preserve"> </w:t>
      </w:r>
      <w:r w:rsidR="00FE4387" w:rsidRPr="003A08D9">
        <w:t>where they lived</w:t>
      </w:r>
      <w:r w:rsidR="000F49E4" w:rsidRPr="003A08D9">
        <w:t>,</w:t>
      </w:r>
      <w:r w:rsidR="00FE4387" w:rsidRPr="003A08D9">
        <w:t xml:space="preserve"> </w:t>
      </w:r>
      <w:r w:rsidR="00014126" w:rsidRPr="003A08D9">
        <w:t xml:space="preserve">in order to sell </w:t>
      </w:r>
      <w:r w:rsidR="005537B3" w:rsidRPr="003A08D9">
        <w:t xml:space="preserve">some items </w:t>
      </w:r>
      <w:r w:rsidR="00014126" w:rsidRPr="003A08D9">
        <w:t xml:space="preserve">and do </w:t>
      </w:r>
      <w:r w:rsidR="005537B3" w:rsidRPr="003A08D9">
        <w:t xml:space="preserve">some </w:t>
      </w:r>
      <w:r w:rsidR="00014126" w:rsidRPr="003A08D9">
        <w:t xml:space="preserve">shopping. They </w:t>
      </w:r>
      <w:r w:rsidR="005537B3" w:rsidRPr="003A08D9">
        <w:t xml:space="preserve">had </w:t>
      </w:r>
      <w:r w:rsidR="00014126" w:rsidRPr="003A08D9">
        <w:t xml:space="preserve">found out that the shops were closed in Cizre as there was a demonstration in the </w:t>
      </w:r>
      <w:r w:rsidR="00765C82" w:rsidRPr="003A08D9">
        <w:t xml:space="preserve">town </w:t>
      </w:r>
      <w:r w:rsidR="00014126" w:rsidRPr="003A08D9">
        <w:t xml:space="preserve">centre. They </w:t>
      </w:r>
      <w:r w:rsidR="005537B3" w:rsidRPr="003A08D9">
        <w:t xml:space="preserve">had </w:t>
      </w:r>
      <w:r w:rsidR="00014126" w:rsidRPr="003A08D9">
        <w:t xml:space="preserve">then found themselves in the middle of the demonstration and </w:t>
      </w:r>
      <w:r w:rsidR="005537B3" w:rsidRPr="003A08D9">
        <w:t xml:space="preserve">had </w:t>
      </w:r>
      <w:r w:rsidR="00014126" w:rsidRPr="003A08D9">
        <w:t xml:space="preserve">listened </w:t>
      </w:r>
      <w:r w:rsidR="00186918" w:rsidRPr="003A08D9">
        <w:t xml:space="preserve">to </w:t>
      </w:r>
      <w:r w:rsidR="00014126" w:rsidRPr="003A08D9">
        <w:t>the press statement made by Cizre</w:t>
      </w:r>
      <w:r w:rsidR="003A08D9" w:rsidRPr="003A08D9">
        <w:t>’</w:t>
      </w:r>
      <w:r w:rsidR="005537B3" w:rsidRPr="003A08D9">
        <w:t>s</w:t>
      </w:r>
      <w:r w:rsidR="00014126" w:rsidRPr="003A08D9">
        <w:t xml:space="preserve"> mayo</w:t>
      </w:r>
      <w:r w:rsidR="00210B30" w:rsidRPr="003A08D9">
        <w:t xml:space="preserve">r and </w:t>
      </w:r>
      <w:r w:rsidR="005537B3" w:rsidRPr="003A08D9">
        <w:t xml:space="preserve">officials from </w:t>
      </w:r>
      <w:r w:rsidR="00210B30" w:rsidRPr="003A08D9">
        <w:t>the DTP</w:t>
      </w:r>
      <w:r w:rsidR="00014126" w:rsidRPr="003A08D9">
        <w:t xml:space="preserve">. </w:t>
      </w:r>
      <w:r w:rsidR="005537B3" w:rsidRPr="003A08D9">
        <w:t>T</w:t>
      </w:r>
      <w:r w:rsidR="00014126" w:rsidRPr="003A08D9">
        <w:t xml:space="preserve">he police </w:t>
      </w:r>
      <w:r w:rsidR="005537B3" w:rsidRPr="003A08D9">
        <w:t xml:space="preserve">had later </w:t>
      </w:r>
      <w:r w:rsidR="00014126" w:rsidRPr="003A08D9">
        <w:t>beg</w:t>
      </w:r>
      <w:r w:rsidR="005537B3" w:rsidRPr="003A08D9">
        <w:t>u</w:t>
      </w:r>
      <w:r w:rsidR="00014126" w:rsidRPr="003A08D9">
        <w:t xml:space="preserve">n </w:t>
      </w:r>
      <w:r w:rsidR="005537B3" w:rsidRPr="003A08D9">
        <w:t xml:space="preserve">to </w:t>
      </w:r>
      <w:r w:rsidR="00014126" w:rsidRPr="003A08D9">
        <w:t>us</w:t>
      </w:r>
      <w:r w:rsidR="005537B3" w:rsidRPr="003A08D9">
        <w:t>e</w:t>
      </w:r>
      <w:r w:rsidR="00014126" w:rsidRPr="003A08D9">
        <w:t xml:space="preserve"> tear gas in order to disperse the demonstrators. The applicants </w:t>
      </w:r>
      <w:r w:rsidR="005537B3" w:rsidRPr="003A08D9">
        <w:t xml:space="preserve">had </w:t>
      </w:r>
      <w:r w:rsidR="00014126" w:rsidRPr="003A08D9">
        <w:t>r</w:t>
      </w:r>
      <w:r w:rsidR="005537B3" w:rsidRPr="003A08D9">
        <w:t>u</w:t>
      </w:r>
      <w:r w:rsidR="00014126" w:rsidRPr="003A08D9">
        <w:t xml:space="preserve">n away and </w:t>
      </w:r>
      <w:r w:rsidR="005537B3" w:rsidRPr="003A08D9">
        <w:t xml:space="preserve">had </w:t>
      </w:r>
      <w:r w:rsidR="00014126" w:rsidRPr="003A08D9">
        <w:t>entered a garden</w:t>
      </w:r>
      <w:r w:rsidR="00660CB8" w:rsidRPr="003A08D9">
        <w:t>,</w:t>
      </w:r>
      <w:r w:rsidR="00014126" w:rsidRPr="003A08D9">
        <w:t xml:space="preserve"> where they </w:t>
      </w:r>
      <w:r w:rsidR="005537B3" w:rsidRPr="003A08D9">
        <w:t xml:space="preserve">had been </w:t>
      </w:r>
      <w:r w:rsidR="00014126" w:rsidRPr="003A08D9">
        <w:t>found and arrested.</w:t>
      </w:r>
    </w:p>
    <w:bookmarkStart w:id="2" w:name="policestatementstopolice"/>
    <w:p w:rsidR="00867D8C"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11</w:t>
      </w:r>
      <w:r w:rsidRPr="003A08D9">
        <w:rPr>
          <w:noProof/>
        </w:rPr>
        <w:fldChar w:fldCharType="end"/>
      </w:r>
      <w:bookmarkEnd w:id="2"/>
      <w:r w:rsidR="000F49E4" w:rsidRPr="003A08D9">
        <w:t>.  </w:t>
      </w:r>
      <w:r w:rsidR="00A92D74" w:rsidRPr="003A08D9">
        <w:t>On 5 December 2009 e</w:t>
      </w:r>
      <w:r w:rsidR="007C62B2" w:rsidRPr="003A08D9">
        <w:t>ight</w:t>
      </w:r>
      <w:r w:rsidR="007B02A1" w:rsidRPr="003A08D9">
        <w:t xml:space="preserve"> police officers, </w:t>
      </w:r>
      <w:r w:rsidR="00965C3C" w:rsidRPr="003A08D9">
        <w:t xml:space="preserve">who had </w:t>
      </w:r>
      <w:r w:rsidR="00B02FB0" w:rsidRPr="003A08D9">
        <w:t>carried out</w:t>
      </w:r>
      <w:r w:rsidR="00965C3C" w:rsidRPr="003A08D9">
        <w:t xml:space="preserve"> the applicants</w:t>
      </w:r>
      <w:r w:rsidR="003A08D9" w:rsidRPr="003A08D9">
        <w:t>’</w:t>
      </w:r>
      <w:r w:rsidR="00965C3C" w:rsidRPr="003A08D9">
        <w:t xml:space="preserve"> arrest,</w:t>
      </w:r>
      <w:r w:rsidR="00FE4387" w:rsidRPr="003A08D9">
        <w:t xml:space="preserve"> </w:t>
      </w:r>
      <w:r w:rsidR="00A92D74" w:rsidRPr="003A08D9">
        <w:t xml:space="preserve">gave </w:t>
      </w:r>
      <w:r w:rsidR="00DB057B" w:rsidRPr="003A08D9">
        <w:t>separate but</w:t>
      </w:r>
      <w:r w:rsidR="00A92D74" w:rsidRPr="003A08D9">
        <w:t xml:space="preserve"> identical statements</w:t>
      </w:r>
      <w:r w:rsidR="00FE4387" w:rsidRPr="003A08D9">
        <w:t>. According to th</w:t>
      </w:r>
      <w:r w:rsidR="005537B3" w:rsidRPr="003A08D9">
        <w:t>o</w:t>
      </w:r>
      <w:r w:rsidR="00FE4387" w:rsidRPr="003A08D9">
        <w:t>se statements, t</w:t>
      </w:r>
      <w:r w:rsidR="00014126" w:rsidRPr="003A08D9">
        <w:t xml:space="preserve">he applicants </w:t>
      </w:r>
      <w:r w:rsidR="005537B3" w:rsidRPr="003A08D9">
        <w:t xml:space="preserve">had been </w:t>
      </w:r>
      <w:r w:rsidR="00014126" w:rsidRPr="003A08D9">
        <w:t xml:space="preserve">found in a </w:t>
      </w:r>
      <w:r w:rsidR="005537B3" w:rsidRPr="003A08D9">
        <w:t xml:space="preserve">shed </w:t>
      </w:r>
      <w:r w:rsidR="00014126" w:rsidRPr="003A08D9">
        <w:t xml:space="preserve">in the garden of a house and </w:t>
      </w:r>
      <w:r w:rsidR="005537B3" w:rsidRPr="003A08D9">
        <w:t xml:space="preserve">had been </w:t>
      </w:r>
      <w:r w:rsidR="00014126" w:rsidRPr="003A08D9">
        <w:t>arrested along with four other pe</w:t>
      </w:r>
      <w:r w:rsidR="005537B3" w:rsidRPr="003A08D9">
        <w:t>ople</w:t>
      </w:r>
      <w:r w:rsidR="00014126" w:rsidRPr="003A08D9">
        <w:t xml:space="preserve">. </w:t>
      </w:r>
      <w:r w:rsidR="006A33F0" w:rsidRPr="003A08D9">
        <w:t>At that location</w:t>
      </w:r>
      <w:r w:rsidR="00186918" w:rsidRPr="003A08D9">
        <w:t xml:space="preserve"> t</w:t>
      </w:r>
      <w:r w:rsidR="00014126" w:rsidRPr="003A08D9">
        <w:t xml:space="preserve">he </w:t>
      </w:r>
      <w:r w:rsidR="00014126" w:rsidRPr="003A08D9">
        <w:lastRenderedPageBreak/>
        <w:t xml:space="preserve">police </w:t>
      </w:r>
      <w:r w:rsidR="008653F6" w:rsidRPr="003A08D9">
        <w:t xml:space="preserve">had </w:t>
      </w:r>
      <w:r w:rsidR="00014126" w:rsidRPr="003A08D9">
        <w:t xml:space="preserve">found banners </w:t>
      </w:r>
      <w:r w:rsidR="00186918" w:rsidRPr="003A08D9">
        <w:t xml:space="preserve">with </w:t>
      </w:r>
      <w:r w:rsidR="00014126" w:rsidRPr="003A08D9">
        <w:t>slogans in Kurdish and Turkish</w:t>
      </w:r>
      <w:r w:rsidR="00186918" w:rsidRPr="003A08D9">
        <w:t>,</w:t>
      </w:r>
      <w:r w:rsidR="00014126" w:rsidRPr="003A08D9">
        <w:t xml:space="preserve"> which constituted propaganda in f</w:t>
      </w:r>
      <w:r w:rsidR="00210B30" w:rsidRPr="003A08D9">
        <w:t xml:space="preserve">avour of </w:t>
      </w:r>
      <w:r w:rsidR="0031347F" w:rsidRPr="003A08D9">
        <w:t xml:space="preserve">Abdullah </w:t>
      </w:r>
      <w:r w:rsidR="0031347F" w:rsidRPr="003A08D9">
        <w:rPr>
          <w:rFonts w:cstheme="minorHAnsi"/>
        </w:rPr>
        <w:t>Ö</w:t>
      </w:r>
      <w:r w:rsidR="0031347F" w:rsidRPr="003A08D9">
        <w:t>calan</w:t>
      </w:r>
      <w:r w:rsidR="00186918" w:rsidRPr="003A08D9">
        <w:t>,</w:t>
      </w:r>
      <w:r w:rsidR="0031347F" w:rsidRPr="003A08D9">
        <w:t xml:space="preserve"> </w:t>
      </w:r>
      <w:r w:rsidR="00210B30" w:rsidRPr="003A08D9">
        <w:t>a</w:t>
      </w:r>
      <w:r w:rsidR="00186918" w:rsidRPr="003A08D9">
        <w:t xml:space="preserve">s well as </w:t>
      </w:r>
      <w:r w:rsidR="00E0750E" w:rsidRPr="003A08D9">
        <w:t xml:space="preserve">wooden </w:t>
      </w:r>
      <w:r w:rsidR="008653F6" w:rsidRPr="003A08D9">
        <w:t xml:space="preserve">clubs </w:t>
      </w:r>
      <w:r w:rsidR="00E0750E" w:rsidRPr="003A08D9">
        <w:t>and iron</w:t>
      </w:r>
      <w:r w:rsidR="00210B30" w:rsidRPr="003A08D9">
        <w:t xml:space="preserve"> </w:t>
      </w:r>
      <w:r w:rsidR="00186918" w:rsidRPr="003A08D9">
        <w:t>bars</w:t>
      </w:r>
      <w:r w:rsidR="00210B30" w:rsidRPr="003A08D9">
        <w:t>.</w:t>
      </w:r>
    </w:p>
    <w:p w:rsidR="000F49E4"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12</w:t>
      </w:r>
      <w:r w:rsidRPr="003A08D9">
        <w:rPr>
          <w:noProof/>
        </w:rPr>
        <w:fldChar w:fldCharType="end"/>
      </w:r>
      <w:r w:rsidR="000F49E4" w:rsidRPr="003A08D9">
        <w:t xml:space="preserve">.  The </w:t>
      </w:r>
      <w:r w:rsidR="006F0F29" w:rsidRPr="003A08D9">
        <w:t>first applicant</w:t>
      </w:r>
      <w:r w:rsidR="000F49E4" w:rsidRPr="003A08D9">
        <w:t xml:space="preserve"> </w:t>
      </w:r>
      <w:r w:rsidR="00776A17" w:rsidRPr="003A08D9">
        <w:t xml:space="preserve">refused to make </w:t>
      </w:r>
      <w:r w:rsidR="008653F6" w:rsidRPr="003A08D9">
        <w:t xml:space="preserve">any </w:t>
      </w:r>
      <w:r w:rsidR="00776A17" w:rsidRPr="003A08D9">
        <w:t>statements to the police.</w:t>
      </w:r>
      <w:r w:rsidR="006F0F29" w:rsidRPr="003A08D9">
        <w:t xml:space="preserve"> During his questioning, the second applicant stated that he had not been involved in any illegal or reprehensible act. He contended that he had </w:t>
      </w:r>
      <w:r w:rsidR="008653F6" w:rsidRPr="003A08D9">
        <w:t xml:space="preserve">gone </w:t>
      </w:r>
      <w:r w:rsidR="006F0F29" w:rsidRPr="003A08D9">
        <w:t xml:space="preserve">to Cizre in the same bus </w:t>
      </w:r>
      <w:r w:rsidR="008653F6" w:rsidRPr="003A08D9">
        <w:t>as</w:t>
      </w:r>
      <w:r w:rsidR="006F0F29" w:rsidRPr="003A08D9">
        <w:t xml:space="preserve"> the first applicant and two other pe</w:t>
      </w:r>
      <w:r w:rsidR="008653F6" w:rsidRPr="003A08D9">
        <w:t>ople</w:t>
      </w:r>
      <w:r w:rsidR="006F0F29" w:rsidRPr="003A08D9">
        <w:t xml:space="preserve"> </w:t>
      </w:r>
      <w:r w:rsidR="008653F6" w:rsidRPr="003A08D9">
        <w:t xml:space="preserve">to do some shopping </w:t>
      </w:r>
      <w:r w:rsidR="006F0F29" w:rsidRPr="003A08D9">
        <w:t>and that he had taken refuge in the garden where they had been arrested as he had tried to protect himself from the tear</w:t>
      </w:r>
      <w:r w:rsidR="008653F6" w:rsidRPr="003A08D9">
        <w:t xml:space="preserve"> </w:t>
      </w:r>
      <w:r w:rsidR="006F0F29" w:rsidRPr="003A08D9">
        <w:t>gas.</w:t>
      </w:r>
    </w:p>
    <w:p w:rsidR="00014126"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13</w:t>
      </w:r>
      <w:r w:rsidRPr="003A08D9">
        <w:rPr>
          <w:noProof/>
        </w:rPr>
        <w:fldChar w:fldCharType="end"/>
      </w:r>
      <w:r w:rsidR="000F49E4" w:rsidRPr="003A08D9">
        <w:t>.  </w:t>
      </w:r>
      <w:r w:rsidR="00014126" w:rsidRPr="003A08D9">
        <w:t>On 7 December 2009 the applicant</w:t>
      </w:r>
      <w:r w:rsidR="008653F6" w:rsidRPr="003A08D9">
        <w:t>s</w:t>
      </w:r>
      <w:r w:rsidR="00014126" w:rsidRPr="003A08D9">
        <w:t xml:space="preserve"> were brought before the Cizre public prosecutor and the Cizre Magistrates</w:t>
      </w:r>
      <w:r w:rsidR="003A08D9" w:rsidRPr="003A08D9">
        <w:t>’</w:t>
      </w:r>
      <w:r w:rsidR="00014126" w:rsidRPr="003A08D9">
        <w:t xml:space="preserve"> Court. They maintained that they had not participated in the demonstration and had no knowledge </w:t>
      </w:r>
      <w:r w:rsidR="008653F6" w:rsidRPr="003A08D9">
        <w:t xml:space="preserve">of </w:t>
      </w:r>
      <w:r w:rsidR="00014126" w:rsidRPr="003A08D9">
        <w:t xml:space="preserve">the banners found in the </w:t>
      </w:r>
      <w:r w:rsidR="008653F6" w:rsidRPr="003A08D9">
        <w:t>shed</w:t>
      </w:r>
      <w:r w:rsidR="00014126" w:rsidRPr="003A08D9">
        <w:t>. Nezir Ürek contended that he had taken refuge in th</w:t>
      </w:r>
      <w:r w:rsidR="008653F6" w:rsidRPr="003A08D9">
        <w:t>e</w:t>
      </w:r>
      <w:r w:rsidR="00014126" w:rsidRPr="003A08D9">
        <w:t xml:space="preserve"> garden as children had thrown stones at the police</w:t>
      </w:r>
      <w:r w:rsidR="00866751" w:rsidRPr="003A08D9">
        <w:t>,</w:t>
      </w:r>
      <w:r w:rsidR="00014126" w:rsidRPr="003A08D9">
        <w:t xml:space="preserve"> </w:t>
      </w:r>
      <w:r w:rsidR="00965C3C" w:rsidRPr="003A08D9">
        <w:t>who</w:t>
      </w:r>
      <w:r w:rsidR="00014126" w:rsidRPr="003A08D9">
        <w:t xml:space="preserve"> had</w:t>
      </w:r>
      <w:r w:rsidR="00965C3C" w:rsidRPr="003A08D9">
        <w:t xml:space="preserve"> then</w:t>
      </w:r>
      <w:r w:rsidR="00014126" w:rsidRPr="003A08D9">
        <w:t xml:space="preserve"> used tear gas. Ahmet Ürek stated that he had not chanted illegal slogans.</w:t>
      </w:r>
      <w:r w:rsidR="00776A17" w:rsidRPr="003A08D9">
        <w:t xml:space="preserve"> During his questioning by the court, Ahmet Ürek was asked about four photographs of him taken during the demonstration of 5 December 2009. He stated that he </w:t>
      </w:r>
      <w:r w:rsidR="008653F6" w:rsidRPr="003A08D9">
        <w:t xml:space="preserve">did </w:t>
      </w:r>
      <w:r w:rsidR="00776A17" w:rsidRPr="003A08D9">
        <w:t xml:space="preserve">not know whether the person in those photographs was him and </w:t>
      </w:r>
      <w:r w:rsidR="008653F6" w:rsidRPr="003A08D9">
        <w:t xml:space="preserve">added </w:t>
      </w:r>
      <w:r w:rsidR="00776A17" w:rsidRPr="003A08D9">
        <w:t>that he had not participated in the demonstration.</w:t>
      </w:r>
    </w:p>
    <w:p w:rsidR="00014126"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14</w:t>
      </w:r>
      <w:r w:rsidRPr="003A08D9">
        <w:rPr>
          <w:noProof/>
        </w:rPr>
        <w:fldChar w:fldCharType="end"/>
      </w:r>
      <w:r w:rsidR="00776A17" w:rsidRPr="003A08D9">
        <w:t>.  </w:t>
      </w:r>
      <w:r w:rsidR="00014126" w:rsidRPr="003A08D9">
        <w:t>On the same day the judge at the Cizre Magistrates</w:t>
      </w:r>
      <w:r w:rsidR="003A08D9" w:rsidRPr="003A08D9">
        <w:t>’</w:t>
      </w:r>
      <w:r w:rsidR="00014126" w:rsidRPr="003A08D9">
        <w:t xml:space="preserve"> </w:t>
      </w:r>
      <w:r w:rsidR="00776A17" w:rsidRPr="003A08D9">
        <w:t xml:space="preserve">Court </w:t>
      </w:r>
      <w:r w:rsidR="00014126" w:rsidRPr="003A08D9">
        <w:t>decided to remand the applicants in custody.</w:t>
      </w:r>
    </w:p>
    <w:p w:rsidR="006F0F29" w:rsidRPr="003A08D9" w:rsidRDefault="006F0F29" w:rsidP="003A08D9">
      <w:pPr>
        <w:pStyle w:val="JuHA"/>
      </w:pPr>
      <w:r w:rsidRPr="003A08D9">
        <w:t>Criminal proceedings brought against the applicants</w:t>
      </w:r>
    </w:p>
    <w:p w:rsidR="00F552AF"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15</w:t>
      </w:r>
      <w:r w:rsidRPr="003A08D9">
        <w:rPr>
          <w:noProof/>
        </w:rPr>
        <w:fldChar w:fldCharType="end"/>
      </w:r>
      <w:r w:rsidR="008C0DC6" w:rsidRPr="003A08D9">
        <w:t>.  </w:t>
      </w:r>
      <w:r w:rsidR="00014126" w:rsidRPr="003A08D9">
        <w:t>On 23 December 2009 the Diyarbak</w:t>
      </w:r>
      <w:r w:rsidR="00014126" w:rsidRPr="003A08D9">
        <w:rPr>
          <w:rFonts w:cstheme="minorHAnsi"/>
        </w:rPr>
        <w:t>ı</w:t>
      </w:r>
      <w:r w:rsidR="00014126" w:rsidRPr="003A08D9">
        <w:t>r public prosecutor filed a bill of indictment with the Diyarbak</w:t>
      </w:r>
      <w:r w:rsidR="00014126" w:rsidRPr="003A08D9">
        <w:rPr>
          <w:rFonts w:cstheme="minorHAnsi"/>
        </w:rPr>
        <w:t>ı</w:t>
      </w:r>
      <w:r w:rsidR="00014126" w:rsidRPr="003A08D9">
        <w:t>r Assize Court against the applicants and two other persons. In the indictment, the applicants were charged with membership of an illegal organisation under Article 220</w:t>
      </w:r>
      <w:r w:rsidR="002745DA" w:rsidRPr="003A08D9">
        <w:t xml:space="preserve"> § </w:t>
      </w:r>
      <w:r w:rsidR="00014126" w:rsidRPr="003A08D9">
        <w:t>6</w:t>
      </w:r>
      <w:r w:rsidR="002745DA" w:rsidRPr="003A08D9">
        <w:t xml:space="preserve"> </w:t>
      </w:r>
      <w:r w:rsidR="00014126" w:rsidRPr="003A08D9">
        <w:t xml:space="preserve">and </w:t>
      </w:r>
      <w:r w:rsidR="002745DA" w:rsidRPr="003A08D9">
        <w:t>Article</w:t>
      </w:r>
      <w:r w:rsidR="002A4435" w:rsidRPr="003A08D9">
        <w:t> </w:t>
      </w:r>
      <w:r w:rsidR="00014126" w:rsidRPr="003A08D9">
        <w:t xml:space="preserve">314 of the Criminal Code, </w:t>
      </w:r>
      <w:r w:rsidR="00E73625" w:rsidRPr="003A08D9">
        <w:t xml:space="preserve">carrying explosive materials under Article 174 of the Criminal Code, </w:t>
      </w:r>
      <w:r w:rsidR="00014126" w:rsidRPr="003A08D9">
        <w:t xml:space="preserve">violating the Meetings and Demonstration Marches Act </w:t>
      </w:r>
      <w:r w:rsidR="00776A17" w:rsidRPr="003A08D9">
        <w:t>(Law no.</w:t>
      </w:r>
      <w:r w:rsidR="00014126" w:rsidRPr="003A08D9">
        <w:t xml:space="preserve"> 2911)</w:t>
      </w:r>
      <w:r w:rsidR="00186918" w:rsidRPr="003A08D9">
        <w:t>,</w:t>
      </w:r>
      <w:r w:rsidR="00014126" w:rsidRPr="003A08D9">
        <w:t xml:space="preserve"> and disseminating propaganda in favour of the PKK</w:t>
      </w:r>
      <w:r w:rsidR="00186918" w:rsidRPr="003A08D9">
        <w:t>,</w:t>
      </w:r>
      <w:r w:rsidR="00CC1752" w:rsidRPr="003A08D9">
        <w:t xml:space="preserve"> </w:t>
      </w:r>
      <w:r w:rsidR="00014126" w:rsidRPr="003A08D9">
        <w:t>under section</w:t>
      </w:r>
      <w:r w:rsidR="00CE0502" w:rsidRPr="003A08D9">
        <w:t> </w:t>
      </w:r>
      <w:r w:rsidR="00014126" w:rsidRPr="003A08D9">
        <w:t xml:space="preserve">7(2) of the Prevention of Terrorism Act (Law </w:t>
      </w:r>
      <w:r w:rsidR="00776A17" w:rsidRPr="003A08D9">
        <w:t>no.</w:t>
      </w:r>
      <w:r w:rsidR="00014126" w:rsidRPr="003A08D9">
        <w:t xml:space="preserve"> 3713). </w:t>
      </w:r>
      <w:r w:rsidR="00376E04" w:rsidRPr="003A08D9">
        <w:t xml:space="preserve">Subsequently, a trial </w:t>
      </w:r>
      <w:r w:rsidR="00861A24" w:rsidRPr="003A08D9">
        <w:t xml:space="preserve">was </w:t>
      </w:r>
      <w:r w:rsidR="00376E04" w:rsidRPr="003A08D9">
        <w:t>commenced before the Diyarbak</w:t>
      </w:r>
      <w:r w:rsidR="00376E04" w:rsidRPr="003A08D9">
        <w:rPr>
          <w:rFonts w:cstheme="minorHAnsi"/>
        </w:rPr>
        <w:t>ı</w:t>
      </w:r>
      <w:r w:rsidR="00376E04" w:rsidRPr="003A08D9">
        <w:t>r Assize Court.</w:t>
      </w:r>
    </w:p>
    <w:p w:rsidR="00084AB3"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16</w:t>
      </w:r>
      <w:r w:rsidRPr="003A08D9">
        <w:rPr>
          <w:noProof/>
        </w:rPr>
        <w:fldChar w:fldCharType="end"/>
      </w:r>
      <w:r w:rsidR="00514DA3" w:rsidRPr="003A08D9">
        <w:t>.  </w:t>
      </w:r>
      <w:r w:rsidR="00014126" w:rsidRPr="003A08D9">
        <w:t>On 19 March 2010 a police officer</w:t>
      </w:r>
      <w:r w:rsidR="001F2886" w:rsidRPr="003A08D9">
        <w:t>, O.E.,</w:t>
      </w:r>
      <w:r w:rsidR="00014126" w:rsidRPr="003A08D9">
        <w:t xml:space="preserve"> made statements regarding the </w:t>
      </w:r>
      <w:r w:rsidR="002D6E6B" w:rsidRPr="003A08D9">
        <w:t xml:space="preserve">matters </w:t>
      </w:r>
      <w:r w:rsidR="002745DA" w:rsidRPr="003A08D9">
        <w:t xml:space="preserve">in question to </w:t>
      </w:r>
      <w:r w:rsidR="00014126" w:rsidRPr="003A08D9">
        <w:t>the Diyarbak</w:t>
      </w:r>
      <w:r w:rsidR="00014126" w:rsidRPr="003A08D9">
        <w:rPr>
          <w:rFonts w:cstheme="minorHAnsi"/>
        </w:rPr>
        <w:t>ı</w:t>
      </w:r>
      <w:r w:rsidR="00014126" w:rsidRPr="003A08D9">
        <w:t>r Assize Court</w:t>
      </w:r>
      <w:r w:rsidR="002745DA" w:rsidRPr="003A08D9">
        <w:t xml:space="preserve">, saying </w:t>
      </w:r>
      <w:r w:rsidR="00014126" w:rsidRPr="003A08D9">
        <w:t xml:space="preserve">that he had not been </w:t>
      </w:r>
      <w:r w:rsidR="00186918" w:rsidRPr="003A08D9">
        <w:t xml:space="preserve">present </w:t>
      </w:r>
      <w:r w:rsidR="00014126" w:rsidRPr="003A08D9">
        <w:t xml:space="preserve">at the </w:t>
      </w:r>
      <w:r w:rsidR="00186918" w:rsidRPr="003A08D9">
        <w:t>s</w:t>
      </w:r>
      <w:r w:rsidR="00866751" w:rsidRPr="003A08D9">
        <w:t>cen</w:t>
      </w:r>
      <w:r w:rsidR="00186918" w:rsidRPr="003A08D9">
        <w:t xml:space="preserve">e </w:t>
      </w:r>
      <w:r w:rsidR="00014126" w:rsidRPr="003A08D9">
        <w:t xml:space="preserve">of the arrest and that </w:t>
      </w:r>
      <w:r w:rsidR="00186918" w:rsidRPr="003A08D9">
        <w:t xml:space="preserve">he </w:t>
      </w:r>
      <w:r w:rsidR="00014126" w:rsidRPr="003A08D9">
        <w:t xml:space="preserve">therefore </w:t>
      </w:r>
      <w:r w:rsidR="002745DA" w:rsidRPr="003A08D9">
        <w:t xml:space="preserve">had no </w:t>
      </w:r>
      <w:r w:rsidR="00014126" w:rsidRPr="003A08D9">
        <w:t xml:space="preserve">knowledge </w:t>
      </w:r>
      <w:r w:rsidR="002745DA" w:rsidRPr="003A08D9">
        <w:t>of</w:t>
      </w:r>
      <w:r w:rsidR="00186918" w:rsidRPr="003A08D9">
        <w:t xml:space="preserve"> </w:t>
      </w:r>
      <w:r w:rsidR="00014126" w:rsidRPr="003A08D9">
        <w:t xml:space="preserve">the </w:t>
      </w:r>
      <w:r w:rsidR="00965C3C" w:rsidRPr="003A08D9">
        <w:t>impugned acts</w:t>
      </w:r>
      <w:r w:rsidR="00014126" w:rsidRPr="003A08D9">
        <w:t>.</w:t>
      </w:r>
      <w:r w:rsidR="001F2886" w:rsidRPr="003A08D9">
        <w:t xml:space="preserve"> The applicants contended once again that they had not been involved in any unlawful acts.</w:t>
      </w:r>
    </w:p>
    <w:p w:rsidR="00014126"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17</w:t>
      </w:r>
      <w:r w:rsidRPr="003A08D9">
        <w:rPr>
          <w:noProof/>
        </w:rPr>
        <w:fldChar w:fldCharType="end"/>
      </w:r>
      <w:r w:rsidR="001F2886" w:rsidRPr="003A08D9">
        <w:t>.  </w:t>
      </w:r>
      <w:r w:rsidR="00014126" w:rsidRPr="003A08D9">
        <w:t xml:space="preserve">On 13 May </w:t>
      </w:r>
      <w:r w:rsidR="00514DA3" w:rsidRPr="003A08D9">
        <w:t>2010</w:t>
      </w:r>
      <w:r w:rsidR="00014126" w:rsidRPr="003A08D9">
        <w:t xml:space="preserve"> a witness, Y.T.,</w:t>
      </w:r>
      <w:r w:rsidR="001F2886" w:rsidRPr="003A08D9">
        <w:t xml:space="preserve"> a jeweller,</w:t>
      </w:r>
      <w:r w:rsidR="00014126" w:rsidRPr="003A08D9">
        <w:t xml:space="preserve"> stated before the court that the first applicant</w:t>
      </w:r>
      <w:r w:rsidR="001F2886" w:rsidRPr="003A08D9">
        <w:t>, Nezir Ürek,</w:t>
      </w:r>
      <w:r w:rsidR="00014126" w:rsidRPr="003A08D9">
        <w:t xml:space="preserve"> had </w:t>
      </w:r>
      <w:r w:rsidR="002745DA" w:rsidRPr="003A08D9">
        <w:t xml:space="preserve">gone </w:t>
      </w:r>
      <w:r w:rsidR="00014126" w:rsidRPr="003A08D9">
        <w:t xml:space="preserve">to Cizre in order to sell him </w:t>
      </w:r>
      <w:r w:rsidR="00660CB8" w:rsidRPr="003A08D9">
        <w:t xml:space="preserve">some </w:t>
      </w:r>
      <w:r w:rsidR="00014126" w:rsidRPr="003A08D9">
        <w:t>gold.</w:t>
      </w:r>
      <w:r w:rsidR="001F2886" w:rsidRPr="003A08D9">
        <w:t xml:space="preserve"> According to Y.T., Nezir Ürek had called him prior to his arrival in Cizre and </w:t>
      </w:r>
      <w:r w:rsidR="00F83306" w:rsidRPr="003A08D9">
        <w:t>he had sent his son to meet h</w:t>
      </w:r>
      <w:r w:rsidR="00866751" w:rsidRPr="003A08D9">
        <w:t>im</w:t>
      </w:r>
      <w:r w:rsidR="00F83306" w:rsidRPr="003A08D9">
        <w:t xml:space="preserve"> and buy the gold. Y.T. noted that the first applicant </w:t>
      </w:r>
      <w:r w:rsidR="007E627D" w:rsidRPr="003A08D9">
        <w:t xml:space="preserve">had </w:t>
      </w:r>
      <w:r w:rsidR="00F83306" w:rsidRPr="003A08D9">
        <w:t xml:space="preserve">not </w:t>
      </w:r>
      <w:r w:rsidR="007E627D" w:rsidRPr="003A08D9">
        <w:t xml:space="preserve">been able </w:t>
      </w:r>
      <w:r w:rsidR="00F83306" w:rsidRPr="003A08D9">
        <w:t xml:space="preserve">to </w:t>
      </w:r>
      <w:r w:rsidR="007E627D" w:rsidRPr="003A08D9">
        <w:t xml:space="preserve">go to </w:t>
      </w:r>
      <w:r w:rsidR="00F83306" w:rsidRPr="003A08D9">
        <w:t xml:space="preserve">his shop as shops in the centre of Cizre </w:t>
      </w:r>
      <w:r w:rsidR="002745DA" w:rsidRPr="003A08D9">
        <w:t xml:space="preserve">had been </w:t>
      </w:r>
      <w:r w:rsidR="00F83306" w:rsidRPr="003A08D9">
        <w:t>closed that day.</w:t>
      </w:r>
      <w:r w:rsidR="001F2886" w:rsidRPr="003A08D9">
        <w:t xml:space="preserve"> </w:t>
      </w:r>
      <w:r w:rsidR="00F83306" w:rsidRPr="003A08D9">
        <w:t xml:space="preserve">At the end of the hearing the court </w:t>
      </w:r>
      <w:r w:rsidR="00F83306" w:rsidRPr="003A08D9">
        <w:lastRenderedPageBreak/>
        <w:t>issued a summon</w:t>
      </w:r>
      <w:r w:rsidR="005E5DCE" w:rsidRPr="003A08D9">
        <w:t>s</w:t>
      </w:r>
      <w:r w:rsidR="00F83306" w:rsidRPr="003A08D9">
        <w:t xml:space="preserve"> requiring the police officers who had signed the arrest report to give evidence </w:t>
      </w:r>
      <w:r w:rsidR="002745DA" w:rsidRPr="003A08D9">
        <w:t>at</w:t>
      </w:r>
      <w:r w:rsidR="00F83306" w:rsidRPr="003A08D9">
        <w:t xml:space="preserve"> the next hearing, which w</w:t>
      </w:r>
      <w:r w:rsidR="002745DA" w:rsidRPr="003A08D9">
        <w:t xml:space="preserve">as to </w:t>
      </w:r>
      <w:r w:rsidR="00F83306" w:rsidRPr="003A08D9">
        <w:t>be held on 24</w:t>
      </w:r>
      <w:r w:rsidR="002A4435" w:rsidRPr="003A08D9">
        <w:t> </w:t>
      </w:r>
      <w:r w:rsidR="00F83306" w:rsidRPr="003A08D9">
        <w:t>June 2010.</w:t>
      </w:r>
    </w:p>
    <w:bookmarkStart w:id="3" w:name="policestatementsb4court"/>
    <w:p w:rsidR="00014126"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18</w:t>
      </w:r>
      <w:r w:rsidRPr="003A08D9">
        <w:rPr>
          <w:noProof/>
        </w:rPr>
        <w:fldChar w:fldCharType="end"/>
      </w:r>
      <w:bookmarkEnd w:id="3"/>
      <w:r w:rsidR="00F83306" w:rsidRPr="003A08D9">
        <w:t>.  </w:t>
      </w:r>
      <w:r w:rsidR="00014126" w:rsidRPr="003A08D9">
        <w:t xml:space="preserve">On 1 June 2010 </w:t>
      </w:r>
      <w:r w:rsidR="00F83306" w:rsidRPr="003A08D9">
        <w:t>eight</w:t>
      </w:r>
      <w:r w:rsidR="00014126" w:rsidRPr="003A08D9">
        <w:t xml:space="preserve"> police officers</w:t>
      </w:r>
      <w:r w:rsidR="00920F68" w:rsidRPr="003A08D9">
        <w:t xml:space="preserve"> </w:t>
      </w:r>
      <w:r w:rsidR="002727DA" w:rsidRPr="003A08D9">
        <w:t>who had carried out the applicants</w:t>
      </w:r>
      <w:r w:rsidR="003A08D9" w:rsidRPr="003A08D9">
        <w:t>’</w:t>
      </w:r>
      <w:r w:rsidR="002727DA" w:rsidRPr="003A08D9">
        <w:t xml:space="preserve"> arrest </w:t>
      </w:r>
      <w:r w:rsidR="00D06616" w:rsidRPr="003A08D9">
        <w:t>spontaneously</w:t>
      </w:r>
      <w:r w:rsidR="00FE3C02" w:rsidRPr="003A08D9">
        <w:t xml:space="preserve"> attended to give</w:t>
      </w:r>
      <w:r w:rsidR="00920F68" w:rsidRPr="003A08D9">
        <w:t xml:space="preserve"> evidence before the first</w:t>
      </w:r>
      <w:r w:rsidR="00920F68" w:rsidRPr="003A08D9">
        <w:noBreakHyphen/>
      </w:r>
      <w:r w:rsidR="00014126" w:rsidRPr="003A08D9">
        <w:t>instance court</w:t>
      </w:r>
      <w:r w:rsidR="00EF0A6A" w:rsidRPr="003A08D9">
        <w:t>,</w:t>
      </w:r>
      <w:r w:rsidR="00014126" w:rsidRPr="003A08D9">
        <w:t xml:space="preserve"> without the attendance of the applicants </w:t>
      </w:r>
      <w:r w:rsidR="007E627D" w:rsidRPr="003A08D9">
        <w:t xml:space="preserve">or </w:t>
      </w:r>
      <w:r w:rsidR="00014126" w:rsidRPr="003A08D9">
        <w:t>their lawyers.</w:t>
      </w:r>
      <w:r w:rsidR="00F83306" w:rsidRPr="003A08D9">
        <w:t xml:space="preserve"> </w:t>
      </w:r>
      <w:r w:rsidR="00581FE4" w:rsidRPr="003A08D9">
        <w:t>According</w:t>
      </w:r>
      <w:r w:rsidR="00F83306" w:rsidRPr="003A08D9">
        <w:t xml:space="preserve"> to the </w:t>
      </w:r>
      <w:r w:rsidR="002745DA" w:rsidRPr="003A08D9">
        <w:t>transcript of the hearing</w:t>
      </w:r>
      <w:r w:rsidR="00F83306" w:rsidRPr="003A08D9">
        <w:t>, the</w:t>
      </w:r>
      <w:r w:rsidR="00B02FB0" w:rsidRPr="003A08D9">
        <w:t>y</w:t>
      </w:r>
      <w:r w:rsidR="00F83306" w:rsidRPr="003A08D9">
        <w:t xml:space="preserve"> </w:t>
      </w:r>
      <w:r w:rsidR="00581FE4" w:rsidRPr="003A08D9">
        <w:t xml:space="preserve">stated that the day of the hearing had been notified to them as 1 June 2010. They contended that they would not be able to </w:t>
      </w:r>
      <w:r w:rsidR="007E627D" w:rsidRPr="003A08D9">
        <w:t xml:space="preserve">go back </w:t>
      </w:r>
      <w:r w:rsidR="008D1FB7" w:rsidRPr="003A08D9">
        <w:t xml:space="preserve">to the court </w:t>
      </w:r>
      <w:r w:rsidR="00581FE4" w:rsidRPr="003A08D9">
        <w:t>on 24</w:t>
      </w:r>
      <w:r w:rsidR="002A4435" w:rsidRPr="003A08D9">
        <w:t xml:space="preserve"> </w:t>
      </w:r>
      <w:r w:rsidR="00581FE4" w:rsidRPr="003A08D9">
        <w:t xml:space="preserve">June 2010 </w:t>
      </w:r>
      <w:r w:rsidR="007E627D" w:rsidRPr="003A08D9">
        <w:t xml:space="preserve">because </w:t>
      </w:r>
      <w:r w:rsidR="00581FE4" w:rsidRPr="003A08D9">
        <w:t>the</w:t>
      </w:r>
      <w:r w:rsidR="007E627D" w:rsidRPr="003A08D9">
        <w:t xml:space="preserve">y were stationed in </w:t>
      </w:r>
      <w:r w:rsidR="00581FE4" w:rsidRPr="003A08D9">
        <w:rPr>
          <w:rFonts w:cstheme="minorHAnsi"/>
        </w:rPr>
        <w:t>Şı</w:t>
      </w:r>
      <w:r w:rsidR="00581FE4" w:rsidRPr="003A08D9">
        <w:t xml:space="preserve">rnak, </w:t>
      </w:r>
      <w:r w:rsidR="007E627D" w:rsidRPr="003A08D9">
        <w:t xml:space="preserve">which </w:t>
      </w:r>
      <w:r w:rsidR="00581FE4" w:rsidRPr="003A08D9">
        <w:t xml:space="preserve">was far </w:t>
      </w:r>
      <w:r w:rsidR="002745DA" w:rsidRPr="003A08D9">
        <w:t>away</w:t>
      </w:r>
      <w:r w:rsidR="007E627D" w:rsidRPr="003A08D9">
        <w:t>,</w:t>
      </w:r>
      <w:r w:rsidR="002745DA" w:rsidRPr="003A08D9">
        <w:t xml:space="preserve"> </w:t>
      </w:r>
      <w:r w:rsidR="00581FE4" w:rsidRPr="003A08D9">
        <w:t xml:space="preserve">and they </w:t>
      </w:r>
      <w:r w:rsidR="00F83306" w:rsidRPr="003A08D9">
        <w:t xml:space="preserve">would be on duty on </w:t>
      </w:r>
      <w:r w:rsidR="00581FE4" w:rsidRPr="003A08D9">
        <w:t>the day of the hearing</w:t>
      </w:r>
      <w:r w:rsidR="00F83306" w:rsidRPr="003A08D9">
        <w:t xml:space="preserve">. The </w:t>
      </w:r>
      <w:r w:rsidR="00581FE4" w:rsidRPr="003A08D9">
        <w:t>Diyarbak</w:t>
      </w:r>
      <w:r w:rsidR="00581FE4" w:rsidRPr="003A08D9">
        <w:rPr>
          <w:rFonts w:cstheme="minorHAnsi"/>
        </w:rPr>
        <w:t>ı</w:t>
      </w:r>
      <w:r w:rsidR="00581FE4" w:rsidRPr="003A08D9">
        <w:t xml:space="preserve">r Assize Court took note of the reasons </w:t>
      </w:r>
      <w:r w:rsidR="002745DA" w:rsidRPr="003A08D9">
        <w:t xml:space="preserve">given </w:t>
      </w:r>
      <w:r w:rsidR="00581FE4" w:rsidRPr="003A08D9">
        <w:t xml:space="preserve">by the police officers and </w:t>
      </w:r>
      <w:r w:rsidR="00B02FB0" w:rsidRPr="003A08D9">
        <w:t>accepted</w:t>
      </w:r>
      <w:r w:rsidR="001E2F5A" w:rsidRPr="003A08D9">
        <w:t xml:space="preserve"> to </w:t>
      </w:r>
      <w:r w:rsidR="00581FE4" w:rsidRPr="003A08D9">
        <w:t>obtain</w:t>
      </w:r>
      <w:r w:rsidR="001E2F5A" w:rsidRPr="003A08D9">
        <w:t xml:space="preserve"> their statements in the</w:t>
      </w:r>
      <w:r w:rsidR="00581FE4" w:rsidRPr="003A08D9">
        <w:t xml:space="preserve"> presence of the public prosecutor</w:t>
      </w:r>
      <w:r w:rsidR="002745DA" w:rsidRPr="003A08D9">
        <w:t xml:space="preserve">, but </w:t>
      </w:r>
      <w:r w:rsidR="00581FE4" w:rsidRPr="003A08D9">
        <w:t>in the</w:t>
      </w:r>
      <w:r w:rsidR="001E2F5A" w:rsidRPr="003A08D9">
        <w:t xml:space="preserve"> absence of the applicants and their lawyers. In their statements</w:t>
      </w:r>
      <w:r w:rsidR="00924E3D" w:rsidRPr="003A08D9">
        <w:t>, five</w:t>
      </w:r>
      <w:r w:rsidR="00014126" w:rsidRPr="003A08D9">
        <w:t xml:space="preserve"> of the officers </w:t>
      </w:r>
      <w:r w:rsidR="002745DA" w:rsidRPr="003A08D9">
        <w:t xml:space="preserve">stated </w:t>
      </w:r>
      <w:r w:rsidR="00014126" w:rsidRPr="003A08D9">
        <w:t xml:space="preserve">that they had not seen the applicants or the other arrestees throwing stones or Molotov cocktails during the clashes. They noted that when they had </w:t>
      </w:r>
      <w:r w:rsidR="002745DA" w:rsidRPr="003A08D9">
        <w:t xml:space="preserve">carried out </w:t>
      </w:r>
      <w:r w:rsidR="00014126" w:rsidRPr="003A08D9">
        <w:t>the arrest, some demonstrators had had lemons in their hands (in order to protect</w:t>
      </w:r>
      <w:r w:rsidR="002745DA" w:rsidRPr="003A08D9">
        <w:t xml:space="preserve"> themselves </w:t>
      </w:r>
      <w:r w:rsidR="00014126" w:rsidRPr="003A08D9">
        <w:t xml:space="preserve">against the tear gas) and </w:t>
      </w:r>
      <w:r w:rsidR="002745DA" w:rsidRPr="003A08D9">
        <w:t xml:space="preserve">that </w:t>
      </w:r>
      <w:r w:rsidR="00014126" w:rsidRPr="003A08D9">
        <w:t xml:space="preserve">there had been banners and sheets of paper containing slogans in the </w:t>
      </w:r>
      <w:r w:rsidR="002745DA" w:rsidRPr="003A08D9">
        <w:t>shed</w:t>
      </w:r>
      <w:r w:rsidR="00014126" w:rsidRPr="003A08D9">
        <w:t xml:space="preserve">. One officer submitted that he had </w:t>
      </w:r>
      <w:r w:rsidR="001E2F5A" w:rsidRPr="003A08D9">
        <w:t xml:space="preserve">not </w:t>
      </w:r>
      <w:r w:rsidR="00014126" w:rsidRPr="003A08D9">
        <w:t xml:space="preserve">seen </w:t>
      </w:r>
      <w:r w:rsidR="001E2F5A" w:rsidRPr="003A08D9">
        <w:t xml:space="preserve">the arrestees </w:t>
      </w:r>
      <w:r w:rsidR="00014126" w:rsidRPr="003A08D9">
        <w:t>throwing stones at the police</w:t>
      </w:r>
      <w:r w:rsidR="002745DA" w:rsidRPr="003A08D9">
        <w:t>,</w:t>
      </w:r>
      <w:r w:rsidR="001E2F5A" w:rsidRPr="003A08D9">
        <w:t xml:space="preserve"> but </w:t>
      </w:r>
      <w:r w:rsidR="002745DA" w:rsidRPr="003A08D9">
        <w:t xml:space="preserve">that they had been </w:t>
      </w:r>
      <w:r w:rsidR="001E2F5A" w:rsidRPr="003A08D9">
        <w:t>carrying banners</w:t>
      </w:r>
      <w:r w:rsidR="00014126" w:rsidRPr="003A08D9">
        <w:t>. Two</w:t>
      </w:r>
      <w:r w:rsidR="00E6556B" w:rsidRPr="003A08D9">
        <w:t xml:space="preserve"> police</w:t>
      </w:r>
      <w:r w:rsidR="00014126" w:rsidRPr="003A08D9">
        <w:t xml:space="preserve"> officers,</w:t>
      </w:r>
      <w:r w:rsidR="00E6556B" w:rsidRPr="003A08D9">
        <w:t xml:space="preserve"> A.A.K. and G.</w:t>
      </w:r>
      <w:r w:rsidR="00E6556B" w:rsidRPr="003A08D9">
        <w:rPr>
          <w:rFonts w:cstheme="minorHAnsi"/>
        </w:rPr>
        <w:t>İ</w:t>
      </w:r>
      <w:r w:rsidR="00E6556B" w:rsidRPr="003A08D9">
        <w:t>.,</w:t>
      </w:r>
      <w:r w:rsidR="00014126" w:rsidRPr="003A08D9">
        <w:t xml:space="preserve"> on the other hand, contended that they had seen all </w:t>
      </w:r>
      <w:r w:rsidR="001E2F5A" w:rsidRPr="003A08D9">
        <w:t xml:space="preserve">six </w:t>
      </w:r>
      <w:r w:rsidR="00014126" w:rsidRPr="003A08D9">
        <w:t xml:space="preserve">arrestees </w:t>
      </w:r>
      <w:r w:rsidR="001E2F5A" w:rsidRPr="003A08D9">
        <w:t>throwing</w:t>
      </w:r>
      <w:r w:rsidR="00014126" w:rsidRPr="003A08D9">
        <w:t xml:space="preserve"> stones and chanting illegal slogans during the </w:t>
      </w:r>
      <w:r w:rsidR="001E2F5A" w:rsidRPr="003A08D9">
        <w:t>demonstration</w:t>
      </w:r>
      <w:r w:rsidR="00FF0D45" w:rsidRPr="003A08D9">
        <w:t>, different than their statements made during the investigation stage.</w:t>
      </w:r>
    </w:p>
    <w:bookmarkStart w:id="4" w:name="crossexaminerequest"/>
    <w:p w:rsidR="00014126"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19</w:t>
      </w:r>
      <w:r w:rsidRPr="003A08D9">
        <w:rPr>
          <w:noProof/>
        </w:rPr>
        <w:fldChar w:fldCharType="end"/>
      </w:r>
      <w:bookmarkEnd w:id="4"/>
      <w:r w:rsidR="001E2F5A" w:rsidRPr="003A08D9">
        <w:t>.  </w:t>
      </w:r>
      <w:r w:rsidR="00014126" w:rsidRPr="003A08D9">
        <w:t>During the hearing held on 24 June 2010,</w:t>
      </w:r>
      <w:r w:rsidR="001E2F5A" w:rsidRPr="003A08D9">
        <w:t xml:space="preserve"> the arresting officers</w:t>
      </w:r>
      <w:r w:rsidR="003A08D9" w:rsidRPr="003A08D9">
        <w:t>’</w:t>
      </w:r>
      <w:r w:rsidR="001E2F5A" w:rsidRPr="003A08D9">
        <w:t xml:space="preserve"> statements were read out to the applicants, </w:t>
      </w:r>
      <w:r w:rsidR="007E627D" w:rsidRPr="003A08D9">
        <w:t xml:space="preserve">the </w:t>
      </w:r>
      <w:r w:rsidR="001E2F5A" w:rsidRPr="003A08D9">
        <w:t>other accused and their lawyers.</w:t>
      </w:r>
      <w:r w:rsidR="00014126" w:rsidRPr="003A08D9">
        <w:t xml:space="preserve"> </w:t>
      </w:r>
      <w:r w:rsidR="001E2F5A" w:rsidRPr="003A08D9">
        <w:t xml:space="preserve">The </w:t>
      </w:r>
      <w:r w:rsidR="00014126" w:rsidRPr="003A08D9">
        <w:t>applicants objected to the police officers</w:t>
      </w:r>
      <w:r w:rsidR="003A08D9" w:rsidRPr="003A08D9">
        <w:t>’</w:t>
      </w:r>
      <w:r w:rsidR="007E627D" w:rsidRPr="003A08D9">
        <w:t xml:space="preserve"> statements</w:t>
      </w:r>
      <w:r w:rsidR="00014126" w:rsidRPr="003A08D9">
        <w:t xml:space="preserve">, </w:t>
      </w:r>
      <w:r w:rsidR="002745DA" w:rsidRPr="003A08D9">
        <w:t xml:space="preserve">stating </w:t>
      </w:r>
      <w:r w:rsidR="00014126" w:rsidRPr="003A08D9">
        <w:t>that they had been deprived of their right to cross-examine those witnesses.</w:t>
      </w:r>
      <w:r w:rsidR="001E2F5A" w:rsidRPr="003A08D9">
        <w:t xml:space="preserve"> They asked the court to re-</w:t>
      </w:r>
      <w:r w:rsidR="007E627D" w:rsidRPr="003A08D9">
        <w:t xml:space="preserve">examine </w:t>
      </w:r>
      <w:r w:rsidR="001E2F5A" w:rsidRPr="003A08D9">
        <w:t xml:space="preserve">the police officers in their presence. </w:t>
      </w:r>
      <w:r w:rsidR="004D48AC" w:rsidRPr="003A08D9">
        <w:t xml:space="preserve">The </w:t>
      </w:r>
      <w:r w:rsidR="008D1FB7" w:rsidRPr="003A08D9">
        <w:t>A</w:t>
      </w:r>
      <w:r w:rsidR="004D48AC" w:rsidRPr="003A08D9">
        <w:t xml:space="preserve">ssize </w:t>
      </w:r>
      <w:r w:rsidR="008D1FB7" w:rsidRPr="003A08D9">
        <w:t>C</w:t>
      </w:r>
      <w:r w:rsidR="004D48AC" w:rsidRPr="003A08D9">
        <w:t>ourt did not take a decision on the applicants</w:t>
      </w:r>
      <w:r w:rsidR="003A08D9" w:rsidRPr="003A08D9">
        <w:t>’</w:t>
      </w:r>
      <w:r w:rsidR="004D48AC" w:rsidRPr="003A08D9">
        <w:t xml:space="preserve"> request.</w:t>
      </w:r>
    </w:p>
    <w:bookmarkStart w:id="5" w:name="hearing30september2010"/>
    <w:p w:rsidR="00084AB3" w:rsidRPr="003A08D9" w:rsidRDefault="00F552AF"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20</w:t>
      </w:r>
      <w:r w:rsidRPr="003A08D9">
        <w:fldChar w:fldCharType="end"/>
      </w:r>
      <w:bookmarkEnd w:id="5"/>
      <w:r w:rsidRPr="003A08D9">
        <w:t>.  </w:t>
      </w:r>
      <w:r w:rsidR="003C0806" w:rsidRPr="003A08D9">
        <w:t xml:space="preserve">During </w:t>
      </w:r>
      <w:r w:rsidR="005F0E34" w:rsidRPr="003A08D9">
        <w:t xml:space="preserve">a </w:t>
      </w:r>
      <w:r w:rsidR="003C0806" w:rsidRPr="003A08D9">
        <w:t>hearing</w:t>
      </w:r>
      <w:r w:rsidRPr="003A08D9">
        <w:t xml:space="preserve"> held on 30 September 2010</w:t>
      </w:r>
      <w:r w:rsidR="003C0806" w:rsidRPr="003A08D9">
        <w:t>, the lawy</w:t>
      </w:r>
      <w:r w:rsidR="00CC1752" w:rsidRPr="003A08D9">
        <w:t>er of one of the applicants</w:t>
      </w:r>
      <w:r w:rsidR="003A08D9" w:rsidRPr="003A08D9">
        <w:t>’</w:t>
      </w:r>
      <w:r w:rsidR="00CC1752" w:rsidRPr="003A08D9">
        <w:t xml:space="preserve"> co</w:t>
      </w:r>
      <w:r w:rsidR="00CC1752" w:rsidRPr="003A08D9">
        <w:noBreakHyphen/>
      </w:r>
      <w:r w:rsidR="003C0806" w:rsidRPr="003A08D9">
        <w:t xml:space="preserve">accused asked the court to </w:t>
      </w:r>
      <w:r w:rsidR="008D1FB7" w:rsidRPr="003A08D9">
        <w:t xml:space="preserve">order </w:t>
      </w:r>
      <w:r w:rsidR="003C0806" w:rsidRPr="003A08D9">
        <w:t xml:space="preserve">the police officers who had been </w:t>
      </w:r>
      <w:r w:rsidR="003C0628" w:rsidRPr="003A08D9">
        <w:t xml:space="preserve">examined </w:t>
      </w:r>
      <w:r w:rsidR="003C0806" w:rsidRPr="003A08D9">
        <w:t>by the court on 1 June 2010 to attend a hearing in the accused</w:t>
      </w:r>
      <w:r w:rsidR="003A08D9" w:rsidRPr="003A08D9">
        <w:t>’</w:t>
      </w:r>
      <w:r w:rsidR="003C0806" w:rsidRPr="003A08D9">
        <w:t xml:space="preserve">s presence. The lawyer requested </w:t>
      </w:r>
      <w:r w:rsidR="008D1FB7" w:rsidRPr="003A08D9">
        <w:t xml:space="preserve">that he </w:t>
      </w:r>
      <w:r w:rsidR="003C0806" w:rsidRPr="003A08D9">
        <w:t xml:space="preserve">be allowed to question the witnesses. At the end of the hearing the </w:t>
      </w:r>
      <w:r w:rsidR="008D1FB7" w:rsidRPr="003A08D9">
        <w:t>A</w:t>
      </w:r>
      <w:r w:rsidR="003C0806" w:rsidRPr="003A08D9">
        <w:t xml:space="preserve">ssize </w:t>
      </w:r>
      <w:r w:rsidR="008D1FB7" w:rsidRPr="003A08D9">
        <w:t>C</w:t>
      </w:r>
      <w:r w:rsidR="003C0806" w:rsidRPr="003A08D9">
        <w:t xml:space="preserve">ourt dismissed the </w:t>
      </w:r>
      <w:r w:rsidR="00AC2489" w:rsidRPr="003A08D9">
        <w:t>request</w:t>
      </w:r>
      <w:r w:rsidR="008938D8" w:rsidRPr="003A08D9">
        <w:t xml:space="preserve"> without providing any reasons</w:t>
      </w:r>
      <w:r w:rsidR="00AC2489" w:rsidRPr="003A08D9">
        <w:t>.</w:t>
      </w:r>
    </w:p>
    <w:p w:rsidR="00867D8C"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21</w:t>
      </w:r>
      <w:r w:rsidRPr="003A08D9">
        <w:rPr>
          <w:noProof/>
        </w:rPr>
        <w:fldChar w:fldCharType="end"/>
      </w:r>
      <w:r w:rsidR="004D48AC" w:rsidRPr="003A08D9">
        <w:t>.  On 3 December 2010 the applicants made their defence submissions. The first applicant submitted that he was a retired public official and had been in Cizre in o</w:t>
      </w:r>
      <w:r w:rsidR="00CD5864" w:rsidRPr="003A08D9">
        <w:t>r</w:t>
      </w:r>
      <w:r w:rsidR="004D48AC" w:rsidRPr="003A08D9">
        <w:t xml:space="preserve">der to sell </w:t>
      </w:r>
      <w:r w:rsidR="009F4E8C" w:rsidRPr="003A08D9">
        <w:t xml:space="preserve">some </w:t>
      </w:r>
      <w:r w:rsidR="004D48AC" w:rsidRPr="003A08D9">
        <w:t xml:space="preserve">gold. He stated that he had not been involved in the clashes between </w:t>
      </w:r>
      <w:r w:rsidR="00E266AE" w:rsidRPr="003A08D9">
        <w:t xml:space="preserve">the </w:t>
      </w:r>
      <w:r w:rsidR="004D48AC" w:rsidRPr="003A08D9">
        <w:t>demonstrators and the security forces and that he had not thrown stones at the</w:t>
      </w:r>
      <w:r w:rsidR="00E266AE" w:rsidRPr="003A08D9">
        <w:t xml:space="preserve"> </w:t>
      </w:r>
      <w:r w:rsidR="004D48AC" w:rsidRPr="003A08D9">
        <w:t>police.</w:t>
      </w:r>
    </w:p>
    <w:p w:rsidR="00867D8C" w:rsidRPr="003A08D9" w:rsidRDefault="004D48AC" w:rsidP="003A08D9">
      <w:pPr>
        <w:pStyle w:val="JuPara"/>
      </w:pPr>
      <w:r w:rsidRPr="003A08D9">
        <w:t xml:space="preserve">The second applicant stated that he had </w:t>
      </w:r>
      <w:r w:rsidR="00E266AE" w:rsidRPr="003A08D9">
        <w:t xml:space="preserve">gone </w:t>
      </w:r>
      <w:r w:rsidRPr="003A08D9">
        <w:t xml:space="preserve">to Cizre to do </w:t>
      </w:r>
      <w:r w:rsidR="00E266AE" w:rsidRPr="003A08D9">
        <w:t xml:space="preserve">some </w:t>
      </w:r>
      <w:r w:rsidRPr="003A08D9">
        <w:t xml:space="preserve">shopping and </w:t>
      </w:r>
      <w:r w:rsidR="00E266AE" w:rsidRPr="003A08D9">
        <w:t xml:space="preserve">had </w:t>
      </w:r>
      <w:r w:rsidRPr="003A08D9">
        <w:t xml:space="preserve">found himself in the </w:t>
      </w:r>
      <w:r w:rsidR="00E266AE" w:rsidRPr="003A08D9">
        <w:t xml:space="preserve">middle of the </w:t>
      </w:r>
      <w:r w:rsidRPr="003A08D9">
        <w:t xml:space="preserve">demonstration. He </w:t>
      </w:r>
      <w:r w:rsidRPr="003A08D9">
        <w:lastRenderedPageBreak/>
        <w:t xml:space="preserve">noted that he was an old man and that he had gone to the </w:t>
      </w:r>
      <w:r w:rsidR="00E266AE" w:rsidRPr="003A08D9">
        <w:t xml:space="preserve">shed </w:t>
      </w:r>
      <w:r w:rsidRPr="003A08D9">
        <w:t xml:space="preserve">in order to </w:t>
      </w:r>
      <w:r w:rsidR="00E266AE" w:rsidRPr="003A08D9">
        <w:t xml:space="preserve">escape </w:t>
      </w:r>
      <w:r w:rsidR="009F4E8C" w:rsidRPr="003A08D9">
        <w:t xml:space="preserve">from </w:t>
      </w:r>
      <w:r w:rsidR="00E266AE" w:rsidRPr="003A08D9">
        <w:t xml:space="preserve">the </w:t>
      </w:r>
      <w:r w:rsidRPr="003A08D9">
        <w:t>tear</w:t>
      </w:r>
      <w:r w:rsidR="001805A1" w:rsidRPr="003A08D9">
        <w:t xml:space="preserve"> </w:t>
      </w:r>
      <w:r w:rsidRPr="003A08D9">
        <w:t>gas.</w:t>
      </w:r>
    </w:p>
    <w:p w:rsidR="004D48AC" w:rsidRPr="003A08D9" w:rsidRDefault="004D48AC" w:rsidP="003A08D9">
      <w:pPr>
        <w:pStyle w:val="JuPara"/>
      </w:pPr>
      <w:r w:rsidRPr="003A08D9">
        <w:t>The applicants</w:t>
      </w:r>
      <w:r w:rsidR="003A08D9" w:rsidRPr="003A08D9">
        <w:t>’</w:t>
      </w:r>
      <w:r w:rsidRPr="003A08D9">
        <w:t xml:space="preserve"> lawyer contended that the arresting police officers </w:t>
      </w:r>
      <w:r w:rsidR="00075E25" w:rsidRPr="003A08D9">
        <w:t xml:space="preserve">who had given evidence against the applicants </w:t>
      </w:r>
      <w:r w:rsidR="00E266AE" w:rsidRPr="003A08D9">
        <w:t>c</w:t>
      </w:r>
      <w:r w:rsidRPr="003A08D9">
        <w:t>o</w:t>
      </w:r>
      <w:r w:rsidR="00075E25" w:rsidRPr="003A08D9">
        <w:t>uld have been mistaken about them</w:t>
      </w:r>
      <w:r w:rsidRPr="003A08D9">
        <w:t xml:space="preserve">. She stated that the telephone conversations between the first applicant and Y.T. </w:t>
      </w:r>
      <w:r w:rsidR="00E266AE" w:rsidRPr="003A08D9">
        <w:t xml:space="preserve">had </w:t>
      </w:r>
      <w:r w:rsidR="00B02FB0" w:rsidRPr="003A08D9">
        <w:t>proved</w:t>
      </w:r>
      <w:r w:rsidRPr="003A08D9">
        <w:t xml:space="preserve"> that he had been in Cizre to sell </w:t>
      </w:r>
      <w:r w:rsidR="009F4E8C" w:rsidRPr="003A08D9">
        <w:t xml:space="preserve">some </w:t>
      </w:r>
      <w:r w:rsidRPr="003A08D9">
        <w:t xml:space="preserve">gold. According to the lawyer, </w:t>
      </w:r>
      <w:r w:rsidR="00075E25" w:rsidRPr="003A08D9">
        <w:t xml:space="preserve">there was </w:t>
      </w:r>
      <w:r w:rsidR="009F4E8C" w:rsidRPr="003A08D9">
        <w:t xml:space="preserve">in any case </w:t>
      </w:r>
      <w:r w:rsidR="00075E25" w:rsidRPr="003A08D9">
        <w:t>no evidence in the case file demonstrating that the applicants had committed an offence on behalf of a terrorist organisation.</w:t>
      </w:r>
    </w:p>
    <w:bookmarkStart w:id="6" w:name="judgment"/>
    <w:p w:rsidR="00FA35A6"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22</w:t>
      </w:r>
      <w:r w:rsidRPr="003A08D9">
        <w:rPr>
          <w:noProof/>
        </w:rPr>
        <w:fldChar w:fldCharType="end"/>
      </w:r>
      <w:bookmarkEnd w:id="6"/>
      <w:r w:rsidR="004D48AC" w:rsidRPr="003A08D9">
        <w:t>.  </w:t>
      </w:r>
      <w:r w:rsidR="00014126" w:rsidRPr="003A08D9">
        <w:t xml:space="preserve">On </w:t>
      </w:r>
      <w:r w:rsidR="00AB7A38" w:rsidRPr="003A08D9">
        <w:t>the same day</w:t>
      </w:r>
      <w:r w:rsidR="00014126" w:rsidRPr="003A08D9">
        <w:t xml:space="preserve"> the Diyarbak</w:t>
      </w:r>
      <w:r w:rsidR="00014126" w:rsidRPr="003A08D9">
        <w:rPr>
          <w:rFonts w:cstheme="minorHAnsi"/>
        </w:rPr>
        <w:t>ı</w:t>
      </w:r>
      <w:r w:rsidR="00014126" w:rsidRPr="003A08D9">
        <w:t>r Assize Court ren</w:t>
      </w:r>
      <w:r w:rsidR="009C4B27" w:rsidRPr="003A08D9">
        <w:t>dered its judgment</w:t>
      </w:r>
      <w:r w:rsidR="00E73625" w:rsidRPr="003A08D9">
        <w:t xml:space="preserve">. </w:t>
      </w:r>
      <w:r w:rsidR="00E266AE" w:rsidRPr="003A08D9">
        <w:t xml:space="preserve">It </w:t>
      </w:r>
      <w:r w:rsidR="00E73625" w:rsidRPr="003A08D9">
        <w:t>acquitted the applicants of the charge of carrying explosive materials</w:t>
      </w:r>
      <w:r w:rsidR="00E266AE" w:rsidRPr="003A08D9">
        <w:t>,</w:t>
      </w:r>
      <w:r w:rsidR="00E73625" w:rsidRPr="003A08D9">
        <w:t xml:space="preserve"> brought under </w:t>
      </w:r>
      <w:r w:rsidR="00DD2AC9" w:rsidRPr="003A08D9">
        <w:t xml:space="preserve">Article </w:t>
      </w:r>
      <w:r w:rsidR="00E73625" w:rsidRPr="003A08D9">
        <w:t xml:space="preserve">174 of the Criminal Code. </w:t>
      </w:r>
      <w:r w:rsidR="00E266AE" w:rsidRPr="003A08D9">
        <w:t>However</w:t>
      </w:r>
      <w:r w:rsidR="00E73625" w:rsidRPr="003A08D9">
        <w:t xml:space="preserve">, </w:t>
      </w:r>
      <w:r w:rsidR="00FA35A6" w:rsidRPr="003A08D9">
        <w:t xml:space="preserve">the applicants </w:t>
      </w:r>
      <w:r w:rsidR="009514C4" w:rsidRPr="003A08D9">
        <w:t xml:space="preserve">were convicted </w:t>
      </w:r>
      <w:r w:rsidR="00FA35A6" w:rsidRPr="003A08D9">
        <w:t>of:</w:t>
      </w:r>
    </w:p>
    <w:p w:rsidR="00FA35A6" w:rsidRPr="003A08D9" w:rsidRDefault="00FA35A6" w:rsidP="003A08D9">
      <w:pPr>
        <w:pStyle w:val="JuPara"/>
      </w:pPr>
      <w:r w:rsidRPr="003A08D9">
        <w:t>(a)</w:t>
      </w:r>
      <w:r w:rsidR="002A4435" w:rsidRPr="003A08D9">
        <w:t>  </w:t>
      </w:r>
      <w:r w:rsidR="00E73625" w:rsidRPr="003A08D9">
        <w:t>disseminating propaganda in support of a terrorist organisation</w:t>
      </w:r>
      <w:r w:rsidR="00E266AE" w:rsidRPr="003A08D9">
        <w:t xml:space="preserve">, </w:t>
      </w:r>
      <w:r w:rsidR="00C44F70" w:rsidRPr="003A08D9">
        <w:t>contrary to</w:t>
      </w:r>
      <w:r w:rsidR="00E266AE" w:rsidRPr="003A08D9">
        <w:t xml:space="preserve"> </w:t>
      </w:r>
      <w:r w:rsidR="00E73625" w:rsidRPr="003A08D9">
        <w:t>section 7(2) of Law no. 3713</w:t>
      </w:r>
      <w:r w:rsidR="00E266AE" w:rsidRPr="003A08D9">
        <w:t>,</w:t>
      </w:r>
      <w:r w:rsidR="00E73625" w:rsidRPr="003A08D9">
        <w:t xml:space="preserve"> </w:t>
      </w:r>
      <w:r w:rsidR="00C44F70" w:rsidRPr="003A08D9">
        <w:t xml:space="preserve">resulting in a </w:t>
      </w:r>
      <w:r w:rsidR="00E73625" w:rsidRPr="003A08D9">
        <w:t xml:space="preserve">sentence </w:t>
      </w:r>
      <w:r w:rsidR="00C44F70" w:rsidRPr="003A08D9">
        <w:t>of</w:t>
      </w:r>
      <w:r w:rsidR="00E73625" w:rsidRPr="003A08D9">
        <w:t xml:space="preserve"> ten months</w:t>
      </w:r>
      <w:r w:rsidR="003A08D9" w:rsidRPr="003A08D9">
        <w:t>’</w:t>
      </w:r>
      <w:r w:rsidRPr="003A08D9">
        <w:t xml:space="preserve"> imprisonment</w:t>
      </w:r>
      <w:r w:rsidR="009514C4" w:rsidRPr="003A08D9">
        <w:t xml:space="preserve"> each</w:t>
      </w:r>
      <w:r w:rsidRPr="003A08D9">
        <w:t>;</w:t>
      </w:r>
    </w:p>
    <w:p w:rsidR="00FA35A6" w:rsidRPr="003A08D9" w:rsidRDefault="00FA35A6" w:rsidP="003A08D9">
      <w:pPr>
        <w:pStyle w:val="JuPara"/>
      </w:pPr>
      <w:r w:rsidRPr="003A08D9">
        <w:t>(b)</w:t>
      </w:r>
      <w:r w:rsidR="002A4435" w:rsidRPr="003A08D9">
        <w:t>  </w:t>
      </w:r>
      <w:r w:rsidR="00E266AE" w:rsidRPr="003A08D9">
        <w:t xml:space="preserve">taking part </w:t>
      </w:r>
      <w:r w:rsidR="00E73625" w:rsidRPr="003A08D9">
        <w:t>in a demonstration while in possession of prohibited materials</w:t>
      </w:r>
      <w:r w:rsidR="00E266AE" w:rsidRPr="003A08D9">
        <w:t>,</w:t>
      </w:r>
      <w:r w:rsidR="00E73625" w:rsidRPr="003A08D9">
        <w:t xml:space="preserve"> </w:t>
      </w:r>
      <w:r w:rsidR="000408CF" w:rsidRPr="003A08D9">
        <w:t>cont</w:t>
      </w:r>
      <w:r w:rsidR="003A19BC" w:rsidRPr="003A08D9">
        <w:t>r</w:t>
      </w:r>
      <w:r w:rsidR="000408CF" w:rsidRPr="003A08D9">
        <w:t xml:space="preserve">ary </w:t>
      </w:r>
      <w:r w:rsidR="00E73625" w:rsidRPr="003A08D9">
        <w:t>to section 33(1) of Law no. 2911</w:t>
      </w:r>
      <w:r w:rsidR="00E266AE" w:rsidRPr="003A08D9">
        <w:t>,</w:t>
      </w:r>
      <w:r w:rsidR="00E73625" w:rsidRPr="003A08D9">
        <w:t xml:space="preserve"> </w:t>
      </w:r>
      <w:r w:rsidR="000408CF" w:rsidRPr="003A08D9">
        <w:t xml:space="preserve">resulting in a </w:t>
      </w:r>
      <w:r w:rsidR="00E73625" w:rsidRPr="003A08D9">
        <w:t xml:space="preserve">sentence </w:t>
      </w:r>
      <w:r w:rsidR="000408CF" w:rsidRPr="003A08D9">
        <w:t>of</w:t>
      </w:r>
      <w:r w:rsidR="00E73625" w:rsidRPr="003A08D9">
        <w:t xml:space="preserve"> five months of impri</w:t>
      </w:r>
      <w:r w:rsidRPr="003A08D9">
        <w:t>sonment</w:t>
      </w:r>
      <w:r w:rsidR="009514C4" w:rsidRPr="003A08D9">
        <w:t xml:space="preserve"> each</w:t>
      </w:r>
      <w:r w:rsidRPr="003A08D9">
        <w:t>;</w:t>
      </w:r>
    </w:p>
    <w:p w:rsidR="00FA35A6" w:rsidRPr="003A08D9" w:rsidRDefault="00FA35A6" w:rsidP="003A08D9">
      <w:pPr>
        <w:pStyle w:val="JuPara"/>
      </w:pPr>
      <w:r w:rsidRPr="003A08D9">
        <w:t>(c)</w:t>
      </w:r>
      <w:r w:rsidR="002A4435" w:rsidRPr="003A08D9">
        <w:t>  </w:t>
      </w:r>
      <w:r w:rsidR="00F955E9" w:rsidRPr="003A08D9">
        <w:t>resis</w:t>
      </w:r>
      <w:r w:rsidR="00E266AE" w:rsidRPr="003A08D9">
        <w:t xml:space="preserve">ting </w:t>
      </w:r>
      <w:r w:rsidR="00F955E9" w:rsidRPr="003A08D9">
        <w:t>the security forces</w:t>
      </w:r>
      <w:r w:rsidR="00E266AE" w:rsidRPr="003A08D9">
        <w:t>,</w:t>
      </w:r>
      <w:r w:rsidR="00F955E9" w:rsidRPr="003A08D9">
        <w:t xml:space="preserve"> wh</w:t>
      </w:r>
      <w:r w:rsidR="00E266AE" w:rsidRPr="003A08D9">
        <w:t>o</w:t>
      </w:r>
      <w:r w:rsidR="00F955E9" w:rsidRPr="003A08D9">
        <w:t xml:space="preserve"> had</w:t>
      </w:r>
      <w:r w:rsidR="002F2B3B" w:rsidRPr="003A08D9">
        <w:t xml:space="preserve"> had to</w:t>
      </w:r>
      <w:r w:rsidR="00F955E9" w:rsidRPr="003A08D9">
        <w:t xml:space="preserve"> use force to disperse the demonstrators</w:t>
      </w:r>
      <w:r w:rsidR="00E266AE" w:rsidRPr="003A08D9">
        <w:t>,</w:t>
      </w:r>
      <w:r w:rsidR="00F955E9" w:rsidRPr="003A08D9">
        <w:t xml:space="preserve"> </w:t>
      </w:r>
      <w:r w:rsidR="00446F21" w:rsidRPr="003A08D9">
        <w:t xml:space="preserve">such resistance being </w:t>
      </w:r>
      <w:r w:rsidR="005833BD" w:rsidRPr="003A08D9">
        <w:t xml:space="preserve">contrary </w:t>
      </w:r>
      <w:r w:rsidR="00F955E9" w:rsidRPr="003A08D9">
        <w:t>to section 32(1) of Law no.</w:t>
      </w:r>
      <w:r w:rsidR="002A4435" w:rsidRPr="003A08D9">
        <w:t> </w:t>
      </w:r>
      <w:r w:rsidR="00F955E9" w:rsidRPr="003A08D9">
        <w:t>2911</w:t>
      </w:r>
      <w:r w:rsidR="00E266AE" w:rsidRPr="003A08D9">
        <w:t>,</w:t>
      </w:r>
      <w:r w:rsidR="00F955E9" w:rsidRPr="003A08D9">
        <w:t xml:space="preserve"> </w:t>
      </w:r>
      <w:r w:rsidR="005833BD" w:rsidRPr="003A08D9">
        <w:t xml:space="preserve">resulting in a </w:t>
      </w:r>
      <w:r w:rsidR="00F955E9" w:rsidRPr="003A08D9">
        <w:t xml:space="preserve">sentence </w:t>
      </w:r>
      <w:r w:rsidR="005833BD" w:rsidRPr="003A08D9">
        <w:t xml:space="preserve">of </w:t>
      </w:r>
      <w:r w:rsidR="00F955E9" w:rsidRPr="003A08D9">
        <w:t>six months</w:t>
      </w:r>
      <w:r w:rsidR="003A08D9" w:rsidRPr="003A08D9">
        <w:t>’</w:t>
      </w:r>
      <w:r w:rsidR="00F955E9" w:rsidRPr="003A08D9">
        <w:t xml:space="preserve"> imprisonment </w:t>
      </w:r>
      <w:r w:rsidR="009514C4" w:rsidRPr="003A08D9">
        <w:t>each</w:t>
      </w:r>
      <w:r w:rsidR="006C0E99" w:rsidRPr="003A08D9">
        <w:t xml:space="preserve"> on that count</w:t>
      </w:r>
      <w:r w:rsidRPr="003A08D9">
        <w:t>;</w:t>
      </w:r>
    </w:p>
    <w:p w:rsidR="00FA35A6" w:rsidRPr="003A08D9" w:rsidRDefault="00FA35A6" w:rsidP="003A08D9">
      <w:pPr>
        <w:pStyle w:val="JuPara"/>
      </w:pPr>
      <w:r w:rsidRPr="003A08D9">
        <w:t>(d)</w:t>
      </w:r>
      <w:r w:rsidR="002A4435" w:rsidRPr="003A08D9">
        <w:t>  </w:t>
      </w:r>
      <w:r w:rsidRPr="003A08D9">
        <w:t xml:space="preserve">obstructing the security forces in the execution of their duties by way of resistance, </w:t>
      </w:r>
      <w:r w:rsidR="00B11B6B" w:rsidRPr="003A08D9">
        <w:t xml:space="preserve">contrary </w:t>
      </w:r>
      <w:r w:rsidRPr="003A08D9">
        <w:t xml:space="preserve">to Article 265 § 1 of the Criminal Code, and sentenced </w:t>
      </w:r>
      <w:r w:rsidR="00DD2AC9" w:rsidRPr="003A08D9">
        <w:t>to seven months and fifteen days</w:t>
      </w:r>
      <w:r w:rsidR="003A08D9" w:rsidRPr="003A08D9">
        <w:t>’</w:t>
      </w:r>
      <w:r w:rsidRPr="003A08D9">
        <w:t xml:space="preserve"> imprisonment each;</w:t>
      </w:r>
      <w:r w:rsidR="003C279F" w:rsidRPr="003A08D9">
        <w:t xml:space="preserve"> and</w:t>
      </w:r>
    </w:p>
    <w:p w:rsidR="00867D8C" w:rsidRPr="003A08D9" w:rsidRDefault="00FA35A6" w:rsidP="003A08D9">
      <w:pPr>
        <w:pStyle w:val="JuPara"/>
      </w:pPr>
      <w:r w:rsidRPr="003A08D9">
        <w:t>(e)</w:t>
      </w:r>
      <w:r w:rsidR="002A4435" w:rsidRPr="003A08D9">
        <w:t>  </w:t>
      </w:r>
      <w:r w:rsidR="009C4B27" w:rsidRPr="003A08D9">
        <w:t xml:space="preserve">membership of an illegal organisation, the PKK, </w:t>
      </w:r>
      <w:r w:rsidR="00856BC2" w:rsidRPr="003A08D9">
        <w:t xml:space="preserve">contrary </w:t>
      </w:r>
      <w:r w:rsidR="009C4B27" w:rsidRPr="003A08D9">
        <w:t>to Article</w:t>
      </w:r>
      <w:r w:rsidR="002A4435" w:rsidRPr="003A08D9">
        <w:t> </w:t>
      </w:r>
      <w:r w:rsidR="009C4B27" w:rsidRPr="003A08D9">
        <w:t>314 § 2 of the Criminal Code</w:t>
      </w:r>
      <w:r w:rsidR="00E105D7" w:rsidRPr="003A08D9">
        <w:t>,</w:t>
      </w:r>
      <w:r w:rsidR="009C4B27" w:rsidRPr="003A08D9">
        <w:t xml:space="preserve"> on the basis of Article 220 § 6 and</w:t>
      </w:r>
      <w:r w:rsidR="00E105D7" w:rsidRPr="003A08D9">
        <w:t xml:space="preserve"> Article</w:t>
      </w:r>
      <w:r w:rsidR="002A4435" w:rsidRPr="003A08D9">
        <w:t> </w:t>
      </w:r>
      <w:r w:rsidR="009C4B27" w:rsidRPr="003A08D9">
        <w:t>314 § 3 of the same Code</w:t>
      </w:r>
      <w:r w:rsidR="00E105D7" w:rsidRPr="003A08D9">
        <w:t>,</w:t>
      </w:r>
      <w:r w:rsidR="009C4B27" w:rsidRPr="003A08D9">
        <w:t xml:space="preserve"> </w:t>
      </w:r>
      <w:r w:rsidR="00E105D7" w:rsidRPr="003A08D9">
        <w:t>resulting in a</w:t>
      </w:r>
      <w:r w:rsidR="009C4B27" w:rsidRPr="003A08D9">
        <w:t xml:space="preserve"> sentence </w:t>
      </w:r>
      <w:r w:rsidR="00E105D7" w:rsidRPr="003A08D9">
        <w:t>of</w:t>
      </w:r>
      <w:r w:rsidR="009C4B27" w:rsidRPr="003A08D9">
        <w:t xml:space="preserve"> six years and three months</w:t>
      </w:r>
      <w:r w:rsidR="003A08D9" w:rsidRPr="003A08D9">
        <w:t>’</w:t>
      </w:r>
      <w:r w:rsidR="00E266AE" w:rsidRPr="003A08D9">
        <w:t xml:space="preserve"> </w:t>
      </w:r>
      <w:r w:rsidR="009C4B27" w:rsidRPr="003A08D9">
        <w:t>imprisonment</w:t>
      </w:r>
      <w:r w:rsidR="00DD2AC9" w:rsidRPr="003A08D9">
        <w:t xml:space="preserve"> each</w:t>
      </w:r>
      <w:r w:rsidR="009C4B27" w:rsidRPr="003A08D9">
        <w:t>.</w:t>
      </w:r>
    </w:p>
    <w:p w:rsidR="00867D8C" w:rsidRPr="003A08D9" w:rsidRDefault="00FA35A6"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23</w:t>
      </w:r>
      <w:r w:rsidRPr="003A08D9">
        <w:fldChar w:fldCharType="end"/>
      </w:r>
      <w:r w:rsidRPr="003A08D9">
        <w:t>.  </w:t>
      </w:r>
      <w:r w:rsidR="00DD2AC9" w:rsidRPr="003A08D9">
        <w:t>The Diyarbak</w:t>
      </w:r>
      <w:r w:rsidR="00DD2AC9" w:rsidRPr="003A08D9">
        <w:rPr>
          <w:rFonts w:cstheme="minorHAnsi"/>
        </w:rPr>
        <w:t>ı</w:t>
      </w:r>
      <w:r w:rsidR="00DD2AC9" w:rsidRPr="003A08D9">
        <w:t xml:space="preserve">r Assize Court decided to suspend the pronouncement of the sentences </w:t>
      </w:r>
      <w:r w:rsidR="009F25E5" w:rsidRPr="003A08D9">
        <w:t>under sect</w:t>
      </w:r>
      <w:r w:rsidR="00CC1752" w:rsidRPr="003A08D9">
        <w:t>ions 33(1) and 32(1) of Law no.</w:t>
      </w:r>
      <w:r w:rsidR="002A4435" w:rsidRPr="003A08D9">
        <w:t xml:space="preserve"> </w:t>
      </w:r>
      <w:r w:rsidR="009F25E5" w:rsidRPr="003A08D9">
        <w:t>2911 and Article</w:t>
      </w:r>
      <w:r w:rsidR="006B4F6A" w:rsidRPr="003A08D9">
        <w:t> </w:t>
      </w:r>
      <w:r w:rsidR="009F25E5" w:rsidRPr="003A08D9">
        <w:t>265</w:t>
      </w:r>
      <w:r w:rsidR="00E266AE" w:rsidRPr="003A08D9">
        <w:t xml:space="preserve"> § </w:t>
      </w:r>
      <w:r w:rsidR="009F25E5" w:rsidRPr="003A08D9">
        <w:t>1 of the Criminal Code</w:t>
      </w:r>
      <w:r w:rsidR="00DD2AC9" w:rsidRPr="003A08D9">
        <w:t xml:space="preserve"> on condition that </w:t>
      </w:r>
      <w:r w:rsidR="009F25E5" w:rsidRPr="003A08D9">
        <w:t>the applicants</w:t>
      </w:r>
      <w:r w:rsidR="00DD2AC9" w:rsidRPr="003A08D9">
        <w:t xml:space="preserve"> did not commit another wilful offence for a period of </w:t>
      </w:r>
      <w:r w:rsidR="009F25E5" w:rsidRPr="003A08D9">
        <w:t>five</w:t>
      </w:r>
      <w:r w:rsidR="00DD2AC9" w:rsidRPr="003A08D9">
        <w:t xml:space="preserve"> y</w:t>
      </w:r>
      <w:r w:rsidR="009F25E5" w:rsidRPr="003A08D9">
        <w:t>ears</w:t>
      </w:r>
      <w:r w:rsidR="00E266AE" w:rsidRPr="003A08D9">
        <w:t>,</w:t>
      </w:r>
      <w:r w:rsidR="009F25E5" w:rsidRPr="003A08D9">
        <w:t xml:space="preserve"> in accordance with Article </w:t>
      </w:r>
      <w:r w:rsidR="00DD2AC9" w:rsidRPr="003A08D9">
        <w:t>231 of the Code of Criminal Procedure (Law no. 5271)</w:t>
      </w:r>
      <w:r w:rsidRPr="003A08D9">
        <w:t xml:space="preserve"> (see points (b), (c) and (d) in paragraph </w:t>
      </w:r>
      <w:r w:rsidRPr="003A08D9">
        <w:fldChar w:fldCharType="begin"/>
      </w:r>
      <w:r w:rsidRPr="003A08D9">
        <w:instrText xml:space="preserve"> REF judgment \h </w:instrText>
      </w:r>
      <w:r w:rsidRPr="003A08D9">
        <w:fldChar w:fldCharType="separate"/>
      </w:r>
      <w:r w:rsidR="003A08D9" w:rsidRPr="003A08D9">
        <w:rPr>
          <w:noProof/>
        </w:rPr>
        <w:t>22</w:t>
      </w:r>
      <w:r w:rsidRPr="003A08D9">
        <w:fldChar w:fldCharType="end"/>
      </w:r>
      <w:r w:rsidRPr="003A08D9">
        <w:t xml:space="preserve"> above)</w:t>
      </w:r>
      <w:r w:rsidR="009F25E5" w:rsidRPr="003A08D9">
        <w:t>.</w:t>
      </w:r>
    </w:p>
    <w:p w:rsidR="009C4B27" w:rsidRPr="003A08D9" w:rsidRDefault="00FA35A6"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24</w:t>
      </w:r>
      <w:r w:rsidRPr="003A08D9">
        <w:fldChar w:fldCharType="end"/>
      </w:r>
      <w:r w:rsidRPr="003A08D9">
        <w:t>.  The court, however,</w:t>
      </w:r>
      <w:r w:rsidR="00E266AE" w:rsidRPr="003A08D9">
        <w:t xml:space="preserve"> </w:t>
      </w:r>
      <w:r w:rsidR="009F25E5" w:rsidRPr="003A08D9">
        <w:t>decided that the applicant</w:t>
      </w:r>
      <w:r w:rsidR="00E266AE" w:rsidRPr="003A08D9">
        <w:t>s</w:t>
      </w:r>
      <w:r w:rsidR="009F25E5" w:rsidRPr="003A08D9">
        <w:t xml:space="preserve"> </w:t>
      </w:r>
      <w:r w:rsidR="00E266AE" w:rsidRPr="003A08D9">
        <w:t>sh</w:t>
      </w:r>
      <w:r w:rsidR="009F25E5" w:rsidRPr="003A08D9">
        <w:t>ould serve the prison sentences arising from their convictions under section 7(2) of Law no.</w:t>
      </w:r>
      <w:r w:rsidR="002A4435" w:rsidRPr="003A08D9">
        <w:t> </w:t>
      </w:r>
      <w:r w:rsidR="009F25E5" w:rsidRPr="003A08D9">
        <w:t>3713 and Article 314 § 2 of the Criminal Code</w:t>
      </w:r>
      <w:r w:rsidRPr="003A08D9">
        <w:t xml:space="preserve"> (see points (a) and (e) in paragraph </w:t>
      </w:r>
      <w:r w:rsidRPr="003A08D9">
        <w:fldChar w:fldCharType="begin"/>
      </w:r>
      <w:r w:rsidRPr="003A08D9">
        <w:instrText xml:space="preserve"> REF judgment \h </w:instrText>
      </w:r>
      <w:r w:rsidRPr="003A08D9">
        <w:fldChar w:fldCharType="separate"/>
      </w:r>
      <w:r w:rsidR="003A08D9" w:rsidRPr="003A08D9">
        <w:rPr>
          <w:noProof/>
        </w:rPr>
        <w:t>22</w:t>
      </w:r>
      <w:r w:rsidRPr="003A08D9">
        <w:fldChar w:fldCharType="end"/>
      </w:r>
      <w:r w:rsidRPr="003A08D9">
        <w:t xml:space="preserve"> above)</w:t>
      </w:r>
      <w:r w:rsidR="00B02FB0" w:rsidRPr="003A08D9">
        <w:t xml:space="preserve"> which amounted to six years and thirteen months</w:t>
      </w:r>
      <w:r w:rsidR="003A08D9" w:rsidRPr="003A08D9">
        <w:t>’</w:t>
      </w:r>
      <w:r w:rsidR="00B02FB0" w:rsidRPr="003A08D9">
        <w:t xml:space="preserve"> imprisonment in respect of each of them.</w:t>
      </w:r>
    </w:p>
    <w:p w:rsidR="00867D8C"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25</w:t>
      </w:r>
      <w:r w:rsidRPr="003A08D9">
        <w:rPr>
          <w:noProof/>
        </w:rPr>
        <w:fldChar w:fldCharType="end"/>
      </w:r>
      <w:r w:rsidR="009F25E5" w:rsidRPr="003A08D9">
        <w:t>.  </w:t>
      </w:r>
      <w:r w:rsidR="00D87ABB" w:rsidRPr="003A08D9">
        <w:t>According to the</w:t>
      </w:r>
      <w:r w:rsidR="009F25E5" w:rsidRPr="003A08D9">
        <w:t xml:space="preserve"> Diyarbak</w:t>
      </w:r>
      <w:r w:rsidR="009F25E5" w:rsidRPr="003A08D9">
        <w:rPr>
          <w:rFonts w:cstheme="minorHAnsi"/>
        </w:rPr>
        <w:t>ı</w:t>
      </w:r>
      <w:r w:rsidR="00D87ABB" w:rsidRPr="003A08D9">
        <w:t>r Assize Court</w:t>
      </w:r>
      <w:r w:rsidR="003A08D9" w:rsidRPr="003A08D9">
        <w:t>’</w:t>
      </w:r>
      <w:r w:rsidR="00D87ABB" w:rsidRPr="003A08D9">
        <w:t xml:space="preserve">s </w:t>
      </w:r>
      <w:r w:rsidR="006E5103" w:rsidRPr="003A08D9">
        <w:t>judgment</w:t>
      </w:r>
      <w:r w:rsidR="00D87ABB" w:rsidRPr="003A08D9">
        <w:t xml:space="preserve">, the </w:t>
      </w:r>
      <w:r w:rsidR="009F25E5" w:rsidRPr="003A08D9">
        <w:t>following evidence</w:t>
      </w:r>
      <w:r w:rsidR="00D87ABB" w:rsidRPr="003A08D9">
        <w:t xml:space="preserve"> w</w:t>
      </w:r>
      <w:r w:rsidR="00E266AE" w:rsidRPr="003A08D9">
        <w:t>as</w:t>
      </w:r>
      <w:r w:rsidR="00D87ABB" w:rsidRPr="003A08D9">
        <w:t xml:space="preserve"> included in the case file</w:t>
      </w:r>
      <w:r w:rsidR="009F25E5" w:rsidRPr="003A08D9">
        <w:t>:</w:t>
      </w:r>
    </w:p>
    <w:p w:rsidR="00867D8C" w:rsidRPr="003A08D9" w:rsidRDefault="00141627" w:rsidP="003A08D9">
      <w:pPr>
        <w:pStyle w:val="JuPara"/>
      </w:pPr>
      <w:r w:rsidRPr="003A08D9">
        <w:lastRenderedPageBreak/>
        <w:t>(a)</w:t>
      </w:r>
      <w:r w:rsidR="006B4F6A" w:rsidRPr="003A08D9">
        <w:t>  </w:t>
      </w:r>
      <w:r w:rsidR="009F25E5" w:rsidRPr="003A08D9">
        <w:t>the accused</w:t>
      </w:r>
      <w:r w:rsidR="003A08D9" w:rsidRPr="003A08D9">
        <w:t>’</w:t>
      </w:r>
      <w:r w:rsidR="009F25E5" w:rsidRPr="003A08D9">
        <w:t>s statements</w:t>
      </w:r>
      <w:r w:rsidR="00676179" w:rsidRPr="003A08D9">
        <w:t xml:space="preserve"> given</w:t>
      </w:r>
      <w:r w:rsidR="009F25E5" w:rsidRPr="003A08D9">
        <w:t xml:space="preserve"> at the investiga</w:t>
      </w:r>
      <w:r w:rsidR="006E5103" w:rsidRPr="003A08D9">
        <w:t>tion stage and during the trial;</w:t>
      </w:r>
    </w:p>
    <w:p w:rsidR="00867D8C" w:rsidRPr="003A08D9" w:rsidRDefault="00141627" w:rsidP="003A08D9">
      <w:pPr>
        <w:pStyle w:val="JuPara"/>
      </w:pPr>
      <w:r w:rsidRPr="003A08D9">
        <w:t>(b)</w:t>
      </w:r>
      <w:r w:rsidR="006B4F6A" w:rsidRPr="003A08D9">
        <w:t>  </w:t>
      </w:r>
      <w:r w:rsidR="00C51403" w:rsidRPr="003A08D9">
        <w:t xml:space="preserve">the arrest and confiscation report </w:t>
      </w:r>
      <w:r w:rsidR="00E266AE" w:rsidRPr="003A08D9">
        <w:t xml:space="preserve">of </w:t>
      </w:r>
      <w:r w:rsidR="00C51403" w:rsidRPr="003A08D9">
        <w:t>5 December 2009</w:t>
      </w:r>
      <w:r w:rsidR="006E5103" w:rsidRPr="003A08D9">
        <w:t>;</w:t>
      </w:r>
    </w:p>
    <w:p w:rsidR="00867D8C" w:rsidRPr="003A08D9" w:rsidRDefault="00141627" w:rsidP="003A08D9">
      <w:pPr>
        <w:pStyle w:val="JuPara"/>
      </w:pPr>
      <w:r w:rsidRPr="003A08D9">
        <w:t xml:space="preserve">(c) </w:t>
      </w:r>
      <w:r w:rsidR="00E266AE" w:rsidRPr="003A08D9">
        <w:t xml:space="preserve">the </w:t>
      </w:r>
      <w:r w:rsidR="00C51403" w:rsidRPr="003A08D9">
        <w:t>arresting officers</w:t>
      </w:r>
      <w:r w:rsidR="003A08D9" w:rsidRPr="003A08D9">
        <w:t>’</w:t>
      </w:r>
      <w:r w:rsidR="00C51403" w:rsidRPr="003A08D9">
        <w:t xml:space="preserve"> statements</w:t>
      </w:r>
      <w:r w:rsidR="00550C6C" w:rsidRPr="003A08D9">
        <w:t xml:space="preserve"> made</w:t>
      </w:r>
      <w:r w:rsidR="00C51403" w:rsidRPr="003A08D9">
        <w:t xml:space="preserve"> to other police officers on </w:t>
      </w:r>
      <w:r w:rsidRPr="003A08D9">
        <w:t>5 </w:t>
      </w:r>
      <w:r w:rsidR="006E5103" w:rsidRPr="003A08D9">
        <w:t>December 2009;</w:t>
      </w:r>
    </w:p>
    <w:p w:rsidR="00867D8C" w:rsidRPr="003A08D9" w:rsidRDefault="00141627" w:rsidP="003A08D9">
      <w:pPr>
        <w:pStyle w:val="JuPara"/>
      </w:pPr>
      <w:r w:rsidRPr="003A08D9">
        <w:t>(d)</w:t>
      </w:r>
      <w:r w:rsidR="006B4F6A" w:rsidRPr="003A08D9">
        <w:t>  </w:t>
      </w:r>
      <w:r w:rsidR="00C51403" w:rsidRPr="003A08D9">
        <w:t xml:space="preserve">the report prepared by Cizre police headquarters on </w:t>
      </w:r>
      <w:r w:rsidR="001805A1" w:rsidRPr="003A08D9">
        <w:t>7</w:t>
      </w:r>
      <w:r w:rsidR="00CE0502" w:rsidRPr="003A08D9">
        <w:t> </w:t>
      </w:r>
      <w:r w:rsidR="006E5103" w:rsidRPr="003A08D9">
        <w:t>December 2009;</w:t>
      </w:r>
    </w:p>
    <w:p w:rsidR="00867D8C" w:rsidRPr="003A08D9" w:rsidRDefault="00141627" w:rsidP="003A08D9">
      <w:pPr>
        <w:pStyle w:val="JuPara"/>
      </w:pPr>
      <w:r w:rsidRPr="003A08D9">
        <w:t>(e)</w:t>
      </w:r>
      <w:r w:rsidR="006B4F6A" w:rsidRPr="003A08D9">
        <w:t>  </w:t>
      </w:r>
      <w:r w:rsidR="00C51403" w:rsidRPr="003A08D9">
        <w:t xml:space="preserve">two police reports concerning the photographs of the banners found in the </w:t>
      </w:r>
      <w:r w:rsidR="00E266AE" w:rsidRPr="003A08D9">
        <w:t>shed</w:t>
      </w:r>
      <w:r w:rsidR="00C51403" w:rsidRPr="003A08D9">
        <w:t xml:space="preserve"> where the applicants had been arrested and </w:t>
      </w:r>
      <w:r w:rsidR="00CB6F4E" w:rsidRPr="003A08D9">
        <w:t xml:space="preserve">photographs </w:t>
      </w:r>
      <w:r w:rsidR="00C51403" w:rsidRPr="003A08D9">
        <w:t>of the second applicant taken by the police during the demonstration</w:t>
      </w:r>
      <w:r w:rsidR="006E5103" w:rsidRPr="003A08D9">
        <w:t>;</w:t>
      </w:r>
    </w:p>
    <w:p w:rsidR="00867D8C" w:rsidRPr="003A08D9" w:rsidRDefault="00141627" w:rsidP="003A08D9">
      <w:pPr>
        <w:pStyle w:val="JuPara"/>
      </w:pPr>
      <w:r w:rsidRPr="003A08D9">
        <w:t>(f)</w:t>
      </w:r>
      <w:r w:rsidR="006B4F6A" w:rsidRPr="003A08D9">
        <w:t>  </w:t>
      </w:r>
      <w:r w:rsidR="006E5103" w:rsidRPr="003A08D9">
        <w:t>O.E.</w:t>
      </w:r>
      <w:r w:rsidR="003A08D9" w:rsidRPr="003A08D9">
        <w:t>’</w:t>
      </w:r>
      <w:r w:rsidR="006E5103" w:rsidRPr="003A08D9">
        <w:t xml:space="preserve">s statement </w:t>
      </w:r>
      <w:r w:rsidR="00CB6F4E" w:rsidRPr="003A08D9">
        <w:t xml:space="preserve">to </w:t>
      </w:r>
      <w:r w:rsidR="006E5103" w:rsidRPr="003A08D9">
        <w:t>the court on 19 March 2010;</w:t>
      </w:r>
    </w:p>
    <w:p w:rsidR="00442365" w:rsidRPr="003A08D9" w:rsidRDefault="00442365" w:rsidP="003A08D9">
      <w:pPr>
        <w:pStyle w:val="JuPara"/>
      </w:pPr>
      <w:r w:rsidRPr="003A08D9">
        <w:t>(g)</w:t>
      </w:r>
      <w:r w:rsidR="006B4F6A" w:rsidRPr="003A08D9">
        <w:t>  </w:t>
      </w:r>
      <w:r w:rsidRPr="003A08D9">
        <w:t>Y.T.</w:t>
      </w:r>
      <w:r w:rsidR="003A08D9" w:rsidRPr="003A08D9">
        <w:t>’</w:t>
      </w:r>
      <w:r w:rsidRPr="003A08D9">
        <w:t>s statement to the court on 13 May 2010;</w:t>
      </w:r>
      <w:r w:rsidR="00E74DE4" w:rsidRPr="003A08D9">
        <w:t xml:space="preserve"> and</w:t>
      </w:r>
    </w:p>
    <w:p w:rsidR="00C51403" w:rsidRPr="003A08D9" w:rsidRDefault="00442365" w:rsidP="003A08D9">
      <w:pPr>
        <w:pStyle w:val="JuPara"/>
      </w:pPr>
      <w:r w:rsidRPr="003A08D9">
        <w:t>(h</w:t>
      </w:r>
      <w:r w:rsidR="00141627" w:rsidRPr="003A08D9">
        <w:t>)</w:t>
      </w:r>
      <w:r w:rsidR="006B4F6A" w:rsidRPr="003A08D9">
        <w:t>  </w:t>
      </w:r>
      <w:r w:rsidR="006E5103" w:rsidRPr="003A08D9">
        <w:t>the arresting officers</w:t>
      </w:r>
      <w:r w:rsidR="003A08D9" w:rsidRPr="003A08D9">
        <w:t>’</w:t>
      </w:r>
      <w:r w:rsidR="006E5103" w:rsidRPr="003A08D9">
        <w:t xml:space="preserve"> statements </w:t>
      </w:r>
      <w:r w:rsidR="00CB6F4E" w:rsidRPr="003A08D9">
        <w:t xml:space="preserve">to </w:t>
      </w:r>
      <w:r w:rsidR="006E5103" w:rsidRPr="003A08D9">
        <w:t>the court on 1 June 2010.</w:t>
      </w:r>
    </w:p>
    <w:p w:rsidR="00772124"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26</w:t>
      </w:r>
      <w:r w:rsidRPr="003A08D9">
        <w:rPr>
          <w:noProof/>
        </w:rPr>
        <w:fldChar w:fldCharType="end"/>
      </w:r>
      <w:r w:rsidR="00D87ABB" w:rsidRPr="003A08D9">
        <w:t>.  The court established the facts of the case against the applicants and their co-accused in the light of the content</w:t>
      </w:r>
      <w:r w:rsidR="00D83B19" w:rsidRPr="003A08D9">
        <w:t>s</w:t>
      </w:r>
      <w:r w:rsidR="00D87ABB" w:rsidRPr="003A08D9">
        <w:t xml:space="preserve"> of the case file. According to the court, </w:t>
      </w:r>
      <w:r w:rsidR="00E30EE5" w:rsidRPr="003A08D9">
        <w:t xml:space="preserve">the applicants had been in a group of demonstrators who had attacked the police with stones and Molotov cocktails and </w:t>
      </w:r>
      <w:r w:rsidR="002727DA" w:rsidRPr="003A08D9">
        <w:t>they had</w:t>
      </w:r>
      <w:r w:rsidR="00E30EE5" w:rsidRPr="003A08D9">
        <w:t xml:space="preserve"> themselves also attacked the police with stones.</w:t>
      </w:r>
      <w:r w:rsidR="00F43AF2" w:rsidRPr="003A08D9">
        <w:t xml:space="preserve"> The trial court went on to hold that the applicants chanted slogans such as “Bastards of Atatürk”, “Long live Öcalan”, “The PKK is the people and the people are here” and “We would destroy a world without Öcalan” before the police had intervened.</w:t>
      </w:r>
    </w:p>
    <w:p w:rsidR="009D37CE"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27</w:t>
      </w:r>
      <w:r w:rsidRPr="003A08D9">
        <w:rPr>
          <w:noProof/>
        </w:rPr>
        <w:fldChar w:fldCharType="end"/>
      </w:r>
      <w:r w:rsidR="009D37CE" w:rsidRPr="003A08D9">
        <w:t>.  On 6 December 2010 the applicant</w:t>
      </w:r>
      <w:r w:rsidR="008D1FB7" w:rsidRPr="003A08D9">
        <w:t>s</w:t>
      </w:r>
      <w:r w:rsidR="009D37CE" w:rsidRPr="003A08D9">
        <w:t xml:space="preserve"> lodged an appeal</w:t>
      </w:r>
      <w:r w:rsidR="00EC1EC5" w:rsidRPr="003A08D9">
        <w:t xml:space="preserve"> with the Court of Cassation</w:t>
      </w:r>
      <w:r w:rsidR="00332806" w:rsidRPr="003A08D9">
        <w:t xml:space="preserve"> against the judgment of 3 December 2010.</w:t>
      </w:r>
    </w:p>
    <w:bookmarkStart w:id="7" w:name="suspensionfinal"/>
    <w:p w:rsidR="00772124"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28</w:t>
      </w:r>
      <w:r w:rsidRPr="003A08D9">
        <w:rPr>
          <w:noProof/>
        </w:rPr>
        <w:fldChar w:fldCharType="end"/>
      </w:r>
      <w:bookmarkEnd w:id="7"/>
      <w:r w:rsidR="00772124" w:rsidRPr="003A08D9">
        <w:t xml:space="preserve">.  On 13 December 2010 </w:t>
      </w:r>
      <w:r w:rsidR="009D37CE" w:rsidRPr="003A08D9">
        <w:t>the Diyarbak</w:t>
      </w:r>
      <w:r w:rsidR="009D37CE" w:rsidRPr="003A08D9">
        <w:rPr>
          <w:rFonts w:cstheme="minorHAnsi"/>
        </w:rPr>
        <w:t>ı</w:t>
      </w:r>
      <w:r w:rsidR="009D37CE" w:rsidRPr="003A08D9">
        <w:t>r Assize Court</w:t>
      </w:r>
      <w:r w:rsidR="003A08D9" w:rsidRPr="003A08D9">
        <w:t>’</w:t>
      </w:r>
      <w:r w:rsidR="009D37CE" w:rsidRPr="003A08D9">
        <w:t>s decision to suspend the pronouncement of the sentences under sections 33(1) and 32(1) of Law no. 2911 and Article 265</w:t>
      </w:r>
      <w:r w:rsidR="00CB6F4E" w:rsidRPr="003A08D9">
        <w:t xml:space="preserve"> § </w:t>
      </w:r>
      <w:r w:rsidR="009D37CE" w:rsidRPr="003A08D9">
        <w:t xml:space="preserve">1 of the Criminal Code became final as the applicants </w:t>
      </w:r>
      <w:r w:rsidR="00D83B19" w:rsidRPr="003A08D9">
        <w:t xml:space="preserve">had </w:t>
      </w:r>
      <w:r w:rsidR="00332806" w:rsidRPr="003A08D9">
        <w:t>not object</w:t>
      </w:r>
      <w:r w:rsidR="00D83B19" w:rsidRPr="003A08D9">
        <w:t>ed</w:t>
      </w:r>
      <w:r w:rsidR="00332806" w:rsidRPr="003A08D9">
        <w:t xml:space="preserve"> to that decision</w:t>
      </w:r>
      <w:r w:rsidR="00FA35A6" w:rsidRPr="003A08D9">
        <w:t xml:space="preserve"> (see points (b), (c) and (d) in paragraph </w:t>
      </w:r>
      <w:r w:rsidR="00FA35A6" w:rsidRPr="003A08D9">
        <w:fldChar w:fldCharType="begin"/>
      </w:r>
      <w:r w:rsidR="00FA35A6" w:rsidRPr="003A08D9">
        <w:instrText xml:space="preserve"> REF judgment \h </w:instrText>
      </w:r>
      <w:r w:rsidR="00FA35A6" w:rsidRPr="003A08D9">
        <w:fldChar w:fldCharType="separate"/>
      </w:r>
      <w:r w:rsidR="003A08D9" w:rsidRPr="003A08D9">
        <w:rPr>
          <w:noProof/>
        </w:rPr>
        <w:t>22</w:t>
      </w:r>
      <w:r w:rsidR="00FA35A6" w:rsidRPr="003A08D9">
        <w:fldChar w:fldCharType="end"/>
      </w:r>
      <w:r w:rsidR="00FA35A6" w:rsidRPr="003A08D9">
        <w:t xml:space="preserve"> above)</w:t>
      </w:r>
      <w:r w:rsidR="009D37CE" w:rsidRPr="003A08D9">
        <w:t>.</w:t>
      </w:r>
    </w:p>
    <w:bookmarkStart w:id="8" w:name="courtofcassation"/>
    <w:p w:rsidR="00867D8C" w:rsidRPr="003A08D9" w:rsidRDefault="004020A5"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29</w:t>
      </w:r>
      <w:r w:rsidRPr="003A08D9">
        <w:fldChar w:fldCharType="end"/>
      </w:r>
      <w:bookmarkEnd w:id="8"/>
      <w:r w:rsidRPr="003A08D9">
        <w:t>.  </w:t>
      </w:r>
      <w:r w:rsidR="00014126" w:rsidRPr="003A08D9">
        <w:t>On 11 April 2012 the Court of Cassation upheld the judgment of 3 </w:t>
      </w:r>
      <w:r w:rsidR="00C4722F" w:rsidRPr="003A08D9">
        <w:t>Decemb</w:t>
      </w:r>
      <w:r w:rsidR="00014126" w:rsidRPr="003A08D9">
        <w:t>er 2010.</w:t>
      </w:r>
    </w:p>
    <w:p w:rsidR="00867D8C" w:rsidRPr="003A08D9" w:rsidRDefault="00332806" w:rsidP="003A08D9">
      <w:pPr>
        <w:pStyle w:val="JuPara"/>
      </w:pPr>
      <w:r w:rsidRPr="003A08D9">
        <w:t>In its decision, the Court of Cassation held that according to Article</w:t>
      </w:r>
      <w:r w:rsidR="006B4F6A" w:rsidRPr="003A08D9">
        <w:t> </w:t>
      </w:r>
      <w:r w:rsidRPr="003A08D9">
        <w:t xml:space="preserve">231 of the Criminal Code it was not possible to lodge appeals against </w:t>
      </w:r>
      <w:r w:rsidR="001A0144" w:rsidRPr="003A08D9">
        <w:t xml:space="preserve">decisions by </w:t>
      </w:r>
      <w:r w:rsidRPr="003A08D9">
        <w:t xml:space="preserve">first-instance courts to suspend the pronouncement of sentences. It therefore considered that it was not required to examine the </w:t>
      </w:r>
      <w:r w:rsidR="006F0F29" w:rsidRPr="003A08D9">
        <w:t>applicants</w:t>
      </w:r>
      <w:r w:rsidR="003A08D9" w:rsidRPr="003A08D9">
        <w:t>’</w:t>
      </w:r>
      <w:r w:rsidRPr="003A08D9">
        <w:t xml:space="preserve"> appeal concerning their convictions under sections 33(1) and 32(1) of Law no.</w:t>
      </w:r>
      <w:r w:rsidR="00CE0502" w:rsidRPr="003A08D9">
        <w:t> </w:t>
      </w:r>
      <w:r w:rsidRPr="003A08D9">
        <w:t>2911 and Article 265</w:t>
      </w:r>
      <w:r w:rsidR="00CB6F4E" w:rsidRPr="003A08D9">
        <w:t xml:space="preserve"> § </w:t>
      </w:r>
      <w:r w:rsidRPr="003A08D9">
        <w:t>1 of the Criminal Code.</w:t>
      </w:r>
    </w:p>
    <w:p w:rsidR="00014126" w:rsidRPr="003A08D9" w:rsidRDefault="00332806" w:rsidP="003A08D9">
      <w:pPr>
        <w:pStyle w:val="JuPara"/>
      </w:pPr>
      <w:r w:rsidRPr="003A08D9">
        <w:t>On the other hand, the Court of Cassation found that the applicants</w:t>
      </w:r>
      <w:r w:rsidR="003A08D9" w:rsidRPr="003A08D9">
        <w:t>’</w:t>
      </w:r>
      <w:r w:rsidRPr="003A08D9">
        <w:t xml:space="preserve"> convictions under section 7(2) of Law no. 3713 and Article </w:t>
      </w:r>
      <w:r w:rsidR="00130453" w:rsidRPr="003A08D9">
        <w:t>314 § 2 of the Criminal Code, on the basis of Article 220 § 6 and</w:t>
      </w:r>
      <w:r w:rsidR="00E542FE" w:rsidRPr="003A08D9">
        <w:t xml:space="preserve"> Article</w:t>
      </w:r>
      <w:r w:rsidR="00130453" w:rsidRPr="003A08D9">
        <w:t xml:space="preserve"> 314 § 3 of the same Code,</w:t>
      </w:r>
      <w:r w:rsidRPr="003A08D9">
        <w:t xml:space="preserve"> were in accordance with the law.</w:t>
      </w:r>
    </w:p>
    <w:p w:rsidR="006F0F29" w:rsidRPr="003A08D9" w:rsidRDefault="006F0F29" w:rsidP="003A08D9">
      <w:pPr>
        <w:pStyle w:val="JuHA"/>
      </w:pPr>
      <w:r w:rsidRPr="003A08D9">
        <w:lastRenderedPageBreak/>
        <w:t>Subsequent developments</w:t>
      </w:r>
    </w:p>
    <w:p w:rsidR="00014126" w:rsidRPr="003A08D9" w:rsidRDefault="0081298A" w:rsidP="003A08D9">
      <w:pPr>
        <w:pStyle w:val="JuPara"/>
        <w:rPr>
          <w:rFonts w:ascii="Times New Roman" w:hAnsi="Times New Roman" w:cs="Times New Roman"/>
        </w:rPr>
      </w:pPr>
      <w:r w:rsidRPr="003A08D9">
        <w:fldChar w:fldCharType="begin"/>
      </w:r>
      <w:r w:rsidRPr="003A08D9">
        <w:instrText xml:space="preserve"> SEQ level0 \*arabic </w:instrText>
      </w:r>
      <w:r w:rsidRPr="003A08D9">
        <w:fldChar w:fldCharType="separate"/>
      </w:r>
      <w:r w:rsidR="003A08D9" w:rsidRPr="003A08D9">
        <w:rPr>
          <w:noProof/>
        </w:rPr>
        <w:t>30</w:t>
      </w:r>
      <w:r w:rsidRPr="003A08D9">
        <w:rPr>
          <w:noProof/>
        </w:rPr>
        <w:fldChar w:fldCharType="end"/>
      </w:r>
      <w:r w:rsidR="00332806" w:rsidRPr="003A08D9">
        <w:t>.  </w:t>
      </w:r>
      <w:r w:rsidR="00014126" w:rsidRPr="003A08D9">
        <w:t xml:space="preserve">On 5 July 2012 </w:t>
      </w:r>
      <w:r w:rsidR="00332806" w:rsidRPr="003A08D9">
        <w:t xml:space="preserve">Law no. 6352 </w:t>
      </w:r>
      <w:r w:rsidR="00014126" w:rsidRPr="003A08D9">
        <w:rPr>
          <w:rFonts w:ascii="Times New Roman" w:hAnsi="Times New Roman" w:cs="Times New Roman"/>
        </w:rPr>
        <w:t xml:space="preserve">amending various laws with a view to suspending proceedings and sentences given in cases concerning crimes committed through the press, media and similar expressions of </w:t>
      </w:r>
      <w:r w:rsidR="00332806" w:rsidRPr="003A08D9">
        <w:rPr>
          <w:rFonts w:ascii="Times New Roman" w:hAnsi="Times New Roman" w:cs="Times New Roman"/>
        </w:rPr>
        <w:t>opinions</w:t>
      </w:r>
      <w:r w:rsidR="00014126" w:rsidRPr="003A08D9">
        <w:rPr>
          <w:rFonts w:ascii="Times New Roman" w:hAnsi="Times New Roman" w:cs="Times New Roman"/>
        </w:rPr>
        <w:t xml:space="preserve"> entered into force.</w:t>
      </w:r>
    </w:p>
    <w:p w:rsidR="00014126" w:rsidRPr="003A08D9" w:rsidRDefault="00332806" w:rsidP="003A08D9">
      <w:pPr>
        <w:pStyle w:val="JuPara"/>
        <w:rPr>
          <w:rFonts w:ascii="Times New Roman" w:hAnsi="Times New Roman" w:cs="Times New Roman"/>
        </w:rPr>
      </w:pPr>
      <w:r w:rsidRPr="003A08D9">
        <w:rPr>
          <w:rFonts w:ascii="Times New Roman" w:hAnsi="Times New Roman" w:cs="Times New Roman"/>
        </w:rPr>
        <w:fldChar w:fldCharType="begin"/>
      </w:r>
      <w:r w:rsidRPr="003A08D9">
        <w:rPr>
          <w:rFonts w:ascii="Times New Roman" w:hAnsi="Times New Roman" w:cs="Times New Roman"/>
        </w:rPr>
        <w:instrText xml:space="preserve"> SEQ level0 \*arabic </w:instrText>
      </w:r>
      <w:r w:rsidRPr="003A08D9">
        <w:rPr>
          <w:rFonts w:ascii="Times New Roman" w:hAnsi="Times New Roman" w:cs="Times New Roman"/>
        </w:rPr>
        <w:fldChar w:fldCharType="separate"/>
      </w:r>
      <w:r w:rsidR="003A08D9" w:rsidRPr="003A08D9">
        <w:rPr>
          <w:rFonts w:ascii="Times New Roman" w:hAnsi="Times New Roman" w:cs="Times New Roman"/>
          <w:noProof/>
        </w:rPr>
        <w:t>31</w:t>
      </w:r>
      <w:r w:rsidRPr="003A08D9">
        <w:rPr>
          <w:rFonts w:ascii="Times New Roman" w:hAnsi="Times New Roman" w:cs="Times New Roman"/>
        </w:rPr>
        <w:fldChar w:fldCharType="end"/>
      </w:r>
      <w:r w:rsidRPr="003A08D9">
        <w:rPr>
          <w:rFonts w:ascii="Times New Roman" w:hAnsi="Times New Roman" w:cs="Times New Roman"/>
        </w:rPr>
        <w:t>.  </w:t>
      </w:r>
      <w:r w:rsidR="00014126" w:rsidRPr="003A08D9">
        <w:rPr>
          <w:rFonts w:ascii="Times New Roman" w:hAnsi="Times New Roman" w:cs="Times New Roman"/>
        </w:rPr>
        <w:t xml:space="preserve">On an unspecified date the applicants </w:t>
      </w:r>
      <w:r w:rsidR="001A0144" w:rsidRPr="003A08D9">
        <w:rPr>
          <w:rFonts w:ascii="Times New Roman" w:hAnsi="Times New Roman" w:cs="Times New Roman"/>
        </w:rPr>
        <w:t xml:space="preserve">asked </w:t>
      </w:r>
      <w:r w:rsidR="00014126" w:rsidRPr="003A08D9">
        <w:rPr>
          <w:rFonts w:ascii="Times New Roman" w:hAnsi="Times New Roman" w:cs="Times New Roman"/>
        </w:rPr>
        <w:t xml:space="preserve">the first-instance court </w:t>
      </w:r>
      <w:r w:rsidR="001A0144" w:rsidRPr="003A08D9">
        <w:rPr>
          <w:rFonts w:ascii="Times New Roman" w:hAnsi="Times New Roman" w:cs="Times New Roman"/>
        </w:rPr>
        <w:t xml:space="preserve">to reduce the </w:t>
      </w:r>
      <w:r w:rsidR="00014126" w:rsidRPr="003A08D9">
        <w:rPr>
          <w:rFonts w:ascii="Times New Roman" w:hAnsi="Times New Roman" w:cs="Times New Roman"/>
        </w:rPr>
        <w:t xml:space="preserve">sentences </w:t>
      </w:r>
      <w:r w:rsidR="001A0144" w:rsidRPr="003A08D9">
        <w:rPr>
          <w:rFonts w:ascii="Times New Roman" w:hAnsi="Times New Roman" w:cs="Times New Roman"/>
        </w:rPr>
        <w:t xml:space="preserve">they had been given </w:t>
      </w:r>
      <w:r w:rsidRPr="003A08D9">
        <w:rPr>
          <w:rFonts w:ascii="Times New Roman" w:hAnsi="Times New Roman" w:cs="Times New Roman"/>
        </w:rPr>
        <w:t>in the judgment of 3 </w:t>
      </w:r>
      <w:r w:rsidR="008B5049" w:rsidRPr="003A08D9">
        <w:rPr>
          <w:rFonts w:ascii="Times New Roman" w:hAnsi="Times New Roman" w:cs="Times New Roman"/>
        </w:rPr>
        <w:t>December</w:t>
      </w:r>
      <w:r w:rsidR="006B4F6A" w:rsidRPr="003A08D9">
        <w:rPr>
          <w:rFonts w:ascii="Times New Roman" w:hAnsi="Times New Roman" w:cs="Times New Roman"/>
        </w:rPr>
        <w:t xml:space="preserve"> </w:t>
      </w:r>
      <w:r w:rsidR="00014126" w:rsidRPr="003A08D9">
        <w:rPr>
          <w:rFonts w:ascii="Times New Roman" w:hAnsi="Times New Roman" w:cs="Times New Roman"/>
        </w:rPr>
        <w:t>2010.</w:t>
      </w:r>
    </w:p>
    <w:p w:rsidR="00014126" w:rsidRPr="003A08D9" w:rsidRDefault="00332806" w:rsidP="003A08D9">
      <w:pPr>
        <w:pStyle w:val="JuPara"/>
      </w:pPr>
      <w:r w:rsidRPr="003A08D9">
        <w:rPr>
          <w:rFonts w:ascii="Times New Roman" w:hAnsi="Times New Roman" w:cs="Times New Roman"/>
        </w:rPr>
        <w:fldChar w:fldCharType="begin"/>
      </w:r>
      <w:r w:rsidRPr="003A08D9">
        <w:rPr>
          <w:rFonts w:ascii="Times New Roman" w:hAnsi="Times New Roman" w:cs="Times New Roman"/>
        </w:rPr>
        <w:instrText xml:space="preserve"> SEQ level0 \*arabic </w:instrText>
      </w:r>
      <w:r w:rsidRPr="003A08D9">
        <w:rPr>
          <w:rFonts w:ascii="Times New Roman" w:hAnsi="Times New Roman" w:cs="Times New Roman"/>
        </w:rPr>
        <w:fldChar w:fldCharType="separate"/>
      </w:r>
      <w:r w:rsidR="003A08D9" w:rsidRPr="003A08D9">
        <w:rPr>
          <w:rFonts w:ascii="Times New Roman" w:hAnsi="Times New Roman" w:cs="Times New Roman"/>
          <w:noProof/>
        </w:rPr>
        <w:t>32</w:t>
      </w:r>
      <w:r w:rsidRPr="003A08D9">
        <w:rPr>
          <w:rFonts w:ascii="Times New Roman" w:hAnsi="Times New Roman" w:cs="Times New Roman"/>
        </w:rPr>
        <w:fldChar w:fldCharType="end"/>
      </w:r>
      <w:r w:rsidRPr="003A08D9">
        <w:rPr>
          <w:rFonts w:ascii="Times New Roman" w:hAnsi="Times New Roman" w:cs="Times New Roman"/>
        </w:rPr>
        <w:t>.  </w:t>
      </w:r>
      <w:r w:rsidR="00014126" w:rsidRPr="003A08D9">
        <w:rPr>
          <w:rFonts w:ascii="Times New Roman" w:hAnsi="Times New Roman" w:cs="Times New Roman"/>
        </w:rPr>
        <w:t xml:space="preserve">On 20 July 2012 the </w:t>
      </w:r>
      <w:r w:rsidR="00014126" w:rsidRPr="003A08D9">
        <w:t>Diyarbak</w:t>
      </w:r>
      <w:r w:rsidR="00014126" w:rsidRPr="003A08D9">
        <w:rPr>
          <w:rFonts w:cstheme="minorHAnsi"/>
        </w:rPr>
        <w:t>ı</w:t>
      </w:r>
      <w:r w:rsidR="00014126" w:rsidRPr="003A08D9">
        <w:t>r Assize Court revised its judgment of 3</w:t>
      </w:r>
      <w:r w:rsidR="006B4F6A" w:rsidRPr="003A08D9">
        <w:t> </w:t>
      </w:r>
      <w:r w:rsidR="008B5049" w:rsidRPr="003A08D9">
        <w:t xml:space="preserve">December </w:t>
      </w:r>
      <w:r w:rsidR="00014126" w:rsidRPr="003A08D9">
        <w:t>2010 in the light of the provisions of Law</w:t>
      </w:r>
      <w:r w:rsidR="006B4F6A" w:rsidRPr="003A08D9">
        <w:t xml:space="preserve"> </w:t>
      </w:r>
      <w:r w:rsidR="00014126" w:rsidRPr="003A08D9">
        <w:t>no.</w:t>
      </w:r>
      <w:r w:rsidR="006B4F6A" w:rsidRPr="003A08D9">
        <w:t xml:space="preserve"> </w:t>
      </w:r>
      <w:r w:rsidR="00014126" w:rsidRPr="003A08D9">
        <w:t xml:space="preserve">6352. </w:t>
      </w:r>
      <w:r w:rsidR="001A0144" w:rsidRPr="003A08D9">
        <w:t>The court decided to suspend the pronouncement of the judgment on the applicants</w:t>
      </w:r>
      <w:r w:rsidR="003A08D9" w:rsidRPr="003A08D9">
        <w:t>’</w:t>
      </w:r>
      <w:r w:rsidR="001A0144" w:rsidRPr="003A08D9">
        <w:t xml:space="preserve"> conviction under section 7(2) of Law</w:t>
      </w:r>
      <w:r w:rsidR="006B4F6A" w:rsidRPr="003A08D9">
        <w:t xml:space="preserve"> </w:t>
      </w:r>
      <w:r w:rsidR="001A0144" w:rsidRPr="003A08D9">
        <w:t>no.</w:t>
      </w:r>
      <w:r w:rsidR="006B4F6A" w:rsidRPr="003A08D9">
        <w:t xml:space="preserve"> </w:t>
      </w:r>
      <w:r w:rsidR="001A0144" w:rsidRPr="003A08D9">
        <w:t>3713 for a period of five years</w:t>
      </w:r>
      <w:r w:rsidR="00014126" w:rsidRPr="003A08D9">
        <w:t xml:space="preserve">. </w:t>
      </w:r>
      <w:r w:rsidR="001A0144" w:rsidRPr="003A08D9">
        <w:t>It also reduced the sentence of six years and three months</w:t>
      </w:r>
      <w:r w:rsidR="003A08D9" w:rsidRPr="003A08D9">
        <w:t>’</w:t>
      </w:r>
      <w:r w:rsidR="001A0144" w:rsidRPr="003A08D9">
        <w:t xml:space="preserve"> imprisonment for their conviction </w:t>
      </w:r>
      <w:r w:rsidR="00014126" w:rsidRPr="003A08D9">
        <w:t>under Article 220</w:t>
      </w:r>
      <w:r w:rsidR="00CB6F4E" w:rsidRPr="003A08D9">
        <w:t xml:space="preserve"> § </w:t>
      </w:r>
      <w:r w:rsidR="00014126" w:rsidRPr="003A08D9">
        <w:t xml:space="preserve">6 and </w:t>
      </w:r>
      <w:r w:rsidR="00CB6F4E" w:rsidRPr="003A08D9">
        <w:t xml:space="preserve">Article </w:t>
      </w:r>
      <w:r w:rsidR="00014126" w:rsidRPr="003A08D9">
        <w:t>314 of the Criminal Code</w:t>
      </w:r>
      <w:r w:rsidR="001A0144" w:rsidRPr="003A08D9">
        <w:t xml:space="preserve"> </w:t>
      </w:r>
      <w:r w:rsidR="00014126" w:rsidRPr="003A08D9">
        <w:t>to five years, two months and fifteen days each.</w:t>
      </w:r>
    </w:p>
    <w:p w:rsidR="00014126"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33</w:t>
      </w:r>
      <w:r w:rsidRPr="003A08D9">
        <w:rPr>
          <w:noProof/>
        </w:rPr>
        <w:fldChar w:fldCharType="end"/>
      </w:r>
      <w:r w:rsidR="00332806" w:rsidRPr="003A08D9">
        <w:t>.  </w:t>
      </w:r>
      <w:r w:rsidR="00014126" w:rsidRPr="003A08D9">
        <w:t>On 3 August 2012 the applicants lodged an objection against the decision of 2</w:t>
      </w:r>
      <w:r w:rsidR="00130453" w:rsidRPr="003A08D9">
        <w:t>0</w:t>
      </w:r>
      <w:r w:rsidR="00014126" w:rsidRPr="003A08D9">
        <w:t xml:space="preserve"> July 2012.</w:t>
      </w:r>
    </w:p>
    <w:p w:rsidR="00014126"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34</w:t>
      </w:r>
      <w:r w:rsidRPr="003A08D9">
        <w:rPr>
          <w:noProof/>
        </w:rPr>
        <w:fldChar w:fldCharType="end"/>
      </w:r>
      <w:r w:rsidR="00332806" w:rsidRPr="003A08D9">
        <w:t>.  </w:t>
      </w:r>
      <w:r w:rsidR="00014126" w:rsidRPr="003A08D9">
        <w:t xml:space="preserve">On 9 August 2012 </w:t>
      </w:r>
      <w:r w:rsidR="00332806" w:rsidRPr="003A08D9">
        <w:t>the Diyarbak</w:t>
      </w:r>
      <w:r w:rsidR="00332806" w:rsidRPr="003A08D9">
        <w:rPr>
          <w:rFonts w:cstheme="minorHAnsi"/>
        </w:rPr>
        <w:t>ı</w:t>
      </w:r>
      <w:r w:rsidR="00332806" w:rsidRPr="003A08D9">
        <w:t xml:space="preserve">r Assize Court dismissed </w:t>
      </w:r>
      <w:r w:rsidR="00014126" w:rsidRPr="003A08D9">
        <w:t>their objection.</w:t>
      </w:r>
    </w:p>
    <w:p w:rsidR="00C45861"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35</w:t>
      </w:r>
      <w:r w:rsidRPr="003A08D9">
        <w:rPr>
          <w:noProof/>
        </w:rPr>
        <w:fldChar w:fldCharType="end"/>
      </w:r>
      <w:r w:rsidR="00C45861" w:rsidRPr="003A08D9">
        <w:t>.  On an unspecified date in 2015 the applicants were released after serv</w:t>
      </w:r>
      <w:r w:rsidR="00CB6F4E" w:rsidRPr="003A08D9">
        <w:t xml:space="preserve">ing </w:t>
      </w:r>
      <w:r w:rsidR="00C45861" w:rsidRPr="003A08D9">
        <w:t>their sentences.</w:t>
      </w:r>
    </w:p>
    <w:p w:rsidR="009611AE" w:rsidRPr="003A08D9" w:rsidRDefault="009611AE" w:rsidP="003A08D9">
      <w:pPr>
        <w:pStyle w:val="JuHIRoman"/>
      </w:pPr>
      <w:r w:rsidRPr="003A08D9">
        <w:t>RELEVAN</w:t>
      </w:r>
      <w:r w:rsidR="005F6541" w:rsidRPr="003A08D9">
        <w:t>T DOMESTIC LAW AND PRACTICE</w:t>
      </w:r>
    </w:p>
    <w:p w:rsidR="009611AE" w:rsidRPr="003A08D9" w:rsidRDefault="0081298A" w:rsidP="003A08D9">
      <w:pPr>
        <w:pStyle w:val="JuPara"/>
        <w:rPr>
          <w:noProof/>
        </w:rPr>
      </w:pPr>
      <w:r w:rsidRPr="003A08D9">
        <w:fldChar w:fldCharType="begin"/>
      </w:r>
      <w:r w:rsidRPr="003A08D9">
        <w:instrText xml:space="preserve"> SEQ level0 \*arabic </w:instrText>
      </w:r>
      <w:r w:rsidRPr="003A08D9">
        <w:fldChar w:fldCharType="separate"/>
      </w:r>
      <w:r w:rsidR="003A08D9" w:rsidRPr="003A08D9">
        <w:rPr>
          <w:noProof/>
        </w:rPr>
        <w:t>36</w:t>
      </w:r>
      <w:r w:rsidRPr="003A08D9">
        <w:rPr>
          <w:noProof/>
        </w:rPr>
        <w:fldChar w:fldCharType="end"/>
      </w:r>
      <w:r w:rsidR="009611AE" w:rsidRPr="003A08D9">
        <w:t xml:space="preserve">.  A description of the relevant domestic law and practice can be found in </w:t>
      </w:r>
      <w:r w:rsidR="00924E3D" w:rsidRPr="003A08D9">
        <w:rPr>
          <w:i/>
        </w:rPr>
        <w:t>Gülcü</w:t>
      </w:r>
      <w:r w:rsidR="006B4F6A" w:rsidRPr="003A08D9">
        <w:rPr>
          <w:i/>
        </w:rPr>
        <w:t xml:space="preserve"> </w:t>
      </w:r>
      <w:r w:rsidR="00924E3D" w:rsidRPr="003A08D9">
        <w:rPr>
          <w:i/>
        </w:rPr>
        <w:t>v.</w:t>
      </w:r>
      <w:r w:rsidR="006B4F6A" w:rsidRPr="003A08D9">
        <w:rPr>
          <w:i/>
        </w:rPr>
        <w:t xml:space="preserve"> </w:t>
      </w:r>
      <w:r w:rsidR="009611AE" w:rsidRPr="003A08D9">
        <w:rPr>
          <w:i/>
        </w:rPr>
        <w:t>Turkey</w:t>
      </w:r>
      <w:r w:rsidR="009611AE" w:rsidRPr="003A08D9">
        <w:t xml:space="preserve"> (no.</w:t>
      </w:r>
      <w:r w:rsidR="00CE0502" w:rsidRPr="003A08D9">
        <w:t xml:space="preserve"> </w:t>
      </w:r>
      <w:r w:rsidR="009611AE" w:rsidRPr="003A08D9">
        <w:t>17526/10</w:t>
      </w:r>
      <w:r w:rsidR="00530FE5" w:rsidRPr="003A08D9">
        <w:rPr>
          <w:snapToGrid w:val="0"/>
        </w:rPr>
        <w:t>, §§ 42</w:t>
      </w:r>
      <w:r w:rsidR="009611AE" w:rsidRPr="003A08D9">
        <w:rPr>
          <w:snapToGrid w:val="0"/>
        </w:rPr>
        <w:t>-44, 51, 56-59 and 66</w:t>
      </w:r>
      <w:r w:rsidR="006B4F6A" w:rsidRPr="003A08D9">
        <w:rPr>
          <w:snapToGrid w:val="0"/>
        </w:rPr>
        <w:noBreakHyphen/>
      </w:r>
      <w:r w:rsidR="009611AE" w:rsidRPr="003A08D9">
        <w:rPr>
          <w:snapToGrid w:val="0"/>
        </w:rPr>
        <w:t>72</w:t>
      </w:r>
      <w:r w:rsidR="005F6541" w:rsidRPr="003A08D9">
        <w:rPr>
          <w:snapToGrid w:val="0"/>
        </w:rPr>
        <w:t>, 19 </w:t>
      </w:r>
      <w:r w:rsidR="009611AE" w:rsidRPr="003A08D9">
        <w:rPr>
          <w:snapToGrid w:val="0"/>
        </w:rPr>
        <w:t>January 2016</w:t>
      </w:r>
      <w:r w:rsidR="006F0F29" w:rsidRPr="003A08D9">
        <w:rPr>
          <w:snapToGrid w:val="0"/>
        </w:rPr>
        <w:t>)</w:t>
      </w:r>
      <w:r w:rsidR="00307E4B" w:rsidRPr="003A08D9">
        <w:rPr>
          <w:snapToGrid w:val="0"/>
        </w:rPr>
        <w:t xml:space="preserve"> and </w:t>
      </w:r>
      <w:r w:rsidR="00307E4B" w:rsidRPr="003A08D9">
        <w:rPr>
          <w:i/>
        </w:rPr>
        <w:t>Balta and Demir</w:t>
      </w:r>
      <w:r w:rsidR="00307E4B" w:rsidRPr="003A08D9">
        <w:t xml:space="preserve"> </w:t>
      </w:r>
      <w:r w:rsidR="00307E4B" w:rsidRPr="003A08D9">
        <w:rPr>
          <w:i/>
        </w:rPr>
        <w:t>v. Turkey</w:t>
      </w:r>
      <w:r w:rsidR="00307E4B" w:rsidRPr="003A08D9">
        <w:t xml:space="preserve"> (no.</w:t>
      </w:r>
      <w:r w:rsidR="006B4F6A" w:rsidRPr="003A08D9">
        <w:t xml:space="preserve"> </w:t>
      </w:r>
      <w:r w:rsidR="00307E4B" w:rsidRPr="003A08D9">
        <w:t>48628/12</w:t>
      </w:r>
      <w:r w:rsidR="00307E4B" w:rsidRPr="003A08D9">
        <w:rPr>
          <w:snapToGrid w:val="0"/>
        </w:rPr>
        <w:t>, §</w:t>
      </w:r>
      <w:r w:rsidR="006B4F6A" w:rsidRPr="003A08D9">
        <w:rPr>
          <w:snapToGrid w:val="0"/>
        </w:rPr>
        <w:t> </w:t>
      </w:r>
      <w:r w:rsidR="00307E4B" w:rsidRPr="003A08D9">
        <w:rPr>
          <w:snapToGrid w:val="0"/>
        </w:rPr>
        <w:t>26</w:t>
      </w:r>
      <w:r w:rsidR="005F6541" w:rsidRPr="003A08D9">
        <w:rPr>
          <w:snapToGrid w:val="0"/>
        </w:rPr>
        <w:t>, 23 </w:t>
      </w:r>
      <w:r w:rsidR="00307E4B" w:rsidRPr="003A08D9">
        <w:rPr>
          <w:snapToGrid w:val="0"/>
        </w:rPr>
        <w:t>June 2015)</w:t>
      </w:r>
      <w:r w:rsidR="006F0F29" w:rsidRPr="003A08D9">
        <w:rPr>
          <w:noProof/>
        </w:rPr>
        <w:t>.</w:t>
      </w:r>
    </w:p>
    <w:p w:rsidR="001F0975" w:rsidRPr="003A08D9" w:rsidRDefault="00734B6C" w:rsidP="003A08D9">
      <w:pPr>
        <w:pStyle w:val="JuPara"/>
        <w:rPr>
          <w:noProof/>
        </w:rPr>
      </w:pPr>
      <w:r w:rsidRPr="003A08D9">
        <w:rPr>
          <w:noProof/>
        </w:rPr>
        <w:fldChar w:fldCharType="begin"/>
      </w:r>
      <w:r w:rsidRPr="003A08D9">
        <w:rPr>
          <w:noProof/>
        </w:rPr>
        <w:instrText xml:space="preserve"> SEQ level0 \*arabic </w:instrText>
      </w:r>
      <w:r w:rsidRPr="003A08D9">
        <w:rPr>
          <w:noProof/>
        </w:rPr>
        <w:fldChar w:fldCharType="separate"/>
      </w:r>
      <w:r w:rsidR="003A08D9" w:rsidRPr="003A08D9">
        <w:rPr>
          <w:noProof/>
        </w:rPr>
        <w:t>37</w:t>
      </w:r>
      <w:r w:rsidRPr="003A08D9">
        <w:rPr>
          <w:noProof/>
        </w:rPr>
        <w:fldChar w:fldCharType="end"/>
      </w:r>
      <w:r w:rsidRPr="003A08D9">
        <w:rPr>
          <w:noProof/>
        </w:rPr>
        <w:t>.  </w:t>
      </w:r>
      <w:r w:rsidR="001F0975" w:rsidRPr="003A08D9">
        <w:rPr>
          <w:noProof/>
        </w:rPr>
        <w:t>Article 188 § 1 of the Code of Criminal Procedure (Law no.</w:t>
      </w:r>
      <w:r w:rsidR="0099328A" w:rsidRPr="003A08D9">
        <w:rPr>
          <w:noProof/>
        </w:rPr>
        <w:t xml:space="preserve"> </w:t>
      </w:r>
      <w:r w:rsidR="001F0975" w:rsidRPr="003A08D9">
        <w:rPr>
          <w:noProof/>
        </w:rPr>
        <w:t>5271 of 4</w:t>
      </w:r>
      <w:r w:rsidR="006B4F6A" w:rsidRPr="003A08D9">
        <w:rPr>
          <w:noProof/>
        </w:rPr>
        <w:t> </w:t>
      </w:r>
      <w:r w:rsidR="001F0975" w:rsidRPr="003A08D9">
        <w:rPr>
          <w:noProof/>
        </w:rPr>
        <w:t>December 2004) in force at the material time provides, in so far as relevant, as follows:</w:t>
      </w:r>
    </w:p>
    <w:p w:rsidR="001F0975" w:rsidRPr="003A08D9" w:rsidRDefault="001F0975" w:rsidP="003A08D9">
      <w:pPr>
        <w:pStyle w:val="JuQuot"/>
        <w:rPr>
          <w:i/>
        </w:rPr>
      </w:pPr>
      <w:r w:rsidRPr="003A08D9">
        <w:rPr>
          <w:noProof/>
        </w:rPr>
        <w:t xml:space="preserve">“The date on which a witness or an expert </w:t>
      </w:r>
      <w:r w:rsidR="0049438D" w:rsidRPr="003A08D9">
        <w:rPr>
          <w:noProof/>
        </w:rPr>
        <w:t xml:space="preserve">is to give </w:t>
      </w:r>
      <w:r w:rsidRPr="003A08D9">
        <w:rPr>
          <w:noProof/>
        </w:rPr>
        <w:t xml:space="preserve">evidence shall be </w:t>
      </w:r>
      <w:r w:rsidR="0099328A" w:rsidRPr="003A08D9">
        <w:rPr>
          <w:noProof/>
        </w:rPr>
        <w:t>notifi</w:t>
      </w:r>
      <w:r w:rsidRPr="003A08D9">
        <w:rPr>
          <w:noProof/>
        </w:rPr>
        <w:t xml:space="preserve">ed to the public prosecutor, the victim and his or her representative, the accused and his or her defence </w:t>
      </w:r>
      <w:r w:rsidR="00411956" w:rsidRPr="003A08D9">
        <w:rPr>
          <w:noProof/>
        </w:rPr>
        <w:t>counsel</w:t>
      </w:r>
      <w:r w:rsidR="00CE0502" w:rsidRPr="003A08D9">
        <w:rPr>
          <w:noProof/>
        </w:rPr>
        <w:t>.</w:t>
      </w:r>
      <w:r w:rsidRPr="003A08D9">
        <w:rPr>
          <w:noProof/>
        </w:rPr>
        <w:t>”</w:t>
      </w:r>
    </w:p>
    <w:p w:rsidR="00014566" w:rsidRPr="003A08D9" w:rsidRDefault="00014566" w:rsidP="003A08D9">
      <w:pPr>
        <w:pStyle w:val="JuHHead"/>
      </w:pPr>
      <w:r w:rsidRPr="003A08D9">
        <w:t>THE LAW</w:t>
      </w:r>
    </w:p>
    <w:p w:rsidR="00CD5864" w:rsidRPr="003A08D9" w:rsidRDefault="003173ED" w:rsidP="003A08D9">
      <w:pPr>
        <w:pStyle w:val="JuHIRoman"/>
      </w:pPr>
      <w:r w:rsidRPr="003A08D9">
        <w:t>ADMISSIBILITY</w:t>
      </w:r>
    </w:p>
    <w:p w:rsidR="00CD5864"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38</w:t>
      </w:r>
      <w:r w:rsidRPr="003A08D9">
        <w:rPr>
          <w:noProof/>
        </w:rPr>
        <w:fldChar w:fldCharType="end"/>
      </w:r>
      <w:r w:rsidR="006F0F29" w:rsidRPr="003A08D9">
        <w:t>.  </w:t>
      </w:r>
      <w:r w:rsidR="00CD5864" w:rsidRPr="003A08D9">
        <w:t xml:space="preserve">The Government submitted that </w:t>
      </w:r>
      <w:r w:rsidR="006F2FFD" w:rsidRPr="003A08D9">
        <w:t xml:space="preserve">the application should be rejected for </w:t>
      </w:r>
      <w:r w:rsidR="00A044F3" w:rsidRPr="003A08D9">
        <w:t>non-compliance with the six</w:t>
      </w:r>
      <w:r w:rsidR="00CB6F4E" w:rsidRPr="003A08D9">
        <w:t>-</w:t>
      </w:r>
      <w:r w:rsidR="00A044F3" w:rsidRPr="003A08D9">
        <w:t>month time-limit</w:t>
      </w:r>
      <w:r w:rsidR="006F2FFD" w:rsidRPr="003A08D9">
        <w:t xml:space="preserve"> as the applicants</w:t>
      </w:r>
      <w:r w:rsidR="003A08D9" w:rsidRPr="003A08D9">
        <w:t>’</w:t>
      </w:r>
      <w:r w:rsidR="006F2FFD" w:rsidRPr="003A08D9">
        <w:t xml:space="preserve"> representative had failed to </w:t>
      </w:r>
      <w:r w:rsidR="00A044F3" w:rsidRPr="003A08D9">
        <w:t>submit</w:t>
      </w:r>
      <w:r w:rsidR="006F2FFD" w:rsidRPr="003A08D9">
        <w:t xml:space="preserve"> an application until 6 November 2013.</w:t>
      </w:r>
    </w:p>
    <w:p w:rsidR="006F2FFD" w:rsidRPr="003A08D9" w:rsidRDefault="0081298A" w:rsidP="003A08D9">
      <w:pPr>
        <w:pStyle w:val="JuPara"/>
      </w:pPr>
      <w:r w:rsidRPr="003A08D9">
        <w:lastRenderedPageBreak/>
        <w:fldChar w:fldCharType="begin"/>
      </w:r>
      <w:r w:rsidRPr="003A08D9">
        <w:instrText xml:space="preserve"> SEQ level0 \*arabic </w:instrText>
      </w:r>
      <w:r w:rsidRPr="003A08D9">
        <w:fldChar w:fldCharType="separate"/>
      </w:r>
      <w:r w:rsidR="003A08D9" w:rsidRPr="003A08D9">
        <w:rPr>
          <w:noProof/>
        </w:rPr>
        <w:t>39</w:t>
      </w:r>
      <w:r w:rsidRPr="003A08D9">
        <w:rPr>
          <w:noProof/>
        </w:rPr>
        <w:fldChar w:fldCharType="end"/>
      </w:r>
      <w:r w:rsidR="006F2FFD" w:rsidRPr="003A08D9">
        <w:t>.  The applicants replied that they had submitted an application form</w:t>
      </w:r>
      <w:r w:rsidR="001A0144" w:rsidRPr="003A08D9">
        <w:t>,</w:t>
      </w:r>
      <w:r w:rsidR="006F2FFD" w:rsidRPr="003A08D9">
        <w:t xml:space="preserve"> </w:t>
      </w:r>
      <w:r w:rsidR="00126F85" w:rsidRPr="003A08D9">
        <w:t xml:space="preserve">along </w:t>
      </w:r>
      <w:r w:rsidR="006F2FFD" w:rsidRPr="003A08D9">
        <w:t>with authori</w:t>
      </w:r>
      <w:r w:rsidR="00126F85" w:rsidRPr="003A08D9">
        <w:t xml:space="preserve">sation </w:t>
      </w:r>
      <w:r w:rsidR="006F2FFD" w:rsidRPr="003A08D9">
        <w:t>forms and supporting documents</w:t>
      </w:r>
      <w:r w:rsidR="001A0144" w:rsidRPr="003A08D9">
        <w:t>,</w:t>
      </w:r>
      <w:r w:rsidR="006F2FFD" w:rsidRPr="003A08D9">
        <w:t xml:space="preserve"> on 18</w:t>
      </w:r>
      <w:r w:rsidR="009B075E" w:rsidRPr="003A08D9">
        <w:t> </w:t>
      </w:r>
      <w:r w:rsidR="00A044F3" w:rsidRPr="003A08D9">
        <w:t>September</w:t>
      </w:r>
      <w:r w:rsidR="006F2FFD" w:rsidRPr="003A08D9">
        <w:t xml:space="preserve"> 2012. They noted that in the application form </w:t>
      </w:r>
      <w:r w:rsidR="00126F85" w:rsidRPr="003A08D9">
        <w:t xml:space="preserve">the </w:t>
      </w:r>
      <w:r w:rsidR="00D201AC" w:rsidRPr="003A08D9">
        <w:t>number</w:t>
      </w:r>
      <w:r w:rsidR="00E323ED" w:rsidRPr="003A08D9">
        <w:t>s</w:t>
      </w:r>
      <w:r w:rsidR="00D201AC" w:rsidRPr="003A08D9">
        <w:t xml:space="preserve"> of the case</w:t>
      </w:r>
      <w:r w:rsidR="00E323ED" w:rsidRPr="003A08D9">
        <w:t>s</w:t>
      </w:r>
      <w:r w:rsidR="00D201AC" w:rsidRPr="003A08D9">
        <w:t xml:space="preserve"> lodged a</w:t>
      </w:r>
      <w:r w:rsidR="006F2FFD" w:rsidRPr="003A08D9">
        <w:t xml:space="preserve">gainst the applicants had been </w:t>
      </w:r>
      <w:r w:rsidR="00126F85" w:rsidRPr="003A08D9">
        <w:t xml:space="preserve">wrong </w:t>
      </w:r>
      <w:r w:rsidR="006F2FFD" w:rsidRPr="003A08D9">
        <w:t xml:space="preserve">and that they had been asked by the Registry of the Court to correct those errors. They </w:t>
      </w:r>
      <w:r w:rsidR="00126F85" w:rsidRPr="003A08D9">
        <w:t xml:space="preserve">had </w:t>
      </w:r>
      <w:r w:rsidR="006F2FFD" w:rsidRPr="003A08D9">
        <w:t xml:space="preserve">then sent the corrected version of the </w:t>
      </w:r>
      <w:r w:rsidR="00A044F3" w:rsidRPr="003A08D9">
        <w:t>application on 30 October 2013</w:t>
      </w:r>
      <w:r w:rsidR="006F2FFD" w:rsidRPr="003A08D9">
        <w:t>. They stated that they had lodged the application on 18</w:t>
      </w:r>
      <w:r w:rsidR="00A044F3" w:rsidRPr="003A08D9">
        <w:t xml:space="preserve"> September 2012, within the six</w:t>
      </w:r>
      <w:r w:rsidR="00126F85" w:rsidRPr="003A08D9">
        <w:noBreakHyphen/>
      </w:r>
      <w:r w:rsidR="006F2FFD" w:rsidRPr="003A08D9">
        <w:t>month time-limit.</w:t>
      </w:r>
    </w:p>
    <w:p w:rsidR="006F2FFD"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40</w:t>
      </w:r>
      <w:r w:rsidRPr="003A08D9">
        <w:rPr>
          <w:noProof/>
        </w:rPr>
        <w:fldChar w:fldCharType="end"/>
      </w:r>
      <w:r w:rsidR="006F2FFD" w:rsidRPr="003A08D9">
        <w:t>.  The Court observes that</w:t>
      </w:r>
      <w:r w:rsidR="00B02FB0" w:rsidRPr="003A08D9">
        <w:t>, indeed,</w:t>
      </w:r>
      <w:r w:rsidR="006F2FFD" w:rsidRPr="003A08D9">
        <w:t xml:space="preserve"> the applicants lodged the</w:t>
      </w:r>
      <w:r w:rsidR="00126F85" w:rsidRPr="003A08D9">
        <w:t>ir</w:t>
      </w:r>
      <w:r w:rsidR="006F2FFD" w:rsidRPr="003A08D9">
        <w:t xml:space="preserve"> application and sent an application form, authori</w:t>
      </w:r>
      <w:r w:rsidR="00126F85" w:rsidRPr="003A08D9">
        <w:t xml:space="preserve">sation </w:t>
      </w:r>
      <w:r w:rsidR="006F2FFD" w:rsidRPr="003A08D9">
        <w:t>forms and supporting docum</w:t>
      </w:r>
      <w:r w:rsidR="00FF4C7F" w:rsidRPr="003A08D9">
        <w:t>ents on 18</w:t>
      </w:r>
      <w:r w:rsidR="006B4F6A" w:rsidRPr="003A08D9">
        <w:t xml:space="preserve"> </w:t>
      </w:r>
      <w:r w:rsidR="006F2FFD" w:rsidRPr="003A08D9">
        <w:t xml:space="preserve">September 2012. The Court </w:t>
      </w:r>
      <w:r w:rsidR="00126F85" w:rsidRPr="003A08D9">
        <w:t xml:space="preserve">also </w:t>
      </w:r>
      <w:r w:rsidR="006F2FFD" w:rsidRPr="003A08D9">
        <w:t>obs</w:t>
      </w:r>
      <w:r w:rsidR="00A044F3" w:rsidRPr="003A08D9">
        <w:t>erves that by a letter dated 29</w:t>
      </w:r>
      <w:r w:rsidR="006B4F6A" w:rsidRPr="003A08D9">
        <w:t xml:space="preserve"> </w:t>
      </w:r>
      <w:r w:rsidR="006F2FFD" w:rsidRPr="003A08D9">
        <w:t>August 2013 the Registry</w:t>
      </w:r>
      <w:r w:rsidR="00126F85" w:rsidRPr="003A08D9">
        <w:t xml:space="preserve"> informed </w:t>
      </w:r>
      <w:r w:rsidR="006F2FFD" w:rsidRPr="003A08D9">
        <w:t>the applicants</w:t>
      </w:r>
      <w:r w:rsidR="003A08D9" w:rsidRPr="003A08D9">
        <w:t>’</w:t>
      </w:r>
      <w:r w:rsidR="006F2FFD" w:rsidRPr="003A08D9">
        <w:t xml:space="preserve"> representative that </w:t>
      </w:r>
      <w:r w:rsidR="00126F85" w:rsidRPr="003A08D9">
        <w:t>o</w:t>
      </w:r>
      <w:r w:rsidR="00E07D78" w:rsidRPr="003A08D9">
        <w:t>n pages 4</w:t>
      </w:r>
      <w:r w:rsidR="006B4F6A" w:rsidRPr="003A08D9">
        <w:t>-</w:t>
      </w:r>
      <w:r w:rsidR="00E07D78" w:rsidRPr="003A08D9">
        <w:t xml:space="preserve">9 of the application form, </w:t>
      </w:r>
      <w:r w:rsidR="006F2FFD" w:rsidRPr="003A08D9">
        <w:t>the case numbers and the length of the applicants</w:t>
      </w:r>
      <w:r w:rsidR="003A08D9" w:rsidRPr="003A08D9">
        <w:t>’</w:t>
      </w:r>
      <w:r w:rsidR="006F2FFD" w:rsidRPr="003A08D9">
        <w:t xml:space="preserve"> sentences were</w:t>
      </w:r>
      <w:r w:rsidR="00E07D78" w:rsidRPr="003A08D9">
        <w:t xml:space="preserve"> </w:t>
      </w:r>
      <w:r w:rsidR="000F354E" w:rsidRPr="003A08D9">
        <w:t>wrong</w:t>
      </w:r>
      <w:r w:rsidR="00E07D78" w:rsidRPr="003A08D9">
        <w:t xml:space="preserve">. </w:t>
      </w:r>
      <w:r w:rsidR="000F354E" w:rsidRPr="003A08D9">
        <w:t>T</w:t>
      </w:r>
      <w:r w:rsidR="00DA758A" w:rsidRPr="003A08D9">
        <w:t>he letter</w:t>
      </w:r>
      <w:r w:rsidR="000F354E" w:rsidRPr="003A08D9">
        <w:t xml:space="preserve"> asked </w:t>
      </w:r>
      <w:r w:rsidR="00DA758A" w:rsidRPr="003A08D9">
        <w:t>t</w:t>
      </w:r>
      <w:r w:rsidR="00E07D78" w:rsidRPr="003A08D9">
        <w:t>he applicants</w:t>
      </w:r>
      <w:r w:rsidR="003A08D9" w:rsidRPr="003A08D9">
        <w:t>’</w:t>
      </w:r>
      <w:r w:rsidR="00E07D78" w:rsidRPr="003A08D9">
        <w:t xml:space="preserve"> representative to </w:t>
      </w:r>
      <w:r w:rsidR="000F354E" w:rsidRPr="003A08D9">
        <w:t xml:space="preserve">check </w:t>
      </w:r>
      <w:r w:rsidR="00E07D78" w:rsidRPr="003A08D9">
        <w:t xml:space="preserve">the application form and either </w:t>
      </w:r>
      <w:r w:rsidR="0099328A" w:rsidRPr="003A08D9">
        <w:t xml:space="preserve">send </w:t>
      </w:r>
      <w:r w:rsidR="00E07D78" w:rsidRPr="003A08D9">
        <w:t xml:space="preserve">a revised </w:t>
      </w:r>
      <w:r w:rsidR="000F354E" w:rsidRPr="003A08D9">
        <w:t xml:space="preserve">version </w:t>
      </w:r>
      <w:r w:rsidR="00E07D78" w:rsidRPr="003A08D9">
        <w:t xml:space="preserve">or </w:t>
      </w:r>
      <w:r w:rsidR="000F354E" w:rsidRPr="003A08D9">
        <w:t xml:space="preserve">make </w:t>
      </w:r>
      <w:r w:rsidR="00E07D78" w:rsidRPr="003A08D9">
        <w:t xml:space="preserve">corrections </w:t>
      </w:r>
      <w:r w:rsidR="001A0144" w:rsidRPr="003A08D9">
        <w:t>to</w:t>
      </w:r>
      <w:r w:rsidR="000F354E" w:rsidRPr="003A08D9">
        <w:t xml:space="preserve"> the one</w:t>
      </w:r>
      <w:r w:rsidR="00130453" w:rsidRPr="003A08D9">
        <w:t xml:space="preserve"> already</w:t>
      </w:r>
      <w:r w:rsidR="000F354E" w:rsidRPr="003A08D9">
        <w:t xml:space="preserve"> sent </w:t>
      </w:r>
      <w:r w:rsidR="00E07D78" w:rsidRPr="003A08D9">
        <w:t xml:space="preserve">to the Court. </w:t>
      </w:r>
      <w:r w:rsidR="00AB1F9F" w:rsidRPr="003A08D9">
        <w:t>Subsequently,</w:t>
      </w:r>
      <w:r w:rsidR="00E07D78" w:rsidRPr="003A08D9">
        <w:t xml:space="preserve"> on 30 October 2013 the applicants</w:t>
      </w:r>
      <w:r w:rsidR="003A08D9" w:rsidRPr="003A08D9">
        <w:t>’</w:t>
      </w:r>
      <w:r w:rsidR="00E07D78" w:rsidRPr="003A08D9">
        <w:t xml:space="preserve"> lawyer sent </w:t>
      </w:r>
      <w:r w:rsidR="00FF4C7F" w:rsidRPr="003A08D9">
        <w:t>a new</w:t>
      </w:r>
      <w:r w:rsidR="00E07D78" w:rsidRPr="003A08D9">
        <w:t xml:space="preserve"> application form</w:t>
      </w:r>
      <w:r w:rsidR="00FF4C7F" w:rsidRPr="003A08D9">
        <w:t xml:space="preserve"> which </w:t>
      </w:r>
      <w:r w:rsidR="00B02FB0" w:rsidRPr="003A08D9">
        <w:t xml:space="preserve">was </w:t>
      </w:r>
      <w:r w:rsidR="00FF4C7F" w:rsidRPr="003A08D9">
        <w:t xml:space="preserve">corrected </w:t>
      </w:r>
      <w:r w:rsidR="00B02FB0" w:rsidRPr="003A08D9">
        <w:t>according to the rules.</w:t>
      </w:r>
      <w:r w:rsidR="00E07D78" w:rsidRPr="003A08D9">
        <w:t xml:space="preserve"> </w:t>
      </w:r>
      <w:r w:rsidR="00A044F3" w:rsidRPr="003A08D9">
        <w:t>T</w:t>
      </w:r>
      <w:r w:rsidR="00FF4C7F" w:rsidRPr="003A08D9">
        <w:t>he facts submitted by the applicants and the allegations of breaches of the Convention</w:t>
      </w:r>
      <w:r w:rsidR="00D201AC" w:rsidRPr="003A08D9">
        <w:t xml:space="preserve"> </w:t>
      </w:r>
      <w:r w:rsidR="000F354E" w:rsidRPr="003A08D9">
        <w:t xml:space="preserve">made </w:t>
      </w:r>
      <w:r w:rsidR="00D201AC" w:rsidRPr="003A08D9">
        <w:t>in the application form of 18 September 2012</w:t>
      </w:r>
      <w:r w:rsidR="00FF4C7F" w:rsidRPr="003A08D9">
        <w:t xml:space="preserve"> remained unchanged in the </w:t>
      </w:r>
      <w:r w:rsidR="000F354E" w:rsidRPr="003A08D9">
        <w:t xml:space="preserve">one </w:t>
      </w:r>
      <w:r w:rsidR="00D201AC" w:rsidRPr="003A08D9">
        <w:t>sent on</w:t>
      </w:r>
      <w:r w:rsidR="00FF4C7F" w:rsidRPr="003A08D9">
        <w:t xml:space="preserve"> 30 October 2013. In th</w:t>
      </w:r>
      <w:r w:rsidR="000F354E" w:rsidRPr="003A08D9">
        <w:t>o</w:t>
      </w:r>
      <w:r w:rsidR="00FF4C7F" w:rsidRPr="003A08D9">
        <w:t>se circumstances, the Court does not find any reason to accept the Government</w:t>
      </w:r>
      <w:r w:rsidR="003A08D9" w:rsidRPr="003A08D9">
        <w:t>’</w:t>
      </w:r>
      <w:r w:rsidR="00FF4C7F" w:rsidRPr="003A08D9">
        <w:t xml:space="preserve">s objection and </w:t>
      </w:r>
      <w:r w:rsidR="00924E3D" w:rsidRPr="003A08D9">
        <w:t xml:space="preserve">considers that 18 September 2012, the date </w:t>
      </w:r>
      <w:r w:rsidR="000F354E" w:rsidRPr="003A08D9">
        <w:t xml:space="preserve">of submission of </w:t>
      </w:r>
      <w:r w:rsidR="00924E3D" w:rsidRPr="003A08D9">
        <w:t>the first application form</w:t>
      </w:r>
      <w:r w:rsidR="000F354E" w:rsidRPr="003A08D9">
        <w:t xml:space="preserve">, </w:t>
      </w:r>
      <w:r w:rsidR="00A044F3" w:rsidRPr="003A08D9">
        <w:t>authori</w:t>
      </w:r>
      <w:r w:rsidR="000F354E" w:rsidRPr="003A08D9">
        <w:t xml:space="preserve">sation </w:t>
      </w:r>
      <w:r w:rsidR="00A044F3" w:rsidRPr="003A08D9">
        <w:t>forms and supporting documents</w:t>
      </w:r>
      <w:r w:rsidR="000F354E" w:rsidRPr="003A08D9">
        <w:t xml:space="preserve">, </w:t>
      </w:r>
      <w:r w:rsidR="00924E3D" w:rsidRPr="003A08D9">
        <w:t>should be taken as the date the present application</w:t>
      </w:r>
      <w:r w:rsidR="000F354E" w:rsidRPr="003A08D9">
        <w:t xml:space="preserve"> was lodged</w:t>
      </w:r>
      <w:r w:rsidR="00924E3D" w:rsidRPr="003A08D9">
        <w:t>.</w:t>
      </w:r>
    </w:p>
    <w:p w:rsidR="00575152" w:rsidRPr="003A08D9" w:rsidRDefault="004020A5" w:rsidP="003A08D9">
      <w:pPr>
        <w:pStyle w:val="JuPara"/>
        <w:rPr>
          <w:rFonts w:ascii="Times New Roman" w:hAnsi="Times New Roman" w:cs="Times New Roman"/>
          <w:szCs w:val="24"/>
        </w:rPr>
      </w:pPr>
      <w:r w:rsidRPr="003A08D9">
        <w:fldChar w:fldCharType="begin"/>
      </w:r>
      <w:r w:rsidRPr="003A08D9">
        <w:instrText xml:space="preserve"> SEQ level0 \*arabic </w:instrText>
      </w:r>
      <w:r w:rsidRPr="003A08D9">
        <w:fldChar w:fldCharType="separate"/>
      </w:r>
      <w:r w:rsidR="003A08D9" w:rsidRPr="003A08D9">
        <w:rPr>
          <w:noProof/>
        </w:rPr>
        <w:t>41</w:t>
      </w:r>
      <w:r w:rsidRPr="003A08D9">
        <w:fldChar w:fldCharType="end"/>
      </w:r>
      <w:r w:rsidRPr="003A08D9">
        <w:t>.  </w:t>
      </w:r>
      <w:r w:rsidR="00FF4C7F" w:rsidRPr="003A08D9">
        <w:t xml:space="preserve">The Court </w:t>
      </w:r>
      <w:r w:rsidR="000F354E" w:rsidRPr="003A08D9">
        <w:t xml:space="preserve">therefore </w:t>
      </w:r>
      <w:r w:rsidR="00FF4C7F" w:rsidRPr="003A08D9">
        <w:rPr>
          <w:rFonts w:ascii="Times New Roman" w:hAnsi="Times New Roman" w:cs="Times New Roman"/>
          <w:szCs w:val="24"/>
        </w:rPr>
        <w:t>rejects the Government</w:t>
      </w:r>
      <w:r w:rsidR="003A08D9" w:rsidRPr="003A08D9">
        <w:rPr>
          <w:rFonts w:ascii="Times New Roman" w:hAnsi="Times New Roman" w:cs="Times New Roman"/>
          <w:szCs w:val="24"/>
        </w:rPr>
        <w:t>’</w:t>
      </w:r>
      <w:r w:rsidR="00FF4C7F" w:rsidRPr="003A08D9">
        <w:rPr>
          <w:rFonts w:ascii="Times New Roman" w:hAnsi="Times New Roman" w:cs="Times New Roman"/>
          <w:szCs w:val="24"/>
        </w:rPr>
        <w:t xml:space="preserve">s </w:t>
      </w:r>
      <w:r w:rsidR="00A044F3" w:rsidRPr="003A08D9">
        <w:rPr>
          <w:rFonts w:ascii="Times New Roman" w:hAnsi="Times New Roman" w:cs="Times New Roman"/>
          <w:szCs w:val="24"/>
        </w:rPr>
        <w:t>objection</w:t>
      </w:r>
      <w:r w:rsidR="00FF4C7F" w:rsidRPr="003A08D9">
        <w:rPr>
          <w:rFonts w:ascii="Times New Roman" w:hAnsi="Times New Roman" w:cs="Times New Roman"/>
          <w:szCs w:val="24"/>
        </w:rPr>
        <w:t>.</w:t>
      </w:r>
    </w:p>
    <w:bookmarkStart w:id="9" w:name="sixmonths1"/>
    <w:p w:rsidR="00575152" w:rsidRPr="003A08D9" w:rsidRDefault="004020A5" w:rsidP="003A08D9">
      <w:pPr>
        <w:pStyle w:val="JuPara"/>
        <w:rPr>
          <w:noProof/>
        </w:rPr>
      </w:pPr>
      <w:r w:rsidRPr="003A08D9">
        <w:rPr>
          <w:noProof/>
        </w:rPr>
        <w:fldChar w:fldCharType="begin"/>
      </w:r>
      <w:r w:rsidRPr="003A08D9">
        <w:rPr>
          <w:noProof/>
        </w:rPr>
        <w:instrText xml:space="preserve"> SEQ level0 \*arabic </w:instrText>
      </w:r>
      <w:r w:rsidRPr="003A08D9">
        <w:rPr>
          <w:noProof/>
        </w:rPr>
        <w:fldChar w:fldCharType="separate"/>
      </w:r>
      <w:r w:rsidR="003A08D9" w:rsidRPr="003A08D9">
        <w:rPr>
          <w:noProof/>
        </w:rPr>
        <w:t>42</w:t>
      </w:r>
      <w:r w:rsidRPr="003A08D9">
        <w:rPr>
          <w:noProof/>
        </w:rPr>
        <w:fldChar w:fldCharType="end"/>
      </w:r>
      <w:bookmarkEnd w:id="9"/>
      <w:r w:rsidRPr="003A08D9">
        <w:rPr>
          <w:noProof/>
        </w:rPr>
        <w:t>.  </w:t>
      </w:r>
      <w:r w:rsidR="000F354E" w:rsidRPr="003A08D9">
        <w:rPr>
          <w:noProof/>
        </w:rPr>
        <w:t>However, t</w:t>
      </w:r>
      <w:r w:rsidR="003173ED" w:rsidRPr="003A08D9">
        <w:rPr>
          <w:noProof/>
        </w:rPr>
        <w:t xml:space="preserve">he Court observes </w:t>
      </w:r>
      <w:r w:rsidR="009E3C57" w:rsidRPr="003A08D9">
        <w:rPr>
          <w:noProof/>
        </w:rPr>
        <w:t>that the decision of the Diyarbakır Assize Court to suspend the pronouncement of the judgment in respect of the applicants</w:t>
      </w:r>
      <w:r w:rsidR="003A08D9" w:rsidRPr="003A08D9">
        <w:rPr>
          <w:noProof/>
        </w:rPr>
        <w:t>’</w:t>
      </w:r>
      <w:r w:rsidR="009E3C57" w:rsidRPr="003A08D9">
        <w:rPr>
          <w:noProof/>
        </w:rPr>
        <w:t xml:space="preserve"> convictions and sentences under sections 33(1) and 32(1) of Law no. 2911 and Article 265</w:t>
      </w:r>
      <w:r w:rsidR="000F354E" w:rsidRPr="003A08D9">
        <w:rPr>
          <w:noProof/>
        </w:rPr>
        <w:t xml:space="preserve"> </w:t>
      </w:r>
      <w:r w:rsidR="000F354E" w:rsidRPr="003A08D9">
        <w:rPr>
          <w:snapToGrid w:val="0"/>
        </w:rPr>
        <w:t>§</w:t>
      </w:r>
      <w:r w:rsidR="00084AB3" w:rsidRPr="003A08D9">
        <w:rPr>
          <w:noProof/>
        </w:rPr>
        <w:t xml:space="preserve"> </w:t>
      </w:r>
      <w:r w:rsidR="009E3C57" w:rsidRPr="003A08D9">
        <w:rPr>
          <w:noProof/>
        </w:rPr>
        <w:t xml:space="preserve">1 of the Criminal Code became final on 13 December 2010 (see paragraph </w:t>
      </w:r>
      <w:r w:rsidRPr="003A08D9">
        <w:rPr>
          <w:noProof/>
        </w:rPr>
        <w:fldChar w:fldCharType="begin"/>
      </w:r>
      <w:r w:rsidRPr="003A08D9">
        <w:rPr>
          <w:noProof/>
        </w:rPr>
        <w:instrText xml:space="preserve"> REF suspensionfinal \h  \* MERGEFORMAT </w:instrText>
      </w:r>
      <w:r w:rsidRPr="003A08D9">
        <w:rPr>
          <w:noProof/>
        </w:rPr>
      </w:r>
      <w:r w:rsidRPr="003A08D9">
        <w:rPr>
          <w:noProof/>
        </w:rPr>
        <w:fldChar w:fldCharType="separate"/>
      </w:r>
      <w:r w:rsidR="003A08D9" w:rsidRPr="003A08D9">
        <w:rPr>
          <w:noProof/>
        </w:rPr>
        <w:t>28</w:t>
      </w:r>
      <w:r w:rsidRPr="003A08D9">
        <w:rPr>
          <w:noProof/>
        </w:rPr>
        <w:fldChar w:fldCharType="end"/>
      </w:r>
      <w:r w:rsidRPr="003A08D9">
        <w:rPr>
          <w:noProof/>
        </w:rPr>
        <w:t xml:space="preserve"> </w:t>
      </w:r>
      <w:r w:rsidR="009E3C57" w:rsidRPr="003A08D9">
        <w:rPr>
          <w:noProof/>
        </w:rPr>
        <w:t>above)</w:t>
      </w:r>
      <w:r w:rsidR="00575152" w:rsidRPr="003A08D9">
        <w:rPr>
          <w:noProof/>
        </w:rPr>
        <w:t>.</w:t>
      </w:r>
      <w:r w:rsidR="009E3C57" w:rsidRPr="003A08D9">
        <w:rPr>
          <w:noProof/>
        </w:rPr>
        <w:t xml:space="preserve"> </w:t>
      </w:r>
      <w:r w:rsidR="00575152" w:rsidRPr="003A08D9">
        <w:rPr>
          <w:noProof/>
        </w:rPr>
        <w:t>The Court notes that, as was stated by the Court of Cassation (see paragraph</w:t>
      </w:r>
      <w:r w:rsidR="00307E4B" w:rsidRPr="003A08D9">
        <w:rPr>
          <w:noProof/>
        </w:rPr>
        <w:t xml:space="preserve"> </w:t>
      </w:r>
      <w:r w:rsidRPr="003A08D9">
        <w:rPr>
          <w:noProof/>
        </w:rPr>
        <w:fldChar w:fldCharType="begin"/>
      </w:r>
      <w:r w:rsidRPr="003A08D9">
        <w:rPr>
          <w:noProof/>
        </w:rPr>
        <w:instrText xml:space="preserve"> REF courtofcassation \h </w:instrText>
      </w:r>
      <w:r w:rsidRPr="003A08D9">
        <w:rPr>
          <w:noProof/>
        </w:rPr>
      </w:r>
      <w:r w:rsidRPr="003A08D9">
        <w:rPr>
          <w:noProof/>
        </w:rPr>
        <w:fldChar w:fldCharType="separate"/>
      </w:r>
      <w:r w:rsidR="003A08D9" w:rsidRPr="003A08D9">
        <w:rPr>
          <w:noProof/>
        </w:rPr>
        <w:t>29</w:t>
      </w:r>
      <w:r w:rsidRPr="003A08D9">
        <w:rPr>
          <w:noProof/>
        </w:rPr>
        <w:fldChar w:fldCharType="end"/>
      </w:r>
      <w:r w:rsidRPr="003A08D9">
        <w:rPr>
          <w:noProof/>
        </w:rPr>
        <w:t xml:space="preserve"> </w:t>
      </w:r>
      <w:r w:rsidR="00575152" w:rsidRPr="003A08D9">
        <w:rPr>
          <w:noProof/>
        </w:rPr>
        <w:t>above), according to Article</w:t>
      </w:r>
      <w:r w:rsidR="006B4F6A" w:rsidRPr="003A08D9">
        <w:rPr>
          <w:noProof/>
        </w:rPr>
        <w:t> </w:t>
      </w:r>
      <w:r w:rsidR="00575152" w:rsidRPr="003A08D9">
        <w:rPr>
          <w:noProof/>
        </w:rPr>
        <w:t>231 of the Code of Criminal Procedure no appeal is possible against first-instance courts</w:t>
      </w:r>
      <w:r w:rsidR="003A08D9" w:rsidRPr="003A08D9">
        <w:rPr>
          <w:noProof/>
        </w:rPr>
        <w:t>’</w:t>
      </w:r>
      <w:r w:rsidR="00575152" w:rsidRPr="003A08D9">
        <w:rPr>
          <w:noProof/>
        </w:rPr>
        <w:t xml:space="preserve"> decisions to suspend pronouncement of judgments.</w:t>
      </w:r>
      <w:r w:rsidR="00084AB3" w:rsidRPr="003A08D9">
        <w:rPr>
          <w:noProof/>
        </w:rPr>
        <w:t xml:space="preserve"> </w:t>
      </w:r>
      <w:r w:rsidR="000A3969" w:rsidRPr="003A08D9">
        <w:t>The time-limit set by Article 35 § 1 of the Convention therefore started to run on 13 December 2010</w:t>
      </w:r>
      <w:r w:rsidR="00866751" w:rsidRPr="003A08D9">
        <w:t>,</w:t>
      </w:r>
      <w:r w:rsidR="000A3969" w:rsidRPr="003A08D9">
        <w:t xml:space="preserve"> whereas </w:t>
      </w:r>
      <w:r w:rsidR="000A3969" w:rsidRPr="003A08D9">
        <w:rPr>
          <w:noProof/>
        </w:rPr>
        <w:t>the applicants</w:t>
      </w:r>
      <w:r w:rsidR="00575152" w:rsidRPr="003A08D9">
        <w:rPr>
          <w:noProof/>
        </w:rPr>
        <w:t xml:space="preserve"> lodged their a</w:t>
      </w:r>
      <w:r w:rsidR="009B075E" w:rsidRPr="003A08D9">
        <w:rPr>
          <w:noProof/>
        </w:rPr>
        <w:t>pplication with the Court on 18</w:t>
      </w:r>
      <w:r w:rsidR="006B4F6A" w:rsidRPr="003A08D9">
        <w:rPr>
          <w:noProof/>
        </w:rPr>
        <w:t xml:space="preserve"> </w:t>
      </w:r>
      <w:r w:rsidR="00575152" w:rsidRPr="003A08D9">
        <w:rPr>
          <w:noProof/>
        </w:rPr>
        <w:t>September 2012.</w:t>
      </w:r>
    </w:p>
    <w:bookmarkStart w:id="10" w:name="sixmonths2"/>
    <w:p w:rsidR="00B96DED" w:rsidRPr="003A08D9" w:rsidRDefault="00B96DED" w:rsidP="003A08D9">
      <w:pPr>
        <w:pStyle w:val="JuPara"/>
      </w:pPr>
      <w:r w:rsidRPr="003A08D9">
        <w:rPr>
          <w:noProof/>
        </w:rPr>
        <w:fldChar w:fldCharType="begin"/>
      </w:r>
      <w:r w:rsidRPr="003A08D9">
        <w:rPr>
          <w:noProof/>
        </w:rPr>
        <w:instrText xml:space="preserve"> SEQ level0 \*arabic </w:instrText>
      </w:r>
      <w:r w:rsidRPr="003A08D9">
        <w:rPr>
          <w:noProof/>
        </w:rPr>
        <w:fldChar w:fldCharType="separate"/>
      </w:r>
      <w:r w:rsidR="003A08D9" w:rsidRPr="003A08D9">
        <w:rPr>
          <w:noProof/>
        </w:rPr>
        <w:t>43</w:t>
      </w:r>
      <w:r w:rsidRPr="003A08D9">
        <w:rPr>
          <w:noProof/>
        </w:rPr>
        <w:fldChar w:fldCharType="end"/>
      </w:r>
      <w:bookmarkEnd w:id="10"/>
      <w:r w:rsidRPr="003A08D9">
        <w:rPr>
          <w:noProof/>
        </w:rPr>
        <w:t>.  </w:t>
      </w:r>
      <w:r w:rsidR="009E3C57" w:rsidRPr="003A08D9">
        <w:rPr>
          <w:noProof/>
        </w:rPr>
        <w:t>In th</w:t>
      </w:r>
      <w:r w:rsidR="005D7432" w:rsidRPr="003A08D9">
        <w:rPr>
          <w:noProof/>
        </w:rPr>
        <w:t>o</w:t>
      </w:r>
      <w:r w:rsidR="009E3C57" w:rsidRPr="003A08D9">
        <w:rPr>
          <w:noProof/>
        </w:rPr>
        <w:t>se circumstances, the Court finds that the applicants</w:t>
      </w:r>
      <w:r w:rsidR="003A08D9" w:rsidRPr="003A08D9">
        <w:rPr>
          <w:noProof/>
        </w:rPr>
        <w:t>’</w:t>
      </w:r>
      <w:r w:rsidR="009E3C57" w:rsidRPr="003A08D9">
        <w:rPr>
          <w:noProof/>
        </w:rPr>
        <w:t xml:space="preserve"> complaints under Articles 6, </w:t>
      </w:r>
      <w:r w:rsidR="0053462B" w:rsidRPr="003A08D9">
        <w:rPr>
          <w:noProof/>
        </w:rPr>
        <w:t xml:space="preserve">9, </w:t>
      </w:r>
      <w:r w:rsidR="009E3C57" w:rsidRPr="003A08D9">
        <w:rPr>
          <w:noProof/>
        </w:rPr>
        <w:t>10 and 11 of the Convention</w:t>
      </w:r>
      <w:r w:rsidR="005D7432" w:rsidRPr="003A08D9">
        <w:rPr>
          <w:noProof/>
        </w:rPr>
        <w:t>,</w:t>
      </w:r>
      <w:r w:rsidR="009E3C57" w:rsidRPr="003A08D9">
        <w:rPr>
          <w:noProof/>
        </w:rPr>
        <w:t xml:space="preserve"> in so far as they concern their convictions for participation in a demonstration while in possession of prohibited materials, resist</w:t>
      </w:r>
      <w:r w:rsidR="00E74478" w:rsidRPr="003A08D9">
        <w:rPr>
          <w:noProof/>
        </w:rPr>
        <w:t xml:space="preserve">ing </w:t>
      </w:r>
      <w:r w:rsidR="009E3C57" w:rsidRPr="003A08D9">
        <w:rPr>
          <w:noProof/>
        </w:rPr>
        <w:t>the security forces and obstructing the security forces in the execution of their duties by way of resistance</w:t>
      </w:r>
      <w:r w:rsidR="005D7432" w:rsidRPr="003A08D9">
        <w:rPr>
          <w:noProof/>
        </w:rPr>
        <w:t>,</w:t>
      </w:r>
      <w:r w:rsidR="009E3C57" w:rsidRPr="003A08D9">
        <w:rPr>
          <w:noProof/>
        </w:rPr>
        <w:t xml:space="preserve"> were submitted too late.</w:t>
      </w:r>
      <w:r w:rsidR="00B9713C" w:rsidRPr="003A08D9">
        <w:rPr>
          <w:noProof/>
        </w:rPr>
        <w:t xml:space="preserve"> </w:t>
      </w:r>
      <w:r w:rsidRPr="003A08D9">
        <w:t>Accordingly, th</w:t>
      </w:r>
      <w:r w:rsidR="005D7432" w:rsidRPr="003A08D9">
        <w:t>at</w:t>
      </w:r>
      <w:r w:rsidRPr="003A08D9">
        <w:t xml:space="preserve"> part of the application </w:t>
      </w:r>
      <w:r w:rsidRPr="003A08D9">
        <w:lastRenderedPageBreak/>
        <w:t xml:space="preserve">has been </w:t>
      </w:r>
      <w:r w:rsidR="005D7432" w:rsidRPr="003A08D9">
        <w:t xml:space="preserve">lodged </w:t>
      </w:r>
      <w:r w:rsidRPr="003A08D9">
        <w:t>out of time and must be rejected in accordance with Article 35 §§</w:t>
      </w:r>
      <w:r w:rsidR="006B4F6A" w:rsidRPr="003A08D9">
        <w:t xml:space="preserve"> </w:t>
      </w:r>
      <w:r w:rsidRPr="003A08D9">
        <w:t>1 and</w:t>
      </w:r>
      <w:r w:rsidR="006B4F6A" w:rsidRPr="003A08D9">
        <w:t xml:space="preserve"> </w:t>
      </w:r>
      <w:r w:rsidRPr="003A08D9">
        <w:t>4 of the Convention.</w:t>
      </w:r>
    </w:p>
    <w:p w:rsidR="00B96DED"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44</w:t>
      </w:r>
      <w:r w:rsidRPr="003A08D9">
        <w:rPr>
          <w:noProof/>
        </w:rPr>
        <w:fldChar w:fldCharType="end"/>
      </w:r>
      <w:r w:rsidR="00B96DED" w:rsidRPr="003A08D9">
        <w:t>.  The Court notes that the remainder of the application</w:t>
      </w:r>
      <w:r w:rsidR="001D4E79" w:rsidRPr="003A08D9">
        <w:t>, namely the complaints under Articles</w:t>
      </w:r>
      <w:r w:rsidR="006B4F6A" w:rsidRPr="003A08D9">
        <w:t xml:space="preserve"> </w:t>
      </w:r>
      <w:r w:rsidR="001D4E79" w:rsidRPr="003A08D9">
        <w:t>6, 9, 10 and 11 of the Convention concerning the applicants</w:t>
      </w:r>
      <w:r w:rsidR="003A08D9" w:rsidRPr="003A08D9">
        <w:t>’</w:t>
      </w:r>
      <w:r w:rsidR="001D4E79" w:rsidRPr="003A08D9">
        <w:t xml:space="preserve"> criminal convictions pursuant to section 7(2) of Law no. 3713 and Article</w:t>
      </w:r>
      <w:r w:rsidR="006B4F6A" w:rsidRPr="003A08D9">
        <w:t xml:space="preserve"> </w:t>
      </w:r>
      <w:r w:rsidR="001D4E79" w:rsidRPr="003A08D9">
        <w:t>314 § 2 of the Criminal Code, on the basis of Articles 220 §</w:t>
      </w:r>
      <w:r w:rsidR="006B4F6A" w:rsidRPr="003A08D9">
        <w:t> </w:t>
      </w:r>
      <w:r w:rsidR="001D4E79" w:rsidRPr="003A08D9">
        <w:t xml:space="preserve">6 and 314 § 3 of the same Code </w:t>
      </w:r>
      <w:r w:rsidR="00B96DED" w:rsidRPr="003A08D9">
        <w:t>is not manifestly ill-founded within the meaning of Article 35 § 3 (a) of the Convention. It further notes that it is not inadmissible on any other grounds. It must therefore be declared admissible.</w:t>
      </w:r>
    </w:p>
    <w:p w:rsidR="00EB117B" w:rsidRPr="003A08D9" w:rsidRDefault="00EB117B" w:rsidP="003A08D9">
      <w:pPr>
        <w:pStyle w:val="JuHIRoman"/>
      </w:pPr>
      <w:r w:rsidRPr="003A08D9">
        <w:t>MERITS</w:t>
      </w:r>
    </w:p>
    <w:p w:rsidR="00EB117B" w:rsidRPr="003A08D9" w:rsidRDefault="00EB117B" w:rsidP="003A08D9">
      <w:pPr>
        <w:pStyle w:val="JuHA"/>
      </w:pPr>
      <w:r w:rsidRPr="003A08D9">
        <w:t>Alleged violation of Article 6 of the Convention</w:t>
      </w:r>
    </w:p>
    <w:p w:rsidR="00EB117B"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45</w:t>
      </w:r>
      <w:r w:rsidRPr="003A08D9">
        <w:rPr>
          <w:noProof/>
        </w:rPr>
        <w:fldChar w:fldCharType="end"/>
      </w:r>
      <w:r w:rsidR="00EB117B" w:rsidRPr="003A08D9">
        <w:t xml:space="preserve">.  The applicants complained under Article 6 </w:t>
      </w:r>
      <w:r w:rsidR="00EB117B" w:rsidRPr="003A08D9">
        <w:rPr>
          <w:rFonts w:cstheme="minorHAnsi"/>
        </w:rPr>
        <w:t xml:space="preserve">§ 1 </w:t>
      </w:r>
      <w:r w:rsidR="00EB117B" w:rsidRPr="003A08D9">
        <w:t xml:space="preserve">of the Convention that they had not had a fair trial </w:t>
      </w:r>
      <w:r w:rsidR="005D7432" w:rsidRPr="003A08D9">
        <w:t xml:space="preserve">because </w:t>
      </w:r>
      <w:r w:rsidR="00EB117B" w:rsidRPr="003A08D9">
        <w:t>the Diyarbak</w:t>
      </w:r>
      <w:r w:rsidR="00EB117B" w:rsidRPr="003A08D9">
        <w:rPr>
          <w:rFonts w:cstheme="minorHAnsi"/>
        </w:rPr>
        <w:t>ı</w:t>
      </w:r>
      <w:r w:rsidR="00EB117B" w:rsidRPr="003A08D9">
        <w:t xml:space="preserve">r Assize Court </w:t>
      </w:r>
      <w:r w:rsidR="005D7432" w:rsidRPr="003A08D9">
        <w:t xml:space="preserve">had failed to </w:t>
      </w:r>
      <w:r w:rsidR="00EB117B" w:rsidRPr="003A08D9">
        <w:t>grant</w:t>
      </w:r>
      <w:r w:rsidR="005D7432" w:rsidRPr="003A08D9">
        <w:t xml:space="preserve"> them </w:t>
      </w:r>
      <w:r w:rsidR="00EB117B" w:rsidRPr="003A08D9">
        <w:t>an opportunity to question the police officers whose statements had constituted the basis for their conviction.</w:t>
      </w:r>
    </w:p>
    <w:p w:rsidR="00EB117B" w:rsidRPr="003A08D9" w:rsidRDefault="00EB117B" w:rsidP="003A08D9">
      <w:pPr>
        <w:pStyle w:val="JuPara"/>
      </w:pPr>
      <w:r w:rsidRPr="003A08D9">
        <w:t>The Court considers that th</w:t>
      </w:r>
      <w:r w:rsidR="003B5AA4" w:rsidRPr="003A08D9">
        <w:t>i</w:t>
      </w:r>
      <w:r w:rsidRPr="003A08D9">
        <w:t>s complaint should be examined under Article</w:t>
      </w:r>
      <w:r w:rsidR="00CE0502" w:rsidRPr="003A08D9">
        <w:t> </w:t>
      </w:r>
      <w:r w:rsidRPr="003A08D9">
        <w:t xml:space="preserve">6 </w:t>
      </w:r>
      <w:r w:rsidRPr="003A08D9">
        <w:rPr>
          <w:rFonts w:cstheme="minorHAnsi"/>
        </w:rPr>
        <w:t>§§ 1 and 3</w:t>
      </w:r>
      <w:r w:rsidR="008F5C18" w:rsidRPr="003A08D9">
        <w:rPr>
          <w:rFonts w:cstheme="minorHAnsi"/>
        </w:rPr>
        <w:t xml:space="preserve"> </w:t>
      </w:r>
      <w:r w:rsidRPr="003A08D9">
        <w:rPr>
          <w:rFonts w:cstheme="minorHAnsi"/>
        </w:rPr>
        <w:t>(d) of the Convention</w:t>
      </w:r>
      <w:r w:rsidRPr="003A08D9">
        <w:t>, which read as follows:</w:t>
      </w:r>
    </w:p>
    <w:p w:rsidR="00EB117B" w:rsidRPr="003A08D9" w:rsidRDefault="00EB117B" w:rsidP="003A08D9">
      <w:pPr>
        <w:pStyle w:val="JuQuot"/>
      </w:pPr>
      <w:r w:rsidRPr="003A08D9">
        <w:t>“1.  In the determination of ... any criminal charge against him, everyone is entitled to a fair ... hearing ... by [a] ... tribunal ...</w:t>
      </w:r>
    </w:p>
    <w:p w:rsidR="00EB117B" w:rsidRPr="003A08D9" w:rsidRDefault="00EB117B" w:rsidP="003A08D9">
      <w:pPr>
        <w:pStyle w:val="JuQuot"/>
      </w:pPr>
      <w:r w:rsidRPr="003A08D9">
        <w:t>3.  Everyone charged with a criminal offence has the following minimum rights:</w:t>
      </w:r>
    </w:p>
    <w:p w:rsidR="00EB117B" w:rsidRPr="003A08D9" w:rsidRDefault="00EB117B" w:rsidP="003A08D9">
      <w:pPr>
        <w:pStyle w:val="JuQuot"/>
      </w:pPr>
      <w:r w:rsidRPr="003A08D9">
        <w:t>...</w:t>
      </w:r>
    </w:p>
    <w:p w:rsidR="00EB117B" w:rsidRPr="003A08D9" w:rsidRDefault="00EB117B" w:rsidP="003A08D9">
      <w:pPr>
        <w:pStyle w:val="JuQuot"/>
      </w:pPr>
      <w:r w:rsidRPr="003A08D9">
        <w:t>(d)  to examine or have examined witnesses against him and to obtain the attendance and examination of witnesses on his behalf under the same conditions as witnesses against him; ...”</w:t>
      </w:r>
    </w:p>
    <w:p w:rsidR="00EB117B"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46</w:t>
      </w:r>
      <w:r w:rsidRPr="003A08D9">
        <w:rPr>
          <w:noProof/>
        </w:rPr>
        <w:fldChar w:fldCharType="end"/>
      </w:r>
      <w:r w:rsidR="00EB117B" w:rsidRPr="003A08D9">
        <w:t>.  The Government contested that argument.</w:t>
      </w:r>
    </w:p>
    <w:p w:rsidR="00EB117B" w:rsidRPr="003A08D9" w:rsidRDefault="00EB117B" w:rsidP="003A08D9">
      <w:pPr>
        <w:pStyle w:val="JuH1"/>
      </w:pPr>
      <w:r w:rsidRPr="003A08D9">
        <w:t>The parties</w:t>
      </w:r>
      <w:r w:rsidR="003A08D9" w:rsidRPr="003A08D9">
        <w:t>’</w:t>
      </w:r>
      <w:r w:rsidRPr="003A08D9">
        <w:t xml:space="preserve"> submissions</w:t>
      </w:r>
    </w:p>
    <w:p w:rsidR="00867D8C"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47</w:t>
      </w:r>
      <w:r w:rsidRPr="003A08D9">
        <w:rPr>
          <w:noProof/>
        </w:rPr>
        <w:fldChar w:fldCharType="end"/>
      </w:r>
      <w:r w:rsidR="00EB117B" w:rsidRPr="003A08D9">
        <w:t>.  The applicants complained that they had been deprived of the opportunity to question the police officers as the</w:t>
      </w:r>
      <w:r w:rsidR="00CF2F78" w:rsidRPr="003A08D9">
        <w:t>ir</w:t>
      </w:r>
      <w:r w:rsidR="005D7432" w:rsidRPr="003A08D9">
        <w:t xml:space="preserve"> </w:t>
      </w:r>
      <w:r w:rsidR="00EB117B" w:rsidRPr="003A08D9">
        <w:t xml:space="preserve">statements had been taken </w:t>
      </w:r>
      <w:r w:rsidR="005D7432" w:rsidRPr="003A08D9">
        <w:t xml:space="preserve">at </w:t>
      </w:r>
      <w:r w:rsidR="00E92B97" w:rsidRPr="003A08D9">
        <w:t xml:space="preserve">a </w:t>
      </w:r>
      <w:r w:rsidR="00EB117B" w:rsidRPr="003A08D9">
        <w:t xml:space="preserve">hearing </w:t>
      </w:r>
      <w:r w:rsidR="005D7432" w:rsidRPr="003A08D9">
        <w:t xml:space="preserve">where </w:t>
      </w:r>
      <w:r w:rsidR="00EB117B" w:rsidRPr="003A08D9">
        <w:t>the accused</w:t>
      </w:r>
      <w:r w:rsidR="005D7432" w:rsidRPr="003A08D9">
        <w:t xml:space="preserve"> had not been present</w:t>
      </w:r>
      <w:r w:rsidR="00EB117B" w:rsidRPr="003A08D9">
        <w:t>.</w:t>
      </w:r>
    </w:p>
    <w:p w:rsidR="00EB117B"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48</w:t>
      </w:r>
      <w:r w:rsidRPr="003A08D9">
        <w:rPr>
          <w:noProof/>
        </w:rPr>
        <w:fldChar w:fldCharType="end"/>
      </w:r>
      <w:r w:rsidR="00EB117B" w:rsidRPr="003A08D9">
        <w:t>.  The Government submitted that on 1 June 2010 the first-instance court had taken the arresting police officers</w:t>
      </w:r>
      <w:r w:rsidR="003A08D9" w:rsidRPr="003A08D9">
        <w:t>’</w:t>
      </w:r>
      <w:r w:rsidR="00EB117B" w:rsidRPr="003A08D9">
        <w:t xml:space="preserve"> statements in the absence of the applicants and their representatives </w:t>
      </w:r>
      <w:r w:rsidR="005D7432" w:rsidRPr="003A08D9">
        <w:t xml:space="preserve">because </w:t>
      </w:r>
      <w:r w:rsidR="00EB117B" w:rsidRPr="003A08D9">
        <w:t xml:space="preserve">the officers would not </w:t>
      </w:r>
      <w:r w:rsidR="005D7432" w:rsidRPr="003A08D9">
        <w:t xml:space="preserve">have </w:t>
      </w:r>
      <w:r w:rsidR="00EB117B" w:rsidRPr="003A08D9">
        <w:t>be</w:t>
      </w:r>
      <w:r w:rsidR="005D7432" w:rsidRPr="003A08D9">
        <w:t>en</w:t>
      </w:r>
      <w:r w:rsidR="00EB117B" w:rsidRPr="003A08D9">
        <w:t xml:space="preserve"> able to attend the hearing scheduled for 24 June 2010. The Government also noted that the officers</w:t>
      </w:r>
      <w:r w:rsidR="003A08D9" w:rsidRPr="003A08D9">
        <w:t>’</w:t>
      </w:r>
      <w:r w:rsidR="00EB117B" w:rsidRPr="003A08D9">
        <w:t xml:space="preserve"> statements had been read to the accused and their representatives during the hearing of 24 June 2010 and that as a result the applicants had been given the opportunity to submit their counterarguments. According to the Government, the arresting officers</w:t>
      </w:r>
      <w:r w:rsidR="003A08D9" w:rsidRPr="003A08D9">
        <w:t>’</w:t>
      </w:r>
      <w:r w:rsidR="00EB117B" w:rsidRPr="003A08D9">
        <w:t xml:space="preserve"> statements had not been the sole or principal evidence for the applicants</w:t>
      </w:r>
      <w:r w:rsidR="003A08D9" w:rsidRPr="003A08D9">
        <w:t>’</w:t>
      </w:r>
      <w:r w:rsidR="00EB117B" w:rsidRPr="003A08D9">
        <w:t xml:space="preserve"> conviction: the first-instance court </w:t>
      </w:r>
      <w:r w:rsidR="005D7432" w:rsidRPr="003A08D9">
        <w:t xml:space="preserve">had </w:t>
      </w:r>
      <w:r w:rsidR="00EB117B" w:rsidRPr="003A08D9">
        <w:t>also t</w:t>
      </w:r>
      <w:r w:rsidR="005D7432" w:rsidRPr="003A08D9">
        <w:t>a</w:t>
      </w:r>
      <w:r w:rsidR="00EB117B" w:rsidRPr="003A08D9">
        <w:t>k</w:t>
      </w:r>
      <w:r w:rsidR="005D7432" w:rsidRPr="003A08D9">
        <w:t>en</w:t>
      </w:r>
      <w:r w:rsidR="00EB117B" w:rsidRPr="003A08D9">
        <w:t xml:space="preserve"> the arrest and </w:t>
      </w:r>
      <w:r w:rsidR="00EB117B" w:rsidRPr="003A08D9">
        <w:lastRenderedPageBreak/>
        <w:t xml:space="preserve">identification reports, </w:t>
      </w:r>
      <w:r w:rsidR="005D7432" w:rsidRPr="003A08D9">
        <w:t xml:space="preserve">police </w:t>
      </w:r>
      <w:r w:rsidR="00EB117B" w:rsidRPr="003A08D9">
        <w:t>photographs, the materials seized and the accused</w:t>
      </w:r>
      <w:r w:rsidR="003A08D9" w:rsidRPr="003A08D9">
        <w:t>’</w:t>
      </w:r>
      <w:r w:rsidR="009015A5" w:rsidRPr="003A08D9">
        <w:t>s</w:t>
      </w:r>
      <w:r w:rsidR="00EB117B" w:rsidRPr="003A08D9">
        <w:t xml:space="preserve"> statements into consideration wh</w:t>
      </w:r>
      <w:r w:rsidR="005D7432" w:rsidRPr="003A08D9">
        <w:t xml:space="preserve">en </w:t>
      </w:r>
      <w:r w:rsidR="00EB117B" w:rsidRPr="003A08D9">
        <w:t>convicting the applicants.</w:t>
      </w:r>
    </w:p>
    <w:p w:rsidR="00EB117B" w:rsidRPr="003A08D9" w:rsidRDefault="00EB117B" w:rsidP="003A08D9">
      <w:pPr>
        <w:pStyle w:val="JuH1"/>
      </w:pPr>
      <w:r w:rsidRPr="003A08D9">
        <w:t>The Court</w:t>
      </w:r>
      <w:r w:rsidR="003A08D9" w:rsidRPr="003A08D9">
        <w:t>’</w:t>
      </w:r>
      <w:r w:rsidRPr="003A08D9">
        <w:t>s assessment</w:t>
      </w:r>
    </w:p>
    <w:p w:rsidR="00867D8C" w:rsidRPr="003A08D9" w:rsidRDefault="004B2E6A" w:rsidP="003A08D9">
      <w:pPr>
        <w:pStyle w:val="JuHa0"/>
      </w:pPr>
      <w:r w:rsidRPr="003A08D9">
        <w:t>General principles</w:t>
      </w:r>
    </w:p>
    <w:p w:rsidR="00084AB3"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49</w:t>
      </w:r>
      <w:r w:rsidRPr="003A08D9">
        <w:rPr>
          <w:noProof/>
        </w:rPr>
        <w:fldChar w:fldCharType="end"/>
      </w:r>
      <w:r w:rsidR="00EB117B" w:rsidRPr="003A08D9">
        <w:t>.  </w:t>
      </w:r>
      <w:r w:rsidR="00540932" w:rsidRPr="003A08D9">
        <w:t>T</w:t>
      </w:r>
      <w:r w:rsidR="00EB117B" w:rsidRPr="003A08D9">
        <w:t>he Court reiterates</w:t>
      </w:r>
      <w:r w:rsidR="00540932" w:rsidRPr="003A08D9">
        <w:t xml:space="preserve"> at the outset</w:t>
      </w:r>
      <w:r w:rsidR="00EB117B" w:rsidRPr="003A08D9">
        <w:t xml:space="preserve"> the principles summarised and refined in its judgment of </w:t>
      </w:r>
      <w:r w:rsidR="00EB117B" w:rsidRPr="003A08D9">
        <w:rPr>
          <w:i/>
        </w:rPr>
        <w:t>Al-Khawaja and Tahery v. the United Kingdom</w:t>
      </w:r>
      <w:r w:rsidR="00EB117B" w:rsidRPr="003A08D9">
        <w:t xml:space="preserve"> ([GC], nos. 26766/05 and 22228/06, ECHR 2011) and recapitulated in </w:t>
      </w:r>
      <w:r w:rsidR="00EB117B" w:rsidRPr="003A08D9">
        <w:rPr>
          <w:i/>
        </w:rPr>
        <w:t xml:space="preserve">Schatschaschwili v. Germany </w:t>
      </w:r>
      <w:r w:rsidR="00EB117B" w:rsidRPr="003A08D9">
        <w:t xml:space="preserve">([GC], no. 9154/10, §§ 100-31, ECHR 2015) regarding the admission of untested incriminating witness evidence in criminal proceedings. </w:t>
      </w:r>
      <w:r w:rsidR="001B4EA9" w:rsidRPr="003A08D9">
        <w:t xml:space="preserve">In this regard, the Court stresses that the present case does not concern alleged </w:t>
      </w:r>
      <w:r w:rsidR="00475A43" w:rsidRPr="003A08D9">
        <w:t>procedural failings</w:t>
      </w:r>
      <w:r w:rsidR="001B4EA9" w:rsidRPr="003A08D9">
        <w:t xml:space="preserve"> </w:t>
      </w:r>
      <w:r w:rsidR="00475A43" w:rsidRPr="003A08D9">
        <w:t>at</w:t>
      </w:r>
      <w:r w:rsidR="001B4EA9" w:rsidRPr="003A08D9">
        <w:t xml:space="preserve"> the investigation stage </w:t>
      </w:r>
      <w:r w:rsidR="001B4EA9" w:rsidRPr="003A08D9">
        <w:rPr>
          <w:snapToGrid w:val="0"/>
          <w:lang w:val="en-US"/>
        </w:rPr>
        <w:t xml:space="preserve">but </w:t>
      </w:r>
      <w:r w:rsidR="00475A43" w:rsidRPr="003A08D9">
        <w:rPr>
          <w:snapToGrid w:val="0"/>
          <w:lang w:val="en-US"/>
        </w:rPr>
        <w:t xml:space="preserve">alleged irregularities at the trial stage. </w:t>
      </w:r>
      <w:r w:rsidR="00FA4F06" w:rsidRPr="003A08D9">
        <w:rPr>
          <w:snapToGrid w:val="0"/>
          <w:lang w:val="en-US"/>
        </w:rPr>
        <w:t>T</w:t>
      </w:r>
      <w:r w:rsidR="00475A43" w:rsidRPr="003A08D9">
        <w:t>he Court</w:t>
      </w:r>
      <w:r w:rsidR="00EB117B" w:rsidRPr="003A08D9">
        <w:t xml:space="preserve"> will conduct its examination in the light of </w:t>
      </w:r>
      <w:r w:rsidR="00475A43" w:rsidRPr="003A08D9">
        <w:t>the</w:t>
      </w:r>
      <w:r w:rsidR="00EB117B" w:rsidRPr="003A08D9">
        <w:t xml:space="preserve"> principles</w:t>
      </w:r>
      <w:r w:rsidR="00475A43" w:rsidRPr="003A08D9">
        <w:t xml:space="preserve"> regarding the admission of untested incriminating witness evidence in criminal proceedings</w:t>
      </w:r>
      <w:r w:rsidR="00E74478" w:rsidRPr="003A08D9">
        <w:t xml:space="preserve">, </w:t>
      </w:r>
      <w:r w:rsidR="00EB117B" w:rsidRPr="003A08D9">
        <w:t xml:space="preserve">using the three steps of the </w:t>
      </w:r>
      <w:r w:rsidR="00DF3E76" w:rsidRPr="003A08D9">
        <w:rPr>
          <w:i/>
        </w:rPr>
        <w:t>Al</w:t>
      </w:r>
      <w:r w:rsidR="00DF3E76" w:rsidRPr="003A08D9">
        <w:rPr>
          <w:i/>
        </w:rPr>
        <w:noBreakHyphen/>
      </w:r>
      <w:r w:rsidR="00EB117B" w:rsidRPr="003A08D9">
        <w:rPr>
          <w:i/>
        </w:rPr>
        <w:t>Khawaja and Tahery</w:t>
      </w:r>
      <w:r w:rsidR="00EB117B" w:rsidRPr="003A08D9">
        <w:t xml:space="preserve"> test.</w:t>
      </w:r>
    </w:p>
    <w:p w:rsidR="004B2E6A" w:rsidRPr="003A08D9" w:rsidRDefault="004B2E6A" w:rsidP="003A08D9">
      <w:pPr>
        <w:pStyle w:val="JuHa0"/>
      </w:pPr>
      <w:r w:rsidRPr="003A08D9">
        <w:t>Application to the present case</w:t>
      </w:r>
    </w:p>
    <w:p w:rsidR="004D70AA" w:rsidRPr="003A08D9" w:rsidRDefault="00734B6C"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50</w:t>
      </w:r>
      <w:r w:rsidRPr="003A08D9">
        <w:fldChar w:fldCharType="end"/>
      </w:r>
      <w:r w:rsidRPr="003A08D9">
        <w:t>.  </w:t>
      </w:r>
      <w:r w:rsidR="00B02FB0" w:rsidRPr="003A08D9">
        <w:t>T</w:t>
      </w:r>
      <w:r w:rsidR="004D70AA" w:rsidRPr="003A08D9">
        <w:t>he question</w:t>
      </w:r>
      <w:r w:rsidR="007D752F" w:rsidRPr="003A08D9">
        <w:t xml:space="preserve"> </w:t>
      </w:r>
      <w:r w:rsidR="00B02FB0" w:rsidRPr="003A08D9">
        <w:t xml:space="preserve">arises </w:t>
      </w:r>
      <w:r w:rsidR="004D70AA" w:rsidRPr="003A08D9">
        <w:t>whether police office</w:t>
      </w:r>
      <w:r w:rsidR="006416C9" w:rsidRPr="003A08D9">
        <w:t>rs may be regarded as witnesses within the meaning of Article</w:t>
      </w:r>
      <w:r w:rsidR="0099328A" w:rsidRPr="003A08D9">
        <w:t xml:space="preserve"> 6 §</w:t>
      </w:r>
      <w:r w:rsidR="006416C9" w:rsidRPr="003A08D9">
        <w:t xml:space="preserve"> 3 (d) of the Convention. In that connection, </w:t>
      </w:r>
      <w:r w:rsidR="004D70AA" w:rsidRPr="003A08D9">
        <w:t xml:space="preserve">the Court reiterates </w:t>
      </w:r>
      <w:r w:rsidR="00E1747F" w:rsidRPr="003A08D9">
        <w:t>that the notion of</w:t>
      </w:r>
      <w:r w:rsidR="00075273" w:rsidRPr="003A08D9">
        <w:t xml:space="preserve"> a</w:t>
      </w:r>
      <w:r w:rsidR="00E1747F" w:rsidRPr="003A08D9">
        <w:t xml:space="preserve"> </w:t>
      </w:r>
      <w:r w:rsidR="007D752F" w:rsidRPr="003A08D9">
        <w:t>“</w:t>
      </w:r>
      <w:r w:rsidR="00E1747F" w:rsidRPr="003A08D9">
        <w:t>witness</w:t>
      </w:r>
      <w:r w:rsidR="007D752F" w:rsidRPr="003A08D9">
        <w:t>”</w:t>
      </w:r>
      <w:r w:rsidR="00E1747F" w:rsidRPr="003A08D9">
        <w:t xml:space="preserve"> is an autonomous concept in the Convention system</w:t>
      </w:r>
      <w:r w:rsidR="00361DFA" w:rsidRPr="003A08D9">
        <w:t>,</w:t>
      </w:r>
      <w:r w:rsidR="006416C9" w:rsidRPr="003A08D9">
        <w:t xml:space="preserve"> irrespective of the classifications in domestic legal systems.</w:t>
      </w:r>
      <w:r w:rsidR="00E1747F" w:rsidRPr="003A08D9">
        <w:t xml:space="preserve"> </w:t>
      </w:r>
      <w:r w:rsidR="006416C9" w:rsidRPr="003A08D9">
        <w:t>As such, t</w:t>
      </w:r>
      <w:r w:rsidR="00E1747F" w:rsidRPr="003A08D9">
        <w:t xml:space="preserve">he guarantees provided by Article 6 §§ 1 and 3 (d) of the Convention apply to a deposition which may serve to a material degree as </w:t>
      </w:r>
      <w:r w:rsidR="00CE0502" w:rsidRPr="003A08D9">
        <w:t xml:space="preserve">the basis for a conviction (see </w:t>
      </w:r>
      <w:r w:rsidR="00CE0502" w:rsidRPr="003A08D9">
        <w:rPr>
          <w:i/>
          <w:iCs/>
        </w:rPr>
        <w:t>Lucà v. </w:t>
      </w:r>
      <w:r w:rsidR="00E1747F" w:rsidRPr="003A08D9">
        <w:rPr>
          <w:i/>
          <w:iCs/>
        </w:rPr>
        <w:t>Italy</w:t>
      </w:r>
      <w:r w:rsidR="00E1747F" w:rsidRPr="003A08D9">
        <w:t>, no.</w:t>
      </w:r>
      <w:r w:rsidR="00CE0502" w:rsidRPr="003A08D9">
        <w:t xml:space="preserve"> </w:t>
      </w:r>
      <w:r w:rsidR="00E1747F" w:rsidRPr="003A08D9">
        <w:t>33354/96, § 41, ECHR 2001</w:t>
      </w:r>
      <w:r w:rsidR="00E1747F" w:rsidRPr="003A08D9">
        <w:noBreakHyphen/>
        <w:t xml:space="preserve">II). </w:t>
      </w:r>
      <w:r w:rsidR="006416C9" w:rsidRPr="003A08D9">
        <w:t xml:space="preserve">As the Court held in </w:t>
      </w:r>
      <w:r w:rsidR="00CE0502" w:rsidRPr="003A08D9">
        <w:rPr>
          <w:i/>
          <w:iCs/>
        </w:rPr>
        <w:t>Butkevich v. </w:t>
      </w:r>
      <w:r w:rsidR="006416C9" w:rsidRPr="003A08D9">
        <w:rPr>
          <w:i/>
          <w:iCs/>
        </w:rPr>
        <w:t>Russia</w:t>
      </w:r>
      <w:r w:rsidR="006416C9" w:rsidRPr="003A08D9">
        <w:rPr>
          <w:lang w:eastAsia="en-GB"/>
        </w:rPr>
        <w:t xml:space="preserve"> (no. </w:t>
      </w:r>
      <w:r w:rsidR="006416C9" w:rsidRPr="003A08D9">
        <w:t>5865/07</w:t>
      </w:r>
      <w:r w:rsidR="006416C9" w:rsidRPr="003A08D9">
        <w:rPr>
          <w:lang w:eastAsia="en-GB"/>
        </w:rPr>
        <w:t xml:space="preserve">, </w:t>
      </w:r>
      <w:r w:rsidR="00CE0502" w:rsidRPr="003A08D9">
        <w:t xml:space="preserve">§ </w:t>
      </w:r>
      <w:r w:rsidR="006416C9" w:rsidRPr="003A08D9">
        <w:t>98, 13</w:t>
      </w:r>
      <w:r w:rsidR="00CE0502" w:rsidRPr="003A08D9">
        <w:t xml:space="preserve"> </w:t>
      </w:r>
      <w:r w:rsidR="006416C9" w:rsidRPr="003A08D9">
        <w:t>February 2018) there is no material difference between a deposition</w:t>
      </w:r>
      <w:r w:rsidR="00444071" w:rsidRPr="003A08D9">
        <w:t xml:space="preserve"> given</w:t>
      </w:r>
      <w:r w:rsidR="006416C9" w:rsidRPr="003A08D9">
        <w:t xml:space="preserve"> by a “witness”, for instance, and a report issued by a police officer for the attention of his superior. </w:t>
      </w:r>
      <w:r w:rsidR="00C54DF7" w:rsidRPr="003A08D9">
        <w:t xml:space="preserve">In view of the above case-law, the Court considers that the police officers in the instant case should be considered as “witnesses”, </w:t>
      </w:r>
      <w:r w:rsidR="00A34E58" w:rsidRPr="003A08D9">
        <w:t>particular</w:t>
      </w:r>
      <w:r w:rsidR="00C54DF7" w:rsidRPr="003A08D9">
        <w:t xml:space="preserve"> regard being had to the fact that it was the trial court which summoned them to give evidence </w:t>
      </w:r>
      <w:r w:rsidR="001E55A7" w:rsidRPr="003A08D9">
        <w:t xml:space="preserve">in their capacity as witnesses to the offences with which the applicants </w:t>
      </w:r>
      <w:r w:rsidR="0099328A" w:rsidRPr="003A08D9">
        <w:t>were</w:t>
      </w:r>
      <w:r w:rsidR="001E55A7" w:rsidRPr="003A08D9">
        <w:t xml:space="preserve"> charged</w:t>
      </w:r>
      <w:r w:rsidR="00F4524F" w:rsidRPr="003A08D9">
        <w:t xml:space="preserve"> </w:t>
      </w:r>
      <w:r w:rsidR="009159C5" w:rsidRPr="003A08D9">
        <w:t>in view of the</w:t>
      </w:r>
      <w:r w:rsidR="00DA01FE" w:rsidRPr="003A08D9">
        <w:t xml:space="preserve"> conflicting</w:t>
      </w:r>
      <w:r w:rsidR="00825175" w:rsidRPr="003A08D9">
        <w:t xml:space="preserve"> accounts</w:t>
      </w:r>
      <w:r w:rsidR="009159C5" w:rsidRPr="003A08D9">
        <w:t xml:space="preserve"> o</w:t>
      </w:r>
      <w:r w:rsidR="0099328A" w:rsidRPr="003A08D9">
        <w:t>f</w:t>
      </w:r>
      <w:r w:rsidR="009159C5" w:rsidRPr="003A08D9">
        <w:t xml:space="preserve"> the factual circumstances of the case</w:t>
      </w:r>
      <w:r w:rsidR="00DA01FE" w:rsidRPr="003A08D9">
        <w:t xml:space="preserve"> </w:t>
      </w:r>
      <w:r w:rsidR="00F4524F" w:rsidRPr="003A08D9">
        <w:t xml:space="preserve">(see </w:t>
      </w:r>
      <w:r w:rsidR="00F4524F" w:rsidRPr="003A08D9">
        <w:rPr>
          <w:i/>
        </w:rPr>
        <w:t>Mesesnel v. Slovenia</w:t>
      </w:r>
      <w:r w:rsidR="00F4524F" w:rsidRPr="003A08D9">
        <w:t>, no. 22163/08</w:t>
      </w:r>
      <w:r w:rsidR="00F4524F" w:rsidRPr="003A08D9">
        <w:rPr>
          <w:snapToGrid w:val="0"/>
        </w:rPr>
        <w:t>, § 37, 2</w:t>
      </w:r>
      <w:r w:rsidR="00F4524F" w:rsidRPr="003A08D9">
        <w:t>8</w:t>
      </w:r>
      <w:r w:rsidR="00F4524F" w:rsidRPr="003A08D9">
        <w:rPr>
          <w:snapToGrid w:val="0"/>
        </w:rPr>
        <w:t xml:space="preserve"> February 2013</w:t>
      </w:r>
      <w:r w:rsidR="00017C69" w:rsidRPr="003A08D9">
        <w:rPr>
          <w:snapToGrid w:val="0"/>
        </w:rPr>
        <w:t>)</w:t>
      </w:r>
      <w:r w:rsidR="001E55A7" w:rsidRPr="003A08D9">
        <w:t>.</w:t>
      </w:r>
    </w:p>
    <w:p w:rsidR="004B2E6A" w:rsidRPr="003A08D9" w:rsidRDefault="004B2E6A" w:rsidP="003A08D9">
      <w:pPr>
        <w:pStyle w:val="JuHi"/>
        <w:rPr>
          <w:rFonts w:eastAsia="Times New Roman"/>
          <w:lang w:eastAsia="fr-FR"/>
        </w:rPr>
      </w:pPr>
      <w:r w:rsidRPr="003A08D9">
        <w:rPr>
          <w:rFonts w:eastAsia="Times New Roman"/>
          <w:lang w:eastAsia="fr-FR"/>
        </w:rPr>
        <w:t>Whether there was a good reason for not obtaining the arresting police officers</w:t>
      </w:r>
      <w:r w:rsidR="003A08D9" w:rsidRPr="003A08D9">
        <w:rPr>
          <w:rFonts w:eastAsia="Times New Roman"/>
          <w:lang w:eastAsia="fr-FR"/>
        </w:rPr>
        <w:t>’</w:t>
      </w:r>
      <w:r w:rsidRPr="003A08D9">
        <w:rPr>
          <w:rFonts w:eastAsia="Times New Roman"/>
          <w:lang w:eastAsia="fr-FR"/>
        </w:rPr>
        <w:t xml:space="preserve"> statements in the presence of the applicants and their lawyers</w:t>
      </w:r>
    </w:p>
    <w:p w:rsidR="00EB117B" w:rsidRPr="003A08D9" w:rsidRDefault="00EB117B" w:rsidP="003A08D9">
      <w:pPr>
        <w:pStyle w:val="JuPara"/>
      </w:pPr>
      <w:r w:rsidRPr="003A08D9">
        <w:rPr>
          <w:noProof/>
        </w:rPr>
        <w:fldChar w:fldCharType="begin"/>
      </w:r>
      <w:r w:rsidRPr="003A08D9">
        <w:rPr>
          <w:noProof/>
        </w:rPr>
        <w:instrText xml:space="preserve"> SEQ level0 \*arabic </w:instrText>
      </w:r>
      <w:r w:rsidRPr="003A08D9">
        <w:rPr>
          <w:noProof/>
        </w:rPr>
        <w:fldChar w:fldCharType="separate"/>
      </w:r>
      <w:r w:rsidR="003A08D9" w:rsidRPr="003A08D9">
        <w:rPr>
          <w:noProof/>
        </w:rPr>
        <w:t>51</w:t>
      </w:r>
      <w:r w:rsidRPr="003A08D9">
        <w:rPr>
          <w:noProof/>
        </w:rPr>
        <w:fldChar w:fldCharType="end"/>
      </w:r>
      <w:r w:rsidRPr="003A08D9">
        <w:rPr>
          <w:noProof/>
        </w:rPr>
        <w:t xml:space="preserve">.  The Court </w:t>
      </w:r>
      <w:r w:rsidR="00016598" w:rsidRPr="003A08D9">
        <w:rPr>
          <w:noProof/>
        </w:rPr>
        <w:t>will</w:t>
      </w:r>
      <w:r w:rsidRPr="003A08D9">
        <w:rPr>
          <w:noProof/>
        </w:rPr>
        <w:t xml:space="preserve"> first examine whether</w:t>
      </w:r>
      <w:r w:rsidR="00016598" w:rsidRPr="003A08D9">
        <w:rPr>
          <w:noProof/>
        </w:rPr>
        <w:t>,</w:t>
      </w:r>
      <w:r w:rsidRPr="003A08D9">
        <w:rPr>
          <w:noProof/>
        </w:rPr>
        <w:t xml:space="preserve"> </w:t>
      </w:r>
      <w:r w:rsidR="00016598" w:rsidRPr="003A08D9">
        <w:t>from the Diyarbak</w:t>
      </w:r>
      <w:r w:rsidR="00016598" w:rsidRPr="003A08D9">
        <w:rPr>
          <w:rFonts w:cstheme="minorHAnsi"/>
        </w:rPr>
        <w:t>ı</w:t>
      </w:r>
      <w:r w:rsidR="00016598" w:rsidRPr="003A08D9">
        <w:t>r Assize Court</w:t>
      </w:r>
      <w:r w:rsidR="003A08D9" w:rsidRPr="003A08D9">
        <w:t>’</w:t>
      </w:r>
      <w:r w:rsidR="00016598" w:rsidRPr="003A08D9">
        <w:t xml:space="preserve">s point of view, </w:t>
      </w:r>
      <w:r w:rsidRPr="003A08D9">
        <w:rPr>
          <w:noProof/>
        </w:rPr>
        <w:t>there was a good reason for</w:t>
      </w:r>
      <w:r w:rsidRPr="003A08D9">
        <w:t xml:space="preserve"> not obtaining the arresting police officers</w:t>
      </w:r>
      <w:r w:rsidR="003A08D9" w:rsidRPr="003A08D9">
        <w:t>’</w:t>
      </w:r>
      <w:r w:rsidR="007047AA" w:rsidRPr="003A08D9">
        <w:t xml:space="preserve"> oral</w:t>
      </w:r>
      <w:r w:rsidRPr="003A08D9">
        <w:t xml:space="preserve"> statements in the presence of the applicants and their lawyers and, as a result, </w:t>
      </w:r>
      <w:r w:rsidR="00016598" w:rsidRPr="003A08D9">
        <w:t xml:space="preserve">whether there was </w:t>
      </w:r>
      <w:r w:rsidRPr="003A08D9">
        <w:t>a good reason or justification for that court to admit those statements as evidence.</w:t>
      </w:r>
    </w:p>
    <w:p w:rsidR="00EB117B" w:rsidRPr="003A08D9" w:rsidRDefault="0081298A" w:rsidP="003A08D9">
      <w:pPr>
        <w:pStyle w:val="JuPara"/>
      </w:pPr>
      <w:r w:rsidRPr="003A08D9">
        <w:lastRenderedPageBreak/>
        <w:fldChar w:fldCharType="begin"/>
      </w:r>
      <w:r w:rsidRPr="003A08D9">
        <w:instrText xml:space="preserve"> SEQ level0 \*arabic </w:instrText>
      </w:r>
      <w:r w:rsidRPr="003A08D9">
        <w:fldChar w:fldCharType="separate"/>
      </w:r>
      <w:r w:rsidR="003A08D9" w:rsidRPr="003A08D9">
        <w:rPr>
          <w:noProof/>
        </w:rPr>
        <w:t>52</w:t>
      </w:r>
      <w:r w:rsidRPr="003A08D9">
        <w:rPr>
          <w:noProof/>
        </w:rPr>
        <w:fldChar w:fldCharType="end"/>
      </w:r>
      <w:r w:rsidR="00EB117B" w:rsidRPr="003A08D9">
        <w:t>.  The Court observes that during the hearing held on 13 May 2010 the Diyarbak</w:t>
      </w:r>
      <w:r w:rsidR="00EB117B" w:rsidRPr="003A08D9">
        <w:rPr>
          <w:rFonts w:cstheme="minorHAnsi"/>
        </w:rPr>
        <w:t>ı</w:t>
      </w:r>
      <w:r w:rsidR="00EB117B" w:rsidRPr="003A08D9">
        <w:t xml:space="preserve">r Assize Court issued a summons requiring the arresting police officers who had signed the arrest report to </w:t>
      </w:r>
      <w:r w:rsidR="007047AA" w:rsidRPr="003A08D9">
        <w:t xml:space="preserve">appear in person to </w:t>
      </w:r>
      <w:r w:rsidR="00EB117B" w:rsidRPr="003A08D9">
        <w:t xml:space="preserve">give evidence </w:t>
      </w:r>
      <w:r w:rsidR="00016598" w:rsidRPr="003A08D9">
        <w:t>at</w:t>
      </w:r>
      <w:r w:rsidR="00EB117B" w:rsidRPr="003A08D9">
        <w:t xml:space="preserve"> the hearing </w:t>
      </w:r>
      <w:r w:rsidR="00E74478" w:rsidRPr="003A08D9">
        <w:t xml:space="preserve">which was to </w:t>
      </w:r>
      <w:r w:rsidR="00EB117B" w:rsidRPr="003A08D9">
        <w:t xml:space="preserve">be held on 24 June 2010. However, the eight police officers arrived at the court on 1 June 2010. </w:t>
      </w:r>
      <w:r w:rsidR="00B475E9" w:rsidRPr="003A08D9">
        <w:t>They stated that the</w:t>
      </w:r>
      <w:r w:rsidR="007D752F" w:rsidRPr="003A08D9">
        <w:t xml:space="preserve">y had been notified that the </w:t>
      </w:r>
      <w:r w:rsidR="00B475E9" w:rsidRPr="003A08D9">
        <w:t xml:space="preserve">date of the hearing </w:t>
      </w:r>
      <w:r w:rsidR="007D752F" w:rsidRPr="003A08D9">
        <w:t>was</w:t>
      </w:r>
      <w:r w:rsidR="00B475E9" w:rsidRPr="003A08D9">
        <w:t xml:space="preserve"> 1 June 2010 and that </w:t>
      </w:r>
      <w:r w:rsidR="00EB117B" w:rsidRPr="003A08D9">
        <w:t>they would not be able to attend the hearing on 24 June 2010 given that the</w:t>
      </w:r>
      <w:r w:rsidR="00E74478" w:rsidRPr="003A08D9">
        <w:t xml:space="preserve">y were stationed at </w:t>
      </w:r>
      <w:r w:rsidR="00EB117B" w:rsidRPr="003A08D9">
        <w:rPr>
          <w:rFonts w:cstheme="minorHAnsi"/>
        </w:rPr>
        <w:t>Şı</w:t>
      </w:r>
      <w:r w:rsidR="00EB117B" w:rsidRPr="003A08D9">
        <w:t xml:space="preserve">rnak, </w:t>
      </w:r>
      <w:r w:rsidR="00E74478" w:rsidRPr="003A08D9">
        <w:t xml:space="preserve">which </w:t>
      </w:r>
      <w:r w:rsidR="00EB117B" w:rsidRPr="003A08D9">
        <w:t xml:space="preserve">was far </w:t>
      </w:r>
      <w:r w:rsidR="00016598" w:rsidRPr="003A08D9">
        <w:t>away</w:t>
      </w:r>
      <w:r w:rsidR="00E74478" w:rsidRPr="003A08D9">
        <w:t>,</w:t>
      </w:r>
      <w:r w:rsidR="00016598" w:rsidRPr="003A08D9">
        <w:t xml:space="preserve"> </w:t>
      </w:r>
      <w:r w:rsidR="00EB117B" w:rsidRPr="003A08D9">
        <w:t>and would be on duty on that date. The Diyarbak</w:t>
      </w:r>
      <w:r w:rsidR="00EB117B" w:rsidRPr="003A08D9">
        <w:rPr>
          <w:rFonts w:cstheme="minorHAnsi"/>
        </w:rPr>
        <w:t>ı</w:t>
      </w:r>
      <w:r w:rsidR="00EB117B" w:rsidRPr="003A08D9">
        <w:t xml:space="preserve">r Assize Court decided to obtain their </w:t>
      </w:r>
      <w:r w:rsidR="007047AA" w:rsidRPr="003A08D9">
        <w:t xml:space="preserve">oral </w:t>
      </w:r>
      <w:r w:rsidR="00EB117B" w:rsidRPr="003A08D9">
        <w:t>statements in the presence of the public prosecutor</w:t>
      </w:r>
      <w:r w:rsidR="00016598" w:rsidRPr="003A08D9">
        <w:t xml:space="preserve">, but </w:t>
      </w:r>
      <w:r w:rsidR="00EB117B" w:rsidRPr="003A08D9">
        <w:t>in the absence of the applicants and their lawyers</w:t>
      </w:r>
      <w:r w:rsidR="00F4524F" w:rsidRPr="003A08D9">
        <w:t xml:space="preserve"> (see </w:t>
      </w:r>
      <w:r w:rsidR="00F4524F" w:rsidRPr="003A08D9">
        <w:rPr>
          <w:i/>
        </w:rPr>
        <w:t>Mesesnel</w:t>
      </w:r>
      <w:r w:rsidR="00F4524F" w:rsidRPr="003A08D9">
        <w:t>, cit</w:t>
      </w:r>
      <w:r w:rsidR="00CE0502" w:rsidRPr="003A08D9">
        <w:t xml:space="preserve">ed above, § </w:t>
      </w:r>
      <w:r w:rsidR="00F4524F" w:rsidRPr="003A08D9">
        <w:t>37)</w:t>
      </w:r>
      <w:r w:rsidR="00EB117B" w:rsidRPr="003A08D9">
        <w:t>.</w:t>
      </w:r>
    </w:p>
    <w:p w:rsidR="00867D8C"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53</w:t>
      </w:r>
      <w:r w:rsidRPr="003A08D9">
        <w:rPr>
          <w:noProof/>
        </w:rPr>
        <w:fldChar w:fldCharType="end"/>
      </w:r>
      <w:r w:rsidR="00EB117B" w:rsidRPr="003A08D9">
        <w:t>.  The Court notes that the first-instance court did not give any reason for granting the police officers</w:t>
      </w:r>
      <w:r w:rsidR="003A08D9" w:rsidRPr="003A08D9">
        <w:t>’</w:t>
      </w:r>
      <w:r w:rsidR="00EB117B" w:rsidRPr="003A08D9">
        <w:t xml:space="preserve"> requests. </w:t>
      </w:r>
      <w:r w:rsidR="003F26B6" w:rsidRPr="003A08D9">
        <w:t>T</w:t>
      </w:r>
      <w:r w:rsidR="00B475E9" w:rsidRPr="003A08D9">
        <w:t>he Court further notes that</w:t>
      </w:r>
      <w:r w:rsidR="003434CA" w:rsidRPr="003A08D9">
        <w:t>,</w:t>
      </w:r>
      <w:r w:rsidR="00B475E9" w:rsidRPr="003A08D9">
        <w:t xml:space="preserve"> according to the </w:t>
      </w:r>
      <w:r w:rsidR="0099328A" w:rsidRPr="003A08D9">
        <w:t>material</w:t>
      </w:r>
      <w:r w:rsidR="00B475E9" w:rsidRPr="003A08D9">
        <w:t xml:space="preserve"> in its possession, the police officers did not submit any </w:t>
      </w:r>
      <w:r w:rsidR="008938D8" w:rsidRPr="003A08D9">
        <w:t>document</w:t>
      </w:r>
      <w:r w:rsidR="00BD0568" w:rsidRPr="003A08D9">
        <w:t>ation</w:t>
      </w:r>
      <w:r w:rsidR="008938D8" w:rsidRPr="003A08D9">
        <w:t xml:space="preserve"> in </w:t>
      </w:r>
      <w:r w:rsidR="00B475E9" w:rsidRPr="003A08D9">
        <w:t>support of their contention that the</w:t>
      </w:r>
      <w:r w:rsidR="007D752F" w:rsidRPr="003A08D9">
        <w:t>y had been notified that the</w:t>
      </w:r>
      <w:r w:rsidR="00B475E9" w:rsidRPr="003A08D9">
        <w:t xml:space="preserve"> date of the hearing</w:t>
      </w:r>
      <w:r w:rsidR="007D752F" w:rsidRPr="003A08D9">
        <w:t xml:space="preserve"> was</w:t>
      </w:r>
      <w:r w:rsidR="00B475E9" w:rsidRPr="003A08D9">
        <w:t xml:space="preserve"> 1 June 2010. Moreover, n</w:t>
      </w:r>
      <w:r w:rsidR="00EB117B" w:rsidRPr="003A08D9">
        <w:t xml:space="preserve">either the court nor the Government referred to any </w:t>
      </w:r>
      <w:r w:rsidR="001D4E79" w:rsidRPr="003A08D9">
        <w:t xml:space="preserve">serious </w:t>
      </w:r>
      <w:r w:rsidR="00EB117B" w:rsidRPr="003A08D9">
        <w:t xml:space="preserve">justification </w:t>
      </w:r>
      <w:r w:rsidR="005904F1" w:rsidRPr="003A08D9">
        <w:t xml:space="preserve">for </w:t>
      </w:r>
      <w:r w:rsidR="00EB117B" w:rsidRPr="003A08D9">
        <w:t xml:space="preserve">the police officers </w:t>
      </w:r>
      <w:r w:rsidR="005904F1" w:rsidRPr="003A08D9">
        <w:t xml:space="preserve">not to </w:t>
      </w:r>
      <w:r w:rsidR="00EB117B" w:rsidRPr="003A08D9">
        <w:t xml:space="preserve">testify before the trial court in the </w:t>
      </w:r>
      <w:r w:rsidR="00016598" w:rsidRPr="003A08D9">
        <w:t xml:space="preserve">presence of the </w:t>
      </w:r>
      <w:r w:rsidR="00EB117B" w:rsidRPr="003A08D9">
        <w:t xml:space="preserve">applicants and their lawyer, such as a fear of reprisal from the applicants or serious health issues (see </w:t>
      </w:r>
      <w:r w:rsidR="00EB117B" w:rsidRPr="003A08D9">
        <w:rPr>
          <w:i/>
        </w:rPr>
        <w:t>Schatschaschwili</w:t>
      </w:r>
      <w:r w:rsidR="00EB117B" w:rsidRPr="003A08D9">
        <w:t xml:space="preserve">, cited above, § 119). </w:t>
      </w:r>
      <w:r w:rsidR="00B475E9" w:rsidRPr="003A08D9">
        <w:t>Thus, it appears that the police officers</w:t>
      </w:r>
      <w:r w:rsidR="003A08D9" w:rsidRPr="003A08D9">
        <w:t>’</w:t>
      </w:r>
      <w:r w:rsidR="00B475E9" w:rsidRPr="003A08D9">
        <w:t xml:space="preserve"> request </w:t>
      </w:r>
      <w:r w:rsidR="0099328A" w:rsidRPr="003A08D9">
        <w:t xml:space="preserve">was granted </w:t>
      </w:r>
      <w:r w:rsidR="00B475E9" w:rsidRPr="003A08D9">
        <w:t>automatically.</w:t>
      </w:r>
    </w:p>
    <w:p w:rsidR="003A08D9" w:rsidRPr="003A08D9" w:rsidRDefault="00B475E9"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54</w:t>
      </w:r>
      <w:r w:rsidRPr="003A08D9">
        <w:fldChar w:fldCharType="end"/>
      </w:r>
      <w:r w:rsidRPr="003A08D9">
        <w:t>.  </w:t>
      </w:r>
      <w:r w:rsidR="00016598" w:rsidRPr="003A08D9">
        <w:t>In addition</w:t>
      </w:r>
      <w:r w:rsidR="00EB117B" w:rsidRPr="003A08D9">
        <w:t>, even assuming that all eight police officers were truly unable to comply with the summons to give evidence on 24 June 2010,</w:t>
      </w:r>
      <w:r w:rsidR="003F26B6" w:rsidRPr="003A08D9">
        <w:t xml:space="preserve"> the Court reiterates that the constraints of professional life are not </w:t>
      </w:r>
      <w:r w:rsidR="007D752F" w:rsidRPr="003A08D9">
        <w:t xml:space="preserve">in </w:t>
      </w:r>
      <w:r w:rsidR="003F26B6" w:rsidRPr="003A08D9">
        <w:t xml:space="preserve">themselves sufficient to justify </w:t>
      </w:r>
      <w:r w:rsidR="004B1512" w:rsidRPr="003A08D9">
        <w:t xml:space="preserve">an </w:t>
      </w:r>
      <w:r w:rsidR="003F26B6" w:rsidRPr="003A08D9">
        <w:t xml:space="preserve">absence from criminal proceedings </w:t>
      </w:r>
      <w:r w:rsidR="0099328A" w:rsidRPr="003A08D9">
        <w:t>in</w:t>
      </w:r>
      <w:r w:rsidR="003F26B6" w:rsidRPr="003A08D9">
        <w:t xml:space="preserve"> which the police officers were involved in their capacity as witnesses (see </w:t>
      </w:r>
      <w:r w:rsidR="003F26B6" w:rsidRPr="003A08D9">
        <w:rPr>
          <w:i/>
        </w:rPr>
        <w:t>Virgil Dan Vasile v. Romania</w:t>
      </w:r>
      <w:r w:rsidR="003F26B6" w:rsidRPr="003A08D9">
        <w:rPr>
          <w:lang w:eastAsia="en-GB"/>
        </w:rPr>
        <w:t xml:space="preserve">, no. </w:t>
      </w:r>
      <w:r w:rsidR="003F26B6" w:rsidRPr="003A08D9">
        <w:t>35517/11</w:t>
      </w:r>
      <w:r w:rsidR="003F26B6" w:rsidRPr="003A08D9">
        <w:rPr>
          <w:lang w:eastAsia="en-GB"/>
        </w:rPr>
        <w:t xml:space="preserve">, </w:t>
      </w:r>
      <w:r w:rsidR="003F26B6" w:rsidRPr="003A08D9">
        <w:t xml:space="preserve">§ 66 </w:t>
      </w:r>
      <w:r w:rsidR="003F26B6" w:rsidRPr="003A08D9">
        <w:rPr>
          <w:i/>
        </w:rPr>
        <w:t>in fine</w:t>
      </w:r>
      <w:r w:rsidR="003F26B6" w:rsidRPr="003A08D9">
        <w:t xml:space="preserve">, 15 May 2018). In any event, </w:t>
      </w:r>
      <w:r w:rsidR="00EB117B" w:rsidRPr="003A08D9">
        <w:t xml:space="preserve">there is nothing in the case file </w:t>
      </w:r>
      <w:r w:rsidR="00016598" w:rsidRPr="003A08D9">
        <w:t xml:space="preserve">to show </w:t>
      </w:r>
      <w:r w:rsidR="00EB117B" w:rsidRPr="003A08D9">
        <w:t xml:space="preserve">that the court gave consideration to other methods for securing their attendance </w:t>
      </w:r>
      <w:r w:rsidR="00016598" w:rsidRPr="003A08D9">
        <w:t xml:space="preserve">at </w:t>
      </w:r>
      <w:r w:rsidR="00EB117B" w:rsidRPr="003A08D9">
        <w:t xml:space="preserve">a hearing </w:t>
      </w:r>
      <w:r w:rsidR="00016598" w:rsidRPr="003A08D9">
        <w:t xml:space="preserve">where </w:t>
      </w:r>
      <w:r w:rsidR="00EB117B" w:rsidRPr="003A08D9">
        <w:t xml:space="preserve">the applicants and their lawyers could </w:t>
      </w:r>
      <w:r w:rsidR="00016598" w:rsidRPr="003A08D9">
        <w:t xml:space="preserve">have </w:t>
      </w:r>
      <w:r w:rsidR="00EB117B" w:rsidRPr="003A08D9">
        <w:t>put questions</w:t>
      </w:r>
      <w:r w:rsidR="00016598" w:rsidRPr="003A08D9">
        <w:t xml:space="preserve"> to them</w:t>
      </w:r>
      <w:r w:rsidR="00EB117B" w:rsidRPr="003A08D9">
        <w:t xml:space="preserve">. For instance, the first-instance court could have </w:t>
      </w:r>
      <w:r w:rsidR="00E74478" w:rsidRPr="003A08D9">
        <w:t xml:space="preserve">asked </w:t>
      </w:r>
      <w:r w:rsidR="00EB117B" w:rsidRPr="003A08D9">
        <w:t>the applicants</w:t>
      </w:r>
      <w:r w:rsidR="003A08D9" w:rsidRPr="003A08D9">
        <w:t>’</w:t>
      </w:r>
      <w:r w:rsidR="00EB117B" w:rsidRPr="003A08D9">
        <w:t xml:space="preserve"> representative, who practi</w:t>
      </w:r>
      <w:r w:rsidR="00016598" w:rsidRPr="003A08D9">
        <w:t>ses</w:t>
      </w:r>
      <w:r w:rsidR="00EB117B" w:rsidRPr="003A08D9">
        <w:t xml:space="preserve"> in Diyarbak</w:t>
      </w:r>
      <w:r w:rsidR="00EB117B" w:rsidRPr="003A08D9">
        <w:rPr>
          <w:rFonts w:cstheme="minorHAnsi"/>
        </w:rPr>
        <w:t>ı</w:t>
      </w:r>
      <w:r w:rsidR="00EB117B" w:rsidRPr="003A08D9">
        <w:t xml:space="preserve">r, to </w:t>
      </w:r>
      <w:r w:rsidR="00E74478" w:rsidRPr="003A08D9">
        <w:t xml:space="preserve">appear at </w:t>
      </w:r>
      <w:r w:rsidR="00EB117B" w:rsidRPr="003A08D9">
        <w:t>the court on 1</w:t>
      </w:r>
      <w:r w:rsidR="009B075E" w:rsidRPr="003A08D9">
        <w:t> </w:t>
      </w:r>
      <w:r w:rsidR="00EB117B" w:rsidRPr="003A08D9">
        <w:t>June</w:t>
      </w:r>
      <w:r w:rsidR="001136A3" w:rsidRPr="003A08D9">
        <w:t> </w:t>
      </w:r>
      <w:r w:rsidR="00EB117B" w:rsidRPr="003A08D9">
        <w:t>2010</w:t>
      </w:r>
      <w:r w:rsidR="00016598" w:rsidRPr="003A08D9">
        <w:t>,</w:t>
      </w:r>
      <w:r w:rsidR="00EB117B" w:rsidRPr="003A08D9">
        <w:t xml:space="preserve"> or </w:t>
      </w:r>
      <w:r w:rsidR="00016598" w:rsidRPr="003A08D9">
        <w:t xml:space="preserve">it </w:t>
      </w:r>
      <w:r w:rsidR="00EB117B" w:rsidRPr="003A08D9">
        <w:t xml:space="preserve">could have changed the date of the hearing </w:t>
      </w:r>
      <w:r w:rsidR="00E74478" w:rsidRPr="003A08D9">
        <w:t xml:space="preserve">from </w:t>
      </w:r>
      <w:r w:rsidR="00EB117B" w:rsidRPr="003A08D9">
        <w:t>24 June 2010.</w:t>
      </w:r>
    </w:p>
    <w:p w:rsidR="00EB117B" w:rsidRPr="003A08D9" w:rsidRDefault="00EB117B" w:rsidP="003A08D9">
      <w:pPr>
        <w:pStyle w:val="JuPara"/>
        <w:rPr>
          <w:noProof/>
        </w:rPr>
      </w:pPr>
      <w:r w:rsidRPr="003A08D9">
        <w:rPr>
          <w:noProof/>
        </w:rPr>
        <w:fldChar w:fldCharType="begin"/>
      </w:r>
      <w:r w:rsidRPr="003A08D9">
        <w:rPr>
          <w:noProof/>
        </w:rPr>
        <w:instrText xml:space="preserve"> SEQ level0 \*arabic </w:instrText>
      </w:r>
      <w:r w:rsidRPr="003A08D9">
        <w:rPr>
          <w:noProof/>
        </w:rPr>
        <w:fldChar w:fldCharType="separate"/>
      </w:r>
      <w:r w:rsidR="003A08D9" w:rsidRPr="003A08D9">
        <w:rPr>
          <w:noProof/>
        </w:rPr>
        <w:t>55</w:t>
      </w:r>
      <w:r w:rsidRPr="003A08D9">
        <w:rPr>
          <w:noProof/>
        </w:rPr>
        <w:fldChar w:fldCharType="end"/>
      </w:r>
      <w:r w:rsidRPr="003A08D9">
        <w:rPr>
          <w:noProof/>
        </w:rPr>
        <w:t xml:space="preserve">.  In the light of the foregoing considerations, the Court finds that the first-instance court did not provide a good reason for </w:t>
      </w:r>
      <w:r w:rsidR="00016598" w:rsidRPr="003A08D9">
        <w:rPr>
          <w:noProof/>
        </w:rPr>
        <w:t xml:space="preserve">failing to </w:t>
      </w:r>
      <w:r w:rsidRPr="003A08D9">
        <w:rPr>
          <w:noProof/>
        </w:rPr>
        <w:t>obtain the police officers</w:t>
      </w:r>
      <w:r w:rsidR="003A08D9" w:rsidRPr="003A08D9">
        <w:rPr>
          <w:noProof/>
        </w:rPr>
        <w:t>’</w:t>
      </w:r>
      <w:r w:rsidRPr="003A08D9">
        <w:rPr>
          <w:noProof/>
        </w:rPr>
        <w:t xml:space="preserve"> statements in the presence of the applicants and their lawyers.</w:t>
      </w:r>
    </w:p>
    <w:p w:rsidR="004B2E6A" w:rsidRPr="003A08D9" w:rsidRDefault="004B2E6A" w:rsidP="003A08D9">
      <w:pPr>
        <w:pStyle w:val="JuHi"/>
        <w:rPr>
          <w:rFonts w:eastAsia="Times New Roman"/>
          <w:lang w:eastAsia="fr-FR"/>
        </w:rPr>
      </w:pPr>
      <w:r w:rsidRPr="003A08D9">
        <w:rPr>
          <w:rFonts w:eastAsia="Times New Roman"/>
          <w:lang w:eastAsia="fr-FR"/>
        </w:rPr>
        <w:t>Whether the evidence given by the arresting police officers was the sole or decisive basis for the applicants</w:t>
      </w:r>
      <w:r w:rsidR="003A08D9" w:rsidRPr="003A08D9">
        <w:rPr>
          <w:rFonts w:eastAsia="Times New Roman"/>
          <w:lang w:eastAsia="fr-FR"/>
        </w:rPr>
        <w:t>’</w:t>
      </w:r>
      <w:r w:rsidRPr="003A08D9">
        <w:rPr>
          <w:rFonts w:eastAsia="Times New Roman"/>
          <w:lang w:eastAsia="fr-FR"/>
        </w:rPr>
        <w:t xml:space="preserve"> conviction</w:t>
      </w:r>
    </w:p>
    <w:bookmarkStart w:id="11" w:name="ownassessment"/>
    <w:p w:rsidR="00867D8C" w:rsidRPr="003A08D9" w:rsidRDefault="00EC1EC5"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56</w:t>
      </w:r>
      <w:r w:rsidRPr="003A08D9">
        <w:fldChar w:fldCharType="end"/>
      </w:r>
      <w:r w:rsidRPr="003A08D9">
        <w:t>.  </w:t>
      </w:r>
      <w:bookmarkEnd w:id="11"/>
      <w:r w:rsidR="00EB117B" w:rsidRPr="003A08D9">
        <w:t xml:space="preserve">In determining the weight </w:t>
      </w:r>
      <w:r w:rsidR="009C2F06" w:rsidRPr="003A08D9">
        <w:t xml:space="preserve">given to </w:t>
      </w:r>
      <w:r w:rsidR="00EB117B" w:rsidRPr="003A08D9">
        <w:t xml:space="preserve">the </w:t>
      </w:r>
      <w:r w:rsidR="00E75248" w:rsidRPr="003A08D9">
        <w:t>depositions</w:t>
      </w:r>
      <w:r w:rsidR="00EB117B" w:rsidRPr="003A08D9">
        <w:t xml:space="preserve"> </w:t>
      </w:r>
      <w:r w:rsidR="009C2F06" w:rsidRPr="003A08D9">
        <w:t xml:space="preserve">of </w:t>
      </w:r>
      <w:r w:rsidR="00EB117B" w:rsidRPr="003A08D9">
        <w:t>the arresting officers and, in particular, whether th</w:t>
      </w:r>
      <w:r w:rsidR="009C2F06" w:rsidRPr="003A08D9">
        <w:t xml:space="preserve">at </w:t>
      </w:r>
      <w:r w:rsidR="00EB117B" w:rsidRPr="003A08D9">
        <w:t>evidence was the sole or decisive basis for the applicants</w:t>
      </w:r>
      <w:r w:rsidR="003A08D9" w:rsidRPr="003A08D9">
        <w:t>’</w:t>
      </w:r>
      <w:r w:rsidR="00EB117B" w:rsidRPr="003A08D9">
        <w:t xml:space="preserve"> conviction, the Court </w:t>
      </w:r>
      <w:r w:rsidR="009C2F06" w:rsidRPr="003A08D9">
        <w:t xml:space="preserve">will </w:t>
      </w:r>
      <w:r w:rsidR="00EB117B" w:rsidRPr="003A08D9">
        <w:t>have regard in the first place to the domestic court</w:t>
      </w:r>
      <w:r w:rsidR="003A08D9" w:rsidRPr="003A08D9">
        <w:t>’</w:t>
      </w:r>
      <w:r w:rsidR="00EB117B" w:rsidRPr="003A08D9">
        <w:t xml:space="preserve">s assessment of </w:t>
      </w:r>
      <w:r w:rsidR="00D459F5" w:rsidRPr="003A08D9">
        <w:t xml:space="preserve">the </w:t>
      </w:r>
      <w:r w:rsidR="00EB117B" w:rsidRPr="003A08D9">
        <w:t>evidence</w:t>
      </w:r>
      <w:r w:rsidR="009C2F06" w:rsidRPr="003A08D9">
        <w:t>,</w:t>
      </w:r>
      <w:r w:rsidR="00EB117B" w:rsidRPr="003A08D9">
        <w:t xml:space="preserve"> if there is any</w:t>
      </w:r>
      <w:r w:rsidR="009C2F06" w:rsidRPr="003A08D9">
        <w:t>,</w:t>
      </w:r>
      <w:r w:rsidR="00EB117B" w:rsidRPr="003A08D9">
        <w:t xml:space="preserve"> and </w:t>
      </w:r>
      <w:r w:rsidR="00EB117B" w:rsidRPr="003A08D9">
        <w:lastRenderedPageBreak/>
        <w:t>make its own assessment of the weight of the evidence in question if the domestic court did not indicate its position on that issue</w:t>
      </w:r>
      <w:r w:rsidR="009C2F06" w:rsidRPr="003A08D9">
        <w:t>,</w:t>
      </w:r>
      <w:r w:rsidR="00EB117B" w:rsidRPr="003A08D9">
        <w:t xml:space="preserve"> or if its position is not clear</w:t>
      </w:r>
      <w:r w:rsidR="009C2F06" w:rsidRPr="003A08D9">
        <w:t xml:space="preserve"> </w:t>
      </w:r>
      <w:r w:rsidR="00EB117B" w:rsidRPr="003A08D9">
        <w:t xml:space="preserve">(see </w:t>
      </w:r>
      <w:r w:rsidR="00EB117B" w:rsidRPr="003A08D9">
        <w:rPr>
          <w:i/>
        </w:rPr>
        <w:t>Schatschaschwili</w:t>
      </w:r>
      <w:r w:rsidR="00EB117B" w:rsidRPr="003A08D9">
        <w:t>, cited above, §124).</w:t>
      </w:r>
    </w:p>
    <w:p w:rsidR="00EB117B" w:rsidRPr="003A08D9" w:rsidRDefault="00734B6C"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57</w:t>
      </w:r>
      <w:r w:rsidRPr="003A08D9">
        <w:fldChar w:fldCharType="end"/>
      </w:r>
      <w:r w:rsidRPr="003A08D9">
        <w:t>.  </w:t>
      </w:r>
      <w:r w:rsidR="00EB117B" w:rsidRPr="003A08D9">
        <w:t>In th</w:t>
      </w:r>
      <w:r w:rsidR="009C2F06" w:rsidRPr="003A08D9">
        <w:t>at</w:t>
      </w:r>
      <w:r w:rsidR="00EB117B" w:rsidRPr="003A08D9">
        <w:t xml:space="preserve"> regard, the Court observes that the Diyarbakır Assize Court did not state an opinion on how much weight it gave to the evidence from the police</w:t>
      </w:r>
      <w:r w:rsidR="006B1AC2" w:rsidRPr="003A08D9">
        <w:t xml:space="preserve">. </w:t>
      </w:r>
      <w:r w:rsidR="00EB117B" w:rsidRPr="003A08D9">
        <w:t xml:space="preserve">The Court </w:t>
      </w:r>
      <w:r w:rsidR="009C2F06" w:rsidRPr="003A08D9">
        <w:t xml:space="preserve">will </w:t>
      </w:r>
      <w:r w:rsidR="00EB117B" w:rsidRPr="003A08D9">
        <w:t xml:space="preserve">therefore conduct its own assessment </w:t>
      </w:r>
      <w:r w:rsidR="009C2F06" w:rsidRPr="003A08D9">
        <w:t xml:space="preserve">of whether </w:t>
      </w:r>
      <w:r w:rsidR="00EB117B" w:rsidRPr="003A08D9">
        <w:t xml:space="preserve">the evidence </w:t>
      </w:r>
      <w:r w:rsidR="009C2F06" w:rsidRPr="003A08D9">
        <w:t xml:space="preserve">of </w:t>
      </w:r>
      <w:r w:rsidR="00EB117B" w:rsidRPr="003A08D9">
        <w:t xml:space="preserve">the arresting police officers was </w:t>
      </w:r>
      <w:r w:rsidR="009C2F06" w:rsidRPr="003A08D9">
        <w:t xml:space="preserve">the </w:t>
      </w:r>
      <w:r w:rsidR="00EB117B" w:rsidRPr="003A08D9">
        <w:t xml:space="preserve">sole or decisive </w:t>
      </w:r>
      <w:r w:rsidR="009C2F06" w:rsidRPr="003A08D9">
        <w:t xml:space="preserve">basis for </w:t>
      </w:r>
      <w:r w:rsidR="00EB117B" w:rsidRPr="003A08D9">
        <w:t>convicting the applicants under section 7</w:t>
      </w:r>
      <w:r w:rsidR="00B9713C" w:rsidRPr="003A08D9">
        <w:t>(2) of Law no. 3713 and Article </w:t>
      </w:r>
      <w:r w:rsidR="00C2628C" w:rsidRPr="003A08D9">
        <w:t xml:space="preserve">314 of the Criminal Code for disseminating propaganda in support of a terrorist organisation, and under Article 314 of the Criminal Code for membership </w:t>
      </w:r>
      <w:r w:rsidR="003063FA" w:rsidRPr="003A08D9">
        <w:t>of</w:t>
      </w:r>
      <w:r w:rsidR="00C2628C" w:rsidRPr="003A08D9">
        <w:t xml:space="preserve"> an illegal organisation, the PKK (see § 22 point (a) and (e), and also §§ 24, 29 and 42-43, above).</w:t>
      </w:r>
    </w:p>
    <w:bookmarkStart w:id="12" w:name="assessmentevidence"/>
    <w:p w:rsidR="008F27C3"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58</w:t>
      </w:r>
      <w:r w:rsidRPr="003A08D9">
        <w:fldChar w:fldCharType="end"/>
      </w:r>
      <w:bookmarkEnd w:id="12"/>
      <w:r w:rsidR="00EB117B" w:rsidRPr="003A08D9">
        <w:t>.  </w:t>
      </w:r>
      <w:r w:rsidR="00C2628C" w:rsidRPr="003A08D9">
        <w:t xml:space="preserve">It appears for the Court that when the Diyarbakır Assize Court convicted the applicants of the charges just mentioned, this was to a large extent because the Assize Court found that the applicants </w:t>
      </w:r>
      <w:r w:rsidR="003063FA" w:rsidRPr="003A08D9">
        <w:t xml:space="preserve">had </w:t>
      </w:r>
      <w:r w:rsidR="00C2628C" w:rsidRPr="003A08D9">
        <w:t xml:space="preserve">participated actively in the demonstration that took place in Cizre on 5 December 2009, in particular that the applicants had chanted slogans and thrown stones at the police. </w:t>
      </w:r>
      <w:r w:rsidR="00EB117B" w:rsidRPr="003A08D9">
        <w:t>In th</w:t>
      </w:r>
      <w:r w:rsidR="009C2F06" w:rsidRPr="003A08D9">
        <w:t>at</w:t>
      </w:r>
      <w:r w:rsidR="00EB117B" w:rsidRPr="003A08D9">
        <w:t xml:space="preserve"> connection, the Court observes that all </w:t>
      </w:r>
      <w:r w:rsidR="009C2F06" w:rsidRPr="003A08D9">
        <w:t xml:space="preserve">the </w:t>
      </w:r>
      <w:r w:rsidR="00EB117B" w:rsidRPr="003A08D9">
        <w:t xml:space="preserve">evidence used by the </w:t>
      </w:r>
      <w:r w:rsidR="009C2F06" w:rsidRPr="003A08D9">
        <w:t>A</w:t>
      </w:r>
      <w:r w:rsidR="00EB117B" w:rsidRPr="003A08D9">
        <w:t xml:space="preserve">ssize </w:t>
      </w:r>
      <w:r w:rsidR="009C2F06" w:rsidRPr="003A08D9">
        <w:t>C</w:t>
      </w:r>
      <w:r w:rsidR="00EB117B" w:rsidRPr="003A08D9">
        <w:t xml:space="preserve">ourt for concluding that the applicants had chanted slogans and thrown stones at the police came from police officers who had </w:t>
      </w:r>
      <w:r w:rsidR="00442365" w:rsidRPr="003A08D9">
        <w:t xml:space="preserve">been on duty during the </w:t>
      </w:r>
      <w:r w:rsidR="000D0DE1" w:rsidRPr="003A08D9">
        <w:t>riots</w:t>
      </w:r>
      <w:r w:rsidR="00EB117B" w:rsidRPr="003A08D9">
        <w:t xml:space="preserve"> of 5 December 2009 and who had arrested the applicants</w:t>
      </w:r>
      <w:r w:rsidR="00601571" w:rsidRPr="003A08D9">
        <w:t xml:space="preserve"> (see </w:t>
      </w:r>
      <w:r w:rsidR="00601571" w:rsidRPr="003A08D9">
        <w:rPr>
          <w:i/>
        </w:rPr>
        <w:t>Butkevich</w:t>
      </w:r>
      <w:r w:rsidR="00601571" w:rsidRPr="003A08D9">
        <w:t>, cited above, §</w:t>
      </w:r>
      <w:r w:rsidR="006B4F6A" w:rsidRPr="003A08D9">
        <w:t xml:space="preserve"> </w:t>
      </w:r>
      <w:r w:rsidR="00601571" w:rsidRPr="003A08D9">
        <w:t>94)</w:t>
      </w:r>
      <w:r w:rsidR="00EB117B" w:rsidRPr="003A08D9">
        <w:t xml:space="preserve">. </w:t>
      </w:r>
      <w:r w:rsidR="00766E5C" w:rsidRPr="003A08D9">
        <w:t xml:space="preserve">More importantly, there is no tangible </w:t>
      </w:r>
      <w:r w:rsidR="008F27C3" w:rsidRPr="003A08D9">
        <w:t xml:space="preserve">or corroborative </w:t>
      </w:r>
      <w:r w:rsidR="00766E5C" w:rsidRPr="003A08D9">
        <w:t>evidence</w:t>
      </w:r>
      <w:r w:rsidR="00324567" w:rsidRPr="003A08D9">
        <w:t>, beyond that of the police officers,</w:t>
      </w:r>
      <w:r w:rsidR="00766E5C" w:rsidRPr="003A08D9">
        <w:t xml:space="preserve"> capable of proving that the applicants </w:t>
      </w:r>
      <w:r w:rsidR="003063FA" w:rsidRPr="003A08D9">
        <w:t xml:space="preserve">had </w:t>
      </w:r>
      <w:r w:rsidR="00F43AF2" w:rsidRPr="003A08D9">
        <w:t xml:space="preserve">chanted slogans or </w:t>
      </w:r>
      <w:r w:rsidR="00324567" w:rsidRPr="003A08D9">
        <w:t>thr</w:t>
      </w:r>
      <w:r w:rsidR="003063FA" w:rsidRPr="003A08D9">
        <w:t>o</w:t>
      </w:r>
      <w:r w:rsidR="00324567" w:rsidRPr="003A08D9">
        <w:t>w</w:t>
      </w:r>
      <w:r w:rsidR="003063FA" w:rsidRPr="003A08D9">
        <w:t>n</w:t>
      </w:r>
      <w:r w:rsidR="00766E5C" w:rsidRPr="003A08D9">
        <w:t xml:space="preserve"> stones at the police</w:t>
      </w:r>
      <w:r w:rsidR="008F27C3" w:rsidRPr="003A08D9">
        <w:t xml:space="preserve"> (see </w:t>
      </w:r>
      <w:r w:rsidR="00601571" w:rsidRPr="003A08D9">
        <w:rPr>
          <w:i/>
        </w:rPr>
        <w:t>Butkevich</w:t>
      </w:r>
      <w:r w:rsidR="00E01320" w:rsidRPr="003A08D9">
        <w:t>, cited above, §</w:t>
      </w:r>
      <w:r w:rsidR="006B4F6A" w:rsidRPr="003A08D9">
        <w:t xml:space="preserve"> </w:t>
      </w:r>
      <w:r w:rsidR="00E01320" w:rsidRPr="003A08D9">
        <w:t>99,</w:t>
      </w:r>
      <w:r w:rsidR="00601571" w:rsidRPr="003A08D9">
        <w:t xml:space="preserve"> </w:t>
      </w:r>
      <w:r w:rsidR="008F27C3" w:rsidRPr="003A08D9">
        <w:t xml:space="preserve">and </w:t>
      </w:r>
      <w:r w:rsidR="008F27C3" w:rsidRPr="003A08D9">
        <w:rPr>
          <w:i/>
          <w:iCs/>
        </w:rPr>
        <w:t>Daştan v.</w:t>
      </w:r>
      <w:r w:rsidR="006B4F6A" w:rsidRPr="003A08D9">
        <w:rPr>
          <w:i/>
          <w:iCs/>
        </w:rPr>
        <w:t xml:space="preserve"> </w:t>
      </w:r>
      <w:r w:rsidR="008F27C3" w:rsidRPr="003A08D9">
        <w:rPr>
          <w:i/>
          <w:iCs/>
        </w:rPr>
        <w:t>Turkey</w:t>
      </w:r>
      <w:r w:rsidR="003A08D9" w:rsidRPr="003A08D9">
        <w:rPr>
          <w:lang w:eastAsia="en-GB"/>
        </w:rPr>
        <w:t>, no. </w:t>
      </w:r>
      <w:r w:rsidR="008F27C3" w:rsidRPr="003A08D9">
        <w:t>37272/08</w:t>
      </w:r>
      <w:r w:rsidR="008F27C3" w:rsidRPr="003A08D9">
        <w:rPr>
          <w:lang w:eastAsia="en-GB"/>
        </w:rPr>
        <w:t xml:space="preserve">, </w:t>
      </w:r>
      <w:r w:rsidR="008F27C3" w:rsidRPr="003A08D9">
        <w:t>§</w:t>
      </w:r>
      <w:r w:rsidR="006B4F6A" w:rsidRPr="003A08D9">
        <w:t> </w:t>
      </w:r>
      <w:r w:rsidR="008F27C3" w:rsidRPr="003A08D9">
        <w:t>27, 10</w:t>
      </w:r>
      <w:r w:rsidR="006B4F6A" w:rsidRPr="003A08D9">
        <w:t> </w:t>
      </w:r>
      <w:r w:rsidR="008F27C3" w:rsidRPr="003A08D9">
        <w:t>October 2017)</w:t>
      </w:r>
      <w:r w:rsidR="00E75248" w:rsidRPr="003A08D9">
        <w:t>. This is because</w:t>
      </w:r>
      <w:r w:rsidR="00A34E58" w:rsidRPr="003A08D9">
        <w:t xml:space="preserve"> the remaining</w:t>
      </w:r>
      <w:r w:rsidR="00EB117B" w:rsidRPr="003A08D9">
        <w:t xml:space="preserve"> evidence in the case file, tha</w:t>
      </w:r>
      <w:r w:rsidR="00BA6AD2" w:rsidRPr="003A08D9">
        <w:t xml:space="preserve">t is to say the statements of </w:t>
      </w:r>
      <w:r w:rsidR="00EB117B" w:rsidRPr="003A08D9">
        <w:t xml:space="preserve">O.E. and Y.T., the photographs of the second applicant and the banners found in the </w:t>
      </w:r>
      <w:r w:rsidR="009C2F06" w:rsidRPr="003A08D9">
        <w:t xml:space="preserve">shed </w:t>
      </w:r>
      <w:r w:rsidR="00EB117B" w:rsidRPr="003A08D9">
        <w:t xml:space="preserve">where the applicants </w:t>
      </w:r>
      <w:r w:rsidR="003009F4" w:rsidRPr="003A08D9">
        <w:t>were</w:t>
      </w:r>
      <w:r w:rsidR="00EB117B" w:rsidRPr="003A08D9">
        <w:t xml:space="preserve"> arrested,</w:t>
      </w:r>
      <w:r w:rsidR="00257145" w:rsidRPr="003A08D9">
        <w:t xml:space="preserve"> are not sufficient to conclude</w:t>
      </w:r>
      <w:r w:rsidR="00EB117B" w:rsidRPr="003A08D9">
        <w:t xml:space="preserve"> that the applicants </w:t>
      </w:r>
      <w:r w:rsidR="00F43AF2" w:rsidRPr="003A08D9">
        <w:t xml:space="preserve">had chanted slogans or </w:t>
      </w:r>
      <w:r w:rsidR="003063FA" w:rsidRPr="003A08D9">
        <w:t>been</w:t>
      </w:r>
      <w:r w:rsidR="00EB117B" w:rsidRPr="003A08D9">
        <w:t xml:space="preserve"> involved in </w:t>
      </w:r>
      <w:r w:rsidR="00D50CAB" w:rsidRPr="003A08D9">
        <w:t>throwing stones</w:t>
      </w:r>
      <w:r w:rsidR="00EB117B" w:rsidRPr="003A08D9">
        <w:t xml:space="preserve">. In particular, </w:t>
      </w:r>
      <w:r w:rsidR="00685F8D" w:rsidRPr="003A08D9">
        <w:t xml:space="preserve">it appears that the only </w:t>
      </w:r>
      <w:r w:rsidR="00257145" w:rsidRPr="003A08D9">
        <w:t>proof</w:t>
      </w:r>
      <w:r w:rsidR="00685F8D" w:rsidRPr="003A08D9">
        <w:t xml:space="preserve"> supporting the contention that the applicants</w:t>
      </w:r>
      <w:r w:rsidR="00F43AF2" w:rsidRPr="003A08D9">
        <w:t xml:space="preserve"> </w:t>
      </w:r>
      <w:r w:rsidR="003063FA" w:rsidRPr="003A08D9">
        <w:t xml:space="preserve">had </w:t>
      </w:r>
      <w:r w:rsidR="00F43AF2" w:rsidRPr="003A08D9">
        <w:t>chanted slogans and</w:t>
      </w:r>
      <w:r w:rsidR="00685F8D" w:rsidRPr="003A08D9">
        <w:t xml:space="preserve"> </w:t>
      </w:r>
      <w:r w:rsidR="00EC08B1" w:rsidRPr="003A08D9">
        <w:t>threw</w:t>
      </w:r>
      <w:r w:rsidR="00685F8D" w:rsidRPr="003A08D9">
        <w:t xml:space="preserve"> stones at the police was the statements made by police officers A.A.K. and G.</w:t>
      </w:r>
      <w:r w:rsidR="00685F8D" w:rsidRPr="003A08D9">
        <w:rPr>
          <w:lang w:val="tr-TR"/>
        </w:rPr>
        <w:t>İ</w:t>
      </w:r>
      <w:r w:rsidR="00685F8D" w:rsidRPr="003A08D9">
        <w:t xml:space="preserve">. Moreover, </w:t>
      </w:r>
      <w:r w:rsidR="009C2F06" w:rsidRPr="003A08D9">
        <w:t xml:space="preserve">the second applicant is not </w:t>
      </w:r>
      <w:r w:rsidR="00073B61" w:rsidRPr="003A08D9">
        <w:t xml:space="preserve">shown </w:t>
      </w:r>
      <w:r w:rsidR="00EB117B" w:rsidRPr="003A08D9">
        <w:t xml:space="preserve">throwing stones </w:t>
      </w:r>
      <w:r w:rsidR="009C2F06" w:rsidRPr="003A08D9">
        <w:t xml:space="preserve">in any of the four photographs </w:t>
      </w:r>
      <w:r w:rsidR="00EB117B" w:rsidRPr="003A08D9">
        <w:t xml:space="preserve">(see paragraph </w:t>
      </w:r>
      <w:r w:rsidR="00141627" w:rsidRPr="003A08D9">
        <w:fldChar w:fldCharType="begin"/>
      </w:r>
      <w:r w:rsidR="00141627" w:rsidRPr="003A08D9">
        <w:instrText xml:space="preserve"> REF photographs \h  \* MERGEFORMAT </w:instrText>
      </w:r>
      <w:r w:rsidR="00141627" w:rsidRPr="003A08D9">
        <w:fldChar w:fldCharType="separate"/>
      </w:r>
      <w:r w:rsidR="003A08D9" w:rsidRPr="003A08D9">
        <w:rPr>
          <w:noProof/>
        </w:rPr>
        <w:t>9</w:t>
      </w:r>
      <w:r w:rsidR="00141627" w:rsidRPr="003A08D9">
        <w:fldChar w:fldCharType="end"/>
      </w:r>
      <w:r w:rsidR="00141627" w:rsidRPr="003A08D9">
        <w:t xml:space="preserve"> </w:t>
      </w:r>
      <w:r w:rsidR="00EB117B" w:rsidRPr="003A08D9">
        <w:t>above</w:t>
      </w:r>
      <w:r w:rsidR="00601571" w:rsidRPr="003A08D9">
        <w:t>)</w:t>
      </w:r>
      <w:r w:rsidR="0099328A" w:rsidRPr="003A08D9">
        <w:t>,</w:t>
      </w:r>
      <w:r w:rsidR="00601571" w:rsidRPr="003A08D9">
        <w:t xml:space="preserve"> </w:t>
      </w:r>
      <w:r w:rsidR="007D752F" w:rsidRPr="003A08D9">
        <w:t xml:space="preserve">and </w:t>
      </w:r>
      <w:r w:rsidR="00601571" w:rsidRPr="003A08D9">
        <w:t xml:space="preserve">there </w:t>
      </w:r>
      <w:r w:rsidR="0099328A" w:rsidRPr="003A08D9">
        <w:t>i</w:t>
      </w:r>
      <w:r w:rsidR="00601571" w:rsidRPr="003A08D9">
        <w:t xml:space="preserve">s no </w:t>
      </w:r>
      <w:r w:rsidR="00766E5C" w:rsidRPr="003A08D9">
        <w:t>photograph of the first applicant</w:t>
      </w:r>
      <w:r w:rsidR="00601571" w:rsidRPr="003A08D9">
        <w:t xml:space="preserve"> at all.</w:t>
      </w:r>
    </w:p>
    <w:p w:rsidR="00EB117B" w:rsidRPr="003A08D9" w:rsidRDefault="00734B6C"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59</w:t>
      </w:r>
      <w:r w:rsidRPr="003A08D9">
        <w:fldChar w:fldCharType="end"/>
      </w:r>
      <w:r w:rsidRPr="003A08D9">
        <w:t>.  </w:t>
      </w:r>
      <w:r w:rsidR="008F27C3" w:rsidRPr="003A08D9">
        <w:t>In view of the above</w:t>
      </w:r>
      <w:r w:rsidR="00EB117B" w:rsidRPr="003A08D9">
        <w:t>, the Court</w:t>
      </w:r>
      <w:r w:rsidR="008F27C3" w:rsidRPr="003A08D9">
        <w:t xml:space="preserve"> concludes that</w:t>
      </w:r>
      <w:r w:rsidR="00EB117B" w:rsidRPr="003A08D9">
        <w:t xml:space="preserve"> the arresting police officers</w:t>
      </w:r>
      <w:r w:rsidR="003A08D9" w:rsidRPr="003A08D9">
        <w:t>’</w:t>
      </w:r>
      <w:r w:rsidR="00EB117B" w:rsidRPr="003A08D9">
        <w:t xml:space="preserve"> statements incriminating the applicants, in particular </w:t>
      </w:r>
      <w:r w:rsidR="00920F68" w:rsidRPr="003A08D9">
        <w:t xml:space="preserve">those made by A.A.K. and </w:t>
      </w:r>
      <w:r w:rsidR="00EB117B" w:rsidRPr="003A08D9">
        <w:t>G.</w:t>
      </w:r>
      <w:r w:rsidR="00EB117B" w:rsidRPr="003A08D9">
        <w:rPr>
          <w:rFonts w:cstheme="minorHAnsi"/>
        </w:rPr>
        <w:t>İ</w:t>
      </w:r>
      <w:r w:rsidR="00EB117B" w:rsidRPr="003A08D9">
        <w:t xml:space="preserve">. (see paragraph </w:t>
      </w:r>
      <w:r w:rsidR="00141627" w:rsidRPr="003A08D9">
        <w:fldChar w:fldCharType="begin"/>
      </w:r>
      <w:r w:rsidR="00141627" w:rsidRPr="003A08D9">
        <w:instrText xml:space="preserve"> REF policestatementsb4court \h  \* MERGEFORMAT </w:instrText>
      </w:r>
      <w:r w:rsidR="00141627" w:rsidRPr="003A08D9">
        <w:fldChar w:fldCharType="separate"/>
      </w:r>
      <w:r w:rsidR="003A08D9" w:rsidRPr="003A08D9">
        <w:rPr>
          <w:noProof/>
        </w:rPr>
        <w:t>18</w:t>
      </w:r>
      <w:r w:rsidR="00141627" w:rsidRPr="003A08D9">
        <w:fldChar w:fldCharType="end"/>
      </w:r>
      <w:r w:rsidR="00141627" w:rsidRPr="003A08D9">
        <w:t xml:space="preserve"> </w:t>
      </w:r>
      <w:r w:rsidR="00EB117B" w:rsidRPr="003A08D9">
        <w:t>above)</w:t>
      </w:r>
      <w:r w:rsidR="00BF4720" w:rsidRPr="003A08D9">
        <w:t>,</w:t>
      </w:r>
      <w:r w:rsidR="00EB117B" w:rsidRPr="003A08D9">
        <w:t xml:space="preserve"> were, if not the sole, </w:t>
      </w:r>
      <w:r w:rsidR="00A01525" w:rsidRPr="003A08D9">
        <w:t xml:space="preserve">then </w:t>
      </w:r>
      <w:r w:rsidR="00D459F5" w:rsidRPr="003A08D9">
        <w:t xml:space="preserve">at least </w:t>
      </w:r>
      <w:r w:rsidR="00EB117B" w:rsidRPr="003A08D9">
        <w:t>the</w:t>
      </w:r>
      <w:r w:rsidR="008F27C3" w:rsidRPr="003A08D9">
        <w:t xml:space="preserve"> decisive evidence against them</w:t>
      </w:r>
      <w:r w:rsidR="00EB117B" w:rsidRPr="003A08D9">
        <w:t xml:space="preserve"> </w:t>
      </w:r>
      <w:bookmarkStart w:id="13" w:name="_Toc283885285"/>
      <w:r w:rsidR="00EB117B" w:rsidRPr="003A08D9">
        <w:t xml:space="preserve">(see </w:t>
      </w:r>
      <w:r w:rsidR="00EB117B" w:rsidRPr="003A08D9">
        <w:rPr>
          <w:i/>
        </w:rPr>
        <w:t>Al-Khawaja and Tahery</w:t>
      </w:r>
      <w:r w:rsidR="00EB117B" w:rsidRPr="003A08D9">
        <w:t xml:space="preserve">, cited above, </w:t>
      </w:r>
      <w:r w:rsidR="00EB117B" w:rsidRPr="003A08D9">
        <w:rPr>
          <w:rFonts w:cstheme="minorHAnsi"/>
        </w:rPr>
        <w:t>§</w:t>
      </w:r>
      <w:r w:rsidR="00EB117B" w:rsidRPr="003A08D9">
        <w:t xml:space="preserve"> 160).</w:t>
      </w:r>
      <w:bookmarkEnd w:id="13"/>
      <w:r w:rsidR="00EB117B" w:rsidRPr="003A08D9">
        <w:t xml:space="preserve"> The Court therefore cannot accept the Government</w:t>
      </w:r>
      <w:r w:rsidR="003A08D9" w:rsidRPr="003A08D9">
        <w:t>’</w:t>
      </w:r>
      <w:r w:rsidR="00EB117B" w:rsidRPr="003A08D9">
        <w:t>s argument that the arresting officers</w:t>
      </w:r>
      <w:r w:rsidR="003A08D9" w:rsidRPr="003A08D9">
        <w:t>’</w:t>
      </w:r>
      <w:r w:rsidR="00EB117B" w:rsidRPr="003A08D9">
        <w:t xml:space="preserve"> statements were not the principal evidence for the applicants</w:t>
      </w:r>
      <w:r w:rsidR="003A08D9" w:rsidRPr="003A08D9">
        <w:t>’</w:t>
      </w:r>
      <w:r w:rsidR="00EB117B" w:rsidRPr="003A08D9">
        <w:t xml:space="preserve"> conviction.</w:t>
      </w:r>
    </w:p>
    <w:p w:rsidR="004B2E6A" w:rsidRPr="003A08D9" w:rsidRDefault="004B2E6A" w:rsidP="003A08D9">
      <w:pPr>
        <w:pStyle w:val="JuHi"/>
        <w:rPr>
          <w:rFonts w:eastAsia="Times New Roman"/>
          <w:lang w:eastAsia="fr-FR"/>
        </w:rPr>
      </w:pPr>
      <w:r w:rsidRPr="003A08D9">
        <w:rPr>
          <w:rFonts w:eastAsia="Times New Roman"/>
          <w:lang w:eastAsia="fr-FR"/>
        </w:rPr>
        <w:lastRenderedPageBreak/>
        <w:t>Whether there were sufficient counterbalancing factors to compensate for the handicaps under which the defence laboured</w:t>
      </w:r>
    </w:p>
    <w:p w:rsidR="00EB117B"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60</w:t>
      </w:r>
      <w:r w:rsidRPr="003A08D9">
        <w:rPr>
          <w:noProof/>
        </w:rPr>
        <w:fldChar w:fldCharType="end"/>
      </w:r>
      <w:r w:rsidR="00EB117B" w:rsidRPr="003A08D9">
        <w:t xml:space="preserve">.  The Court must further determine, in a third step, whether there were sufficient counterbalancing factors to compensate for the handicaps under which the defence laboured as a result of the admission of the decisive evidence </w:t>
      </w:r>
      <w:r w:rsidR="00442365" w:rsidRPr="003A08D9">
        <w:t>given by</w:t>
      </w:r>
      <w:r w:rsidR="00EB117B" w:rsidRPr="003A08D9">
        <w:t xml:space="preserve"> the arresting police officers. The following elements are relevant in this context: the trial court</w:t>
      </w:r>
      <w:r w:rsidR="003A08D9" w:rsidRPr="003A08D9">
        <w:t>’</w:t>
      </w:r>
      <w:r w:rsidR="00EB117B" w:rsidRPr="003A08D9">
        <w:t>s approach to the untested evidence, the availability and strength of further incriminating evidence, and the procedural measures taken to compensate for the lack of opportunity to directly cross-examine the witnesses at the trial (see</w:t>
      </w:r>
      <w:r w:rsidR="00EB117B" w:rsidRPr="003A08D9">
        <w:rPr>
          <w:i/>
        </w:rPr>
        <w:t xml:space="preserve"> Schatschaschwili</w:t>
      </w:r>
      <w:r w:rsidR="00EB117B" w:rsidRPr="003A08D9">
        <w:t>, cited above, §</w:t>
      </w:r>
      <w:r w:rsidR="006B4F6A" w:rsidRPr="003A08D9">
        <w:t xml:space="preserve"> </w:t>
      </w:r>
      <w:r w:rsidR="00EB117B" w:rsidRPr="003A08D9">
        <w:t>145).</w:t>
      </w:r>
    </w:p>
    <w:p w:rsidR="00CD312C" w:rsidRPr="003A08D9" w:rsidRDefault="00774445"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61</w:t>
      </w:r>
      <w:r w:rsidRPr="003A08D9">
        <w:fldChar w:fldCharType="end"/>
      </w:r>
      <w:r w:rsidRPr="003A08D9">
        <w:t xml:space="preserve">.  The Court has already established that the </w:t>
      </w:r>
      <w:r w:rsidR="001E55A7" w:rsidRPr="003A08D9">
        <w:t>evidence given by the police officers, in particular by A.A.K. and G.</w:t>
      </w:r>
      <w:r w:rsidR="001E55A7" w:rsidRPr="003A08D9">
        <w:rPr>
          <w:rFonts w:cstheme="minorHAnsi"/>
        </w:rPr>
        <w:t>İ</w:t>
      </w:r>
      <w:r w:rsidR="001E55A7" w:rsidRPr="003A08D9">
        <w:t>.</w:t>
      </w:r>
      <w:r w:rsidR="007D752F" w:rsidRPr="003A08D9">
        <w:t>,</w:t>
      </w:r>
      <w:r w:rsidR="001E55A7" w:rsidRPr="003A08D9">
        <w:t xml:space="preserve"> carried a decisive weight in respect of the applicants</w:t>
      </w:r>
      <w:r w:rsidR="003A08D9" w:rsidRPr="003A08D9">
        <w:t>’</w:t>
      </w:r>
      <w:r w:rsidR="001E55A7" w:rsidRPr="003A08D9">
        <w:t xml:space="preserve"> conviction and that the </w:t>
      </w:r>
      <w:r w:rsidRPr="003A08D9">
        <w:t xml:space="preserve">trial court </w:t>
      </w:r>
      <w:r w:rsidR="001E55A7" w:rsidRPr="003A08D9">
        <w:t xml:space="preserve">failed to </w:t>
      </w:r>
      <w:r w:rsidR="00CD312C" w:rsidRPr="003A08D9">
        <w:t xml:space="preserve">treat the </w:t>
      </w:r>
      <w:r w:rsidR="00CE2A53" w:rsidRPr="003A08D9">
        <w:t>evidence given by the police officers with caution</w:t>
      </w:r>
      <w:r w:rsidR="009D0442" w:rsidRPr="003A08D9">
        <w:t xml:space="preserve"> on account of the discrepancies between the statements</w:t>
      </w:r>
      <w:r w:rsidR="00CB197B" w:rsidRPr="003A08D9">
        <w:t xml:space="preserve"> that they gave</w:t>
      </w:r>
      <w:r w:rsidR="009D0442" w:rsidRPr="003A08D9">
        <w:t xml:space="preserve"> at </w:t>
      </w:r>
      <w:r w:rsidR="00CB197B" w:rsidRPr="003A08D9">
        <w:t>various</w:t>
      </w:r>
      <w:r w:rsidR="009D0442" w:rsidRPr="003A08D9">
        <w:t xml:space="preserve"> stages of the proceedings. </w:t>
      </w:r>
      <w:r w:rsidR="00CD312C" w:rsidRPr="003A08D9">
        <w:t xml:space="preserve">Thus, </w:t>
      </w:r>
      <w:r w:rsidR="00CE2A53" w:rsidRPr="003A08D9">
        <w:t xml:space="preserve">it remains to be determined </w:t>
      </w:r>
      <w:r w:rsidR="00CD312C" w:rsidRPr="003A08D9">
        <w:t xml:space="preserve">whether there were any procedural safeguards </w:t>
      </w:r>
      <w:r w:rsidR="007E4DC6" w:rsidRPr="003A08D9">
        <w:t xml:space="preserve">in place to </w:t>
      </w:r>
      <w:r w:rsidR="00CD312C" w:rsidRPr="003A08D9">
        <w:t>re</w:t>
      </w:r>
      <w:r w:rsidR="00CE2A53" w:rsidRPr="003A08D9">
        <w:t xml:space="preserve">medy </w:t>
      </w:r>
      <w:r w:rsidR="00A20D12" w:rsidRPr="003A08D9">
        <w:t>the applicant</w:t>
      </w:r>
      <w:r w:rsidR="00CD312C" w:rsidRPr="003A08D9">
        <w:t>s</w:t>
      </w:r>
      <w:r w:rsidR="003A08D9" w:rsidRPr="003A08D9">
        <w:t>’</w:t>
      </w:r>
      <w:r w:rsidR="00CD312C" w:rsidRPr="003A08D9">
        <w:t xml:space="preserve"> inability to examine the police officers in person before the trial court.</w:t>
      </w:r>
    </w:p>
    <w:p w:rsidR="008938D8" w:rsidRPr="003A08D9" w:rsidRDefault="008938D8" w:rsidP="003A08D9">
      <w:pPr>
        <w:pStyle w:val="JuPara"/>
        <w:rPr>
          <w:i/>
        </w:rPr>
      </w:pPr>
      <w:r w:rsidRPr="003A08D9">
        <w:fldChar w:fldCharType="begin"/>
      </w:r>
      <w:r w:rsidRPr="003A08D9">
        <w:instrText xml:space="preserve"> SEQ level0 \*arabic </w:instrText>
      </w:r>
      <w:r w:rsidRPr="003A08D9">
        <w:fldChar w:fldCharType="separate"/>
      </w:r>
      <w:r w:rsidR="003A08D9" w:rsidRPr="003A08D9">
        <w:rPr>
          <w:noProof/>
        </w:rPr>
        <w:t>62</w:t>
      </w:r>
      <w:r w:rsidRPr="003A08D9">
        <w:fldChar w:fldCharType="end"/>
      </w:r>
      <w:r w:rsidRPr="003A08D9">
        <w:t>.  The Court reiterates that</w:t>
      </w:r>
      <w:r w:rsidRPr="003A08D9">
        <w:rPr>
          <w:lang w:val="en-US"/>
        </w:rPr>
        <w:t xml:space="preserve"> paragraph 1 of Article 6 taken together with paragraph</w:t>
      </w:r>
      <w:r w:rsidR="006B4F6A" w:rsidRPr="003A08D9">
        <w:rPr>
          <w:lang w:val="en-US"/>
        </w:rPr>
        <w:t> </w:t>
      </w:r>
      <w:r w:rsidRPr="003A08D9">
        <w:rPr>
          <w:lang w:val="en-US"/>
        </w:rPr>
        <w:t>3 requires the Contracting States to take positive steps, in particular to enable the accused to examine or have examined witnesses against him (see</w:t>
      </w:r>
      <w:r w:rsidR="006B4F6A" w:rsidRPr="003A08D9">
        <w:rPr>
          <w:lang w:val="en-US"/>
        </w:rPr>
        <w:t xml:space="preserve"> </w:t>
      </w:r>
      <w:r w:rsidRPr="003A08D9">
        <w:rPr>
          <w:i/>
          <w:lang w:val="en-US"/>
        </w:rPr>
        <w:t>Barberà, Messegué and Jabardo v. Spain</w:t>
      </w:r>
      <w:r w:rsidRPr="003A08D9">
        <w:rPr>
          <w:lang w:val="en-US"/>
        </w:rPr>
        <w:t>, 6</w:t>
      </w:r>
      <w:r w:rsidR="007D752F" w:rsidRPr="003A08D9">
        <w:rPr>
          <w:lang w:val="en-US"/>
        </w:rPr>
        <w:t> </w:t>
      </w:r>
      <w:r w:rsidRPr="003A08D9">
        <w:rPr>
          <w:lang w:val="en-US"/>
        </w:rPr>
        <w:t>December 1988</w:t>
      </w:r>
      <w:r w:rsidR="0099328A" w:rsidRPr="003A08D9">
        <w:rPr>
          <w:lang w:val="en-US"/>
        </w:rPr>
        <w:t>, § 78</w:t>
      </w:r>
      <w:r w:rsidRPr="003A08D9">
        <w:rPr>
          <w:lang w:val="en-US"/>
        </w:rPr>
        <w:t>, Series A no. 146). Such measures form part of the diligence which the Contracting States must exercise in order to ensure that the rights guaranteed by Article 6 are enjoyed in an effective manner (</w:t>
      </w:r>
      <w:r w:rsidR="003A08D9" w:rsidRPr="003A08D9">
        <w:rPr>
          <w:i/>
          <w:iCs/>
        </w:rPr>
        <w:t>Sadak and </w:t>
      </w:r>
      <w:r w:rsidRPr="003A08D9">
        <w:rPr>
          <w:i/>
          <w:iCs/>
        </w:rPr>
        <w:t>Others v. Turkey (no. 1)</w:t>
      </w:r>
      <w:r w:rsidRPr="003A08D9">
        <w:t>, nos.</w:t>
      </w:r>
      <w:r w:rsidR="006B4F6A" w:rsidRPr="003A08D9">
        <w:t xml:space="preserve"> </w:t>
      </w:r>
      <w:r w:rsidRPr="003A08D9">
        <w:t>29900/96</w:t>
      </w:r>
      <w:r w:rsidR="00484321" w:rsidRPr="003A08D9">
        <w:t xml:space="preserve"> and 3 others</w:t>
      </w:r>
      <w:r w:rsidR="003A08D9" w:rsidRPr="003A08D9">
        <w:t>, ECHR </w:t>
      </w:r>
      <w:r w:rsidRPr="003A08D9">
        <w:t>2001</w:t>
      </w:r>
      <w:r w:rsidRPr="003A08D9">
        <w:noBreakHyphen/>
        <w:t>VIII).</w:t>
      </w:r>
      <w:r w:rsidR="004E00B6" w:rsidRPr="003A08D9">
        <w:t xml:space="preserve"> This is so because Article 6 § 3 (d) enshrines the principle that, before an accused can be convicted, all evidence against him must normally be produced in his presence at a public hearing with a view to adversarial argument</w:t>
      </w:r>
      <w:r w:rsidR="002905A9" w:rsidRPr="003A08D9">
        <w:t>,</w:t>
      </w:r>
      <w:r w:rsidR="004E00B6" w:rsidRPr="003A08D9">
        <w:t xml:space="preserve"> which is a clear indication of the principle of immediacy in the criminal proceedings (see </w:t>
      </w:r>
      <w:r w:rsidR="004E00B6" w:rsidRPr="003A08D9">
        <w:rPr>
          <w:i/>
          <w:iCs/>
        </w:rPr>
        <w:t>Pereira Cruz and Others v.</w:t>
      </w:r>
      <w:r w:rsidR="00311479" w:rsidRPr="003A08D9">
        <w:rPr>
          <w:i/>
          <w:iCs/>
        </w:rPr>
        <w:t> </w:t>
      </w:r>
      <w:r w:rsidR="004E00B6" w:rsidRPr="003A08D9">
        <w:rPr>
          <w:i/>
          <w:iCs/>
        </w:rPr>
        <w:t>Portugal</w:t>
      </w:r>
      <w:r w:rsidR="004E00B6" w:rsidRPr="003A08D9">
        <w:rPr>
          <w:lang w:eastAsia="en-GB"/>
        </w:rPr>
        <w:t>, nos.</w:t>
      </w:r>
      <w:r w:rsidR="000670FD" w:rsidRPr="003A08D9">
        <w:rPr>
          <w:lang w:eastAsia="en-GB"/>
        </w:rPr>
        <w:t> </w:t>
      </w:r>
      <w:r w:rsidR="004E00B6" w:rsidRPr="003A08D9">
        <w:t>56396/12 and 3 others</w:t>
      </w:r>
      <w:r w:rsidR="004E00B6" w:rsidRPr="003A08D9">
        <w:rPr>
          <w:lang w:eastAsia="en-GB"/>
        </w:rPr>
        <w:t xml:space="preserve">, </w:t>
      </w:r>
      <w:r w:rsidR="004E00B6" w:rsidRPr="003A08D9">
        <w:t>§</w:t>
      </w:r>
      <w:r w:rsidR="006B4F6A" w:rsidRPr="003A08D9">
        <w:t xml:space="preserve"> </w:t>
      </w:r>
      <w:r w:rsidR="004E00B6" w:rsidRPr="003A08D9">
        <w:t>177, 26 June 2018).</w:t>
      </w:r>
    </w:p>
    <w:p w:rsidR="00F56A9B" w:rsidRPr="003A08D9" w:rsidRDefault="004E00B6"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63</w:t>
      </w:r>
      <w:r w:rsidRPr="003A08D9">
        <w:fldChar w:fldCharType="end"/>
      </w:r>
      <w:r w:rsidRPr="003A08D9">
        <w:t>.  </w:t>
      </w:r>
      <w:r w:rsidR="00F56A9B" w:rsidRPr="003A08D9">
        <w:t>In that connection, the Court observes that the Diyarbak</w:t>
      </w:r>
      <w:r w:rsidR="00F56A9B" w:rsidRPr="003A08D9">
        <w:rPr>
          <w:rFonts w:cstheme="minorHAnsi"/>
        </w:rPr>
        <w:t>ı</w:t>
      </w:r>
      <w:r w:rsidR="00F56A9B" w:rsidRPr="003A08D9">
        <w:t>r Assize</w:t>
      </w:r>
      <w:r w:rsidR="00F56A9B" w:rsidRPr="003A08D9">
        <w:rPr>
          <w:rFonts w:ascii="Times New Roman" w:hAnsi="Times New Roman"/>
        </w:rPr>
        <w:t xml:space="preserve"> Court decided to hold a hearing on 1 June 2010 when the police officers</w:t>
      </w:r>
      <w:r w:rsidR="0018240B" w:rsidRPr="003A08D9">
        <w:rPr>
          <w:rFonts w:ascii="Times New Roman" w:hAnsi="Times New Roman"/>
        </w:rPr>
        <w:t xml:space="preserve"> had</w:t>
      </w:r>
      <w:r w:rsidR="00F56A9B" w:rsidRPr="003A08D9">
        <w:rPr>
          <w:rFonts w:ascii="Times New Roman" w:hAnsi="Times New Roman"/>
        </w:rPr>
        <w:t xml:space="preserve"> turned up of their own motion to give evidence which </w:t>
      </w:r>
      <w:r w:rsidR="0018240B" w:rsidRPr="003A08D9">
        <w:rPr>
          <w:rFonts w:ascii="Times New Roman" w:hAnsi="Times New Roman"/>
        </w:rPr>
        <w:t>had otherwise been</w:t>
      </w:r>
      <w:r w:rsidR="00AC3B48" w:rsidRPr="003A08D9">
        <w:rPr>
          <w:rFonts w:ascii="Times New Roman" w:hAnsi="Times New Roman"/>
        </w:rPr>
        <w:t xml:space="preserve"> </w:t>
      </w:r>
      <w:r w:rsidR="00F56A9B" w:rsidRPr="003A08D9">
        <w:rPr>
          <w:rFonts w:ascii="Times New Roman" w:hAnsi="Times New Roman"/>
        </w:rPr>
        <w:t xml:space="preserve">scheduled for </w:t>
      </w:r>
      <w:r w:rsidR="00A34E58" w:rsidRPr="003A08D9">
        <w:rPr>
          <w:rFonts w:ascii="Times New Roman" w:hAnsi="Times New Roman"/>
        </w:rPr>
        <w:t xml:space="preserve">the hearing on </w:t>
      </w:r>
      <w:r w:rsidR="00F56A9B" w:rsidRPr="003A08D9">
        <w:rPr>
          <w:rFonts w:ascii="Times New Roman" w:hAnsi="Times New Roman"/>
        </w:rPr>
        <w:t xml:space="preserve">24 June 2010. Nevertheless, the trial court did not </w:t>
      </w:r>
      <w:r w:rsidR="00A66E85" w:rsidRPr="003A08D9">
        <w:rPr>
          <w:rFonts w:ascii="Times New Roman" w:hAnsi="Times New Roman"/>
        </w:rPr>
        <w:t>summon</w:t>
      </w:r>
      <w:r w:rsidR="00F56A9B" w:rsidRPr="003A08D9">
        <w:rPr>
          <w:rFonts w:ascii="Times New Roman" w:hAnsi="Times New Roman"/>
        </w:rPr>
        <w:t xml:space="preserve"> the applicants or their lawyer with a view to providing them with an opportunity to exercise their defence rights</w:t>
      </w:r>
      <w:r w:rsidR="0099328A" w:rsidRPr="003A08D9">
        <w:rPr>
          <w:rFonts w:ascii="Times New Roman" w:hAnsi="Times New Roman"/>
        </w:rPr>
        <w:t>,</w:t>
      </w:r>
      <w:r w:rsidR="00DC6511" w:rsidRPr="003A08D9">
        <w:rPr>
          <w:rFonts w:ascii="Times New Roman" w:hAnsi="Times New Roman"/>
        </w:rPr>
        <w:t xml:space="preserve"> </w:t>
      </w:r>
      <w:r w:rsidR="00E859C0" w:rsidRPr="003A08D9">
        <w:rPr>
          <w:rFonts w:ascii="Times New Roman" w:hAnsi="Times New Roman"/>
        </w:rPr>
        <w:t xml:space="preserve">although it did </w:t>
      </w:r>
      <w:r w:rsidR="00DC6511" w:rsidRPr="003A08D9">
        <w:rPr>
          <w:rFonts w:ascii="Times New Roman" w:hAnsi="Times New Roman"/>
        </w:rPr>
        <w:t>inform the public prosecutor</w:t>
      </w:r>
      <w:r w:rsidR="008553D5" w:rsidRPr="003A08D9">
        <w:rPr>
          <w:rFonts w:ascii="Times New Roman" w:hAnsi="Times New Roman"/>
        </w:rPr>
        <w:t>,</w:t>
      </w:r>
      <w:r w:rsidR="00DC6511" w:rsidRPr="003A08D9">
        <w:rPr>
          <w:rFonts w:ascii="Times New Roman" w:hAnsi="Times New Roman"/>
        </w:rPr>
        <w:t xml:space="preserve"> </w:t>
      </w:r>
      <w:r w:rsidR="00A34E58" w:rsidRPr="003A08D9">
        <w:rPr>
          <w:rFonts w:ascii="Times New Roman" w:hAnsi="Times New Roman"/>
        </w:rPr>
        <w:t>thereby</w:t>
      </w:r>
      <w:r w:rsidR="00DC6511" w:rsidRPr="003A08D9">
        <w:rPr>
          <w:rFonts w:ascii="Times New Roman" w:hAnsi="Times New Roman"/>
        </w:rPr>
        <w:t xml:space="preserve"> securing </w:t>
      </w:r>
      <w:r w:rsidR="0059222D" w:rsidRPr="003A08D9">
        <w:rPr>
          <w:rFonts w:ascii="Times New Roman" w:hAnsi="Times New Roman"/>
        </w:rPr>
        <w:t>his</w:t>
      </w:r>
      <w:r w:rsidR="00DC6511" w:rsidRPr="003A08D9">
        <w:rPr>
          <w:rFonts w:ascii="Times New Roman" w:hAnsi="Times New Roman"/>
        </w:rPr>
        <w:t xml:space="preserve"> appearance</w:t>
      </w:r>
      <w:r w:rsidR="00114DFA" w:rsidRPr="003A08D9">
        <w:rPr>
          <w:rFonts w:ascii="Times New Roman" w:hAnsi="Times New Roman"/>
        </w:rPr>
        <w:t xml:space="preserve"> (compare </w:t>
      </w:r>
      <w:r w:rsidR="00114DFA" w:rsidRPr="003A08D9">
        <w:rPr>
          <w:i/>
        </w:rPr>
        <w:t>Papadakis v. the former Yugoslav Republic of Macedonia</w:t>
      </w:r>
      <w:r w:rsidR="00114DFA" w:rsidRPr="003A08D9">
        <w:t>, no. 50254/07</w:t>
      </w:r>
      <w:r w:rsidR="00114DFA" w:rsidRPr="003A08D9">
        <w:rPr>
          <w:snapToGrid w:val="0"/>
        </w:rPr>
        <w:t>, §</w:t>
      </w:r>
      <w:r w:rsidR="006B4F6A" w:rsidRPr="003A08D9">
        <w:rPr>
          <w:snapToGrid w:val="0"/>
        </w:rPr>
        <w:t> </w:t>
      </w:r>
      <w:r w:rsidR="00114DFA" w:rsidRPr="003A08D9">
        <w:rPr>
          <w:snapToGrid w:val="0"/>
        </w:rPr>
        <w:t>91, 26</w:t>
      </w:r>
      <w:r w:rsidR="006B4F6A" w:rsidRPr="003A08D9">
        <w:rPr>
          <w:snapToGrid w:val="0"/>
        </w:rPr>
        <w:t> </w:t>
      </w:r>
      <w:r w:rsidR="00114DFA" w:rsidRPr="003A08D9">
        <w:rPr>
          <w:snapToGrid w:val="0"/>
        </w:rPr>
        <w:t>February 2013)</w:t>
      </w:r>
      <w:r w:rsidR="00F56A9B" w:rsidRPr="003A08D9">
        <w:rPr>
          <w:rFonts w:ascii="Times New Roman" w:hAnsi="Times New Roman"/>
        </w:rPr>
        <w:t>.</w:t>
      </w:r>
      <w:r w:rsidR="002905A9" w:rsidRPr="003A08D9">
        <w:rPr>
          <w:rFonts w:ascii="Times New Roman" w:hAnsi="Times New Roman"/>
        </w:rPr>
        <w:t xml:space="preserve"> The Court observes that such a practice </w:t>
      </w:r>
      <w:r w:rsidR="00685F8D" w:rsidRPr="003A08D9">
        <w:rPr>
          <w:rFonts w:ascii="Times New Roman" w:hAnsi="Times New Roman"/>
        </w:rPr>
        <w:t>is</w:t>
      </w:r>
      <w:r w:rsidR="002905A9" w:rsidRPr="003A08D9">
        <w:rPr>
          <w:rFonts w:ascii="Times New Roman" w:hAnsi="Times New Roman"/>
        </w:rPr>
        <w:t xml:space="preserve"> contrary to the clear wording of </w:t>
      </w:r>
      <w:r w:rsidR="001F4132" w:rsidRPr="003A08D9">
        <w:rPr>
          <w:rFonts w:ascii="Times New Roman" w:hAnsi="Times New Roman"/>
        </w:rPr>
        <w:t xml:space="preserve">Article </w:t>
      </w:r>
      <w:r w:rsidR="002905A9" w:rsidRPr="003A08D9">
        <w:rPr>
          <w:rFonts w:ascii="Times New Roman" w:hAnsi="Times New Roman"/>
        </w:rPr>
        <w:t>181 of the Code of Criminal Procedure</w:t>
      </w:r>
      <w:r w:rsidR="0099328A" w:rsidRPr="003A08D9">
        <w:rPr>
          <w:rFonts w:ascii="Times New Roman" w:hAnsi="Times New Roman"/>
        </w:rPr>
        <w:t>,</w:t>
      </w:r>
      <w:r w:rsidR="002905A9" w:rsidRPr="003A08D9">
        <w:rPr>
          <w:rFonts w:ascii="Times New Roman" w:hAnsi="Times New Roman"/>
        </w:rPr>
        <w:t xml:space="preserve"> which stipulates that</w:t>
      </w:r>
      <w:r w:rsidR="00BE6663" w:rsidRPr="003A08D9">
        <w:rPr>
          <w:rFonts w:ascii="Times New Roman" w:hAnsi="Times New Roman"/>
        </w:rPr>
        <w:t xml:space="preserve">, </w:t>
      </w:r>
      <w:r w:rsidR="00BE6663" w:rsidRPr="003A08D9">
        <w:rPr>
          <w:rFonts w:ascii="Times New Roman" w:hAnsi="Times New Roman"/>
          <w:i/>
        </w:rPr>
        <w:t>inter alios</w:t>
      </w:r>
      <w:r w:rsidR="00BE6663" w:rsidRPr="003A08D9">
        <w:rPr>
          <w:rFonts w:ascii="Times New Roman" w:hAnsi="Times New Roman"/>
        </w:rPr>
        <w:t xml:space="preserve">, the accused and his or her lawyer must be </w:t>
      </w:r>
      <w:r w:rsidR="00BE6663" w:rsidRPr="003A08D9">
        <w:rPr>
          <w:rFonts w:ascii="Times New Roman" w:hAnsi="Times New Roman"/>
        </w:rPr>
        <w:lastRenderedPageBreak/>
        <w:t>notified of</w:t>
      </w:r>
      <w:r w:rsidR="002905A9" w:rsidRPr="003A08D9">
        <w:rPr>
          <w:rFonts w:ascii="Times New Roman" w:hAnsi="Times New Roman"/>
        </w:rPr>
        <w:t xml:space="preserve"> the date on which a witness is to be </w:t>
      </w:r>
      <w:r w:rsidR="00BE6663" w:rsidRPr="003A08D9">
        <w:rPr>
          <w:rFonts w:ascii="Times New Roman" w:hAnsi="Times New Roman"/>
        </w:rPr>
        <w:t>examined</w:t>
      </w:r>
      <w:r w:rsidR="002905A9" w:rsidRPr="003A08D9">
        <w:rPr>
          <w:rFonts w:ascii="Times New Roman" w:hAnsi="Times New Roman"/>
        </w:rPr>
        <w:t xml:space="preserve">. The Government did not </w:t>
      </w:r>
      <w:r w:rsidR="006A2E40" w:rsidRPr="003A08D9">
        <w:rPr>
          <w:rFonts w:ascii="Times New Roman" w:hAnsi="Times New Roman"/>
        </w:rPr>
        <w:t xml:space="preserve">comment on this point. </w:t>
      </w:r>
      <w:r w:rsidR="00F56A9B" w:rsidRPr="003A08D9">
        <w:rPr>
          <w:rFonts w:ascii="Times New Roman" w:hAnsi="Times New Roman"/>
        </w:rPr>
        <w:t>In the Court</w:t>
      </w:r>
      <w:r w:rsidR="003A08D9" w:rsidRPr="003A08D9">
        <w:rPr>
          <w:rFonts w:ascii="Times New Roman" w:hAnsi="Times New Roman"/>
        </w:rPr>
        <w:t>’</w:t>
      </w:r>
      <w:r w:rsidR="00F56A9B" w:rsidRPr="003A08D9">
        <w:rPr>
          <w:rFonts w:ascii="Times New Roman" w:hAnsi="Times New Roman"/>
        </w:rPr>
        <w:t xml:space="preserve">s view, </w:t>
      </w:r>
      <w:r w:rsidR="00AC3B48" w:rsidRPr="003A08D9">
        <w:rPr>
          <w:rFonts w:ascii="Times New Roman" w:hAnsi="Times New Roman"/>
        </w:rPr>
        <w:t xml:space="preserve">the </w:t>
      </w:r>
      <w:r w:rsidR="00257145" w:rsidRPr="003A08D9">
        <w:rPr>
          <w:rFonts w:ascii="Times New Roman" w:hAnsi="Times New Roman"/>
        </w:rPr>
        <w:t>Diyarba</w:t>
      </w:r>
      <w:r w:rsidR="00257145" w:rsidRPr="003A08D9">
        <w:rPr>
          <w:rFonts w:ascii="Times New Roman" w:hAnsi="Times New Roman"/>
          <w:lang w:val="tr-TR"/>
        </w:rPr>
        <w:t xml:space="preserve">kır </w:t>
      </w:r>
      <w:r w:rsidR="00257145" w:rsidRPr="003A08D9">
        <w:rPr>
          <w:rFonts w:ascii="Times New Roman" w:hAnsi="Times New Roman"/>
        </w:rPr>
        <w:t>Assize Court</w:t>
      </w:r>
      <w:r w:rsidR="003A08D9" w:rsidRPr="003A08D9">
        <w:rPr>
          <w:rFonts w:ascii="Times New Roman" w:hAnsi="Times New Roman"/>
        </w:rPr>
        <w:t>’</w:t>
      </w:r>
      <w:r w:rsidR="00257145" w:rsidRPr="003A08D9">
        <w:rPr>
          <w:rFonts w:ascii="Times New Roman" w:hAnsi="Times New Roman"/>
        </w:rPr>
        <w:t xml:space="preserve">s </w:t>
      </w:r>
      <w:r w:rsidR="00AC3B48" w:rsidRPr="003A08D9">
        <w:rPr>
          <w:rFonts w:ascii="Times New Roman" w:hAnsi="Times New Roman"/>
        </w:rPr>
        <w:t>approach</w:t>
      </w:r>
      <w:r w:rsidR="00E873FC" w:rsidRPr="003A08D9">
        <w:rPr>
          <w:rFonts w:ascii="Times New Roman" w:hAnsi="Times New Roman"/>
        </w:rPr>
        <w:t xml:space="preserve"> raises a conspicuous</w:t>
      </w:r>
      <w:r w:rsidR="00F56A9B" w:rsidRPr="003A08D9">
        <w:rPr>
          <w:rFonts w:ascii="Times New Roman" w:hAnsi="Times New Roman"/>
        </w:rPr>
        <w:t xml:space="preserve"> </w:t>
      </w:r>
      <w:r w:rsidR="00E873FC" w:rsidRPr="003A08D9">
        <w:rPr>
          <w:rFonts w:ascii="Times New Roman" w:hAnsi="Times New Roman"/>
        </w:rPr>
        <w:t xml:space="preserve">procedural shortcoming in relation to the principle of </w:t>
      </w:r>
      <w:r w:rsidR="00A66E85" w:rsidRPr="003A08D9">
        <w:rPr>
          <w:rFonts w:ascii="Times New Roman" w:hAnsi="Times New Roman"/>
        </w:rPr>
        <w:t>equality of arms as it prevent</w:t>
      </w:r>
      <w:r w:rsidR="0099328A" w:rsidRPr="003A08D9">
        <w:rPr>
          <w:rFonts w:ascii="Times New Roman" w:hAnsi="Times New Roman"/>
        </w:rPr>
        <w:t>ed</w:t>
      </w:r>
      <w:r w:rsidR="00A66E85" w:rsidRPr="003A08D9">
        <w:rPr>
          <w:rFonts w:ascii="Times New Roman" w:hAnsi="Times New Roman"/>
        </w:rPr>
        <w:t xml:space="preserve"> one of the parties to a criminal case, </w:t>
      </w:r>
      <w:r w:rsidR="002727DA" w:rsidRPr="003A08D9">
        <w:rPr>
          <w:rFonts w:ascii="Times New Roman" w:hAnsi="Times New Roman"/>
        </w:rPr>
        <w:t>the applicants who were facing heavy prison sentences</w:t>
      </w:r>
      <w:r w:rsidR="00A66E85" w:rsidRPr="003A08D9">
        <w:rPr>
          <w:rFonts w:ascii="Times New Roman" w:hAnsi="Times New Roman"/>
        </w:rPr>
        <w:t xml:space="preserve">, </w:t>
      </w:r>
      <w:r w:rsidR="00E873FC" w:rsidRPr="003A08D9">
        <w:rPr>
          <w:rFonts w:ascii="Times New Roman" w:hAnsi="Times New Roman"/>
        </w:rPr>
        <w:t xml:space="preserve">from </w:t>
      </w:r>
      <w:r w:rsidR="00214B0A" w:rsidRPr="003A08D9">
        <w:rPr>
          <w:rFonts w:ascii="Times New Roman" w:hAnsi="Times New Roman"/>
        </w:rPr>
        <w:t xml:space="preserve">being present to </w:t>
      </w:r>
      <w:r w:rsidR="00E873FC" w:rsidRPr="003A08D9">
        <w:rPr>
          <w:rFonts w:ascii="Times New Roman" w:hAnsi="Times New Roman"/>
        </w:rPr>
        <w:t>effectively challeng</w:t>
      </w:r>
      <w:r w:rsidR="00214B0A" w:rsidRPr="003A08D9">
        <w:rPr>
          <w:rFonts w:ascii="Times New Roman" w:hAnsi="Times New Roman"/>
        </w:rPr>
        <w:t>e</w:t>
      </w:r>
      <w:r w:rsidR="00A66E85" w:rsidRPr="003A08D9">
        <w:rPr>
          <w:rFonts w:ascii="Times New Roman" w:hAnsi="Times New Roman"/>
        </w:rPr>
        <w:t xml:space="preserve"> the decisive evidence given by the police officers in their capacity as witnesses.</w:t>
      </w:r>
    </w:p>
    <w:p w:rsidR="00867D8C" w:rsidRPr="003A08D9" w:rsidRDefault="00A66E85"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64</w:t>
      </w:r>
      <w:r w:rsidRPr="003A08D9">
        <w:fldChar w:fldCharType="end"/>
      </w:r>
      <w:r w:rsidRPr="003A08D9">
        <w:t>.  </w:t>
      </w:r>
      <w:r w:rsidR="00DC6511" w:rsidRPr="003A08D9">
        <w:t xml:space="preserve">It must further be </w:t>
      </w:r>
      <w:r w:rsidR="001D0ABF" w:rsidRPr="003A08D9">
        <w:t xml:space="preserve">considered </w:t>
      </w:r>
      <w:r w:rsidR="00DC6511" w:rsidRPr="003A08D9">
        <w:t>whether the domestic courts took any steps to provide the applicants with an opportunity to</w:t>
      </w:r>
      <w:r w:rsidR="009F4A25" w:rsidRPr="003A08D9">
        <w:t xml:space="preserve"> have</w:t>
      </w:r>
      <w:r w:rsidR="00DC6511" w:rsidRPr="003A08D9">
        <w:t xml:space="preserve"> the police officers</w:t>
      </w:r>
      <w:r w:rsidR="009F4A25" w:rsidRPr="003A08D9">
        <w:t xml:space="preserve"> examined</w:t>
      </w:r>
      <w:r w:rsidR="00DC6511" w:rsidRPr="003A08D9">
        <w:t xml:space="preserve"> in their presence</w:t>
      </w:r>
      <w:r w:rsidR="00D60946" w:rsidRPr="003A08D9">
        <w:t xml:space="preserve"> in the course of the ensuing criminal proceedings.</w:t>
      </w:r>
      <w:r w:rsidR="00DC6511" w:rsidRPr="003A08D9">
        <w:t xml:space="preserve"> However, it appears that </w:t>
      </w:r>
      <w:r w:rsidR="00AC3B48" w:rsidRPr="003A08D9">
        <w:t xml:space="preserve">neither </w:t>
      </w:r>
      <w:r w:rsidR="00E873FC" w:rsidRPr="003A08D9">
        <w:t xml:space="preserve">the trial court </w:t>
      </w:r>
      <w:r w:rsidR="00AC3B48" w:rsidRPr="003A08D9">
        <w:t xml:space="preserve">nor the Court of Cassation </w:t>
      </w:r>
      <w:r w:rsidR="00E873FC" w:rsidRPr="003A08D9">
        <w:t>attempt</w:t>
      </w:r>
      <w:r w:rsidR="00AC3B48" w:rsidRPr="003A08D9">
        <w:t>ed</w:t>
      </w:r>
      <w:r w:rsidR="00E873FC" w:rsidRPr="003A08D9">
        <w:t xml:space="preserve"> to remedy the above-mentioned procedural shortcoming </w:t>
      </w:r>
      <w:r w:rsidR="00AC3B48" w:rsidRPr="003A08D9">
        <w:t>at any stage of the criminal proceedings against the applicant</w:t>
      </w:r>
      <w:r w:rsidR="0099328A" w:rsidRPr="003A08D9">
        <w:t>s</w:t>
      </w:r>
      <w:r w:rsidR="00AC3B48" w:rsidRPr="003A08D9">
        <w:t>. I</w:t>
      </w:r>
      <w:r w:rsidR="00E873FC" w:rsidRPr="003A08D9">
        <w:t xml:space="preserve">t is true that </w:t>
      </w:r>
      <w:r w:rsidR="004E00B6" w:rsidRPr="003A08D9">
        <w:t>according to the transcript of the hearing held on 24 June 2010, the police officers</w:t>
      </w:r>
      <w:r w:rsidR="003A08D9" w:rsidRPr="003A08D9">
        <w:t>’</w:t>
      </w:r>
      <w:r w:rsidR="004E00B6" w:rsidRPr="003A08D9">
        <w:t xml:space="preserve"> statements were read out and the applicants </w:t>
      </w:r>
      <w:r w:rsidR="004E00B6" w:rsidRPr="003A08D9">
        <w:rPr>
          <w:rFonts w:ascii="Times New Roman" w:hAnsi="Times New Roman"/>
        </w:rPr>
        <w:t xml:space="preserve">had the opportunity to question their veracity. However, on that day </w:t>
      </w:r>
      <w:r w:rsidR="004E00B6" w:rsidRPr="003A08D9">
        <w:t>the Diyarbak</w:t>
      </w:r>
      <w:r w:rsidR="004E00B6" w:rsidRPr="003A08D9">
        <w:rPr>
          <w:rFonts w:cstheme="minorHAnsi"/>
        </w:rPr>
        <w:t>ı</w:t>
      </w:r>
      <w:r w:rsidR="004E00B6" w:rsidRPr="003A08D9">
        <w:t>r Assize</w:t>
      </w:r>
      <w:r w:rsidR="004E00B6" w:rsidRPr="003A08D9">
        <w:rPr>
          <w:rFonts w:ascii="Times New Roman" w:hAnsi="Times New Roman"/>
        </w:rPr>
        <w:t xml:space="preserve"> Court took no </w:t>
      </w:r>
      <w:r w:rsidR="004E00B6" w:rsidRPr="003A08D9">
        <w:t xml:space="preserve">decision on </w:t>
      </w:r>
      <w:r w:rsidR="004E00B6" w:rsidRPr="003A08D9">
        <w:rPr>
          <w:rFonts w:ascii="Times New Roman" w:hAnsi="Times New Roman"/>
        </w:rPr>
        <w:t xml:space="preserve">the request of the applicants and their </w:t>
      </w:r>
      <w:r w:rsidR="003A08D9" w:rsidRPr="003A08D9">
        <w:rPr>
          <w:rFonts w:ascii="Times New Roman" w:hAnsi="Times New Roman"/>
        </w:rPr>
        <w:t>co</w:t>
      </w:r>
      <w:r w:rsidR="003A08D9" w:rsidRPr="003A08D9">
        <w:rPr>
          <w:rFonts w:ascii="Times New Roman" w:hAnsi="Times New Roman"/>
        </w:rPr>
        <w:noBreakHyphen/>
      </w:r>
      <w:r w:rsidR="004E00B6" w:rsidRPr="003A08D9">
        <w:rPr>
          <w:rFonts w:ascii="Times New Roman" w:hAnsi="Times New Roman"/>
        </w:rPr>
        <w:t xml:space="preserve">accused to </w:t>
      </w:r>
      <w:r w:rsidR="004E00B6" w:rsidRPr="003A08D9">
        <w:t xml:space="preserve">reissue a summons for the police officers to give evidence in their presence (see paragraph </w:t>
      </w:r>
      <w:r w:rsidR="004E00B6" w:rsidRPr="003A08D9">
        <w:fldChar w:fldCharType="begin"/>
      </w:r>
      <w:r w:rsidR="004E00B6" w:rsidRPr="003A08D9">
        <w:instrText xml:space="preserve"> REF crossexaminerequest \h  \* MERGEFORMAT </w:instrText>
      </w:r>
      <w:r w:rsidR="004E00B6" w:rsidRPr="003A08D9">
        <w:fldChar w:fldCharType="separate"/>
      </w:r>
      <w:r w:rsidR="003A08D9" w:rsidRPr="003A08D9">
        <w:rPr>
          <w:noProof/>
        </w:rPr>
        <w:t>19</w:t>
      </w:r>
      <w:r w:rsidR="004E00B6" w:rsidRPr="003A08D9">
        <w:fldChar w:fldCharType="end"/>
      </w:r>
      <w:r w:rsidR="004E00B6" w:rsidRPr="003A08D9">
        <w:t xml:space="preserve"> above). What is more, when the lawyer of one of the applicants</w:t>
      </w:r>
      <w:r w:rsidR="003A08D9" w:rsidRPr="003A08D9">
        <w:t>’</w:t>
      </w:r>
      <w:r w:rsidR="004E00B6" w:rsidRPr="003A08D9">
        <w:t xml:space="preserve"> co-accused reiterated that request during the hearing of 30 September 2010, the first-instance court dismissed it without providing any reason for its decision (see paragraph </w:t>
      </w:r>
      <w:r w:rsidR="004E00B6" w:rsidRPr="003A08D9">
        <w:fldChar w:fldCharType="begin"/>
      </w:r>
      <w:r w:rsidR="004E00B6" w:rsidRPr="003A08D9">
        <w:instrText xml:space="preserve"> REF hearing30september2010 \h </w:instrText>
      </w:r>
      <w:r w:rsidR="004E00B6" w:rsidRPr="003A08D9">
        <w:fldChar w:fldCharType="separate"/>
      </w:r>
      <w:r w:rsidR="003A08D9" w:rsidRPr="003A08D9">
        <w:rPr>
          <w:noProof/>
        </w:rPr>
        <w:t>20</w:t>
      </w:r>
      <w:r w:rsidR="004E00B6" w:rsidRPr="003A08D9">
        <w:fldChar w:fldCharType="end"/>
      </w:r>
      <w:r w:rsidR="004E00B6" w:rsidRPr="003A08D9">
        <w:t xml:space="preserve"> above).</w:t>
      </w:r>
    </w:p>
    <w:p w:rsidR="004069D8" w:rsidRPr="003A08D9" w:rsidRDefault="00E873FC"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65</w:t>
      </w:r>
      <w:r w:rsidRPr="003A08D9">
        <w:fldChar w:fldCharType="end"/>
      </w:r>
      <w:r w:rsidRPr="003A08D9">
        <w:t>.  </w:t>
      </w:r>
      <w:r w:rsidR="00774445" w:rsidRPr="003A08D9">
        <w:t>In the Court</w:t>
      </w:r>
      <w:r w:rsidR="003A08D9" w:rsidRPr="003A08D9">
        <w:t>’</w:t>
      </w:r>
      <w:r w:rsidR="00774445" w:rsidRPr="003A08D9">
        <w:t xml:space="preserve">s view, </w:t>
      </w:r>
      <w:r w:rsidR="004069D8" w:rsidRPr="003A08D9">
        <w:t xml:space="preserve">the </w:t>
      </w:r>
      <w:r w:rsidR="00274213" w:rsidRPr="003A08D9">
        <w:t>aforementioned</w:t>
      </w:r>
      <w:r w:rsidR="00774445" w:rsidRPr="003A08D9">
        <w:t xml:space="preserve"> circumstances are </w:t>
      </w:r>
      <w:r w:rsidR="00AC3B48" w:rsidRPr="003A08D9">
        <w:t xml:space="preserve">such as to </w:t>
      </w:r>
      <w:r w:rsidR="0099328A" w:rsidRPr="003A08D9">
        <w:t>warra</w:t>
      </w:r>
      <w:r w:rsidR="00AC3B48" w:rsidRPr="003A08D9">
        <w:t>nt the conclusion that the</w:t>
      </w:r>
      <w:r w:rsidR="009104D4" w:rsidRPr="003A08D9">
        <w:t xml:space="preserve"> </w:t>
      </w:r>
      <w:r w:rsidR="004069D8" w:rsidRPr="003A08D9">
        <w:t>trial court</w:t>
      </w:r>
      <w:r w:rsidR="003A08D9" w:rsidRPr="003A08D9">
        <w:t>’</w:t>
      </w:r>
      <w:r w:rsidR="004069D8" w:rsidRPr="003A08D9">
        <w:t xml:space="preserve">s approach deprived the applicants of the </w:t>
      </w:r>
      <w:r w:rsidR="00F43AF2" w:rsidRPr="003A08D9">
        <w:t>guarantees of equality of arms.</w:t>
      </w:r>
    </w:p>
    <w:p w:rsidR="00867D8C" w:rsidRPr="003A08D9" w:rsidRDefault="00EE032B"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66</w:t>
      </w:r>
      <w:r w:rsidRPr="003A08D9">
        <w:fldChar w:fldCharType="end"/>
      </w:r>
      <w:r w:rsidRPr="003A08D9">
        <w:t>.  </w:t>
      </w:r>
      <w:r w:rsidR="0099328A" w:rsidRPr="003A08D9">
        <w:t>While</w:t>
      </w:r>
      <w:r w:rsidR="004069D8" w:rsidRPr="003A08D9">
        <w:t xml:space="preserve"> the trial court itself heard the arresting officers in the presence of the public prosecutor and hence had the opportunity to form its own impression of their reliability (compare </w:t>
      </w:r>
      <w:r w:rsidR="004069D8" w:rsidRPr="003A08D9">
        <w:rPr>
          <w:i/>
        </w:rPr>
        <w:t>Balta and Demir</w:t>
      </w:r>
      <w:r w:rsidR="004069D8" w:rsidRPr="003A08D9">
        <w:t>, cited above</w:t>
      </w:r>
      <w:r w:rsidR="004069D8" w:rsidRPr="003A08D9">
        <w:rPr>
          <w:snapToGrid w:val="0"/>
        </w:rPr>
        <w:t>, §</w:t>
      </w:r>
      <w:r w:rsidR="006B4F6A" w:rsidRPr="003A08D9">
        <w:rPr>
          <w:snapToGrid w:val="0"/>
        </w:rPr>
        <w:t> </w:t>
      </w:r>
      <w:r w:rsidR="004069D8" w:rsidRPr="003A08D9">
        <w:rPr>
          <w:snapToGrid w:val="0"/>
        </w:rPr>
        <w:t>57)</w:t>
      </w:r>
      <w:r w:rsidR="0099328A" w:rsidRPr="003A08D9">
        <w:t>,</w:t>
      </w:r>
      <w:r w:rsidR="004069D8" w:rsidRPr="003A08D9">
        <w:t xml:space="preserve"> this </w:t>
      </w:r>
      <w:r w:rsidR="00A71F5A" w:rsidRPr="003A08D9">
        <w:t>cannot be regarded as</w:t>
      </w:r>
      <w:r w:rsidR="004069D8" w:rsidRPr="003A08D9">
        <w:t xml:space="preserve"> </w:t>
      </w:r>
      <w:r w:rsidR="0099328A" w:rsidRPr="003A08D9">
        <w:t>decisive</w:t>
      </w:r>
      <w:r w:rsidR="004069D8" w:rsidRPr="003A08D9">
        <w:t xml:space="preserve"> for the Court</w:t>
      </w:r>
      <w:r w:rsidR="003A08D9" w:rsidRPr="003A08D9">
        <w:t>’</w:t>
      </w:r>
      <w:r w:rsidR="004069D8" w:rsidRPr="003A08D9">
        <w:t>s examination under Article</w:t>
      </w:r>
      <w:r w:rsidR="00CE0502" w:rsidRPr="003A08D9">
        <w:t> </w:t>
      </w:r>
      <w:r w:rsidR="004069D8" w:rsidRPr="003A08D9">
        <w:t>6</w:t>
      </w:r>
      <w:r w:rsidR="006B4F6A" w:rsidRPr="003A08D9">
        <w:t xml:space="preserve"> </w:t>
      </w:r>
      <w:r w:rsidR="004069D8" w:rsidRPr="003A08D9">
        <w:t>§</w:t>
      </w:r>
      <w:r w:rsidR="006B4F6A" w:rsidRPr="003A08D9">
        <w:t xml:space="preserve"> </w:t>
      </w:r>
      <w:r w:rsidR="004069D8" w:rsidRPr="003A08D9">
        <w:t>3 (d) of the Convention. To hold otherwise would be tantamount to replac</w:t>
      </w:r>
      <w:r w:rsidR="00311479" w:rsidRPr="003A08D9">
        <w:t>ing</w:t>
      </w:r>
      <w:r w:rsidR="004069D8" w:rsidRPr="003A08D9">
        <w:t xml:space="preserve"> the rule, that is the </w:t>
      </w:r>
      <w:r w:rsidR="00DE0254" w:rsidRPr="003A08D9">
        <w:t>“</w:t>
      </w:r>
      <w:r w:rsidR="00C55307" w:rsidRPr="003A08D9">
        <w:t>production and examination of all evidence against the accused in his or her presence at a public hearing with a view to adversarial argument</w:t>
      </w:r>
      <w:r w:rsidR="00DE0254" w:rsidRPr="003A08D9">
        <w:t>”</w:t>
      </w:r>
      <w:r w:rsidR="0099328A" w:rsidRPr="003A08D9">
        <w:t>,</w:t>
      </w:r>
      <w:r w:rsidR="00C55307" w:rsidRPr="003A08D9">
        <w:t xml:space="preserve"> with the exception, that is the examination of such evidence in the absence of the accused </w:t>
      </w:r>
      <w:r w:rsidR="00DE0254" w:rsidRPr="003A08D9">
        <w:t xml:space="preserve">while respecting </w:t>
      </w:r>
      <w:r w:rsidR="003707E9" w:rsidRPr="003A08D9">
        <w:t>the</w:t>
      </w:r>
      <w:r w:rsidR="00DE0254" w:rsidRPr="003A08D9">
        <w:t xml:space="preserve"> defence rights </w:t>
      </w:r>
      <w:r w:rsidR="003707E9" w:rsidRPr="003A08D9">
        <w:t xml:space="preserve">and </w:t>
      </w:r>
      <w:r w:rsidR="00C55307" w:rsidRPr="003A08D9">
        <w:t>if need be with the operation of the</w:t>
      </w:r>
      <w:r w:rsidR="00DE0254" w:rsidRPr="003A08D9">
        <w:t xml:space="preserve"> relevant procedural safeguards.</w:t>
      </w:r>
    </w:p>
    <w:p w:rsidR="00C55307" w:rsidRPr="003A08D9" w:rsidRDefault="00184A1F" w:rsidP="003A08D9">
      <w:pPr>
        <w:pStyle w:val="JuPara"/>
        <w:rPr>
          <w:lang w:val="en-US"/>
        </w:rPr>
      </w:pPr>
      <w:r w:rsidRPr="003A08D9">
        <w:t>I</w:t>
      </w:r>
      <w:r w:rsidR="00C55307" w:rsidRPr="003A08D9">
        <w:t>t</w:t>
      </w:r>
      <w:r w:rsidRPr="003A08D9">
        <w:t xml:space="preserve"> therefore</w:t>
      </w:r>
      <w:r w:rsidR="00C55307" w:rsidRPr="003A08D9">
        <w:t xml:space="preserve"> transpires that the </w:t>
      </w:r>
      <w:r w:rsidR="006B1AC2" w:rsidRPr="003A08D9">
        <w:t xml:space="preserve">right laid down in </w:t>
      </w:r>
      <w:r w:rsidR="009104D4" w:rsidRPr="003A08D9">
        <w:t xml:space="preserve">Article </w:t>
      </w:r>
      <w:r w:rsidR="006B1AC2" w:rsidRPr="003A08D9">
        <w:t>6</w:t>
      </w:r>
      <w:r w:rsidR="006B4F6A" w:rsidRPr="003A08D9">
        <w:t xml:space="preserve"> </w:t>
      </w:r>
      <w:r w:rsidR="006B1AC2" w:rsidRPr="003A08D9">
        <w:t>§</w:t>
      </w:r>
      <w:r w:rsidR="006B4F6A" w:rsidRPr="003A08D9">
        <w:t xml:space="preserve"> </w:t>
      </w:r>
      <w:r w:rsidR="006B1AC2" w:rsidRPr="003A08D9">
        <w:t xml:space="preserve">3 (d) of the Convention would be devoid of substance if </w:t>
      </w:r>
      <w:r w:rsidR="009D3313" w:rsidRPr="003A08D9">
        <w:t xml:space="preserve">the </w:t>
      </w:r>
      <w:r w:rsidR="0002635E" w:rsidRPr="003A08D9">
        <w:t>taking</w:t>
      </w:r>
      <w:r w:rsidR="009D3313" w:rsidRPr="003A08D9">
        <w:t xml:space="preserve"> of</w:t>
      </w:r>
      <w:r w:rsidR="0002635E" w:rsidRPr="003A08D9">
        <w:t xml:space="preserve"> </w:t>
      </w:r>
      <w:r w:rsidR="006B1AC2" w:rsidRPr="003A08D9">
        <w:rPr>
          <w:lang w:val="en-US"/>
        </w:rPr>
        <w:t>impugned statements of a witness in the presence</w:t>
      </w:r>
      <w:r w:rsidR="0002635E" w:rsidRPr="003A08D9">
        <w:rPr>
          <w:lang w:val="en-US"/>
        </w:rPr>
        <w:t xml:space="preserve"> of,</w:t>
      </w:r>
      <w:r w:rsidR="006B1AC2" w:rsidRPr="003A08D9">
        <w:rPr>
          <w:lang w:val="en-US"/>
        </w:rPr>
        <w:t xml:space="preserve"> and under the supervision of</w:t>
      </w:r>
      <w:r w:rsidR="0002635E" w:rsidRPr="003A08D9">
        <w:rPr>
          <w:lang w:val="en-US"/>
        </w:rPr>
        <w:t>,</w:t>
      </w:r>
      <w:r w:rsidR="006B1AC2" w:rsidRPr="003A08D9">
        <w:rPr>
          <w:lang w:val="en-US"/>
        </w:rPr>
        <w:t xml:space="preserve"> a</w:t>
      </w:r>
      <w:r w:rsidR="00004DE4" w:rsidRPr="003A08D9">
        <w:rPr>
          <w:lang w:val="en-US"/>
        </w:rPr>
        <w:t xml:space="preserve"> trial</w:t>
      </w:r>
      <w:r w:rsidR="006B1AC2" w:rsidRPr="003A08D9">
        <w:rPr>
          <w:lang w:val="en-US"/>
        </w:rPr>
        <w:t xml:space="preserve"> judge </w:t>
      </w:r>
      <w:r w:rsidR="0002635E" w:rsidRPr="003A08D9">
        <w:rPr>
          <w:lang w:val="en-US"/>
        </w:rPr>
        <w:t>in the absence of</w:t>
      </w:r>
      <w:r w:rsidR="00004DE4" w:rsidRPr="003A08D9">
        <w:rPr>
          <w:lang w:val="en-US"/>
        </w:rPr>
        <w:t xml:space="preserve"> the </w:t>
      </w:r>
      <w:r w:rsidR="004C41C4" w:rsidRPr="003A08D9">
        <w:rPr>
          <w:lang w:val="en-US"/>
        </w:rPr>
        <w:t>applicant</w:t>
      </w:r>
      <w:r w:rsidR="00004DE4" w:rsidRPr="003A08D9">
        <w:rPr>
          <w:lang w:val="en-US"/>
        </w:rPr>
        <w:t xml:space="preserve"> and his or her lawyer </w:t>
      </w:r>
      <w:r w:rsidR="006B1AC2" w:rsidRPr="003A08D9">
        <w:rPr>
          <w:lang w:val="en-US"/>
        </w:rPr>
        <w:t>can in itself be regarded as a substitute for the applicant</w:t>
      </w:r>
      <w:r w:rsidR="003A08D9" w:rsidRPr="003A08D9">
        <w:rPr>
          <w:lang w:val="en-US"/>
        </w:rPr>
        <w:t>’</w:t>
      </w:r>
      <w:r w:rsidR="00C55307" w:rsidRPr="003A08D9">
        <w:rPr>
          <w:lang w:val="en-US"/>
        </w:rPr>
        <w:t>s</w:t>
      </w:r>
      <w:r w:rsidR="006B1AC2" w:rsidRPr="003A08D9">
        <w:rPr>
          <w:lang w:val="en-US"/>
        </w:rPr>
        <w:t xml:space="preserve"> right to </w:t>
      </w:r>
      <w:r w:rsidR="0027696A" w:rsidRPr="003A08D9">
        <w:rPr>
          <w:lang w:val="en-US"/>
        </w:rPr>
        <w:t xml:space="preserve">confront </w:t>
      </w:r>
      <w:r w:rsidR="006B1AC2" w:rsidRPr="003A08D9">
        <w:rPr>
          <w:lang w:val="en-US"/>
        </w:rPr>
        <w:t xml:space="preserve">that witness </w:t>
      </w:r>
      <w:r w:rsidR="0027696A" w:rsidRPr="003A08D9">
        <w:rPr>
          <w:lang w:val="en-US"/>
        </w:rPr>
        <w:t xml:space="preserve">in person and question him directly </w:t>
      </w:r>
      <w:r w:rsidR="006B1AC2" w:rsidRPr="003A08D9">
        <w:rPr>
          <w:lang w:val="en-US"/>
        </w:rPr>
        <w:t xml:space="preserve">(see </w:t>
      </w:r>
      <w:r w:rsidR="006B1AC2" w:rsidRPr="003A08D9">
        <w:rPr>
          <w:i/>
          <w:iCs/>
        </w:rPr>
        <w:t>Dimović and Others v.</w:t>
      </w:r>
      <w:r w:rsidR="006B4F6A" w:rsidRPr="003A08D9">
        <w:rPr>
          <w:i/>
          <w:iCs/>
        </w:rPr>
        <w:t> </w:t>
      </w:r>
      <w:r w:rsidR="006B1AC2" w:rsidRPr="003A08D9">
        <w:rPr>
          <w:i/>
          <w:iCs/>
        </w:rPr>
        <w:t>Serbia</w:t>
      </w:r>
      <w:r w:rsidR="006B1AC2" w:rsidRPr="003A08D9">
        <w:t xml:space="preserve">, </w:t>
      </w:r>
      <w:r w:rsidR="006B1AC2" w:rsidRPr="003A08D9">
        <w:rPr>
          <w:lang w:eastAsia="en-GB"/>
        </w:rPr>
        <w:t>no.</w:t>
      </w:r>
      <w:r w:rsidR="006B4F6A" w:rsidRPr="003A08D9">
        <w:rPr>
          <w:lang w:eastAsia="en-GB"/>
        </w:rPr>
        <w:t> </w:t>
      </w:r>
      <w:r w:rsidR="006B1AC2" w:rsidRPr="003A08D9">
        <w:t>7203/12, §</w:t>
      </w:r>
      <w:r w:rsidR="006B4F6A" w:rsidRPr="003A08D9">
        <w:t xml:space="preserve"> </w:t>
      </w:r>
      <w:r w:rsidR="006B1AC2" w:rsidRPr="003A08D9">
        <w:t xml:space="preserve">61, 11 December 2018, </w:t>
      </w:r>
      <w:r w:rsidR="00590AED" w:rsidRPr="003A08D9">
        <w:rPr>
          <w:lang w:val="en-US"/>
        </w:rPr>
        <w:t>where the examination of witness</w:t>
      </w:r>
      <w:r w:rsidR="000670FD" w:rsidRPr="003A08D9">
        <w:rPr>
          <w:lang w:val="en-US"/>
        </w:rPr>
        <w:t>es</w:t>
      </w:r>
      <w:r w:rsidR="00590AED" w:rsidRPr="003A08D9">
        <w:rPr>
          <w:lang w:val="en-US"/>
        </w:rPr>
        <w:t xml:space="preserve"> by </w:t>
      </w:r>
      <w:r w:rsidR="00202862" w:rsidRPr="003A08D9">
        <w:rPr>
          <w:lang w:val="en-US"/>
        </w:rPr>
        <w:t>investigating judge</w:t>
      </w:r>
      <w:r w:rsidR="000670FD" w:rsidRPr="003A08D9">
        <w:rPr>
          <w:lang w:val="en-US"/>
        </w:rPr>
        <w:t xml:space="preserve"> </w:t>
      </w:r>
      <w:r w:rsidR="00590AED" w:rsidRPr="003A08D9">
        <w:rPr>
          <w:lang w:val="en-US"/>
        </w:rPr>
        <w:t xml:space="preserve">was not </w:t>
      </w:r>
      <w:r w:rsidR="00853EA4" w:rsidRPr="003A08D9">
        <w:rPr>
          <w:lang w:val="en-US"/>
        </w:rPr>
        <w:t xml:space="preserve">of itself </w:t>
      </w:r>
      <w:r w:rsidR="00590AED" w:rsidRPr="003A08D9">
        <w:rPr>
          <w:lang w:val="en-US"/>
        </w:rPr>
        <w:t xml:space="preserve">considered </w:t>
      </w:r>
      <w:r w:rsidR="000670FD" w:rsidRPr="003A08D9">
        <w:rPr>
          <w:lang w:val="en-US"/>
        </w:rPr>
        <w:t xml:space="preserve">as a </w:t>
      </w:r>
      <w:r w:rsidR="00590AED" w:rsidRPr="003A08D9">
        <w:rPr>
          <w:lang w:val="en-US"/>
        </w:rPr>
        <w:t xml:space="preserve">sufficient </w:t>
      </w:r>
      <w:r w:rsidR="000670FD" w:rsidRPr="003A08D9">
        <w:rPr>
          <w:lang w:val="en-US"/>
        </w:rPr>
        <w:t xml:space="preserve">counterbalancing factor </w:t>
      </w:r>
      <w:r w:rsidR="00590AED" w:rsidRPr="003A08D9">
        <w:rPr>
          <w:lang w:val="en-US"/>
        </w:rPr>
        <w:t>by the Court</w:t>
      </w:r>
      <w:r w:rsidR="00DA01FE" w:rsidRPr="003A08D9">
        <w:rPr>
          <w:lang w:val="en-US"/>
        </w:rPr>
        <w:t xml:space="preserve"> in its examination under Article</w:t>
      </w:r>
      <w:r w:rsidR="006B4F6A" w:rsidRPr="003A08D9">
        <w:rPr>
          <w:lang w:val="en-US"/>
        </w:rPr>
        <w:t> </w:t>
      </w:r>
      <w:r w:rsidR="00DA01FE" w:rsidRPr="003A08D9">
        <w:rPr>
          <w:lang w:val="en-US"/>
        </w:rPr>
        <w:t xml:space="preserve">6 </w:t>
      </w:r>
      <w:r w:rsidR="00DA01FE" w:rsidRPr="003A08D9">
        <w:rPr>
          <w:lang w:val="en-US"/>
        </w:rPr>
        <w:lastRenderedPageBreak/>
        <w:t>§</w:t>
      </w:r>
      <w:r w:rsidR="006B4F6A" w:rsidRPr="003A08D9">
        <w:rPr>
          <w:lang w:val="en-US"/>
        </w:rPr>
        <w:t> </w:t>
      </w:r>
      <w:r w:rsidR="00DA01FE" w:rsidRPr="003A08D9">
        <w:rPr>
          <w:lang w:val="en-US"/>
        </w:rPr>
        <w:t>3</w:t>
      </w:r>
      <w:r w:rsidR="006B4F6A" w:rsidRPr="003A08D9">
        <w:rPr>
          <w:lang w:val="en-US"/>
        </w:rPr>
        <w:t> </w:t>
      </w:r>
      <w:r w:rsidR="00DA01FE" w:rsidRPr="003A08D9">
        <w:rPr>
          <w:lang w:val="en-US"/>
        </w:rPr>
        <w:t>(d) of the Convention</w:t>
      </w:r>
      <w:r w:rsidR="006B1AC2" w:rsidRPr="003A08D9">
        <w:rPr>
          <w:lang w:val="en-US"/>
        </w:rPr>
        <w:t xml:space="preserve">). Having said that, it cannot </w:t>
      </w:r>
      <w:r w:rsidR="00C55307" w:rsidRPr="003A08D9">
        <w:rPr>
          <w:lang w:val="en-US"/>
        </w:rPr>
        <w:t xml:space="preserve">be </w:t>
      </w:r>
      <w:r w:rsidR="006B1AC2" w:rsidRPr="003A08D9">
        <w:rPr>
          <w:lang w:val="en-US"/>
        </w:rPr>
        <w:t xml:space="preserve">excluded that in certain, </w:t>
      </w:r>
      <w:r w:rsidR="00F5652F" w:rsidRPr="003A08D9">
        <w:rPr>
          <w:lang w:val="en-US"/>
        </w:rPr>
        <w:t>albeit</w:t>
      </w:r>
      <w:r w:rsidR="006B1AC2" w:rsidRPr="003A08D9">
        <w:rPr>
          <w:lang w:val="en-US"/>
        </w:rPr>
        <w:t xml:space="preserve"> exceptional, cases </w:t>
      </w:r>
      <w:r w:rsidR="009104D4" w:rsidRPr="003A08D9">
        <w:rPr>
          <w:lang w:val="en-US"/>
        </w:rPr>
        <w:t>such a possibility may be regarded as a procedural safeguard</w:t>
      </w:r>
      <w:r w:rsidR="00C55307" w:rsidRPr="003A08D9">
        <w:rPr>
          <w:lang w:val="en-US"/>
        </w:rPr>
        <w:t xml:space="preserve"> </w:t>
      </w:r>
      <w:r w:rsidR="00B23FD3" w:rsidRPr="003A08D9">
        <w:rPr>
          <w:lang w:val="en-US"/>
        </w:rPr>
        <w:t>under Arti</w:t>
      </w:r>
      <w:r w:rsidR="00DA01FE" w:rsidRPr="003A08D9">
        <w:rPr>
          <w:lang w:val="en-US"/>
        </w:rPr>
        <w:t>cle 6 § 3 (d) of the Convention.</w:t>
      </w:r>
    </w:p>
    <w:p w:rsidR="009104D4" w:rsidRPr="003A08D9" w:rsidRDefault="00734B6C" w:rsidP="003A08D9">
      <w:pPr>
        <w:pStyle w:val="JuPara"/>
        <w:rPr>
          <w:lang w:val="en-US"/>
        </w:rPr>
      </w:pPr>
      <w:r w:rsidRPr="003A08D9">
        <w:rPr>
          <w:lang w:val="en-US"/>
        </w:rPr>
        <w:fldChar w:fldCharType="begin"/>
      </w:r>
      <w:r w:rsidRPr="003A08D9">
        <w:rPr>
          <w:lang w:val="en-US"/>
        </w:rPr>
        <w:instrText xml:space="preserve"> SEQ level0 \*arabic </w:instrText>
      </w:r>
      <w:r w:rsidRPr="003A08D9">
        <w:rPr>
          <w:lang w:val="en-US"/>
        </w:rPr>
        <w:fldChar w:fldCharType="separate"/>
      </w:r>
      <w:r w:rsidR="003A08D9" w:rsidRPr="003A08D9">
        <w:rPr>
          <w:noProof/>
          <w:lang w:val="en-US"/>
        </w:rPr>
        <w:t>67</w:t>
      </w:r>
      <w:r w:rsidRPr="003A08D9">
        <w:rPr>
          <w:lang w:val="en-US"/>
        </w:rPr>
        <w:fldChar w:fldCharType="end"/>
      </w:r>
      <w:r w:rsidRPr="003A08D9">
        <w:rPr>
          <w:lang w:val="en-US"/>
        </w:rPr>
        <w:t>.  </w:t>
      </w:r>
      <w:r w:rsidR="009104D4" w:rsidRPr="003A08D9">
        <w:rPr>
          <w:lang w:val="en-US"/>
        </w:rPr>
        <w:t>However, the Court does not discern any circumstances in the instant case</w:t>
      </w:r>
      <w:r w:rsidR="00F95491" w:rsidRPr="003A08D9">
        <w:rPr>
          <w:lang w:val="en-US"/>
        </w:rPr>
        <w:t xml:space="preserve"> capable of warranting this conclusion</w:t>
      </w:r>
      <w:r w:rsidR="00C55307" w:rsidRPr="003A08D9">
        <w:rPr>
          <w:lang w:val="en-US"/>
        </w:rPr>
        <w:t xml:space="preserve">, </w:t>
      </w:r>
      <w:r w:rsidR="00FB03C2" w:rsidRPr="003A08D9">
        <w:rPr>
          <w:lang w:val="en-US"/>
        </w:rPr>
        <w:t>for</w:t>
      </w:r>
      <w:r w:rsidR="00C55307" w:rsidRPr="003A08D9">
        <w:rPr>
          <w:lang w:val="en-US"/>
        </w:rPr>
        <w:t xml:space="preserve"> the following reasons.</w:t>
      </w:r>
    </w:p>
    <w:p w:rsidR="00867D8C" w:rsidRPr="003A08D9" w:rsidRDefault="00734B6C"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68</w:t>
      </w:r>
      <w:r w:rsidRPr="003A08D9">
        <w:fldChar w:fldCharType="end"/>
      </w:r>
      <w:r w:rsidRPr="003A08D9">
        <w:t>.  </w:t>
      </w:r>
      <w:r w:rsidR="00F95491" w:rsidRPr="003A08D9">
        <w:t xml:space="preserve">Firstly, </w:t>
      </w:r>
      <w:r w:rsidR="009104D4" w:rsidRPr="003A08D9">
        <w:t>when the Diyarbakır Assize Court took the arresting officers</w:t>
      </w:r>
      <w:r w:rsidR="003A08D9" w:rsidRPr="003A08D9">
        <w:t>’</w:t>
      </w:r>
      <w:r w:rsidR="009104D4" w:rsidRPr="003A08D9">
        <w:t xml:space="preserve"> statements on 1 June 2010, it did not attempt to resolve the contradictions between the statements made by six officers during the investigation stage and those made before the court. Nor did the Assize Court question the arresting officers with regard to the inconsistencies between those six officers</w:t>
      </w:r>
      <w:r w:rsidR="003A08D9" w:rsidRPr="003A08D9">
        <w:t>’</w:t>
      </w:r>
      <w:r w:rsidR="009104D4" w:rsidRPr="003A08D9">
        <w:t xml:space="preserve"> statements and the statements of A.A.K. and G.İ.</w:t>
      </w:r>
    </w:p>
    <w:p w:rsidR="009104D4" w:rsidRPr="003A08D9" w:rsidRDefault="00734B6C" w:rsidP="003A08D9">
      <w:pPr>
        <w:pStyle w:val="JuPara"/>
        <w:rPr>
          <w:i/>
          <w:iCs/>
        </w:rPr>
      </w:pPr>
      <w:r w:rsidRPr="003A08D9">
        <w:fldChar w:fldCharType="begin"/>
      </w:r>
      <w:r w:rsidRPr="003A08D9">
        <w:instrText xml:space="preserve"> SEQ level0 \*arabic </w:instrText>
      </w:r>
      <w:r w:rsidRPr="003A08D9">
        <w:fldChar w:fldCharType="separate"/>
      </w:r>
      <w:r w:rsidR="003A08D9" w:rsidRPr="003A08D9">
        <w:rPr>
          <w:noProof/>
        </w:rPr>
        <w:t>69</w:t>
      </w:r>
      <w:r w:rsidRPr="003A08D9">
        <w:fldChar w:fldCharType="end"/>
      </w:r>
      <w:r w:rsidRPr="003A08D9">
        <w:t>.  </w:t>
      </w:r>
      <w:r w:rsidR="009104D4" w:rsidRPr="003A08D9">
        <w:t>In the Court</w:t>
      </w:r>
      <w:r w:rsidR="003A08D9" w:rsidRPr="003A08D9">
        <w:t>’</w:t>
      </w:r>
      <w:r w:rsidR="009104D4" w:rsidRPr="003A08D9">
        <w:t>s view, the first-instance court should have addressed the aforementioned inconsistencies or explained why it had not carried out such an assessment. The Court further observes that the statements of the arresting officers to their colleagues on 5 December 2009 regarding the applicants</w:t>
      </w:r>
      <w:r w:rsidR="003A08D9" w:rsidRPr="003A08D9">
        <w:t>’</w:t>
      </w:r>
      <w:r w:rsidR="009104D4" w:rsidRPr="003A08D9">
        <w:t xml:space="preserve"> arrest are the same, word for word (see paragraph </w:t>
      </w:r>
      <w:r w:rsidR="009104D4" w:rsidRPr="003A08D9">
        <w:fldChar w:fldCharType="begin"/>
      </w:r>
      <w:r w:rsidR="009104D4" w:rsidRPr="003A08D9">
        <w:instrText xml:space="preserve"> REF policestatementstopolice \h  \* MERGEFORMAT </w:instrText>
      </w:r>
      <w:r w:rsidR="009104D4" w:rsidRPr="003A08D9">
        <w:fldChar w:fldCharType="separate"/>
      </w:r>
      <w:r w:rsidR="003A08D9" w:rsidRPr="003A08D9">
        <w:t>11</w:t>
      </w:r>
      <w:r w:rsidR="009104D4" w:rsidRPr="003A08D9">
        <w:rPr>
          <w:lang w:val="en-US"/>
        </w:rPr>
        <w:fldChar w:fldCharType="end"/>
      </w:r>
      <w:r w:rsidR="009104D4" w:rsidRPr="003A08D9">
        <w:t xml:space="preserve"> above). However, that fact did not spur the Diyarbakır Assize Court to put any questions to those officers regarding the identical terms of their statements of 5 December 2009. The Diyarbakır Assize Court thus failed to provide adequate reasons why it considered the witness statement</w:t>
      </w:r>
      <w:r w:rsidR="002730E0" w:rsidRPr="003A08D9">
        <w:t>s</w:t>
      </w:r>
      <w:r w:rsidR="009104D4" w:rsidRPr="003A08D9">
        <w:t xml:space="preserve"> of the police officers </w:t>
      </w:r>
      <w:r w:rsidR="002730E0" w:rsidRPr="003A08D9">
        <w:t xml:space="preserve">to be </w:t>
      </w:r>
      <w:r w:rsidR="009104D4" w:rsidRPr="003A08D9">
        <w:t>more objective and reliable than th</w:t>
      </w:r>
      <w:r w:rsidR="002730E0" w:rsidRPr="003A08D9">
        <w:t>ose</w:t>
      </w:r>
      <w:r w:rsidR="009104D4" w:rsidRPr="003A08D9">
        <w:t xml:space="preserve"> of the applicants (see </w:t>
      </w:r>
      <w:r w:rsidR="009104D4" w:rsidRPr="003A08D9">
        <w:rPr>
          <w:i/>
          <w:iCs/>
        </w:rPr>
        <w:t>Huseynli and Others v. Azerbaijan</w:t>
      </w:r>
      <w:r w:rsidR="009104D4" w:rsidRPr="003A08D9">
        <w:t>, nos. 67360/11 and 2 others, §</w:t>
      </w:r>
      <w:r w:rsidR="006B4F6A" w:rsidRPr="003A08D9">
        <w:t> </w:t>
      </w:r>
      <w:r w:rsidR="009104D4" w:rsidRPr="003A08D9">
        <w:t>1</w:t>
      </w:r>
      <w:r w:rsidR="001D4E79" w:rsidRPr="003A08D9">
        <w:t>21, 11 February 2016</w:t>
      </w:r>
      <w:r w:rsidR="009104D4" w:rsidRPr="003A08D9">
        <w:t>).</w:t>
      </w:r>
    </w:p>
    <w:p w:rsidR="00EB117B"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70</w:t>
      </w:r>
      <w:r w:rsidRPr="003A08D9">
        <w:rPr>
          <w:noProof/>
        </w:rPr>
        <w:fldChar w:fldCharType="end"/>
      </w:r>
      <w:r w:rsidR="00EB117B" w:rsidRPr="003A08D9">
        <w:t>.  Against th</w:t>
      </w:r>
      <w:r w:rsidR="00A01525" w:rsidRPr="003A08D9">
        <w:t>at</w:t>
      </w:r>
      <w:r w:rsidR="00EB117B" w:rsidRPr="003A08D9">
        <w:t xml:space="preserve"> background, while acknowledging that during the trial the applicants were given the opportunity to give their own version of </w:t>
      </w:r>
      <w:r w:rsidR="00A01525" w:rsidRPr="003A08D9">
        <w:t xml:space="preserve">the </w:t>
      </w:r>
      <w:r w:rsidR="00EB117B" w:rsidRPr="003A08D9">
        <w:t>events of 5 December 2009, the Court considers that th</w:t>
      </w:r>
      <w:r w:rsidR="00A01525" w:rsidRPr="003A08D9">
        <w:t>at</w:t>
      </w:r>
      <w:r w:rsidR="00EB117B" w:rsidRPr="003A08D9">
        <w:t xml:space="preserve"> </w:t>
      </w:r>
      <w:r w:rsidR="00297E5B" w:rsidRPr="003A08D9">
        <w:t xml:space="preserve">was </w:t>
      </w:r>
      <w:r w:rsidR="00EB117B" w:rsidRPr="003A08D9">
        <w:t>not a sufficient counterbalance where the untested statements of the police officers were the decisive evidence against the applicants.</w:t>
      </w:r>
    </w:p>
    <w:p w:rsidR="000670FD" w:rsidRPr="003A08D9" w:rsidRDefault="000670FD" w:rsidP="003A08D9">
      <w:pPr>
        <w:pStyle w:val="JuHi"/>
        <w:rPr>
          <w:rFonts w:eastAsia="Times New Roman"/>
          <w:lang w:eastAsia="fr-FR"/>
        </w:rPr>
      </w:pPr>
      <w:r w:rsidRPr="003A08D9">
        <w:rPr>
          <w:rFonts w:eastAsia="Times New Roman"/>
          <w:lang w:eastAsia="fr-FR"/>
        </w:rPr>
        <w:t>Conclusion</w:t>
      </w:r>
    </w:p>
    <w:p w:rsidR="00EB117B"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71</w:t>
      </w:r>
      <w:r w:rsidRPr="003A08D9">
        <w:rPr>
          <w:noProof/>
        </w:rPr>
        <w:fldChar w:fldCharType="end"/>
      </w:r>
      <w:r w:rsidR="00EB117B" w:rsidRPr="003A08D9">
        <w:t>.  </w:t>
      </w:r>
      <w:r w:rsidR="00A01525" w:rsidRPr="003A08D9">
        <w:t>I</w:t>
      </w:r>
      <w:r w:rsidR="00EB117B" w:rsidRPr="003A08D9">
        <w:t xml:space="preserve">n the light of the foregoing and examining the fairness of the proceedings as a whole, the Court considers that there were not sufficient counterbalancing factors to compensate for the difficulties to the defence which resulted from the </w:t>
      </w:r>
      <w:r w:rsidR="00307E4B" w:rsidRPr="003A08D9">
        <w:t>use</w:t>
      </w:r>
      <w:r w:rsidR="00EB117B" w:rsidRPr="003A08D9">
        <w:t xml:space="preserve"> of the statements of the arresting police officers, in particular those of A.A.K. and G.İ.</w:t>
      </w:r>
      <w:r w:rsidR="00A01525" w:rsidRPr="003A08D9">
        <w:t>,</w:t>
      </w:r>
      <w:r w:rsidR="00307E4B" w:rsidRPr="003A08D9">
        <w:t xml:space="preserve"> by the trial court.</w:t>
      </w:r>
      <w:r w:rsidR="00EB117B" w:rsidRPr="003A08D9">
        <w:t xml:space="preserve"> The Court therefore concludes that the absence of </w:t>
      </w:r>
      <w:r w:rsidR="00216071" w:rsidRPr="003A08D9">
        <w:t xml:space="preserve">reasoning in the </w:t>
      </w:r>
      <w:r w:rsidR="00682149" w:rsidRPr="003A08D9">
        <w:t>Diyarbak</w:t>
      </w:r>
      <w:r w:rsidR="00682149" w:rsidRPr="003A08D9">
        <w:rPr>
          <w:rFonts w:cstheme="minorHAnsi"/>
        </w:rPr>
        <w:t>ı</w:t>
      </w:r>
      <w:r w:rsidR="00682149" w:rsidRPr="003A08D9">
        <w:t>r Assize Court</w:t>
      </w:r>
      <w:r w:rsidR="003A08D9" w:rsidRPr="003A08D9">
        <w:t>’</w:t>
      </w:r>
      <w:r w:rsidR="00216071" w:rsidRPr="003A08D9">
        <w:t>s judgment as to why it had not allowed t</w:t>
      </w:r>
      <w:r w:rsidR="00EB117B" w:rsidRPr="003A08D9">
        <w:t>he applicant</w:t>
      </w:r>
      <w:r w:rsidR="00297E5B" w:rsidRPr="003A08D9">
        <w:t>s</w:t>
      </w:r>
      <w:r w:rsidR="00EB117B" w:rsidRPr="003A08D9">
        <w:t xml:space="preserve"> to examine or have examined </w:t>
      </w:r>
      <w:r w:rsidR="00216071" w:rsidRPr="003A08D9">
        <w:t>the</w:t>
      </w:r>
      <w:r w:rsidR="00EB117B" w:rsidRPr="003A08D9">
        <w:t xml:space="preserve"> </w:t>
      </w:r>
      <w:r w:rsidR="00216071" w:rsidRPr="003A08D9">
        <w:t xml:space="preserve">arresting police officers </w:t>
      </w:r>
      <w:r w:rsidR="00EB117B" w:rsidRPr="003A08D9">
        <w:t>at any stage of the proceedings</w:t>
      </w:r>
      <w:r w:rsidR="0099328A" w:rsidRPr="003A08D9">
        <w:t>,</w:t>
      </w:r>
      <w:r w:rsidR="00EB117B" w:rsidRPr="003A08D9">
        <w:t xml:space="preserve"> </w:t>
      </w:r>
      <w:r w:rsidR="00965C3C" w:rsidRPr="003A08D9">
        <w:t>coupled with the court</w:t>
      </w:r>
      <w:r w:rsidR="003A08D9" w:rsidRPr="003A08D9">
        <w:t>’</w:t>
      </w:r>
      <w:r w:rsidR="00965C3C" w:rsidRPr="003A08D9">
        <w:t>s failure to address the inconsistencies between the witness statements</w:t>
      </w:r>
      <w:r w:rsidR="0099328A" w:rsidRPr="003A08D9">
        <w:t>,</w:t>
      </w:r>
      <w:r w:rsidR="00965C3C" w:rsidRPr="003A08D9">
        <w:t xml:space="preserve"> </w:t>
      </w:r>
      <w:r w:rsidR="00EB117B" w:rsidRPr="003A08D9">
        <w:t>rendered the trial as a whole unfair.</w:t>
      </w:r>
    </w:p>
    <w:p w:rsidR="00EB117B" w:rsidRPr="003A08D9" w:rsidRDefault="00734B6C"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72</w:t>
      </w:r>
      <w:r w:rsidRPr="003A08D9">
        <w:fldChar w:fldCharType="end"/>
      </w:r>
      <w:r w:rsidRPr="003A08D9">
        <w:t>.  </w:t>
      </w:r>
      <w:r w:rsidR="00EB117B" w:rsidRPr="003A08D9">
        <w:t>There has accordingly been a violation of Article 6 §§ 1 and 3 (d) of the Convention.</w:t>
      </w:r>
    </w:p>
    <w:p w:rsidR="00014566" w:rsidRPr="003A08D9" w:rsidRDefault="00EB117B" w:rsidP="003A08D9">
      <w:pPr>
        <w:pStyle w:val="JuHA"/>
      </w:pPr>
      <w:r w:rsidRPr="003A08D9">
        <w:lastRenderedPageBreak/>
        <w:t>Other</w:t>
      </w:r>
      <w:r w:rsidR="0039039B" w:rsidRPr="003A08D9">
        <w:t xml:space="preserve"> </w:t>
      </w:r>
      <w:r w:rsidRPr="003A08D9">
        <w:t xml:space="preserve">alleged </w:t>
      </w:r>
      <w:r w:rsidR="0039039B" w:rsidRPr="003A08D9">
        <w:t>violation</w:t>
      </w:r>
      <w:r w:rsidRPr="003A08D9">
        <w:t>s</w:t>
      </w:r>
      <w:r w:rsidR="0039039B" w:rsidRPr="003A08D9">
        <w:t xml:space="preserve"> of the Convention</w:t>
      </w:r>
    </w:p>
    <w:p w:rsidR="0039039B"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73</w:t>
      </w:r>
      <w:r w:rsidRPr="003A08D9">
        <w:rPr>
          <w:noProof/>
        </w:rPr>
        <w:fldChar w:fldCharType="end"/>
      </w:r>
      <w:r w:rsidR="0039039B" w:rsidRPr="003A08D9">
        <w:t>.  </w:t>
      </w:r>
      <w:r w:rsidR="00B930E3" w:rsidRPr="003A08D9">
        <w:t>Relying</w:t>
      </w:r>
      <w:r w:rsidR="0039039B" w:rsidRPr="003A08D9">
        <w:t xml:space="preserve"> on Articles 6, 9, 10 and 11 of the Convention, the applicants complained </w:t>
      </w:r>
      <w:r w:rsidR="00B930E3" w:rsidRPr="003A08D9">
        <w:t>about their convictions under section 7(2) of Law no. 3713 and Article 314 § 2 of the Criminal Code on th</w:t>
      </w:r>
      <w:r w:rsidR="003A08D9" w:rsidRPr="003A08D9">
        <w:t>e basis of Articles 220 § 6 and </w:t>
      </w:r>
      <w:r w:rsidR="00B930E3" w:rsidRPr="003A08D9">
        <w:t xml:space="preserve">314 § 3 of the same Code and </w:t>
      </w:r>
      <w:r w:rsidR="00A01525" w:rsidRPr="003A08D9">
        <w:t xml:space="preserve">of </w:t>
      </w:r>
      <w:r w:rsidR="00B930E3" w:rsidRPr="003A08D9">
        <w:t>the allegedly disproportionate sentences imposed on them.</w:t>
      </w:r>
      <w:r w:rsidR="00B308CF" w:rsidRPr="003A08D9">
        <w:t xml:space="preserve"> They submitted under Article 6 § 1 of the Convention that they </w:t>
      </w:r>
      <w:r w:rsidR="0077190A" w:rsidRPr="003A08D9">
        <w:t xml:space="preserve">had been </w:t>
      </w:r>
      <w:r w:rsidR="00B308CF" w:rsidRPr="003A08D9">
        <w:t xml:space="preserve">convicted despite the fact that they had not been involved in any violence and that the first-instance court had failed to conduct a proper enquiry regarding the events </w:t>
      </w:r>
      <w:r w:rsidR="00297E5B" w:rsidRPr="003A08D9">
        <w:t xml:space="preserve">or </w:t>
      </w:r>
      <w:r w:rsidR="00B308CF" w:rsidRPr="003A08D9">
        <w:t>to take their defence submissions into consideration. They also complained under Articles 9, 10 and 11 of the Convention that their conviction had been in breach of their rights to freedom of thought, expression and assembly.</w:t>
      </w:r>
    </w:p>
    <w:p w:rsidR="00B308CF"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74</w:t>
      </w:r>
      <w:r w:rsidRPr="003A08D9">
        <w:rPr>
          <w:noProof/>
        </w:rPr>
        <w:fldChar w:fldCharType="end"/>
      </w:r>
      <w:r w:rsidR="00B308CF" w:rsidRPr="003A08D9">
        <w:t>.  </w:t>
      </w:r>
      <w:r w:rsidR="00A932F3" w:rsidRPr="003A08D9">
        <w:t>Having regard to its conclusion under Article 6 of the Convention, the Court considers that it is not necessary to examine separately the remaining complaints raised under Articles 6, 9, 10 and 11 of the Convention</w:t>
      </w:r>
      <w:r w:rsidR="00A932F3" w:rsidRPr="003A08D9">
        <w:rPr>
          <w:color w:val="00B050"/>
        </w:rPr>
        <w:t xml:space="preserve"> </w:t>
      </w:r>
      <w:r w:rsidR="00F65E94" w:rsidRPr="003A08D9">
        <w:t>(see</w:t>
      </w:r>
      <w:r w:rsidR="00F65E94" w:rsidRPr="003A08D9">
        <w:rPr>
          <w:i/>
        </w:rPr>
        <w:t xml:space="preserve"> </w:t>
      </w:r>
      <w:r w:rsidR="00307E4B" w:rsidRPr="003A08D9">
        <w:rPr>
          <w:i/>
        </w:rPr>
        <w:t>Sadak</w:t>
      </w:r>
      <w:r w:rsidR="006F5CF4" w:rsidRPr="003A08D9">
        <w:rPr>
          <w:i/>
        </w:rPr>
        <w:t xml:space="preserve"> </w:t>
      </w:r>
      <w:r w:rsidR="00140F83" w:rsidRPr="003A08D9">
        <w:rPr>
          <w:i/>
        </w:rPr>
        <w:t>and Others v. Turkey (no. 1)</w:t>
      </w:r>
      <w:r w:rsidR="00140F83" w:rsidRPr="003A08D9">
        <w:t xml:space="preserve">, </w:t>
      </w:r>
      <w:r w:rsidR="0099328A" w:rsidRPr="003A08D9">
        <w:t>cited above</w:t>
      </w:r>
      <w:r w:rsidR="00140F83" w:rsidRPr="003A08D9">
        <w:t xml:space="preserve">, § 73, and </w:t>
      </w:r>
      <w:r w:rsidR="00147665" w:rsidRPr="003A08D9">
        <w:rPr>
          <w:i/>
        </w:rPr>
        <w:t>Balta and Demir</w:t>
      </w:r>
      <w:r w:rsidR="00147665" w:rsidRPr="003A08D9">
        <w:t xml:space="preserve">, </w:t>
      </w:r>
      <w:r w:rsidR="00307E4B" w:rsidRPr="003A08D9">
        <w:t>cited above</w:t>
      </w:r>
      <w:r w:rsidR="00307E4B" w:rsidRPr="003A08D9">
        <w:rPr>
          <w:snapToGrid w:val="0"/>
        </w:rPr>
        <w:t>, § 65</w:t>
      </w:r>
      <w:r w:rsidR="002E5E25" w:rsidRPr="003A08D9">
        <w:rPr>
          <w:snapToGrid w:val="0"/>
        </w:rPr>
        <w:t>).</w:t>
      </w:r>
    </w:p>
    <w:p w:rsidR="00014566" w:rsidRPr="003A08D9" w:rsidRDefault="00014566" w:rsidP="003A08D9">
      <w:pPr>
        <w:pStyle w:val="JuHIRoman"/>
      </w:pPr>
      <w:r w:rsidRPr="003A08D9">
        <w:t>APPLICATION OF ARTICLE 41 OF THE CONVENTION</w:t>
      </w:r>
    </w:p>
    <w:p w:rsidR="00014566"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75</w:t>
      </w:r>
      <w:r w:rsidRPr="003A08D9">
        <w:rPr>
          <w:noProof/>
        </w:rPr>
        <w:fldChar w:fldCharType="end"/>
      </w:r>
      <w:r w:rsidR="00014566" w:rsidRPr="003A08D9">
        <w:t>.  Article 41 of the Convention provides:</w:t>
      </w:r>
    </w:p>
    <w:p w:rsidR="00014566" w:rsidRPr="003A08D9" w:rsidRDefault="00014566" w:rsidP="003A08D9">
      <w:pPr>
        <w:pStyle w:val="JuQuot"/>
        <w:keepNext/>
        <w:keepLines/>
      </w:pPr>
      <w:r w:rsidRPr="003A08D9">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014566" w:rsidRPr="003A08D9" w:rsidRDefault="00014566" w:rsidP="003A08D9">
      <w:pPr>
        <w:pStyle w:val="JuHA"/>
      </w:pPr>
      <w:r w:rsidRPr="003A08D9">
        <w:t>Damage</w:t>
      </w:r>
    </w:p>
    <w:p w:rsidR="00014566"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76</w:t>
      </w:r>
      <w:r w:rsidRPr="003A08D9">
        <w:rPr>
          <w:noProof/>
        </w:rPr>
        <w:fldChar w:fldCharType="end"/>
      </w:r>
      <w:r w:rsidR="00014566" w:rsidRPr="003A08D9">
        <w:t>.  The applicant</w:t>
      </w:r>
      <w:r w:rsidR="00BB1312" w:rsidRPr="003A08D9">
        <w:t>s</w:t>
      </w:r>
      <w:r w:rsidR="00014566" w:rsidRPr="003A08D9">
        <w:t xml:space="preserve"> claimed </w:t>
      </w:r>
      <w:r w:rsidR="00F115E6" w:rsidRPr="003A08D9">
        <w:t>40,000 Turkish liras (TRY</w:t>
      </w:r>
      <w:r w:rsidR="00045EFD" w:rsidRPr="003A08D9">
        <w:t xml:space="preserve"> – </w:t>
      </w:r>
      <w:r w:rsidR="002B55D1" w:rsidRPr="003A08D9">
        <w:t>approximately 13,915</w:t>
      </w:r>
      <w:r w:rsidR="006F5CF4" w:rsidRPr="003A08D9">
        <w:t> </w:t>
      </w:r>
      <w:r w:rsidR="00014566" w:rsidRPr="003A08D9">
        <w:t>euros (EUR)</w:t>
      </w:r>
      <w:r w:rsidR="002B55D1" w:rsidRPr="003A08D9">
        <w:t xml:space="preserve">) and TRY 50,000 (approximately </w:t>
      </w:r>
      <w:r w:rsidR="00DF3E76" w:rsidRPr="003A08D9">
        <w:t xml:space="preserve">EUR </w:t>
      </w:r>
      <w:r w:rsidR="002B55D1" w:rsidRPr="003A08D9">
        <w:t>17,390)</w:t>
      </w:r>
      <w:r w:rsidR="00014566" w:rsidRPr="003A08D9">
        <w:t xml:space="preserve"> in respect of pecuniary and non-pecuniary damage.</w:t>
      </w:r>
      <w:r w:rsidR="002B55D1" w:rsidRPr="003A08D9">
        <w:t xml:space="preserve"> As regards the amount claimed for pecuniary damage, the applicants submitted that </w:t>
      </w:r>
      <w:r w:rsidR="00297E5B" w:rsidRPr="003A08D9">
        <w:t xml:space="preserve">if </w:t>
      </w:r>
      <w:r w:rsidR="002B55D1" w:rsidRPr="003A08D9">
        <w:t xml:space="preserve">they </w:t>
      </w:r>
      <w:r w:rsidR="00297E5B" w:rsidRPr="003A08D9">
        <w:t xml:space="preserve">had </w:t>
      </w:r>
      <w:r w:rsidR="002B55D1" w:rsidRPr="003A08D9">
        <w:t xml:space="preserve">not been imprisoned they would have earned TRY 30,000 as farmers. They also stated that they </w:t>
      </w:r>
      <w:r w:rsidR="0077190A" w:rsidRPr="003A08D9">
        <w:t xml:space="preserve">had </w:t>
      </w:r>
      <w:r w:rsidR="002B55D1" w:rsidRPr="003A08D9">
        <w:t>spen</w:t>
      </w:r>
      <w:r w:rsidR="00297E5B" w:rsidRPr="003A08D9">
        <w:t>t</w:t>
      </w:r>
      <w:r w:rsidR="002B55D1" w:rsidRPr="003A08D9">
        <w:t xml:space="preserve"> TRY 10,000 </w:t>
      </w:r>
      <w:r w:rsidR="00297E5B" w:rsidRPr="003A08D9">
        <w:t xml:space="preserve">on </w:t>
      </w:r>
      <w:r w:rsidR="002B55D1" w:rsidRPr="003A08D9">
        <w:t>their subsistence while in prison and for their families</w:t>
      </w:r>
      <w:r w:rsidR="003A08D9" w:rsidRPr="003A08D9">
        <w:t>’</w:t>
      </w:r>
      <w:r w:rsidR="002B55D1" w:rsidRPr="003A08D9">
        <w:t xml:space="preserve"> visits to prison</w:t>
      </w:r>
      <w:r w:rsidR="00297E5B" w:rsidRPr="003A08D9">
        <w:t>,</w:t>
      </w:r>
      <w:r w:rsidR="002B55D1" w:rsidRPr="003A08D9">
        <w:t xml:space="preserve"> without providing any document</w:t>
      </w:r>
      <w:r w:rsidR="0077190A" w:rsidRPr="003A08D9">
        <w:t>s</w:t>
      </w:r>
      <w:r w:rsidR="002B55D1" w:rsidRPr="003A08D9">
        <w:t>.</w:t>
      </w:r>
    </w:p>
    <w:p w:rsidR="002B55D1"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77</w:t>
      </w:r>
      <w:r w:rsidRPr="003A08D9">
        <w:rPr>
          <w:noProof/>
        </w:rPr>
        <w:fldChar w:fldCharType="end"/>
      </w:r>
      <w:r w:rsidR="002B55D1" w:rsidRPr="003A08D9">
        <w:t>.  The Government considered that the applicant</w:t>
      </w:r>
      <w:r w:rsidR="003A08D9" w:rsidRPr="003A08D9">
        <w:t>’</w:t>
      </w:r>
      <w:r w:rsidR="002B55D1" w:rsidRPr="003A08D9">
        <w:t>s claims were unsubstantiated and excessive.</w:t>
      </w:r>
    </w:p>
    <w:p w:rsidR="00014566"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78</w:t>
      </w:r>
      <w:r w:rsidRPr="003A08D9">
        <w:rPr>
          <w:noProof/>
        </w:rPr>
        <w:fldChar w:fldCharType="end"/>
      </w:r>
      <w:r w:rsidR="00014566" w:rsidRPr="003A08D9">
        <w:t>.  The Court does not discern any causal link between the violation found and the pecuniary damage alleged</w:t>
      </w:r>
      <w:r w:rsidR="002B55D1" w:rsidRPr="003A08D9">
        <w:t xml:space="preserve"> for loss of income. </w:t>
      </w:r>
      <w:r w:rsidR="0077190A" w:rsidRPr="003A08D9">
        <w:t>In addition</w:t>
      </w:r>
      <w:r w:rsidR="002B55D1" w:rsidRPr="003A08D9">
        <w:t xml:space="preserve">, the applicants did not substantiate their claim that they spent TRY 10,000 </w:t>
      </w:r>
      <w:r w:rsidR="00297E5B" w:rsidRPr="003A08D9">
        <w:t xml:space="preserve">while </w:t>
      </w:r>
      <w:r w:rsidR="002B55D1" w:rsidRPr="003A08D9">
        <w:t xml:space="preserve">in prison. The Court therefore rejects the claim for pecuniary damage. </w:t>
      </w:r>
      <w:r w:rsidR="00986CA8" w:rsidRPr="003A08D9">
        <w:t>However</w:t>
      </w:r>
      <w:r w:rsidR="00014566" w:rsidRPr="003A08D9">
        <w:t>,</w:t>
      </w:r>
      <w:r w:rsidR="00D2444F" w:rsidRPr="003A08D9">
        <w:t xml:space="preserve"> ruling on an equitable basis,</w:t>
      </w:r>
      <w:r w:rsidR="00014566" w:rsidRPr="003A08D9">
        <w:t xml:space="preserve"> it</w:t>
      </w:r>
      <w:r w:rsidR="002B55D1" w:rsidRPr="003A08D9">
        <w:t xml:space="preserve"> </w:t>
      </w:r>
      <w:r w:rsidR="00014566" w:rsidRPr="003A08D9">
        <w:t>awards the applicant</w:t>
      </w:r>
      <w:r w:rsidR="00BB1312" w:rsidRPr="003A08D9">
        <w:t>s</w:t>
      </w:r>
      <w:r w:rsidR="00D2444F" w:rsidRPr="003A08D9">
        <w:t xml:space="preserve"> EUR </w:t>
      </w:r>
      <w:r w:rsidR="00E01320" w:rsidRPr="003A08D9">
        <w:t>5</w:t>
      </w:r>
      <w:r w:rsidR="002B55D1" w:rsidRPr="003A08D9">
        <w:t>,</w:t>
      </w:r>
      <w:r w:rsidR="006742FC" w:rsidRPr="003A08D9">
        <w:t>00</w:t>
      </w:r>
      <w:r w:rsidR="002B55D1" w:rsidRPr="003A08D9">
        <w:t>0 each</w:t>
      </w:r>
      <w:r w:rsidR="00DF3E76" w:rsidRPr="003A08D9">
        <w:t xml:space="preserve"> in respect of non</w:t>
      </w:r>
      <w:r w:rsidR="00DF3E76" w:rsidRPr="003A08D9">
        <w:noBreakHyphen/>
      </w:r>
      <w:r w:rsidR="00014566" w:rsidRPr="003A08D9">
        <w:t>pecuniary damage.</w:t>
      </w:r>
    </w:p>
    <w:p w:rsidR="00147665" w:rsidRPr="003A08D9" w:rsidRDefault="0081298A" w:rsidP="003A08D9">
      <w:pPr>
        <w:pStyle w:val="JuPara"/>
        <w:rPr>
          <w:i/>
        </w:rPr>
      </w:pPr>
      <w:r w:rsidRPr="003A08D9">
        <w:lastRenderedPageBreak/>
        <w:fldChar w:fldCharType="begin"/>
      </w:r>
      <w:r w:rsidRPr="003A08D9">
        <w:instrText xml:space="preserve"> SEQ level0 \*arabic </w:instrText>
      </w:r>
      <w:r w:rsidRPr="003A08D9">
        <w:fldChar w:fldCharType="separate"/>
      </w:r>
      <w:r w:rsidR="003A08D9" w:rsidRPr="003A08D9">
        <w:rPr>
          <w:noProof/>
        </w:rPr>
        <w:t>79</w:t>
      </w:r>
      <w:r w:rsidRPr="003A08D9">
        <w:rPr>
          <w:noProof/>
        </w:rPr>
        <w:fldChar w:fldCharType="end"/>
      </w:r>
      <w:r w:rsidR="006742FC" w:rsidRPr="003A08D9">
        <w:t>.  </w:t>
      </w:r>
      <w:r w:rsidR="0077190A" w:rsidRPr="003A08D9">
        <w:t>L</w:t>
      </w:r>
      <w:r w:rsidR="0077190A" w:rsidRPr="003A08D9">
        <w:rPr>
          <w:rFonts w:eastAsia="Times New Roman"/>
          <w:lang w:eastAsia="en-GB"/>
        </w:rPr>
        <w:t>astly</w:t>
      </w:r>
      <w:r w:rsidR="0077190A" w:rsidRPr="003A08D9">
        <w:rPr>
          <w:rFonts w:eastAsia="Times New Roman"/>
          <w:lang w:val="en" w:eastAsia="en-GB"/>
        </w:rPr>
        <w:t>, t</w:t>
      </w:r>
      <w:r w:rsidR="00147665" w:rsidRPr="003A08D9">
        <w:rPr>
          <w:rFonts w:eastAsia="Times New Roman"/>
          <w:lang w:val="en" w:eastAsia="en-GB"/>
        </w:rPr>
        <w:t xml:space="preserve">he Court notes </w:t>
      </w:r>
      <w:r w:rsidR="00147665" w:rsidRPr="003A08D9">
        <w:t xml:space="preserve">that Article 311 § 1 (f) of the Code of Criminal Procedure </w:t>
      </w:r>
      <w:r w:rsidR="00147665" w:rsidRPr="003A08D9">
        <w:rPr>
          <w:rFonts w:eastAsia="Times New Roman"/>
          <w:lang w:val="en" w:eastAsia="en-GB"/>
        </w:rPr>
        <w:t>provides the applicant</w:t>
      </w:r>
      <w:r w:rsidR="009A0CB9" w:rsidRPr="003A08D9">
        <w:rPr>
          <w:rFonts w:eastAsia="Times New Roman"/>
          <w:lang w:val="en" w:eastAsia="en-GB"/>
        </w:rPr>
        <w:t>s</w:t>
      </w:r>
      <w:r w:rsidR="00147665" w:rsidRPr="003A08D9">
        <w:rPr>
          <w:rFonts w:eastAsia="Times New Roman"/>
          <w:lang w:val="en" w:eastAsia="en-GB"/>
        </w:rPr>
        <w:t xml:space="preserve"> </w:t>
      </w:r>
      <w:r w:rsidR="0077190A" w:rsidRPr="003A08D9">
        <w:rPr>
          <w:rFonts w:eastAsia="Times New Roman"/>
          <w:lang w:val="en" w:eastAsia="en-GB"/>
        </w:rPr>
        <w:t xml:space="preserve">with </w:t>
      </w:r>
      <w:r w:rsidR="00147665" w:rsidRPr="003A08D9">
        <w:rPr>
          <w:rFonts w:eastAsia="Times New Roman"/>
          <w:lang w:val="en" w:eastAsia="en-GB"/>
        </w:rPr>
        <w:t xml:space="preserve">the opportunity to request the reopening of </w:t>
      </w:r>
      <w:r w:rsidR="00645742" w:rsidRPr="003A08D9">
        <w:rPr>
          <w:rFonts w:eastAsia="Times New Roman"/>
          <w:lang w:val="en" w:eastAsia="en-GB"/>
        </w:rPr>
        <w:t>criminal</w:t>
      </w:r>
      <w:r w:rsidR="00147665" w:rsidRPr="003A08D9">
        <w:rPr>
          <w:rFonts w:eastAsia="Times New Roman"/>
          <w:lang w:val="en" w:eastAsia="en-GB"/>
        </w:rPr>
        <w:t xml:space="preserve"> proceedings </w:t>
      </w:r>
      <w:r w:rsidR="00147665" w:rsidRPr="003A08D9">
        <w:t xml:space="preserve">within one year </w:t>
      </w:r>
      <w:r w:rsidR="0077190A" w:rsidRPr="003A08D9">
        <w:t xml:space="preserve">of </w:t>
      </w:r>
      <w:r w:rsidR="009A0CB9" w:rsidRPr="003A08D9">
        <w:t>a</w:t>
      </w:r>
      <w:r w:rsidR="00147665" w:rsidRPr="003A08D9">
        <w:t xml:space="preserve"> final judgment </w:t>
      </w:r>
      <w:r w:rsidR="009A0CB9" w:rsidRPr="003A08D9">
        <w:t xml:space="preserve">by </w:t>
      </w:r>
      <w:r w:rsidR="00147665" w:rsidRPr="003A08D9">
        <w:t xml:space="preserve">the Court </w:t>
      </w:r>
      <w:r w:rsidR="0077190A" w:rsidRPr="003A08D9">
        <w:rPr>
          <w:rFonts w:eastAsia="Times New Roman"/>
          <w:lang w:val="en" w:eastAsia="en-GB"/>
        </w:rPr>
        <w:t xml:space="preserve">finding a violation </w:t>
      </w:r>
      <w:r w:rsidR="00147665" w:rsidRPr="003A08D9">
        <w:t>(see</w:t>
      </w:r>
      <w:r w:rsidR="00645742" w:rsidRPr="003A08D9">
        <w:t xml:space="preserve"> </w:t>
      </w:r>
      <w:r w:rsidR="00147665" w:rsidRPr="003A08D9">
        <w:rPr>
          <w:i/>
        </w:rPr>
        <w:t>Balta and Demir</w:t>
      </w:r>
      <w:r w:rsidR="00147665" w:rsidRPr="003A08D9">
        <w:t>, cited above</w:t>
      </w:r>
      <w:r w:rsidR="00147665" w:rsidRPr="003A08D9">
        <w:rPr>
          <w:snapToGrid w:val="0"/>
        </w:rPr>
        <w:t xml:space="preserve"> §</w:t>
      </w:r>
      <w:r w:rsidR="006F5CF4" w:rsidRPr="003A08D9">
        <w:rPr>
          <w:snapToGrid w:val="0"/>
        </w:rPr>
        <w:t> </w:t>
      </w:r>
      <w:r w:rsidR="00147665" w:rsidRPr="003A08D9">
        <w:rPr>
          <w:snapToGrid w:val="0"/>
        </w:rPr>
        <w:t>70</w:t>
      </w:r>
      <w:r w:rsidR="00FA6D88" w:rsidRPr="003A08D9">
        <w:rPr>
          <w:snapToGrid w:val="0"/>
        </w:rPr>
        <w:t xml:space="preserve">; </w:t>
      </w:r>
      <w:r w:rsidR="00FA6D88" w:rsidRPr="003A08D9">
        <w:rPr>
          <w:i/>
        </w:rPr>
        <w:t>Gökbulut v. Turkey</w:t>
      </w:r>
      <w:r w:rsidR="00FA6D88" w:rsidRPr="003A08D9">
        <w:t>,</w:t>
      </w:r>
      <w:r w:rsidR="00FA6D88" w:rsidRPr="003A08D9">
        <w:rPr>
          <w:snapToGrid w:val="0"/>
        </w:rPr>
        <w:t xml:space="preserve"> </w:t>
      </w:r>
      <w:r w:rsidR="00FA6D88" w:rsidRPr="003A08D9">
        <w:t>no. 7459/04</w:t>
      </w:r>
      <w:r w:rsidR="00FA6D88" w:rsidRPr="003A08D9">
        <w:rPr>
          <w:snapToGrid w:val="0"/>
        </w:rPr>
        <w:t xml:space="preserve">, § 82, 29 March 2016; and </w:t>
      </w:r>
      <w:r w:rsidR="00DF3E76" w:rsidRPr="003A08D9">
        <w:rPr>
          <w:i/>
          <w:lang w:val="en-US"/>
        </w:rPr>
        <w:t>Abdulgafur</w:t>
      </w:r>
      <w:r w:rsidR="006F5CF4" w:rsidRPr="003A08D9">
        <w:rPr>
          <w:i/>
          <w:lang w:val="en-US"/>
        </w:rPr>
        <w:t xml:space="preserve"> </w:t>
      </w:r>
      <w:r w:rsidR="00FA6D88" w:rsidRPr="003A08D9">
        <w:rPr>
          <w:i/>
          <w:lang w:val="en-US"/>
        </w:rPr>
        <w:t>Batmaz</w:t>
      </w:r>
      <w:r w:rsidR="00FA6D88" w:rsidRPr="003A08D9">
        <w:rPr>
          <w:lang w:val="en-US"/>
        </w:rPr>
        <w:t xml:space="preserve"> </w:t>
      </w:r>
      <w:r w:rsidR="00FA6D88" w:rsidRPr="003A08D9">
        <w:rPr>
          <w:i/>
          <w:lang w:val="en-US"/>
        </w:rPr>
        <w:t>v. Turkey</w:t>
      </w:r>
      <w:r w:rsidR="00FA6D88" w:rsidRPr="003A08D9">
        <w:rPr>
          <w:lang w:val="en-US"/>
        </w:rPr>
        <w:t>, no. 44023/09, § 58, 24 May 2016</w:t>
      </w:r>
      <w:r w:rsidR="00147665" w:rsidRPr="003A08D9">
        <w:rPr>
          <w:snapToGrid w:val="0"/>
        </w:rPr>
        <w:t>).</w:t>
      </w:r>
    </w:p>
    <w:p w:rsidR="00014566" w:rsidRPr="003A08D9" w:rsidRDefault="00014566" w:rsidP="003A08D9">
      <w:pPr>
        <w:pStyle w:val="JuHA"/>
      </w:pPr>
      <w:r w:rsidRPr="003A08D9">
        <w:t>Costs and expenses</w:t>
      </w:r>
    </w:p>
    <w:p w:rsidR="000E029F"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80</w:t>
      </w:r>
      <w:r w:rsidRPr="003A08D9">
        <w:rPr>
          <w:noProof/>
        </w:rPr>
        <w:fldChar w:fldCharType="end"/>
      </w:r>
      <w:r w:rsidR="00014566" w:rsidRPr="003A08D9">
        <w:t>.  The applicant</w:t>
      </w:r>
      <w:r w:rsidR="00BB1312" w:rsidRPr="003A08D9">
        <w:t>s</w:t>
      </w:r>
      <w:r w:rsidR="00014566" w:rsidRPr="003A08D9">
        <w:t xml:space="preserve"> claimed </w:t>
      </w:r>
      <w:r w:rsidR="000E029F" w:rsidRPr="003A08D9">
        <w:t>TRY 1</w:t>
      </w:r>
      <w:r w:rsidR="002B55D1" w:rsidRPr="003A08D9">
        <w:t xml:space="preserve">0,000 (approximately </w:t>
      </w:r>
      <w:r w:rsidR="000E029F" w:rsidRPr="003A08D9">
        <w:t>EUR 3,480) each for their lawyer</w:t>
      </w:r>
      <w:r w:rsidR="003A08D9" w:rsidRPr="003A08D9">
        <w:t>’</w:t>
      </w:r>
      <w:r w:rsidR="000E029F" w:rsidRPr="003A08D9">
        <w:t xml:space="preserve">s fees </w:t>
      </w:r>
      <w:r w:rsidR="00014566" w:rsidRPr="003A08D9">
        <w:t>incurred before the domestic courts.</w:t>
      </w:r>
      <w:r w:rsidR="000E029F" w:rsidRPr="003A08D9">
        <w:t xml:space="preserve"> They also claimed TRY 455</w:t>
      </w:r>
      <w:r w:rsidR="007D6097" w:rsidRPr="003A08D9">
        <w:t>.</w:t>
      </w:r>
      <w:r w:rsidR="000E029F" w:rsidRPr="003A08D9">
        <w:t xml:space="preserve">75 </w:t>
      </w:r>
      <w:r w:rsidR="007978D0" w:rsidRPr="003A08D9">
        <w:t xml:space="preserve">(approximately EUR </w:t>
      </w:r>
      <w:r w:rsidR="00B75BFE" w:rsidRPr="003A08D9">
        <w:t>160</w:t>
      </w:r>
      <w:r w:rsidR="007978D0" w:rsidRPr="003A08D9">
        <w:t xml:space="preserve">) </w:t>
      </w:r>
      <w:r w:rsidR="000E029F" w:rsidRPr="003A08D9">
        <w:t>for postage and fax expenses and translation costs. In support of their claims the applicants submitted legal services</w:t>
      </w:r>
      <w:r w:rsidR="003A08D9" w:rsidRPr="003A08D9">
        <w:t>’</w:t>
      </w:r>
      <w:r w:rsidR="000E029F" w:rsidRPr="003A08D9">
        <w:t xml:space="preserve"> agreements concluded with their lawyer on 26</w:t>
      </w:r>
      <w:r w:rsidR="00444C51" w:rsidRPr="003A08D9">
        <w:t> </w:t>
      </w:r>
      <w:r w:rsidR="000E029F" w:rsidRPr="003A08D9">
        <w:t>April 2010</w:t>
      </w:r>
      <w:r w:rsidR="0077190A" w:rsidRPr="003A08D9">
        <w:t>,</w:t>
      </w:r>
      <w:r w:rsidR="007978D0" w:rsidRPr="003A08D9">
        <w:t xml:space="preserve"> which </w:t>
      </w:r>
      <w:r w:rsidR="009A0CB9" w:rsidRPr="003A08D9">
        <w:t xml:space="preserve">stated that </w:t>
      </w:r>
      <w:r w:rsidR="007978D0" w:rsidRPr="003A08D9">
        <w:t>they would pay TRY 10,000</w:t>
      </w:r>
      <w:r w:rsidR="003138DF" w:rsidRPr="003A08D9">
        <w:t xml:space="preserve"> each</w:t>
      </w:r>
      <w:r w:rsidR="007978D0" w:rsidRPr="003A08D9">
        <w:t xml:space="preserve"> for their representation during the criminal proceedings against them. They also submitted</w:t>
      </w:r>
      <w:r w:rsidR="000E029F" w:rsidRPr="003A08D9">
        <w:t xml:space="preserve"> receipts </w:t>
      </w:r>
      <w:r w:rsidR="009A0CB9" w:rsidRPr="003A08D9">
        <w:t xml:space="preserve">for </w:t>
      </w:r>
      <w:r w:rsidR="000E029F" w:rsidRPr="003A08D9">
        <w:t>posta</w:t>
      </w:r>
      <w:r w:rsidR="009A0CB9" w:rsidRPr="003A08D9">
        <w:t xml:space="preserve">l </w:t>
      </w:r>
      <w:r w:rsidR="007978D0" w:rsidRPr="003A08D9">
        <w:t>and translation costs incurred before the Court.</w:t>
      </w:r>
    </w:p>
    <w:p w:rsidR="007978D0"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81</w:t>
      </w:r>
      <w:r w:rsidRPr="003A08D9">
        <w:rPr>
          <w:noProof/>
        </w:rPr>
        <w:fldChar w:fldCharType="end"/>
      </w:r>
      <w:r w:rsidR="00014566" w:rsidRPr="003A08D9">
        <w:t xml:space="preserve">.  The </w:t>
      </w:r>
      <w:r w:rsidR="007978D0" w:rsidRPr="003A08D9">
        <w:t>Government claimed that the applicant</w:t>
      </w:r>
      <w:r w:rsidR="003A08D9" w:rsidRPr="003A08D9">
        <w:t>’</w:t>
      </w:r>
      <w:r w:rsidR="007978D0" w:rsidRPr="003A08D9">
        <w:t>s claims under this head were not substantiated.</w:t>
      </w:r>
    </w:p>
    <w:p w:rsidR="00014566"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82</w:t>
      </w:r>
      <w:r w:rsidRPr="003A08D9">
        <w:rPr>
          <w:noProof/>
        </w:rPr>
        <w:fldChar w:fldCharType="end"/>
      </w:r>
      <w:r w:rsidR="00014566" w:rsidRPr="003A08D9">
        <w:t>.  </w:t>
      </w:r>
      <w:r w:rsidR="00BB1312" w:rsidRPr="003A08D9">
        <w:t>According to the Court</w:t>
      </w:r>
      <w:r w:rsidR="003A08D9" w:rsidRPr="003A08D9">
        <w:t>’</w:t>
      </w:r>
      <w:r w:rsidR="00BB1312" w:rsidRPr="003A08D9">
        <w:t>s case-law, an applicant is entitled to the reimbursement of costs and expenses only in so far as it has been shown that these have been actually and necessarily incurred and are reasonable as to quantum. In the present case, regard</w:t>
      </w:r>
      <w:r w:rsidR="00014566" w:rsidRPr="003A08D9">
        <w:t xml:space="preserve"> being had to the documents in its possession and </w:t>
      </w:r>
      <w:r w:rsidR="00BB1312" w:rsidRPr="003A08D9">
        <w:t>the above criteria</w:t>
      </w:r>
      <w:r w:rsidR="00014566" w:rsidRPr="003A08D9">
        <w:t xml:space="preserve">, the Court considers it reasonable to award </w:t>
      </w:r>
      <w:r w:rsidR="00B75BFE" w:rsidRPr="003A08D9">
        <w:t xml:space="preserve">the applicants, jointly, </w:t>
      </w:r>
      <w:r w:rsidR="00014566" w:rsidRPr="003A08D9">
        <w:t xml:space="preserve">the sum of EUR </w:t>
      </w:r>
      <w:r w:rsidR="006742FC" w:rsidRPr="003A08D9">
        <w:t>3</w:t>
      </w:r>
      <w:r w:rsidR="007978D0" w:rsidRPr="003A08D9">
        <w:t>,</w:t>
      </w:r>
      <w:r w:rsidR="00645742" w:rsidRPr="003A08D9">
        <w:t>5</w:t>
      </w:r>
      <w:r w:rsidR="007978D0" w:rsidRPr="003A08D9">
        <w:t>00 covering costs under all heads.</w:t>
      </w:r>
    </w:p>
    <w:p w:rsidR="00014566" w:rsidRPr="003A08D9" w:rsidRDefault="00014566" w:rsidP="003A08D9">
      <w:pPr>
        <w:pStyle w:val="JuHA"/>
      </w:pPr>
      <w:r w:rsidRPr="003A08D9">
        <w:t>Default interest</w:t>
      </w:r>
    </w:p>
    <w:p w:rsidR="00014566" w:rsidRPr="003A08D9" w:rsidRDefault="0081298A" w:rsidP="003A08D9">
      <w:pPr>
        <w:pStyle w:val="JuPara"/>
      </w:pPr>
      <w:r w:rsidRPr="003A08D9">
        <w:fldChar w:fldCharType="begin"/>
      </w:r>
      <w:r w:rsidRPr="003A08D9">
        <w:instrText xml:space="preserve"> SEQ level0 \*arabic </w:instrText>
      </w:r>
      <w:r w:rsidRPr="003A08D9">
        <w:fldChar w:fldCharType="separate"/>
      </w:r>
      <w:r w:rsidR="003A08D9" w:rsidRPr="003A08D9">
        <w:rPr>
          <w:noProof/>
        </w:rPr>
        <w:t>83</w:t>
      </w:r>
      <w:r w:rsidRPr="003A08D9">
        <w:rPr>
          <w:noProof/>
        </w:rPr>
        <w:fldChar w:fldCharType="end"/>
      </w:r>
      <w:r w:rsidR="00014566" w:rsidRPr="003A08D9">
        <w:t>.  The Court considers it appropriate that the default interest rate should be based on the marginal lending rate of the European Central Bank, to which should be added three percentage points.</w:t>
      </w:r>
    </w:p>
    <w:p w:rsidR="00014566" w:rsidRPr="003A08D9" w:rsidRDefault="00BB5883" w:rsidP="003A08D9">
      <w:pPr>
        <w:pStyle w:val="JuHHead"/>
      </w:pPr>
      <w:r w:rsidRPr="003A08D9">
        <w:t>FOR THESE REASONS, THE COURT</w:t>
      </w:r>
      <w:r w:rsidR="00BB1312" w:rsidRPr="003A08D9">
        <w:t>, UNANIMOUSLY,</w:t>
      </w:r>
    </w:p>
    <w:p w:rsidR="00B75BFE" w:rsidRPr="003A08D9" w:rsidRDefault="00B637B9" w:rsidP="003A08D9">
      <w:pPr>
        <w:pStyle w:val="JuList"/>
      </w:pPr>
      <w:r w:rsidRPr="003A08D9">
        <w:rPr>
          <w:i/>
        </w:rPr>
        <w:t>Declares</w:t>
      </w:r>
      <w:r w:rsidR="00BB1312" w:rsidRPr="003A08D9">
        <w:t xml:space="preserve"> </w:t>
      </w:r>
      <w:r w:rsidRPr="003A08D9">
        <w:t xml:space="preserve">the complaints </w:t>
      </w:r>
      <w:r w:rsidR="0053462B" w:rsidRPr="003A08D9">
        <w:t>under Articles</w:t>
      </w:r>
      <w:r w:rsidR="00311479" w:rsidRPr="003A08D9">
        <w:t> </w:t>
      </w:r>
      <w:r w:rsidR="0053462B" w:rsidRPr="003A08D9">
        <w:t xml:space="preserve">6, 9, 10 and 11 of the Convention </w:t>
      </w:r>
      <w:r w:rsidRPr="003A08D9">
        <w:t xml:space="preserve">concerning </w:t>
      </w:r>
      <w:r w:rsidR="00B75BFE" w:rsidRPr="003A08D9">
        <w:t>the applicants</w:t>
      </w:r>
      <w:r w:rsidR="003A08D9" w:rsidRPr="003A08D9">
        <w:t>’</w:t>
      </w:r>
      <w:r w:rsidR="00B75BFE" w:rsidRPr="003A08D9">
        <w:t xml:space="preserve"> </w:t>
      </w:r>
      <w:r w:rsidR="00B75BFE" w:rsidRPr="003A08D9">
        <w:rPr>
          <w:snapToGrid w:val="0"/>
        </w:rPr>
        <w:t>criminal convictions pursuant to section</w:t>
      </w:r>
      <w:r w:rsidR="006F5CF4" w:rsidRPr="003A08D9">
        <w:rPr>
          <w:snapToGrid w:val="0"/>
        </w:rPr>
        <w:t> </w:t>
      </w:r>
      <w:r w:rsidR="00B75BFE" w:rsidRPr="003A08D9">
        <w:rPr>
          <w:snapToGrid w:val="0"/>
        </w:rPr>
        <w:t>7</w:t>
      </w:r>
      <w:r w:rsidR="006F5CF4" w:rsidRPr="003A08D9">
        <w:rPr>
          <w:snapToGrid w:val="0"/>
        </w:rPr>
        <w:t> </w:t>
      </w:r>
      <w:r w:rsidR="00B75BFE" w:rsidRPr="003A08D9">
        <w:rPr>
          <w:snapToGrid w:val="0"/>
        </w:rPr>
        <w:t>(2) of Law no.</w:t>
      </w:r>
      <w:r w:rsidR="006F5CF4" w:rsidRPr="003A08D9">
        <w:rPr>
          <w:snapToGrid w:val="0"/>
        </w:rPr>
        <w:t xml:space="preserve"> </w:t>
      </w:r>
      <w:r w:rsidR="00B75BFE" w:rsidRPr="003A08D9">
        <w:rPr>
          <w:snapToGrid w:val="0"/>
        </w:rPr>
        <w:t xml:space="preserve">3713 </w:t>
      </w:r>
      <w:r w:rsidR="00B75BFE" w:rsidRPr="003A08D9">
        <w:t>and Article 314 § 2 of the Criminal Code, on the basis of Articles 220 § 6 and 314 § 3 of the same Code</w:t>
      </w:r>
      <w:r w:rsidR="0077190A" w:rsidRPr="003A08D9">
        <w:t>,</w:t>
      </w:r>
      <w:r w:rsidRPr="003A08D9">
        <w:t xml:space="preserve"> admissible and the remainder of the </w:t>
      </w:r>
      <w:r w:rsidR="00BB1312" w:rsidRPr="003A08D9">
        <w:t>application</w:t>
      </w:r>
      <w:r w:rsidRPr="003A08D9">
        <w:t xml:space="preserve"> inadmissible;</w:t>
      </w:r>
    </w:p>
    <w:p w:rsidR="00014566" w:rsidRPr="003A08D9" w:rsidRDefault="00014566" w:rsidP="003A08D9">
      <w:pPr>
        <w:pStyle w:val="JuList"/>
      </w:pPr>
      <w:r w:rsidRPr="003A08D9">
        <w:rPr>
          <w:i/>
        </w:rPr>
        <w:t>Holds</w:t>
      </w:r>
      <w:r w:rsidR="00BB1312" w:rsidRPr="003A08D9">
        <w:t xml:space="preserve"> </w:t>
      </w:r>
      <w:r w:rsidRPr="003A08D9">
        <w:t xml:space="preserve">that there has been a violation of Article </w:t>
      </w:r>
      <w:r w:rsidR="00B75BFE" w:rsidRPr="003A08D9">
        <w:t xml:space="preserve">6 §§ 1 and 3 (d) </w:t>
      </w:r>
      <w:r w:rsidRPr="003A08D9">
        <w:t>of the Convention;</w:t>
      </w:r>
    </w:p>
    <w:p w:rsidR="00645742" w:rsidRPr="003A08D9" w:rsidRDefault="00645742" w:rsidP="003A08D9">
      <w:pPr>
        <w:pStyle w:val="JuList"/>
      </w:pPr>
      <w:r w:rsidRPr="003A08D9">
        <w:rPr>
          <w:i/>
        </w:rPr>
        <w:lastRenderedPageBreak/>
        <w:t>Holds</w:t>
      </w:r>
      <w:r w:rsidRPr="003A08D9">
        <w:rPr>
          <w:noProof/>
        </w:rPr>
        <w:t xml:space="preserve"> </w:t>
      </w:r>
      <w:r w:rsidRPr="003A08D9">
        <w:t xml:space="preserve">that there is no need to examine the merits of the remaining complaints under Article 6 § 1, </w:t>
      </w:r>
      <w:r w:rsidR="003B5AA4" w:rsidRPr="003A08D9">
        <w:t>or those under</w:t>
      </w:r>
      <w:r w:rsidR="0077190A" w:rsidRPr="003A08D9">
        <w:t xml:space="preserve"> Articles </w:t>
      </w:r>
      <w:r w:rsidRPr="003A08D9">
        <w:t>9, 10 and 11 of the Convention;</w:t>
      </w:r>
    </w:p>
    <w:p w:rsidR="00014566" w:rsidRPr="003A08D9" w:rsidRDefault="00014566" w:rsidP="003A08D9">
      <w:pPr>
        <w:pStyle w:val="JuList"/>
      </w:pPr>
      <w:r w:rsidRPr="003A08D9">
        <w:rPr>
          <w:i/>
        </w:rPr>
        <w:t>Holds</w:t>
      </w:r>
    </w:p>
    <w:p w:rsidR="00014566" w:rsidRPr="003A08D9" w:rsidRDefault="00014566" w:rsidP="003A08D9">
      <w:pPr>
        <w:pStyle w:val="JuLista"/>
      </w:pPr>
      <w:r w:rsidRPr="003A08D9">
        <w:t>that the respondent State is to pay the applicant</w:t>
      </w:r>
      <w:r w:rsidR="00BB1312" w:rsidRPr="003A08D9">
        <w:t>s</w:t>
      </w:r>
      <w:r w:rsidRPr="003A08D9">
        <w:t>, within three months</w:t>
      </w:r>
      <w:r w:rsidR="00BB1312" w:rsidRPr="003A08D9">
        <w:t xml:space="preserve"> from the date on which the judgment becomes final in accordance with Article</w:t>
      </w:r>
      <w:r w:rsidR="006F5CF4" w:rsidRPr="003A08D9">
        <w:t xml:space="preserve"> </w:t>
      </w:r>
      <w:r w:rsidR="00BB1312" w:rsidRPr="003A08D9">
        <w:t>44</w:t>
      </w:r>
      <w:r w:rsidR="006F5CF4" w:rsidRPr="003A08D9">
        <w:t xml:space="preserve"> </w:t>
      </w:r>
      <w:r w:rsidR="00BB1312" w:rsidRPr="003A08D9">
        <w:t>§</w:t>
      </w:r>
      <w:r w:rsidR="006F5CF4" w:rsidRPr="003A08D9">
        <w:t xml:space="preserve"> </w:t>
      </w:r>
      <w:r w:rsidR="00BB1312" w:rsidRPr="003A08D9">
        <w:t>2 of the Convention,</w:t>
      </w:r>
      <w:r w:rsidRPr="003A08D9">
        <w:t xml:space="preserve"> the following amounts, to be converted into the currency of the respondent State at the rate applicable at the date of settlement:</w:t>
      </w:r>
    </w:p>
    <w:p w:rsidR="00014566" w:rsidRPr="003A08D9" w:rsidRDefault="00014566" w:rsidP="003A08D9">
      <w:pPr>
        <w:pStyle w:val="JuListi"/>
      </w:pPr>
      <w:r w:rsidRPr="003A08D9">
        <w:t xml:space="preserve">EUR </w:t>
      </w:r>
      <w:r w:rsidR="00E01320" w:rsidRPr="003A08D9">
        <w:t>5</w:t>
      </w:r>
      <w:r w:rsidR="006742FC" w:rsidRPr="003A08D9">
        <w:t>,000</w:t>
      </w:r>
      <w:r w:rsidRPr="003A08D9">
        <w:t xml:space="preserve"> (</w:t>
      </w:r>
      <w:r w:rsidR="006742FC" w:rsidRPr="003A08D9">
        <w:t>f</w:t>
      </w:r>
      <w:r w:rsidR="00E01320" w:rsidRPr="003A08D9">
        <w:t>ive</w:t>
      </w:r>
      <w:r w:rsidR="006742FC" w:rsidRPr="003A08D9">
        <w:t xml:space="preserve"> thousand </w:t>
      </w:r>
      <w:r w:rsidRPr="003A08D9">
        <w:t xml:space="preserve">euros) </w:t>
      </w:r>
      <w:r w:rsidR="00B75BFE" w:rsidRPr="003A08D9">
        <w:t xml:space="preserve">each, </w:t>
      </w:r>
      <w:r w:rsidRPr="003A08D9">
        <w:t>plus any tax that may be chargeable, in respect of non-pecuniary damage;</w:t>
      </w:r>
    </w:p>
    <w:p w:rsidR="00014566" w:rsidRPr="003A08D9" w:rsidRDefault="00014566" w:rsidP="003A08D9">
      <w:pPr>
        <w:pStyle w:val="JuListi"/>
      </w:pPr>
      <w:r w:rsidRPr="003A08D9">
        <w:t xml:space="preserve">EUR </w:t>
      </w:r>
      <w:r w:rsidR="00645742" w:rsidRPr="003A08D9">
        <w:t>3,5</w:t>
      </w:r>
      <w:r w:rsidR="006742FC" w:rsidRPr="003A08D9">
        <w:t>00</w:t>
      </w:r>
      <w:r w:rsidRPr="003A08D9">
        <w:t xml:space="preserve"> (</w:t>
      </w:r>
      <w:r w:rsidR="006742FC" w:rsidRPr="003A08D9">
        <w:t>three</w:t>
      </w:r>
      <w:r w:rsidR="008673BD" w:rsidRPr="003A08D9">
        <w:t xml:space="preserve"> thousand</w:t>
      </w:r>
      <w:r w:rsidR="006742FC" w:rsidRPr="003A08D9">
        <w:t xml:space="preserve"> </w:t>
      </w:r>
      <w:r w:rsidR="00645742" w:rsidRPr="003A08D9">
        <w:t>five</w:t>
      </w:r>
      <w:r w:rsidR="006742FC" w:rsidRPr="003A08D9">
        <w:t xml:space="preserve"> hundred</w:t>
      </w:r>
      <w:r w:rsidRPr="003A08D9">
        <w:t xml:space="preserve"> euros)</w:t>
      </w:r>
      <w:r w:rsidR="008673BD" w:rsidRPr="003A08D9">
        <w:t xml:space="preserve"> jointly,</w:t>
      </w:r>
      <w:r w:rsidRPr="003A08D9">
        <w:t xml:space="preserve"> plus any tax that may be chargeable to the applicant</w:t>
      </w:r>
      <w:r w:rsidR="00BB1312" w:rsidRPr="003A08D9">
        <w:t>s</w:t>
      </w:r>
      <w:r w:rsidRPr="003A08D9">
        <w:t>, in respect of costs and expenses;</w:t>
      </w:r>
    </w:p>
    <w:p w:rsidR="00014566" w:rsidRPr="003A08D9" w:rsidRDefault="00014566" w:rsidP="003A08D9">
      <w:pPr>
        <w:pStyle w:val="JuLista"/>
      </w:pPr>
      <w:r w:rsidRPr="003A08D9">
        <w:t>that from the expiry of the above-mentioned three months until settlement simple interest shall be payable on the above amounts at a rate equal to the marginal lending rate of the European Central Bank during the default period plus three percentage points;</w:t>
      </w:r>
    </w:p>
    <w:p w:rsidR="00014566" w:rsidRPr="003A08D9" w:rsidRDefault="00014566" w:rsidP="003A08D9">
      <w:pPr>
        <w:pStyle w:val="JuList"/>
      </w:pPr>
      <w:r w:rsidRPr="003A08D9">
        <w:rPr>
          <w:i/>
        </w:rPr>
        <w:t>Dismisses</w:t>
      </w:r>
      <w:r w:rsidR="00BB1312" w:rsidRPr="003A08D9">
        <w:t xml:space="preserve"> </w:t>
      </w:r>
      <w:r w:rsidRPr="003A08D9">
        <w:t>the remainder of the applicant</w:t>
      </w:r>
      <w:r w:rsidR="00BB1312" w:rsidRPr="003A08D9">
        <w:t>s</w:t>
      </w:r>
      <w:r w:rsidR="003A08D9" w:rsidRPr="003A08D9">
        <w:t>’</w:t>
      </w:r>
      <w:r w:rsidRPr="003A08D9">
        <w:t xml:space="preserve"> claim for just satisfaction.</w:t>
      </w:r>
    </w:p>
    <w:p w:rsidR="00014566" w:rsidRPr="003A08D9" w:rsidRDefault="00014566" w:rsidP="003A08D9">
      <w:pPr>
        <w:pStyle w:val="JuParaLast"/>
      </w:pPr>
      <w:r w:rsidRPr="003A08D9">
        <w:t xml:space="preserve">Done in English, and notified in writing on </w:t>
      </w:r>
      <w:r w:rsidR="00C80BDE" w:rsidRPr="003A08D9">
        <w:t>30 July 2019</w:t>
      </w:r>
      <w:r w:rsidRPr="003A08D9">
        <w:t>, pursuant to Rule</w:t>
      </w:r>
      <w:r w:rsidR="006F5CF4" w:rsidRPr="003A08D9">
        <w:t> </w:t>
      </w:r>
      <w:r w:rsidRPr="003A08D9">
        <w:t>77 §§ 2 and 3 of the Rules of Court.</w:t>
      </w:r>
    </w:p>
    <w:p w:rsidR="00014566" w:rsidRPr="003A08D9" w:rsidRDefault="00014566" w:rsidP="003A08D9">
      <w:pPr>
        <w:pStyle w:val="JuSigned"/>
      </w:pPr>
      <w:r w:rsidRPr="003A08D9">
        <w:tab/>
      </w:r>
      <w:r w:rsidR="00BB1312" w:rsidRPr="003A08D9">
        <w:t>Stanley Naismith</w:t>
      </w:r>
      <w:r w:rsidRPr="003A08D9">
        <w:tab/>
      </w:r>
      <w:r w:rsidR="004A3D63" w:rsidRPr="003A08D9">
        <w:rPr>
          <w:szCs w:val="24"/>
        </w:rPr>
        <w:t>Robert Spano</w:t>
      </w:r>
      <w:r w:rsidR="00E1557C" w:rsidRPr="003A08D9">
        <w:rPr>
          <w:szCs w:val="24"/>
        </w:rPr>
        <w:br/>
      </w:r>
      <w:r w:rsidRPr="003A08D9">
        <w:tab/>
      </w:r>
      <w:r w:rsidR="00BB1312" w:rsidRPr="003A08D9">
        <w:rPr>
          <w:iCs/>
        </w:rPr>
        <w:t>Registrar</w:t>
      </w:r>
      <w:r w:rsidRPr="003A08D9">
        <w:tab/>
        <w:t>President</w:t>
      </w:r>
    </w:p>
    <w:sectPr w:rsidR="00014566" w:rsidRPr="003A08D9" w:rsidSect="00867D8C">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D0A" w:rsidRDefault="004D1D0A" w:rsidP="00014566">
      <w:r>
        <w:separator/>
      </w:r>
    </w:p>
    <w:p w:rsidR="004D1D0A" w:rsidRDefault="004D1D0A"/>
  </w:endnote>
  <w:endnote w:type="continuationSeparator" w:id="0">
    <w:p w:rsidR="004D1D0A" w:rsidRDefault="004D1D0A" w:rsidP="00014566">
      <w:r>
        <w:continuationSeparator/>
      </w:r>
    </w:p>
    <w:p w:rsidR="004D1D0A" w:rsidRDefault="004D1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53" w:rsidRPr="00150BFA" w:rsidRDefault="008B6453" w:rsidP="008B6453">
    <w:pPr>
      <w:jc w:val="center"/>
    </w:pPr>
    <w:r>
      <w:rPr>
        <w:noProof/>
        <w:lang w:val="ru-RU" w:eastAsia="ru-RU"/>
      </w:rPr>
      <w:drawing>
        <wp:inline distT="0" distB="0" distL="0" distR="0" wp14:anchorId="003317B2" wp14:editId="4320BE5D">
          <wp:extent cx="771525" cy="619125"/>
          <wp:effectExtent l="0" t="0" r="9525" b="9525"/>
          <wp:docPr id="23" name="Picture 2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8B6453" w:rsidRDefault="008B64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D0A" w:rsidRDefault="004D1D0A" w:rsidP="00014566">
      <w:r>
        <w:separator/>
      </w:r>
    </w:p>
    <w:p w:rsidR="004D1D0A" w:rsidRDefault="004D1D0A"/>
  </w:footnote>
  <w:footnote w:type="continuationSeparator" w:id="0">
    <w:p w:rsidR="004D1D0A" w:rsidRDefault="004D1D0A" w:rsidP="00014566">
      <w:r>
        <w:continuationSeparator/>
      </w:r>
    </w:p>
    <w:p w:rsidR="004D1D0A" w:rsidRDefault="004D1D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53" w:rsidRPr="00867D8C" w:rsidRDefault="008B6453" w:rsidP="00867D8C">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53" w:rsidRPr="00A45145" w:rsidRDefault="008B6453" w:rsidP="008B6453">
    <w:pPr>
      <w:jc w:val="center"/>
    </w:pPr>
    <w:r>
      <w:rPr>
        <w:noProof/>
        <w:lang w:val="ru-RU" w:eastAsia="ru-RU"/>
      </w:rPr>
      <w:drawing>
        <wp:inline distT="0" distB="0" distL="0" distR="0" wp14:anchorId="78B7C14C" wp14:editId="3C7F7187">
          <wp:extent cx="2962275" cy="1219200"/>
          <wp:effectExtent l="0" t="0" r="9525" b="0"/>
          <wp:docPr id="12" name="Picture 1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B6453" w:rsidRDefault="008B6453">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53" w:rsidRDefault="008B6453" w:rsidP="00920F68">
    <w:pPr>
      <w:pStyle w:val="JuHeader"/>
    </w:pPr>
    <w:r>
      <w:rPr>
        <w:rStyle w:val="aff1"/>
        <w:szCs w:val="18"/>
      </w:rPr>
      <w:fldChar w:fldCharType="begin"/>
    </w:r>
    <w:r>
      <w:rPr>
        <w:rStyle w:val="aff1"/>
        <w:szCs w:val="18"/>
      </w:rPr>
      <w:instrText xml:space="preserve"> PAGE </w:instrText>
    </w:r>
    <w:r>
      <w:rPr>
        <w:rStyle w:val="aff1"/>
        <w:szCs w:val="18"/>
      </w:rPr>
      <w:fldChar w:fldCharType="separate"/>
    </w:r>
    <w:r w:rsidR="00D9180B">
      <w:rPr>
        <w:rStyle w:val="aff1"/>
        <w:noProof/>
        <w:szCs w:val="18"/>
      </w:rPr>
      <w:t>18</w:t>
    </w:r>
    <w:r>
      <w:rPr>
        <w:rStyle w:val="aff1"/>
        <w:szCs w:val="18"/>
      </w:rPr>
      <w:fldChar w:fldCharType="end"/>
    </w:r>
    <w:r w:rsidRPr="00FF2306">
      <w:tab/>
    </w:r>
    <w:r>
      <w:t>ÜREK and</w:t>
    </w:r>
    <w:r w:rsidRPr="00BB1312">
      <w:t xml:space="preserve"> ÜREK </w:t>
    </w:r>
    <w:r>
      <w:t>v. TURKEY</w:t>
    </w:r>
    <w:r w:rsidRPr="00FF2306">
      <w:t xml:space="preserve"> </w:t>
    </w:r>
    <w:r w:rsidR="00366402" w:rsidRPr="00882CD5">
      <w:t>JUDGMENT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53" w:rsidRDefault="008B6453" w:rsidP="00920F68">
    <w:pPr>
      <w:pStyle w:val="JuHeader"/>
    </w:pPr>
    <w:r w:rsidRPr="00D60D87">
      <w:tab/>
    </w:r>
    <w:r>
      <w:t xml:space="preserve">ÜREK and </w:t>
    </w:r>
    <w:r w:rsidRPr="00BB1312">
      <w:t>ÜREK</w:t>
    </w:r>
    <w:r>
      <w:t xml:space="preserve"> v. TURKEY</w:t>
    </w:r>
    <w:r w:rsidRPr="00D60D87">
      <w:t xml:space="preserve"> </w:t>
    </w:r>
    <w:r w:rsidR="00366402" w:rsidRPr="00882CD5">
      <w:t>JUDGMENT</w:t>
    </w:r>
    <w:r w:rsidRPr="00D60D87">
      <w:tab/>
    </w:r>
    <w:r>
      <w:rPr>
        <w:rStyle w:val="aff1"/>
        <w:szCs w:val="18"/>
      </w:rPr>
      <w:fldChar w:fldCharType="begin"/>
    </w:r>
    <w:r>
      <w:rPr>
        <w:rStyle w:val="aff1"/>
        <w:szCs w:val="18"/>
      </w:rPr>
      <w:instrText xml:space="preserve"> PAGE </w:instrText>
    </w:r>
    <w:r>
      <w:rPr>
        <w:rStyle w:val="aff1"/>
        <w:szCs w:val="18"/>
      </w:rPr>
      <w:fldChar w:fldCharType="separate"/>
    </w:r>
    <w:r w:rsidR="00D9180B">
      <w:rPr>
        <w:rStyle w:val="aff1"/>
        <w:noProof/>
        <w:szCs w:val="18"/>
      </w:rPr>
      <w:t>1</w:t>
    </w:r>
    <w:r>
      <w:rPr>
        <w:rStyle w:val="aff1"/>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a"/>
      <w:lvlText w:val="%1."/>
      <w:lvlJc w:val="left"/>
      <w:pPr>
        <w:tabs>
          <w:tab w:val="num" w:pos="360"/>
        </w:tabs>
        <w:ind w:left="360" w:hanging="360"/>
      </w:pPr>
    </w:lvl>
  </w:abstractNum>
  <w:abstractNum w:abstractNumId="9" w15:restartNumberingAfterBreak="0">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A96CEA"/>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15:restartNumberingAfterBreak="0">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15:restartNumberingAfterBreak="0">
    <w:nsid w:val="56B9429C"/>
    <w:multiLevelType w:val="multilevel"/>
    <w:tmpl w:val="B788660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9" w15:restartNumberingAfterBreak="0">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76903243"/>
    <w:multiLevelType w:val="multilevel"/>
    <w:tmpl w:val="E884A92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0"/>
  </w:num>
  <w:num w:numId="3">
    <w:abstractNumId w:val="9"/>
  </w:num>
  <w:num w:numId="4">
    <w:abstractNumId w:val="2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0"/>
  </w:num>
  <w:num w:numId="16">
    <w:abstractNumId w:val="20"/>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4"/>
  </w:num>
  <w:num w:numId="26">
    <w:abstractNumId w:val="14"/>
  </w:num>
  <w:num w:numId="27">
    <w:abstractNumId w:val="14"/>
  </w:num>
  <w:num w:numId="28">
    <w:abstractNumId w:val="15"/>
  </w:num>
  <w:num w:numId="29">
    <w:abstractNumId w:val="12"/>
  </w:num>
  <w:num w:numId="30">
    <w:abstractNumId w:val="11"/>
  </w:num>
  <w:num w:numId="31">
    <w:abstractNumId w:val="16"/>
  </w:num>
  <w:num w:numId="32">
    <w:abstractNumId w:val="13"/>
  </w:num>
  <w:num w:numId="33">
    <w:abstractNumId w:val="17"/>
  </w:num>
  <w:num w:numId="34">
    <w:abstractNumId w:val="1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BB1312"/>
    <w:rsid w:val="00000A9F"/>
    <w:rsid w:val="000010ED"/>
    <w:rsid w:val="000041F8"/>
    <w:rsid w:val="000042A8"/>
    <w:rsid w:val="00004308"/>
    <w:rsid w:val="00004DE4"/>
    <w:rsid w:val="00005BF0"/>
    <w:rsid w:val="00007154"/>
    <w:rsid w:val="000103AE"/>
    <w:rsid w:val="000107F9"/>
    <w:rsid w:val="00011D69"/>
    <w:rsid w:val="00012AD3"/>
    <w:rsid w:val="0001329A"/>
    <w:rsid w:val="00014126"/>
    <w:rsid w:val="00014566"/>
    <w:rsid w:val="00015C2D"/>
    <w:rsid w:val="00015F00"/>
    <w:rsid w:val="00016598"/>
    <w:rsid w:val="00017C69"/>
    <w:rsid w:val="000214AC"/>
    <w:rsid w:val="00022C1D"/>
    <w:rsid w:val="0002635E"/>
    <w:rsid w:val="00034987"/>
    <w:rsid w:val="000408CF"/>
    <w:rsid w:val="00042FF3"/>
    <w:rsid w:val="000443BD"/>
    <w:rsid w:val="000447B0"/>
    <w:rsid w:val="00045EFD"/>
    <w:rsid w:val="00053BA3"/>
    <w:rsid w:val="000602DF"/>
    <w:rsid w:val="00061B05"/>
    <w:rsid w:val="00062973"/>
    <w:rsid w:val="00062D5D"/>
    <w:rsid w:val="000632D5"/>
    <w:rsid w:val="000644EE"/>
    <w:rsid w:val="000670FD"/>
    <w:rsid w:val="00073B61"/>
    <w:rsid w:val="00075273"/>
    <w:rsid w:val="00075E25"/>
    <w:rsid w:val="00084AB3"/>
    <w:rsid w:val="000856D7"/>
    <w:rsid w:val="00087499"/>
    <w:rsid w:val="000925AD"/>
    <w:rsid w:val="000A24EB"/>
    <w:rsid w:val="000A3969"/>
    <w:rsid w:val="000A4DED"/>
    <w:rsid w:val="000A5435"/>
    <w:rsid w:val="000A607A"/>
    <w:rsid w:val="000B3675"/>
    <w:rsid w:val="000B6923"/>
    <w:rsid w:val="000C033C"/>
    <w:rsid w:val="000C5F3C"/>
    <w:rsid w:val="000C6DCC"/>
    <w:rsid w:val="000D0DE1"/>
    <w:rsid w:val="000D47AA"/>
    <w:rsid w:val="000D721F"/>
    <w:rsid w:val="000E029F"/>
    <w:rsid w:val="000E069B"/>
    <w:rsid w:val="000E0E82"/>
    <w:rsid w:val="000E1DC5"/>
    <w:rsid w:val="000E223F"/>
    <w:rsid w:val="000E35AC"/>
    <w:rsid w:val="000E7D45"/>
    <w:rsid w:val="000F354E"/>
    <w:rsid w:val="000F49E4"/>
    <w:rsid w:val="000F7851"/>
    <w:rsid w:val="00104E23"/>
    <w:rsid w:val="00110BF7"/>
    <w:rsid w:val="00111945"/>
    <w:rsid w:val="00111B0C"/>
    <w:rsid w:val="001136A3"/>
    <w:rsid w:val="00114DFA"/>
    <w:rsid w:val="00120D6C"/>
    <w:rsid w:val="001257EC"/>
    <w:rsid w:val="00126F85"/>
    <w:rsid w:val="001270E4"/>
    <w:rsid w:val="00130453"/>
    <w:rsid w:val="00132C6A"/>
    <w:rsid w:val="00133D33"/>
    <w:rsid w:val="00134D64"/>
    <w:rsid w:val="00135751"/>
    <w:rsid w:val="00135A30"/>
    <w:rsid w:val="0013612C"/>
    <w:rsid w:val="00137FF6"/>
    <w:rsid w:val="00140F83"/>
    <w:rsid w:val="00141627"/>
    <w:rsid w:val="00141650"/>
    <w:rsid w:val="00146AD2"/>
    <w:rsid w:val="00147665"/>
    <w:rsid w:val="0015562A"/>
    <w:rsid w:val="00162A12"/>
    <w:rsid w:val="00166530"/>
    <w:rsid w:val="00167716"/>
    <w:rsid w:val="001745A5"/>
    <w:rsid w:val="00177BC5"/>
    <w:rsid w:val="001805A1"/>
    <w:rsid w:val="00181AE2"/>
    <w:rsid w:val="00181D7D"/>
    <w:rsid w:val="0018240B"/>
    <w:rsid w:val="001832BD"/>
    <w:rsid w:val="00184A1F"/>
    <w:rsid w:val="00185DA8"/>
    <w:rsid w:val="00186918"/>
    <w:rsid w:val="001943B5"/>
    <w:rsid w:val="00195134"/>
    <w:rsid w:val="001A0144"/>
    <w:rsid w:val="001A145B"/>
    <w:rsid w:val="001A1A4A"/>
    <w:rsid w:val="001A4A71"/>
    <w:rsid w:val="001A674C"/>
    <w:rsid w:val="001B3B24"/>
    <w:rsid w:val="001B4EA9"/>
    <w:rsid w:val="001C07DC"/>
    <w:rsid w:val="001C0D7F"/>
    <w:rsid w:val="001C0F98"/>
    <w:rsid w:val="001C11BC"/>
    <w:rsid w:val="001C2A42"/>
    <w:rsid w:val="001D0ABF"/>
    <w:rsid w:val="001D4E79"/>
    <w:rsid w:val="001D63ED"/>
    <w:rsid w:val="001D7348"/>
    <w:rsid w:val="001E035B"/>
    <w:rsid w:val="001E0961"/>
    <w:rsid w:val="001E2F5A"/>
    <w:rsid w:val="001E3086"/>
    <w:rsid w:val="001E3EAE"/>
    <w:rsid w:val="001E5348"/>
    <w:rsid w:val="001E55A7"/>
    <w:rsid w:val="001E6F32"/>
    <w:rsid w:val="001F0975"/>
    <w:rsid w:val="001F2145"/>
    <w:rsid w:val="001F2886"/>
    <w:rsid w:val="001F4132"/>
    <w:rsid w:val="001F6262"/>
    <w:rsid w:val="001F67B0"/>
    <w:rsid w:val="001F7B3D"/>
    <w:rsid w:val="00202862"/>
    <w:rsid w:val="00205F9F"/>
    <w:rsid w:val="00207EFE"/>
    <w:rsid w:val="00210338"/>
    <w:rsid w:val="00210B30"/>
    <w:rsid w:val="002115FC"/>
    <w:rsid w:val="002133F8"/>
    <w:rsid w:val="0021423C"/>
    <w:rsid w:val="00214B0A"/>
    <w:rsid w:val="002157D2"/>
    <w:rsid w:val="00216071"/>
    <w:rsid w:val="0022219F"/>
    <w:rsid w:val="00230D00"/>
    <w:rsid w:val="00231DF7"/>
    <w:rsid w:val="00231FD1"/>
    <w:rsid w:val="002339E0"/>
    <w:rsid w:val="00233CF8"/>
    <w:rsid w:val="00234866"/>
    <w:rsid w:val="0023575D"/>
    <w:rsid w:val="00237148"/>
    <w:rsid w:val="0024222D"/>
    <w:rsid w:val="0024459A"/>
    <w:rsid w:val="00244B0E"/>
    <w:rsid w:val="00244F6C"/>
    <w:rsid w:val="002524CD"/>
    <w:rsid w:val="00252BFF"/>
    <w:rsid w:val="002532C5"/>
    <w:rsid w:val="00253F29"/>
    <w:rsid w:val="00257145"/>
    <w:rsid w:val="00260C03"/>
    <w:rsid w:val="0026458F"/>
    <w:rsid w:val="0026540E"/>
    <w:rsid w:val="0027050D"/>
    <w:rsid w:val="0027225C"/>
    <w:rsid w:val="002727DA"/>
    <w:rsid w:val="002730E0"/>
    <w:rsid w:val="00274213"/>
    <w:rsid w:val="002745DA"/>
    <w:rsid w:val="00275123"/>
    <w:rsid w:val="0027696A"/>
    <w:rsid w:val="00282240"/>
    <w:rsid w:val="00285520"/>
    <w:rsid w:val="0028572A"/>
    <w:rsid w:val="002868D4"/>
    <w:rsid w:val="002905A9"/>
    <w:rsid w:val="002948AD"/>
    <w:rsid w:val="00294C05"/>
    <w:rsid w:val="00294C92"/>
    <w:rsid w:val="00297E5B"/>
    <w:rsid w:val="002A01CC"/>
    <w:rsid w:val="002A1461"/>
    <w:rsid w:val="002A4435"/>
    <w:rsid w:val="002A61B1"/>
    <w:rsid w:val="002A663C"/>
    <w:rsid w:val="002B1E6C"/>
    <w:rsid w:val="002B444B"/>
    <w:rsid w:val="002B486A"/>
    <w:rsid w:val="002B55D1"/>
    <w:rsid w:val="002B5887"/>
    <w:rsid w:val="002B6DD7"/>
    <w:rsid w:val="002C0692"/>
    <w:rsid w:val="002C0E27"/>
    <w:rsid w:val="002C3040"/>
    <w:rsid w:val="002C3E25"/>
    <w:rsid w:val="002D022D"/>
    <w:rsid w:val="002D24BB"/>
    <w:rsid w:val="002D6E6B"/>
    <w:rsid w:val="002E0462"/>
    <w:rsid w:val="002E0CCB"/>
    <w:rsid w:val="002E3CB8"/>
    <w:rsid w:val="002E5E25"/>
    <w:rsid w:val="002F2AF7"/>
    <w:rsid w:val="002F2B3B"/>
    <w:rsid w:val="002F5683"/>
    <w:rsid w:val="002F7E1C"/>
    <w:rsid w:val="003009F4"/>
    <w:rsid w:val="00301A75"/>
    <w:rsid w:val="00302F70"/>
    <w:rsid w:val="0030336F"/>
    <w:rsid w:val="0030375E"/>
    <w:rsid w:val="003063FA"/>
    <w:rsid w:val="00307E4B"/>
    <w:rsid w:val="00311479"/>
    <w:rsid w:val="00312A30"/>
    <w:rsid w:val="0031347F"/>
    <w:rsid w:val="003138DF"/>
    <w:rsid w:val="00314093"/>
    <w:rsid w:val="003173ED"/>
    <w:rsid w:val="00320F72"/>
    <w:rsid w:val="00324567"/>
    <w:rsid w:val="0032463E"/>
    <w:rsid w:val="00326224"/>
    <w:rsid w:val="00326746"/>
    <w:rsid w:val="00332806"/>
    <w:rsid w:val="00337EE4"/>
    <w:rsid w:val="00340FFD"/>
    <w:rsid w:val="003434CA"/>
    <w:rsid w:val="003454B9"/>
    <w:rsid w:val="003506B1"/>
    <w:rsid w:val="003511F8"/>
    <w:rsid w:val="00356AC7"/>
    <w:rsid w:val="003609FA"/>
    <w:rsid w:val="003614F6"/>
    <w:rsid w:val="00361DFA"/>
    <w:rsid w:val="00366402"/>
    <w:rsid w:val="003707E9"/>
    <w:rsid w:val="003710C8"/>
    <w:rsid w:val="003750BE"/>
    <w:rsid w:val="00376E04"/>
    <w:rsid w:val="003810D1"/>
    <w:rsid w:val="00386137"/>
    <w:rsid w:val="00387B9D"/>
    <w:rsid w:val="0039039B"/>
    <w:rsid w:val="0039364F"/>
    <w:rsid w:val="00396686"/>
    <w:rsid w:val="0039778E"/>
    <w:rsid w:val="003A08D9"/>
    <w:rsid w:val="003A19BC"/>
    <w:rsid w:val="003B41BC"/>
    <w:rsid w:val="003B4941"/>
    <w:rsid w:val="003B5AA4"/>
    <w:rsid w:val="003B7CAB"/>
    <w:rsid w:val="003C0628"/>
    <w:rsid w:val="003C0806"/>
    <w:rsid w:val="003C279F"/>
    <w:rsid w:val="003C5714"/>
    <w:rsid w:val="003C6B9F"/>
    <w:rsid w:val="003C6E2A"/>
    <w:rsid w:val="003C72F0"/>
    <w:rsid w:val="003D0299"/>
    <w:rsid w:val="003D36F4"/>
    <w:rsid w:val="003E01B0"/>
    <w:rsid w:val="003E6D80"/>
    <w:rsid w:val="003F05FA"/>
    <w:rsid w:val="003F244A"/>
    <w:rsid w:val="003F26B6"/>
    <w:rsid w:val="003F30B8"/>
    <w:rsid w:val="003F4C45"/>
    <w:rsid w:val="003F5F7B"/>
    <w:rsid w:val="003F7D64"/>
    <w:rsid w:val="004020A5"/>
    <w:rsid w:val="004069D8"/>
    <w:rsid w:val="00411956"/>
    <w:rsid w:val="00414300"/>
    <w:rsid w:val="00425C67"/>
    <w:rsid w:val="00427E7A"/>
    <w:rsid w:val="00436307"/>
    <w:rsid w:val="00436C49"/>
    <w:rsid w:val="00442365"/>
    <w:rsid w:val="00444071"/>
    <w:rsid w:val="00444250"/>
    <w:rsid w:val="00444C51"/>
    <w:rsid w:val="00445366"/>
    <w:rsid w:val="00446F21"/>
    <w:rsid w:val="00447F5B"/>
    <w:rsid w:val="0045350E"/>
    <w:rsid w:val="00454833"/>
    <w:rsid w:val="00454C49"/>
    <w:rsid w:val="00461DB0"/>
    <w:rsid w:val="00463926"/>
    <w:rsid w:val="004646E0"/>
    <w:rsid w:val="00464C9A"/>
    <w:rsid w:val="00464E2F"/>
    <w:rsid w:val="00474F3D"/>
    <w:rsid w:val="00475A43"/>
    <w:rsid w:val="00477E3A"/>
    <w:rsid w:val="00482F30"/>
    <w:rsid w:val="00483E5F"/>
    <w:rsid w:val="00484321"/>
    <w:rsid w:val="00485BCD"/>
    <w:rsid w:val="00485FF9"/>
    <w:rsid w:val="00487534"/>
    <w:rsid w:val="004907F0"/>
    <w:rsid w:val="0049140B"/>
    <w:rsid w:val="004923A5"/>
    <w:rsid w:val="0049438D"/>
    <w:rsid w:val="00496BFB"/>
    <w:rsid w:val="004A15C7"/>
    <w:rsid w:val="004A3D63"/>
    <w:rsid w:val="004B013B"/>
    <w:rsid w:val="004B112B"/>
    <w:rsid w:val="004B1512"/>
    <w:rsid w:val="004B2E6A"/>
    <w:rsid w:val="004C01E4"/>
    <w:rsid w:val="004C086C"/>
    <w:rsid w:val="004C1F56"/>
    <w:rsid w:val="004C27BC"/>
    <w:rsid w:val="004C41C4"/>
    <w:rsid w:val="004D0BD3"/>
    <w:rsid w:val="004D15F3"/>
    <w:rsid w:val="004D1D0A"/>
    <w:rsid w:val="004D222C"/>
    <w:rsid w:val="004D48AC"/>
    <w:rsid w:val="004D5311"/>
    <w:rsid w:val="004D5DCC"/>
    <w:rsid w:val="004D70AA"/>
    <w:rsid w:val="004E00B6"/>
    <w:rsid w:val="004E5F6E"/>
    <w:rsid w:val="004F10AF"/>
    <w:rsid w:val="004F11A4"/>
    <w:rsid w:val="004F2389"/>
    <w:rsid w:val="004F304D"/>
    <w:rsid w:val="004F61BE"/>
    <w:rsid w:val="004F66B1"/>
    <w:rsid w:val="00510EF6"/>
    <w:rsid w:val="00511C07"/>
    <w:rsid w:val="00514DA3"/>
    <w:rsid w:val="005173A6"/>
    <w:rsid w:val="00520BAA"/>
    <w:rsid w:val="00525208"/>
    <w:rsid w:val="005257A5"/>
    <w:rsid w:val="005264C0"/>
    <w:rsid w:val="00526A8A"/>
    <w:rsid w:val="00530FE5"/>
    <w:rsid w:val="00531DF2"/>
    <w:rsid w:val="00532232"/>
    <w:rsid w:val="0053462B"/>
    <w:rsid w:val="00540932"/>
    <w:rsid w:val="005442EE"/>
    <w:rsid w:val="00547353"/>
    <w:rsid w:val="005474E7"/>
    <w:rsid w:val="00550C6C"/>
    <w:rsid w:val="005512A3"/>
    <w:rsid w:val="005537B3"/>
    <w:rsid w:val="005578CE"/>
    <w:rsid w:val="00561314"/>
    <w:rsid w:val="00562781"/>
    <w:rsid w:val="00563E83"/>
    <w:rsid w:val="00567226"/>
    <w:rsid w:val="0057125D"/>
    <w:rsid w:val="0057271C"/>
    <w:rsid w:val="00572845"/>
    <w:rsid w:val="00575152"/>
    <w:rsid w:val="00576B4A"/>
    <w:rsid w:val="005807EC"/>
    <w:rsid w:val="00581FE4"/>
    <w:rsid w:val="005833BD"/>
    <w:rsid w:val="005904F1"/>
    <w:rsid w:val="00590AED"/>
    <w:rsid w:val="0059222D"/>
    <w:rsid w:val="00592772"/>
    <w:rsid w:val="005951CD"/>
    <w:rsid w:val="0059574A"/>
    <w:rsid w:val="005A1B9B"/>
    <w:rsid w:val="005A3845"/>
    <w:rsid w:val="005A5ABA"/>
    <w:rsid w:val="005A6751"/>
    <w:rsid w:val="005B092E"/>
    <w:rsid w:val="005B152C"/>
    <w:rsid w:val="005B1EE0"/>
    <w:rsid w:val="005B2B24"/>
    <w:rsid w:val="005B4425"/>
    <w:rsid w:val="005B4B94"/>
    <w:rsid w:val="005C3EE8"/>
    <w:rsid w:val="005D31FA"/>
    <w:rsid w:val="005D34F9"/>
    <w:rsid w:val="005D4190"/>
    <w:rsid w:val="005D67A3"/>
    <w:rsid w:val="005D7432"/>
    <w:rsid w:val="005E2988"/>
    <w:rsid w:val="005E2A43"/>
    <w:rsid w:val="005E3085"/>
    <w:rsid w:val="005E438A"/>
    <w:rsid w:val="005E5DCE"/>
    <w:rsid w:val="005E77D1"/>
    <w:rsid w:val="005F0E34"/>
    <w:rsid w:val="005F51E1"/>
    <w:rsid w:val="005F6541"/>
    <w:rsid w:val="005F71E0"/>
    <w:rsid w:val="00601571"/>
    <w:rsid w:val="00611C80"/>
    <w:rsid w:val="00612EC5"/>
    <w:rsid w:val="00615D5F"/>
    <w:rsid w:val="00620406"/>
    <w:rsid w:val="00620692"/>
    <w:rsid w:val="006242CA"/>
    <w:rsid w:val="00627507"/>
    <w:rsid w:val="00627BC6"/>
    <w:rsid w:val="00633717"/>
    <w:rsid w:val="006344E1"/>
    <w:rsid w:val="0064165D"/>
    <w:rsid w:val="006416C9"/>
    <w:rsid w:val="00645742"/>
    <w:rsid w:val="00646886"/>
    <w:rsid w:val="006545C4"/>
    <w:rsid w:val="00660CB8"/>
    <w:rsid w:val="00661971"/>
    <w:rsid w:val="00661CE8"/>
    <w:rsid w:val="006623D9"/>
    <w:rsid w:val="0066550C"/>
    <w:rsid w:val="006716F2"/>
    <w:rsid w:val="006737F3"/>
    <w:rsid w:val="006742FC"/>
    <w:rsid w:val="00676179"/>
    <w:rsid w:val="00680F63"/>
    <w:rsid w:val="00682149"/>
    <w:rsid w:val="00682BF2"/>
    <w:rsid w:val="00683CA5"/>
    <w:rsid w:val="006859CE"/>
    <w:rsid w:val="00685F8D"/>
    <w:rsid w:val="00691270"/>
    <w:rsid w:val="00694BA8"/>
    <w:rsid w:val="006A037C"/>
    <w:rsid w:val="006A2E40"/>
    <w:rsid w:val="006A33F0"/>
    <w:rsid w:val="006A36F4"/>
    <w:rsid w:val="006A406F"/>
    <w:rsid w:val="006A5D3A"/>
    <w:rsid w:val="006B1AC2"/>
    <w:rsid w:val="006B38F5"/>
    <w:rsid w:val="006B45CB"/>
    <w:rsid w:val="006B4F6A"/>
    <w:rsid w:val="006C0A71"/>
    <w:rsid w:val="006C0E99"/>
    <w:rsid w:val="006C23D4"/>
    <w:rsid w:val="006C398F"/>
    <w:rsid w:val="006C7BB0"/>
    <w:rsid w:val="006D3237"/>
    <w:rsid w:val="006D608E"/>
    <w:rsid w:val="006E2E37"/>
    <w:rsid w:val="006E3CF1"/>
    <w:rsid w:val="006E5103"/>
    <w:rsid w:val="006E7E80"/>
    <w:rsid w:val="006F0F29"/>
    <w:rsid w:val="006F1DF9"/>
    <w:rsid w:val="006F24DB"/>
    <w:rsid w:val="006F2FFD"/>
    <w:rsid w:val="006F48CA"/>
    <w:rsid w:val="006F5CF4"/>
    <w:rsid w:val="006F64DD"/>
    <w:rsid w:val="007034DA"/>
    <w:rsid w:val="007047AA"/>
    <w:rsid w:val="00715127"/>
    <w:rsid w:val="00715E8E"/>
    <w:rsid w:val="00723580"/>
    <w:rsid w:val="00723755"/>
    <w:rsid w:val="0072678B"/>
    <w:rsid w:val="0073136C"/>
    <w:rsid w:val="00731F0F"/>
    <w:rsid w:val="00733250"/>
    <w:rsid w:val="00734B6C"/>
    <w:rsid w:val="00741404"/>
    <w:rsid w:val="007449E5"/>
    <w:rsid w:val="0074594D"/>
    <w:rsid w:val="00746C5A"/>
    <w:rsid w:val="00747FF0"/>
    <w:rsid w:val="00750B63"/>
    <w:rsid w:val="00764D4E"/>
    <w:rsid w:val="00765A1F"/>
    <w:rsid w:val="00765C82"/>
    <w:rsid w:val="00766E5C"/>
    <w:rsid w:val="0077190A"/>
    <w:rsid w:val="00772103"/>
    <w:rsid w:val="00772124"/>
    <w:rsid w:val="00774445"/>
    <w:rsid w:val="00775B6D"/>
    <w:rsid w:val="00776A17"/>
    <w:rsid w:val="00776D68"/>
    <w:rsid w:val="007847DA"/>
    <w:rsid w:val="007850EE"/>
    <w:rsid w:val="00785B95"/>
    <w:rsid w:val="00785E68"/>
    <w:rsid w:val="007909C2"/>
    <w:rsid w:val="00790E96"/>
    <w:rsid w:val="00793366"/>
    <w:rsid w:val="00796682"/>
    <w:rsid w:val="007978D0"/>
    <w:rsid w:val="007A0966"/>
    <w:rsid w:val="007A716F"/>
    <w:rsid w:val="007B02A1"/>
    <w:rsid w:val="007B1E94"/>
    <w:rsid w:val="007B270A"/>
    <w:rsid w:val="007B60FD"/>
    <w:rsid w:val="007C0695"/>
    <w:rsid w:val="007C419A"/>
    <w:rsid w:val="007C4CC8"/>
    <w:rsid w:val="007C5426"/>
    <w:rsid w:val="007C5798"/>
    <w:rsid w:val="007C62B2"/>
    <w:rsid w:val="007D307B"/>
    <w:rsid w:val="007D4832"/>
    <w:rsid w:val="007D6097"/>
    <w:rsid w:val="007D752F"/>
    <w:rsid w:val="007E21B2"/>
    <w:rsid w:val="007E2954"/>
    <w:rsid w:val="007E2C4E"/>
    <w:rsid w:val="007E4DC6"/>
    <w:rsid w:val="007E627D"/>
    <w:rsid w:val="007F1905"/>
    <w:rsid w:val="00801300"/>
    <w:rsid w:val="00801402"/>
    <w:rsid w:val="00802C64"/>
    <w:rsid w:val="008059A4"/>
    <w:rsid w:val="00805E52"/>
    <w:rsid w:val="008061D0"/>
    <w:rsid w:val="00810B38"/>
    <w:rsid w:val="008126EE"/>
    <w:rsid w:val="0081298A"/>
    <w:rsid w:val="00812B3F"/>
    <w:rsid w:val="008204C7"/>
    <w:rsid w:val="00820992"/>
    <w:rsid w:val="00822202"/>
    <w:rsid w:val="00823543"/>
    <w:rsid w:val="00823602"/>
    <w:rsid w:val="00825175"/>
    <w:rsid w:val="008255F5"/>
    <w:rsid w:val="0083014E"/>
    <w:rsid w:val="0083214A"/>
    <w:rsid w:val="00834220"/>
    <w:rsid w:val="0083583A"/>
    <w:rsid w:val="00845723"/>
    <w:rsid w:val="00851368"/>
    <w:rsid w:val="00851EF9"/>
    <w:rsid w:val="00853EA4"/>
    <w:rsid w:val="008553D5"/>
    <w:rsid w:val="00855CB4"/>
    <w:rsid w:val="00856BC2"/>
    <w:rsid w:val="008577FD"/>
    <w:rsid w:val="00860B03"/>
    <w:rsid w:val="00861A24"/>
    <w:rsid w:val="0086497A"/>
    <w:rsid w:val="008653F6"/>
    <w:rsid w:val="00866751"/>
    <w:rsid w:val="008673BD"/>
    <w:rsid w:val="00867D8C"/>
    <w:rsid w:val="008713A1"/>
    <w:rsid w:val="00872CD8"/>
    <w:rsid w:val="008754AB"/>
    <w:rsid w:val="0088060C"/>
    <w:rsid w:val="00880854"/>
    <w:rsid w:val="00887EFA"/>
    <w:rsid w:val="008917B3"/>
    <w:rsid w:val="00893576"/>
    <w:rsid w:val="008938D8"/>
    <w:rsid w:val="00893E73"/>
    <w:rsid w:val="008A31AA"/>
    <w:rsid w:val="008A43C4"/>
    <w:rsid w:val="008B02DC"/>
    <w:rsid w:val="008B5049"/>
    <w:rsid w:val="008B57CE"/>
    <w:rsid w:val="008B6453"/>
    <w:rsid w:val="008B659F"/>
    <w:rsid w:val="008C0DC6"/>
    <w:rsid w:val="008C26DE"/>
    <w:rsid w:val="008D1125"/>
    <w:rsid w:val="008D1FB7"/>
    <w:rsid w:val="008D2225"/>
    <w:rsid w:val="008D4752"/>
    <w:rsid w:val="008D552A"/>
    <w:rsid w:val="008D582F"/>
    <w:rsid w:val="008E271C"/>
    <w:rsid w:val="008E418E"/>
    <w:rsid w:val="008E5BC6"/>
    <w:rsid w:val="008E6A25"/>
    <w:rsid w:val="008F0363"/>
    <w:rsid w:val="008F1011"/>
    <w:rsid w:val="008F27C3"/>
    <w:rsid w:val="008F5193"/>
    <w:rsid w:val="008F5C18"/>
    <w:rsid w:val="009013A7"/>
    <w:rsid w:val="009015A5"/>
    <w:rsid w:val="009017FB"/>
    <w:rsid w:val="009017FC"/>
    <w:rsid w:val="00903B43"/>
    <w:rsid w:val="0090506B"/>
    <w:rsid w:val="009050C9"/>
    <w:rsid w:val="009058F4"/>
    <w:rsid w:val="009066FC"/>
    <w:rsid w:val="009104D4"/>
    <w:rsid w:val="00913701"/>
    <w:rsid w:val="009140A3"/>
    <w:rsid w:val="009144A2"/>
    <w:rsid w:val="0091510C"/>
    <w:rsid w:val="009159C5"/>
    <w:rsid w:val="00917E2F"/>
    <w:rsid w:val="00920F68"/>
    <w:rsid w:val="00922C32"/>
    <w:rsid w:val="00924E3D"/>
    <w:rsid w:val="009259AC"/>
    <w:rsid w:val="00926F38"/>
    <w:rsid w:val="00931F55"/>
    <w:rsid w:val="00934301"/>
    <w:rsid w:val="0093523F"/>
    <w:rsid w:val="00936CD1"/>
    <w:rsid w:val="009408AE"/>
    <w:rsid w:val="00941747"/>
    <w:rsid w:val="00941EFB"/>
    <w:rsid w:val="00947AFB"/>
    <w:rsid w:val="009514C4"/>
    <w:rsid w:val="00951D7D"/>
    <w:rsid w:val="00952C12"/>
    <w:rsid w:val="009611AE"/>
    <w:rsid w:val="00961CDB"/>
    <w:rsid w:val="009630C7"/>
    <w:rsid w:val="00965C3C"/>
    <w:rsid w:val="00972B55"/>
    <w:rsid w:val="009743B7"/>
    <w:rsid w:val="009812BF"/>
    <w:rsid w:val="009814CC"/>
    <w:rsid w:val="0098228B"/>
    <w:rsid w:val="009828DA"/>
    <w:rsid w:val="00984AAE"/>
    <w:rsid w:val="00985BAB"/>
    <w:rsid w:val="00986CA8"/>
    <w:rsid w:val="0099328A"/>
    <w:rsid w:val="00996E66"/>
    <w:rsid w:val="00997F03"/>
    <w:rsid w:val="009A0CB9"/>
    <w:rsid w:val="009A1734"/>
    <w:rsid w:val="009A46DF"/>
    <w:rsid w:val="009A66B5"/>
    <w:rsid w:val="009A6DA8"/>
    <w:rsid w:val="009B075E"/>
    <w:rsid w:val="009B1B5F"/>
    <w:rsid w:val="009B2EC2"/>
    <w:rsid w:val="009B6673"/>
    <w:rsid w:val="009B7DF8"/>
    <w:rsid w:val="009C1892"/>
    <w:rsid w:val="009C191B"/>
    <w:rsid w:val="009C2BD6"/>
    <w:rsid w:val="009C2F06"/>
    <w:rsid w:val="009C4B27"/>
    <w:rsid w:val="009D0442"/>
    <w:rsid w:val="009D0D53"/>
    <w:rsid w:val="009D3313"/>
    <w:rsid w:val="009D37CE"/>
    <w:rsid w:val="009E1F32"/>
    <w:rsid w:val="009E3C57"/>
    <w:rsid w:val="009E5829"/>
    <w:rsid w:val="009E776C"/>
    <w:rsid w:val="009F25E5"/>
    <w:rsid w:val="009F3E79"/>
    <w:rsid w:val="009F4A25"/>
    <w:rsid w:val="009F4E8C"/>
    <w:rsid w:val="00A01525"/>
    <w:rsid w:val="00A044F3"/>
    <w:rsid w:val="00A1726E"/>
    <w:rsid w:val="00A204CF"/>
    <w:rsid w:val="00A20D12"/>
    <w:rsid w:val="00A23D49"/>
    <w:rsid w:val="00A26985"/>
    <w:rsid w:val="00A27004"/>
    <w:rsid w:val="00A30C29"/>
    <w:rsid w:val="00A336C9"/>
    <w:rsid w:val="00A34DD6"/>
    <w:rsid w:val="00A34E58"/>
    <w:rsid w:val="00A36819"/>
    <w:rsid w:val="00A368E9"/>
    <w:rsid w:val="00A36989"/>
    <w:rsid w:val="00A408A6"/>
    <w:rsid w:val="00A43628"/>
    <w:rsid w:val="00A54192"/>
    <w:rsid w:val="00A6035E"/>
    <w:rsid w:val="00A6144C"/>
    <w:rsid w:val="00A66617"/>
    <w:rsid w:val="00A66E85"/>
    <w:rsid w:val="00A671F8"/>
    <w:rsid w:val="00A673A4"/>
    <w:rsid w:val="00A71F5A"/>
    <w:rsid w:val="00A724AE"/>
    <w:rsid w:val="00A73329"/>
    <w:rsid w:val="00A82359"/>
    <w:rsid w:val="00A8408D"/>
    <w:rsid w:val="00A84398"/>
    <w:rsid w:val="00A865D2"/>
    <w:rsid w:val="00A92D74"/>
    <w:rsid w:val="00A932F3"/>
    <w:rsid w:val="00A94C20"/>
    <w:rsid w:val="00A96ED6"/>
    <w:rsid w:val="00AA1376"/>
    <w:rsid w:val="00AA227F"/>
    <w:rsid w:val="00AA3BC7"/>
    <w:rsid w:val="00AA6933"/>
    <w:rsid w:val="00AA754A"/>
    <w:rsid w:val="00AB099E"/>
    <w:rsid w:val="00AB1F9F"/>
    <w:rsid w:val="00AB4328"/>
    <w:rsid w:val="00AB5FA0"/>
    <w:rsid w:val="00AB7A38"/>
    <w:rsid w:val="00AC2489"/>
    <w:rsid w:val="00AC3B48"/>
    <w:rsid w:val="00AE0A2E"/>
    <w:rsid w:val="00AE354C"/>
    <w:rsid w:val="00AE6215"/>
    <w:rsid w:val="00AF2DCD"/>
    <w:rsid w:val="00AF4B07"/>
    <w:rsid w:val="00AF6186"/>
    <w:rsid w:val="00AF70DA"/>
    <w:rsid w:val="00AF7A3A"/>
    <w:rsid w:val="00B001EC"/>
    <w:rsid w:val="00B02FB0"/>
    <w:rsid w:val="00B11B6B"/>
    <w:rsid w:val="00B1398D"/>
    <w:rsid w:val="00B160DB"/>
    <w:rsid w:val="00B20836"/>
    <w:rsid w:val="00B235BB"/>
    <w:rsid w:val="00B23FD3"/>
    <w:rsid w:val="00B27A44"/>
    <w:rsid w:val="00B308CF"/>
    <w:rsid w:val="00B30BBF"/>
    <w:rsid w:val="00B312F3"/>
    <w:rsid w:val="00B33C03"/>
    <w:rsid w:val="00B35B5F"/>
    <w:rsid w:val="00B44A8B"/>
    <w:rsid w:val="00B44E56"/>
    <w:rsid w:val="00B46543"/>
    <w:rsid w:val="00B475E9"/>
    <w:rsid w:val="00B47D33"/>
    <w:rsid w:val="00B52BE0"/>
    <w:rsid w:val="00B54133"/>
    <w:rsid w:val="00B604EE"/>
    <w:rsid w:val="00B60A79"/>
    <w:rsid w:val="00B637B9"/>
    <w:rsid w:val="00B63853"/>
    <w:rsid w:val="00B701ED"/>
    <w:rsid w:val="00B7279E"/>
    <w:rsid w:val="00B75BFE"/>
    <w:rsid w:val="00B80554"/>
    <w:rsid w:val="00B8086C"/>
    <w:rsid w:val="00B861B4"/>
    <w:rsid w:val="00B86DFE"/>
    <w:rsid w:val="00B90990"/>
    <w:rsid w:val="00B9188D"/>
    <w:rsid w:val="00B922FF"/>
    <w:rsid w:val="00B9281E"/>
    <w:rsid w:val="00B930E3"/>
    <w:rsid w:val="00B93925"/>
    <w:rsid w:val="00B95187"/>
    <w:rsid w:val="00B96DED"/>
    <w:rsid w:val="00B9713C"/>
    <w:rsid w:val="00BA1C8D"/>
    <w:rsid w:val="00BA2D55"/>
    <w:rsid w:val="00BA6AD2"/>
    <w:rsid w:val="00BA71B1"/>
    <w:rsid w:val="00BB0637"/>
    <w:rsid w:val="00BB1312"/>
    <w:rsid w:val="00BB345F"/>
    <w:rsid w:val="00BB5883"/>
    <w:rsid w:val="00BB68EA"/>
    <w:rsid w:val="00BC1C27"/>
    <w:rsid w:val="00BC6BBF"/>
    <w:rsid w:val="00BD0568"/>
    <w:rsid w:val="00BD1572"/>
    <w:rsid w:val="00BD7433"/>
    <w:rsid w:val="00BE14E3"/>
    <w:rsid w:val="00BE3774"/>
    <w:rsid w:val="00BE41E5"/>
    <w:rsid w:val="00BE6663"/>
    <w:rsid w:val="00BF0BBB"/>
    <w:rsid w:val="00BF4109"/>
    <w:rsid w:val="00BF4720"/>
    <w:rsid w:val="00BF4CC3"/>
    <w:rsid w:val="00C054C7"/>
    <w:rsid w:val="00C057B5"/>
    <w:rsid w:val="00C05936"/>
    <w:rsid w:val="00C11988"/>
    <w:rsid w:val="00C1250E"/>
    <w:rsid w:val="00C15744"/>
    <w:rsid w:val="00C165D3"/>
    <w:rsid w:val="00C22687"/>
    <w:rsid w:val="00C2628C"/>
    <w:rsid w:val="00C27122"/>
    <w:rsid w:val="00C32E4D"/>
    <w:rsid w:val="00C333A0"/>
    <w:rsid w:val="00C36A81"/>
    <w:rsid w:val="00C41974"/>
    <w:rsid w:val="00C42D10"/>
    <w:rsid w:val="00C447AD"/>
    <w:rsid w:val="00C44F70"/>
    <w:rsid w:val="00C45861"/>
    <w:rsid w:val="00C4722F"/>
    <w:rsid w:val="00C50DC5"/>
    <w:rsid w:val="00C510CF"/>
    <w:rsid w:val="00C51403"/>
    <w:rsid w:val="00C53F4A"/>
    <w:rsid w:val="00C54125"/>
    <w:rsid w:val="00C54DF7"/>
    <w:rsid w:val="00C55307"/>
    <w:rsid w:val="00C55B54"/>
    <w:rsid w:val="00C5752E"/>
    <w:rsid w:val="00C60314"/>
    <w:rsid w:val="00C6098E"/>
    <w:rsid w:val="00C6152C"/>
    <w:rsid w:val="00C621C2"/>
    <w:rsid w:val="00C7262A"/>
    <w:rsid w:val="00C74810"/>
    <w:rsid w:val="00C80BDE"/>
    <w:rsid w:val="00C837CA"/>
    <w:rsid w:val="00C90D68"/>
    <w:rsid w:val="00C911E3"/>
    <w:rsid w:val="00C939FE"/>
    <w:rsid w:val="00CA0573"/>
    <w:rsid w:val="00CA314D"/>
    <w:rsid w:val="00CA4BDA"/>
    <w:rsid w:val="00CB197B"/>
    <w:rsid w:val="00CB1F66"/>
    <w:rsid w:val="00CB2951"/>
    <w:rsid w:val="00CB6F4E"/>
    <w:rsid w:val="00CC1752"/>
    <w:rsid w:val="00CD282B"/>
    <w:rsid w:val="00CD312C"/>
    <w:rsid w:val="00CD428E"/>
    <w:rsid w:val="00CD4C35"/>
    <w:rsid w:val="00CD5864"/>
    <w:rsid w:val="00CD58BC"/>
    <w:rsid w:val="00CD7369"/>
    <w:rsid w:val="00CE0502"/>
    <w:rsid w:val="00CE0B0E"/>
    <w:rsid w:val="00CE2A53"/>
    <w:rsid w:val="00CE3831"/>
    <w:rsid w:val="00CE5508"/>
    <w:rsid w:val="00CF0451"/>
    <w:rsid w:val="00CF2F78"/>
    <w:rsid w:val="00D00ABB"/>
    <w:rsid w:val="00D02EEC"/>
    <w:rsid w:val="00D03551"/>
    <w:rsid w:val="00D06616"/>
    <w:rsid w:val="00D068E2"/>
    <w:rsid w:val="00D06A63"/>
    <w:rsid w:val="00D07E0E"/>
    <w:rsid w:val="00D11478"/>
    <w:rsid w:val="00D15ED0"/>
    <w:rsid w:val="00D201AC"/>
    <w:rsid w:val="00D21B3E"/>
    <w:rsid w:val="00D21FED"/>
    <w:rsid w:val="00D2334C"/>
    <w:rsid w:val="00D24251"/>
    <w:rsid w:val="00D2444F"/>
    <w:rsid w:val="00D3051F"/>
    <w:rsid w:val="00D343E2"/>
    <w:rsid w:val="00D35144"/>
    <w:rsid w:val="00D361A2"/>
    <w:rsid w:val="00D40D71"/>
    <w:rsid w:val="00D40F22"/>
    <w:rsid w:val="00D44C2E"/>
    <w:rsid w:val="00D45414"/>
    <w:rsid w:val="00D459F5"/>
    <w:rsid w:val="00D47B9E"/>
    <w:rsid w:val="00D50CAB"/>
    <w:rsid w:val="00D53C0F"/>
    <w:rsid w:val="00D566BD"/>
    <w:rsid w:val="00D57A4D"/>
    <w:rsid w:val="00D60692"/>
    <w:rsid w:val="00D60946"/>
    <w:rsid w:val="00D60AA7"/>
    <w:rsid w:val="00D60D87"/>
    <w:rsid w:val="00D6435F"/>
    <w:rsid w:val="00D66C06"/>
    <w:rsid w:val="00D75E28"/>
    <w:rsid w:val="00D772C2"/>
    <w:rsid w:val="00D8008E"/>
    <w:rsid w:val="00D82C45"/>
    <w:rsid w:val="00D835EA"/>
    <w:rsid w:val="00D83B19"/>
    <w:rsid w:val="00D87ABB"/>
    <w:rsid w:val="00D908A8"/>
    <w:rsid w:val="00D90D94"/>
    <w:rsid w:val="00D9180B"/>
    <w:rsid w:val="00D977B6"/>
    <w:rsid w:val="00DA01FE"/>
    <w:rsid w:val="00DA4A31"/>
    <w:rsid w:val="00DA61F2"/>
    <w:rsid w:val="00DA758A"/>
    <w:rsid w:val="00DA7B04"/>
    <w:rsid w:val="00DB057B"/>
    <w:rsid w:val="00DB28DF"/>
    <w:rsid w:val="00DB36C2"/>
    <w:rsid w:val="00DB7196"/>
    <w:rsid w:val="00DC169B"/>
    <w:rsid w:val="00DC1A40"/>
    <w:rsid w:val="00DC2AB9"/>
    <w:rsid w:val="00DC63F0"/>
    <w:rsid w:val="00DC6440"/>
    <w:rsid w:val="00DC6511"/>
    <w:rsid w:val="00DD2AC9"/>
    <w:rsid w:val="00DD6EE5"/>
    <w:rsid w:val="00DD6EF1"/>
    <w:rsid w:val="00DE0254"/>
    <w:rsid w:val="00DE1B8E"/>
    <w:rsid w:val="00DE386C"/>
    <w:rsid w:val="00DE4D35"/>
    <w:rsid w:val="00DE7557"/>
    <w:rsid w:val="00DF0549"/>
    <w:rsid w:val="00DF098B"/>
    <w:rsid w:val="00DF11C4"/>
    <w:rsid w:val="00DF210C"/>
    <w:rsid w:val="00DF3E76"/>
    <w:rsid w:val="00DF4B6A"/>
    <w:rsid w:val="00DF5222"/>
    <w:rsid w:val="00DF62BD"/>
    <w:rsid w:val="00E01320"/>
    <w:rsid w:val="00E02C09"/>
    <w:rsid w:val="00E04D59"/>
    <w:rsid w:val="00E0750E"/>
    <w:rsid w:val="00E07D78"/>
    <w:rsid w:val="00E07DA1"/>
    <w:rsid w:val="00E105D7"/>
    <w:rsid w:val="00E123CB"/>
    <w:rsid w:val="00E1557C"/>
    <w:rsid w:val="00E1747F"/>
    <w:rsid w:val="00E20E13"/>
    <w:rsid w:val="00E21DBC"/>
    <w:rsid w:val="00E266AE"/>
    <w:rsid w:val="00E275D7"/>
    <w:rsid w:val="00E27DBE"/>
    <w:rsid w:val="00E30EE5"/>
    <w:rsid w:val="00E323ED"/>
    <w:rsid w:val="00E32AB1"/>
    <w:rsid w:val="00E36C71"/>
    <w:rsid w:val="00E40404"/>
    <w:rsid w:val="00E459C6"/>
    <w:rsid w:val="00E47589"/>
    <w:rsid w:val="00E542FE"/>
    <w:rsid w:val="00E54BD7"/>
    <w:rsid w:val="00E6454E"/>
    <w:rsid w:val="00E64915"/>
    <w:rsid w:val="00E6556B"/>
    <w:rsid w:val="00E661D4"/>
    <w:rsid w:val="00E70091"/>
    <w:rsid w:val="00E720F5"/>
    <w:rsid w:val="00E73625"/>
    <w:rsid w:val="00E74478"/>
    <w:rsid w:val="00E74D41"/>
    <w:rsid w:val="00E74DE4"/>
    <w:rsid w:val="00E75248"/>
    <w:rsid w:val="00E76C31"/>
    <w:rsid w:val="00E76D47"/>
    <w:rsid w:val="00E849F7"/>
    <w:rsid w:val="00E859C0"/>
    <w:rsid w:val="00E873FC"/>
    <w:rsid w:val="00E90302"/>
    <w:rsid w:val="00E92B97"/>
    <w:rsid w:val="00E9597F"/>
    <w:rsid w:val="00E97396"/>
    <w:rsid w:val="00EA185E"/>
    <w:rsid w:val="00EA592A"/>
    <w:rsid w:val="00EB117B"/>
    <w:rsid w:val="00EB14E4"/>
    <w:rsid w:val="00EB32A5"/>
    <w:rsid w:val="00EB34ED"/>
    <w:rsid w:val="00EB7BE0"/>
    <w:rsid w:val="00EC08B1"/>
    <w:rsid w:val="00EC1EC5"/>
    <w:rsid w:val="00EC315E"/>
    <w:rsid w:val="00ED077C"/>
    <w:rsid w:val="00ED1190"/>
    <w:rsid w:val="00ED6544"/>
    <w:rsid w:val="00EE0277"/>
    <w:rsid w:val="00EE032B"/>
    <w:rsid w:val="00EE12D3"/>
    <w:rsid w:val="00EE1DA9"/>
    <w:rsid w:val="00EE3E00"/>
    <w:rsid w:val="00EE5DD2"/>
    <w:rsid w:val="00EF0A6A"/>
    <w:rsid w:val="00EF41F1"/>
    <w:rsid w:val="00EF4C6F"/>
    <w:rsid w:val="00EF4F08"/>
    <w:rsid w:val="00EF72B4"/>
    <w:rsid w:val="00F00A79"/>
    <w:rsid w:val="00F00E86"/>
    <w:rsid w:val="00F00F8B"/>
    <w:rsid w:val="00F041E0"/>
    <w:rsid w:val="00F07C1E"/>
    <w:rsid w:val="00F105DB"/>
    <w:rsid w:val="00F115E6"/>
    <w:rsid w:val="00F132BC"/>
    <w:rsid w:val="00F13D80"/>
    <w:rsid w:val="00F16AAA"/>
    <w:rsid w:val="00F176FC"/>
    <w:rsid w:val="00F21161"/>
    <w:rsid w:val="00F218EF"/>
    <w:rsid w:val="00F21BC7"/>
    <w:rsid w:val="00F2279B"/>
    <w:rsid w:val="00F266A2"/>
    <w:rsid w:val="00F32269"/>
    <w:rsid w:val="00F4215F"/>
    <w:rsid w:val="00F42769"/>
    <w:rsid w:val="00F43AF2"/>
    <w:rsid w:val="00F4457E"/>
    <w:rsid w:val="00F4524F"/>
    <w:rsid w:val="00F4594D"/>
    <w:rsid w:val="00F552AF"/>
    <w:rsid w:val="00F5652F"/>
    <w:rsid w:val="00F56A6F"/>
    <w:rsid w:val="00F56A9B"/>
    <w:rsid w:val="00F5709C"/>
    <w:rsid w:val="00F64EF1"/>
    <w:rsid w:val="00F65E94"/>
    <w:rsid w:val="00F76E9D"/>
    <w:rsid w:val="00F83306"/>
    <w:rsid w:val="00F869A8"/>
    <w:rsid w:val="00F8765F"/>
    <w:rsid w:val="00F90767"/>
    <w:rsid w:val="00F93FF7"/>
    <w:rsid w:val="00F949F7"/>
    <w:rsid w:val="00F9532C"/>
    <w:rsid w:val="00F95491"/>
    <w:rsid w:val="00F955E9"/>
    <w:rsid w:val="00FA35A6"/>
    <w:rsid w:val="00FA4F06"/>
    <w:rsid w:val="00FA685B"/>
    <w:rsid w:val="00FA6D88"/>
    <w:rsid w:val="00FB03C2"/>
    <w:rsid w:val="00FB0C01"/>
    <w:rsid w:val="00FC18F2"/>
    <w:rsid w:val="00FC39E5"/>
    <w:rsid w:val="00FC3A78"/>
    <w:rsid w:val="00FC5FFE"/>
    <w:rsid w:val="00FC7DD0"/>
    <w:rsid w:val="00FD1005"/>
    <w:rsid w:val="00FD3180"/>
    <w:rsid w:val="00FD6C75"/>
    <w:rsid w:val="00FE3C02"/>
    <w:rsid w:val="00FE4387"/>
    <w:rsid w:val="00FE71B3"/>
    <w:rsid w:val="00FF0D45"/>
    <w:rsid w:val="00FF42C5"/>
    <w:rsid w:val="00FF4C7F"/>
    <w:rsid w:val="00FF54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3A08D9"/>
    <w:rPr>
      <w:rFonts w:eastAsiaTheme="minorEastAsia"/>
      <w:sz w:val="24"/>
      <w:lang w:val="en-GB"/>
    </w:rPr>
  </w:style>
  <w:style w:type="paragraph" w:styleId="1">
    <w:name w:val="heading 1"/>
    <w:basedOn w:val="a2"/>
    <w:next w:val="a2"/>
    <w:link w:val="10"/>
    <w:uiPriority w:val="99"/>
    <w:semiHidden/>
    <w:rsid w:val="003A08D9"/>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3A08D9"/>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3A08D9"/>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3A08D9"/>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3A08D9"/>
    <w:pPr>
      <w:spacing w:before="200"/>
      <w:outlineLvl w:val="4"/>
    </w:pPr>
    <w:rPr>
      <w:rFonts w:asciiTheme="majorHAnsi" w:eastAsiaTheme="majorEastAsia" w:hAnsiTheme="majorHAnsi" w:cstheme="majorBidi"/>
      <w:b/>
      <w:bCs/>
      <w:color w:val="808080"/>
    </w:rPr>
  </w:style>
  <w:style w:type="paragraph" w:styleId="6">
    <w:name w:val="heading 6"/>
    <w:basedOn w:val="a2"/>
    <w:next w:val="a2"/>
    <w:link w:val="60"/>
    <w:uiPriority w:val="99"/>
    <w:semiHidden/>
    <w:rsid w:val="003A08D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3A08D9"/>
    <w:pPr>
      <w:outlineLvl w:val="6"/>
    </w:pPr>
    <w:rPr>
      <w:rFonts w:asciiTheme="majorHAnsi" w:eastAsiaTheme="majorEastAsia" w:hAnsiTheme="majorHAnsi" w:cstheme="majorBidi"/>
      <w:i/>
      <w:iCs/>
      <w:lang w:bidi="en-US"/>
    </w:rPr>
  </w:style>
  <w:style w:type="paragraph" w:styleId="8">
    <w:name w:val="heading 8"/>
    <w:basedOn w:val="a2"/>
    <w:next w:val="a2"/>
    <w:link w:val="80"/>
    <w:uiPriority w:val="99"/>
    <w:semiHidden/>
    <w:qFormat/>
    <w:rsid w:val="003A08D9"/>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9"/>
    <w:semiHidden/>
    <w:qFormat/>
    <w:rsid w:val="003A08D9"/>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3A08D9"/>
    <w:rPr>
      <w:rFonts w:ascii="Tahoma" w:hAnsi="Tahoma" w:cs="Tahoma"/>
      <w:sz w:val="16"/>
      <w:szCs w:val="16"/>
    </w:rPr>
  </w:style>
  <w:style w:type="character" w:customStyle="1" w:styleId="a7">
    <w:name w:val="Текст выноски Знак"/>
    <w:basedOn w:val="a3"/>
    <w:link w:val="a6"/>
    <w:uiPriority w:val="99"/>
    <w:semiHidden/>
    <w:rsid w:val="003A08D9"/>
    <w:rPr>
      <w:rFonts w:ascii="Tahoma" w:eastAsiaTheme="minorEastAsia" w:hAnsi="Tahoma" w:cs="Tahoma"/>
      <w:sz w:val="16"/>
      <w:szCs w:val="16"/>
      <w:lang w:val="en-GB"/>
    </w:rPr>
  </w:style>
  <w:style w:type="character" w:styleId="a8">
    <w:name w:val="Book Title"/>
    <w:uiPriority w:val="99"/>
    <w:semiHidden/>
    <w:qFormat/>
    <w:rsid w:val="003A08D9"/>
    <w:rPr>
      <w:i/>
      <w:iCs/>
      <w:smallCaps/>
      <w:spacing w:val="5"/>
    </w:rPr>
  </w:style>
  <w:style w:type="paragraph" w:customStyle="1" w:styleId="JuHeader">
    <w:name w:val="Ju_Header"/>
    <w:aliases w:val="_Header"/>
    <w:basedOn w:val="a9"/>
    <w:uiPriority w:val="29"/>
    <w:qFormat/>
    <w:rsid w:val="003A08D9"/>
    <w:pPr>
      <w:tabs>
        <w:tab w:val="clear" w:pos="4536"/>
        <w:tab w:val="clear" w:pos="9072"/>
        <w:tab w:val="center" w:pos="3686"/>
        <w:tab w:val="right" w:pos="7371"/>
      </w:tabs>
    </w:pPr>
    <w:rPr>
      <w:sz w:val="18"/>
    </w:rPr>
  </w:style>
  <w:style w:type="paragraph" w:customStyle="1" w:styleId="ECHRFooter">
    <w:name w:val="ECHR_Footer"/>
    <w:aliases w:val="Footer_ECHR"/>
    <w:basedOn w:val="aa"/>
    <w:uiPriority w:val="57"/>
    <w:semiHidden/>
    <w:rsid w:val="003A08D9"/>
    <w:rPr>
      <w:sz w:val="8"/>
    </w:rPr>
  </w:style>
  <w:style w:type="character" w:styleId="ab">
    <w:name w:val="Strong"/>
    <w:uiPriority w:val="99"/>
    <w:semiHidden/>
    <w:qFormat/>
    <w:rsid w:val="003A08D9"/>
    <w:rPr>
      <w:b/>
      <w:bCs/>
    </w:rPr>
  </w:style>
  <w:style w:type="paragraph" w:styleId="ac">
    <w:name w:val="No Spacing"/>
    <w:basedOn w:val="a2"/>
    <w:link w:val="ad"/>
    <w:semiHidden/>
    <w:qFormat/>
    <w:rsid w:val="003A08D9"/>
  </w:style>
  <w:style w:type="character" w:customStyle="1" w:styleId="ad">
    <w:name w:val="Без интервала Знак"/>
    <w:basedOn w:val="a3"/>
    <w:link w:val="ac"/>
    <w:semiHidden/>
    <w:rsid w:val="003A08D9"/>
    <w:rPr>
      <w:rFonts w:eastAsiaTheme="minorEastAsia"/>
      <w:sz w:val="24"/>
      <w:lang w:val="en-GB"/>
    </w:rPr>
  </w:style>
  <w:style w:type="paragraph" w:customStyle="1" w:styleId="FooterLine">
    <w:name w:val="_Footer_Line"/>
    <w:aliases w:val="Footer_Line"/>
    <w:basedOn w:val="a2"/>
    <w:next w:val="Footer"/>
    <w:uiPriority w:val="57"/>
    <w:semiHidden/>
    <w:rsid w:val="003A08D9"/>
    <w:pPr>
      <w:pBdr>
        <w:top w:val="single" w:sz="6" w:space="1" w:color="5F5F5F"/>
      </w:pBdr>
      <w:tabs>
        <w:tab w:val="center" w:pos="4536"/>
        <w:tab w:val="right" w:pos="9696"/>
      </w:tabs>
      <w:ind w:left="-680" w:right="-680"/>
    </w:pPr>
    <w:rPr>
      <w:color w:val="5F5F5F"/>
    </w:rPr>
  </w:style>
  <w:style w:type="paragraph" w:customStyle="1" w:styleId="DecList">
    <w:name w:val="Dec_List"/>
    <w:aliases w:val="_List"/>
    <w:basedOn w:val="a2"/>
    <w:uiPriority w:val="22"/>
    <w:rsid w:val="003A08D9"/>
    <w:pPr>
      <w:spacing w:before="280" w:after="60"/>
      <w:ind w:left="340"/>
    </w:pPr>
    <w:rPr>
      <w:rFonts w:eastAsiaTheme="minorHAnsi"/>
    </w:rPr>
  </w:style>
  <w:style w:type="paragraph" w:customStyle="1" w:styleId="NormalJustified">
    <w:name w:val="Normal_Justified"/>
    <w:basedOn w:val="a2"/>
    <w:semiHidden/>
    <w:rsid w:val="003A08D9"/>
    <w:pPr>
      <w:jc w:val="both"/>
    </w:pPr>
  </w:style>
  <w:style w:type="numbering" w:customStyle="1" w:styleId="ECHRA1StyleBulletedSquare">
    <w:name w:val="ECHR_A1_Style_Bulleted_Square"/>
    <w:basedOn w:val="a5"/>
    <w:rsid w:val="003A08D9"/>
    <w:pPr>
      <w:numPr>
        <w:numId w:val="31"/>
      </w:numPr>
    </w:pPr>
  </w:style>
  <w:style w:type="paragraph" w:customStyle="1" w:styleId="JuHArticle">
    <w:name w:val="Ju_H_Article"/>
    <w:aliases w:val="_Title_Quote"/>
    <w:basedOn w:val="a2"/>
    <w:next w:val="JuQuot"/>
    <w:uiPriority w:val="20"/>
    <w:qFormat/>
    <w:rsid w:val="003A08D9"/>
    <w:pPr>
      <w:keepNext/>
      <w:spacing w:before="100" w:beforeAutospacing="1" w:after="120"/>
      <w:contextualSpacing/>
      <w:jc w:val="center"/>
    </w:pPr>
    <w:rPr>
      <w:rFonts w:eastAsiaTheme="minorHAnsi"/>
      <w:b/>
      <w:sz w:val="20"/>
    </w:rPr>
  </w:style>
  <w:style w:type="numbering" w:customStyle="1" w:styleId="ECHRA1StyleList">
    <w:name w:val="ECHR_A1_Style_List"/>
    <w:basedOn w:val="a5"/>
    <w:uiPriority w:val="99"/>
    <w:rsid w:val="003A08D9"/>
    <w:pPr>
      <w:numPr>
        <w:numId w:val="32"/>
      </w:numPr>
    </w:pPr>
  </w:style>
  <w:style w:type="paragraph" w:customStyle="1" w:styleId="JuHeaderLandscape">
    <w:name w:val="Ju_Header_Landscape"/>
    <w:aliases w:val="_Header_Landscape"/>
    <w:basedOn w:val="JuHeader"/>
    <w:uiPriority w:val="30"/>
    <w:qFormat/>
    <w:rsid w:val="003A08D9"/>
    <w:pPr>
      <w:tabs>
        <w:tab w:val="clear" w:pos="3686"/>
        <w:tab w:val="clear" w:pos="7371"/>
        <w:tab w:val="center" w:pos="6146"/>
        <w:tab w:val="right" w:pos="12293"/>
      </w:tabs>
    </w:pPr>
  </w:style>
  <w:style w:type="numbering" w:customStyle="1" w:styleId="ECHRA1StyleNumberedList">
    <w:name w:val="ECHR_A1_Style_Numbered_List"/>
    <w:basedOn w:val="a5"/>
    <w:rsid w:val="003A08D9"/>
    <w:pPr>
      <w:numPr>
        <w:numId w:val="33"/>
      </w:numPr>
    </w:pPr>
  </w:style>
  <w:style w:type="table" w:customStyle="1" w:styleId="ECHRTable2019">
    <w:name w:val="ECHR_Table_2019"/>
    <w:basedOn w:val="a4"/>
    <w:uiPriority w:val="99"/>
    <w:rsid w:val="003A08D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DecHCase">
    <w:name w:val="Dec_H_Case"/>
    <w:aliases w:val="_Title_3"/>
    <w:basedOn w:val="JuPara"/>
    <w:next w:val="JuPara"/>
    <w:uiPriority w:val="35"/>
    <w:qFormat/>
    <w:rsid w:val="003A08D9"/>
    <w:pPr>
      <w:keepNext/>
      <w:keepLines/>
      <w:spacing w:after="280"/>
      <w:ind w:firstLine="0"/>
      <w:jc w:val="center"/>
    </w:pPr>
    <w:rPr>
      <w:rFonts w:asciiTheme="majorHAnsi" w:hAnsiTheme="majorHAnsi"/>
    </w:rPr>
  </w:style>
  <w:style w:type="paragraph" w:customStyle="1" w:styleId="JuTitle">
    <w:name w:val="Ju_Title"/>
    <w:aliases w:val="_Title_2"/>
    <w:basedOn w:val="a2"/>
    <w:next w:val="JuPara"/>
    <w:uiPriority w:val="35"/>
    <w:qFormat/>
    <w:rsid w:val="003A08D9"/>
    <w:pPr>
      <w:keepNext/>
      <w:keepLines/>
      <w:spacing w:before="1320" w:after="280"/>
      <w:contextualSpacing/>
      <w:jc w:val="center"/>
    </w:pPr>
    <w:rPr>
      <w:rFonts w:eastAsiaTheme="minorHAnsi"/>
      <w:b/>
    </w:rPr>
  </w:style>
  <w:style w:type="paragraph" w:styleId="ae">
    <w:name w:val="Title"/>
    <w:basedOn w:val="a2"/>
    <w:next w:val="a2"/>
    <w:link w:val="af"/>
    <w:uiPriority w:val="99"/>
    <w:semiHidden/>
    <w:qFormat/>
    <w:rsid w:val="003A08D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f">
    <w:name w:val="Заголовок Знак"/>
    <w:basedOn w:val="a3"/>
    <w:link w:val="ae"/>
    <w:uiPriority w:val="99"/>
    <w:semiHidden/>
    <w:rsid w:val="003A08D9"/>
    <w:rPr>
      <w:rFonts w:asciiTheme="majorHAnsi" w:eastAsiaTheme="majorEastAsia" w:hAnsiTheme="majorHAnsi" w:cstheme="majorBidi"/>
      <w:spacing w:val="5"/>
      <w:sz w:val="52"/>
      <w:szCs w:val="52"/>
      <w:lang w:val="en-GB" w:bidi="en-US"/>
    </w:rPr>
  </w:style>
  <w:style w:type="paragraph" w:customStyle="1" w:styleId="JuH1">
    <w:name w:val="Ju_H_1."/>
    <w:aliases w:val="_Head_4"/>
    <w:basedOn w:val="a2"/>
    <w:next w:val="JuPara"/>
    <w:uiPriority w:val="19"/>
    <w:rsid w:val="003A08D9"/>
    <w:pPr>
      <w:keepNext/>
      <w:keepLines/>
      <w:numPr>
        <w:ilvl w:val="3"/>
        <w:numId w:val="24"/>
      </w:numPr>
      <w:spacing w:before="100" w:beforeAutospacing="1" w:after="120"/>
      <w:jc w:val="both"/>
      <w:outlineLvl w:val="3"/>
    </w:pPr>
    <w:rPr>
      <w:i/>
    </w:rPr>
  </w:style>
  <w:style w:type="paragraph" w:customStyle="1" w:styleId="JuHa0">
    <w:name w:val="Ju_H_a"/>
    <w:aliases w:val="_Head_5"/>
    <w:basedOn w:val="a2"/>
    <w:next w:val="JuPara"/>
    <w:uiPriority w:val="19"/>
    <w:rsid w:val="003A08D9"/>
    <w:pPr>
      <w:keepNext/>
      <w:keepLines/>
      <w:numPr>
        <w:ilvl w:val="4"/>
        <w:numId w:val="24"/>
      </w:numPr>
      <w:spacing w:before="100" w:beforeAutospacing="1" w:after="120"/>
      <w:jc w:val="both"/>
      <w:outlineLvl w:val="4"/>
    </w:pPr>
    <w:rPr>
      <w:b/>
      <w:sz w:val="20"/>
    </w:rPr>
  </w:style>
  <w:style w:type="paragraph" w:customStyle="1" w:styleId="JuHi">
    <w:name w:val="Ju_H_i"/>
    <w:aliases w:val="_Head_6"/>
    <w:basedOn w:val="a2"/>
    <w:next w:val="JuPara"/>
    <w:uiPriority w:val="19"/>
    <w:rsid w:val="003A08D9"/>
    <w:pPr>
      <w:keepNext/>
      <w:keepLines/>
      <w:numPr>
        <w:ilvl w:val="5"/>
        <w:numId w:val="24"/>
      </w:numPr>
      <w:spacing w:before="100" w:beforeAutospacing="1" w:after="120"/>
      <w:jc w:val="both"/>
      <w:outlineLvl w:val="5"/>
    </w:pPr>
    <w:rPr>
      <w:i/>
      <w:sz w:val="20"/>
    </w:rPr>
  </w:style>
  <w:style w:type="paragraph" w:customStyle="1" w:styleId="JuHalpha">
    <w:name w:val="Ju_H_alpha"/>
    <w:aliases w:val="_Head_7"/>
    <w:basedOn w:val="a2"/>
    <w:next w:val="JuPara"/>
    <w:uiPriority w:val="19"/>
    <w:rsid w:val="003A08D9"/>
    <w:pPr>
      <w:keepNext/>
      <w:keepLines/>
      <w:numPr>
        <w:ilvl w:val="6"/>
        <w:numId w:val="24"/>
      </w:numPr>
      <w:spacing w:before="100" w:beforeAutospacing="1" w:after="120"/>
      <w:jc w:val="both"/>
      <w:outlineLvl w:val="6"/>
    </w:pPr>
    <w:rPr>
      <w:sz w:val="20"/>
    </w:rPr>
  </w:style>
  <w:style w:type="paragraph" w:customStyle="1" w:styleId="JuH">
    <w:name w:val="Ju_H_–"/>
    <w:aliases w:val="_Head_8"/>
    <w:basedOn w:val="a2"/>
    <w:next w:val="JuPara"/>
    <w:uiPriority w:val="19"/>
    <w:rsid w:val="003A08D9"/>
    <w:pPr>
      <w:keepNext/>
      <w:keepLines/>
      <w:numPr>
        <w:ilvl w:val="7"/>
        <w:numId w:val="24"/>
      </w:numPr>
      <w:spacing w:before="100" w:beforeAutospacing="1" w:after="120"/>
      <w:outlineLvl w:val="7"/>
    </w:pPr>
    <w:rPr>
      <w:i/>
      <w:sz w:val="20"/>
    </w:rPr>
  </w:style>
  <w:style w:type="paragraph" w:customStyle="1" w:styleId="Footer">
    <w:name w:val="_Footer"/>
    <w:aliases w:val="Footer_"/>
    <w:basedOn w:val="aa"/>
    <w:uiPriority w:val="57"/>
    <w:semiHidden/>
    <w:rsid w:val="003A08D9"/>
    <w:rPr>
      <w:sz w:val="8"/>
    </w:rPr>
  </w:style>
  <w:style w:type="paragraph" w:customStyle="1" w:styleId="JuInitialled">
    <w:name w:val="Ju_Initialled"/>
    <w:aliases w:val="_Right"/>
    <w:basedOn w:val="a2"/>
    <w:uiPriority w:val="30"/>
    <w:qFormat/>
    <w:rsid w:val="003A08D9"/>
    <w:pPr>
      <w:tabs>
        <w:tab w:val="center" w:pos="6407"/>
      </w:tabs>
      <w:spacing w:before="720"/>
      <w:jc w:val="right"/>
    </w:pPr>
  </w:style>
  <w:style w:type="paragraph" w:styleId="a9">
    <w:name w:val="header"/>
    <w:basedOn w:val="a2"/>
    <w:link w:val="af0"/>
    <w:uiPriority w:val="57"/>
    <w:semiHidden/>
    <w:rsid w:val="003A08D9"/>
    <w:pPr>
      <w:tabs>
        <w:tab w:val="center" w:pos="4536"/>
        <w:tab w:val="right" w:pos="9072"/>
      </w:tabs>
    </w:pPr>
    <w:rPr>
      <w:rFonts w:eastAsiaTheme="minorHAnsi"/>
    </w:rPr>
  </w:style>
  <w:style w:type="character" w:customStyle="1" w:styleId="af0">
    <w:name w:val="Верхний колонтитул Знак"/>
    <w:basedOn w:val="a3"/>
    <w:link w:val="a9"/>
    <w:uiPriority w:val="57"/>
    <w:semiHidden/>
    <w:rsid w:val="003A08D9"/>
    <w:rPr>
      <w:sz w:val="24"/>
      <w:lang w:val="en-GB"/>
    </w:rPr>
  </w:style>
  <w:style w:type="character" w:customStyle="1" w:styleId="10">
    <w:name w:val="Заголовок 1 Знак"/>
    <w:basedOn w:val="a3"/>
    <w:link w:val="1"/>
    <w:uiPriority w:val="99"/>
    <w:semiHidden/>
    <w:rsid w:val="003A08D9"/>
    <w:rPr>
      <w:rFonts w:asciiTheme="majorHAnsi" w:eastAsiaTheme="majorEastAsia" w:hAnsiTheme="majorHAnsi" w:cstheme="majorBidi"/>
      <w:b/>
      <w:bCs/>
      <w:color w:val="333333"/>
      <w:sz w:val="28"/>
      <w:szCs w:val="28"/>
      <w:lang w:val="en-GB"/>
    </w:rPr>
  </w:style>
  <w:style w:type="paragraph" w:customStyle="1" w:styleId="JuHIRoman">
    <w:name w:val="Ju_H_I_Roman"/>
    <w:aliases w:val="_Head_2"/>
    <w:basedOn w:val="a2"/>
    <w:next w:val="JuPara"/>
    <w:uiPriority w:val="19"/>
    <w:qFormat/>
    <w:rsid w:val="003A08D9"/>
    <w:pPr>
      <w:keepNext/>
      <w:keepLines/>
      <w:numPr>
        <w:ilvl w:val="1"/>
        <w:numId w:val="24"/>
      </w:numPr>
      <w:spacing w:before="100" w:beforeAutospacing="1" w:after="240"/>
      <w:jc w:val="both"/>
      <w:outlineLvl w:val="1"/>
    </w:pPr>
    <w:rPr>
      <w:caps/>
    </w:rPr>
  </w:style>
  <w:style w:type="paragraph" w:customStyle="1" w:styleId="JuHA">
    <w:name w:val="Ju_H_A"/>
    <w:aliases w:val="_Head_3"/>
    <w:basedOn w:val="a2"/>
    <w:next w:val="JuPara"/>
    <w:uiPriority w:val="19"/>
    <w:qFormat/>
    <w:rsid w:val="003A08D9"/>
    <w:pPr>
      <w:keepNext/>
      <w:keepLines/>
      <w:numPr>
        <w:ilvl w:val="2"/>
        <w:numId w:val="24"/>
      </w:numPr>
      <w:spacing w:before="100" w:beforeAutospacing="1" w:after="240"/>
      <w:jc w:val="both"/>
      <w:outlineLvl w:val="2"/>
    </w:pPr>
    <w:rPr>
      <w:b/>
    </w:rPr>
  </w:style>
  <w:style w:type="character" w:customStyle="1" w:styleId="22">
    <w:name w:val="Заголовок 2 Знак"/>
    <w:basedOn w:val="a3"/>
    <w:link w:val="21"/>
    <w:uiPriority w:val="99"/>
    <w:semiHidden/>
    <w:rsid w:val="003A08D9"/>
    <w:rPr>
      <w:rFonts w:asciiTheme="majorHAnsi" w:eastAsiaTheme="majorEastAsia" w:hAnsiTheme="majorHAnsi" w:cstheme="majorBidi"/>
      <w:b/>
      <w:bCs/>
      <w:color w:val="4D4D4D"/>
      <w:sz w:val="26"/>
      <w:szCs w:val="26"/>
      <w:lang w:val="en-GB"/>
    </w:rPr>
  </w:style>
  <w:style w:type="character" w:customStyle="1" w:styleId="JUNAMES">
    <w:name w:val="JU_NAMES"/>
    <w:uiPriority w:val="34"/>
    <w:qFormat/>
    <w:rsid w:val="003A08D9"/>
    <w:rPr>
      <w:caps w:val="0"/>
      <w:smallCaps/>
    </w:rPr>
  </w:style>
  <w:style w:type="paragraph" w:customStyle="1" w:styleId="JuCase">
    <w:name w:val="Ju_Case"/>
    <w:basedOn w:val="a2"/>
    <w:next w:val="JuPara"/>
    <w:uiPriority w:val="31"/>
    <w:rsid w:val="003A08D9"/>
    <w:pPr>
      <w:ind w:firstLine="284"/>
    </w:pPr>
    <w:rPr>
      <w:b/>
    </w:rPr>
  </w:style>
  <w:style w:type="character" w:customStyle="1" w:styleId="32">
    <w:name w:val="Заголовок 3 Знак"/>
    <w:basedOn w:val="a3"/>
    <w:link w:val="31"/>
    <w:uiPriority w:val="99"/>
    <w:semiHidden/>
    <w:rsid w:val="003A08D9"/>
    <w:rPr>
      <w:rFonts w:asciiTheme="majorHAnsi" w:eastAsiaTheme="majorEastAsia" w:hAnsiTheme="majorHAnsi" w:cstheme="majorBidi"/>
      <w:b/>
      <w:bCs/>
      <w:color w:val="5F5F5F"/>
      <w:sz w:val="24"/>
      <w:lang w:val="en-GB"/>
    </w:rPr>
  </w:style>
  <w:style w:type="character" w:customStyle="1" w:styleId="42">
    <w:name w:val="Заголовок 4 Знак"/>
    <w:basedOn w:val="a3"/>
    <w:link w:val="41"/>
    <w:uiPriority w:val="99"/>
    <w:semiHidden/>
    <w:rsid w:val="003A08D9"/>
    <w:rPr>
      <w:rFonts w:asciiTheme="majorHAnsi" w:eastAsiaTheme="majorEastAsia" w:hAnsiTheme="majorHAnsi" w:cstheme="majorBidi"/>
      <w:b/>
      <w:bCs/>
      <w:i/>
      <w:iCs/>
      <w:color w:val="777777"/>
      <w:sz w:val="24"/>
      <w:lang w:val="en-GB"/>
    </w:rPr>
  </w:style>
  <w:style w:type="character" w:customStyle="1" w:styleId="52">
    <w:name w:val="Заголовок 5 Знак"/>
    <w:basedOn w:val="a3"/>
    <w:link w:val="51"/>
    <w:uiPriority w:val="99"/>
    <w:semiHidden/>
    <w:rsid w:val="003A08D9"/>
    <w:rPr>
      <w:rFonts w:asciiTheme="majorHAnsi" w:eastAsiaTheme="majorEastAsia" w:hAnsiTheme="majorHAnsi" w:cstheme="majorBidi"/>
      <w:b/>
      <w:bCs/>
      <w:color w:val="808080"/>
      <w:sz w:val="24"/>
      <w:lang w:val="en-GB"/>
    </w:rPr>
  </w:style>
  <w:style w:type="character" w:styleId="af1">
    <w:name w:val="Subtle Emphasis"/>
    <w:uiPriority w:val="99"/>
    <w:semiHidden/>
    <w:qFormat/>
    <w:rsid w:val="003A08D9"/>
    <w:rPr>
      <w:i/>
      <w:iCs/>
    </w:r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3A08D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HHead">
    <w:name w:val="Ju_H_Head"/>
    <w:aliases w:val="_Head_1"/>
    <w:basedOn w:val="a2"/>
    <w:next w:val="JuPara"/>
    <w:uiPriority w:val="19"/>
    <w:qFormat/>
    <w:rsid w:val="003A08D9"/>
    <w:pPr>
      <w:keepNext/>
      <w:keepLines/>
      <w:numPr>
        <w:numId w:val="24"/>
      </w:numPr>
      <w:spacing w:before="100" w:beforeAutospacing="1" w:after="240"/>
      <w:jc w:val="both"/>
      <w:outlineLvl w:val="0"/>
    </w:pPr>
    <w:rPr>
      <w:caps/>
      <w:sz w:val="28"/>
    </w:rPr>
  </w:style>
  <w:style w:type="character" w:styleId="af2">
    <w:name w:val="Emphasis"/>
    <w:uiPriority w:val="99"/>
    <w:semiHidden/>
    <w:qFormat/>
    <w:rsid w:val="003A08D9"/>
    <w:rPr>
      <w:b/>
      <w:bCs/>
      <w:i/>
      <w:iCs/>
      <w:spacing w:val="10"/>
      <w:bdr w:val="none" w:sz="0" w:space="0" w:color="auto"/>
      <w:shd w:val="clear" w:color="auto" w:fill="auto"/>
    </w:rPr>
  </w:style>
  <w:style w:type="paragraph" w:styleId="aa">
    <w:name w:val="footer"/>
    <w:basedOn w:val="a2"/>
    <w:link w:val="af3"/>
    <w:uiPriority w:val="57"/>
    <w:semiHidden/>
    <w:rsid w:val="003A08D9"/>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3A08D9"/>
    <w:rPr>
      <w:sz w:val="24"/>
      <w:lang w:val="en-GB"/>
    </w:rPr>
  </w:style>
  <w:style w:type="character" w:styleId="af4">
    <w:name w:val="footnote reference"/>
    <w:basedOn w:val="a3"/>
    <w:uiPriority w:val="99"/>
    <w:semiHidden/>
    <w:rsid w:val="003A08D9"/>
    <w:rPr>
      <w:vertAlign w:val="superscript"/>
    </w:rPr>
  </w:style>
  <w:style w:type="paragraph" w:styleId="af5">
    <w:name w:val="footnote text"/>
    <w:basedOn w:val="a2"/>
    <w:link w:val="af6"/>
    <w:uiPriority w:val="99"/>
    <w:semiHidden/>
    <w:rsid w:val="003A08D9"/>
    <w:rPr>
      <w:sz w:val="20"/>
      <w:szCs w:val="20"/>
    </w:rPr>
  </w:style>
  <w:style w:type="character" w:customStyle="1" w:styleId="af6">
    <w:name w:val="Текст сноски Знак"/>
    <w:basedOn w:val="a3"/>
    <w:link w:val="af5"/>
    <w:uiPriority w:val="99"/>
    <w:semiHidden/>
    <w:rsid w:val="003A08D9"/>
    <w:rPr>
      <w:rFonts w:eastAsiaTheme="minorEastAsia"/>
      <w:sz w:val="20"/>
      <w:szCs w:val="20"/>
      <w:lang w:val="en-GB"/>
    </w:rPr>
  </w:style>
  <w:style w:type="character" w:customStyle="1" w:styleId="60">
    <w:name w:val="Заголовок 6 Знак"/>
    <w:basedOn w:val="a3"/>
    <w:link w:val="6"/>
    <w:uiPriority w:val="99"/>
    <w:semiHidden/>
    <w:rsid w:val="003A08D9"/>
    <w:rPr>
      <w:rFonts w:asciiTheme="majorHAnsi" w:eastAsiaTheme="majorEastAsia" w:hAnsiTheme="majorHAnsi" w:cstheme="majorBidi"/>
      <w:b/>
      <w:bCs/>
      <w:i/>
      <w:iCs/>
      <w:color w:val="7F7F7F" w:themeColor="text1" w:themeTint="80"/>
      <w:sz w:val="24"/>
      <w:lang w:val="en-GB" w:bidi="en-US"/>
    </w:rPr>
  </w:style>
  <w:style w:type="character" w:customStyle="1" w:styleId="70">
    <w:name w:val="Заголовок 7 Знак"/>
    <w:basedOn w:val="a3"/>
    <w:link w:val="7"/>
    <w:uiPriority w:val="99"/>
    <w:semiHidden/>
    <w:rsid w:val="003A08D9"/>
    <w:rPr>
      <w:rFonts w:asciiTheme="majorHAnsi" w:eastAsiaTheme="majorEastAsia" w:hAnsiTheme="majorHAnsi" w:cstheme="majorBidi"/>
      <w:i/>
      <w:iCs/>
      <w:sz w:val="24"/>
      <w:lang w:val="en-GB" w:bidi="en-US"/>
    </w:rPr>
  </w:style>
  <w:style w:type="character" w:customStyle="1" w:styleId="80">
    <w:name w:val="Заголовок 8 Знак"/>
    <w:basedOn w:val="a3"/>
    <w:link w:val="8"/>
    <w:uiPriority w:val="99"/>
    <w:semiHidden/>
    <w:rsid w:val="003A08D9"/>
    <w:rPr>
      <w:rFonts w:asciiTheme="majorHAnsi" w:eastAsiaTheme="majorEastAsia" w:hAnsiTheme="majorHAnsi" w:cstheme="majorBidi"/>
      <w:sz w:val="20"/>
      <w:szCs w:val="20"/>
      <w:lang w:val="en-GB" w:bidi="en-US"/>
    </w:rPr>
  </w:style>
  <w:style w:type="character" w:customStyle="1" w:styleId="90">
    <w:name w:val="Заголовок 9 Знак"/>
    <w:basedOn w:val="a3"/>
    <w:link w:val="9"/>
    <w:uiPriority w:val="99"/>
    <w:semiHidden/>
    <w:rsid w:val="003A08D9"/>
    <w:rPr>
      <w:rFonts w:asciiTheme="majorHAnsi" w:eastAsiaTheme="majorEastAsia" w:hAnsiTheme="majorHAnsi" w:cstheme="majorBidi"/>
      <w:i/>
      <w:iCs/>
      <w:spacing w:val="5"/>
      <w:sz w:val="20"/>
      <w:szCs w:val="20"/>
      <w:lang w:val="en-GB" w:bidi="en-US"/>
    </w:rPr>
  </w:style>
  <w:style w:type="character" w:styleId="af7">
    <w:name w:val="Hyperlink"/>
    <w:basedOn w:val="a3"/>
    <w:uiPriority w:val="99"/>
    <w:semiHidden/>
    <w:rsid w:val="003A08D9"/>
    <w:rPr>
      <w:color w:val="0072BC" w:themeColor="hyperlink"/>
      <w:u w:val="single"/>
    </w:rPr>
  </w:style>
  <w:style w:type="character" w:styleId="af8">
    <w:name w:val="Intense Emphasis"/>
    <w:uiPriority w:val="99"/>
    <w:semiHidden/>
    <w:qFormat/>
    <w:rsid w:val="003A08D9"/>
    <w:rPr>
      <w:b/>
      <w:bCs/>
    </w:rPr>
  </w:style>
  <w:style w:type="paragraph" w:styleId="af9">
    <w:name w:val="Intense Quote"/>
    <w:basedOn w:val="a2"/>
    <w:next w:val="a2"/>
    <w:link w:val="afa"/>
    <w:uiPriority w:val="99"/>
    <w:semiHidden/>
    <w:qFormat/>
    <w:rsid w:val="003A08D9"/>
    <w:pPr>
      <w:pBdr>
        <w:bottom w:val="single" w:sz="4" w:space="1" w:color="auto"/>
      </w:pBdr>
      <w:spacing w:before="200" w:after="280"/>
      <w:ind w:left="1008" w:right="1152"/>
    </w:pPr>
    <w:rPr>
      <w:b/>
      <w:bCs/>
      <w:i/>
      <w:iCs/>
      <w:lang w:bidi="en-US"/>
    </w:rPr>
  </w:style>
  <w:style w:type="character" w:customStyle="1" w:styleId="afa">
    <w:name w:val="Выделенная цитата Знак"/>
    <w:basedOn w:val="a3"/>
    <w:link w:val="af9"/>
    <w:uiPriority w:val="99"/>
    <w:semiHidden/>
    <w:rsid w:val="003A08D9"/>
    <w:rPr>
      <w:rFonts w:eastAsiaTheme="minorEastAsia"/>
      <w:b/>
      <w:bCs/>
      <w:i/>
      <w:iCs/>
      <w:sz w:val="24"/>
      <w:lang w:val="en-GB" w:bidi="en-US"/>
    </w:rPr>
  </w:style>
  <w:style w:type="character" w:styleId="afb">
    <w:name w:val="Intense Reference"/>
    <w:uiPriority w:val="99"/>
    <w:semiHidden/>
    <w:qFormat/>
    <w:rsid w:val="003A08D9"/>
    <w:rPr>
      <w:smallCaps/>
      <w:spacing w:val="5"/>
      <w:u w:val="single"/>
    </w:rPr>
  </w:style>
  <w:style w:type="paragraph" w:styleId="afc">
    <w:name w:val="List Paragraph"/>
    <w:basedOn w:val="a2"/>
    <w:uiPriority w:val="99"/>
    <w:semiHidden/>
    <w:qFormat/>
    <w:rsid w:val="003A08D9"/>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3A08D9"/>
    <w:pPr>
      <w:spacing w:before="200"/>
      <w:ind w:left="360" w:right="360"/>
    </w:pPr>
    <w:rPr>
      <w:i/>
      <w:iCs/>
      <w:lang w:bidi="en-US"/>
    </w:rPr>
  </w:style>
  <w:style w:type="character" w:customStyle="1" w:styleId="24">
    <w:name w:val="Цитата 2 Знак"/>
    <w:basedOn w:val="a3"/>
    <w:link w:val="23"/>
    <w:uiPriority w:val="99"/>
    <w:semiHidden/>
    <w:rsid w:val="003A08D9"/>
    <w:rPr>
      <w:rFonts w:eastAsiaTheme="minorEastAsia"/>
      <w:i/>
      <w:iCs/>
      <w:sz w:val="24"/>
      <w:lang w:val="en-GB" w:bidi="en-US"/>
    </w:rPr>
  </w:style>
  <w:style w:type="character" w:styleId="afd">
    <w:name w:val="Subtle Reference"/>
    <w:uiPriority w:val="99"/>
    <w:semiHidden/>
    <w:qFormat/>
    <w:rsid w:val="003A08D9"/>
    <w:rPr>
      <w:smallCaps/>
    </w:rPr>
  </w:style>
  <w:style w:type="table" w:styleId="afe">
    <w:name w:val="Table Grid"/>
    <w:basedOn w:val="a4"/>
    <w:uiPriority w:val="59"/>
    <w:semiHidden/>
    <w:rsid w:val="003A08D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3A08D9"/>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3A08D9"/>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3A08D9"/>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3A08D9"/>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3A08D9"/>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3A08D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a4"/>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3A08D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3A08D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3A08D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3A08D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Quot">
    <w:name w:val="Ju_Quot"/>
    <w:aliases w:val="_Quote"/>
    <w:basedOn w:val="NormalJustified"/>
    <w:link w:val="JuQuotChar"/>
    <w:uiPriority w:val="21"/>
    <w:qFormat/>
    <w:rsid w:val="003A08D9"/>
    <w:pPr>
      <w:spacing w:before="120" w:after="120"/>
      <w:ind w:left="425" w:firstLine="142"/>
    </w:pPr>
    <w:rPr>
      <w:sz w:val="20"/>
    </w:rPr>
  </w:style>
  <w:style w:type="paragraph" w:customStyle="1" w:styleId="JuPara">
    <w:name w:val="Ju_Para"/>
    <w:aliases w:val="_Para"/>
    <w:basedOn w:val="NormalJustified"/>
    <w:link w:val="ECHRParaChar"/>
    <w:uiPriority w:val="8"/>
    <w:qFormat/>
    <w:rsid w:val="003A08D9"/>
    <w:pPr>
      <w:ind w:firstLine="284"/>
    </w:pPr>
  </w:style>
  <w:style w:type="table" w:customStyle="1" w:styleId="ECHRTableSimpleBox">
    <w:name w:val="ECHR_Table_Simple_Box"/>
    <w:basedOn w:val="a4"/>
    <w:uiPriority w:val="99"/>
    <w:rsid w:val="003A08D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3A08D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3A08D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3A08D9"/>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3A08D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JuJudges">
    <w:name w:val="Ju_Judges"/>
    <w:basedOn w:val="a2"/>
    <w:uiPriority w:val="31"/>
    <w:qFormat/>
    <w:rsid w:val="003A08D9"/>
    <w:pPr>
      <w:tabs>
        <w:tab w:val="left" w:pos="567"/>
        <w:tab w:val="left" w:pos="1134"/>
      </w:tabs>
    </w:pPr>
  </w:style>
  <w:style w:type="table" w:customStyle="1" w:styleId="ECHRHeaderTableReduced">
    <w:name w:val="ECHR_Header_Table_Reduced"/>
    <w:basedOn w:val="a4"/>
    <w:uiPriority w:val="99"/>
    <w:rsid w:val="003A08D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aliases w:val="_List_1"/>
    <w:basedOn w:val="NormalJustified"/>
    <w:uiPriority w:val="23"/>
    <w:qFormat/>
    <w:rsid w:val="003A08D9"/>
    <w:pPr>
      <w:numPr>
        <w:numId w:val="27"/>
      </w:numPr>
      <w:spacing w:before="280" w:after="60"/>
    </w:pPr>
    <w:rPr>
      <w:rFonts w:eastAsiaTheme="minorHAnsi"/>
    </w:rPr>
  </w:style>
  <w:style w:type="paragraph" w:customStyle="1" w:styleId="JuSigned">
    <w:name w:val="Ju_Signed"/>
    <w:aliases w:val="_Signature"/>
    <w:basedOn w:val="a2"/>
    <w:next w:val="JuPara"/>
    <w:uiPriority w:val="30"/>
    <w:qFormat/>
    <w:rsid w:val="003A08D9"/>
    <w:pPr>
      <w:tabs>
        <w:tab w:val="center" w:pos="851"/>
        <w:tab w:val="center" w:pos="6407"/>
      </w:tabs>
      <w:spacing w:before="720"/>
    </w:pPr>
  </w:style>
  <w:style w:type="paragraph" w:customStyle="1" w:styleId="JuParaLast">
    <w:name w:val="Ju_Para_Last"/>
    <w:aliases w:val="_Para_Spaced"/>
    <w:basedOn w:val="NormalJustified"/>
    <w:uiPriority w:val="9"/>
    <w:qFormat/>
    <w:rsid w:val="003A08D9"/>
    <w:pPr>
      <w:keepNext/>
      <w:keepLines/>
      <w:spacing w:before="240" w:after="240"/>
      <w:ind w:firstLine="284"/>
    </w:pPr>
    <w:rPr>
      <w:rFonts w:eastAsiaTheme="minorHAnsi"/>
    </w:rPr>
  </w:style>
  <w:style w:type="character" w:styleId="aff1">
    <w:name w:val="page number"/>
    <w:uiPriority w:val="99"/>
    <w:semiHidden/>
    <w:rsid w:val="003A08D9"/>
    <w:rPr>
      <w:sz w:val="18"/>
    </w:rPr>
  </w:style>
  <w:style w:type="paragraph" w:customStyle="1" w:styleId="JuLista">
    <w:name w:val="Ju_List_a"/>
    <w:aliases w:val="_List_2"/>
    <w:basedOn w:val="NormalJustified"/>
    <w:uiPriority w:val="23"/>
    <w:rsid w:val="003A08D9"/>
    <w:pPr>
      <w:numPr>
        <w:ilvl w:val="1"/>
        <w:numId w:val="27"/>
      </w:numPr>
    </w:pPr>
  </w:style>
  <w:style w:type="paragraph" w:customStyle="1" w:styleId="JuListi">
    <w:name w:val="Ju_List_i"/>
    <w:aliases w:val="_List_3"/>
    <w:basedOn w:val="NormalJustified"/>
    <w:uiPriority w:val="23"/>
    <w:rsid w:val="003A08D9"/>
    <w:pPr>
      <w:numPr>
        <w:ilvl w:val="2"/>
        <w:numId w:val="27"/>
      </w:numPr>
    </w:pPr>
  </w:style>
  <w:style w:type="character" w:styleId="aff2">
    <w:name w:val="annotation reference"/>
    <w:basedOn w:val="a3"/>
    <w:uiPriority w:val="99"/>
    <w:semiHidden/>
    <w:rsid w:val="003A08D9"/>
    <w:rPr>
      <w:sz w:val="16"/>
      <w:szCs w:val="16"/>
    </w:rPr>
  </w:style>
  <w:style w:type="paragraph" w:styleId="aff3">
    <w:name w:val="annotation text"/>
    <w:basedOn w:val="a2"/>
    <w:link w:val="aff4"/>
    <w:semiHidden/>
    <w:rsid w:val="003A08D9"/>
    <w:rPr>
      <w:sz w:val="20"/>
      <w:szCs w:val="20"/>
    </w:rPr>
  </w:style>
  <w:style w:type="character" w:customStyle="1" w:styleId="aff4">
    <w:name w:val="Текст примечания Знак"/>
    <w:basedOn w:val="a3"/>
    <w:link w:val="aff3"/>
    <w:semiHidden/>
    <w:rsid w:val="003A08D9"/>
    <w:rPr>
      <w:rFonts w:eastAsiaTheme="minorEastAsia"/>
      <w:sz w:val="20"/>
      <w:szCs w:val="20"/>
      <w:lang w:val="en-GB"/>
    </w:rPr>
  </w:style>
  <w:style w:type="paragraph" w:styleId="aff5">
    <w:name w:val="annotation subject"/>
    <w:basedOn w:val="aff3"/>
    <w:next w:val="aff3"/>
    <w:link w:val="aff6"/>
    <w:uiPriority w:val="99"/>
    <w:semiHidden/>
    <w:rsid w:val="003A08D9"/>
    <w:rPr>
      <w:b/>
      <w:bCs/>
    </w:rPr>
  </w:style>
  <w:style w:type="character" w:customStyle="1" w:styleId="aff6">
    <w:name w:val="Тема примечания Знак"/>
    <w:basedOn w:val="aff4"/>
    <w:link w:val="aff5"/>
    <w:uiPriority w:val="99"/>
    <w:semiHidden/>
    <w:rsid w:val="003A08D9"/>
    <w:rPr>
      <w:rFonts w:eastAsiaTheme="minorEastAsia"/>
      <w:b/>
      <w:bCs/>
      <w:sz w:val="20"/>
      <w:szCs w:val="20"/>
      <w:lang w:val="en-GB"/>
    </w:rPr>
  </w:style>
  <w:style w:type="character" w:styleId="aff7">
    <w:name w:val="endnote reference"/>
    <w:basedOn w:val="a3"/>
    <w:uiPriority w:val="99"/>
    <w:semiHidden/>
    <w:rsid w:val="003A08D9"/>
    <w:rPr>
      <w:vertAlign w:val="superscript"/>
    </w:rPr>
  </w:style>
  <w:style w:type="paragraph" w:styleId="aff8">
    <w:name w:val="endnote text"/>
    <w:basedOn w:val="a2"/>
    <w:link w:val="aff9"/>
    <w:uiPriority w:val="99"/>
    <w:semiHidden/>
    <w:rsid w:val="003A08D9"/>
    <w:rPr>
      <w:sz w:val="20"/>
      <w:szCs w:val="20"/>
    </w:rPr>
  </w:style>
  <w:style w:type="character" w:customStyle="1" w:styleId="aff9">
    <w:name w:val="Текст концевой сноски Знак"/>
    <w:basedOn w:val="a3"/>
    <w:link w:val="aff8"/>
    <w:uiPriority w:val="99"/>
    <w:semiHidden/>
    <w:rsid w:val="003A08D9"/>
    <w:rPr>
      <w:rFonts w:eastAsiaTheme="minorEastAsia"/>
      <w:sz w:val="20"/>
      <w:szCs w:val="20"/>
      <w:lang w:val="en-GB"/>
    </w:rPr>
  </w:style>
  <w:style w:type="character" w:styleId="affa">
    <w:name w:val="FollowedHyperlink"/>
    <w:basedOn w:val="a3"/>
    <w:uiPriority w:val="99"/>
    <w:semiHidden/>
    <w:rsid w:val="003A08D9"/>
    <w:rPr>
      <w:color w:val="7030A0" w:themeColor="followedHyperlink"/>
      <w:u w:val="single"/>
    </w:rPr>
  </w:style>
  <w:style w:type="paragraph" w:styleId="affb">
    <w:name w:val="Document Map"/>
    <w:basedOn w:val="a2"/>
    <w:link w:val="affc"/>
    <w:uiPriority w:val="99"/>
    <w:semiHidden/>
    <w:rsid w:val="003A08D9"/>
    <w:rPr>
      <w:rFonts w:ascii="Tahoma" w:hAnsi="Tahoma" w:cs="Tahoma"/>
      <w:sz w:val="16"/>
      <w:szCs w:val="16"/>
    </w:rPr>
  </w:style>
  <w:style w:type="character" w:customStyle="1" w:styleId="affc">
    <w:name w:val="Схема документа Знак"/>
    <w:basedOn w:val="a3"/>
    <w:link w:val="affb"/>
    <w:uiPriority w:val="99"/>
    <w:semiHidden/>
    <w:rsid w:val="003A08D9"/>
    <w:rPr>
      <w:rFonts w:ascii="Tahoma" w:eastAsiaTheme="minorEastAsia" w:hAnsi="Tahoma" w:cs="Tahoma"/>
      <w:sz w:val="16"/>
      <w:szCs w:val="16"/>
      <w:lang w:val="en-GB"/>
    </w:rPr>
  </w:style>
  <w:style w:type="paragraph" w:customStyle="1" w:styleId="DecHTitle">
    <w:name w:val="Dec_H_Title"/>
    <w:aliases w:val="_Title_1"/>
    <w:basedOn w:val="JuPara"/>
    <w:next w:val="JuPara"/>
    <w:uiPriority w:val="35"/>
    <w:qFormat/>
    <w:rsid w:val="003A08D9"/>
    <w:pPr>
      <w:keepNext/>
      <w:keepLines/>
      <w:spacing w:after="240"/>
      <w:ind w:firstLine="0"/>
      <w:jc w:val="center"/>
      <w:outlineLvl w:val="0"/>
    </w:pPr>
    <w:rPr>
      <w:rFonts w:asciiTheme="majorHAnsi" w:hAnsiTheme="majorHAnsi"/>
      <w:sz w:val="28"/>
    </w:rPr>
  </w:style>
  <w:style w:type="paragraph" w:styleId="a0">
    <w:name w:val="List Bullet"/>
    <w:basedOn w:val="a2"/>
    <w:uiPriority w:val="99"/>
    <w:semiHidden/>
    <w:rsid w:val="003A08D9"/>
    <w:pPr>
      <w:numPr>
        <w:numId w:val="34"/>
      </w:numPr>
    </w:pPr>
  </w:style>
  <w:style w:type="character" w:customStyle="1" w:styleId="JuITMark">
    <w:name w:val="Ju_ITMark"/>
    <w:basedOn w:val="a3"/>
    <w:uiPriority w:val="38"/>
    <w:qFormat/>
    <w:rsid w:val="003A08D9"/>
    <w:rPr>
      <w:vanish w:val="0"/>
      <w:color w:val="auto"/>
      <w:sz w:val="14"/>
      <w:bdr w:val="none" w:sz="0" w:space="0" w:color="auto"/>
      <w:shd w:val="clear" w:color="auto" w:fill="BEE5FF" w:themeFill="background1" w:themeFillTint="33"/>
    </w:rPr>
  </w:style>
  <w:style w:type="paragraph" w:styleId="affd">
    <w:name w:val="Subtitle"/>
    <w:basedOn w:val="a2"/>
    <w:next w:val="a2"/>
    <w:link w:val="affe"/>
    <w:uiPriority w:val="99"/>
    <w:semiHidden/>
    <w:qFormat/>
    <w:rsid w:val="003A08D9"/>
    <w:pPr>
      <w:spacing w:after="600"/>
    </w:pPr>
    <w:rPr>
      <w:rFonts w:asciiTheme="majorHAnsi" w:eastAsiaTheme="majorEastAsia" w:hAnsiTheme="majorHAnsi" w:cstheme="majorBidi"/>
      <w:i/>
      <w:iCs/>
      <w:spacing w:val="13"/>
      <w:szCs w:val="24"/>
      <w:lang w:bidi="en-US"/>
    </w:rPr>
  </w:style>
  <w:style w:type="character" w:customStyle="1" w:styleId="affe">
    <w:name w:val="Подзаголовок Знак"/>
    <w:basedOn w:val="a3"/>
    <w:link w:val="affd"/>
    <w:uiPriority w:val="99"/>
    <w:semiHidden/>
    <w:rsid w:val="003A08D9"/>
    <w:rPr>
      <w:rFonts w:asciiTheme="majorHAnsi" w:eastAsiaTheme="majorEastAsia" w:hAnsiTheme="majorHAnsi" w:cstheme="majorBidi"/>
      <w:i/>
      <w:iCs/>
      <w:spacing w:val="13"/>
      <w:sz w:val="24"/>
      <w:szCs w:val="24"/>
      <w:lang w:val="en-GB" w:bidi="en-US"/>
    </w:rPr>
  </w:style>
  <w:style w:type="numbering" w:styleId="111111">
    <w:name w:val="Outline List 2"/>
    <w:basedOn w:val="a5"/>
    <w:uiPriority w:val="99"/>
    <w:semiHidden/>
    <w:unhideWhenUsed/>
    <w:rsid w:val="003A08D9"/>
    <w:pPr>
      <w:numPr>
        <w:numId w:val="28"/>
      </w:numPr>
    </w:pPr>
  </w:style>
  <w:style w:type="numbering" w:styleId="1ai">
    <w:name w:val="Outline List 1"/>
    <w:basedOn w:val="a5"/>
    <w:uiPriority w:val="99"/>
    <w:semiHidden/>
    <w:unhideWhenUsed/>
    <w:rsid w:val="003A08D9"/>
    <w:pPr>
      <w:numPr>
        <w:numId w:val="29"/>
      </w:numPr>
    </w:pPr>
  </w:style>
  <w:style w:type="numbering" w:styleId="a1">
    <w:name w:val="Outline List 3"/>
    <w:basedOn w:val="a5"/>
    <w:uiPriority w:val="99"/>
    <w:semiHidden/>
    <w:unhideWhenUsed/>
    <w:rsid w:val="003A08D9"/>
    <w:pPr>
      <w:numPr>
        <w:numId w:val="4"/>
      </w:numPr>
    </w:pPr>
  </w:style>
  <w:style w:type="paragraph" w:styleId="afff">
    <w:name w:val="Bibliography"/>
    <w:basedOn w:val="a2"/>
    <w:next w:val="a2"/>
    <w:uiPriority w:val="99"/>
    <w:semiHidden/>
    <w:rsid w:val="003A08D9"/>
  </w:style>
  <w:style w:type="paragraph" w:styleId="afff0">
    <w:name w:val="Block Text"/>
    <w:basedOn w:val="a2"/>
    <w:uiPriority w:val="99"/>
    <w:semiHidden/>
    <w:rsid w:val="003A08D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3A08D9"/>
    <w:pPr>
      <w:spacing w:after="120"/>
    </w:pPr>
  </w:style>
  <w:style w:type="character" w:customStyle="1" w:styleId="afff2">
    <w:name w:val="Основной текст Знак"/>
    <w:basedOn w:val="a3"/>
    <w:link w:val="afff1"/>
    <w:uiPriority w:val="99"/>
    <w:semiHidden/>
    <w:rsid w:val="003A08D9"/>
    <w:rPr>
      <w:rFonts w:eastAsiaTheme="minorEastAsia"/>
      <w:sz w:val="24"/>
      <w:lang w:val="en-GB"/>
    </w:rPr>
  </w:style>
  <w:style w:type="paragraph" w:styleId="26">
    <w:name w:val="Body Text 2"/>
    <w:basedOn w:val="a2"/>
    <w:link w:val="27"/>
    <w:uiPriority w:val="99"/>
    <w:semiHidden/>
    <w:rsid w:val="003A08D9"/>
    <w:pPr>
      <w:spacing w:after="120" w:line="480" w:lineRule="auto"/>
    </w:pPr>
  </w:style>
  <w:style w:type="character" w:customStyle="1" w:styleId="27">
    <w:name w:val="Основной текст 2 Знак"/>
    <w:basedOn w:val="a3"/>
    <w:link w:val="26"/>
    <w:uiPriority w:val="99"/>
    <w:semiHidden/>
    <w:rsid w:val="003A08D9"/>
    <w:rPr>
      <w:rFonts w:eastAsiaTheme="minorEastAsia"/>
      <w:sz w:val="24"/>
      <w:lang w:val="en-GB"/>
    </w:rPr>
  </w:style>
  <w:style w:type="paragraph" w:styleId="34">
    <w:name w:val="Body Text 3"/>
    <w:basedOn w:val="a2"/>
    <w:link w:val="35"/>
    <w:uiPriority w:val="99"/>
    <w:semiHidden/>
    <w:rsid w:val="003A08D9"/>
    <w:pPr>
      <w:spacing w:after="120"/>
    </w:pPr>
    <w:rPr>
      <w:sz w:val="16"/>
      <w:szCs w:val="16"/>
    </w:rPr>
  </w:style>
  <w:style w:type="character" w:customStyle="1" w:styleId="35">
    <w:name w:val="Основной текст 3 Знак"/>
    <w:basedOn w:val="a3"/>
    <w:link w:val="34"/>
    <w:uiPriority w:val="99"/>
    <w:semiHidden/>
    <w:rsid w:val="003A08D9"/>
    <w:rPr>
      <w:rFonts w:eastAsiaTheme="minorEastAsia"/>
      <w:sz w:val="16"/>
      <w:szCs w:val="16"/>
      <w:lang w:val="en-GB"/>
    </w:rPr>
  </w:style>
  <w:style w:type="paragraph" w:styleId="afff3">
    <w:name w:val="Body Text First Indent"/>
    <w:basedOn w:val="afff1"/>
    <w:link w:val="afff4"/>
    <w:uiPriority w:val="99"/>
    <w:semiHidden/>
    <w:rsid w:val="003A08D9"/>
    <w:pPr>
      <w:spacing w:after="0"/>
      <w:ind w:firstLine="360"/>
    </w:pPr>
  </w:style>
  <w:style w:type="character" w:customStyle="1" w:styleId="afff4">
    <w:name w:val="Красная строка Знак"/>
    <w:basedOn w:val="afff2"/>
    <w:link w:val="afff3"/>
    <w:uiPriority w:val="99"/>
    <w:semiHidden/>
    <w:rsid w:val="003A08D9"/>
    <w:rPr>
      <w:rFonts w:eastAsiaTheme="minorEastAsia"/>
      <w:sz w:val="24"/>
      <w:lang w:val="en-GB"/>
    </w:rPr>
  </w:style>
  <w:style w:type="paragraph" w:styleId="afff5">
    <w:name w:val="Body Text Indent"/>
    <w:basedOn w:val="a2"/>
    <w:link w:val="afff6"/>
    <w:uiPriority w:val="99"/>
    <w:semiHidden/>
    <w:rsid w:val="003A08D9"/>
    <w:pPr>
      <w:spacing w:after="120"/>
      <w:ind w:left="283"/>
    </w:pPr>
  </w:style>
  <w:style w:type="character" w:customStyle="1" w:styleId="afff6">
    <w:name w:val="Основной текст с отступом Знак"/>
    <w:basedOn w:val="a3"/>
    <w:link w:val="afff5"/>
    <w:uiPriority w:val="99"/>
    <w:semiHidden/>
    <w:rsid w:val="003A08D9"/>
    <w:rPr>
      <w:rFonts w:eastAsiaTheme="minorEastAsia"/>
      <w:sz w:val="24"/>
      <w:lang w:val="en-GB"/>
    </w:rPr>
  </w:style>
  <w:style w:type="paragraph" w:styleId="28">
    <w:name w:val="Body Text First Indent 2"/>
    <w:basedOn w:val="afff5"/>
    <w:link w:val="29"/>
    <w:uiPriority w:val="99"/>
    <w:semiHidden/>
    <w:rsid w:val="003A08D9"/>
    <w:pPr>
      <w:spacing w:after="0"/>
      <w:ind w:left="360" w:firstLine="360"/>
    </w:pPr>
  </w:style>
  <w:style w:type="character" w:customStyle="1" w:styleId="29">
    <w:name w:val="Красная строка 2 Знак"/>
    <w:basedOn w:val="afff6"/>
    <w:link w:val="28"/>
    <w:uiPriority w:val="99"/>
    <w:semiHidden/>
    <w:rsid w:val="003A08D9"/>
    <w:rPr>
      <w:rFonts w:eastAsiaTheme="minorEastAsia"/>
      <w:sz w:val="24"/>
      <w:lang w:val="en-GB"/>
    </w:rPr>
  </w:style>
  <w:style w:type="paragraph" w:styleId="2a">
    <w:name w:val="Body Text Indent 2"/>
    <w:basedOn w:val="a2"/>
    <w:link w:val="2b"/>
    <w:uiPriority w:val="99"/>
    <w:semiHidden/>
    <w:rsid w:val="003A08D9"/>
    <w:pPr>
      <w:spacing w:after="120" w:line="480" w:lineRule="auto"/>
      <w:ind w:left="283"/>
    </w:pPr>
  </w:style>
  <w:style w:type="character" w:customStyle="1" w:styleId="2b">
    <w:name w:val="Основной текст с отступом 2 Знак"/>
    <w:basedOn w:val="a3"/>
    <w:link w:val="2a"/>
    <w:uiPriority w:val="99"/>
    <w:semiHidden/>
    <w:rsid w:val="003A08D9"/>
    <w:rPr>
      <w:rFonts w:eastAsiaTheme="minorEastAsia"/>
      <w:sz w:val="24"/>
      <w:lang w:val="en-GB"/>
    </w:rPr>
  </w:style>
  <w:style w:type="paragraph" w:styleId="36">
    <w:name w:val="Body Text Indent 3"/>
    <w:basedOn w:val="a2"/>
    <w:link w:val="37"/>
    <w:uiPriority w:val="99"/>
    <w:semiHidden/>
    <w:rsid w:val="003A08D9"/>
    <w:pPr>
      <w:spacing w:after="120"/>
      <w:ind w:left="283"/>
    </w:pPr>
    <w:rPr>
      <w:sz w:val="16"/>
      <w:szCs w:val="16"/>
    </w:rPr>
  </w:style>
  <w:style w:type="character" w:customStyle="1" w:styleId="37">
    <w:name w:val="Основной текст с отступом 3 Знак"/>
    <w:basedOn w:val="a3"/>
    <w:link w:val="36"/>
    <w:uiPriority w:val="99"/>
    <w:semiHidden/>
    <w:rsid w:val="003A08D9"/>
    <w:rPr>
      <w:rFonts w:eastAsiaTheme="minorEastAsia"/>
      <w:sz w:val="16"/>
      <w:szCs w:val="16"/>
      <w:lang w:val="en-GB"/>
    </w:rPr>
  </w:style>
  <w:style w:type="paragraph" w:styleId="afff7">
    <w:name w:val="caption"/>
    <w:basedOn w:val="a2"/>
    <w:next w:val="a2"/>
    <w:uiPriority w:val="99"/>
    <w:semiHidden/>
    <w:qFormat/>
    <w:rsid w:val="003A08D9"/>
    <w:pPr>
      <w:spacing w:after="200"/>
    </w:pPr>
    <w:rPr>
      <w:b/>
      <w:bCs/>
      <w:color w:val="0072BC" w:themeColor="accent1"/>
      <w:sz w:val="18"/>
      <w:szCs w:val="18"/>
    </w:rPr>
  </w:style>
  <w:style w:type="paragraph" w:styleId="afff8">
    <w:name w:val="Closing"/>
    <w:basedOn w:val="a2"/>
    <w:link w:val="afff9"/>
    <w:uiPriority w:val="99"/>
    <w:semiHidden/>
    <w:rsid w:val="003A08D9"/>
    <w:pPr>
      <w:ind w:left="4252"/>
    </w:pPr>
  </w:style>
  <w:style w:type="character" w:customStyle="1" w:styleId="afff9">
    <w:name w:val="Прощание Знак"/>
    <w:basedOn w:val="a3"/>
    <w:link w:val="afff8"/>
    <w:uiPriority w:val="99"/>
    <w:semiHidden/>
    <w:rsid w:val="003A08D9"/>
    <w:rPr>
      <w:rFonts w:eastAsiaTheme="minorEastAsia"/>
      <w:sz w:val="24"/>
      <w:lang w:val="en-GB"/>
    </w:rPr>
  </w:style>
  <w:style w:type="table" w:styleId="afffa">
    <w:name w:val="Colorful Grid"/>
    <w:basedOn w:val="a4"/>
    <w:uiPriority w:val="73"/>
    <w:semiHidden/>
    <w:rsid w:val="003A08D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rsid w:val="003A08D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73"/>
    <w:semiHidden/>
    <w:rsid w:val="003A08D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73"/>
    <w:semiHidden/>
    <w:rsid w:val="003A08D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73"/>
    <w:semiHidden/>
    <w:rsid w:val="003A08D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73"/>
    <w:semiHidden/>
    <w:rsid w:val="003A08D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rsid w:val="003A08D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72"/>
    <w:semiHidden/>
    <w:rsid w:val="003A08D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rsid w:val="003A08D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72"/>
    <w:semiHidden/>
    <w:rsid w:val="003A08D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72"/>
    <w:semiHidden/>
    <w:rsid w:val="003A08D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72"/>
    <w:semiHidden/>
    <w:rsid w:val="003A08D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72"/>
    <w:semiHidden/>
    <w:rsid w:val="003A08D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rsid w:val="003A08D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71"/>
    <w:semiHidden/>
    <w:rsid w:val="003A08D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rsid w:val="003A08D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rsid w:val="003A08D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rsid w:val="003A08D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71"/>
    <w:semiHidden/>
    <w:rsid w:val="003A08D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rsid w:val="003A08D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rsid w:val="003A08D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70"/>
    <w:semiHidden/>
    <w:rsid w:val="003A08D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rsid w:val="003A08D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70"/>
    <w:semiHidden/>
    <w:rsid w:val="003A08D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70"/>
    <w:semiHidden/>
    <w:rsid w:val="003A08D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70"/>
    <w:semiHidden/>
    <w:rsid w:val="003A08D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70"/>
    <w:semiHidden/>
    <w:rsid w:val="003A08D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rsid w:val="003A08D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3A08D9"/>
  </w:style>
  <w:style w:type="character" w:customStyle="1" w:styleId="affff">
    <w:name w:val="Дата Знак"/>
    <w:basedOn w:val="a3"/>
    <w:link w:val="afffe"/>
    <w:uiPriority w:val="99"/>
    <w:semiHidden/>
    <w:rsid w:val="003A08D9"/>
    <w:rPr>
      <w:rFonts w:eastAsiaTheme="minorEastAsia"/>
      <w:sz w:val="24"/>
      <w:lang w:val="en-GB"/>
    </w:rPr>
  </w:style>
  <w:style w:type="paragraph" w:styleId="affff0">
    <w:name w:val="E-mail Signature"/>
    <w:basedOn w:val="a2"/>
    <w:link w:val="affff1"/>
    <w:uiPriority w:val="99"/>
    <w:semiHidden/>
    <w:rsid w:val="003A08D9"/>
  </w:style>
  <w:style w:type="character" w:customStyle="1" w:styleId="affff1">
    <w:name w:val="Электронная подпись Знак"/>
    <w:basedOn w:val="a3"/>
    <w:link w:val="affff0"/>
    <w:uiPriority w:val="99"/>
    <w:semiHidden/>
    <w:rsid w:val="003A08D9"/>
    <w:rPr>
      <w:rFonts w:eastAsiaTheme="minorEastAsia"/>
      <w:sz w:val="24"/>
      <w:lang w:val="en-GB"/>
    </w:rPr>
  </w:style>
  <w:style w:type="paragraph" w:styleId="affff2">
    <w:name w:val="envelope address"/>
    <w:basedOn w:val="a2"/>
    <w:uiPriority w:val="99"/>
    <w:semiHidden/>
    <w:rsid w:val="003A08D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3A08D9"/>
    <w:rPr>
      <w:rFonts w:asciiTheme="majorHAnsi" w:eastAsiaTheme="majorEastAsia" w:hAnsiTheme="majorHAnsi" w:cstheme="majorBidi"/>
      <w:sz w:val="20"/>
      <w:szCs w:val="20"/>
    </w:rPr>
  </w:style>
  <w:style w:type="character" w:styleId="HTML">
    <w:name w:val="HTML Acronym"/>
    <w:basedOn w:val="a3"/>
    <w:uiPriority w:val="99"/>
    <w:semiHidden/>
    <w:rsid w:val="003A08D9"/>
  </w:style>
  <w:style w:type="paragraph" w:styleId="HTML0">
    <w:name w:val="HTML Address"/>
    <w:basedOn w:val="a2"/>
    <w:link w:val="HTML1"/>
    <w:uiPriority w:val="99"/>
    <w:semiHidden/>
    <w:rsid w:val="003A08D9"/>
    <w:rPr>
      <w:i/>
      <w:iCs/>
    </w:rPr>
  </w:style>
  <w:style w:type="character" w:customStyle="1" w:styleId="HTML1">
    <w:name w:val="Адрес HTML Знак"/>
    <w:basedOn w:val="a3"/>
    <w:link w:val="HTML0"/>
    <w:uiPriority w:val="99"/>
    <w:semiHidden/>
    <w:rsid w:val="003A08D9"/>
    <w:rPr>
      <w:rFonts w:eastAsiaTheme="minorEastAsia"/>
      <w:i/>
      <w:iCs/>
      <w:sz w:val="24"/>
      <w:lang w:val="en-GB"/>
    </w:rPr>
  </w:style>
  <w:style w:type="character" w:styleId="HTML2">
    <w:name w:val="HTML Cite"/>
    <w:basedOn w:val="a3"/>
    <w:uiPriority w:val="99"/>
    <w:semiHidden/>
    <w:rsid w:val="003A08D9"/>
    <w:rPr>
      <w:i/>
      <w:iCs/>
    </w:rPr>
  </w:style>
  <w:style w:type="character" w:styleId="HTML3">
    <w:name w:val="HTML Code"/>
    <w:basedOn w:val="a3"/>
    <w:uiPriority w:val="99"/>
    <w:semiHidden/>
    <w:rsid w:val="003A08D9"/>
    <w:rPr>
      <w:rFonts w:ascii="Consolas" w:hAnsi="Consolas" w:cs="Consolas"/>
      <w:sz w:val="20"/>
      <w:szCs w:val="20"/>
    </w:rPr>
  </w:style>
  <w:style w:type="character" w:styleId="HTML4">
    <w:name w:val="HTML Definition"/>
    <w:basedOn w:val="a3"/>
    <w:uiPriority w:val="99"/>
    <w:semiHidden/>
    <w:rsid w:val="003A08D9"/>
    <w:rPr>
      <w:i/>
      <w:iCs/>
    </w:rPr>
  </w:style>
  <w:style w:type="character" w:styleId="HTML5">
    <w:name w:val="HTML Keyboard"/>
    <w:basedOn w:val="a3"/>
    <w:uiPriority w:val="99"/>
    <w:semiHidden/>
    <w:rsid w:val="003A08D9"/>
    <w:rPr>
      <w:rFonts w:ascii="Consolas" w:hAnsi="Consolas" w:cs="Consolas"/>
      <w:sz w:val="20"/>
      <w:szCs w:val="20"/>
    </w:rPr>
  </w:style>
  <w:style w:type="paragraph" w:styleId="HTML6">
    <w:name w:val="HTML Preformatted"/>
    <w:basedOn w:val="a2"/>
    <w:link w:val="HTML7"/>
    <w:uiPriority w:val="99"/>
    <w:semiHidden/>
    <w:rsid w:val="003A08D9"/>
    <w:rPr>
      <w:rFonts w:ascii="Consolas" w:hAnsi="Consolas" w:cs="Consolas"/>
      <w:sz w:val="20"/>
      <w:szCs w:val="20"/>
    </w:rPr>
  </w:style>
  <w:style w:type="character" w:customStyle="1" w:styleId="HTML7">
    <w:name w:val="Стандартный HTML Знак"/>
    <w:basedOn w:val="a3"/>
    <w:link w:val="HTML6"/>
    <w:uiPriority w:val="99"/>
    <w:semiHidden/>
    <w:rsid w:val="003A08D9"/>
    <w:rPr>
      <w:rFonts w:ascii="Consolas" w:eastAsiaTheme="minorEastAsia" w:hAnsi="Consolas" w:cs="Consolas"/>
      <w:sz w:val="20"/>
      <w:szCs w:val="20"/>
      <w:lang w:val="en-GB"/>
    </w:rPr>
  </w:style>
  <w:style w:type="character" w:styleId="HTML8">
    <w:name w:val="HTML Sample"/>
    <w:basedOn w:val="a3"/>
    <w:uiPriority w:val="99"/>
    <w:semiHidden/>
    <w:rsid w:val="003A08D9"/>
    <w:rPr>
      <w:rFonts w:ascii="Consolas" w:hAnsi="Consolas" w:cs="Consolas"/>
      <w:sz w:val="24"/>
      <w:szCs w:val="24"/>
    </w:rPr>
  </w:style>
  <w:style w:type="character" w:styleId="HTML9">
    <w:name w:val="HTML Typewriter"/>
    <w:basedOn w:val="a3"/>
    <w:uiPriority w:val="99"/>
    <w:semiHidden/>
    <w:rsid w:val="003A08D9"/>
    <w:rPr>
      <w:rFonts w:ascii="Consolas" w:hAnsi="Consolas" w:cs="Consolas"/>
      <w:sz w:val="20"/>
      <w:szCs w:val="20"/>
    </w:rPr>
  </w:style>
  <w:style w:type="character" w:styleId="HTMLa">
    <w:name w:val="HTML Variable"/>
    <w:basedOn w:val="a3"/>
    <w:uiPriority w:val="99"/>
    <w:semiHidden/>
    <w:rsid w:val="003A08D9"/>
    <w:rPr>
      <w:i/>
      <w:iCs/>
    </w:rPr>
  </w:style>
  <w:style w:type="paragraph" w:styleId="12">
    <w:name w:val="index 1"/>
    <w:basedOn w:val="a2"/>
    <w:next w:val="a2"/>
    <w:autoRedefine/>
    <w:uiPriority w:val="99"/>
    <w:semiHidden/>
    <w:rsid w:val="003A08D9"/>
    <w:pPr>
      <w:ind w:left="240" w:hanging="240"/>
    </w:pPr>
  </w:style>
  <w:style w:type="paragraph" w:styleId="2d">
    <w:name w:val="index 2"/>
    <w:basedOn w:val="a2"/>
    <w:next w:val="a2"/>
    <w:autoRedefine/>
    <w:uiPriority w:val="99"/>
    <w:semiHidden/>
    <w:rsid w:val="003A08D9"/>
    <w:pPr>
      <w:ind w:left="480" w:hanging="240"/>
    </w:pPr>
  </w:style>
  <w:style w:type="paragraph" w:styleId="38">
    <w:name w:val="index 3"/>
    <w:basedOn w:val="a2"/>
    <w:next w:val="a2"/>
    <w:autoRedefine/>
    <w:uiPriority w:val="99"/>
    <w:semiHidden/>
    <w:rsid w:val="003A08D9"/>
    <w:pPr>
      <w:ind w:left="720" w:hanging="240"/>
    </w:pPr>
  </w:style>
  <w:style w:type="paragraph" w:styleId="44">
    <w:name w:val="index 4"/>
    <w:basedOn w:val="a2"/>
    <w:next w:val="a2"/>
    <w:autoRedefine/>
    <w:uiPriority w:val="99"/>
    <w:semiHidden/>
    <w:rsid w:val="003A08D9"/>
    <w:pPr>
      <w:ind w:left="960" w:hanging="240"/>
    </w:pPr>
  </w:style>
  <w:style w:type="paragraph" w:styleId="54">
    <w:name w:val="index 5"/>
    <w:basedOn w:val="a2"/>
    <w:next w:val="a2"/>
    <w:autoRedefine/>
    <w:uiPriority w:val="99"/>
    <w:semiHidden/>
    <w:rsid w:val="003A08D9"/>
    <w:pPr>
      <w:ind w:left="1200" w:hanging="240"/>
    </w:pPr>
  </w:style>
  <w:style w:type="paragraph" w:styleId="61">
    <w:name w:val="index 6"/>
    <w:basedOn w:val="a2"/>
    <w:next w:val="a2"/>
    <w:autoRedefine/>
    <w:uiPriority w:val="99"/>
    <w:semiHidden/>
    <w:rsid w:val="003A08D9"/>
    <w:pPr>
      <w:ind w:left="1440" w:hanging="240"/>
    </w:pPr>
  </w:style>
  <w:style w:type="paragraph" w:styleId="71">
    <w:name w:val="index 7"/>
    <w:basedOn w:val="a2"/>
    <w:next w:val="a2"/>
    <w:autoRedefine/>
    <w:uiPriority w:val="99"/>
    <w:semiHidden/>
    <w:rsid w:val="003A08D9"/>
    <w:pPr>
      <w:ind w:left="1680" w:hanging="240"/>
    </w:pPr>
  </w:style>
  <w:style w:type="paragraph" w:styleId="81">
    <w:name w:val="index 8"/>
    <w:basedOn w:val="a2"/>
    <w:next w:val="a2"/>
    <w:autoRedefine/>
    <w:uiPriority w:val="99"/>
    <w:semiHidden/>
    <w:rsid w:val="003A08D9"/>
    <w:pPr>
      <w:ind w:left="1920" w:hanging="240"/>
    </w:pPr>
  </w:style>
  <w:style w:type="paragraph" w:styleId="91">
    <w:name w:val="index 9"/>
    <w:basedOn w:val="a2"/>
    <w:next w:val="a2"/>
    <w:autoRedefine/>
    <w:uiPriority w:val="99"/>
    <w:semiHidden/>
    <w:rsid w:val="003A08D9"/>
    <w:pPr>
      <w:ind w:left="2160" w:hanging="240"/>
    </w:pPr>
  </w:style>
  <w:style w:type="paragraph" w:styleId="affff3">
    <w:name w:val="index heading"/>
    <w:basedOn w:val="a2"/>
    <w:next w:val="12"/>
    <w:uiPriority w:val="99"/>
    <w:semiHidden/>
    <w:rsid w:val="003A08D9"/>
    <w:rPr>
      <w:rFonts w:asciiTheme="majorHAnsi" w:eastAsiaTheme="majorEastAsia" w:hAnsiTheme="majorHAnsi" w:cstheme="majorBidi"/>
      <w:b/>
      <w:bCs/>
    </w:rPr>
  </w:style>
  <w:style w:type="table" w:styleId="affff4">
    <w:name w:val="Light Grid"/>
    <w:basedOn w:val="a4"/>
    <w:uiPriority w:val="62"/>
    <w:semiHidden/>
    <w:rsid w:val="003A08D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rsid w:val="003A08D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62"/>
    <w:semiHidden/>
    <w:rsid w:val="003A08D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62"/>
    <w:semiHidden/>
    <w:rsid w:val="003A08D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62"/>
    <w:semiHidden/>
    <w:rsid w:val="003A08D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62"/>
    <w:semiHidden/>
    <w:rsid w:val="003A08D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rsid w:val="003A08D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61"/>
    <w:semiHidden/>
    <w:rsid w:val="003A08D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rsid w:val="003A08D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61"/>
    <w:semiHidden/>
    <w:rsid w:val="003A08D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61"/>
    <w:semiHidden/>
    <w:rsid w:val="003A08D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61"/>
    <w:semiHidden/>
    <w:rsid w:val="003A08D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61"/>
    <w:semiHidden/>
    <w:rsid w:val="003A08D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rsid w:val="003A08D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60"/>
    <w:semiHidden/>
    <w:rsid w:val="003A08D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rsid w:val="003A08D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60"/>
    <w:semiHidden/>
    <w:rsid w:val="003A08D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60"/>
    <w:semiHidden/>
    <w:rsid w:val="003A08D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60"/>
    <w:semiHidden/>
    <w:rsid w:val="003A08D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60"/>
    <w:semiHidden/>
    <w:rsid w:val="003A08D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rsid w:val="003A08D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3A08D9"/>
  </w:style>
  <w:style w:type="paragraph" w:styleId="affff8">
    <w:name w:val="List"/>
    <w:basedOn w:val="a2"/>
    <w:uiPriority w:val="99"/>
    <w:semiHidden/>
    <w:rsid w:val="003A08D9"/>
    <w:pPr>
      <w:ind w:left="283" w:hanging="283"/>
      <w:contextualSpacing/>
    </w:pPr>
  </w:style>
  <w:style w:type="paragraph" w:styleId="2e">
    <w:name w:val="List 2"/>
    <w:basedOn w:val="a2"/>
    <w:uiPriority w:val="99"/>
    <w:semiHidden/>
    <w:rsid w:val="003A08D9"/>
    <w:pPr>
      <w:ind w:left="566" w:hanging="283"/>
      <w:contextualSpacing/>
    </w:pPr>
  </w:style>
  <w:style w:type="paragraph" w:styleId="39">
    <w:name w:val="List 3"/>
    <w:basedOn w:val="a2"/>
    <w:uiPriority w:val="99"/>
    <w:semiHidden/>
    <w:rsid w:val="003A08D9"/>
    <w:pPr>
      <w:ind w:left="849" w:hanging="283"/>
      <w:contextualSpacing/>
    </w:pPr>
  </w:style>
  <w:style w:type="paragraph" w:styleId="45">
    <w:name w:val="List 4"/>
    <w:basedOn w:val="a2"/>
    <w:uiPriority w:val="99"/>
    <w:semiHidden/>
    <w:rsid w:val="003A08D9"/>
    <w:pPr>
      <w:ind w:left="1132" w:hanging="283"/>
      <w:contextualSpacing/>
    </w:pPr>
  </w:style>
  <w:style w:type="paragraph" w:styleId="55">
    <w:name w:val="List 5"/>
    <w:basedOn w:val="a2"/>
    <w:uiPriority w:val="99"/>
    <w:semiHidden/>
    <w:rsid w:val="003A08D9"/>
    <w:pPr>
      <w:ind w:left="1415" w:hanging="283"/>
      <w:contextualSpacing/>
    </w:pPr>
  </w:style>
  <w:style w:type="paragraph" w:styleId="20">
    <w:name w:val="List Bullet 2"/>
    <w:basedOn w:val="a2"/>
    <w:uiPriority w:val="99"/>
    <w:semiHidden/>
    <w:rsid w:val="003A08D9"/>
    <w:pPr>
      <w:numPr>
        <w:numId w:val="35"/>
      </w:numPr>
      <w:contextualSpacing/>
    </w:pPr>
  </w:style>
  <w:style w:type="paragraph" w:styleId="30">
    <w:name w:val="List Bullet 3"/>
    <w:basedOn w:val="a2"/>
    <w:uiPriority w:val="99"/>
    <w:semiHidden/>
    <w:rsid w:val="003A08D9"/>
    <w:pPr>
      <w:numPr>
        <w:numId w:val="36"/>
      </w:numPr>
      <w:contextualSpacing/>
    </w:pPr>
  </w:style>
  <w:style w:type="paragraph" w:styleId="40">
    <w:name w:val="List Bullet 4"/>
    <w:basedOn w:val="a2"/>
    <w:uiPriority w:val="99"/>
    <w:semiHidden/>
    <w:rsid w:val="003A08D9"/>
    <w:pPr>
      <w:numPr>
        <w:numId w:val="37"/>
      </w:numPr>
      <w:contextualSpacing/>
    </w:pPr>
  </w:style>
  <w:style w:type="paragraph" w:styleId="50">
    <w:name w:val="List Bullet 5"/>
    <w:basedOn w:val="a2"/>
    <w:uiPriority w:val="99"/>
    <w:semiHidden/>
    <w:rsid w:val="003A08D9"/>
    <w:pPr>
      <w:numPr>
        <w:numId w:val="38"/>
      </w:numPr>
      <w:contextualSpacing/>
    </w:pPr>
  </w:style>
  <w:style w:type="paragraph" w:styleId="affff9">
    <w:name w:val="List Continue"/>
    <w:basedOn w:val="a2"/>
    <w:uiPriority w:val="99"/>
    <w:semiHidden/>
    <w:rsid w:val="003A08D9"/>
    <w:pPr>
      <w:spacing w:after="120"/>
      <w:ind w:left="283"/>
      <w:contextualSpacing/>
    </w:pPr>
  </w:style>
  <w:style w:type="paragraph" w:styleId="2f">
    <w:name w:val="List Continue 2"/>
    <w:basedOn w:val="a2"/>
    <w:uiPriority w:val="99"/>
    <w:semiHidden/>
    <w:rsid w:val="003A08D9"/>
    <w:pPr>
      <w:spacing w:after="120"/>
      <w:ind w:left="566"/>
      <w:contextualSpacing/>
    </w:pPr>
  </w:style>
  <w:style w:type="paragraph" w:styleId="3a">
    <w:name w:val="List Continue 3"/>
    <w:basedOn w:val="a2"/>
    <w:uiPriority w:val="99"/>
    <w:semiHidden/>
    <w:rsid w:val="003A08D9"/>
    <w:pPr>
      <w:spacing w:after="120"/>
      <w:ind w:left="849"/>
      <w:contextualSpacing/>
    </w:pPr>
  </w:style>
  <w:style w:type="paragraph" w:styleId="46">
    <w:name w:val="List Continue 4"/>
    <w:basedOn w:val="a2"/>
    <w:uiPriority w:val="99"/>
    <w:semiHidden/>
    <w:rsid w:val="003A08D9"/>
    <w:pPr>
      <w:spacing w:after="120"/>
      <w:ind w:left="1132"/>
      <w:contextualSpacing/>
    </w:pPr>
  </w:style>
  <w:style w:type="paragraph" w:styleId="56">
    <w:name w:val="List Continue 5"/>
    <w:basedOn w:val="a2"/>
    <w:uiPriority w:val="99"/>
    <w:semiHidden/>
    <w:rsid w:val="003A08D9"/>
    <w:pPr>
      <w:spacing w:after="120"/>
      <w:ind w:left="1415"/>
      <w:contextualSpacing/>
    </w:pPr>
  </w:style>
  <w:style w:type="paragraph" w:styleId="a">
    <w:name w:val="List Number"/>
    <w:basedOn w:val="a2"/>
    <w:uiPriority w:val="99"/>
    <w:semiHidden/>
    <w:rsid w:val="003A08D9"/>
    <w:pPr>
      <w:numPr>
        <w:numId w:val="39"/>
      </w:numPr>
      <w:contextualSpacing/>
    </w:pPr>
  </w:style>
  <w:style w:type="paragraph" w:styleId="2">
    <w:name w:val="List Number 2"/>
    <w:basedOn w:val="a2"/>
    <w:uiPriority w:val="99"/>
    <w:semiHidden/>
    <w:rsid w:val="003A08D9"/>
    <w:pPr>
      <w:numPr>
        <w:numId w:val="40"/>
      </w:numPr>
      <w:contextualSpacing/>
    </w:pPr>
  </w:style>
  <w:style w:type="paragraph" w:styleId="3">
    <w:name w:val="List Number 3"/>
    <w:basedOn w:val="a2"/>
    <w:uiPriority w:val="99"/>
    <w:semiHidden/>
    <w:rsid w:val="003A08D9"/>
    <w:pPr>
      <w:numPr>
        <w:numId w:val="41"/>
      </w:numPr>
      <w:contextualSpacing/>
    </w:pPr>
  </w:style>
  <w:style w:type="paragraph" w:styleId="4">
    <w:name w:val="List Number 4"/>
    <w:basedOn w:val="a2"/>
    <w:uiPriority w:val="99"/>
    <w:semiHidden/>
    <w:rsid w:val="003A08D9"/>
    <w:pPr>
      <w:numPr>
        <w:numId w:val="42"/>
      </w:numPr>
      <w:contextualSpacing/>
    </w:pPr>
  </w:style>
  <w:style w:type="paragraph" w:styleId="5">
    <w:name w:val="List Number 5"/>
    <w:basedOn w:val="a2"/>
    <w:uiPriority w:val="99"/>
    <w:semiHidden/>
    <w:rsid w:val="003A08D9"/>
    <w:pPr>
      <w:numPr>
        <w:numId w:val="43"/>
      </w:numPr>
      <w:contextualSpacing/>
    </w:pPr>
  </w:style>
  <w:style w:type="paragraph" w:styleId="affffa">
    <w:name w:val="macro"/>
    <w:link w:val="affffb"/>
    <w:uiPriority w:val="99"/>
    <w:semiHidden/>
    <w:rsid w:val="003A08D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9"/>
    <w:semiHidden/>
    <w:rsid w:val="003A08D9"/>
    <w:rPr>
      <w:rFonts w:ascii="Consolas" w:eastAsiaTheme="minorEastAsia" w:hAnsi="Consolas" w:cs="Consolas"/>
      <w:sz w:val="20"/>
      <w:szCs w:val="20"/>
    </w:rPr>
  </w:style>
  <w:style w:type="table" w:styleId="13">
    <w:name w:val="Medium Grid 1"/>
    <w:basedOn w:val="a4"/>
    <w:uiPriority w:val="67"/>
    <w:semiHidden/>
    <w:rsid w:val="003A08D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rsid w:val="003A08D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67"/>
    <w:semiHidden/>
    <w:rsid w:val="003A08D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67"/>
    <w:semiHidden/>
    <w:rsid w:val="003A08D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67"/>
    <w:semiHidden/>
    <w:rsid w:val="003A08D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67"/>
    <w:semiHidden/>
    <w:rsid w:val="003A08D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67"/>
    <w:semiHidden/>
    <w:rsid w:val="003A08D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68"/>
    <w:semiHidden/>
    <w:rsid w:val="003A08D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68"/>
    <w:semiHidden/>
    <w:rsid w:val="003A08D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68"/>
    <w:semiHidden/>
    <w:rsid w:val="003A08D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68"/>
    <w:semiHidden/>
    <w:rsid w:val="003A08D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68"/>
    <w:semiHidden/>
    <w:rsid w:val="003A08D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68"/>
    <w:semiHidden/>
    <w:rsid w:val="003A08D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68"/>
    <w:semiHidden/>
    <w:rsid w:val="003A08D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69"/>
    <w:semiHidden/>
    <w:rsid w:val="003A08D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69"/>
    <w:semiHidden/>
    <w:rsid w:val="003A08D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69"/>
    <w:semiHidden/>
    <w:rsid w:val="003A08D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69"/>
    <w:semiHidden/>
    <w:rsid w:val="003A08D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69"/>
    <w:semiHidden/>
    <w:rsid w:val="003A08D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69"/>
    <w:semiHidden/>
    <w:rsid w:val="003A08D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69"/>
    <w:semiHidden/>
    <w:rsid w:val="003A08D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65"/>
    <w:semiHidden/>
    <w:rsid w:val="003A08D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rsid w:val="003A08D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65"/>
    <w:semiHidden/>
    <w:rsid w:val="003A08D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65"/>
    <w:semiHidden/>
    <w:rsid w:val="003A08D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65"/>
    <w:semiHidden/>
    <w:rsid w:val="003A08D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65"/>
    <w:semiHidden/>
    <w:rsid w:val="003A08D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65"/>
    <w:semiHidden/>
    <w:rsid w:val="003A08D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66"/>
    <w:semiHidden/>
    <w:rsid w:val="003A08D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66"/>
    <w:semiHidden/>
    <w:rsid w:val="003A08D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66"/>
    <w:semiHidden/>
    <w:rsid w:val="003A08D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66"/>
    <w:semiHidden/>
    <w:rsid w:val="003A08D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66"/>
    <w:semiHidden/>
    <w:rsid w:val="003A08D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66"/>
    <w:semiHidden/>
    <w:rsid w:val="003A08D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66"/>
    <w:semiHidden/>
    <w:rsid w:val="003A08D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63"/>
    <w:semiHidden/>
    <w:rsid w:val="003A08D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rsid w:val="003A08D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rsid w:val="003A08D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rsid w:val="003A08D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rsid w:val="003A08D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rsid w:val="003A08D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rsid w:val="003A08D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64"/>
    <w:semiHidden/>
    <w:rsid w:val="003A08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rsid w:val="003A08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3A08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rsid w:val="003A08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rsid w:val="003A08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rsid w:val="003A08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3A08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3A08D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3A08D9"/>
    <w:rPr>
      <w:rFonts w:asciiTheme="majorHAnsi" w:eastAsiaTheme="majorEastAsia" w:hAnsiTheme="majorHAnsi" w:cstheme="majorBidi"/>
      <w:sz w:val="24"/>
      <w:szCs w:val="24"/>
      <w:shd w:val="pct20" w:color="auto" w:fill="auto"/>
      <w:lang w:val="en-GB"/>
    </w:rPr>
  </w:style>
  <w:style w:type="paragraph" w:styleId="affffe">
    <w:name w:val="Normal (Web)"/>
    <w:basedOn w:val="a2"/>
    <w:uiPriority w:val="99"/>
    <w:semiHidden/>
    <w:rsid w:val="003A08D9"/>
    <w:rPr>
      <w:rFonts w:ascii="Times New Roman" w:hAnsi="Times New Roman" w:cs="Times New Roman"/>
      <w:szCs w:val="24"/>
    </w:rPr>
  </w:style>
  <w:style w:type="paragraph" w:styleId="afffff">
    <w:name w:val="Normal Indent"/>
    <w:basedOn w:val="a2"/>
    <w:uiPriority w:val="99"/>
    <w:semiHidden/>
    <w:rsid w:val="003A08D9"/>
    <w:pPr>
      <w:ind w:left="720"/>
    </w:pPr>
  </w:style>
  <w:style w:type="paragraph" w:styleId="afffff0">
    <w:name w:val="Note Heading"/>
    <w:basedOn w:val="a2"/>
    <w:next w:val="a2"/>
    <w:link w:val="afffff1"/>
    <w:uiPriority w:val="99"/>
    <w:semiHidden/>
    <w:rsid w:val="003A08D9"/>
  </w:style>
  <w:style w:type="character" w:customStyle="1" w:styleId="afffff1">
    <w:name w:val="Заголовок записки Знак"/>
    <w:basedOn w:val="a3"/>
    <w:link w:val="afffff0"/>
    <w:uiPriority w:val="99"/>
    <w:semiHidden/>
    <w:rsid w:val="003A08D9"/>
    <w:rPr>
      <w:rFonts w:eastAsiaTheme="minorEastAsia"/>
      <w:sz w:val="24"/>
      <w:lang w:val="en-GB"/>
    </w:rPr>
  </w:style>
  <w:style w:type="character" w:styleId="afffff2">
    <w:name w:val="Placeholder Text"/>
    <w:basedOn w:val="a3"/>
    <w:uiPriority w:val="99"/>
    <w:semiHidden/>
    <w:rsid w:val="003A08D9"/>
    <w:rPr>
      <w:color w:val="auto"/>
      <w:bdr w:val="none" w:sz="0" w:space="0" w:color="auto"/>
      <w:shd w:val="clear" w:color="auto" w:fill="DFDFDF" w:themeFill="background2" w:themeFillShade="E6"/>
    </w:rPr>
  </w:style>
  <w:style w:type="paragraph" w:styleId="afffff3">
    <w:name w:val="Plain Text"/>
    <w:basedOn w:val="a2"/>
    <w:link w:val="afffff4"/>
    <w:uiPriority w:val="99"/>
    <w:semiHidden/>
    <w:rsid w:val="003A08D9"/>
    <w:rPr>
      <w:rFonts w:ascii="Consolas" w:hAnsi="Consolas" w:cs="Consolas"/>
      <w:sz w:val="21"/>
      <w:szCs w:val="21"/>
    </w:rPr>
  </w:style>
  <w:style w:type="character" w:customStyle="1" w:styleId="afffff4">
    <w:name w:val="Текст Знак"/>
    <w:basedOn w:val="a3"/>
    <w:link w:val="afffff3"/>
    <w:uiPriority w:val="99"/>
    <w:semiHidden/>
    <w:rsid w:val="003A08D9"/>
    <w:rPr>
      <w:rFonts w:ascii="Consolas" w:eastAsiaTheme="minorEastAsia" w:hAnsi="Consolas" w:cs="Consolas"/>
      <w:sz w:val="21"/>
      <w:szCs w:val="21"/>
      <w:lang w:val="en-GB"/>
    </w:rPr>
  </w:style>
  <w:style w:type="paragraph" w:styleId="afffff5">
    <w:name w:val="Salutation"/>
    <w:basedOn w:val="a2"/>
    <w:next w:val="a2"/>
    <w:link w:val="afffff6"/>
    <w:uiPriority w:val="99"/>
    <w:semiHidden/>
    <w:rsid w:val="003A08D9"/>
  </w:style>
  <w:style w:type="character" w:customStyle="1" w:styleId="afffff6">
    <w:name w:val="Приветствие Знак"/>
    <w:basedOn w:val="a3"/>
    <w:link w:val="afffff5"/>
    <w:uiPriority w:val="99"/>
    <w:semiHidden/>
    <w:rsid w:val="003A08D9"/>
    <w:rPr>
      <w:rFonts w:eastAsiaTheme="minorEastAsia"/>
      <w:sz w:val="24"/>
      <w:lang w:val="en-GB"/>
    </w:rPr>
  </w:style>
  <w:style w:type="paragraph" w:styleId="afffff7">
    <w:name w:val="Signature"/>
    <w:basedOn w:val="a2"/>
    <w:link w:val="afffff8"/>
    <w:uiPriority w:val="99"/>
    <w:semiHidden/>
    <w:rsid w:val="003A08D9"/>
    <w:pPr>
      <w:ind w:left="4252"/>
    </w:pPr>
  </w:style>
  <w:style w:type="character" w:customStyle="1" w:styleId="afffff8">
    <w:name w:val="Подпись Знак"/>
    <w:basedOn w:val="a3"/>
    <w:link w:val="afffff7"/>
    <w:uiPriority w:val="99"/>
    <w:semiHidden/>
    <w:rsid w:val="003A08D9"/>
    <w:rPr>
      <w:rFonts w:eastAsiaTheme="minorEastAsia"/>
      <w:sz w:val="24"/>
      <w:lang w:val="en-GB"/>
    </w:rPr>
  </w:style>
  <w:style w:type="table" w:styleId="16">
    <w:name w:val="Table 3D effects 1"/>
    <w:basedOn w:val="a4"/>
    <w:uiPriority w:val="99"/>
    <w:semiHidden/>
    <w:unhideWhenUsed/>
    <w:rsid w:val="003A08D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3A08D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3A08D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3A08D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3A08D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3A08D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3A08D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3A08D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3A08D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3A08D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3A08D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3A08D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A08D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A08D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A08D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3A08D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3A08D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3A08D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3A08D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3A08D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3A08D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3A08D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A08D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A08D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A08D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3A08D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3A08D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3A08D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3A08D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3A08D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3A08D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A08D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A08D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3A08D9"/>
    <w:pPr>
      <w:ind w:left="240" w:hanging="240"/>
    </w:pPr>
  </w:style>
  <w:style w:type="paragraph" w:styleId="afffffc">
    <w:name w:val="table of figures"/>
    <w:basedOn w:val="a2"/>
    <w:next w:val="a2"/>
    <w:uiPriority w:val="99"/>
    <w:semiHidden/>
    <w:rsid w:val="003A08D9"/>
  </w:style>
  <w:style w:type="table" w:styleId="afffffd">
    <w:name w:val="Table Professional"/>
    <w:basedOn w:val="a4"/>
    <w:uiPriority w:val="99"/>
    <w:semiHidden/>
    <w:unhideWhenUsed/>
    <w:rsid w:val="003A08D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3A08D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3A08D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3A08D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3A08D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3A08D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3A08D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unhideWhenUsed/>
    <w:rsid w:val="003A08D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3A08D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3A08D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3A08D9"/>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3A08D9"/>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3A08D9"/>
    <w:pPr>
      <w:spacing w:after="100"/>
      <w:ind w:left="1680"/>
    </w:pPr>
  </w:style>
  <w:style w:type="paragraph" w:styleId="92">
    <w:name w:val="toc 9"/>
    <w:basedOn w:val="a2"/>
    <w:next w:val="a2"/>
    <w:autoRedefine/>
    <w:uiPriority w:val="99"/>
    <w:semiHidden/>
    <w:rsid w:val="003A08D9"/>
    <w:pPr>
      <w:spacing w:after="100"/>
      <w:ind w:left="1920"/>
    </w:pPr>
  </w:style>
  <w:style w:type="paragraph" w:customStyle="1" w:styleId="JuCourt">
    <w:name w:val="Ju_Court"/>
    <w:basedOn w:val="a2"/>
    <w:next w:val="a2"/>
    <w:uiPriority w:val="31"/>
    <w:qFormat/>
    <w:rsid w:val="003A08D9"/>
    <w:pPr>
      <w:tabs>
        <w:tab w:val="left" w:pos="907"/>
        <w:tab w:val="left" w:pos="1701"/>
        <w:tab w:val="right" w:pos="7371"/>
      </w:tabs>
      <w:spacing w:before="240"/>
      <w:ind w:left="397" w:hanging="397"/>
    </w:pPr>
    <w:rPr>
      <w:lang w:bidi="en-US"/>
    </w:rPr>
  </w:style>
  <w:style w:type="character" w:customStyle="1" w:styleId="ECHRParaChar">
    <w:name w:val="ECHR_Para Char"/>
    <w:aliases w:val="Ju_Para Char"/>
    <w:link w:val="JuPara"/>
    <w:uiPriority w:val="8"/>
    <w:rsid w:val="00014126"/>
    <w:rPr>
      <w:rFonts w:eastAsiaTheme="minorEastAsia"/>
      <w:sz w:val="24"/>
      <w:lang w:val="en-GB"/>
    </w:rPr>
  </w:style>
  <w:style w:type="character" w:customStyle="1" w:styleId="JuQuotChar">
    <w:name w:val="Ju_Quot Char"/>
    <w:basedOn w:val="a3"/>
    <w:link w:val="JuQuot"/>
    <w:uiPriority w:val="21"/>
    <w:rsid w:val="009611AE"/>
    <w:rPr>
      <w:rFonts w:eastAsiaTheme="minorEastAsia"/>
      <w:sz w:val="20"/>
      <w:lang w:val="en-GB"/>
    </w:rPr>
  </w:style>
  <w:style w:type="paragraph" w:styleId="affffff">
    <w:name w:val="Revision"/>
    <w:hidden/>
    <w:uiPriority w:val="99"/>
    <w:semiHidden/>
    <w:rsid w:val="00DB057B"/>
    <w:rPr>
      <w:rFonts w:eastAsiaTheme="minorEastAsia"/>
      <w:sz w:val="24"/>
      <w:lang w:val="en-GB"/>
    </w:rPr>
  </w:style>
  <w:style w:type="paragraph" w:customStyle="1" w:styleId="Title4">
    <w:name w:val="_Title_4"/>
    <w:basedOn w:val="JuPara"/>
    <w:next w:val="JuPara"/>
    <w:uiPriority w:val="35"/>
    <w:qFormat/>
    <w:rsid w:val="003A08D9"/>
    <w:pPr>
      <w:keepNext/>
      <w:keepLines/>
      <w:tabs>
        <w:tab w:val="right" w:pos="7938"/>
      </w:tabs>
      <w:ind w:firstLine="0"/>
      <w:jc w:val="center"/>
    </w:pPr>
    <w:rPr>
      <w:rFonts w:eastAsiaTheme="minorHAns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14889">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7DC76-27C3-4CC7-A79E-6296BB20E57F}">
  <ds:schemaRefs>
    <ds:schemaRef ds:uri="http://schemas.microsoft.com/sharepoint/v3/contenttype/forms"/>
  </ds:schemaRefs>
</ds:datastoreItem>
</file>

<file path=customXml/itemProps2.xml><?xml version="1.0" encoding="utf-8"?>
<ds:datastoreItem xmlns:ds="http://schemas.openxmlformats.org/officeDocument/2006/customXml" ds:itemID="{0787FE16-B244-4A41-A622-4E0229F891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52FE33-5D38-414F-ADD1-5292DDFD2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344A897-E728-4B14-980B-E1FCDF5C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7446</Words>
  <Characters>42445</Characters>
  <Application>Microsoft Office Word</Application>
  <DocSecurity>0</DocSecurity>
  <Lines>353</Lines>
  <Paragraphs>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2019-08-19T12:04:00Z</dcterms:created>
  <dcterms:modified xsi:type="dcterms:W3CDTF">2019-08-19T12:04:00Z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74845/12</vt:lpwstr>
  </property>
  <property fmtid="{D5CDD505-2E9C-101B-9397-08002B2CF9AE}" pid="4" name="CASEID">
    <vt:lpwstr>843478</vt:lpwstr>
  </property>
  <property fmtid="{D5CDD505-2E9C-101B-9397-08002B2CF9AE}" pid="5" name="ContentTypeId">
    <vt:lpwstr>0x010100558EB02BDB9E204AB350EDD385B68E10</vt:lpwstr>
  </property>
</Properties>
</file>