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C4" w:rsidRPr="00E306F7" w:rsidRDefault="00810946" w:rsidP="00E306F7">
      <w:pPr>
        <w:jc w:val="center"/>
        <w:rPr>
          <w:lang w:val="fr-FR"/>
        </w:rPr>
      </w:pPr>
    </w:p>
    <w:p w:rsidR="0094178F" w:rsidRPr="00E306F7" w:rsidRDefault="00810946" w:rsidP="00E306F7">
      <w:pPr>
        <w:jc w:val="center"/>
        <w:rPr>
          <w:sz w:val="4"/>
          <w:szCs w:val="4"/>
          <w:lang w:val="fr-FR"/>
        </w:rPr>
      </w:pPr>
    </w:p>
    <w:p w:rsidR="006544C4" w:rsidRPr="00E306F7" w:rsidRDefault="00E07F40" w:rsidP="00E306F7">
      <w:pPr>
        <w:pStyle w:val="DecHTitle"/>
        <w:rPr>
          <w:lang w:val="fr-FR"/>
        </w:rPr>
      </w:pPr>
      <w:r w:rsidRPr="00E306F7">
        <w:rPr>
          <w:szCs w:val="24"/>
          <w:lang w:val="fr-FR"/>
        </w:rPr>
        <w:t>TROISIÈME SECTION</w:t>
      </w:r>
    </w:p>
    <w:p w:rsidR="006544C4" w:rsidRPr="00E306F7" w:rsidRDefault="00844C25" w:rsidP="00E306F7">
      <w:pPr>
        <w:pStyle w:val="DecHTitle"/>
        <w:rPr>
          <w:caps/>
          <w:sz w:val="32"/>
          <w:lang w:val="fr-FR"/>
        </w:rPr>
      </w:pPr>
      <w:r w:rsidRPr="00E306F7">
        <w:rPr>
          <w:lang w:val="fr-FR"/>
        </w:rPr>
        <w:t>DÉCISION</w:t>
      </w:r>
    </w:p>
    <w:p w:rsidR="006544C4" w:rsidRPr="00E306F7" w:rsidRDefault="00E07F40" w:rsidP="00E306F7">
      <w:pPr>
        <w:pStyle w:val="ECHRTitleCentre2"/>
        <w:rPr>
          <w:lang w:val="fr-FR"/>
        </w:rPr>
      </w:pPr>
      <w:r w:rsidRPr="00E306F7">
        <w:rPr>
          <w:lang w:val="fr-FR"/>
        </w:rPr>
        <w:t>Requête n</w:t>
      </w:r>
      <w:r w:rsidRPr="00E306F7">
        <w:rPr>
          <w:vertAlign w:val="superscript"/>
          <w:lang w:val="fr-FR"/>
        </w:rPr>
        <w:t>o</w:t>
      </w:r>
      <w:r w:rsidR="00844C25" w:rsidRPr="00E306F7">
        <w:rPr>
          <w:lang w:val="fr-FR"/>
        </w:rPr>
        <w:t xml:space="preserve"> </w:t>
      </w:r>
      <w:r w:rsidRPr="00E306F7">
        <w:rPr>
          <w:lang w:val="fr-FR"/>
        </w:rPr>
        <w:t>63896/12</w:t>
      </w:r>
      <w:r w:rsidR="00844C25" w:rsidRPr="00E306F7">
        <w:rPr>
          <w:lang w:val="fr-FR"/>
        </w:rPr>
        <w:br/>
      </w:r>
      <w:r w:rsidRPr="00E306F7">
        <w:rPr>
          <w:lang w:val="fr-FR"/>
        </w:rPr>
        <w:t>Shpend SHALA</w:t>
      </w:r>
      <w:r w:rsidR="00FF0B86" w:rsidRPr="00FF0B86">
        <w:t xml:space="preserve"> </w:t>
      </w:r>
      <w:r w:rsidR="00844C25" w:rsidRPr="00E306F7">
        <w:rPr>
          <w:lang w:val="fr-FR"/>
        </w:rPr>
        <w:t xml:space="preserve">contre </w:t>
      </w:r>
      <w:r w:rsidRPr="00E306F7">
        <w:rPr>
          <w:lang w:val="fr-FR"/>
        </w:rPr>
        <w:t>la Suisse</w:t>
      </w:r>
    </w:p>
    <w:p w:rsidR="006544C4" w:rsidRPr="00E306F7" w:rsidRDefault="00810946" w:rsidP="00E306F7">
      <w:pPr>
        <w:pStyle w:val="ECHRPara"/>
        <w:rPr>
          <w:sz w:val="2"/>
          <w:szCs w:val="2"/>
          <w:lang w:val="fr-FR" w:eastAsia="en-GB"/>
        </w:rPr>
      </w:pPr>
    </w:p>
    <w:p w:rsidR="00E07F40" w:rsidRPr="00E306F7" w:rsidRDefault="00E07F40" w:rsidP="00E306F7">
      <w:pPr>
        <w:pStyle w:val="ECHRPara"/>
        <w:rPr>
          <w:lang w:val="fr-FR"/>
        </w:rPr>
      </w:pPr>
      <w:r w:rsidRPr="00E306F7">
        <w:rPr>
          <w:lang w:val="fr-FR"/>
        </w:rPr>
        <w:t>La Cour européenne des droits de l</w:t>
      </w:r>
      <w:r w:rsidR="00E306F7" w:rsidRPr="00E306F7">
        <w:rPr>
          <w:lang w:val="fr-FR"/>
        </w:rPr>
        <w:t>’</w:t>
      </w:r>
      <w:r w:rsidRPr="00E306F7">
        <w:rPr>
          <w:lang w:val="fr-FR"/>
        </w:rPr>
        <w:t xml:space="preserve">homme (troisième section), siégeant le </w:t>
      </w:r>
      <w:r w:rsidR="00711292" w:rsidRPr="00E306F7">
        <w:rPr>
          <w:lang w:val="fr-FR"/>
        </w:rPr>
        <w:t>2 juillet 2019</w:t>
      </w:r>
      <w:r w:rsidR="003D7723">
        <w:rPr>
          <w:lang w:val="fr-FR"/>
        </w:rPr>
        <w:t xml:space="preserve"> en un comité composé de</w:t>
      </w:r>
      <w:r w:rsidRPr="00E306F7">
        <w:rPr>
          <w:lang w:val="fr-FR"/>
        </w:rPr>
        <w:t>:</w:t>
      </w:r>
    </w:p>
    <w:p w:rsidR="00E07F40" w:rsidRPr="00E306F7" w:rsidRDefault="00711292" w:rsidP="00E306F7">
      <w:pPr>
        <w:pStyle w:val="ECHRDecisionBody"/>
        <w:rPr>
          <w:lang w:val="fr-FR"/>
        </w:rPr>
      </w:pPr>
      <w:r w:rsidRPr="00E306F7">
        <w:rPr>
          <w:lang w:val="fr-FR"/>
        </w:rPr>
        <w:tab/>
        <w:t>Paulo Pinto de Albuquerque,</w:t>
      </w:r>
      <w:r w:rsidRPr="00E306F7">
        <w:rPr>
          <w:i/>
          <w:lang w:val="fr-FR"/>
        </w:rPr>
        <w:t xml:space="preserve"> président,</w:t>
      </w:r>
      <w:r w:rsidRPr="00E306F7">
        <w:rPr>
          <w:i/>
          <w:lang w:val="fr-FR"/>
        </w:rPr>
        <w:br/>
      </w:r>
      <w:r w:rsidRPr="00E306F7">
        <w:rPr>
          <w:lang w:val="fr-FR"/>
        </w:rPr>
        <w:tab/>
        <w:t>Helen Keller,</w:t>
      </w:r>
      <w:r w:rsidRPr="00E306F7">
        <w:rPr>
          <w:i/>
          <w:lang w:val="fr-FR"/>
        </w:rPr>
        <w:br/>
      </w:r>
      <w:r w:rsidRPr="00E306F7">
        <w:rPr>
          <w:lang w:val="fr-FR"/>
        </w:rPr>
        <w:tab/>
        <w:t>María Elósegui,</w:t>
      </w:r>
      <w:r w:rsidRPr="00E306F7">
        <w:rPr>
          <w:i/>
          <w:lang w:val="fr-FR"/>
        </w:rPr>
        <w:t xml:space="preserve"> juges,</w:t>
      </w:r>
    </w:p>
    <w:p w:rsidR="00E07F40" w:rsidRPr="00E306F7" w:rsidRDefault="00E07F40" w:rsidP="00E306F7">
      <w:pPr>
        <w:pStyle w:val="ECHRPara"/>
        <w:ind w:firstLine="0"/>
        <w:rPr>
          <w:lang w:val="fr-FR"/>
        </w:rPr>
      </w:pPr>
      <w:r w:rsidRPr="00E306F7">
        <w:rPr>
          <w:lang w:val="fr-FR"/>
        </w:rPr>
        <w:t xml:space="preserve">et de Fatoş Aracı, </w:t>
      </w:r>
      <w:r w:rsidRPr="00E306F7">
        <w:rPr>
          <w:i/>
          <w:lang w:val="fr-FR"/>
        </w:rPr>
        <w:t>greffière adjointe</w:t>
      </w:r>
      <w:r w:rsidRPr="00E306F7">
        <w:rPr>
          <w:i/>
          <w:iCs/>
          <w:lang w:val="fr-FR"/>
        </w:rPr>
        <w:t xml:space="preserve"> d</w:t>
      </w:r>
      <w:r w:rsidRPr="00E306F7">
        <w:rPr>
          <w:i/>
          <w:lang w:val="fr-FR"/>
        </w:rPr>
        <w:t>e section,</w:t>
      </w:r>
    </w:p>
    <w:p w:rsidR="00E07F40" w:rsidRPr="00E306F7" w:rsidRDefault="00E07F40" w:rsidP="00E306F7">
      <w:pPr>
        <w:pStyle w:val="ECHRPara"/>
        <w:rPr>
          <w:lang w:val="fr-FR"/>
        </w:rPr>
      </w:pPr>
      <w:r w:rsidRPr="00E306F7">
        <w:rPr>
          <w:lang w:val="fr-FR"/>
        </w:rPr>
        <w:t>Vu la requête susmentionnée introduite le 28 septembre 2012,</w:t>
      </w:r>
    </w:p>
    <w:p w:rsidR="00E07F40" w:rsidRPr="00E306F7" w:rsidRDefault="00E07F40" w:rsidP="00E306F7">
      <w:pPr>
        <w:pStyle w:val="ECHRPara"/>
        <w:rPr>
          <w:color w:val="000000"/>
          <w:lang w:val="fr-FR"/>
        </w:rPr>
      </w:pPr>
      <w:r w:rsidRPr="00E306F7">
        <w:rPr>
          <w:lang w:val="fr-FR"/>
        </w:rPr>
        <w:t>Après en avoir déli</w:t>
      </w:r>
      <w:r w:rsidR="003D7723">
        <w:rPr>
          <w:lang w:val="fr-FR"/>
        </w:rPr>
        <w:t>béré, rend la décision suivante</w:t>
      </w:r>
      <w:r w:rsidRPr="00E306F7">
        <w:rPr>
          <w:lang w:val="fr-FR"/>
        </w:rPr>
        <w:t>:</w:t>
      </w:r>
    </w:p>
    <w:p w:rsidR="00E07F40" w:rsidRPr="00E306F7" w:rsidRDefault="00E07F40" w:rsidP="00E306F7">
      <w:pPr>
        <w:pStyle w:val="ECHRTitle1"/>
        <w:rPr>
          <w:lang w:val="fr-FR"/>
        </w:rPr>
      </w:pPr>
      <w:r w:rsidRPr="00E306F7">
        <w:rPr>
          <w:lang w:val="fr-FR"/>
        </w:rPr>
        <w:t>EN FAIT</w:t>
      </w:r>
    </w:p>
    <w:p w:rsidR="00E07F40" w:rsidRPr="00E306F7" w:rsidRDefault="00E07F40" w:rsidP="00E306F7">
      <w:pPr>
        <w:pStyle w:val="ECHRPara"/>
        <w:rPr>
          <w:lang w:val="fr-FR"/>
        </w:rPr>
      </w:pPr>
      <w:r w:rsidRPr="00E306F7">
        <w:rPr>
          <w:lang w:val="fr-FR"/>
        </w:rPr>
        <w:t>1.  Le requérant, M. Shpend Shala, est un ressortissant du Kosovo</w:t>
      </w:r>
      <w:r w:rsidRPr="00E306F7">
        <w:rPr>
          <w:rStyle w:val="af4"/>
          <w:lang w:val="fr-FR"/>
        </w:rPr>
        <w:footnoteReference w:id="1"/>
      </w:r>
      <w:r w:rsidRPr="00E306F7">
        <w:rPr>
          <w:lang w:val="fr-FR"/>
        </w:rPr>
        <w:t xml:space="preserve"> né en 1978. Il a été représenté devant la Cour par M</w:t>
      </w:r>
      <w:r w:rsidRPr="00E306F7">
        <w:rPr>
          <w:vertAlign w:val="superscript"/>
          <w:lang w:val="fr-FR"/>
        </w:rPr>
        <w:t>e</w:t>
      </w:r>
      <w:r w:rsidRPr="00E306F7">
        <w:rPr>
          <w:lang w:val="fr-FR"/>
        </w:rPr>
        <w:t> U. Oswald, avocat exerçant à Bad Zurzach.</w:t>
      </w:r>
    </w:p>
    <w:p w:rsidR="00E07F40" w:rsidRPr="00E306F7" w:rsidRDefault="00E07F40" w:rsidP="00E306F7">
      <w:pPr>
        <w:pStyle w:val="ECHRPara"/>
        <w:rPr>
          <w:lang w:val="fr-FR"/>
        </w:rPr>
      </w:pPr>
      <w:r w:rsidRPr="00E306F7">
        <w:rPr>
          <w:lang w:val="fr-FR"/>
        </w:rPr>
        <w:t>2.  Le gouvernement suisse (« le Gouvernement ») a été représenté par son agent, M. A. Chablais, de l</w:t>
      </w:r>
      <w:r w:rsidR="00E306F7" w:rsidRPr="00E306F7">
        <w:rPr>
          <w:lang w:val="fr-FR"/>
        </w:rPr>
        <w:t>’</w:t>
      </w:r>
      <w:r w:rsidRPr="00E306F7">
        <w:rPr>
          <w:lang w:val="fr-FR"/>
        </w:rPr>
        <w:t>Office fédéral de justice.</w:t>
      </w:r>
    </w:p>
    <w:p w:rsidR="00E07F40" w:rsidRPr="00E306F7" w:rsidRDefault="00E07F40" w:rsidP="00E306F7">
      <w:pPr>
        <w:pStyle w:val="ECHRHeading2"/>
        <w:rPr>
          <w:lang w:val="fr-FR"/>
        </w:rPr>
      </w:pPr>
      <w:r w:rsidRPr="00E306F7">
        <w:rPr>
          <w:lang w:val="fr-FR"/>
        </w:rPr>
        <w:t>A.  Les circonstances de l</w:t>
      </w:r>
      <w:r w:rsidR="00E306F7" w:rsidRPr="00E306F7">
        <w:rPr>
          <w:lang w:val="fr-FR"/>
        </w:rPr>
        <w:t>’</w:t>
      </w:r>
      <w:r w:rsidRPr="00E306F7">
        <w:rPr>
          <w:lang w:val="fr-FR"/>
        </w:rPr>
        <w:t>espèce</w:t>
      </w:r>
    </w:p>
    <w:p w:rsidR="00E07F40" w:rsidRPr="00E306F7" w:rsidRDefault="00E07F40" w:rsidP="00E306F7">
      <w:pPr>
        <w:pStyle w:val="ECHRPara"/>
        <w:rPr>
          <w:lang w:val="fr-FR"/>
        </w:rPr>
      </w:pPr>
      <w:r w:rsidRPr="00E306F7">
        <w:rPr>
          <w:lang w:val="fr-FR"/>
        </w:rPr>
        <w:t>3.  Le 15 mai 1997, N., le chef de la famille Shala, fut exécuté au Kosovo dans le cadre d</w:t>
      </w:r>
      <w:r w:rsidR="00E306F7" w:rsidRPr="00E306F7">
        <w:rPr>
          <w:lang w:val="fr-FR"/>
        </w:rPr>
        <w:t>’</w:t>
      </w:r>
      <w:r w:rsidRPr="00E306F7">
        <w:rPr>
          <w:lang w:val="fr-FR"/>
        </w:rPr>
        <w:t>une « vengeance du sang ». La famille H. se désigna comme responsable de l</w:t>
      </w:r>
      <w:r w:rsidR="00E306F7" w:rsidRPr="00E306F7">
        <w:rPr>
          <w:lang w:val="fr-FR"/>
        </w:rPr>
        <w:t>’</w:t>
      </w:r>
      <w:r w:rsidRPr="00E306F7">
        <w:rPr>
          <w:lang w:val="fr-FR"/>
        </w:rPr>
        <w:t>homicide.</w:t>
      </w:r>
    </w:p>
    <w:p w:rsidR="00E07F40" w:rsidRPr="00E306F7" w:rsidRDefault="00E07F40" w:rsidP="00E306F7">
      <w:pPr>
        <w:pStyle w:val="ECHRPara"/>
        <w:rPr>
          <w:lang w:val="fr-FR"/>
        </w:rPr>
      </w:pPr>
      <w:r w:rsidRPr="00E306F7">
        <w:rPr>
          <w:lang w:val="fr-FR"/>
        </w:rPr>
        <w:t>4.  Le 17 juin 1997 vers 4 h 40 du matin, E.H., le frère de l</w:t>
      </w:r>
      <w:r w:rsidR="00E306F7" w:rsidRPr="00E306F7">
        <w:rPr>
          <w:lang w:val="fr-FR"/>
        </w:rPr>
        <w:t>’</w:t>
      </w:r>
      <w:r w:rsidRPr="00E306F7">
        <w:rPr>
          <w:lang w:val="fr-FR"/>
        </w:rPr>
        <w:t>auteur présumé de l</w:t>
      </w:r>
      <w:r w:rsidR="00E306F7" w:rsidRPr="00E306F7">
        <w:rPr>
          <w:lang w:val="fr-FR"/>
        </w:rPr>
        <w:t>’</w:t>
      </w:r>
      <w:r w:rsidRPr="00E306F7">
        <w:rPr>
          <w:lang w:val="fr-FR"/>
        </w:rPr>
        <w:t>homicide de N., fut tué à Gipf-Oberfrick, en Suisse.</w:t>
      </w:r>
    </w:p>
    <w:p w:rsidR="00E07F40" w:rsidRPr="00E306F7" w:rsidRDefault="00E07F40" w:rsidP="00E306F7">
      <w:pPr>
        <w:pStyle w:val="ECHRPara"/>
        <w:rPr>
          <w:lang w:val="fr-FR"/>
        </w:rPr>
      </w:pPr>
      <w:r w:rsidRPr="00E306F7">
        <w:rPr>
          <w:lang w:val="fr-FR"/>
        </w:rPr>
        <w:t xml:space="preserve">5.  Du 17 au 19 janvier 2001, un premier procès pénal eut lieu devant le tribunal de district de Laufenburg (« le tribunal de district »). Cette juridiction rendit des jugements contre A.S. (le père du requérant), I.K. (un parent par alliance du père du requérant), R.K. (le beau-fils de la sœur des </w:t>
      </w:r>
      <w:r w:rsidRPr="00E306F7">
        <w:rPr>
          <w:lang w:val="fr-FR"/>
        </w:rPr>
        <w:lastRenderedPageBreak/>
        <w:t>frères Shala), V.H. (un parent éloigné de la victime), Ma.S. (l</w:t>
      </w:r>
      <w:r w:rsidR="00E306F7" w:rsidRPr="00E306F7">
        <w:rPr>
          <w:lang w:val="fr-FR"/>
        </w:rPr>
        <w:t>’</w:t>
      </w:r>
      <w:r w:rsidRPr="00E306F7">
        <w:rPr>
          <w:lang w:val="fr-FR"/>
        </w:rPr>
        <w:t>oncle du requérant et père de B.S., ce dernier étant le cousin du requérant) et Mu.S. (le fils de Ma.S., cousin du requérant et frère de B.S.).</w:t>
      </w:r>
    </w:p>
    <w:p w:rsidR="00E07F40" w:rsidRPr="00E306F7" w:rsidRDefault="00E07F40" w:rsidP="00E306F7">
      <w:pPr>
        <w:pStyle w:val="ECHRPara"/>
        <w:rPr>
          <w:lang w:val="fr-FR"/>
        </w:rPr>
      </w:pPr>
      <w:r w:rsidRPr="00E306F7">
        <w:rPr>
          <w:lang w:val="fr-FR"/>
        </w:rPr>
        <w:t>6.  Dans le cadre de cette procédure, A.S., I.K., R.K., V.H., Ma.S. et Mu.S., ainsi que des riverains du lieu où l</w:t>
      </w:r>
      <w:r w:rsidR="00E306F7" w:rsidRPr="00E306F7">
        <w:rPr>
          <w:lang w:val="fr-FR"/>
        </w:rPr>
        <w:t>’</w:t>
      </w:r>
      <w:r w:rsidRPr="00E306F7">
        <w:rPr>
          <w:lang w:val="fr-FR"/>
        </w:rPr>
        <w:t>homicide avait été commis, des membres de la famille de la victime et d</w:t>
      </w:r>
      <w:r w:rsidR="00E306F7" w:rsidRPr="00E306F7">
        <w:rPr>
          <w:lang w:val="fr-FR"/>
        </w:rPr>
        <w:t>’</w:t>
      </w:r>
      <w:r w:rsidRPr="00E306F7">
        <w:rPr>
          <w:lang w:val="fr-FR"/>
        </w:rPr>
        <w:t>autres personnes susceptibles de faire des déclarations utiles furent entendus.</w:t>
      </w:r>
    </w:p>
    <w:p w:rsidR="00E07F40" w:rsidRPr="00E306F7" w:rsidRDefault="00E07F40" w:rsidP="00E306F7">
      <w:pPr>
        <w:pStyle w:val="ECHRPara"/>
        <w:rPr>
          <w:lang w:val="fr-FR"/>
        </w:rPr>
      </w:pPr>
      <w:r w:rsidRPr="00E306F7">
        <w:rPr>
          <w:lang w:val="fr-FR"/>
        </w:rPr>
        <w:t>7.  A.S. et I.K., d</w:t>
      </w:r>
      <w:r w:rsidR="00E306F7" w:rsidRPr="00E306F7">
        <w:rPr>
          <w:lang w:val="fr-FR"/>
        </w:rPr>
        <w:t>’</w:t>
      </w:r>
      <w:r w:rsidRPr="00E306F7">
        <w:rPr>
          <w:lang w:val="fr-FR"/>
        </w:rPr>
        <w:t>une part, et V.H., d</w:t>
      </w:r>
      <w:r w:rsidR="00E306F7" w:rsidRPr="00E306F7">
        <w:rPr>
          <w:lang w:val="fr-FR"/>
        </w:rPr>
        <w:t>’</w:t>
      </w:r>
      <w:r w:rsidRPr="00E306F7">
        <w:rPr>
          <w:lang w:val="fr-FR"/>
        </w:rPr>
        <w:t>autre part, formèrent respectivement devant le Tribunal fédéral et devant le tribunal supérieur du canton d</w:t>
      </w:r>
      <w:r w:rsidR="00E306F7" w:rsidRPr="00E306F7">
        <w:rPr>
          <w:lang w:val="fr-FR"/>
        </w:rPr>
        <w:t>’</w:t>
      </w:r>
      <w:r w:rsidRPr="00E306F7">
        <w:rPr>
          <w:lang w:val="fr-FR"/>
        </w:rPr>
        <w:t>Argovie (« le tribunal supérieur ») des recours contre les jugements du tribunal de district les concernant, qui furent tous rejetés. R.K., Ma.S. et Mu.S. n</w:t>
      </w:r>
      <w:r w:rsidR="00E306F7" w:rsidRPr="00E306F7">
        <w:rPr>
          <w:lang w:val="fr-FR"/>
        </w:rPr>
        <w:t>’</w:t>
      </w:r>
      <w:r w:rsidRPr="00E306F7">
        <w:rPr>
          <w:lang w:val="fr-FR"/>
        </w:rPr>
        <w:t>exercèrent aucun recours contre le jugement prononcé contre eux par le tribunal de district.</w:t>
      </w:r>
    </w:p>
    <w:p w:rsidR="00E07F40" w:rsidRPr="00E306F7" w:rsidRDefault="00E07F40" w:rsidP="00E306F7">
      <w:pPr>
        <w:pStyle w:val="ECHRPara"/>
        <w:rPr>
          <w:lang w:val="fr-FR"/>
        </w:rPr>
      </w:pPr>
      <w:r w:rsidRPr="00E306F7">
        <w:rPr>
          <w:lang w:val="fr-FR"/>
        </w:rPr>
        <w:t>8.  Après son extradition d</w:t>
      </w:r>
      <w:r w:rsidR="00E306F7" w:rsidRPr="00E306F7">
        <w:rPr>
          <w:lang w:val="fr-FR"/>
        </w:rPr>
        <w:t>’</w:t>
      </w:r>
      <w:r w:rsidRPr="00E306F7">
        <w:rPr>
          <w:lang w:val="fr-FR"/>
        </w:rPr>
        <w:t>Albanie vers la Suisse, le requérant fut mis en détention provisoire, et il fut interrogé pour la première fois le 30 septembre 2008. Entre 2008 et 2009, il fut entendu à treize reprises.</w:t>
      </w:r>
    </w:p>
    <w:p w:rsidR="00E07F40" w:rsidRPr="00E306F7" w:rsidRDefault="00E07F40" w:rsidP="00E306F7">
      <w:pPr>
        <w:pStyle w:val="ECHRPara"/>
        <w:rPr>
          <w:lang w:val="fr-FR"/>
        </w:rPr>
      </w:pPr>
      <w:r w:rsidRPr="00E306F7">
        <w:rPr>
          <w:lang w:val="fr-FR"/>
        </w:rPr>
        <w:t>9.  Le 26 novembre 2010, le tribunal de district condamna le requérant pour assassinat à une peine privative de liberté de dix-huit ans. Outre l</w:t>
      </w:r>
      <w:r w:rsidR="00E306F7" w:rsidRPr="00E306F7">
        <w:rPr>
          <w:lang w:val="fr-FR"/>
        </w:rPr>
        <w:t>’</w:t>
      </w:r>
      <w:r w:rsidRPr="00E306F7">
        <w:rPr>
          <w:lang w:val="fr-FR"/>
        </w:rPr>
        <w:t>inspection du lieu du crime, les interrogatoires du requérant et de son oncle, I.K., qui fut entendu en tant que témoin pendant l</w:t>
      </w:r>
      <w:r w:rsidR="00E306F7" w:rsidRPr="00E306F7">
        <w:rPr>
          <w:lang w:val="fr-FR"/>
        </w:rPr>
        <w:t>’</w:t>
      </w:r>
      <w:r w:rsidRPr="00E306F7">
        <w:rPr>
          <w:lang w:val="fr-FR"/>
        </w:rPr>
        <w:t xml:space="preserve">audience des 25 </w:t>
      </w:r>
      <w:r w:rsidR="00C04DE5" w:rsidRPr="00E306F7">
        <w:rPr>
          <w:lang w:val="fr-FR"/>
        </w:rPr>
        <w:t> </w:t>
      </w:r>
      <w:r w:rsidRPr="00E306F7">
        <w:rPr>
          <w:lang w:val="fr-FR"/>
        </w:rPr>
        <w:t xml:space="preserve">et </w:t>
      </w:r>
      <w:r w:rsidR="00C04DE5" w:rsidRPr="00E306F7">
        <w:rPr>
          <w:lang w:val="fr-FR"/>
        </w:rPr>
        <w:t> </w:t>
      </w:r>
      <w:r w:rsidRPr="00E306F7">
        <w:rPr>
          <w:lang w:val="fr-FR"/>
        </w:rPr>
        <w:t>26 novembre 2010, le tribunal prit en compte un faisceau de preuves, notamment les constatations effectuées sur le lieu du crime au moment de la découverte du corps de la victime, les expertises médicales réalisées sur celui-ci, l</w:t>
      </w:r>
      <w:r w:rsidR="00E306F7" w:rsidRPr="00E306F7">
        <w:rPr>
          <w:lang w:val="fr-FR"/>
        </w:rPr>
        <w:t>’</w:t>
      </w:r>
      <w:r w:rsidRPr="00E306F7">
        <w:rPr>
          <w:lang w:val="fr-FR"/>
        </w:rPr>
        <w:t>analyse des données provenant de téléphones mobiles, les déclarations faites peu après l</w:t>
      </w:r>
      <w:r w:rsidR="00E306F7" w:rsidRPr="00E306F7">
        <w:rPr>
          <w:lang w:val="fr-FR"/>
        </w:rPr>
        <w:t>’</w:t>
      </w:r>
      <w:r w:rsidRPr="00E306F7">
        <w:rPr>
          <w:lang w:val="fr-FR"/>
        </w:rPr>
        <w:t>infraction par six riverains du lieu où l</w:t>
      </w:r>
      <w:r w:rsidR="00E306F7" w:rsidRPr="00E306F7">
        <w:rPr>
          <w:lang w:val="fr-FR"/>
        </w:rPr>
        <w:t>’</w:t>
      </w:r>
      <w:r w:rsidRPr="00E306F7">
        <w:rPr>
          <w:lang w:val="fr-FR"/>
        </w:rPr>
        <w:t>homicide avait été commis, les déclarations de V.H. (entendu à neuf reprises entre 1997 et 1999), de Ma.S. et de Mu.S. (entendus respectivement à vingt et vingt et une reprises entre 1997 et 1999), d</w:t>
      </w:r>
      <w:r w:rsidR="00E306F7" w:rsidRPr="00E306F7">
        <w:rPr>
          <w:lang w:val="fr-FR"/>
        </w:rPr>
        <w:t>’</w:t>
      </w:r>
      <w:r w:rsidRPr="00E306F7">
        <w:rPr>
          <w:lang w:val="fr-FR"/>
        </w:rPr>
        <w:t>A.S. (entendu plus de quinze fois en 1998), de R.K. (entendu à huit reprises entre 1998 et 1999) et du frère de la victime (entendu le 12 avril 1999).</w:t>
      </w:r>
    </w:p>
    <w:p w:rsidR="00E07F40" w:rsidRPr="00E306F7" w:rsidRDefault="00E07F40" w:rsidP="00E306F7">
      <w:pPr>
        <w:pStyle w:val="ECHRPara"/>
        <w:rPr>
          <w:lang w:val="fr-FR"/>
        </w:rPr>
      </w:pPr>
      <w:r w:rsidRPr="00E306F7">
        <w:rPr>
          <w:lang w:val="fr-FR"/>
        </w:rPr>
        <w:t>10.  Après avoir apprécié les preuves, le tribunal de district considéra, sur la base de l</w:t>
      </w:r>
      <w:r w:rsidR="00E306F7" w:rsidRPr="00E306F7">
        <w:rPr>
          <w:lang w:val="fr-FR"/>
        </w:rPr>
        <w:t>’</w:t>
      </w:r>
      <w:r w:rsidRPr="00E306F7">
        <w:rPr>
          <w:lang w:val="fr-FR"/>
        </w:rPr>
        <w:t>ensemble de ces éléments, que le requérant – qui n</w:t>
      </w:r>
      <w:r w:rsidR="00E306F7" w:rsidRPr="00E306F7">
        <w:rPr>
          <w:lang w:val="fr-FR"/>
        </w:rPr>
        <w:t>’</w:t>
      </w:r>
      <w:r w:rsidRPr="00E306F7">
        <w:rPr>
          <w:lang w:val="fr-FR"/>
        </w:rPr>
        <w:t>avait jamais nié avoir été présent sur les lieux au moment des faits – et son cousin, B.S., avaient tiré entre quinze et dix-sept balles dans la tête de E.H. alors que celui-ci tentait de fuir et était tombé à terre et que, ce faisant, ils l</w:t>
      </w:r>
      <w:r w:rsidR="00E306F7" w:rsidRPr="00E306F7">
        <w:rPr>
          <w:lang w:val="fr-FR"/>
        </w:rPr>
        <w:t>’</w:t>
      </w:r>
      <w:r w:rsidRPr="00E306F7">
        <w:rPr>
          <w:lang w:val="fr-FR"/>
        </w:rPr>
        <w:t>avaient tué dans un esprit de vengeance.</w:t>
      </w:r>
    </w:p>
    <w:p w:rsidR="00E07F40" w:rsidRPr="00E306F7" w:rsidRDefault="00E07F40" w:rsidP="00E306F7">
      <w:pPr>
        <w:pStyle w:val="ECHRPara"/>
        <w:rPr>
          <w:lang w:val="fr-FR"/>
        </w:rPr>
      </w:pPr>
      <w:r w:rsidRPr="00E306F7">
        <w:rPr>
          <w:lang w:val="fr-FR"/>
        </w:rPr>
        <w:t>11.  Par un arrêt du 18 août 2011, le tribunal supérieur rejeta le recours du requérant et confirma la condamnation prononcée par le tribunal de district.</w:t>
      </w:r>
    </w:p>
    <w:p w:rsidR="00E07F40" w:rsidRPr="00E306F7" w:rsidRDefault="00E07F40" w:rsidP="00E306F7">
      <w:pPr>
        <w:pStyle w:val="ECHRPara"/>
        <w:rPr>
          <w:lang w:val="fr-FR"/>
        </w:rPr>
      </w:pPr>
      <w:r w:rsidRPr="00E306F7">
        <w:rPr>
          <w:lang w:val="fr-FR"/>
        </w:rPr>
        <w:t>12.  Devant le tribunal supérieur, le requérant s</w:t>
      </w:r>
      <w:r w:rsidR="00E306F7" w:rsidRPr="00E306F7">
        <w:rPr>
          <w:lang w:val="fr-FR"/>
        </w:rPr>
        <w:t>’</w:t>
      </w:r>
      <w:r w:rsidRPr="00E306F7">
        <w:rPr>
          <w:lang w:val="fr-FR"/>
        </w:rPr>
        <w:t>était plaint pour la première fois d</w:t>
      </w:r>
      <w:r w:rsidR="00E306F7" w:rsidRPr="00E306F7">
        <w:rPr>
          <w:lang w:val="fr-FR"/>
        </w:rPr>
        <w:t>’</w:t>
      </w:r>
      <w:r w:rsidRPr="00E306F7">
        <w:rPr>
          <w:lang w:val="fr-FR"/>
        </w:rPr>
        <w:t>une violation de l</w:t>
      </w:r>
      <w:r w:rsidR="00E306F7" w:rsidRPr="00E306F7">
        <w:rPr>
          <w:lang w:val="fr-FR"/>
        </w:rPr>
        <w:t>’</w:t>
      </w:r>
      <w:r w:rsidRPr="00E306F7">
        <w:rPr>
          <w:lang w:val="fr-FR"/>
        </w:rPr>
        <w:t>article 36 de la Convention de Vienne sur les relations consulaires du 24 avril 1963 (« la CVRC » ; paragraphe 16 ci</w:t>
      </w:r>
      <w:r w:rsidRPr="00E306F7">
        <w:rPr>
          <w:lang w:val="fr-FR"/>
        </w:rPr>
        <w:noBreakHyphen/>
        <w:t>dessous), et plus précisément de la troisième phrase de l</w:t>
      </w:r>
      <w:r w:rsidR="00E306F7" w:rsidRPr="00E306F7">
        <w:rPr>
          <w:lang w:val="fr-FR"/>
        </w:rPr>
        <w:t>’</w:t>
      </w:r>
      <w:r w:rsidRPr="00E306F7">
        <w:rPr>
          <w:lang w:val="fr-FR"/>
        </w:rPr>
        <w:t>alinéa b) du paragraphe 1 de ladite disposition, soutenant que le tribunal de district n</w:t>
      </w:r>
      <w:r w:rsidR="00E306F7" w:rsidRPr="00E306F7">
        <w:rPr>
          <w:lang w:val="fr-FR"/>
        </w:rPr>
        <w:t>’</w:t>
      </w:r>
      <w:r w:rsidRPr="00E306F7">
        <w:rPr>
          <w:lang w:val="fr-FR"/>
        </w:rPr>
        <w:t>avait pas informé A.S., Ma.S. et Mu.S. de leurs droits découlant de cette disposition et que ce vice de procédure avait été si grave qu</w:t>
      </w:r>
      <w:r w:rsidR="00E306F7" w:rsidRPr="00E306F7">
        <w:rPr>
          <w:lang w:val="fr-FR"/>
        </w:rPr>
        <w:t>’</w:t>
      </w:r>
      <w:r w:rsidRPr="00E306F7">
        <w:rPr>
          <w:lang w:val="fr-FR"/>
        </w:rPr>
        <w:t>il avait rendu les déclarations de ces témoins inexploitables.</w:t>
      </w:r>
    </w:p>
    <w:p w:rsidR="00E07F40" w:rsidRPr="00E306F7" w:rsidRDefault="00E07F40" w:rsidP="00E306F7">
      <w:pPr>
        <w:pStyle w:val="ECHRPara"/>
        <w:rPr>
          <w:lang w:val="fr-FR"/>
        </w:rPr>
      </w:pPr>
      <w:r w:rsidRPr="00E306F7">
        <w:rPr>
          <w:lang w:val="fr-FR"/>
        </w:rPr>
        <w:t>13.  À cet égard, le tribunal supérieur indiqua qu</w:t>
      </w:r>
      <w:r w:rsidR="00E306F7" w:rsidRPr="00E306F7">
        <w:rPr>
          <w:lang w:val="fr-FR"/>
        </w:rPr>
        <w:t>’</w:t>
      </w:r>
      <w:r w:rsidRPr="00E306F7">
        <w:rPr>
          <w:lang w:val="fr-FR"/>
        </w:rPr>
        <w:t>A.S. avait été informé de son droit à l</w:t>
      </w:r>
      <w:r w:rsidR="00E306F7" w:rsidRPr="00E306F7">
        <w:rPr>
          <w:lang w:val="fr-FR"/>
        </w:rPr>
        <w:t>’</w:t>
      </w:r>
      <w:r w:rsidRPr="00E306F7">
        <w:rPr>
          <w:lang w:val="fr-FR"/>
        </w:rPr>
        <w:t>assistance d</w:t>
      </w:r>
      <w:r w:rsidR="00E306F7" w:rsidRPr="00E306F7">
        <w:rPr>
          <w:lang w:val="fr-FR"/>
        </w:rPr>
        <w:t>’</w:t>
      </w:r>
      <w:r w:rsidRPr="00E306F7">
        <w:rPr>
          <w:lang w:val="fr-FR"/>
        </w:rPr>
        <w:t>un interprète et d</w:t>
      </w:r>
      <w:r w:rsidR="00E306F7" w:rsidRPr="00E306F7">
        <w:rPr>
          <w:lang w:val="fr-FR"/>
        </w:rPr>
        <w:t>’</w:t>
      </w:r>
      <w:r w:rsidRPr="00E306F7">
        <w:rPr>
          <w:lang w:val="fr-FR"/>
        </w:rPr>
        <w:t>un avocat dès le début de la procédure dirigée contre lui et qu</w:t>
      </w:r>
      <w:r w:rsidR="00E306F7" w:rsidRPr="00E306F7">
        <w:rPr>
          <w:lang w:val="fr-FR"/>
        </w:rPr>
        <w:t>’</w:t>
      </w:r>
      <w:r w:rsidRPr="00E306F7">
        <w:rPr>
          <w:lang w:val="fr-FR"/>
        </w:rPr>
        <w:t>il y avait expressément renoncé. Il conclut que ledit droit n</w:t>
      </w:r>
      <w:r w:rsidR="00E306F7" w:rsidRPr="00E306F7">
        <w:rPr>
          <w:lang w:val="fr-FR"/>
        </w:rPr>
        <w:t>’</w:t>
      </w:r>
      <w:r w:rsidRPr="00E306F7">
        <w:rPr>
          <w:lang w:val="fr-FR"/>
        </w:rPr>
        <w:t>avait donc pas été violé. Il précisa qu</w:t>
      </w:r>
      <w:r w:rsidR="00E306F7" w:rsidRPr="00E306F7">
        <w:rPr>
          <w:lang w:val="fr-FR"/>
        </w:rPr>
        <w:t>’</w:t>
      </w:r>
      <w:r w:rsidRPr="00E306F7">
        <w:rPr>
          <w:lang w:val="fr-FR"/>
        </w:rPr>
        <w:t>A.S. avait comparu à l</w:t>
      </w:r>
      <w:r w:rsidR="00E306F7" w:rsidRPr="00E306F7">
        <w:rPr>
          <w:lang w:val="fr-FR"/>
        </w:rPr>
        <w:t>’</w:t>
      </w:r>
      <w:r w:rsidRPr="00E306F7">
        <w:rPr>
          <w:lang w:val="fr-FR"/>
        </w:rPr>
        <w:t>audience et que le requérant avait eu la faculté de lui poser des questions. Il ajouta que Ma.S. et Mu.S. avaient été dispensés de comparaître devant lui sur la base d</w:t>
      </w:r>
      <w:r w:rsidR="00E306F7" w:rsidRPr="00E306F7">
        <w:rPr>
          <w:lang w:val="fr-FR"/>
        </w:rPr>
        <w:t>’</w:t>
      </w:r>
      <w:r w:rsidRPr="00E306F7">
        <w:rPr>
          <w:lang w:val="fr-FR"/>
        </w:rPr>
        <w:t xml:space="preserve">attestations médicales délivrées par un psychiatre, ainsi que, pour ce qui concernait Ma.S., </w:t>
      </w:r>
      <w:r w:rsidRPr="00E306F7">
        <w:rPr>
          <w:lang w:val="fr-FR"/>
        </w:rPr>
        <w:lastRenderedPageBreak/>
        <w:t>sur le fondement du droit de refuser de témoigner qu</w:t>
      </w:r>
      <w:r w:rsidR="00E306F7" w:rsidRPr="00E306F7">
        <w:rPr>
          <w:lang w:val="fr-FR"/>
        </w:rPr>
        <w:t>’</w:t>
      </w:r>
      <w:r w:rsidRPr="00E306F7">
        <w:rPr>
          <w:lang w:val="fr-FR"/>
        </w:rPr>
        <w:t>il avait invoqué. Le tribunal supérieur considéra que le manquement de la juridiction inférieure à l</w:t>
      </w:r>
      <w:r w:rsidR="00E306F7" w:rsidRPr="00E306F7">
        <w:rPr>
          <w:lang w:val="fr-FR"/>
        </w:rPr>
        <w:t>’</w:t>
      </w:r>
      <w:r w:rsidRPr="00E306F7">
        <w:rPr>
          <w:lang w:val="fr-FR"/>
        </w:rPr>
        <w:t>égard de Ma.S., de Mu.S. et d</w:t>
      </w:r>
      <w:r w:rsidR="00E306F7" w:rsidRPr="00E306F7">
        <w:rPr>
          <w:lang w:val="fr-FR"/>
        </w:rPr>
        <w:t>’</w:t>
      </w:r>
      <w:r w:rsidRPr="00E306F7">
        <w:rPr>
          <w:lang w:val="fr-FR"/>
        </w:rPr>
        <w:t>A.S. aux obligations découlant de l</w:t>
      </w:r>
      <w:r w:rsidR="00E306F7" w:rsidRPr="00E306F7">
        <w:rPr>
          <w:lang w:val="fr-FR"/>
        </w:rPr>
        <w:t>’</w:t>
      </w:r>
      <w:r w:rsidRPr="00E306F7">
        <w:rPr>
          <w:lang w:val="fr-FR"/>
        </w:rPr>
        <w:t>article 36 de la CVRC ne rendait pas les déclarations de ces témoins automatiquement inexploitables. En effet, il estima que cette disposition visait non pas à garantir le respect du droit au silence des prévenus, mais à protéger les détenus étrangers contre un traitement discriminatoire par rapport aux détenus non étrangers. Le tribunal supérieur considéra que les conséquences juridiques d</w:t>
      </w:r>
      <w:r w:rsidR="00E306F7" w:rsidRPr="00E306F7">
        <w:rPr>
          <w:lang w:val="fr-FR"/>
        </w:rPr>
        <w:t>’</w:t>
      </w:r>
      <w:r w:rsidRPr="00E306F7">
        <w:rPr>
          <w:lang w:val="fr-FR"/>
        </w:rPr>
        <w:t>un tel manquement devaient être déterminées au cas par cas et que, en l</w:t>
      </w:r>
      <w:r w:rsidR="00E306F7" w:rsidRPr="00E306F7">
        <w:rPr>
          <w:lang w:val="fr-FR"/>
        </w:rPr>
        <w:t>’</w:t>
      </w:r>
      <w:r w:rsidRPr="00E306F7">
        <w:rPr>
          <w:lang w:val="fr-FR"/>
        </w:rPr>
        <w:t>espèce, l</w:t>
      </w:r>
      <w:r w:rsidR="00E306F7" w:rsidRPr="00E306F7">
        <w:rPr>
          <w:lang w:val="fr-FR"/>
        </w:rPr>
        <w:t>’</w:t>
      </w:r>
      <w:r w:rsidRPr="00E306F7">
        <w:rPr>
          <w:lang w:val="fr-FR"/>
        </w:rPr>
        <w:t>intérêt public à l</w:t>
      </w:r>
      <w:r w:rsidR="00E306F7" w:rsidRPr="00E306F7">
        <w:rPr>
          <w:lang w:val="fr-FR"/>
        </w:rPr>
        <w:t>’</w:t>
      </w:r>
      <w:r w:rsidRPr="00E306F7">
        <w:rPr>
          <w:lang w:val="fr-FR"/>
        </w:rPr>
        <w:t>élucidation d</w:t>
      </w:r>
      <w:r w:rsidR="00E306F7" w:rsidRPr="00E306F7">
        <w:rPr>
          <w:lang w:val="fr-FR"/>
        </w:rPr>
        <w:t>’</w:t>
      </w:r>
      <w:r w:rsidRPr="00E306F7">
        <w:rPr>
          <w:lang w:val="fr-FR"/>
        </w:rPr>
        <w:t>un homicide prévalait sur l</w:t>
      </w:r>
      <w:r w:rsidR="00E306F7" w:rsidRPr="00E306F7">
        <w:rPr>
          <w:lang w:val="fr-FR"/>
        </w:rPr>
        <w:t>’</w:t>
      </w:r>
      <w:r w:rsidRPr="00E306F7">
        <w:rPr>
          <w:lang w:val="fr-FR"/>
        </w:rPr>
        <w:t>intérêt du requérant à la reconnaissance du caractère inexploitable des témoignages litigieux.</w:t>
      </w:r>
    </w:p>
    <w:p w:rsidR="00E07F40" w:rsidRPr="00E306F7" w:rsidRDefault="00E07F40" w:rsidP="00E306F7">
      <w:pPr>
        <w:pStyle w:val="ECHRPara"/>
        <w:rPr>
          <w:lang w:val="fr-FR"/>
        </w:rPr>
      </w:pPr>
      <w:r w:rsidRPr="00E306F7">
        <w:rPr>
          <w:lang w:val="fr-FR"/>
        </w:rPr>
        <w:t>14.  Par un arrêt du 5 avril 2012, s</w:t>
      </w:r>
      <w:r w:rsidR="00E306F7" w:rsidRPr="00E306F7">
        <w:rPr>
          <w:lang w:val="fr-FR"/>
        </w:rPr>
        <w:t>’</w:t>
      </w:r>
      <w:r w:rsidRPr="00E306F7">
        <w:rPr>
          <w:lang w:val="fr-FR"/>
        </w:rPr>
        <w:t>appuyant principalement s</w:t>
      </w:r>
      <w:bookmarkStart w:id="0" w:name="_GoBack"/>
      <w:bookmarkEnd w:id="0"/>
      <w:r w:rsidRPr="00E306F7">
        <w:rPr>
          <w:lang w:val="fr-FR"/>
        </w:rPr>
        <w:t>ur la jurisprudence de la Cour internationale de justice (« la CIJ ») dans l</w:t>
      </w:r>
      <w:r w:rsidR="00E306F7" w:rsidRPr="00E306F7">
        <w:rPr>
          <w:lang w:val="fr-FR"/>
        </w:rPr>
        <w:t>’</w:t>
      </w:r>
      <w:r w:rsidRPr="00E306F7">
        <w:rPr>
          <w:lang w:val="fr-FR"/>
        </w:rPr>
        <w:t xml:space="preserve">affaire </w:t>
      </w:r>
      <w:r w:rsidRPr="00E306F7">
        <w:rPr>
          <w:i/>
          <w:iCs/>
          <w:lang w:val="fr-FR"/>
        </w:rPr>
        <w:t>Avena et autres ressortissants mexicains</w:t>
      </w:r>
      <w:r w:rsidRPr="00E306F7">
        <w:rPr>
          <w:lang w:val="fr-FR"/>
        </w:rPr>
        <w:t xml:space="preserve"> (paragraphe 18 ci-dessous), le Tribunal fédéral confirma le jugement de la juridiction inférieure ([L</w:t>
      </w:r>
      <w:r w:rsidR="00E306F7" w:rsidRPr="00E306F7">
        <w:rPr>
          <w:lang w:val="fr-FR"/>
        </w:rPr>
        <w:t>’</w:t>
      </w:r>
      <w:r w:rsidRPr="00E306F7">
        <w:rPr>
          <w:lang w:val="fr-FR"/>
        </w:rPr>
        <w:t xml:space="preserve">article </w:t>
      </w:r>
      <w:r w:rsidR="00C04DE5" w:rsidRPr="00E306F7">
        <w:rPr>
          <w:lang w:val="fr-FR"/>
        </w:rPr>
        <w:t> </w:t>
      </w:r>
      <w:r w:rsidRPr="00E306F7">
        <w:rPr>
          <w:lang w:val="fr-FR"/>
        </w:rPr>
        <w:t xml:space="preserve">36 de la CVRC] « (...) </w:t>
      </w:r>
      <w:r w:rsidRPr="00E306F7">
        <w:rPr>
          <w:i/>
          <w:lang w:val="fr-FR"/>
        </w:rPr>
        <w:t>dient nicht dem Schutz des Beschwerdeführers, sondern demjenigen der Interessen der ausländischen Inhaftierten</w:t>
      </w:r>
      <w:r w:rsidRPr="00E306F7">
        <w:rPr>
          <w:lang w:val="fr-FR"/>
        </w:rPr>
        <w:t> »), et rejeta le grief du requérant concernant la violation alléguée de l</w:t>
      </w:r>
      <w:r w:rsidR="00E306F7" w:rsidRPr="00E306F7">
        <w:rPr>
          <w:lang w:val="fr-FR"/>
        </w:rPr>
        <w:t>’</w:t>
      </w:r>
      <w:r w:rsidRPr="00E306F7">
        <w:rPr>
          <w:lang w:val="fr-FR"/>
        </w:rPr>
        <w:t>article 36 de la CVRC. En outre, se fondant sur l</w:t>
      </w:r>
      <w:r w:rsidR="00E306F7" w:rsidRPr="00E306F7">
        <w:rPr>
          <w:lang w:val="fr-FR"/>
        </w:rPr>
        <w:t>’</w:t>
      </w:r>
      <w:r w:rsidRPr="00E306F7">
        <w:rPr>
          <w:lang w:val="fr-FR"/>
        </w:rPr>
        <w:t>article 42 de la loi sur le Tribunal fédéral, la juridiction suprême suisse déclara le restant du recours pénal irrecevable pour insuffisance manifeste de motivation.</w:t>
      </w:r>
    </w:p>
    <w:p w:rsidR="00E07F40" w:rsidRPr="00E306F7" w:rsidRDefault="00E07F40" w:rsidP="00E306F7">
      <w:pPr>
        <w:pStyle w:val="ECHRPara"/>
        <w:rPr>
          <w:lang w:val="fr-FR"/>
        </w:rPr>
      </w:pPr>
      <w:r w:rsidRPr="00E306F7">
        <w:rPr>
          <w:lang w:val="fr-FR"/>
        </w:rPr>
        <w:t>15.  Par un courrier du 11 septembre 2018, le gouvernement suisse transmit à la Cour l</w:t>
      </w:r>
      <w:r w:rsidR="00E306F7" w:rsidRPr="00E306F7">
        <w:rPr>
          <w:lang w:val="fr-FR"/>
        </w:rPr>
        <w:t>’</w:t>
      </w:r>
      <w:r w:rsidRPr="00E306F7">
        <w:rPr>
          <w:lang w:val="fr-FR"/>
        </w:rPr>
        <w:t>avis d</w:t>
      </w:r>
      <w:r w:rsidR="00E306F7" w:rsidRPr="00E306F7">
        <w:rPr>
          <w:lang w:val="fr-FR"/>
        </w:rPr>
        <w:t>’</w:t>
      </w:r>
      <w:r w:rsidRPr="00E306F7">
        <w:rPr>
          <w:lang w:val="fr-FR"/>
        </w:rPr>
        <w:t>exécution établi le 3 septembre 2018 par l</w:t>
      </w:r>
      <w:r w:rsidR="00E306F7" w:rsidRPr="00E306F7">
        <w:rPr>
          <w:lang w:val="fr-FR"/>
        </w:rPr>
        <w:t>’</w:t>
      </w:r>
      <w:r w:rsidRPr="00E306F7">
        <w:rPr>
          <w:lang w:val="fr-FR"/>
        </w:rPr>
        <w:t>office d</w:t>
      </w:r>
      <w:r w:rsidR="00E306F7" w:rsidRPr="00E306F7">
        <w:rPr>
          <w:lang w:val="fr-FR"/>
        </w:rPr>
        <w:t>’</w:t>
      </w:r>
      <w:r w:rsidRPr="00E306F7">
        <w:rPr>
          <w:lang w:val="fr-FR"/>
        </w:rPr>
        <w:t>exécution des peines du canton d</w:t>
      </w:r>
      <w:r w:rsidR="00E306F7" w:rsidRPr="00E306F7">
        <w:rPr>
          <w:lang w:val="fr-FR"/>
        </w:rPr>
        <w:t>’</w:t>
      </w:r>
      <w:r w:rsidRPr="00E306F7">
        <w:rPr>
          <w:lang w:val="fr-FR"/>
        </w:rPr>
        <w:t xml:space="preserve">Argovie. Il en ressortait que le 27 avril </w:t>
      </w:r>
      <w:r w:rsidR="00711292" w:rsidRPr="00E306F7">
        <w:rPr>
          <w:lang w:val="fr-FR"/>
        </w:rPr>
        <w:t> </w:t>
      </w:r>
      <w:r w:rsidRPr="00E306F7">
        <w:rPr>
          <w:lang w:val="fr-FR"/>
        </w:rPr>
        <w:t>2018 le requérant avait été transféré aux autorités du Kosovo aux fins de l</w:t>
      </w:r>
      <w:r w:rsidR="00E306F7" w:rsidRPr="00E306F7">
        <w:rPr>
          <w:lang w:val="fr-FR"/>
        </w:rPr>
        <w:t>’</w:t>
      </w:r>
      <w:r w:rsidRPr="00E306F7">
        <w:rPr>
          <w:lang w:val="fr-FR"/>
        </w:rPr>
        <w:t>exécution de la peine privative de liberté prononcée contre lui, et ce après que le tribunal compétent de Pristina eut donné son accord à cette fin par une décision d</w:t>
      </w:r>
      <w:r w:rsidR="00E306F7" w:rsidRPr="00E306F7">
        <w:rPr>
          <w:lang w:val="fr-FR"/>
        </w:rPr>
        <w:t>’</w:t>
      </w:r>
      <w:r w:rsidRPr="00E306F7">
        <w:rPr>
          <w:lang w:val="fr-FR"/>
        </w:rPr>
        <w:t>exequatur rendue le 15 décembre 2017 et eut également condamné le requérant à une peine de dix-huit ans d</w:t>
      </w:r>
      <w:r w:rsidR="00E306F7" w:rsidRPr="00E306F7">
        <w:rPr>
          <w:lang w:val="fr-FR"/>
        </w:rPr>
        <w:t>’</w:t>
      </w:r>
      <w:r w:rsidRPr="00E306F7">
        <w:rPr>
          <w:lang w:val="fr-FR"/>
        </w:rPr>
        <w:t>emprisonnement. Selon les informations fournies par le Gouvernement, une libération conditionnelle au Kosovo sera possible au plus tôt le 5 juin 2020 et la peine prendra fin le 5 juin 2026.</w:t>
      </w:r>
    </w:p>
    <w:p w:rsidR="00E07F40" w:rsidRPr="00E306F7" w:rsidRDefault="00E07F40" w:rsidP="00E306F7">
      <w:pPr>
        <w:pStyle w:val="ECHRHeading2"/>
        <w:rPr>
          <w:lang w:val="fr-FR"/>
        </w:rPr>
      </w:pPr>
      <w:r w:rsidRPr="00E306F7">
        <w:rPr>
          <w:lang w:val="fr-FR"/>
        </w:rPr>
        <w:t>B.  Le droit international et interne pertinent et la pratique internationale</w:t>
      </w:r>
    </w:p>
    <w:p w:rsidR="00E07F40" w:rsidRPr="00E306F7" w:rsidRDefault="00E07F40" w:rsidP="00E306F7">
      <w:pPr>
        <w:pStyle w:val="ECHRHeading3"/>
        <w:rPr>
          <w:rFonts w:eastAsia="Times New Roman"/>
          <w:lang w:val="fr-FR"/>
        </w:rPr>
      </w:pPr>
      <w:r w:rsidRPr="00E306F7">
        <w:rPr>
          <w:rFonts w:eastAsia="Times New Roman"/>
          <w:lang w:val="fr-FR"/>
        </w:rPr>
        <w:t>1.  Droit international</w:t>
      </w:r>
    </w:p>
    <w:p w:rsidR="00E07F40" w:rsidRPr="00E306F7" w:rsidRDefault="00E07F40" w:rsidP="00E306F7">
      <w:pPr>
        <w:pStyle w:val="ECHRPara"/>
        <w:rPr>
          <w:lang w:val="fr-FR"/>
        </w:rPr>
      </w:pPr>
      <w:r w:rsidRPr="00E306F7">
        <w:rPr>
          <w:lang w:val="fr-FR"/>
        </w:rPr>
        <w:t>16.  L</w:t>
      </w:r>
      <w:r w:rsidR="00E306F7" w:rsidRPr="00E306F7">
        <w:rPr>
          <w:lang w:val="fr-FR"/>
        </w:rPr>
        <w:t>’</w:t>
      </w:r>
      <w:r w:rsidRPr="00E306F7">
        <w:rPr>
          <w:lang w:val="fr-FR"/>
        </w:rPr>
        <w:t>article 36 de la Convention de Vienne sur les relations consulaires du 24 avril 1963 (« la CVRC », publiée dans le recueil systématique (RS) sous le numéro 0.191.02), entrée en vigueur à l</w:t>
      </w:r>
      <w:r w:rsidR="00E306F7" w:rsidRPr="00E306F7">
        <w:rPr>
          <w:lang w:val="fr-FR"/>
        </w:rPr>
        <w:t>’</w:t>
      </w:r>
      <w:r w:rsidRPr="00E306F7">
        <w:rPr>
          <w:lang w:val="fr-FR"/>
        </w:rPr>
        <w:t>égard de la Suisse le 19 mars 1967, est ainsi libellé dans ses parties pertinentes en l</w:t>
      </w:r>
      <w:r w:rsidR="00E306F7" w:rsidRPr="00E306F7">
        <w:rPr>
          <w:lang w:val="fr-FR"/>
        </w:rPr>
        <w:t>’</w:t>
      </w:r>
      <w:r w:rsidRPr="00E306F7">
        <w:rPr>
          <w:lang w:val="fr-FR"/>
        </w:rPr>
        <w:t>espèce :</w:t>
      </w:r>
    </w:p>
    <w:p w:rsidR="00E07F40" w:rsidRPr="00E306F7" w:rsidRDefault="00E07F40" w:rsidP="00E306F7">
      <w:pPr>
        <w:pStyle w:val="ECHRParaQuote"/>
        <w:jc w:val="center"/>
        <w:rPr>
          <w:b/>
          <w:lang w:val="fr-FR"/>
        </w:rPr>
      </w:pPr>
      <w:r w:rsidRPr="00E306F7">
        <w:rPr>
          <w:b/>
          <w:lang w:val="fr-FR"/>
        </w:rPr>
        <w:t xml:space="preserve">Article 36 – </w:t>
      </w:r>
      <w:r w:rsidRPr="00E306F7">
        <w:rPr>
          <w:rFonts w:eastAsia="Times New Roman"/>
          <w:b/>
          <w:lang w:val="fr-FR"/>
        </w:rPr>
        <w:t>Communication</w:t>
      </w:r>
      <w:r w:rsidRPr="00E306F7">
        <w:rPr>
          <w:b/>
          <w:lang w:val="fr-FR"/>
        </w:rPr>
        <w:t xml:space="preserve"> avec les ressortissants de l</w:t>
      </w:r>
      <w:r w:rsidR="00E306F7" w:rsidRPr="00E306F7">
        <w:rPr>
          <w:b/>
          <w:lang w:val="fr-FR"/>
        </w:rPr>
        <w:t>’</w:t>
      </w:r>
      <w:r w:rsidRPr="00E306F7">
        <w:rPr>
          <w:b/>
          <w:lang w:val="fr-FR"/>
        </w:rPr>
        <w:t>État d</w:t>
      </w:r>
      <w:r w:rsidR="00E306F7" w:rsidRPr="00E306F7">
        <w:rPr>
          <w:b/>
          <w:lang w:val="fr-FR"/>
        </w:rPr>
        <w:t>’</w:t>
      </w:r>
      <w:r w:rsidRPr="00E306F7">
        <w:rPr>
          <w:b/>
          <w:lang w:val="fr-FR"/>
        </w:rPr>
        <w:t>envoi</w:t>
      </w:r>
    </w:p>
    <w:p w:rsidR="00E07F40" w:rsidRPr="00E306F7" w:rsidRDefault="00E07F40" w:rsidP="00E306F7">
      <w:pPr>
        <w:pStyle w:val="ECHRParaQuote"/>
        <w:rPr>
          <w:lang w:val="fr-FR"/>
        </w:rPr>
      </w:pPr>
      <w:r w:rsidRPr="00E306F7">
        <w:rPr>
          <w:lang w:val="fr-FR"/>
        </w:rPr>
        <w:t>« 1. (...)</w:t>
      </w:r>
    </w:p>
    <w:p w:rsidR="00E07F40" w:rsidRPr="00E306F7" w:rsidRDefault="00E07F40" w:rsidP="00E306F7">
      <w:pPr>
        <w:pStyle w:val="ECHRParaQuote"/>
        <w:rPr>
          <w:rFonts w:eastAsia="Times New Roman"/>
          <w:lang w:val="fr-FR"/>
        </w:rPr>
      </w:pPr>
      <w:r w:rsidRPr="00E306F7">
        <w:rPr>
          <w:rFonts w:eastAsia="Times New Roman"/>
          <w:lang w:val="fr-FR"/>
        </w:rPr>
        <w:t>b)  Si l</w:t>
      </w:r>
      <w:r w:rsidR="00E306F7" w:rsidRPr="00E306F7">
        <w:rPr>
          <w:rFonts w:eastAsia="Times New Roman"/>
          <w:lang w:val="fr-FR"/>
        </w:rPr>
        <w:t>’</w:t>
      </w:r>
      <w:r w:rsidRPr="00E306F7">
        <w:rPr>
          <w:rFonts w:eastAsia="Times New Roman"/>
          <w:lang w:val="fr-FR"/>
        </w:rPr>
        <w:t>intéressé en fait la demande, les autorités compétentes de l</w:t>
      </w:r>
      <w:r w:rsidR="00E306F7" w:rsidRPr="00E306F7">
        <w:rPr>
          <w:rFonts w:eastAsia="Times New Roman"/>
          <w:lang w:val="fr-FR"/>
        </w:rPr>
        <w:t>’</w:t>
      </w:r>
      <w:r w:rsidRPr="00E306F7">
        <w:rPr>
          <w:rFonts w:eastAsia="Times New Roman"/>
          <w:lang w:val="fr-FR"/>
        </w:rPr>
        <w:t>État de résidence doivent avertir sans retard le poste consulaire de l</w:t>
      </w:r>
      <w:r w:rsidR="00E306F7" w:rsidRPr="00E306F7">
        <w:rPr>
          <w:rFonts w:eastAsia="Times New Roman"/>
          <w:lang w:val="fr-FR"/>
        </w:rPr>
        <w:t>’</w:t>
      </w:r>
      <w:r w:rsidRPr="00E306F7">
        <w:rPr>
          <w:rFonts w:eastAsia="Times New Roman"/>
          <w:lang w:val="fr-FR"/>
        </w:rPr>
        <w:t>État d</w:t>
      </w:r>
      <w:r w:rsidR="00E306F7" w:rsidRPr="00E306F7">
        <w:rPr>
          <w:rFonts w:eastAsia="Times New Roman"/>
          <w:lang w:val="fr-FR"/>
        </w:rPr>
        <w:t>’</w:t>
      </w:r>
      <w:r w:rsidRPr="00E306F7">
        <w:rPr>
          <w:rFonts w:eastAsia="Times New Roman"/>
          <w:lang w:val="fr-FR"/>
        </w:rPr>
        <w:t>envoi lorsque, dans sa circonscription consulaire, un ressortissant de cet État est arrêté, incarcéré ou mis en état de détention préventive ou toute autre forme de détention. Toute communication adressée au poste consulaire par la personne arrêtée, incarcérée ou mise en état de détention préventive ou toute autre forme de détention doit également être transmise sans retard par lesdites autorités. Celles-ci doivent sans retard informer l</w:t>
      </w:r>
      <w:r w:rsidR="00E306F7" w:rsidRPr="00E306F7">
        <w:rPr>
          <w:rFonts w:eastAsia="Times New Roman"/>
          <w:lang w:val="fr-FR"/>
        </w:rPr>
        <w:t>’</w:t>
      </w:r>
      <w:r w:rsidRPr="00E306F7">
        <w:rPr>
          <w:rFonts w:eastAsia="Times New Roman"/>
          <w:lang w:val="fr-FR"/>
        </w:rPr>
        <w:t>intéressé de ses droits aux termes du présent alinéa ; (...) »</w:t>
      </w:r>
    </w:p>
    <w:p w:rsidR="00E07F40" w:rsidRPr="00E306F7" w:rsidRDefault="00E07F40" w:rsidP="00E306F7">
      <w:pPr>
        <w:pStyle w:val="ECHRHeading3"/>
        <w:rPr>
          <w:rFonts w:eastAsia="Times New Roman"/>
          <w:lang w:val="fr-FR"/>
        </w:rPr>
      </w:pPr>
      <w:r w:rsidRPr="00E306F7">
        <w:rPr>
          <w:rFonts w:eastAsia="Times New Roman"/>
          <w:lang w:val="fr-FR"/>
        </w:rPr>
        <w:lastRenderedPageBreak/>
        <w:t>2.  Droit national</w:t>
      </w:r>
    </w:p>
    <w:p w:rsidR="00E07F40" w:rsidRPr="00E306F7" w:rsidRDefault="00E07F40" w:rsidP="00E306F7">
      <w:pPr>
        <w:pStyle w:val="ECHRPara"/>
        <w:rPr>
          <w:lang w:val="fr-FR"/>
        </w:rPr>
      </w:pPr>
      <w:r w:rsidRPr="00E306F7">
        <w:rPr>
          <w:lang w:val="fr-FR"/>
        </w:rPr>
        <w:t>17.  L</w:t>
      </w:r>
      <w:r w:rsidR="00E306F7" w:rsidRPr="00E306F7">
        <w:rPr>
          <w:lang w:val="fr-FR"/>
        </w:rPr>
        <w:t>’</w:t>
      </w:r>
      <w:r w:rsidRPr="00E306F7">
        <w:rPr>
          <w:lang w:val="fr-FR"/>
        </w:rPr>
        <w:t xml:space="preserve">article 42 de la loi sur le Tribunal fédéral du 17 juin 2005 (« la </w:t>
      </w:r>
      <w:r w:rsidR="00711292" w:rsidRPr="00E306F7">
        <w:rPr>
          <w:lang w:val="fr-FR"/>
        </w:rPr>
        <w:t> </w:t>
      </w:r>
      <w:r w:rsidRPr="00E306F7">
        <w:rPr>
          <w:lang w:val="fr-FR"/>
        </w:rPr>
        <w:t>LTF » ; RS 173.110) énonce ce qui suit dans ses parties pertinentes en l</w:t>
      </w:r>
      <w:r w:rsidR="00E306F7" w:rsidRPr="00E306F7">
        <w:rPr>
          <w:lang w:val="fr-FR"/>
        </w:rPr>
        <w:t>’</w:t>
      </w:r>
      <w:r w:rsidRPr="00E306F7">
        <w:rPr>
          <w:lang w:val="fr-FR"/>
        </w:rPr>
        <w:t>espèce :</w:t>
      </w:r>
    </w:p>
    <w:p w:rsidR="00E07F40" w:rsidRPr="00E306F7" w:rsidRDefault="00E07F40" w:rsidP="00E306F7">
      <w:pPr>
        <w:pStyle w:val="ECHRParaQuote"/>
        <w:rPr>
          <w:lang w:val="fr-FR"/>
        </w:rPr>
      </w:pPr>
      <w:r w:rsidRPr="00E306F7">
        <w:rPr>
          <w:lang w:val="fr-FR"/>
        </w:rPr>
        <w:t>« </w:t>
      </w:r>
      <w:r w:rsidRPr="00E306F7">
        <w:rPr>
          <w:vertAlign w:val="superscript"/>
          <w:lang w:val="fr-FR"/>
        </w:rPr>
        <w:t>1</w:t>
      </w:r>
      <w:r w:rsidRPr="00E306F7">
        <w:rPr>
          <w:lang w:val="fr-FR"/>
        </w:rPr>
        <w:t> Les mémoires doivent (...) indiquer (...) les motifs et les moyens de preuve, et être signés.</w:t>
      </w:r>
    </w:p>
    <w:p w:rsidR="00E07F40" w:rsidRPr="00E306F7" w:rsidRDefault="00E07F40" w:rsidP="00E306F7">
      <w:pPr>
        <w:pStyle w:val="ECHRParaQuote"/>
        <w:rPr>
          <w:lang w:val="fr-FR"/>
        </w:rPr>
      </w:pPr>
      <w:bookmarkStart w:id="1" w:name="2"/>
      <w:r w:rsidRPr="00E306F7">
        <w:rPr>
          <w:vertAlign w:val="superscript"/>
          <w:lang w:val="fr-FR"/>
        </w:rPr>
        <w:t>2</w:t>
      </w:r>
      <w:bookmarkEnd w:id="1"/>
      <w:r w:rsidRPr="00E306F7">
        <w:rPr>
          <w:lang w:val="fr-FR"/>
        </w:rPr>
        <w:t> Les motifs doivent exposer succinctement en quoi l</w:t>
      </w:r>
      <w:r w:rsidR="00E306F7" w:rsidRPr="00E306F7">
        <w:rPr>
          <w:lang w:val="fr-FR"/>
        </w:rPr>
        <w:t>’</w:t>
      </w:r>
      <w:r w:rsidRPr="00E306F7">
        <w:rPr>
          <w:lang w:val="fr-FR"/>
        </w:rPr>
        <w:t>acte attaqué viole le droit. (...) »</w:t>
      </w:r>
    </w:p>
    <w:p w:rsidR="00E07F40" w:rsidRPr="00E306F7" w:rsidRDefault="00E07F40" w:rsidP="00E306F7">
      <w:pPr>
        <w:pStyle w:val="ECHRHeading3"/>
        <w:rPr>
          <w:rFonts w:eastAsia="Times New Roman"/>
          <w:lang w:val="fr-FR"/>
        </w:rPr>
      </w:pPr>
      <w:r w:rsidRPr="00E306F7">
        <w:rPr>
          <w:rFonts w:eastAsia="Times New Roman"/>
          <w:lang w:val="fr-FR"/>
        </w:rPr>
        <w:t>3.  Pratique internationale</w:t>
      </w:r>
    </w:p>
    <w:p w:rsidR="00E07F40" w:rsidRPr="00E306F7" w:rsidRDefault="00E07F40" w:rsidP="00E306F7">
      <w:pPr>
        <w:pStyle w:val="ECHRPara"/>
        <w:rPr>
          <w:lang w:val="fr-FR"/>
        </w:rPr>
      </w:pPr>
      <w:r w:rsidRPr="00E306F7">
        <w:rPr>
          <w:lang w:val="fr-FR"/>
        </w:rPr>
        <w:t>18.  Dans l</w:t>
      </w:r>
      <w:r w:rsidR="00E306F7" w:rsidRPr="00E306F7">
        <w:rPr>
          <w:lang w:val="fr-FR"/>
        </w:rPr>
        <w:t>’</w:t>
      </w:r>
      <w:r w:rsidRPr="00E306F7">
        <w:rPr>
          <w:lang w:val="fr-FR"/>
        </w:rPr>
        <w:t xml:space="preserve">affaire </w:t>
      </w:r>
      <w:r w:rsidRPr="00E306F7">
        <w:rPr>
          <w:i/>
          <w:lang w:val="fr-FR"/>
        </w:rPr>
        <w:t>Avena et autres ressortissants mexicains (Mexique c. États-Unis d</w:t>
      </w:r>
      <w:r w:rsidR="00E306F7" w:rsidRPr="00E306F7">
        <w:rPr>
          <w:i/>
          <w:lang w:val="fr-FR"/>
        </w:rPr>
        <w:t>’</w:t>
      </w:r>
      <w:r w:rsidRPr="00E306F7">
        <w:rPr>
          <w:i/>
          <w:lang w:val="fr-FR"/>
        </w:rPr>
        <w:t>Amérique</w:t>
      </w:r>
      <w:r w:rsidRPr="00E306F7">
        <w:rPr>
          <w:lang w:val="fr-FR"/>
        </w:rPr>
        <w:t>, arrêt, CIJ, Recueil 2004, p. 12) du 31 mars 2004 qui opposait le Mexique aux États-Unis d</w:t>
      </w:r>
      <w:r w:rsidR="00E306F7" w:rsidRPr="00E306F7">
        <w:rPr>
          <w:lang w:val="fr-FR"/>
        </w:rPr>
        <w:t>’</w:t>
      </w:r>
      <w:r w:rsidRPr="00E306F7">
        <w:rPr>
          <w:lang w:val="fr-FR"/>
        </w:rPr>
        <w:t>Amérique et concernait cinquante-deux ressortissants mexicains qui avaient été condamnés à mort pour différents crimes aux États-Unis et n</w:t>
      </w:r>
      <w:r w:rsidR="00E306F7" w:rsidRPr="00E306F7">
        <w:rPr>
          <w:lang w:val="fr-FR"/>
        </w:rPr>
        <w:t>’</w:t>
      </w:r>
      <w:r w:rsidRPr="00E306F7">
        <w:rPr>
          <w:lang w:val="fr-FR"/>
        </w:rPr>
        <w:t>avaient pas pu bénéficier des garanties prévues par l</w:t>
      </w:r>
      <w:r w:rsidR="00E306F7" w:rsidRPr="00E306F7">
        <w:rPr>
          <w:lang w:val="fr-FR"/>
        </w:rPr>
        <w:t>’</w:t>
      </w:r>
      <w:r w:rsidRPr="00E306F7">
        <w:rPr>
          <w:lang w:val="fr-FR"/>
        </w:rPr>
        <w:t>alinéa b) du paragraphe 1 de l</w:t>
      </w:r>
      <w:r w:rsidR="00E306F7" w:rsidRPr="00E306F7">
        <w:rPr>
          <w:lang w:val="fr-FR"/>
        </w:rPr>
        <w:t>’</w:t>
      </w:r>
      <w:r w:rsidRPr="00E306F7">
        <w:rPr>
          <w:lang w:val="fr-FR"/>
        </w:rPr>
        <w:t>article 36 de la CVRC, la CIJ estima que les conséquences juridiques d</w:t>
      </w:r>
      <w:r w:rsidR="00E306F7" w:rsidRPr="00E306F7">
        <w:rPr>
          <w:lang w:val="fr-FR"/>
        </w:rPr>
        <w:t>’</w:t>
      </w:r>
      <w:r w:rsidRPr="00E306F7">
        <w:rPr>
          <w:lang w:val="fr-FR"/>
        </w:rPr>
        <w:t>un manquement à l</w:t>
      </w:r>
      <w:r w:rsidR="00E306F7" w:rsidRPr="00E306F7">
        <w:rPr>
          <w:lang w:val="fr-FR"/>
        </w:rPr>
        <w:t>’</w:t>
      </w:r>
      <w:r w:rsidRPr="00E306F7">
        <w:rPr>
          <w:lang w:val="fr-FR"/>
        </w:rPr>
        <w:t>obligation prescrite par ladite disposition d</w:t>
      </w:r>
      <w:r w:rsidR="00E306F7" w:rsidRPr="00E306F7">
        <w:rPr>
          <w:lang w:val="fr-FR"/>
        </w:rPr>
        <w:t>’</w:t>
      </w:r>
      <w:r w:rsidRPr="00E306F7">
        <w:rPr>
          <w:lang w:val="fr-FR"/>
        </w:rPr>
        <w:t>informer un ressortissant étranger de ses droits en tant que détenu devaient être examinées au cas par cas. En d</w:t>
      </w:r>
      <w:r w:rsidR="00E306F7" w:rsidRPr="00E306F7">
        <w:rPr>
          <w:lang w:val="fr-FR"/>
        </w:rPr>
        <w:t>’</w:t>
      </w:r>
      <w:r w:rsidRPr="00E306F7">
        <w:rPr>
          <w:lang w:val="fr-FR"/>
        </w:rPr>
        <w:t>autres termes, d</w:t>
      </w:r>
      <w:r w:rsidR="00E306F7" w:rsidRPr="00E306F7">
        <w:rPr>
          <w:lang w:val="fr-FR"/>
        </w:rPr>
        <w:t>’</w:t>
      </w:r>
      <w:r w:rsidRPr="00E306F7">
        <w:rPr>
          <w:lang w:val="fr-FR"/>
        </w:rPr>
        <w:t>après l</w:t>
      </w:r>
      <w:r w:rsidR="00E306F7" w:rsidRPr="00E306F7">
        <w:rPr>
          <w:lang w:val="fr-FR"/>
        </w:rPr>
        <w:t>’</w:t>
      </w:r>
      <w:r w:rsidRPr="00E306F7">
        <w:rPr>
          <w:lang w:val="fr-FR"/>
        </w:rPr>
        <w:t>interprétation donnée par la CIJ, la violation de ladite disposition n</w:t>
      </w:r>
      <w:r w:rsidR="00E306F7" w:rsidRPr="00E306F7">
        <w:rPr>
          <w:lang w:val="fr-FR"/>
        </w:rPr>
        <w:t>’</w:t>
      </w:r>
      <w:r w:rsidRPr="00E306F7">
        <w:rPr>
          <w:lang w:val="fr-FR"/>
        </w:rPr>
        <w:t>emportait pas impérativement l</w:t>
      </w:r>
      <w:r w:rsidR="00E306F7" w:rsidRPr="00E306F7">
        <w:rPr>
          <w:lang w:val="fr-FR"/>
        </w:rPr>
        <w:t>’</w:t>
      </w:r>
      <w:r w:rsidRPr="00E306F7">
        <w:rPr>
          <w:lang w:val="fr-FR"/>
        </w:rPr>
        <w:t>interdiction systématique d</w:t>
      </w:r>
      <w:r w:rsidR="00E306F7" w:rsidRPr="00E306F7">
        <w:rPr>
          <w:lang w:val="fr-FR"/>
        </w:rPr>
        <w:t>’</w:t>
      </w:r>
      <w:r w:rsidRPr="00E306F7">
        <w:rPr>
          <w:lang w:val="fr-FR"/>
        </w:rPr>
        <w:t>exploiter les preuves obtenues en méconnaissance du droit à l</w:t>
      </w:r>
      <w:r w:rsidR="00E306F7" w:rsidRPr="00E306F7">
        <w:rPr>
          <w:lang w:val="fr-FR"/>
        </w:rPr>
        <w:t>’</w:t>
      </w:r>
      <w:r w:rsidRPr="00E306F7">
        <w:rPr>
          <w:lang w:val="fr-FR"/>
        </w:rPr>
        <w:t>information des détenus étrangers, comme le soutenait le Mexique, mais elle impliquait seulement que l</w:t>
      </w:r>
      <w:r w:rsidR="00E306F7" w:rsidRPr="00E306F7">
        <w:rPr>
          <w:lang w:val="fr-FR"/>
        </w:rPr>
        <w:t>’</w:t>
      </w:r>
      <w:r w:rsidRPr="00E306F7">
        <w:rPr>
          <w:lang w:val="fr-FR"/>
        </w:rPr>
        <w:t>interdiction d</w:t>
      </w:r>
      <w:r w:rsidR="00E306F7" w:rsidRPr="00E306F7">
        <w:rPr>
          <w:lang w:val="fr-FR"/>
        </w:rPr>
        <w:t>’</w:t>
      </w:r>
      <w:r w:rsidRPr="00E306F7">
        <w:rPr>
          <w:lang w:val="fr-FR"/>
        </w:rPr>
        <w:t xml:space="preserve">exploiter ces preuves fût envisagée par la juridiction compétente (voir, dans le même sens, les arrêts de la Cour constitutionnelle allemande 2 BvR 2115/01 du 19 </w:t>
      </w:r>
      <w:r w:rsidR="00711292" w:rsidRPr="00E306F7">
        <w:rPr>
          <w:lang w:val="fr-FR"/>
        </w:rPr>
        <w:t> </w:t>
      </w:r>
      <w:r w:rsidRPr="00E306F7">
        <w:rPr>
          <w:lang w:val="fr-FR"/>
        </w:rPr>
        <w:t xml:space="preserve">septembre </w:t>
      </w:r>
      <w:r w:rsidR="00711292" w:rsidRPr="00E306F7">
        <w:rPr>
          <w:lang w:val="fr-FR"/>
        </w:rPr>
        <w:t> </w:t>
      </w:r>
      <w:r w:rsidRPr="00E306F7">
        <w:rPr>
          <w:lang w:val="fr-FR"/>
        </w:rPr>
        <w:t>2006 et 2 BvR 2485/07 du 8 juillet 2010). En conséquence, la CIJ jugea que la violation de l</w:t>
      </w:r>
      <w:r w:rsidR="00E306F7" w:rsidRPr="00E306F7">
        <w:rPr>
          <w:lang w:val="fr-FR"/>
        </w:rPr>
        <w:t>’</w:t>
      </w:r>
      <w:r w:rsidRPr="00E306F7">
        <w:rPr>
          <w:lang w:val="fr-FR"/>
        </w:rPr>
        <w:t>alinéa b) du paragraphe 1 de l</w:t>
      </w:r>
      <w:r w:rsidR="00E306F7" w:rsidRPr="00E306F7">
        <w:rPr>
          <w:lang w:val="fr-FR"/>
        </w:rPr>
        <w:t>’</w:t>
      </w:r>
      <w:r w:rsidRPr="00E306F7">
        <w:rPr>
          <w:lang w:val="fr-FR"/>
        </w:rPr>
        <w:t>article 36 de la Convention de Vienne avait notamment pour conséquence l</w:t>
      </w:r>
      <w:r w:rsidR="00E306F7" w:rsidRPr="00E306F7">
        <w:rPr>
          <w:lang w:val="fr-FR"/>
        </w:rPr>
        <w:t>’</w:t>
      </w:r>
      <w:r w:rsidRPr="00E306F7">
        <w:rPr>
          <w:lang w:val="fr-FR"/>
        </w:rPr>
        <w:t>obligation pour les États-Unis de permettre le réexamen et la révision par les tribunaux américains de l</w:t>
      </w:r>
      <w:r w:rsidR="00E306F7" w:rsidRPr="00E306F7">
        <w:rPr>
          <w:lang w:val="fr-FR"/>
        </w:rPr>
        <w:t>’</w:t>
      </w:r>
      <w:r w:rsidRPr="00E306F7">
        <w:rPr>
          <w:lang w:val="fr-FR"/>
        </w:rPr>
        <w:t>affaire des ressortissants concernés (voir également l</w:t>
      </w:r>
      <w:r w:rsidR="00E306F7" w:rsidRPr="00E306F7">
        <w:rPr>
          <w:lang w:val="fr-FR"/>
        </w:rPr>
        <w:t>’</w:t>
      </w:r>
      <w:r w:rsidRPr="00E306F7">
        <w:rPr>
          <w:lang w:val="fr-FR"/>
        </w:rPr>
        <w:t xml:space="preserve">affaire </w:t>
      </w:r>
      <w:r w:rsidRPr="00E306F7">
        <w:rPr>
          <w:i/>
          <w:lang w:val="fr-FR"/>
        </w:rPr>
        <w:t>LaGrand</w:t>
      </w:r>
      <w:r w:rsidRPr="00E306F7">
        <w:rPr>
          <w:lang w:val="fr-FR"/>
        </w:rPr>
        <w:t xml:space="preserve"> (</w:t>
      </w:r>
      <w:r w:rsidRPr="00E306F7">
        <w:rPr>
          <w:i/>
          <w:lang w:val="fr-FR"/>
        </w:rPr>
        <w:t>Allemagne c. États-Unis d</w:t>
      </w:r>
      <w:r w:rsidR="00E306F7" w:rsidRPr="00E306F7">
        <w:rPr>
          <w:i/>
          <w:lang w:val="fr-FR"/>
        </w:rPr>
        <w:t>’</w:t>
      </w:r>
      <w:r w:rsidRPr="00E306F7">
        <w:rPr>
          <w:i/>
          <w:lang w:val="fr-FR"/>
        </w:rPr>
        <w:t>Amérique</w:t>
      </w:r>
      <w:r w:rsidRPr="00E306F7">
        <w:rPr>
          <w:lang w:val="fr-FR"/>
        </w:rPr>
        <w:t xml:space="preserve">, arrêt, CIJ, Recueil 2001, p. </w:t>
      </w:r>
      <w:r w:rsidR="00C04DE5" w:rsidRPr="00E306F7">
        <w:rPr>
          <w:lang w:val="fr-FR"/>
        </w:rPr>
        <w:t> </w:t>
      </w:r>
      <w:r w:rsidRPr="00E306F7">
        <w:rPr>
          <w:lang w:val="fr-FR"/>
        </w:rPr>
        <w:t>466) du 27 juin 2001).</w:t>
      </w:r>
    </w:p>
    <w:p w:rsidR="00E07F40" w:rsidRPr="00E306F7" w:rsidRDefault="00E07F40" w:rsidP="00E306F7">
      <w:pPr>
        <w:pStyle w:val="ECHRTitle1"/>
        <w:rPr>
          <w:lang w:val="fr-FR"/>
        </w:rPr>
      </w:pPr>
      <w:r w:rsidRPr="00E306F7">
        <w:rPr>
          <w:lang w:val="fr-FR"/>
        </w:rPr>
        <w:t>GRIEFS</w:t>
      </w:r>
    </w:p>
    <w:p w:rsidR="00E07F40" w:rsidRPr="00E306F7" w:rsidRDefault="00E07F40" w:rsidP="00E306F7">
      <w:pPr>
        <w:pStyle w:val="ECHRPara"/>
        <w:rPr>
          <w:lang w:val="fr-FR"/>
        </w:rPr>
      </w:pPr>
      <w:r w:rsidRPr="00E306F7">
        <w:rPr>
          <w:lang w:val="fr-FR"/>
        </w:rPr>
        <w:t>19.  Invoquant l</w:t>
      </w:r>
      <w:r w:rsidR="00E306F7" w:rsidRPr="00E306F7">
        <w:rPr>
          <w:lang w:val="fr-FR"/>
        </w:rPr>
        <w:t>’</w:t>
      </w:r>
      <w:r w:rsidRPr="00E306F7">
        <w:rPr>
          <w:lang w:val="fr-FR"/>
        </w:rPr>
        <w:t>article 6 § 1 de la Convention, le requérant allègue en premier lieu ne pas avoir pu poser de questions supplémentaires à Ma.S. et Mu.S.</w:t>
      </w:r>
    </w:p>
    <w:p w:rsidR="00E07F40" w:rsidRPr="00E306F7" w:rsidRDefault="00E07F40" w:rsidP="00E306F7">
      <w:pPr>
        <w:pStyle w:val="ECHRPara"/>
        <w:rPr>
          <w:lang w:val="fr-FR"/>
        </w:rPr>
      </w:pPr>
      <w:r w:rsidRPr="00E306F7">
        <w:rPr>
          <w:lang w:val="fr-FR"/>
        </w:rPr>
        <w:t>20.  En deuxième lieu, il indique qu</w:t>
      </w:r>
      <w:r w:rsidR="00E306F7" w:rsidRPr="00E306F7">
        <w:rPr>
          <w:lang w:val="fr-FR"/>
        </w:rPr>
        <w:t>’</w:t>
      </w:r>
      <w:r w:rsidRPr="00E306F7">
        <w:rPr>
          <w:lang w:val="fr-FR"/>
        </w:rPr>
        <w:t>A.S. a fait ses déclarations sans l</w:t>
      </w:r>
      <w:r w:rsidR="00E306F7" w:rsidRPr="00E306F7">
        <w:rPr>
          <w:lang w:val="fr-FR"/>
        </w:rPr>
        <w:t>’</w:t>
      </w:r>
      <w:r w:rsidRPr="00E306F7">
        <w:rPr>
          <w:lang w:val="fr-FR"/>
        </w:rPr>
        <w:t>assistance d</w:t>
      </w:r>
      <w:r w:rsidR="00E306F7" w:rsidRPr="00E306F7">
        <w:rPr>
          <w:lang w:val="fr-FR"/>
        </w:rPr>
        <w:t>’</w:t>
      </w:r>
      <w:r w:rsidRPr="00E306F7">
        <w:rPr>
          <w:lang w:val="fr-FR"/>
        </w:rPr>
        <w:t>un avocat et d</w:t>
      </w:r>
      <w:r w:rsidR="00E306F7" w:rsidRPr="00E306F7">
        <w:rPr>
          <w:lang w:val="fr-FR"/>
        </w:rPr>
        <w:t>’</w:t>
      </w:r>
      <w:r w:rsidRPr="00E306F7">
        <w:rPr>
          <w:lang w:val="fr-FR"/>
        </w:rPr>
        <w:t>un interprète lors de l</w:t>
      </w:r>
      <w:r w:rsidR="00E306F7" w:rsidRPr="00E306F7">
        <w:rPr>
          <w:lang w:val="fr-FR"/>
        </w:rPr>
        <w:t>’</w:t>
      </w:r>
      <w:r w:rsidRPr="00E306F7">
        <w:rPr>
          <w:lang w:val="fr-FR"/>
        </w:rPr>
        <w:t>audience du 8 juillet 1998 et soutient qu</w:t>
      </w:r>
      <w:r w:rsidR="00E306F7" w:rsidRPr="00E306F7">
        <w:rPr>
          <w:lang w:val="fr-FR"/>
        </w:rPr>
        <w:t>’</w:t>
      </w:r>
      <w:r w:rsidRPr="00E306F7">
        <w:rPr>
          <w:lang w:val="fr-FR"/>
        </w:rPr>
        <w:t>elles n</w:t>
      </w:r>
      <w:r w:rsidR="00E306F7" w:rsidRPr="00E306F7">
        <w:rPr>
          <w:lang w:val="fr-FR"/>
        </w:rPr>
        <w:t>’</w:t>
      </w:r>
      <w:r w:rsidRPr="00E306F7">
        <w:rPr>
          <w:lang w:val="fr-FR"/>
        </w:rPr>
        <w:t>étaient donc pas exploitables.</w:t>
      </w:r>
    </w:p>
    <w:p w:rsidR="00E07F40" w:rsidRPr="00E306F7" w:rsidRDefault="00E07F40" w:rsidP="00E306F7">
      <w:pPr>
        <w:pStyle w:val="ECHRPara"/>
        <w:rPr>
          <w:lang w:val="fr-FR"/>
        </w:rPr>
      </w:pPr>
      <w:r w:rsidRPr="00E306F7">
        <w:rPr>
          <w:lang w:val="fr-FR"/>
        </w:rPr>
        <w:t>21.  En troisième lieu, il reproche aux autorités internes de ne pas avoir informé Ma.S., Mu.S. et A.S. de leur droit à l</w:t>
      </w:r>
      <w:r w:rsidR="00E306F7" w:rsidRPr="00E306F7">
        <w:rPr>
          <w:lang w:val="fr-FR"/>
        </w:rPr>
        <w:t>’</w:t>
      </w:r>
      <w:r w:rsidRPr="00E306F7">
        <w:rPr>
          <w:lang w:val="fr-FR"/>
        </w:rPr>
        <w:t>assistance consulaire découlant de l</w:t>
      </w:r>
      <w:r w:rsidR="00E306F7" w:rsidRPr="00E306F7">
        <w:rPr>
          <w:lang w:val="fr-FR"/>
        </w:rPr>
        <w:t>’</w:t>
      </w:r>
      <w:r w:rsidRPr="00E306F7">
        <w:rPr>
          <w:lang w:val="fr-FR"/>
        </w:rPr>
        <w:t>article 36 de la CVRC dans le cadre de la procédure ayant conduit à sa condamnation.</w:t>
      </w:r>
    </w:p>
    <w:p w:rsidR="00E07F40" w:rsidRPr="00E306F7" w:rsidRDefault="00E07F40" w:rsidP="00E306F7">
      <w:pPr>
        <w:pStyle w:val="ECHRTitle1"/>
        <w:rPr>
          <w:lang w:val="fr-FR"/>
        </w:rPr>
      </w:pPr>
      <w:r w:rsidRPr="00E306F7">
        <w:rPr>
          <w:lang w:val="fr-FR"/>
        </w:rPr>
        <w:lastRenderedPageBreak/>
        <w:t>EN DROIT</w:t>
      </w:r>
    </w:p>
    <w:p w:rsidR="00E07F40" w:rsidRPr="00E306F7" w:rsidRDefault="00E07F40" w:rsidP="00E306F7">
      <w:pPr>
        <w:pStyle w:val="ECHRPara"/>
        <w:rPr>
          <w:rFonts w:asciiTheme="majorHAnsi" w:hAnsiTheme="majorHAnsi"/>
          <w:sz w:val="28"/>
          <w:lang w:val="fr-FR"/>
        </w:rPr>
      </w:pPr>
      <w:r w:rsidRPr="00E306F7">
        <w:rPr>
          <w:lang w:val="fr-FR"/>
        </w:rPr>
        <w:t>22.  En ce qui concerne l</w:t>
      </w:r>
      <w:r w:rsidR="00E306F7" w:rsidRPr="00E306F7">
        <w:rPr>
          <w:lang w:val="fr-FR"/>
        </w:rPr>
        <w:t>’</w:t>
      </w:r>
      <w:r w:rsidRPr="00E306F7">
        <w:rPr>
          <w:lang w:val="fr-FR"/>
        </w:rPr>
        <w:t>équité de son procès, le requérant se plaint de multiples violations de l</w:t>
      </w:r>
      <w:r w:rsidR="00E306F7" w:rsidRPr="00E306F7">
        <w:rPr>
          <w:lang w:val="fr-FR"/>
        </w:rPr>
        <w:t>’</w:t>
      </w:r>
      <w:r w:rsidRPr="00E306F7">
        <w:rPr>
          <w:lang w:val="fr-FR"/>
        </w:rPr>
        <w:t>article 6 § 1 de la Convention, ainsi libellé dans ses passages pertinents en l</w:t>
      </w:r>
      <w:r w:rsidR="00E306F7" w:rsidRPr="00E306F7">
        <w:rPr>
          <w:lang w:val="fr-FR"/>
        </w:rPr>
        <w:t>’</w:t>
      </w:r>
      <w:r w:rsidRPr="00E306F7">
        <w:rPr>
          <w:lang w:val="fr-FR"/>
        </w:rPr>
        <w:t>espèce :</w:t>
      </w:r>
    </w:p>
    <w:p w:rsidR="00E07F40" w:rsidRPr="00E306F7" w:rsidRDefault="00E07F40" w:rsidP="00E306F7">
      <w:pPr>
        <w:pStyle w:val="ECHRParaQuote"/>
        <w:ind w:left="0" w:firstLine="0"/>
        <w:rPr>
          <w:lang w:val="fr-FR"/>
        </w:rPr>
      </w:pPr>
      <w:r w:rsidRPr="00E306F7">
        <w:rPr>
          <w:lang w:val="fr-FR"/>
        </w:rPr>
        <w:t>« 1.  Toute personne a droit à ce que sa cause soit entendue équitablement (...) par un tribunal (...) qui décidera (...) du bien-fondé de toute accusation en matière pénale dirigée contre elle (...) »</w:t>
      </w:r>
    </w:p>
    <w:p w:rsidR="00E07F40" w:rsidRPr="00E306F7" w:rsidRDefault="00E07F40" w:rsidP="00E306F7">
      <w:pPr>
        <w:pStyle w:val="ECHRPara"/>
        <w:rPr>
          <w:lang w:val="fr-FR"/>
        </w:rPr>
      </w:pPr>
      <w:r w:rsidRPr="00E306F7">
        <w:rPr>
          <w:lang w:val="fr-FR"/>
        </w:rPr>
        <w:t>23.  Le requérant allègue ne pas avoir pu poser de questions supplémentaires à Ma.S. et Mu.S. Il indique qu</w:t>
      </w:r>
      <w:r w:rsidR="00E306F7" w:rsidRPr="00E306F7">
        <w:rPr>
          <w:lang w:val="fr-FR"/>
        </w:rPr>
        <w:t>’</w:t>
      </w:r>
      <w:r w:rsidRPr="00E306F7">
        <w:rPr>
          <w:lang w:val="fr-FR"/>
        </w:rPr>
        <w:t>A.S. a fait ses déclarations lors de l</w:t>
      </w:r>
      <w:r w:rsidR="00E306F7" w:rsidRPr="00E306F7">
        <w:rPr>
          <w:lang w:val="fr-FR"/>
        </w:rPr>
        <w:t>’</w:t>
      </w:r>
      <w:r w:rsidRPr="00E306F7">
        <w:rPr>
          <w:lang w:val="fr-FR"/>
        </w:rPr>
        <w:t>audience du 8 juillet 1998 sans l</w:t>
      </w:r>
      <w:r w:rsidR="00E306F7" w:rsidRPr="00E306F7">
        <w:rPr>
          <w:lang w:val="fr-FR"/>
        </w:rPr>
        <w:t>’</w:t>
      </w:r>
      <w:r w:rsidRPr="00E306F7">
        <w:rPr>
          <w:lang w:val="fr-FR"/>
        </w:rPr>
        <w:t>assistance d</w:t>
      </w:r>
      <w:r w:rsidR="00E306F7" w:rsidRPr="00E306F7">
        <w:rPr>
          <w:lang w:val="fr-FR"/>
        </w:rPr>
        <w:t>’</w:t>
      </w:r>
      <w:r w:rsidRPr="00E306F7">
        <w:rPr>
          <w:lang w:val="fr-FR"/>
        </w:rPr>
        <w:t>un avocat et d</w:t>
      </w:r>
      <w:r w:rsidR="00E306F7" w:rsidRPr="00E306F7">
        <w:rPr>
          <w:lang w:val="fr-FR"/>
        </w:rPr>
        <w:t>’</w:t>
      </w:r>
      <w:r w:rsidRPr="00E306F7">
        <w:rPr>
          <w:lang w:val="fr-FR"/>
        </w:rPr>
        <w:t>un interprète et soutient qu</w:t>
      </w:r>
      <w:r w:rsidR="00E306F7" w:rsidRPr="00E306F7">
        <w:rPr>
          <w:lang w:val="fr-FR"/>
        </w:rPr>
        <w:t>’</w:t>
      </w:r>
      <w:r w:rsidRPr="00E306F7">
        <w:rPr>
          <w:lang w:val="fr-FR"/>
        </w:rPr>
        <w:t>elles n</w:t>
      </w:r>
      <w:r w:rsidR="00E306F7" w:rsidRPr="00E306F7">
        <w:rPr>
          <w:lang w:val="fr-FR"/>
        </w:rPr>
        <w:t>’</w:t>
      </w:r>
      <w:r w:rsidRPr="00E306F7">
        <w:rPr>
          <w:lang w:val="fr-FR"/>
        </w:rPr>
        <w:t>étaient donc pas exploitables.</w:t>
      </w:r>
    </w:p>
    <w:p w:rsidR="00E07F40" w:rsidRPr="00E306F7" w:rsidRDefault="00E07F40" w:rsidP="00E306F7">
      <w:pPr>
        <w:pStyle w:val="ECHRPara"/>
        <w:rPr>
          <w:lang w:val="fr-FR"/>
        </w:rPr>
      </w:pPr>
      <w:r w:rsidRPr="00E306F7">
        <w:rPr>
          <w:lang w:val="fr-FR"/>
        </w:rPr>
        <w:t>24.  Le Gouvernement soulève une exception d</w:t>
      </w:r>
      <w:r w:rsidR="00E306F7" w:rsidRPr="00E306F7">
        <w:rPr>
          <w:lang w:val="fr-FR"/>
        </w:rPr>
        <w:t>’</w:t>
      </w:r>
      <w:r w:rsidRPr="00E306F7">
        <w:rPr>
          <w:lang w:val="fr-FR"/>
        </w:rPr>
        <w:t>irrecevabilité relativement à ces deux griefs. Il soutient que le requérant n</w:t>
      </w:r>
      <w:r w:rsidR="00E306F7" w:rsidRPr="00E306F7">
        <w:rPr>
          <w:lang w:val="fr-FR"/>
        </w:rPr>
        <w:t>’</w:t>
      </w:r>
      <w:r w:rsidRPr="00E306F7">
        <w:rPr>
          <w:lang w:val="fr-FR"/>
        </w:rPr>
        <w:t>a pas respecté les règles minimales de motivation imposées par l</w:t>
      </w:r>
      <w:r w:rsidR="00E306F7" w:rsidRPr="00E306F7">
        <w:rPr>
          <w:lang w:val="fr-FR"/>
        </w:rPr>
        <w:t>’</w:t>
      </w:r>
      <w:r w:rsidRPr="00E306F7">
        <w:rPr>
          <w:lang w:val="fr-FR"/>
        </w:rPr>
        <w:t>article 42 de la LTF lorsqu</w:t>
      </w:r>
      <w:r w:rsidR="00E306F7" w:rsidRPr="00E306F7">
        <w:rPr>
          <w:lang w:val="fr-FR"/>
        </w:rPr>
        <w:t>’</w:t>
      </w:r>
      <w:r w:rsidRPr="00E306F7">
        <w:rPr>
          <w:lang w:val="fr-FR"/>
        </w:rPr>
        <w:t>il les a soumis au Tribunal fédéral (paragraphe 17 ci</w:t>
      </w:r>
      <w:r w:rsidRPr="00E306F7">
        <w:rPr>
          <w:lang w:val="fr-FR"/>
        </w:rPr>
        <w:noBreakHyphen/>
        <w:t>dessus) et qu</w:t>
      </w:r>
      <w:r w:rsidR="00E306F7" w:rsidRPr="00E306F7">
        <w:rPr>
          <w:lang w:val="fr-FR"/>
        </w:rPr>
        <w:t>’</w:t>
      </w:r>
      <w:r w:rsidRPr="00E306F7">
        <w:rPr>
          <w:lang w:val="fr-FR"/>
        </w:rPr>
        <w:t>ils doivent donc être déclarés irrecevables pour non</w:t>
      </w:r>
      <w:r w:rsidRPr="00E306F7">
        <w:rPr>
          <w:lang w:val="fr-FR"/>
        </w:rPr>
        <w:noBreakHyphen/>
        <w:t>épuisement des voies de recours internes. Le Gouvernement indique que l</w:t>
      </w:r>
      <w:r w:rsidR="00E306F7" w:rsidRPr="00E306F7">
        <w:rPr>
          <w:lang w:val="fr-FR"/>
        </w:rPr>
        <w:t>’</w:t>
      </w:r>
      <w:r w:rsidRPr="00E306F7">
        <w:rPr>
          <w:lang w:val="fr-FR"/>
        </w:rPr>
        <w:t>examen matériel effectué par le Tribunal fédéral s</w:t>
      </w:r>
      <w:r w:rsidR="00E306F7" w:rsidRPr="00E306F7">
        <w:rPr>
          <w:lang w:val="fr-FR"/>
        </w:rPr>
        <w:t>’</w:t>
      </w:r>
      <w:r w:rsidRPr="00E306F7">
        <w:rPr>
          <w:lang w:val="fr-FR"/>
        </w:rPr>
        <w:t>est limité à la question de savoir s</w:t>
      </w:r>
      <w:r w:rsidR="00E306F7" w:rsidRPr="00E306F7">
        <w:rPr>
          <w:lang w:val="fr-FR"/>
        </w:rPr>
        <w:t>’</w:t>
      </w:r>
      <w:r w:rsidRPr="00E306F7">
        <w:rPr>
          <w:lang w:val="fr-FR"/>
        </w:rPr>
        <w:t>il y avait eu violation de l</w:t>
      </w:r>
      <w:r w:rsidR="00E306F7" w:rsidRPr="00E306F7">
        <w:rPr>
          <w:lang w:val="fr-FR"/>
        </w:rPr>
        <w:t>’</w:t>
      </w:r>
      <w:r w:rsidRPr="00E306F7">
        <w:rPr>
          <w:lang w:val="fr-FR"/>
        </w:rPr>
        <w:t>alinéa b) du paragraphe 1 de l</w:t>
      </w:r>
      <w:r w:rsidR="00E306F7" w:rsidRPr="00E306F7">
        <w:rPr>
          <w:lang w:val="fr-FR"/>
        </w:rPr>
        <w:t>’</w:t>
      </w:r>
      <w:r w:rsidRPr="00E306F7">
        <w:rPr>
          <w:lang w:val="fr-FR"/>
        </w:rPr>
        <w:t>article 36 de la CVRC (paragraphes 29 et suivants ci-dessous).</w:t>
      </w:r>
    </w:p>
    <w:p w:rsidR="00E07F40" w:rsidRPr="00E306F7" w:rsidRDefault="00E07F40" w:rsidP="00E306F7">
      <w:pPr>
        <w:pStyle w:val="ECHRPara"/>
        <w:rPr>
          <w:lang w:val="fr-FR"/>
        </w:rPr>
      </w:pPr>
      <w:r w:rsidRPr="00E306F7">
        <w:rPr>
          <w:lang w:val="fr-FR"/>
        </w:rPr>
        <w:t>25.  Dans ses observations du 18 avril 2016, le requérant reproche principalement au Tribunal fédéral d</w:t>
      </w:r>
      <w:r w:rsidR="00E306F7" w:rsidRPr="00E306F7">
        <w:rPr>
          <w:lang w:val="fr-FR"/>
        </w:rPr>
        <w:t>’</w:t>
      </w:r>
      <w:r w:rsidRPr="00E306F7">
        <w:rPr>
          <w:lang w:val="fr-FR"/>
        </w:rPr>
        <w:t>avoir essayé de « se sortir » de l</w:t>
      </w:r>
      <w:r w:rsidR="00E306F7" w:rsidRPr="00E306F7">
        <w:rPr>
          <w:lang w:val="fr-FR"/>
        </w:rPr>
        <w:t>’</w:t>
      </w:r>
      <w:r w:rsidRPr="00E306F7">
        <w:rPr>
          <w:lang w:val="fr-FR"/>
        </w:rPr>
        <w:t>affaire et soutient avoir bien observé les exigences de l</w:t>
      </w:r>
      <w:r w:rsidR="00E306F7" w:rsidRPr="00E306F7">
        <w:rPr>
          <w:lang w:val="fr-FR"/>
        </w:rPr>
        <w:t>’</w:t>
      </w:r>
      <w:r w:rsidRPr="00E306F7">
        <w:rPr>
          <w:lang w:val="fr-FR"/>
        </w:rPr>
        <w:t>article 42 de la LTF.</w:t>
      </w:r>
    </w:p>
    <w:p w:rsidR="00E07F40" w:rsidRPr="00E306F7" w:rsidRDefault="00E07F40" w:rsidP="00E306F7">
      <w:pPr>
        <w:pStyle w:val="ECHRPara"/>
        <w:rPr>
          <w:lang w:val="fr-FR"/>
        </w:rPr>
      </w:pPr>
      <w:r w:rsidRPr="00E306F7">
        <w:rPr>
          <w:lang w:val="fr-FR"/>
        </w:rPr>
        <w:t>26.  La Cour rappelle que le mécanisme de sauvegarde instauré par la Convention revêt un caractère subsidiaire par rapport aux systèmes nationaux de garantie des droits de l</w:t>
      </w:r>
      <w:r w:rsidR="00E306F7" w:rsidRPr="00E306F7">
        <w:rPr>
          <w:lang w:val="fr-FR"/>
        </w:rPr>
        <w:t>’</w:t>
      </w:r>
      <w:r w:rsidRPr="00E306F7">
        <w:rPr>
          <w:lang w:val="fr-FR"/>
        </w:rPr>
        <w:t>homme. La Cour a ainsi la charge de surveiller le respect par les États contractants de leurs obligations découlant de la Convention. Elle ne doit pas se substituer aux États contractants, auxquels il incombe de veiller à ce que les droits et libertés fondamentaux consacrés par la Convention soient respectés et protégés au niveau interne. La règle de l</w:t>
      </w:r>
      <w:r w:rsidR="00E306F7" w:rsidRPr="00E306F7">
        <w:rPr>
          <w:lang w:val="fr-FR"/>
        </w:rPr>
        <w:t>’</w:t>
      </w:r>
      <w:r w:rsidRPr="00E306F7">
        <w:rPr>
          <w:lang w:val="fr-FR"/>
        </w:rPr>
        <w:t>épuisement des recours internes se fonde sur l</w:t>
      </w:r>
      <w:r w:rsidR="00E306F7" w:rsidRPr="00E306F7">
        <w:rPr>
          <w:lang w:val="fr-FR"/>
        </w:rPr>
        <w:t>’</w:t>
      </w:r>
      <w:r w:rsidRPr="00E306F7">
        <w:rPr>
          <w:lang w:val="fr-FR"/>
        </w:rPr>
        <w:t>hypothèse, reflétée dans l</w:t>
      </w:r>
      <w:r w:rsidR="00E306F7" w:rsidRPr="00E306F7">
        <w:rPr>
          <w:lang w:val="fr-FR"/>
        </w:rPr>
        <w:t>’</w:t>
      </w:r>
      <w:r w:rsidRPr="00E306F7">
        <w:rPr>
          <w:lang w:val="fr-FR"/>
        </w:rPr>
        <w:t>article 13 de la Convention, avec lequel elle présente d</w:t>
      </w:r>
      <w:r w:rsidR="00E306F7" w:rsidRPr="00E306F7">
        <w:rPr>
          <w:lang w:val="fr-FR"/>
        </w:rPr>
        <w:t>’</w:t>
      </w:r>
      <w:r w:rsidRPr="00E306F7">
        <w:rPr>
          <w:lang w:val="fr-FR"/>
        </w:rPr>
        <w:t>étroites affinités, que l</w:t>
      </w:r>
      <w:r w:rsidR="00E306F7" w:rsidRPr="00E306F7">
        <w:rPr>
          <w:lang w:val="fr-FR"/>
        </w:rPr>
        <w:t>’</w:t>
      </w:r>
      <w:r w:rsidRPr="00E306F7">
        <w:rPr>
          <w:lang w:val="fr-FR"/>
        </w:rPr>
        <w:t>ordre interne offre un recours effectif quant à la violation alléguée. Elle est donc une partie indispensable du fonctionnement de ce mécanisme de protection (</w:t>
      </w:r>
      <w:r w:rsidRPr="00E306F7">
        <w:rPr>
          <w:i/>
          <w:lang w:val="fr-FR"/>
        </w:rPr>
        <w:t xml:space="preserve">Vučković et autres c. Serbie </w:t>
      </w:r>
      <w:r w:rsidRPr="00E306F7">
        <w:rPr>
          <w:lang w:val="fr-FR"/>
        </w:rPr>
        <w:t>(exception préliminaire) [GC], n</w:t>
      </w:r>
      <w:r w:rsidRPr="00E306F7">
        <w:rPr>
          <w:rFonts w:cs="Times New Roman"/>
          <w:vertAlign w:val="superscript"/>
          <w:lang w:val="fr-FR"/>
        </w:rPr>
        <w:t>os</w:t>
      </w:r>
      <w:r w:rsidRPr="00E306F7">
        <w:rPr>
          <w:lang w:val="fr-FR"/>
        </w:rPr>
        <w:t xml:space="preserve"> </w:t>
      </w:r>
      <w:bookmarkStart w:id="2" w:name="File1"/>
      <w:r w:rsidRPr="00E306F7">
        <w:rPr>
          <w:lang w:val="fr-FR"/>
        </w:rPr>
        <w:t>17153/11</w:t>
      </w:r>
      <w:bookmarkEnd w:id="2"/>
      <w:r w:rsidRPr="00E306F7">
        <w:rPr>
          <w:lang w:val="fr-FR"/>
        </w:rPr>
        <w:t xml:space="preserve"> et 29 autres, § 69, 25 mars 2014 ; voir aussi, concernant l</w:t>
      </w:r>
      <w:r w:rsidR="00E306F7" w:rsidRPr="00E306F7">
        <w:rPr>
          <w:lang w:val="fr-FR"/>
        </w:rPr>
        <w:t>’</w:t>
      </w:r>
      <w:r w:rsidRPr="00E306F7">
        <w:rPr>
          <w:lang w:val="fr-FR"/>
        </w:rPr>
        <w:t xml:space="preserve">article 42 de la LTF, la décision </w:t>
      </w:r>
      <w:r w:rsidRPr="00E306F7">
        <w:rPr>
          <w:i/>
          <w:lang w:val="fr-FR"/>
        </w:rPr>
        <w:t>Ingold c. Suisse</w:t>
      </w:r>
      <w:r w:rsidRPr="00E306F7">
        <w:rPr>
          <w:lang w:val="fr-FR"/>
        </w:rPr>
        <w:t>, n</w:t>
      </w:r>
      <w:r w:rsidRPr="00E306F7">
        <w:rPr>
          <w:vertAlign w:val="superscript"/>
          <w:lang w:val="fr-FR"/>
        </w:rPr>
        <w:t>o</w:t>
      </w:r>
      <w:r w:rsidRPr="00E306F7">
        <w:rPr>
          <w:lang w:val="fr-FR"/>
        </w:rPr>
        <w:t> </w:t>
      </w:r>
      <w:r w:rsidRPr="00E306F7">
        <w:rPr>
          <w:rStyle w:val="column"/>
          <w:lang w:val="fr-FR"/>
        </w:rPr>
        <w:t>51914/09</w:t>
      </w:r>
      <w:r w:rsidRPr="00E306F7">
        <w:rPr>
          <w:lang w:val="fr-FR"/>
        </w:rPr>
        <w:t>, 14 octobre 2014, § 30).</w:t>
      </w:r>
    </w:p>
    <w:p w:rsidR="00E07F40" w:rsidRPr="00E306F7" w:rsidRDefault="00E07F40" w:rsidP="00E306F7">
      <w:pPr>
        <w:pStyle w:val="ECHRPara"/>
        <w:rPr>
          <w:lang w:val="fr-FR"/>
        </w:rPr>
      </w:pPr>
      <w:r w:rsidRPr="00E306F7">
        <w:rPr>
          <w:lang w:val="fr-FR"/>
        </w:rPr>
        <w:t>27.  La Cour rappelle de plus que l</w:t>
      </w:r>
      <w:r w:rsidR="00E306F7" w:rsidRPr="00E306F7">
        <w:rPr>
          <w:lang w:val="fr-FR"/>
        </w:rPr>
        <w:t>’</w:t>
      </w:r>
      <w:r w:rsidRPr="00E306F7">
        <w:rPr>
          <w:lang w:val="fr-FR"/>
        </w:rPr>
        <w:t>article 35 § 1 de la Convention impose aussi de soulever devant l</w:t>
      </w:r>
      <w:r w:rsidR="00E306F7" w:rsidRPr="00E306F7">
        <w:rPr>
          <w:lang w:val="fr-FR"/>
        </w:rPr>
        <w:t>’</w:t>
      </w:r>
      <w:r w:rsidRPr="00E306F7">
        <w:rPr>
          <w:lang w:val="fr-FR"/>
        </w:rPr>
        <w:t>organe interne adéquat, au moins en substance et dans les formes et délais prescrits par le droit interne, les griefs que l</w:t>
      </w:r>
      <w:r w:rsidR="00E306F7" w:rsidRPr="00E306F7">
        <w:rPr>
          <w:lang w:val="fr-FR"/>
        </w:rPr>
        <w:t>’</w:t>
      </w:r>
      <w:r w:rsidRPr="00E306F7">
        <w:rPr>
          <w:lang w:val="fr-FR"/>
        </w:rPr>
        <w:t>on entend formuler par la suite devant elle (</w:t>
      </w:r>
      <w:r w:rsidRPr="00E306F7">
        <w:rPr>
          <w:i/>
          <w:lang w:val="fr-FR"/>
        </w:rPr>
        <w:t>Gäfgen c. Allemagne</w:t>
      </w:r>
      <w:r w:rsidRPr="00E306F7">
        <w:rPr>
          <w:lang w:val="fr-FR"/>
        </w:rPr>
        <w:t xml:space="preserve"> [GC], n</w:t>
      </w:r>
      <w:r w:rsidRPr="00E306F7">
        <w:rPr>
          <w:vertAlign w:val="superscript"/>
          <w:lang w:val="fr-FR"/>
        </w:rPr>
        <w:t>o</w:t>
      </w:r>
      <w:r w:rsidRPr="00E306F7">
        <w:rPr>
          <w:lang w:val="fr-FR"/>
        </w:rPr>
        <w:t xml:space="preserve"> 22978/05, §§ 144 et 146, CEDH 2010, et </w:t>
      </w:r>
      <w:r w:rsidRPr="00E306F7">
        <w:rPr>
          <w:i/>
          <w:lang w:val="fr-FR"/>
        </w:rPr>
        <w:t xml:space="preserve">Fressoz et Roire c. France </w:t>
      </w:r>
      <w:r w:rsidRPr="00E306F7">
        <w:rPr>
          <w:lang w:val="fr-FR"/>
        </w:rPr>
        <w:t>[GC], n</w:t>
      </w:r>
      <w:r w:rsidRPr="00E306F7">
        <w:rPr>
          <w:vertAlign w:val="superscript"/>
          <w:lang w:val="fr-FR"/>
        </w:rPr>
        <w:t>o</w:t>
      </w:r>
      <w:r w:rsidRPr="00E306F7">
        <w:rPr>
          <w:lang w:val="fr-FR"/>
        </w:rPr>
        <w:t xml:space="preserve"> 29183/95, § 37, CEDH 1999</w:t>
      </w:r>
      <w:r w:rsidRPr="00E306F7">
        <w:rPr>
          <w:lang w:val="fr-FR"/>
        </w:rPr>
        <w:noBreakHyphen/>
        <w:t>I).</w:t>
      </w:r>
    </w:p>
    <w:p w:rsidR="00E07F40" w:rsidRPr="00E306F7" w:rsidRDefault="00E07F40" w:rsidP="00E306F7">
      <w:pPr>
        <w:pStyle w:val="ECHRPara"/>
        <w:rPr>
          <w:lang w:val="fr-FR"/>
        </w:rPr>
      </w:pPr>
      <w:r w:rsidRPr="00E306F7">
        <w:rPr>
          <w:lang w:val="fr-FR"/>
        </w:rPr>
        <w:t>28.  En l</w:t>
      </w:r>
      <w:r w:rsidR="00E306F7" w:rsidRPr="00E306F7">
        <w:rPr>
          <w:lang w:val="fr-FR"/>
        </w:rPr>
        <w:t>’</w:t>
      </w:r>
      <w:r w:rsidRPr="00E306F7">
        <w:rPr>
          <w:lang w:val="fr-FR"/>
        </w:rPr>
        <w:t>espèce, la Cour observe que le Tribunal fédéral a d</w:t>
      </w:r>
      <w:r w:rsidR="00E306F7" w:rsidRPr="00E306F7">
        <w:rPr>
          <w:lang w:val="fr-FR"/>
        </w:rPr>
        <w:t>’</w:t>
      </w:r>
      <w:r w:rsidRPr="00E306F7">
        <w:rPr>
          <w:lang w:val="fr-FR"/>
        </w:rPr>
        <w:t>emblée déclaré le premier et le deuxième grief du requérant irrecevables pour motivation manifestement insuffisante en vertu de l</w:t>
      </w:r>
      <w:r w:rsidR="00E306F7" w:rsidRPr="00E306F7">
        <w:rPr>
          <w:lang w:val="fr-FR"/>
        </w:rPr>
        <w:t>’</w:t>
      </w:r>
      <w:r w:rsidRPr="00E306F7">
        <w:rPr>
          <w:lang w:val="fr-FR"/>
        </w:rPr>
        <w:t>article 42 de la LTF (paragraphe 17 ci-dessus). La juridiction suprême suisse estima, d</w:t>
      </w:r>
      <w:r w:rsidR="00E306F7" w:rsidRPr="00E306F7">
        <w:rPr>
          <w:lang w:val="fr-FR"/>
        </w:rPr>
        <w:t>’</w:t>
      </w:r>
      <w:r w:rsidRPr="00E306F7">
        <w:rPr>
          <w:lang w:val="fr-FR"/>
        </w:rPr>
        <w:t>une part, que le requérant n</w:t>
      </w:r>
      <w:r w:rsidR="00E306F7" w:rsidRPr="00E306F7">
        <w:rPr>
          <w:lang w:val="fr-FR"/>
        </w:rPr>
        <w:t>’</w:t>
      </w:r>
      <w:r w:rsidRPr="00E306F7">
        <w:rPr>
          <w:lang w:val="fr-FR"/>
        </w:rPr>
        <w:t>avait pas démontré dans son mémoire de recours si et dans quelle mesure les droits procéduraux garantis par la Constitution et par la Convention avaient été violés ou appliqués de manière arbitraire et, d</w:t>
      </w:r>
      <w:r w:rsidR="00E306F7" w:rsidRPr="00E306F7">
        <w:rPr>
          <w:lang w:val="fr-FR"/>
        </w:rPr>
        <w:t>’</w:t>
      </w:r>
      <w:r w:rsidRPr="00E306F7">
        <w:rPr>
          <w:lang w:val="fr-FR"/>
        </w:rPr>
        <w:t>autre part, qu</w:t>
      </w:r>
      <w:r w:rsidR="00E306F7" w:rsidRPr="00E306F7">
        <w:rPr>
          <w:lang w:val="fr-FR"/>
        </w:rPr>
        <w:t>’</w:t>
      </w:r>
      <w:r w:rsidRPr="00E306F7">
        <w:rPr>
          <w:lang w:val="fr-FR"/>
        </w:rPr>
        <w:t>il s</w:t>
      </w:r>
      <w:r w:rsidR="00E306F7" w:rsidRPr="00E306F7">
        <w:rPr>
          <w:lang w:val="fr-FR"/>
        </w:rPr>
        <w:t>’</w:t>
      </w:r>
      <w:r w:rsidRPr="00E306F7">
        <w:rPr>
          <w:lang w:val="fr-FR"/>
        </w:rPr>
        <w:t>était abstenu de discuter la motivation du jugement de l</w:t>
      </w:r>
      <w:r w:rsidR="00E306F7" w:rsidRPr="00E306F7">
        <w:rPr>
          <w:lang w:val="fr-FR"/>
        </w:rPr>
        <w:t>’</w:t>
      </w:r>
      <w:r w:rsidRPr="00E306F7">
        <w:rPr>
          <w:lang w:val="fr-FR"/>
        </w:rPr>
        <w:t>instance inférieure.</w:t>
      </w:r>
    </w:p>
    <w:p w:rsidR="00E07F40" w:rsidRPr="00E306F7" w:rsidRDefault="00E07F40" w:rsidP="00E306F7">
      <w:pPr>
        <w:pStyle w:val="ECHRPara"/>
        <w:rPr>
          <w:lang w:val="fr-FR"/>
        </w:rPr>
      </w:pPr>
      <w:r w:rsidRPr="00E306F7">
        <w:rPr>
          <w:lang w:val="fr-FR"/>
        </w:rPr>
        <w:lastRenderedPageBreak/>
        <w:t>29.  La Cour considère que le requérant n</w:t>
      </w:r>
      <w:r w:rsidR="00E306F7" w:rsidRPr="00E306F7">
        <w:rPr>
          <w:lang w:val="fr-FR"/>
        </w:rPr>
        <w:t>’</w:t>
      </w:r>
      <w:r w:rsidRPr="00E306F7">
        <w:rPr>
          <w:lang w:val="fr-FR"/>
        </w:rPr>
        <w:t>a pas démontré dans sa requête que le Tribunal fédéral aurait en l</w:t>
      </w:r>
      <w:r w:rsidR="00E306F7" w:rsidRPr="00E306F7">
        <w:rPr>
          <w:lang w:val="fr-FR"/>
        </w:rPr>
        <w:t>’</w:t>
      </w:r>
      <w:r w:rsidRPr="00E306F7">
        <w:rPr>
          <w:lang w:val="fr-FR"/>
        </w:rPr>
        <w:t>occurrence appliqué l</w:t>
      </w:r>
      <w:r w:rsidR="00E306F7" w:rsidRPr="00E306F7">
        <w:rPr>
          <w:lang w:val="fr-FR"/>
        </w:rPr>
        <w:t>’</w:t>
      </w:r>
      <w:r w:rsidRPr="00E306F7">
        <w:rPr>
          <w:lang w:val="fr-FR"/>
        </w:rPr>
        <w:t>article 42 de la LTF de manière arbitraire, en violation de l</w:t>
      </w:r>
      <w:r w:rsidR="00E306F7" w:rsidRPr="00E306F7">
        <w:rPr>
          <w:lang w:val="fr-FR"/>
        </w:rPr>
        <w:t>’</w:t>
      </w:r>
      <w:r w:rsidRPr="00E306F7">
        <w:rPr>
          <w:lang w:val="fr-FR"/>
        </w:rPr>
        <w:t>article 6 § 1 de la Convention.</w:t>
      </w:r>
    </w:p>
    <w:p w:rsidR="00E07F40" w:rsidRPr="00E306F7" w:rsidRDefault="00E07F40" w:rsidP="00E306F7">
      <w:pPr>
        <w:pStyle w:val="ECHRPara"/>
        <w:rPr>
          <w:lang w:val="fr-FR"/>
        </w:rPr>
      </w:pPr>
      <w:r w:rsidRPr="00E306F7">
        <w:rPr>
          <w:lang w:val="fr-FR"/>
        </w:rPr>
        <w:t>Au demeurant, la Cour observe que les déclarations de Ma.S. et de Mu.S. n</w:t>
      </w:r>
      <w:r w:rsidR="00E306F7" w:rsidRPr="00E306F7">
        <w:rPr>
          <w:lang w:val="fr-FR"/>
        </w:rPr>
        <w:t>’</w:t>
      </w:r>
      <w:r w:rsidRPr="00E306F7">
        <w:rPr>
          <w:lang w:val="fr-FR"/>
        </w:rPr>
        <w:t>ont pas été les seuls éléments à charge en l</w:t>
      </w:r>
      <w:r w:rsidR="00E306F7" w:rsidRPr="00E306F7">
        <w:rPr>
          <w:lang w:val="fr-FR"/>
        </w:rPr>
        <w:t>’</w:t>
      </w:r>
      <w:r w:rsidRPr="00E306F7">
        <w:rPr>
          <w:lang w:val="fr-FR"/>
        </w:rPr>
        <w:t>espèce et que ces témoins ont été dispensés de comparaître devant le tribunal supérieur pour des raisons objectives, minutieusement motivées dans le jugement. De même, quant au deuxième grief, la Cour note qu</w:t>
      </w:r>
      <w:r w:rsidR="00E306F7" w:rsidRPr="00E306F7">
        <w:rPr>
          <w:lang w:val="fr-FR"/>
        </w:rPr>
        <w:t>’</w:t>
      </w:r>
      <w:r w:rsidRPr="00E306F7">
        <w:rPr>
          <w:lang w:val="fr-FR"/>
        </w:rPr>
        <w:t>A.S. a été informé de son droit à l</w:t>
      </w:r>
      <w:r w:rsidR="00E306F7" w:rsidRPr="00E306F7">
        <w:rPr>
          <w:lang w:val="fr-FR"/>
        </w:rPr>
        <w:t>’</w:t>
      </w:r>
      <w:r w:rsidRPr="00E306F7">
        <w:rPr>
          <w:lang w:val="fr-FR"/>
        </w:rPr>
        <w:t>assistance d</w:t>
      </w:r>
      <w:r w:rsidR="00E306F7" w:rsidRPr="00E306F7">
        <w:rPr>
          <w:lang w:val="fr-FR"/>
        </w:rPr>
        <w:t>’</w:t>
      </w:r>
      <w:r w:rsidRPr="00E306F7">
        <w:rPr>
          <w:lang w:val="fr-FR"/>
        </w:rPr>
        <w:t>un avocat et d</w:t>
      </w:r>
      <w:r w:rsidR="00E306F7" w:rsidRPr="00E306F7">
        <w:rPr>
          <w:lang w:val="fr-FR"/>
        </w:rPr>
        <w:t>’</w:t>
      </w:r>
      <w:r w:rsidRPr="00E306F7">
        <w:rPr>
          <w:lang w:val="fr-FR"/>
        </w:rPr>
        <w:t>un interprète dès le début de la procédure ouverte contre lui et qu</w:t>
      </w:r>
      <w:r w:rsidR="00E306F7" w:rsidRPr="00E306F7">
        <w:rPr>
          <w:lang w:val="fr-FR"/>
        </w:rPr>
        <w:t>’</w:t>
      </w:r>
      <w:r w:rsidRPr="00E306F7">
        <w:rPr>
          <w:lang w:val="fr-FR"/>
        </w:rPr>
        <w:t>il y a expressément renoncé. De plus, A.S. a comparu à l</w:t>
      </w:r>
      <w:r w:rsidR="00E306F7" w:rsidRPr="00E306F7">
        <w:rPr>
          <w:lang w:val="fr-FR"/>
        </w:rPr>
        <w:t>’</w:t>
      </w:r>
      <w:r w:rsidRPr="00E306F7">
        <w:rPr>
          <w:lang w:val="fr-FR"/>
        </w:rPr>
        <w:t>audience devant le tribunal supérieur (paragraphe 13 ci-dessus) et le requérant a eu la faculté de lui poser des questions.</w:t>
      </w:r>
    </w:p>
    <w:p w:rsidR="00E07F40" w:rsidRPr="00E306F7" w:rsidRDefault="00E07F40" w:rsidP="00E306F7">
      <w:pPr>
        <w:pStyle w:val="ECHRPara"/>
        <w:rPr>
          <w:lang w:val="fr-FR"/>
        </w:rPr>
      </w:pPr>
      <w:r w:rsidRPr="00E306F7">
        <w:rPr>
          <w:lang w:val="fr-FR"/>
        </w:rPr>
        <w:t>30.  Partant, la Cour conclut que le premier et le deuxième grief doivent être rejetés</w:t>
      </w:r>
      <w:r w:rsidRPr="00E306F7">
        <w:rPr>
          <w:snapToGrid w:val="0"/>
          <w:lang w:val="fr-FR"/>
        </w:rPr>
        <w:t xml:space="preserve"> pour défaut manifeste de fondement, en application de l</w:t>
      </w:r>
      <w:r w:rsidR="00E306F7" w:rsidRPr="00E306F7">
        <w:rPr>
          <w:snapToGrid w:val="0"/>
          <w:lang w:val="fr-FR"/>
        </w:rPr>
        <w:t>’</w:t>
      </w:r>
      <w:r w:rsidRPr="00E306F7">
        <w:rPr>
          <w:snapToGrid w:val="0"/>
          <w:lang w:val="fr-FR"/>
        </w:rPr>
        <w:t>article 35 §§ 3 a) et 4 de la Convention</w:t>
      </w:r>
      <w:r w:rsidRPr="00E306F7">
        <w:rPr>
          <w:lang w:val="fr-FR"/>
        </w:rPr>
        <w:t>.</w:t>
      </w:r>
    </w:p>
    <w:p w:rsidR="00E07F40" w:rsidRPr="00E306F7" w:rsidRDefault="00E07F40" w:rsidP="00E306F7">
      <w:pPr>
        <w:pStyle w:val="ECHRPara"/>
        <w:rPr>
          <w:lang w:val="fr-FR"/>
        </w:rPr>
      </w:pPr>
      <w:r w:rsidRPr="00E306F7">
        <w:rPr>
          <w:lang w:val="fr-FR"/>
        </w:rPr>
        <w:t>31.  En ce qui concerne le troisième grief, le requérant soutient que, dans le cadre de la procédure ayant conduit à sa condamnation, Ma.S., Mu.S. et A.S. n</w:t>
      </w:r>
      <w:r w:rsidR="00E306F7" w:rsidRPr="00E306F7">
        <w:rPr>
          <w:lang w:val="fr-FR"/>
        </w:rPr>
        <w:t>’</w:t>
      </w:r>
      <w:r w:rsidRPr="00E306F7">
        <w:rPr>
          <w:lang w:val="fr-FR"/>
        </w:rPr>
        <w:t>ont pas été informés de leur droit à l</w:t>
      </w:r>
      <w:r w:rsidR="00E306F7" w:rsidRPr="00E306F7">
        <w:rPr>
          <w:lang w:val="fr-FR"/>
        </w:rPr>
        <w:t>’</w:t>
      </w:r>
      <w:r w:rsidRPr="00E306F7">
        <w:rPr>
          <w:lang w:val="fr-FR"/>
        </w:rPr>
        <w:t>assistance consulaire découlant de l</w:t>
      </w:r>
      <w:r w:rsidR="00E306F7" w:rsidRPr="00E306F7">
        <w:rPr>
          <w:lang w:val="fr-FR"/>
        </w:rPr>
        <w:t>’</w:t>
      </w:r>
      <w:r w:rsidRPr="00E306F7">
        <w:rPr>
          <w:lang w:val="fr-FR"/>
        </w:rPr>
        <w:t>article 36 de la CVRC. Il considère que ce vice de procédure était en soi si grave qu</w:t>
      </w:r>
      <w:r w:rsidR="00E306F7" w:rsidRPr="00E306F7">
        <w:rPr>
          <w:lang w:val="fr-FR"/>
        </w:rPr>
        <w:t>’</w:t>
      </w:r>
      <w:r w:rsidRPr="00E306F7">
        <w:rPr>
          <w:lang w:val="fr-FR"/>
        </w:rPr>
        <w:t>il aurait eu pour conséquence de rendre les témoignages des intéressés inexploitables en tant qu</w:t>
      </w:r>
      <w:r w:rsidR="00E306F7" w:rsidRPr="00E306F7">
        <w:rPr>
          <w:lang w:val="fr-FR"/>
        </w:rPr>
        <w:t>’</w:t>
      </w:r>
      <w:r w:rsidRPr="00E306F7">
        <w:rPr>
          <w:lang w:val="fr-FR"/>
        </w:rPr>
        <w:t>éléments de preuve.</w:t>
      </w:r>
    </w:p>
    <w:p w:rsidR="00E07F40" w:rsidRPr="00E306F7" w:rsidRDefault="00E07F40" w:rsidP="00E306F7">
      <w:pPr>
        <w:pStyle w:val="ECHRPara"/>
        <w:rPr>
          <w:lang w:val="fr-FR"/>
        </w:rPr>
      </w:pPr>
      <w:r w:rsidRPr="00E306F7">
        <w:rPr>
          <w:lang w:val="fr-FR"/>
        </w:rPr>
        <w:t>32.  Le Gouvernement renvoie à la jurisprudence de la Cour et considère que les allégations du requérant sont dépourvues de tout fondement.</w:t>
      </w:r>
    </w:p>
    <w:p w:rsidR="00E07F40" w:rsidRPr="00E306F7" w:rsidRDefault="00E07F40" w:rsidP="00E306F7">
      <w:pPr>
        <w:pStyle w:val="ECHRPara"/>
        <w:rPr>
          <w:lang w:val="fr-FR"/>
        </w:rPr>
      </w:pPr>
      <w:r w:rsidRPr="00E306F7">
        <w:rPr>
          <w:lang w:val="fr-FR"/>
        </w:rPr>
        <w:t>33.  La Cour rappelle qu</w:t>
      </w:r>
      <w:r w:rsidR="00E306F7" w:rsidRPr="00E306F7">
        <w:rPr>
          <w:lang w:val="fr-FR"/>
        </w:rPr>
        <w:t>’</w:t>
      </w:r>
      <w:r w:rsidRPr="00E306F7">
        <w:rPr>
          <w:lang w:val="fr-FR"/>
        </w:rPr>
        <w:t>elle n</w:t>
      </w:r>
      <w:r w:rsidR="00E306F7" w:rsidRPr="00E306F7">
        <w:rPr>
          <w:lang w:val="fr-FR"/>
        </w:rPr>
        <w:t>’</w:t>
      </w:r>
      <w:r w:rsidRPr="00E306F7">
        <w:rPr>
          <w:lang w:val="fr-FR"/>
        </w:rPr>
        <w:t>a pas à se prononcer, par principe, sur l</w:t>
      </w:r>
      <w:r w:rsidR="00E306F7" w:rsidRPr="00E306F7">
        <w:rPr>
          <w:lang w:val="fr-FR"/>
        </w:rPr>
        <w:t>’</w:t>
      </w:r>
      <w:r w:rsidRPr="00E306F7">
        <w:rPr>
          <w:lang w:val="fr-FR"/>
        </w:rPr>
        <w:t>admissibilité de certaines sortes d</w:t>
      </w:r>
      <w:r w:rsidR="00E306F7" w:rsidRPr="00E306F7">
        <w:rPr>
          <w:lang w:val="fr-FR"/>
        </w:rPr>
        <w:t>’</w:t>
      </w:r>
      <w:r w:rsidRPr="00E306F7">
        <w:rPr>
          <w:lang w:val="fr-FR"/>
        </w:rPr>
        <w:t>éléments de preuve, par exemple des éléments obtenus de manière illégale (</w:t>
      </w:r>
      <w:r w:rsidRPr="00E306F7">
        <w:rPr>
          <w:i/>
          <w:lang w:val="fr-FR"/>
        </w:rPr>
        <w:t>Schenk c. Suisse</w:t>
      </w:r>
      <w:r w:rsidRPr="00E306F7">
        <w:rPr>
          <w:lang w:val="fr-FR"/>
        </w:rPr>
        <w:t>, 12 juillet 1988, § 46, série A n</w:t>
      </w:r>
      <w:r w:rsidRPr="00E306F7">
        <w:rPr>
          <w:rFonts w:cs="Times New Roman"/>
          <w:vertAlign w:val="superscript"/>
          <w:lang w:val="fr-FR"/>
        </w:rPr>
        <w:t>o</w:t>
      </w:r>
      <w:r w:rsidRPr="00E306F7">
        <w:rPr>
          <w:lang w:val="fr-FR"/>
        </w:rPr>
        <w:t xml:space="preserve"> 140, </w:t>
      </w:r>
      <w:r w:rsidRPr="00E306F7">
        <w:rPr>
          <w:i/>
          <w:lang w:val="it-IT"/>
        </w:rPr>
        <w:t>Gäfgen</w:t>
      </w:r>
      <w:r w:rsidRPr="00E306F7">
        <w:rPr>
          <w:lang w:val="it-IT"/>
        </w:rPr>
        <w:t xml:space="preserve">, précité, § 162, et </w:t>
      </w:r>
      <w:r w:rsidRPr="00E306F7">
        <w:rPr>
          <w:i/>
          <w:lang w:val="fr-FR"/>
        </w:rPr>
        <w:t>Ibrahim et autres c. Royaume-Uni</w:t>
      </w:r>
      <w:r w:rsidRPr="00E306F7">
        <w:rPr>
          <w:lang w:val="fr-FR"/>
        </w:rPr>
        <w:t xml:space="preserve"> [GC]</w:t>
      </w:r>
      <w:r w:rsidRPr="00E306F7">
        <w:rPr>
          <w:snapToGrid w:val="0"/>
          <w:lang w:val="fr-FR"/>
        </w:rPr>
        <w:t>, n</w:t>
      </w:r>
      <w:r w:rsidRPr="00E306F7">
        <w:rPr>
          <w:vertAlign w:val="superscript"/>
          <w:lang w:val="fr-FR"/>
        </w:rPr>
        <w:t>os</w:t>
      </w:r>
      <w:r w:rsidRPr="00E306F7">
        <w:rPr>
          <w:snapToGrid w:val="0"/>
          <w:lang w:val="fr-FR"/>
        </w:rPr>
        <w:t xml:space="preserve"> 50541/08 </w:t>
      </w:r>
      <w:r w:rsidRPr="00E306F7">
        <w:rPr>
          <w:lang w:val="fr-FR"/>
        </w:rPr>
        <w:t>et 3 autres</w:t>
      </w:r>
      <w:r w:rsidRPr="00E306F7">
        <w:rPr>
          <w:snapToGrid w:val="0"/>
          <w:lang w:val="fr-FR"/>
        </w:rPr>
        <w:t xml:space="preserve">, § 254, </w:t>
      </w:r>
      <w:r w:rsidRPr="00E306F7">
        <w:rPr>
          <w:lang w:val="fr-FR"/>
        </w:rPr>
        <w:t>13 septembre</w:t>
      </w:r>
      <w:r w:rsidRPr="00E306F7">
        <w:rPr>
          <w:snapToGrid w:val="0"/>
          <w:lang w:val="fr-FR"/>
        </w:rPr>
        <w:t xml:space="preserve"> 2016</w:t>
      </w:r>
      <w:r w:rsidRPr="00E306F7">
        <w:rPr>
          <w:lang w:val="fr-FR"/>
        </w:rPr>
        <w:t>) ; cela vaut également pour une preuve qui aurait été obtenue, comme l</w:t>
      </w:r>
      <w:r w:rsidR="00E306F7" w:rsidRPr="00E306F7">
        <w:rPr>
          <w:lang w:val="fr-FR"/>
        </w:rPr>
        <w:t>’</w:t>
      </w:r>
      <w:r w:rsidRPr="00E306F7">
        <w:rPr>
          <w:lang w:val="fr-FR"/>
        </w:rPr>
        <w:t>allègue en l</w:t>
      </w:r>
      <w:r w:rsidR="00E306F7" w:rsidRPr="00E306F7">
        <w:rPr>
          <w:lang w:val="fr-FR"/>
        </w:rPr>
        <w:t>’</w:t>
      </w:r>
      <w:r w:rsidRPr="00E306F7">
        <w:rPr>
          <w:lang w:val="fr-FR"/>
        </w:rPr>
        <w:t>espèce le requérant, en méconnaissance du droit international (</w:t>
      </w:r>
      <w:r w:rsidRPr="00E306F7">
        <w:rPr>
          <w:i/>
          <w:lang w:val="fr-FR"/>
        </w:rPr>
        <w:t xml:space="preserve">Meier c. Suisse </w:t>
      </w:r>
      <w:r w:rsidRPr="00E306F7">
        <w:rPr>
          <w:lang w:val="fr-FR"/>
        </w:rPr>
        <w:t>(déc.), n</w:t>
      </w:r>
      <w:r w:rsidRPr="00E306F7">
        <w:rPr>
          <w:vertAlign w:val="superscript"/>
          <w:lang w:val="fr-FR"/>
        </w:rPr>
        <w:t>o</w:t>
      </w:r>
      <w:r w:rsidRPr="00E306F7">
        <w:rPr>
          <w:lang w:val="fr-FR"/>
        </w:rPr>
        <w:t xml:space="preserve"> 11590/08, § 54, 18 juin 2013). En revanche, lorsqu</w:t>
      </w:r>
      <w:r w:rsidR="00E306F7" w:rsidRPr="00E306F7">
        <w:rPr>
          <w:lang w:val="fr-FR"/>
        </w:rPr>
        <w:t>’</w:t>
      </w:r>
      <w:r w:rsidRPr="00E306F7">
        <w:rPr>
          <w:lang w:val="fr-FR"/>
        </w:rPr>
        <w:t>elle examine un grief tiré de l</w:t>
      </w:r>
      <w:r w:rsidR="00E306F7" w:rsidRPr="00E306F7">
        <w:rPr>
          <w:lang w:val="fr-FR"/>
        </w:rPr>
        <w:t>’</w:t>
      </w:r>
      <w:r w:rsidRPr="00E306F7">
        <w:rPr>
          <w:lang w:val="fr-FR"/>
        </w:rPr>
        <w:t>article 6 § 1 de la Convention, la Cour doit essentiellement déterminer si la procédure pénale, y compris la manière dont les preuves ont été recueillies, a globalement revêtu un caractère équitable (voir, avec références et à titre d</w:t>
      </w:r>
      <w:r w:rsidR="00E306F7" w:rsidRPr="00E306F7">
        <w:rPr>
          <w:lang w:val="fr-FR"/>
        </w:rPr>
        <w:t>’</w:t>
      </w:r>
      <w:r w:rsidRPr="00E306F7">
        <w:rPr>
          <w:lang w:val="fr-FR"/>
        </w:rPr>
        <w:t xml:space="preserve">exemple, </w:t>
      </w:r>
      <w:r w:rsidRPr="00E306F7">
        <w:rPr>
          <w:i/>
          <w:lang w:val="fr-FR"/>
        </w:rPr>
        <w:t xml:space="preserve">Schatschaschwili c. Allemagne </w:t>
      </w:r>
      <w:r w:rsidRPr="00E306F7">
        <w:rPr>
          <w:lang w:val="fr-FR"/>
        </w:rPr>
        <w:t>[GC], n</w:t>
      </w:r>
      <w:r w:rsidRPr="00E306F7">
        <w:rPr>
          <w:vertAlign w:val="superscript"/>
          <w:lang w:val="fr-FR"/>
        </w:rPr>
        <w:t>o</w:t>
      </w:r>
      <w:r w:rsidRPr="00E306F7">
        <w:rPr>
          <w:lang w:val="fr-FR"/>
        </w:rPr>
        <w:t xml:space="preserve"> 9154/10, § 101, CEDH 2015, </w:t>
      </w:r>
      <w:r w:rsidRPr="00E306F7">
        <w:rPr>
          <w:i/>
          <w:lang w:val="it-IT"/>
        </w:rPr>
        <w:t>Jalloh c. Allemagne</w:t>
      </w:r>
      <w:r w:rsidRPr="00E306F7">
        <w:rPr>
          <w:lang w:val="it-IT"/>
        </w:rPr>
        <w:t xml:space="preserve"> [GC], n</w:t>
      </w:r>
      <w:r w:rsidRPr="00E306F7">
        <w:rPr>
          <w:vertAlign w:val="superscript"/>
          <w:lang w:val="it-IT"/>
        </w:rPr>
        <w:t>o</w:t>
      </w:r>
      <w:r w:rsidRPr="00E306F7">
        <w:rPr>
          <w:lang w:val="it-IT"/>
        </w:rPr>
        <w:t xml:space="preserve"> 54810/00, § 95, CEDH 2006</w:t>
      </w:r>
      <w:r w:rsidRPr="00E306F7">
        <w:rPr>
          <w:lang w:val="it-IT"/>
        </w:rPr>
        <w:noBreakHyphen/>
        <w:t xml:space="preserve">IX, </w:t>
      </w:r>
      <w:r w:rsidRPr="00E306F7">
        <w:rPr>
          <w:i/>
          <w:lang w:val="fr-FR"/>
        </w:rPr>
        <w:t>Bykov c. Russie</w:t>
      </w:r>
      <w:r w:rsidRPr="00E306F7">
        <w:rPr>
          <w:lang w:val="fr-FR"/>
        </w:rPr>
        <w:t xml:space="preserve"> [GC], n</w:t>
      </w:r>
      <w:r w:rsidRPr="00E306F7">
        <w:rPr>
          <w:vertAlign w:val="superscript"/>
          <w:lang w:val="fr-FR"/>
        </w:rPr>
        <w:t>o</w:t>
      </w:r>
      <w:r w:rsidRPr="00E306F7">
        <w:rPr>
          <w:lang w:val="fr-FR"/>
        </w:rPr>
        <w:t> 4378/02, § 89, 10 mars 2009,</w:t>
      </w:r>
      <w:r w:rsidRPr="00E306F7">
        <w:rPr>
          <w:i/>
          <w:lang w:val="fr-FR"/>
        </w:rPr>
        <w:t xml:space="preserve"> </w:t>
      </w:r>
      <w:r w:rsidRPr="00E306F7">
        <w:rPr>
          <w:lang w:val="fr-FR"/>
        </w:rPr>
        <w:t>et</w:t>
      </w:r>
      <w:r w:rsidRPr="00E306F7">
        <w:rPr>
          <w:i/>
          <w:lang w:val="fr-FR"/>
        </w:rPr>
        <w:t xml:space="preserve"> Beuze c. Belgique </w:t>
      </w:r>
      <w:r w:rsidRPr="00E306F7">
        <w:rPr>
          <w:lang w:val="fr-FR"/>
        </w:rPr>
        <w:t>[GC], n</w:t>
      </w:r>
      <w:r w:rsidRPr="00E306F7">
        <w:rPr>
          <w:vertAlign w:val="superscript"/>
          <w:lang w:val="fr-FR"/>
        </w:rPr>
        <w:t>o</w:t>
      </w:r>
      <w:r w:rsidRPr="00E306F7">
        <w:rPr>
          <w:lang w:val="fr-FR"/>
        </w:rPr>
        <w:t xml:space="preserve"> 71409/10, § 120, 9 novembre 2018). À ce propos, la Cour réitère que le respect des exigences du procès équitable s</w:t>
      </w:r>
      <w:r w:rsidR="00E306F7" w:rsidRPr="00E306F7">
        <w:rPr>
          <w:lang w:val="fr-FR"/>
        </w:rPr>
        <w:t>’</w:t>
      </w:r>
      <w:r w:rsidRPr="00E306F7">
        <w:rPr>
          <w:lang w:val="fr-FR"/>
        </w:rPr>
        <w:t>apprécie au cas par cas à l</w:t>
      </w:r>
      <w:r w:rsidR="00E306F7" w:rsidRPr="00E306F7">
        <w:rPr>
          <w:lang w:val="fr-FR"/>
        </w:rPr>
        <w:t>’</w:t>
      </w:r>
      <w:r w:rsidRPr="00E306F7">
        <w:rPr>
          <w:lang w:val="fr-FR"/>
        </w:rPr>
        <w:t>aune de la conduite de la procédure dans son ensemble et non en se fondant sur l</w:t>
      </w:r>
      <w:r w:rsidR="00E306F7" w:rsidRPr="00E306F7">
        <w:rPr>
          <w:lang w:val="fr-FR"/>
        </w:rPr>
        <w:t>’</w:t>
      </w:r>
      <w:r w:rsidRPr="00E306F7">
        <w:rPr>
          <w:lang w:val="fr-FR"/>
        </w:rPr>
        <w:t>examen isolé de tel ou tel point ou incident (voir, parmi beaucoup d</w:t>
      </w:r>
      <w:r w:rsidR="00E306F7" w:rsidRPr="00E306F7">
        <w:rPr>
          <w:lang w:val="fr-FR"/>
        </w:rPr>
        <w:t>’</w:t>
      </w:r>
      <w:r w:rsidRPr="00E306F7">
        <w:rPr>
          <w:lang w:val="fr-FR"/>
        </w:rPr>
        <w:t xml:space="preserve">autres, </w:t>
      </w:r>
      <w:r w:rsidRPr="00E306F7">
        <w:rPr>
          <w:i/>
          <w:lang w:val="fr-FR"/>
        </w:rPr>
        <w:t>Beuze</w:t>
      </w:r>
      <w:r w:rsidRPr="00E306F7">
        <w:rPr>
          <w:lang w:val="fr-FR"/>
        </w:rPr>
        <w:t>, précité, § 121).</w:t>
      </w:r>
    </w:p>
    <w:p w:rsidR="00E07F40" w:rsidRPr="00E306F7" w:rsidRDefault="00E07F40" w:rsidP="00E306F7">
      <w:pPr>
        <w:pStyle w:val="ECHRPara"/>
        <w:rPr>
          <w:snapToGrid w:val="0"/>
          <w:lang w:val="it-IT"/>
        </w:rPr>
      </w:pPr>
      <w:r w:rsidRPr="00E306F7">
        <w:rPr>
          <w:lang w:val="fr-FR"/>
        </w:rPr>
        <w:t>34.  Des considérations différentes valent toutefois pour les éléments de preuve recueillis au moyen d</w:t>
      </w:r>
      <w:r w:rsidR="00E306F7" w:rsidRPr="00E306F7">
        <w:rPr>
          <w:lang w:val="fr-FR"/>
        </w:rPr>
        <w:t>’</w:t>
      </w:r>
      <w:r w:rsidRPr="00E306F7">
        <w:rPr>
          <w:lang w:val="fr-FR"/>
        </w:rPr>
        <w:t>une mesure jugée contraire à l</w:t>
      </w:r>
      <w:r w:rsidR="00E306F7" w:rsidRPr="00E306F7">
        <w:rPr>
          <w:lang w:val="fr-FR"/>
        </w:rPr>
        <w:t>’</w:t>
      </w:r>
      <w:r w:rsidRPr="00E306F7">
        <w:rPr>
          <w:lang w:val="fr-FR"/>
        </w:rPr>
        <w:t>article 3 de la Convention (</w:t>
      </w:r>
      <w:r w:rsidRPr="00E306F7">
        <w:rPr>
          <w:i/>
          <w:lang w:val="it-IT"/>
        </w:rPr>
        <w:t>Jalloh</w:t>
      </w:r>
      <w:r w:rsidRPr="00E306F7">
        <w:rPr>
          <w:lang w:val="it-IT"/>
        </w:rPr>
        <w:t xml:space="preserve">, précité, § 99, et </w:t>
      </w:r>
      <w:r w:rsidRPr="00E306F7">
        <w:rPr>
          <w:i/>
          <w:lang w:val="it-IT"/>
        </w:rPr>
        <w:t>Gäfgen</w:t>
      </w:r>
      <w:r w:rsidRPr="00E306F7">
        <w:rPr>
          <w:lang w:val="it-IT"/>
        </w:rPr>
        <w:t>, précité, §§ 165 et suivants)</w:t>
      </w:r>
      <w:r w:rsidRPr="00E306F7">
        <w:rPr>
          <w:lang w:val="fr-FR"/>
        </w:rPr>
        <w:t>. Ainsi, il est de jurisprudence constante que le maintien dans le dossier pénal de preuves obtenues d</w:t>
      </w:r>
      <w:r w:rsidR="00E306F7" w:rsidRPr="00E306F7">
        <w:rPr>
          <w:lang w:val="fr-FR"/>
        </w:rPr>
        <w:t>’</w:t>
      </w:r>
      <w:r w:rsidRPr="00E306F7">
        <w:rPr>
          <w:lang w:val="fr-FR"/>
        </w:rPr>
        <w:t>un coaccusé ou d</w:t>
      </w:r>
      <w:r w:rsidR="00E306F7" w:rsidRPr="00E306F7">
        <w:rPr>
          <w:lang w:val="fr-FR"/>
        </w:rPr>
        <w:t>’</w:t>
      </w:r>
      <w:r w:rsidRPr="00E306F7">
        <w:rPr>
          <w:lang w:val="fr-FR"/>
        </w:rPr>
        <w:t>un témoin au moyen de la torture ou d</w:t>
      </w:r>
      <w:r w:rsidR="00E306F7" w:rsidRPr="00E306F7">
        <w:rPr>
          <w:lang w:val="fr-FR"/>
        </w:rPr>
        <w:t>’</w:t>
      </w:r>
      <w:r w:rsidRPr="00E306F7">
        <w:rPr>
          <w:lang w:val="fr-FR"/>
        </w:rPr>
        <w:t>un traitement dégradant prive d</w:t>
      </w:r>
      <w:r w:rsidR="00E306F7" w:rsidRPr="00E306F7">
        <w:rPr>
          <w:lang w:val="fr-FR"/>
        </w:rPr>
        <w:t>’</w:t>
      </w:r>
      <w:r w:rsidRPr="00E306F7">
        <w:rPr>
          <w:lang w:val="fr-FR"/>
        </w:rPr>
        <w:t>équité cette procédure dans son ensemble (</w:t>
      </w:r>
      <w:r w:rsidRPr="00E306F7">
        <w:rPr>
          <w:i/>
          <w:iCs/>
          <w:lang w:val="nl-NL"/>
        </w:rPr>
        <w:t>Mindadze et Nemsitsveridze c. Géorgie</w:t>
      </w:r>
      <w:r w:rsidRPr="00E306F7">
        <w:rPr>
          <w:lang w:val="nl-NL"/>
        </w:rPr>
        <w:t>, n</w:t>
      </w:r>
      <w:r w:rsidRPr="00E306F7">
        <w:rPr>
          <w:vertAlign w:val="superscript"/>
          <w:lang w:val="nl-NL"/>
        </w:rPr>
        <w:t>o</w:t>
      </w:r>
      <w:r w:rsidRPr="00E306F7">
        <w:rPr>
          <w:lang w:val="nl-NL"/>
        </w:rPr>
        <w:t xml:space="preserve"> 21571/05, § 142, 1</w:t>
      </w:r>
      <w:r w:rsidRPr="00E306F7">
        <w:rPr>
          <w:vertAlign w:val="superscript"/>
          <w:lang w:val="nl-NL"/>
        </w:rPr>
        <w:t>er</w:t>
      </w:r>
      <w:r w:rsidRPr="00E306F7">
        <w:rPr>
          <w:lang w:val="nl-NL"/>
        </w:rPr>
        <w:t xml:space="preserve"> </w:t>
      </w:r>
      <w:r w:rsidR="00711292" w:rsidRPr="00E306F7">
        <w:rPr>
          <w:lang w:val="nl-NL"/>
        </w:rPr>
        <w:t> </w:t>
      </w:r>
      <w:r w:rsidRPr="00E306F7">
        <w:rPr>
          <w:lang w:val="nl-NL"/>
        </w:rPr>
        <w:t xml:space="preserve">juin 2017, et </w:t>
      </w:r>
      <w:r w:rsidRPr="00E306F7">
        <w:rPr>
          <w:i/>
          <w:lang w:val="it-IT"/>
        </w:rPr>
        <w:t>Kaçiu et Kotorri</w:t>
      </w:r>
      <w:r w:rsidRPr="00E306F7">
        <w:rPr>
          <w:snapToGrid w:val="0"/>
          <w:lang w:val="it-IT"/>
        </w:rPr>
        <w:t xml:space="preserve"> </w:t>
      </w:r>
      <w:r w:rsidRPr="00E306F7">
        <w:rPr>
          <w:i/>
          <w:lang w:val="it-IT"/>
        </w:rPr>
        <w:t>c. Albanie</w:t>
      </w:r>
      <w:r w:rsidRPr="00E306F7">
        <w:rPr>
          <w:snapToGrid w:val="0"/>
          <w:lang w:val="it-IT"/>
        </w:rPr>
        <w:t>, n</w:t>
      </w:r>
      <w:r w:rsidRPr="00E306F7">
        <w:rPr>
          <w:vertAlign w:val="superscript"/>
          <w:lang w:val="it-IT"/>
        </w:rPr>
        <w:t>os</w:t>
      </w:r>
      <w:r w:rsidR="00711292" w:rsidRPr="00E306F7">
        <w:rPr>
          <w:snapToGrid w:val="0"/>
          <w:lang w:val="it-IT"/>
        </w:rPr>
        <w:t xml:space="preserve"> 33192/07 et 33194/07, §§ 126</w:t>
      </w:r>
      <w:r w:rsidR="00711292" w:rsidRPr="00E306F7">
        <w:rPr>
          <w:snapToGrid w:val="0"/>
          <w:lang w:val="it-IT"/>
        </w:rPr>
        <w:noBreakHyphen/>
        <w:t> </w:t>
      </w:r>
      <w:r w:rsidRPr="00E306F7">
        <w:rPr>
          <w:snapToGrid w:val="0"/>
          <w:lang w:val="it-IT"/>
        </w:rPr>
        <w:t>128, 25 juin 2013).</w:t>
      </w:r>
    </w:p>
    <w:p w:rsidR="00E07F40" w:rsidRPr="00E306F7" w:rsidRDefault="00E07F40" w:rsidP="00E306F7">
      <w:pPr>
        <w:pStyle w:val="ECHRPara"/>
        <w:rPr>
          <w:lang w:val="fr-FR"/>
        </w:rPr>
      </w:pPr>
      <w:r w:rsidRPr="00E306F7">
        <w:rPr>
          <w:snapToGrid w:val="0"/>
          <w:lang w:val="fr-FR"/>
        </w:rPr>
        <w:t>35.  En l</w:t>
      </w:r>
      <w:r w:rsidR="00E306F7" w:rsidRPr="00E306F7">
        <w:rPr>
          <w:snapToGrid w:val="0"/>
          <w:lang w:val="fr-FR"/>
        </w:rPr>
        <w:t>’</w:t>
      </w:r>
      <w:r w:rsidRPr="00E306F7">
        <w:rPr>
          <w:snapToGrid w:val="0"/>
          <w:lang w:val="fr-FR"/>
        </w:rPr>
        <w:t xml:space="preserve">espèce, la Cour observe que le </w:t>
      </w:r>
      <w:r w:rsidRPr="00E306F7">
        <w:rPr>
          <w:lang w:val="fr-FR"/>
        </w:rPr>
        <w:t>droit à l</w:t>
      </w:r>
      <w:r w:rsidR="00E306F7" w:rsidRPr="00E306F7">
        <w:rPr>
          <w:lang w:val="fr-FR"/>
        </w:rPr>
        <w:t>’</w:t>
      </w:r>
      <w:r w:rsidRPr="00E306F7">
        <w:rPr>
          <w:lang w:val="fr-FR"/>
        </w:rPr>
        <w:t>assistance consulaire découlant de l</w:t>
      </w:r>
      <w:r w:rsidR="00E306F7" w:rsidRPr="00E306F7">
        <w:rPr>
          <w:lang w:val="fr-FR"/>
        </w:rPr>
        <w:t>’</w:t>
      </w:r>
      <w:r w:rsidRPr="00E306F7">
        <w:rPr>
          <w:lang w:val="fr-FR"/>
        </w:rPr>
        <w:t>article 36 de la CVRC n</w:t>
      </w:r>
      <w:r w:rsidR="00E306F7" w:rsidRPr="00E306F7">
        <w:rPr>
          <w:lang w:val="fr-FR"/>
        </w:rPr>
        <w:t>’</w:t>
      </w:r>
      <w:r w:rsidRPr="00E306F7">
        <w:rPr>
          <w:lang w:val="fr-FR"/>
        </w:rPr>
        <w:t>a pas été enfreint dans le chef du requérant.</w:t>
      </w:r>
      <w:r w:rsidRPr="00E306F7">
        <w:rPr>
          <w:snapToGrid w:val="0"/>
          <w:lang w:val="fr-FR"/>
        </w:rPr>
        <w:t xml:space="preserve"> En ce qui concerne l</w:t>
      </w:r>
      <w:r w:rsidR="00E306F7" w:rsidRPr="00E306F7">
        <w:rPr>
          <w:snapToGrid w:val="0"/>
          <w:lang w:val="fr-FR"/>
        </w:rPr>
        <w:t>’</w:t>
      </w:r>
      <w:r w:rsidRPr="00E306F7">
        <w:rPr>
          <w:snapToGrid w:val="0"/>
          <w:lang w:val="fr-FR"/>
        </w:rPr>
        <w:t>allégation de celui-ci selon laquelle</w:t>
      </w:r>
      <w:r w:rsidRPr="00E306F7">
        <w:rPr>
          <w:lang w:val="fr-FR"/>
        </w:rPr>
        <w:t xml:space="preserve"> une violation de l</w:t>
      </w:r>
      <w:r w:rsidR="00E306F7" w:rsidRPr="00E306F7">
        <w:rPr>
          <w:lang w:val="fr-FR"/>
        </w:rPr>
        <w:t>’</w:t>
      </w:r>
      <w:r w:rsidRPr="00E306F7">
        <w:rPr>
          <w:lang w:val="fr-FR"/>
        </w:rPr>
        <w:t xml:space="preserve">article 36 de la CVRC dans le chef des témoins Ma.S., </w:t>
      </w:r>
      <w:r w:rsidRPr="00E306F7">
        <w:rPr>
          <w:lang w:val="fr-FR"/>
        </w:rPr>
        <w:lastRenderedPageBreak/>
        <w:t>Mu.S. et A.S. rendait leurs déclarations automatiquement inexploitables en tant qu</w:t>
      </w:r>
      <w:r w:rsidR="00E306F7" w:rsidRPr="00E306F7">
        <w:rPr>
          <w:lang w:val="fr-FR"/>
        </w:rPr>
        <w:t>’</w:t>
      </w:r>
      <w:r w:rsidRPr="00E306F7">
        <w:rPr>
          <w:lang w:val="fr-FR"/>
        </w:rPr>
        <w:t xml:space="preserve">éléments de preuve, </w:t>
      </w:r>
      <w:r w:rsidRPr="00E306F7">
        <w:rPr>
          <w:snapToGrid w:val="0"/>
          <w:lang w:val="fr-FR"/>
        </w:rPr>
        <w:t xml:space="preserve">la Cour observe </w:t>
      </w:r>
      <w:r w:rsidRPr="00E306F7">
        <w:rPr>
          <w:lang w:val="fr-FR"/>
        </w:rPr>
        <w:t>qu</w:t>
      </w:r>
      <w:r w:rsidR="00E306F7" w:rsidRPr="00E306F7">
        <w:rPr>
          <w:lang w:val="fr-FR"/>
        </w:rPr>
        <w:t>’</w:t>
      </w:r>
      <w:r w:rsidRPr="00E306F7">
        <w:rPr>
          <w:lang w:val="fr-FR"/>
        </w:rPr>
        <w:t>aucun indice ne permet de soupçonner que les déclarations de ces témoins ont été obtenues au moyen de méthodes d</w:t>
      </w:r>
      <w:r w:rsidR="00E306F7" w:rsidRPr="00E306F7">
        <w:rPr>
          <w:lang w:val="fr-FR"/>
        </w:rPr>
        <w:t>’</w:t>
      </w:r>
      <w:r w:rsidRPr="00E306F7">
        <w:rPr>
          <w:lang w:val="fr-FR"/>
        </w:rPr>
        <w:t>enquête incompatibles avec l</w:t>
      </w:r>
      <w:r w:rsidR="00E306F7" w:rsidRPr="00E306F7">
        <w:rPr>
          <w:lang w:val="fr-FR"/>
        </w:rPr>
        <w:t>’</w:t>
      </w:r>
      <w:r w:rsidRPr="00E306F7">
        <w:rPr>
          <w:lang w:val="fr-FR"/>
        </w:rPr>
        <w:t>article 3 de la Convention. Ainsi, contrairement à ce que soutient le requérant, l</w:t>
      </w:r>
      <w:r w:rsidR="00E306F7" w:rsidRPr="00E306F7">
        <w:rPr>
          <w:lang w:val="fr-FR"/>
        </w:rPr>
        <w:t>’</w:t>
      </w:r>
      <w:r w:rsidRPr="00E306F7">
        <w:rPr>
          <w:lang w:val="fr-FR"/>
        </w:rPr>
        <w:t>exception qui se dégage de la jurisprudence de la Cour (paragraphe 34 ci-dessus) ne s</w:t>
      </w:r>
      <w:r w:rsidR="00E306F7" w:rsidRPr="00E306F7">
        <w:rPr>
          <w:lang w:val="fr-FR"/>
        </w:rPr>
        <w:t>’</w:t>
      </w:r>
      <w:r w:rsidRPr="00E306F7">
        <w:rPr>
          <w:lang w:val="fr-FR"/>
        </w:rPr>
        <w:t>applique pas en l</w:t>
      </w:r>
      <w:r w:rsidR="00E306F7" w:rsidRPr="00E306F7">
        <w:rPr>
          <w:lang w:val="fr-FR"/>
        </w:rPr>
        <w:t>’</w:t>
      </w:r>
      <w:r w:rsidRPr="00E306F7">
        <w:rPr>
          <w:lang w:val="fr-FR"/>
        </w:rPr>
        <w:t>espèce et les déclarations des témoins étaient, en principe, exploitables lors du procès du requérant.</w:t>
      </w:r>
    </w:p>
    <w:p w:rsidR="00E07F40" w:rsidRPr="00E306F7" w:rsidRDefault="00E07F40" w:rsidP="00E306F7">
      <w:pPr>
        <w:pStyle w:val="ECHRPara"/>
        <w:rPr>
          <w:lang w:val="fr-FR"/>
        </w:rPr>
      </w:pPr>
      <w:r w:rsidRPr="00E306F7">
        <w:rPr>
          <w:lang w:val="fr-FR"/>
        </w:rPr>
        <w:t>36.  En l</w:t>
      </w:r>
      <w:r w:rsidR="00E306F7" w:rsidRPr="00E306F7">
        <w:rPr>
          <w:lang w:val="fr-FR"/>
        </w:rPr>
        <w:t>’</w:t>
      </w:r>
      <w:r w:rsidRPr="00E306F7">
        <w:rPr>
          <w:lang w:val="fr-FR"/>
        </w:rPr>
        <w:t>espèce, la Cour constate que dans sa requête le requérant n</w:t>
      </w:r>
      <w:r w:rsidR="00E306F7" w:rsidRPr="00E306F7">
        <w:rPr>
          <w:lang w:val="fr-FR"/>
        </w:rPr>
        <w:t>’</w:t>
      </w:r>
      <w:r w:rsidRPr="00E306F7">
        <w:rPr>
          <w:lang w:val="fr-FR"/>
        </w:rPr>
        <w:t>a pas démontré de manière concrète et étayée dans quelle mesure le fait que les autorités suisses n</w:t>
      </w:r>
      <w:r w:rsidR="00E306F7" w:rsidRPr="00E306F7">
        <w:rPr>
          <w:lang w:val="fr-FR"/>
        </w:rPr>
        <w:t>’</w:t>
      </w:r>
      <w:r w:rsidRPr="00E306F7">
        <w:rPr>
          <w:lang w:val="fr-FR"/>
        </w:rPr>
        <w:t>aient pas informé les trois témoins de leur droit consulaire découlant de l</w:t>
      </w:r>
      <w:r w:rsidR="00E306F7" w:rsidRPr="00E306F7">
        <w:rPr>
          <w:lang w:val="fr-FR"/>
        </w:rPr>
        <w:t>’</w:t>
      </w:r>
      <w:r w:rsidRPr="00E306F7">
        <w:rPr>
          <w:lang w:val="fr-FR"/>
        </w:rPr>
        <w:t>article 36 de la CVRC aurait eu le moindre effet sur l</w:t>
      </w:r>
      <w:r w:rsidR="00E306F7" w:rsidRPr="00E306F7">
        <w:rPr>
          <w:lang w:val="fr-FR"/>
        </w:rPr>
        <w:t>’</w:t>
      </w:r>
      <w:r w:rsidRPr="00E306F7">
        <w:rPr>
          <w:lang w:val="fr-FR"/>
        </w:rPr>
        <w:t>équité de son procès. Partant, considérant que le requérant n</w:t>
      </w:r>
      <w:r w:rsidR="00E306F7" w:rsidRPr="00E306F7">
        <w:rPr>
          <w:lang w:val="fr-FR"/>
        </w:rPr>
        <w:t>’</w:t>
      </w:r>
      <w:r w:rsidRPr="00E306F7">
        <w:rPr>
          <w:lang w:val="fr-FR"/>
        </w:rPr>
        <w:t>allègue pas d</w:t>
      </w:r>
      <w:r w:rsidR="00E306F7" w:rsidRPr="00E306F7">
        <w:rPr>
          <w:lang w:val="fr-FR"/>
        </w:rPr>
        <w:t>’</w:t>
      </w:r>
      <w:r w:rsidRPr="00E306F7">
        <w:rPr>
          <w:lang w:val="fr-FR"/>
        </w:rPr>
        <w:t>autres violations de l</w:t>
      </w:r>
      <w:r w:rsidR="00E306F7" w:rsidRPr="00E306F7">
        <w:rPr>
          <w:lang w:val="fr-FR"/>
        </w:rPr>
        <w:t>’</w:t>
      </w:r>
      <w:r w:rsidRPr="00E306F7">
        <w:rPr>
          <w:lang w:val="fr-FR"/>
        </w:rPr>
        <w:t>article 6, la Cour est convaincue que l</w:t>
      </w:r>
      <w:r w:rsidR="00E306F7" w:rsidRPr="00E306F7">
        <w:rPr>
          <w:lang w:val="fr-FR"/>
        </w:rPr>
        <w:t>’</w:t>
      </w:r>
      <w:r w:rsidRPr="00E306F7">
        <w:rPr>
          <w:lang w:val="fr-FR"/>
        </w:rPr>
        <w:t>utilisation des déclarations de Ma.S., de Mu.S. et d</w:t>
      </w:r>
      <w:r w:rsidR="00E306F7" w:rsidRPr="00E306F7">
        <w:rPr>
          <w:lang w:val="fr-FR"/>
        </w:rPr>
        <w:t>’</w:t>
      </w:r>
      <w:r w:rsidRPr="00E306F7">
        <w:rPr>
          <w:lang w:val="fr-FR"/>
        </w:rPr>
        <w:t>A.S. dans le cadre du procès du requérant dans lequel les juridictions internes se sont d</w:t>
      </w:r>
      <w:r w:rsidR="00E306F7" w:rsidRPr="00E306F7">
        <w:rPr>
          <w:lang w:val="fr-FR"/>
        </w:rPr>
        <w:t>’</w:t>
      </w:r>
      <w:r w:rsidRPr="00E306F7">
        <w:rPr>
          <w:lang w:val="fr-FR"/>
        </w:rPr>
        <w:t>ailleurs fondées sur un vaste faisceau de preuves n</w:t>
      </w:r>
      <w:r w:rsidR="00E306F7" w:rsidRPr="00E306F7">
        <w:rPr>
          <w:lang w:val="fr-FR"/>
        </w:rPr>
        <w:t>’</w:t>
      </w:r>
      <w:r w:rsidRPr="00E306F7">
        <w:rPr>
          <w:lang w:val="fr-FR"/>
        </w:rPr>
        <w:t>a pas entaché d</w:t>
      </w:r>
      <w:r w:rsidR="00E306F7" w:rsidRPr="00E306F7">
        <w:rPr>
          <w:lang w:val="fr-FR"/>
        </w:rPr>
        <w:t>’</w:t>
      </w:r>
      <w:r w:rsidRPr="00E306F7">
        <w:rPr>
          <w:lang w:val="fr-FR"/>
        </w:rPr>
        <w:t>iniquité la procédure dans son ensemble.</w:t>
      </w:r>
    </w:p>
    <w:p w:rsidR="00E07F40" w:rsidRPr="00E306F7" w:rsidRDefault="00E07F40" w:rsidP="00E306F7">
      <w:pPr>
        <w:pStyle w:val="ECHRPara"/>
        <w:rPr>
          <w:snapToGrid w:val="0"/>
          <w:lang w:val="fr-FR"/>
        </w:rPr>
      </w:pPr>
      <w:r w:rsidRPr="00E306F7">
        <w:rPr>
          <w:snapToGrid w:val="0"/>
          <w:lang w:val="fr-FR"/>
        </w:rPr>
        <w:t>37.  Au vu de ce qui précède, la Cour conclut que ce grief doit être rejeté pour défaut manifeste de fondement, en application de l</w:t>
      </w:r>
      <w:r w:rsidR="00E306F7" w:rsidRPr="00E306F7">
        <w:rPr>
          <w:snapToGrid w:val="0"/>
          <w:lang w:val="fr-FR"/>
        </w:rPr>
        <w:t>’</w:t>
      </w:r>
      <w:r w:rsidRPr="00E306F7">
        <w:rPr>
          <w:snapToGrid w:val="0"/>
          <w:lang w:val="fr-FR"/>
        </w:rPr>
        <w:t>article 35 §§ 3 a) et 4 de la Convention.</w:t>
      </w:r>
    </w:p>
    <w:p w:rsidR="00E07F40" w:rsidRPr="00E306F7" w:rsidRDefault="00E07F40" w:rsidP="00E306F7">
      <w:pPr>
        <w:pStyle w:val="DecList"/>
        <w:rPr>
          <w:lang w:val="fr-FR"/>
        </w:rPr>
      </w:pPr>
      <w:r w:rsidRPr="00E306F7">
        <w:rPr>
          <w:lang w:val="fr-FR"/>
        </w:rPr>
        <w:t>Par ces motifs, la Cour, à l</w:t>
      </w:r>
      <w:r w:rsidR="00E306F7" w:rsidRPr="00E306F7">
        <w:rPr>
          <w:lang w:val="fr-FR"/>
        </w:rPr>
        <w:t>’</w:t>
      </w:r>
      <w:r w:rsidRPr="00E306F7">
        <w:rPr>
          <w:lang w:val="fr-FR"/>
        </w:rPr>
        <w:t>unanimité,</w:t>
      </w:r>
    </w:p>
    <w:p w:rsidR="00E07F40" w:rsidRPr="00E306F7" w:rsidRDefault="00E07F40" w:rsidP="00E306F7">
      <w:pPr>
        <w:pStyle w:val="DecList"/>
        <w:rPr>
          <w:lang w:val="fr-FR"/>
        </w:rPr>
      </w:pPr>
      <w:r w:rsidRPr="00E306F7">
        <w:rPr>
          <w:i/>
          <w:lang w:val="fr-FR"/>
        </w:rPr>
        <w:t xml:space="preserve">Déclare </w:t>
      </w:r>
      <w:r w:rsidRPr="00E306F7">
        <w:rPr>
          <w:lang w:val="fr-FR"/>
        </w:rPr>
        <w:t>la requête irrecevable.</w:t>
      </w:r>
    </w:p>
    <w:p w:rsidR="00050A32" w:rsidRPr="00E306F7" w:rsidRDefault="00844C25" w:rsidP="00E306F7">
      <w:pPr>
        <w:pStyle w:val="JuParaLast"/>
        <w:rPr>
          <w:lang w:val="fr-FR"/>
        </w:rPr>
      </w:pPr>
      <w:r w:rsidRPr="00E306F7">
        <w:rPr>
          <w:szCs w:val="24"/>
          <w:lang w:val="fr-FR"/>
        </w:rPr>
        <w:t xml:space="preserve">Fait en français puis communiqué par écrit le </w:t>
      </w:r>
      <w:r w:rsidR="00E07F40" w:rsidRPr="00E306F7">
        <w:rPr>
          <w:szCs w:val="24"/>
          <w:lang w:val="fr-FR"/>
        </w:rPr>
        <w:t>25 juillet 2019</w:t>
      </w:r>
      <w:r w:rsidRPr="00E306F7">
        <w:rPr>
          <w:lang w:val="fr-FR"/>
        </w:rPr>
        <w:t>.</w:t>
      </w:r>
    </w:p>
    <w:p w:rsidR="0091478F" w:rsidRPr="00E306F7" w:rsidRDefault="00844C25" w:rsidP="00E306F7">
      <w:pPr>
        <w:pStyle w:val="JuSigned"/>
        <w:tabs>
          <w:tab w:val="clear" w:pos="6407"/>
          <w:tab w:val="center" w:pos="5812"/>
        </w:tabs>
        <w:rPr>
          <w:lang w:val="fr-FR"/>
        </w:rPr>
      </w:pPr>
      <w:r w:rsidRPr="00E306F7">
        <w:rPr>
          <w:lang w:val="fr-FR"/>
        </w:rPr>
        <w:tab/>
      </w:r>
      <w:r w:rsidR="00711292" w:rsidRPr="00E306F7">
        <w:rPr>
          <w:szCs w:val="24"/>
          <w:lang w:val="fr-FR"/>
        </w:rPr>
        <w:t>Fatoş Aracı</w:t>
      </w:r>
      <w:r w:rsidRPr="00E306F7">
        <w:rPr>
          <w:lang w:val="fr-FR"/>
        </w:rPr>
        <w:tab/>
      </w:r>
      <w:r w:rsidR="00E07F40" w:rsidRPr="00E306F7">
        <w:rPr>
          <w:lang w:val="fr-FR"/>
        </w:rPr>
        <w:t>Paulo Pinto de Albuquerque</w:t>
      </w:r>
      <w:r w:rsidRPr="00E306F7">
        <w:rPr>
          <w:lang w:val="fr-FR"/>
        </w:rPr>
        <w:br/>
      </w:r>
      <w:r w:rsidRPr="00E306F7">
        <w:rPr>
          <w:iCs/>
          <w:lang w:val="fr-FR"/>
        </w:rPr>
        <w:tab/>
      </w:r>
      <w:r w:rsidR="00711292" w:rsidRPr="00E306F7">
        <w:rPr>
          <w:lang w:val="fr-FR"/>
        </w:rPr>
        <w:t>Greffière adjointe</w:t>
      </w:r>
      <w:r w:rsidRPr="00E306F7">
        <w:rPr>
          <w:lang w:val="fr-FR"/>
        </w:rPr>
        <w:tab/>
      </w:r>
      <w:r w:rsidR="00E07F40" w:rsidRPr="00E306F7">
        <w:rPr>
          <w:lang w:val="fr-FR"/>
        </w:rPr>
        <w:t>Président</w:t>
      </w:r>
    </w:p>
    <w:sectPr w:rsidR="0091478F" w:rsidRPr="00E306F7" w:rsidSect="003D7723">
      <w:headerReference w:type="even" r:id="rId11"/>
      <w:headerReference w:type="default" r:id="rId12"/>
      <w:headerReference w:type="first" r:id="rId13"/>
      <w:footerReference w:type="first" r:id="rId14"/>
      <w:pgSz w:w="11906" w:h="16838" w:code="9"/>
      <w:pgMar w:top="2274" w:right="1133" w:bottom="2274" w:left="1560"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46" w:rsidRDefault="00810946">
      <w:r>
        <w:separator/>
      </w:r>
    </w:p>
  </w:endnote>
  <w:endnote w:type="continuationSeparator" w:id="0">
    <w:p w:rsidR="00810946" w:rsidRDefault="008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40" w:rsidRPr="00150BFA" w:rsidRDefault="00E07F40" w:rsidP="0020718E">
    <w:pPr>
      <w:jc w:val="center"/>
    </w:pPr>
    <w:r>
      <w:rPr>
        <w:noProof/>
        <w:lang w:val="ru-RU" w:eastAsia="ru-RU"/>
      </w:rPr>
      <w:drawing>
        <wp:inline distT="0" distB="0" distL="0" distR="0" wp14:anchorId="144FEF37" wp14:editId="5998DE28">
          <wp:extent cx="771525" cy="619125"/>
          <wp:effectExtent l="0" t="0" r="9525" b="9525"/>
          <wp:docPr id="38"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810946" w:rsidP="003146E4">
    <w:pPr>
      <w:jc w:val="cen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46" w:rsidRDefault="00810946">
      <w:r>
        <w:separator/>
      </w:r>
    </w:p>
  </w:footnote>
  <w:footnote w:type="continuationSeparator" w:id="0">
    <w:p w:rsidR="00810946" w:rsidRDefault="00810946">
      <w:r>
        <w:continuationSeparator/>
      </w:r>
    </w:p>
  </w:footnote>
  <w:footnote w:id="1">
    <w:p w:rsidR="00E07F40" w:rsidRPr="00A67DA1" w:rsidRDefault="00E07F40" w:rsidP="00E07F40">
      <w:pPr>
        <w:pStyle w:val="af5"/>
        <w:rPr>
          <w:lang w:val="fr-FR"/>
        </w:rPr>
      </w:pPr>
      <w:r w:rsidRPr="00E07F40">
        <w:footnoteRef/>
      </w:r>
      <w:r w:rsidRPr="00711292">
        <w:rPr>
          <w:lang w:val="fr-FR"/>
        </w:rPr>
        <w:t>.  </w:t>
      </w:r>
      <w:r>
        <w:rPr>
          <w:lang w:val="fr-FR"/>
        </w:rPr>
        <w:t>Dans le présent exposé des faits, il y a lieu d’interpréter toute référence au Kosovo, qu’il s’agisse de son territoire, de ses institutions ou de sa population, conformément à la Résolution 1244 du Conseil de sécurité des Nations unies et sans préjudice du statut du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62" w:rsidRPr="008B0BD9" w:rsidRDefault="00711292" w:rsidP="003312A3">
    <w:pPr>
      <w:pStyle w:val="ECHRHeader"/>
      <w:rPr>
        <w:lang w:val="en-GB"/>
      </w:rPr>
    </w:pPr>
    <w:r>
      <w:rPr>
        <w:rStyle w:val="aff7"/>
        <w:lang w:val="en-GB"/>
      </w:rPr>
      <w:fldChar w:fldCharType="begin"/>
    </w:r>
    <w:r>
      <w:rPr>
        <w:rStyle w:val="aff7"/>
        <w:lang w:val="en-GB"/>
      </w:rPr>
      <w:instrText xml:space="preserve"> PAGE </w:instrText>
    </w:r>
    <w:r>
      <w:rPr>
        <w:rStyle w:val="aff7"/>
        <w:lang w:val="en-GB"/>
      </w:rPr>
      <w:fldChar w:fldCharType="separate"/>
    </w:r>
    <w:r w:rsidR="00D23A16">
      <w:rPr>
        <w:rStyle w:val="aff7"/>
        <w:noProof/>
        <w:lang w:val="en-GB"/>
      </w:rPr>
      <w:t>6</w:t>
    </w:r>
    <w:r>
      <w:rPr>
        <w:rStyle w:val="aff7"/>
        <w:lang w:val="en-GB"/>
      </w:rPr>
      <w:fldChar w:fldCharType="end"/>
    </w:r>
    <w:r w:rsidR="00844C25" w:rsidRPr="008B0BD9">
      <w:rPr>
        <w:lang w:val="en-GB"/>
      </w:rPr>
      <w:tab/>
      <w:t xml:space="preserve">DÉCISION </w:t>
    </w:r>
    <w:r>
      <w:rPr>
        <w:lang w:val="en-GB"/>
      </w:rPr>
      <w:t>SHALA c. SUISSE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62" w:rsidRPr="008B0BD9" w:rsidRDefault="00844C25" w:rsidP="006544C4">
    <w:pPr>
      <w:pStyle w:val="ECHRHeader"/>
      <w:rPr>
        <w:lang w:val="en-GB"/>
      </w:rPr>
    </w:pPr>
    <w:r w:rsidRPr="007A6280">
      <w:rPr>
        <w:lang w:val="fr-FR"/>
      </w:rPr>
      <w:tab/>
    </w:r>
    <w:r w:rsidRPr="008B0BD9">
      <w:rPr>
        <w:lang w:val="en-GB"/>
      </w:rPr>
      <w:t xml:space="preserve">DÉCISION </w:t>
    </w:r>
    <w:r w:rsidR="00711292">
      <w:rPr>
        <w:lang w:val="en-GB"/>
      </w:rPr>
      <w:t>SHALA c. SUISSE</w:t>
    </w:r>
    <w:r w:rsidRPr="008B0BD9">
      <w:rPr>
        <w:lang w:val="en-GB"/>
      </w:rPr>
      <w:tab/>
    </w:r>
    <w:r w:rsidR="00711292">
      <w:rPr>
        <w:rStyle w:val="aff7"/>
        <w:lang w:val="en-GB"/>
      </w:rPr>
      <w:fldChar w:fldCharType="begin"/>
    </w:r>
    <w:r w:rsidR="00711292">
      <w:rPr>
        <w:rStyle w:val="aff7"/>
        <w:lang w:val="en-GB"/>
      </w:rPr>
      <w:instrText xml:space="preserve"> PAGE </w:instrText>
    </w:r>
    <w:r w:rsidR="00711292">
      <w:rPr>
        <w:rStyle w:val="aff7"/>
        <w:lang w:val="en-GB"/>
      </w:rPr>
      <w:fldChar w:fldCharType="separate"/>
    </w:r>
    <w:r w:rsidR="00D23A16">
      <w:rPr>
        <w:rStyle w:val="aff7"/>
        <w:noProof/>
        <w:lang w:val="en-GB"/>
      </w:rPr>
      <w:t>7</w:t>
    </w:r>
    <w:r w:rsidR="00711292">
      <w:rPr>
        <w:rStyle w:val="aff7"/>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40" w:rsidRPr="00A45145" w:rsidRDefault="00E07F40" w:rsidP="00A45145">
    <w:pPr>
      <w:jc w:val="center"/>
    </w:pPr>
    <w:r>
      <w:rPr>
        <w:noProof/>
        <w:lang w:val="ru-RU" w:eastAsia="ru-RU"/>
      </w:rPr>
      <w:drawing>
        <wp:inline distT="0" distB="0" distL="0" distR="0" wp14:anchorId="6C3401B8" wp14:editId="2232DCDE">
          <wp:extent cx="2962275" cy="1219200"/>
          <wp:effectExtent l="0" t="0" r="9525" b="0"/>
          <wp:docPr id="37"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810946" w:rsidP="003146E4">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C56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784B4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2BEA74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0CE469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BB0CDA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AB61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58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A10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83B6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15E9F4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15:restartNumberingAfterBreak="0">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CD2930"/>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E07F40"/>
    <w:rsid w:val="001E53D5"/>
    <w:rsid w:val="00332217"/>
    <w:rsid w:val="003D7723"/>
    <w:rsid w:val="00711292"/>
    <w:rsid w:val="00810946"/>
    <w:rsid w:val="00844C25"/>
    <w:rsid w:val="008E6C63"/>
    <w:rsid w:val="00C04DE5"/>
    <w:rsid w:val="00C517C3"/>
    <w:rsid w:val="00D23A16"/>
    <w:rsid w:val="00E07F40"/>
    <w:rsid w:val="00E20AA2"/>
    <w:rsid w:val="00E306F7"/>
    <w:rsid w:val="00FF0B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4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F9130D"/>
    <w:pPr>
      <w:jc w:val="both"/>
    </w:pPr>
    <w:rPr>
      <w:rFonts w:eastAsiaTheme="minorEastAsia"/>
      <w:sz w:val="24"/>
    </w:rPr>
  </w:style>
  <w:style w:type="paragraph" w:styleId="1">
    <w:name w:val="heading 1"/>
    <w:basedOn w:val="a2"/>
    <w:next w:val="a2"/>
    <w:link w:val="10"/>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F9130D"/>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F9130D"/>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F9130D"/>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F9130D"/>
    <w:rPr>
      <w:rFonts w:ascii="Tahoma" w:hAnsi="Tahoma" w:cs="Tahoma"/>
      <w:sz w:val="16"/>
      <w:szCs w:val="16"/>
    </w:rPr>
  </w:style>
  <w:style w:type="character" w:customStyle="1" w:styleId="a7">
    <w:name w:val="Текст выноски Знак"/>
    <w:basedOn w:val="a3"/>
    <w:link w:val="a6"/>
    <w:uiPriority w:val="99"/>
    <w:semiHidden/>
    <w:rsid w:val="00F9130D"/>
    <w:rPr>
      <w:rFonts w:ascii="Tahoma" w:eastAsiaTheme="minorEastAsia" w:hAnsi="Tahoma" w:cs="Tahoma"/>
      <w:sz w:val="16"/>
      <w:szCs w:val="16"/>
    </w:rPr>
  </w:style>
  <w:style w:type="character" w:styleId="a8">
    <w:name w:val="Book Title"/>
    <w:uiPriority w:val="99"/>
    <w:semiHidden/>
    <w:qFormat/>
    <w:rsid w:val="00F9130D"/>
    <w:rPr>
      <w:i/>
      <w:iCs/>
      <w:smallCaps/>
      <w:spacing w:val="5"/>
    </w:rPr>
  </w:style>
  <w:style w:type="paragraph" w:customStyle="1" w:styleId="ECHRHeader">
    <w:name w:val="ECHR_Header"/>
    <w:aliases w:val="Ju_Header"/>
    <w:basedOn w:val="a9"/>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a2"/>
    <w:uiPriority w:val="5"/>
    <w:qFormat/>
    <w:rsid w:val="00F9130D"/>
    <w:pPr>
      <w:numPr>
        <w:numId w:val="25"/>
      </w:numPr>
      <w:jc w:val="left"/>
    </w:pPr>
    <w:rPr>
      <w:b/>
    </w:rPr>
  </w:style>
  <w:style w:type="character" w:styleId="aa">
    <w:name w:val="Strong"/>
    <w:uiPriority w:val="99"/>
    <w:semiHidden/>
    <w:qFormat/>
    <w:rsid w:val="00F9130D"/>
    <w:rPr>
      <w:b/>
      <w:bCs/>
    </w:rPr>
  </w:style>
  <w:style w:type="paragraph" w:styleId="ab">
    <w:name w:val="No Spacing"/>
    <w:basedOn w:val="a2"/>
    <w:link w:val="ac"/>
    <w:semiHidden/>
    <w:qFormat/>
    <w:rsid w:val="00F9130D"/>
    <w:rPr>
      <w:sz w:val="22"/>
    </w:rPr>
  </w:style>
  <w:style w:type="character" w:customStyle="1" w:styleId="ac">
    <w:name w:val="Без интервала Знак"/>
    <w:basedOn w:val="a3"/>
    <w:link w:val="ab"/>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a2"/>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a2"/>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a2"/>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F9130D"/>
    <w:pPr>
      <w:tabs>
        <w:tab w:val="center" w:pos="6407"/>
      </w:tabs>
      <w:spacing w:before="720"/>
      <w:jc w:val="right"/>
    </w:pPr>
  </w:style>
  <w:style w:type="paragraph" w:styleId="ad">
    <w:name w:val="Title"/>
    <w:basedOn w:val="a2"/>
    <w:next w:val="a2"/>
    <w:link w:val="a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a3"/>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a2"/>
    <w:next w:val="OpiPara"/>
    <w:uiPriority w:val="40"/>
    <w:qFormat/>
    <w:rsid w:val="00F9130D"/>
    <w:pPr>
      <w:jc w:val="center"/>
      <w:outlineLvl w:val="0"/>
    </w:pPr>
    <w:rPr>
      <w:i/>
    </w:rPr>
  </w:style>
  <w:style w:type="paragraph" w:customStyle="1" w:styleId="JuCourt">
    <w:name w:val="Ju_Court"/>
    <w:basedOn w:val="a2"/>
    <w:next w:val="a2"/>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F9130D"/>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F9130D"/>
    <w:rPr>
      <w:sz w:val="24"/>
    </w:rPr>
  </w:style>
  <w:style w:type="character" w:customStyle="1" w:styleId="10">
    <w:name w:val="Заголовок 1 Знак"/>
    <w:basedOn w:val="a3"/>
    <w:link w:val="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22">
    <w:name w:val="Заголовок 2 Знак"/>
    <w:basedOn w:val="a3"/>
    <w:link w:val="21"/>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F9130D"/>
    <w:pPr>
      <w:keepNext/>
      <w:keepLines/>
      <w:spacing w:before="240" w:after="120"/>
      <w:ind w:left="1236"/>
    </w:pPr>
    <w:rPr>
      <w:sz w:val="20"/>
    </w:rPr>
  </w:style>
  <w:style w:type="character" w:customStyle="1" w:styleId="32">
    <w:name w:val="Заголовок 3 Знак"/>
    <w:basedOn w:val="a3"/>
    <w:link w:val="31"/>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F9130D"/>
    <w:pPr>
      <w:keepNext/>
      <w:keepLines/>
      <w:spacing w:before="240"/>
      <w:ind w:firstLine="284"/>
    </w:pPr>
  </w:style>
  <w:style w:type="paragraph" w:customStyle="1" w:styleId="DecList">
    <w:name w:val="Dec_List"/>
    <w:basedOn w:val="a2"/>
    <w:uiPriority w:val="9"/>
    <w:qFormat/>
    <w:rsid w:val="00F9130D"/>
    <w:pPr>
      <w:spacing w:before="240"/>
      <w:ind w:left="284"/>
    </w:pPr>
  </w:style>
  <w:style w:type="character" w:customStyle="1" w:styleId="42">
    <w:name w:val="Заголовок 4 Знак"/>
    <w:basedOn w:val="a3"/>
    <w:link w:val="41"/>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a2"/>
    <w:uiPriority w:val="11"/>
    <w:qFormat/>
    <w:rsid w:val="00F9130D"/>
    <w:pPr>
      <w:tabs>
        <w:tab w:val="left" w:pos="567"/>
        <w:tab w:val="left" w:pos="1134"/>
      </w:tabs>
      <w:jc w:val="left"/>
    </w:pPr>
  </w:style>
  <w:style w:type="character" w:customStyle="1" w:styleId="52">
    <w:name w:val="Заголовок 5 Знак"/>
    <w:basedOn w:val="a3"/>
    <w:link w:val="51"/>
    <w:uiPriority w:val="99"/>
    <w:semiHidden/>
    <w:rsid w:val="00F9130D"/>
    <w:rPr>
      <w:rFonts w:asciiTheme="majorHAnsi" w:eastAsiaTheme="majorEastAsia" w:hAnsiTheme="majorHAnsi" w:cstheme="majorBidi"/>
      <w:b/>
      <w:bCs/>
      <w:color w:val="808080"/>
    </w:rPr>
  </w:style>
  <w:style w:type="paragraph" w:customStyle="1" w:styleId="JuList">
    <w:name w:val="Ju_List"/>
    <w:basedOn w:val="a2"/>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af0">
    <w:name w:val="Subtle Emphasis"/>
    <w:uiPriority w:val="99"/>
    <w:semiHidden/>
    <w:qFormat/>
    <w:rsid w:val="00F9130D"/>
    <w:rPr>
      <w:i/>
      <w:iCs/>
    </w:rPr>
  </w:style>
  <w:style w:type="paragraph" w:customStyle="1" w:styleId="JuListi">
    <w:name w:val="Ju_List_i"/>
    <w:basedOn w:val="a2"/>
    <w:next w:val="JuLista"/>
    <w:uiPriority w:val="28"/>
    <w:qFormat/>
    <w:rsid w:val="00F9130D"/>
    <w:pPr>
      <w:ind w:left="794"/>
    </w:p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a2"/>
    <w:next w:val="ECHRPara"/>
    <w:uiPriority w:val="8"/>
    <w:qFormat/>
    <w:rsid w:val="00F9130D"/>
    <w:pPr>
      <w:spacing w:after="240"/>
      <w:jc w:val="center"/>
      <w:outlineLvl w:val="0"/>
    </w:pPr>
    <w:rPr>
      <w:rFonts w:asciiTheme="majorHAnsi" w:hAnsiTheme="majorHAnsi"/>
    </w:rPr>
  </w:style>
  <w:style w:type="character" w:styleId="af1">
    <w:name w:val="Emphasis"/>
    <w:uiPriority w:val="99"/>
    <w:semiHidden/>
    <w:qFormat/>
    <w:rsid w:val="00F9130D"/>
    <w:rPr>
      <w:b/>
      <w:bCs/>
      <w:i/>
      <w:iCs/>
      <w:spacing w:val="10"/>
      <w:bdr w:val="none" w:sz="0" w:space="0" w:color="auto"/>
      <w:shd w:val="clear" w:color="auto" w:fill="auto"/>
    </w:rPr>
  </w:style>
  <w:style w:type="paragraph" w:styleId="af2">
    <w:name w:val="footer"/>
    <w:basedOn w:val="a2"/>
    <w:link w:val="af3"/>
    <w:uiPriority w:val="57"/>
    <w:semiHidden/>
    <w:rsid w:val="00F9130D"/>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F9130D"/>
    <w:rPr>
      <w:sz w:val="24"/>
    </w:rPr>
  </w:style>
  <w:style w:type="character" w:styleId="af4">
    <w:name w:val="footnote reference"/>
    <w:basedOn w:val="a3"/>
    <w:uiPriority w:val="99"/>
    <w:semiHidden/>
    <w:rsid w:val="00F9130D"/>
    <w:rPr>
      <w:vertAlign w:val="superscript"/>
    </w:rPr>
  </w:style>
  <w:style w:type="paragraph" w:styleId="af5">
    <w:name w:val="footnote text"/>
    <w:basedOn w:val="a2"/>
    <w:link w:val="af6"/>
    <w:uiPriority w:val="99"/>
    <w:semiHidden/>
    <w:rsid w:val="00F9130D"/>
    <w:rPr>
      <w:sz w:val="20"/>
      <w:szCs w:val="20"/>
    </w:rPr>
  </w:style>
  <w:style w:type="character" w:customStyle="1" w:styleId="af6">
    <w:name w:val="Текст сноски Знак"/>
    <w:basedOn w:val="a3"/>
    <w:link w:val="af5"/>
    <w:uiPriority w:val="99"/>
    <w:semiHidden/>
    <w:rsid w:val="00F9130D"/>
    <w:rPr>
      <w:rFonts w:eastAsiaTheme="minorEastAsia"/>
      <w:sz w:val="20"/>
      <w:szCs w:val="20"/>
    </w:rPr>
  </w:style>
  <w:style w:type="character" w:customStyle="1" w:styleId="60">
    <w:name w:val="Заголовок 6 Знак"/>
    <w:basedOn w:val="a3"/>
    <w:link w:val="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F9130D"/>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F9130D"/>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F9130D"/>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F9130D"/>
    <w:rPr>
      <w:color w:val="0072BC" w:themeColor="hyperlink"/>
      <w:u w:val="single"/>
    </w:rPr>
  </w:style>
  <w:style w:type="character" w:styleId="af8">
    <w:name w:val="Intense Emphasis"/>
    <w:uiPriority w:val="99"/>
    <w:semiHidden/>
    <w:qFormat/>
    <w:rsid w:val="00F9130D"/>
    <w:rPr>
      <w:b/>
      <w:bCs/>
    </w:rPr>
  </w:style>
  <w:style w:type="paragraph" w:styleId="af9">
    <w:name w:val="Intense Quote"/>
    <w:basedOn w:val="a2"/>
    <w:next w:val="a2"/>
    <w:link w:val="afa"/>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F9130D"/>
    <w:rPr>
      <w:rFonts w:eastAsiaTheme="minorEastAsia"/>
      <w:b/>
      <w:bCs/>
      <w:i/>
      <w:iCs/>
      <w:lang w:bidi="en-US"/>
    </w:rPr>
  </w:style>
  <w:style w:type="character" w:styleId="afb">
    <w:name w:val="Intense Reference"/>
    <w:uiPriority w:val="99"/>
    <w:semiHidden/>
    <w:qFormat/>
    <w:rsid w:val="00F9130D"/>
    <w:rPr>
      <w:smallCaps/>
      <w:spacing w:val="5"/>
      <w:u w:val="single"/>
    </w:rPr>
  </w:style>
  <w:style w:type="paragraph" w:styleId="afc">
    <w:name w:val="List Paragraph"/>
    <w:basedOn w:val="a2"/>
    <w:uiPriority w:val="99"/>
    <w:semiHidden/>
    <w:qFormat/>
    <w:rsid w:val="00F9130D"/>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F9130D"/>
    <w:pPr>
      <w:spacing w:before="200"/>
      <w:ind w:left="360" w:right="360"/>
    </w:pPr>
    <w:rPr>
      <w:i/>
      <w:iCs/>
      <w:sz w:val="22"/>
      <w:lang w:bidi="en-US"/>
    </w:rPr>
  </w:style>
  <w:style w:type="character" w:customStyle="1" w:styleId="24">
    <w:name w:val="Цитата 2 Знак"/>
    <w:basedOn w:val="a3"/>
    <w:link w:val="23"/>
    <w:uiPriority w:val="99"/>
    <w:semiHidden/>
    <w:rsid w:val="00F9130D"/>
    <w:rPr>
      <w:rFonts w:eastAsiaTheme="minorEastAsia"/>
      <w:i/>
      <w:iCs/>
      <w:lang w:bidi="en-US"/>
    </w:rPr>
  </w:style>
  <w:style w:type="character" w:styleId="afd">
    <w:name w:val="Subtle Reference"/>
    <w:uiPriority w:val="99"/>
    <w:semiHidden/>
    <w:qFormat/>
    <w:rsid w:val="00F9130D"/>
    <w:rPr>
      <w:smallCaps/>
    </w:rPr>
  </w:style>
  <w:style w:type="table" w:styleId="afe">
    <w:name w:val="Table Grid"/>
    <w:basedOn w:val="a4"/>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F9130D"/>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F9130D"/>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F9130D"/>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F9130D"/>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a2"/>
    <w:semiHidden/>
    <w:qFormat/>
    <w:rsid w:val="00F9130D"/>
    <w:rPr>
      <w:color w:val="00B050"/>
    </w:rPr>
  </w:style>
  <w:style w:type="paragraph" w:styleId="aff1">
    <w:name w:val="Subtitle"/>
    <w:basedOn w:val="a2"/>
    <w:next w:val="a2"/>
    <w:link w:val="aff2"/>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a2"/>
    <w:link w:val="ECHRParaChar"/>
    <w:uiPriority w:val="12"/>
    <w:qFormat/>
    <w:rsid w:val="00F9130D"/>
    <w:pPr>
      <w:ind w:firstLine="284"/>
    </w:pPr>
  </w:style>
  <w:style w:type="character" w:customStyle="1" w:styleId="aff2">
    <w:name w:val="Подзаголовок Знак"/>
    <w:basedOn w:val="a3"/>
    <w:link w:val="aff1"/>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a5"/>
    <w:uiPriority w:val="99"/>
    <w:semiHidden/>
    <w:unhideWhenUsed/>
    <w:rsid w:val="006544C4"/>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a5"/>
    <w:semiHidden/>
    <w:unhideWhenUsed/>
    <w:rsid w:val="006544C4"/>
    <w:pPr>
      <w:numPr>
        <w:numId w:val="13"/>
      </w:numPr>
    </w:pPr>
  </w:style>
  <w:style w:type="numbering" w:styleId="a1">
    <w:name w:val="Outline List 3"/>
    <w:basedOn w:val="a5"/>
    <w:uiPriority w:val="99"/>
    <w:semiHidden/>
    <w:unhideWhenUsed/>
    <w:rsid w:val="006544C4"/>
    <w:pPr>
      <w:numPr>
        <w:numId w:val="14"/>
      </w:numPr>
    </w:p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3">
    <w:name w:val="Bibliography"/>
    <w:basedOn w:val="a2"/>
    <w:next w:val="a2"/>
    <w:uiPriority w:val="99"/>
    <w:semiHidden/>
    <w:rsid w:val="006544C4"/>
  </w:style>
  <w:style w:type="paragraph" w:styleId="aff4">
    <w:name w:val="Block Text"/>
    <w:basedOn w:val="a2"/>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aff5">
    <w:name w:val="Body Text"/>
    <w:basedOn w:val="a2"/>
    <w:link w:val="aff6"/>
    <w:semiHidden/>
    <w:rsid w:val="006544C4"/>
    <w:pPr>
      <w:spacing w:after="120"/>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aff7">
    <w:name w:val="page number"/>
    <w:basedOn w:val="a3"/>
    <w:uiPriority w:val="99"/>
    <w:semiHidden/>
    <w:rsid w:val="006544C4"/>
    <w:rPr>
      <w:rFonts w:ascii="Times New Roman" w:hAnsi="Times New Roman" w:cs="Times New Roman"/>
      <w:sz w:val="18"/>
    </w:rPr>
  </w:style>
  <w:style w:type="character" w:styleId="aff8">
    <w:name w:val="annotation reference"/>
    <w:basedOn w:val="a3"/>
    <w:uiPriority w:val="99"/>
    <w:semiHidden/>
    <w:rsid w:val="006544C4"/>
    <w:rPr>
      <w:sz w:val="16"/>
    </w:rPr>
  </w:style>
  <w:style w:type="paragraph" w:styleId="aff9">
    <w:name w:val="annotation text"/>
    <w:basedOn w:val="a2"/>
    <w:link w:val="affa"/>
    <w:semiHidden/>
    <w:rsid w:val="006544C4"/>
    <w:rPr>
      <w:sz w:val="20"/>
    </w:rPr>
  </w:style>
  <w:style w:type="character" w:customStyle="1" w:styleId="affa">
    <w:name w:val="Текст примечания Знак"/>
    <w:basedOn w:val="a3"/>
    <w:link w:val="aff9"/>
    <w:semiHidden/>
    <w:rsid w:val="006544C4"/>
    <w:rPr>
      <w:rFonts w:eastAsiaTheme="minorEastAsia"/>
      <w:sz w:val="20"/>
    </w:rPr>
  </w:style>
  <w:style w:type="paragraph" w:customStyle="1" w:styleId="JuSigned">
    <w:name w:val="Ju_Signed"/>
    <w:basedOn w:val="a2"/>
    <w:next w:val="JuParaLast"/>
    <w:uiPriority w:val="32"/>
    <w:qFormat/>
    <w:rsid w:val="00F9130D"/>
    <w:pPr>
      <w:tabs>
        <w:tab w:val="center" w:pos="851"/>
        <w:tab w:val="center" w:pos="6407"/>
      </w:tabs>
      <w:spacing w:before="720"/>
      <w:jc w:val="left"/>
    </w:pPr>
  </w:style>
  <w:style w:type="paragraph" w:customStyle="1" w:styleId="JuTitle">
    <w:name w:val="Ju_Title"/>
    <w:basedOn w:val="a2"/>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20">
    <w:name w:val="List Bullet 2"/>
    <w:basedOn w:val="a2"/>
    <w:uiPriority w:val="99"/>
    <w:semiHidden/>
    <w:rsid w:val="006544C4"/>
    <w:pPr>
      <w:numPr>
        <w:numId w:val="8"/>
      </w:numPr>
      <w:contextualSpacing/>
    </w:pPr>
  </w:style>
  <w:style w:type="paragraph" w:styleId="30">
    <w:name w:val="List Bullet 3"/>
    <w:basedOn w:val="a2"/>
    <w:semiHidden/>
    <w:rsid w:val="006544C4"/>
    <w:pPr>
      <w:numPr>
        <w:numId w:val="9"/>
      </w:numPr>
      <w:contextualSpacing/>
    </w:pPr>
  </w:style>
  <w:style w:type="character" w:customStyle="1" w:styleId="aff6">
    <w:name w:val="Основной текст Знак"/>
    <w:basedOn w:val="a3"/>
    <w:link w:val="aff5"/>
    <w:semiHidden/>
    <w:rsid w:val="006544C4"/>
    <w:rPr>
      <w:rFonts w:eastAsiaTheme="minorEastAsia"/>
      <w:sz w:val="24"/>
    </w:rPr>
  </w:style>
  <w:style w:type="paragraph" w:styleId="26">
    <w:name w:val="Body Text 2"/>
    <w:basedOn w:val="a2"/>
    <w:link w:val="27"/>
    <w:uiPriority w:val="99"/>
    <w:semiHidden/>
    <w:rsid w:val="006544C4"/>
    <w:pPr>
      <w:spacing w:after="120" w:line="480" w:lineRule="auto"/>
    </w:pPr>
  </w:style>
  <w:style w:type="character" w:customStyle="1" w:styleId="27">
    <w:name w:val="Основной текст 2 Знак"/>
    <w:basedOn w:val="a3"/>
    <w:link w:val="26"/>
    <w:uiPriority w:val="99"/>
    <w:semiHidden/>
    <w:rsid w:val="006544C4"/>
    <w:rPr>
      <w:rFonts w:eastAsiaTheme="minorEastAsia"/>
      <w:sz w:val="24"/>
    </w:rPr>
  </w:style>
  <w:style w:type="paragraph" w:styleId="34">
    <w:name w:val="Body Text 3"/>
    <w:basedOn w:val="a2"/>
    <w:link w:val="35"/>
    <w:uiPriority w:val="99"/>
    <w:semiHidden/>
    <w:rsid w:val="006544C4"/>
    <w:pPr>
      <w:spacing w:after="120"/>
    </w:pPr>
    <w:rPr>
      <w:sz w:val="16"/>
      <w:szCs w:val="16"/>
    </w:rPr>
  </w:style>
  <w:style w:type="character" w:customStyle="1" w:styleId="35">
    <w:name w:val="Основной текст 3 Знак"/>
    <w:basedOn w:val="a3"/>
    <w:link w:val="34"/>
    <w:uiPriority w:val="99"/>
    <w:semiHidden/>
    <w:rsid w:val="006544C4"/>
    <w:rPr>
      <w:rFonts w:eastAsiaTheme="minorEastAsia"/>
      <w:sz w:val="16"/>
      <w:szCs w:val="16"/>
    </w:rPr>
  </w:style>
  <w:style w:type="paragraph" w:styleId="affb">
    <w:name w:val="Body Text First Indent"/>
    <w:basedOn w:val="aff5"/>
    <w:link w:val="affc"/>
    <w:uiPriority w:val="99"/>
    <w:semiHidden/>
    <w:rsid w:val="006544C4"/>
    <w:pPr>
      <w:spacing w:after="0"/>
      <w:ind w:firstLine="360"/>
    </w:pPr>
  </w:style>
  <w:style w:type="character" w:customStyle="1" w:styleId="affc">
    <w:name w:val="Красная строка Знак"/>
    <w:basedOn w:val="aff6"/>
    <w:link w:val="affb"/>
    <w:uiPriority w:val="99"/>
    <w:semiHidden/>
    <w:rsid w:val="006544C4"/>
    <w:rPr>
      <w:rFonts w:eastAsiaTheme="minorEastAsia"/>
      <w:sz w:val="24"/>
    </w:rPr>
  </w:style>
  <w:style w:type="paragraph" w:styleId="affd">
    <w:name w:val="Body Text Indent"/>
    <w:basedOn w:val="a2"/>
    <w:link w:val="affe"/>
    <w:uiPriority w:val="99"/>
    <w:semiHidden/>
    <w:rsid w:val="006544C4"/>
    <w:pPr>
      <w:spacing w:after="120"/>
      <w:ind w:left="283"/>
    </w:pPr>
  </w:style>
  <w:style w:type="character" w:customStyle="1" w:styleId="affe">
    <w:name w:val="Основной текст с отступом Знак"/>
    <w:basedOn w:val="a3"/>
    <w:link w:val="affd"/>
    <w:uiPriority w:val="99"/>
    <w:semiHidden/>
    <w:rsid w:val="006544C4"/>
    <w:rPr>
      <w:rFonts w:eastAsiaTheme="minorEastAsia"/>
      <w:sz w:val="24"/>
    </w:rPr>
  </w:style>
  <w:style w:type="paragraph" w:styleId="28">
    <w:name w:val="Body Text First Indent 2"/>
    <w:basedOn w:val="affd"/>
    <w:link w:val="29"/>
    <w:semiHidden/>
    <w:rsid w:val="006544C4"/>
    <w:pPr>
      <w:spacing w:after="0"/>
      <w:ind w:left="360" w:firstLine="360"/>
    </w:pPr>
  </w:style>
  <w:style w:type="character" w:customStyle="1" w:styleId="29">
    <w:name w:val="Красная строка 2 Знак"/>
    <w:basedOn w:val="affe"/>
    <w:link w:val="28"/>
    <w:semiHidden/>
    <w:rsid w:val="006544C4"/>
    <w:rPr>
      <w:rFonts w:eastAsiaTheme="minorEastAsia"/>
      <w:sz w:val="24"/>
    </w:rPr>
  </w:style>
  <w:style w:type="paragraph" w:styleId="2a">
    <w:name w:val="Body Text Indent 2"/>
    <w:basedOn w:val="a2"/>
    <w:link w:val="2b"/>
    <w:semiHidden/>
    <w:rsid w:val="006544C4"/>
    <w:pPr>
      <w:spacing w:after="120" w:line="480" w:lineRule="auto"/>
      <w:ind w:left="283"/>
    </w:pPr>
  </w:style>
  <w:style w:type="character" w:customStyle="1" w:styleId="2b">
    <w:name w:val="Основной текст с отступом 2 Знак"/>
    <w:basedOn w:val="a3"/>
    <w:link w:val="2a"/>
    <w:semiHidden/>
    <w:rsid w:val="006544C4"/>
    <w:rPr>
      <w:rFonts w:eastAsiaTheme="minorEastAsia"/>
      <w:sz w:val="24"/>
    </w:rPr>
  </w:style>
  <w:style w:type="paragraph" w:styleId="36">
    <w:name w:val="Body Text Indent 3"/>
    <w:basedOn w:val="a2"/>
    <w:link w:val="37"/>
    <w:uiPriority w:val="99"/>
    <w:semiHidden/>
    <w:rsid w:val="006544C4"/>
    <w:pPr>
      <w:spacing w:after="120"/>
      <w:ind w:left="283"/>
    </w:pPr>
    <w:rPr>
      <w:sz w:val="16"/>
      <w:szCs w:val="16"/>
    </w:rPr>
  </w:style>
  <w:style w:type="character" w:customStyle="1" w:styleId="37">
    <w:name w:val="Основной текст с отступом 3 Знак"/>
    <w:basedOn w:val="a3"/>
    <w:link w:val="36"/>
    <w:uiPriority w:val="99"/>
    <w:semiHidden/>
    <w:rsid w:val="006544C4"/>
    <w:rPr>
      <w:rFonts w:eastAsiaTheme="minorEastAsia"/>
      <w:sz w:val="16"/>
      <w:szCs w:val="16"/>
    </w:rPr>
  </w:style>
  <w:style w:type="paragraph" w:styleId="afff">
    <w:name w:val="caption"/>
    <w:basedOn w:val="a2"/>
    <w:next w:val="a2"/>
    <w:uiPriority w:val="99"/>
    <w:semiHidden/>
    <w:qFormat/>
    <w:rsid w:val="006544C4"/>
    <w:pPr>
      <w:spacing w:after="200"/>
    </w:pPr>
    <w:rPr>
      <w:b/>
      <w:bCs/>
      <w:color w:val="0072BC" w:themeColor="accent1"/>
      <w:sz w:val="18"/>
      <w:szCs w:val="18"/>
    </w:rPr>
  </w:style>
  <w:style w:type="paragraph" w:styleId="afff0">
    <w:name w:val="Closing"/>
    <w:basedOn w:val="a2"/>
    <w:link w:val="afff1"/>
    <w:uiPriority w:val="99"/>
    <w:semiHidden/>
    <w:rsid w:val="006544C4"/>
    <w:pPr>
      <w:ind w:left="4252"/>
    </w:pPr>
  </w:style>
  <w:style w:type="character" w:customStyle="1" w:styleId="afff1">
    <w:name w:val="Прощание Знак"/>
    <w:basedOn w:val="a3"/>
    <w:link w:val="afff0"/>
    <w:uiPriority w:val="99"/>
    <w:semiHidden/>
    <w:rsid w:val="006544C4"/>
    <w:rPr>
      <w:rFonts w:eastAsiaTheme="minorEastAsia"/>
      <w:sz w:val="24"/>
    </w:rPr>
  </w:style>
  <w:style w:type="table" w:styleId="afff2">
    <w:name w:val="Colorful Grid"/>
    <w:basedOn w:val="a4"/>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3">
    <w:name w:val="Colorful List"/>
    <w:basedOn w:val="a4"/>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4">
    <w:name w:val="Colorful Shading"/>
    <w:basedOn w:val="a4"/>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fff5">
    <w:name w:val="annotation subject"/>
    <w:basedOn w:val="aff9"/>
    <w:next w:val="aff9"/>
    <w:link w:val="afff6"/>
    <w:semiHidden/>
    <w:rsid w:val="006544C4"/>
    <w:rPr>
      <w:b/>
      <w:bCs/>
      <w:szCs w:val="20"/>
    </w:rPr>
  </w:style>
  <w:style w:type="character" w:customStyle="1" w:styleId="afff6">
    <w:name w:val="Тема примечания Знак"/>
    <w:basedOn w:val="affa"/>
    <w:link w:val="afff5"/>
    <w:semiHidden/>
    <w:rsid w:val="006544C4"/>
    <w:rPr>
      <w:rFonts w:eastAsiaTheme="minorEastAsia"/>
      <w:b/>
      <w:bCs/>
      <w:sz w:val="20"/>
      <w:szCs w:val="20"/>
    </w:rPr>
  </w:style>
  <w:style w:type="table" w:styleId="afff7">
    <w:name w:val="Dark List"/>
    <w:basedOn w:val="a4"/>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6544C4"/>
  </w:style>
  <w:style w:type="character" w:customStyle="1" w:styleId="afff9">
    <w:name w:val="Дата Знак"/>
    <w:basedOn w:val="a3"/>
    <w:link w:val="afff8"/>
    <w:uiPriority w:val="99"/>
    <w:semiHidden/>
    <w:rsid w:val="006544C4"/>
    <w:rPr>
      <w:rFonts w:eastAsiaTheme="minorEastAsia"/>
      <w:sz w:val="24"/>
    </w:rPr>
  </w:style>
  <w:style w:type="paragraph" w:styleId="afffa">
    <w:name w:val="Document Map"/>
    <w:basedOn w:val="a2"/>
    <w:link w:val="afffb"/>
    <w:semiHidden/>
    <w:rsid w:val="006544C4"/>
    <w:rPr>
      <w:rFonts w:ascii="Tahoma" w:hAnsi="Tahoma" w:cs="Tahoma"/>
      <w:sz w:val="16"/>
      <w:szCs w:val="16"/>
    </w:rPr>
  </w:style>
  <w:style w:type="character" w:customStyle="1" w:styleId="afffb">
    <w:name w:val="Схема документа Знак"/>
    <w:basedOn w:val="a3"/>
    <w:link w:val="afffa"/>
    <w:semiHidden/>
    <w:rsid w:val="006544C4"/>
    <w:rPr>
      <w:rFonts w:ascii="Tahoma" w:eastAsiaTheme="minorEastAsia" w:hAnsi="Tahoma" w:cs="Tahoma"/>
      <w:sz w:val="16"/>
      <w:szCs w:val="16"/>
    </w:rPr>
  </w:style>
  <w:style w:type="paragraph" w:styleId="afffc">
    <w:name w:val="E-mail Signature"/>
    <w:basedOn w:val="a2"/>
    <w:link w:val="afffd"/>
    <w:uiPriority w:val="99"/>
    <w:semiHidden/>
    <w:rsid w:val="006544C4"/>
  </w:style>
  <w:style w:type="character" w:customStyle="1" w:styleId="afffd">
    <w:name w:val="Электронная подпись Знак"/>
    <w:basedOn w:val="a3"/>
    <w:link w:val="afffc"/>
    <w:uiPriority w:val="99"/>
    <w:semiHidden/>
    <w:rsid w:val="006544C4"/>
    <w:rPr>
      <w:rFonts w:eastAsiaTheme="minorEastAsia"/>
      <w:sz w:val="24"/>
    </w:rPr>
  </w:style>
  <w:style w:type="character" w:styleId="afffe">
    <w:name w:val="endnote reference"/>
    <w:basedOn w:val="a3"/>
    <w:semiHidden/>
    <w:rsid w:val="006544C4"/>
    <w:rPr>
      <w:vertAlign w:val="superscript"/>
    </w:rPr>
  </w:style>
  <w:style w:type="paragraph" w:styleId="affff">
    <w:name w:val="endnote text"/>
    <w:basedOn w:val="a2"/>
    <w:link w:val="affff0"/>
    <w:uiPriority w:val="99"/>
    <w:semiHidden/>
    <w:rsid w:val="006544C4"/>
    <w:rPr>
      <w:sz w:val="20"/>
      <w:szCs w:val="20"/>
    </w:rPr>
  </w:style>
  <w:style w:type="character" w:customStyle="1" w:styleId="affff0">
    <w:name w:val="Текст концевой сноски Знак"/>
    <w:basedOn w:val="a3"/>
    <w:link w:val="affff"/>
    <w:uiPriority w:val="99"/>
    <w:semiHidden/>
    <w:rsid w:val="006544C4"/>
    <w:rPr>
      <w:rFonts w:eastAsiaTheme="minorEastAsia"/>
      <w:sz w:val="20"/>
      <w:szCs w:val="20"/>
    </w:rPr>
  </w:style>
  <w:style w:type="paragraph" w:styleId="affff1">
    <w:name w:val="envelope address"/>
    <w:basedOn w:val="a2"/>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2c">
    <w:name w:val="envelope return"/>
    <w:basedOn w:val="a2"/>
    <w:semiHidden/>
    <w:rsid w:val="006544C4"/>
    <w:rPr>
      <w:rFonts w:asciiTheme="majorHAnsi" w:eastAsiaTheme="majorEastAsia" w:hAnsiTheme="majorHAnsi" w:cstheme="majorBidi"/>
      <w:sz w:val="20"/>
      <w:szCs w:val="20"/>
    </w:rPr>
  </w:style>
  <w:style w:type="character" w:styleId="affff2">
    <w:name w:val="FollowedHyperlink"/>
    <w:basedOn w:val="a3"/>
    <w:uiPriority w:val="99"/>
    <w:semiHidden/>
    <w:rsid w:val="006544C4"/>
    <w:rPr>
      <w:color w:val="7030A0" w:themeColor="followedHyperlink"/>
      <w:u w:val="single"/>
    </w:rPr>
  </w:style>
  <w:style w:type="character" w:styleId="HTML">
    <w:name w:val="HTML Acronym"/>
    <w:basedOn w:val="a3"/>
    <w:uiPriority w:val="99"/>
    <w:semiHidden/>
    <w:rsid w:val="006544C4"/>
  </w:style>
  <w:style w:type="paragraph" w:styleId="HTML0">
    <w:name w:val="HTML Address"/>
    <w:basedOn w:val="a2"/>
    <w:link w:val="HTML1"/>
    <w:semiHidden/>
    <w:rsid w:val="006544C4"/>
    <w:rPr>
      <w:i/>
      <w:iCs/>
    </w:rPr>
  </w:style>
  <w:style w:type="character" w:customStyle="1" w:styleId="HTML1">
    <w:name w:val="Адрес HTML Знак"/>
    <w:basedOn w:val="a3"/>
    <w:link w:val="HTML0"/>
    <w:semiHidden/>
    <w:rsid w:val="006544C4"/>
    <w:rPr>
      <w:rFonts w:eastAsiaTheme="minorEastAsia"/>
      <w:i/>
      <w:iCs/>
      <w:sz w:val="24"/>
    </w:rPr>
  </w:style>
  <w:style w:type="character" w:styleId="HTML2">
    <w:name w:val="HTML Cite"/>
    <w:basedOn w:val="a3"/>
    <w:uiPriority w:val="99"/>
    <w:semiHidden/>
    <w:rsid w:val="006544C4"/>
    <w:rPr>
      <w:i/>
      <w:iCs/>
    </w:rPr>
  </w:style>
  <w:style w:type="character" w:styleId="HTML3">
    <w:name w:val="HTML Code"/>
    <w:basedOn w:val="a3"/>
    <w:uiPriority w:val="99"/>
    <w:semiHidden/>
    <w:rsid w:val="006544C4"/>
    <w:rPr>
      <w:rFonts w:ascii="Consolas" w:hAnsi="Consolas" w:cs="Consolas"/>
      <w:sz w:val="20"/>
      <w:szCs w:val="20"/>
    </w:rPr>
  </w:style>
  <w:style w:type="character" w:styleId="HTML4">
    <w:name w:val="HTML Definition"/>
    <w:basedOn w:val="a3"/>
    <w:uiPriority w:val="99"/>
    <w:semiHidden/>
    <w:rsid w:val="006544C4"/>
    <w:rPr>
      <w:i/>
      <w:iCs/>
    </w:rPr>
  </w:style>
  <w:style w:type="character" w:styleId="HTML5">
    <w:name w:val="HTML Keyboard"/>
    <w:basedOn w:val="a3"/>
    <w:semiHidden/>
    <w:rsid w:val="006544C4"/>
    <w:rPr>
      <w:rFonts w:ascii="Consolas" w:hAnsi="Consolas" w:cs="Consolas"/>
      <w:sz w:val="20"/>
      <w:szCs w:val="20"/>
    </w:rPr>
  </w:style>
  <w:style w:type="paragraph" w:styleId="HTML6">
    <w:name w:val="HTML Preformatted"/>
    <w:basedOn w:val="a2"/>
    <w:link w:val="HTML7"/>
    <w:uiPriority w:val="99"/>
    <w:semiHidden/>
    <w:rsid w:val="006544C4"/>
    <w:rPr>
      <w:rFonts w:ascii="Consolas" w:hAnsi="Consolas" w:cs="Consolas"/>
      <w:sz w:val="20"/>
      <w:szCs w:val="20"/>
    </w:rPr>
  </w:style>
  <w:style w:type="character" w:customStyle="1" w:styleId="HTML7">
    <w:name w:val="Стандартный HTML Знак"/>
    <w:basedOn w:val="a3"/>
    <w:link w:val="HTML6"/>
    <w:uiPriority w:val="99"/>
    <w:semiHidden/>
    <w:rsid w:val="006544C4"/>
    <w:rPr>
      <w:rFonts w:ascii="Consolas" w:eastAsiaTheme="minorEastAsia" w:hAnsi="Consolas" w:cs="Consolas"/>
      <w:sz w:val="20"/>
      <w:szCs w:val="20"/>
    </w:rPr>
  </w:style>
  <w:style w:type="character" w:styleId="HTML8">
    <w:name w:val="HTML Sample"/>
    <w:basedOn w:val="a3"/>
    <w:semiHidden/>
    <w:rsid w:val="006544C4"/>
    <w:rPr>
      <w:rFonts w:ascii="Consolas" w:hAnsi="Consolas" w:cs="Consolas"/>
      <w:sz w:val="24"/>
      <w:szCs w:val="24"/>
    </w:rPr>
  </w:style>
  <w:style w:type="character" w:styleId="HTML9">
    <w:name w:val="HTML Typewriter"/>
    <w:basedOn w:val="a3"/>
    <w:uiPriority w:val="99"/>
    <w:semiHidden/>
    <w:rsid w:val="006544C4"/>
    <w:rPr>
      <w:rFonts w:ascii="Consolas" w:hAnsi="Consolas" w:cs="Consolas"/>
      <w:sz w:val="20"/>
      <w:szCs w:val="20"/>
    </w:rPr>
  </w:style>
  <w:style w:type="character" w:styleId="HTMLa">
    <w:name w:val="HTML Variable"/>
    <w:basedOn w:val="a3"/>
    <w:semiHidden/>
    <w:rsid w:val="006544C4"/>
    <w:rPr>
      <w:i/>
      <w:iCs/>
    </w:rPr>
  </w:style>
  <w:style w:type="paragraph" w:styleId="12">
    <w:name w:val="index 1"/>
    <w:basedOn w:val="a2"/>
    <w:next w:val="a2"/>
    <w:autoRedefine/>
    <w:uiPriority w:val="99"/>
    <w:semiHidden/>
    <w:rsid w:val="006544C4"/>
    <w:pPr>
      <w:ind w:left="240" w:hanging="240"/>
    </w:pPr>
  </w:style>
  <w:style w:type="paragraph" w:styleId="2d">
    <w:name w:val="index 2"/>
    <w:basedOn w:val="a2"/>
    <w:next w:val="a2"/>
    <w:autoRedefine/>
    <w:semiHidden/>
    <w:rsid w:val="006544C4"/>
    <w:pPr>
      <w:ind w:left="480" w:hanging="240"/>
    </w:pPr>
  </w:style>
  <w:style w:type="paragraph" w:styleId="38">
    <w:name w:val="index 3"/>
    <w:basedOn w:val="a2"/>
    <w:next w:val="a2"/>
    <w:autoRedefine/>
    <w:uiPriority w:val="99"/>
    <w:semiHidden/>
    <w:rsid w:val="006544C4"/>
    <w:pPr>
      <w:ind w:left="720" w:hanging="240"/>
    </w:pPr>
  </w:style>
  <w:style w:type="paragraph" w:styleId="44">
    <w:name w:val="index 4"/>
    <w:basedOn w:val="a2"/>
    <w:next w:val="a2"/>
    <w:autoRedefine/>
    <w:uiPriority w:val="99"/>
    <w:semiHidden/>
    <w:rsid w:val="006544C4"/>
    <w:pPr>
      <w:ind w:left="960" w:hanging="240"/>
    </w:pPr>
  </w:style>
  <w:style w:type="paragraph" w:styleId="54">
    <w:name w:val="index 5"/>
    <w:basedOn w:val="a2"/>
    <w:next w:val="a2"/>
    <w:autoRedefine/>
    <w:uiPriority w:val="99"/>
    <w:semiHidden/>
    <w:rsid w:val="006544C4"/>
    <w:pPr>
      <w:ind w:left="1200" w:hanging="240"/>
    </w:pPr>
  </w:style>
  <w:style w:type="paragraph" w:styleId="61">
    <w:name w:val="index 6"/>
    <w:basedOn w:val="a2"/>
    <w:next w:val="a2"/>
    <w:autoRedefine/>
    <w:semiHidden/>
    <w:rsid w:val="006544C4"/>
    <w:pPr>
      <w:ind w:left="1440" w:hanging="240"/>
    </w:pPr>
  </w:style>
  <w:style w:type="paragraph" w:styleId="71">
    <w:name w:val="index 7"/>
    <w:basedOn w:val="a2"/>
    <w:next w:val="a2"/>
    <w:autoRedefine/>
    <w:uiPriority w:val="99"/>
    <w:semiHidden/>
    <w:rsid w:val="006544C4"/>
    <w:pPr>
      <w:ind w:left="1680" w:hanging="240"/>
    </w:pPr>
  </w:style>
  <w:style w:type="paragraph" w:styleId="81">
    <w:name w:val="index 8"/>
    <w:basedOn w:val="a2"/>
    <w:next w:val="a2"/>
    <w:autoRedefine/>
    <w:semiHidden/>
    <w:rsid w:val="006544C4"/>
    <w:pPr>
      <w:ind w:left="1920" w:hanging="240"/>
    </w:pPr>
  </w:style>
  <w:style w:type="paragraph" w:styleId="91">
    <w:name w:val="index 9"/>
    <w:basedOn w:val="a2"/>
    <w:next w:val="a2"/>
    <w:autoRedefine/>
    <w:uiPriority w:val="99"/>
    <w:semiHidden/>
    <w:rsid w:val="006544C4"/>
    <w:pPr>
      <w:ind w:left="2160" w:hanging="240"/>
    </w:pPr>
  </w:style>
  <w:style w:type="paragraph" w:styleId="affff3">
    <w:name w:val="index heading"/>
    <w:basedOn w:val="a2"/>
    <w:next w:val="12"/>
    <w:semiHidden/>
    <w:rsid w:val="006544C4"/>
    <w:rPr>
      <w:rFonts w:asciiTheme="majorHAnsi" w:eastAsiaTheme="majorEastAsia" w:hAnsiTheme="majorHAnsi" w:cstheme="majorBidi"/>
      <w:b/>
      <w:bCs/>
    </w:rPr>
  </w:style>
  <w:style w:type="table" w:styleId="affff4">
    <w:name w:val="Light Grid"/>
    <w:basedOn w:val="a4"/>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semiHidden/>
    <w:rsid w:val="006544C4"/>
  </w:style>
  <w:style w:type="paragraph" w:styleId="affff8">
    <w:name w:val="List"/>
    <w:basedOn w:val="a2"/>
    <w:uiPriority w:val="99"/>
    <w:semiHidden/>
    <w:rsid w:val="006544C4"/>
    <w:pPr>
      <w:ind w:left="283" w:hanging="283"/>
      <w:contextualSpacing/>
    </w:pPr>
  </w:style>
  <w:style w:type="paragraph" w:styleId="2e">
    <w:name w:val="List 2"/>
    <w:basedOn w:val="a2"/>
    <w:semiHidden/>
    <w:rsid w:val="006544C4"/>
    <w:pPr>
      <w:ind w:left="566" w:hanging="283"/>
      <w:contextualSpacing/>
    </w:pPr>
  </w:style>
  <w:style w:type="paragraph" w:styleId="39">
    <w:name w:val="List 3"/>
    <w:basedOn w:val="a2"/>
    <w:uiPriority w:val="99"/>
    <w:semiHidden/>
    <w:rsid w:val="006544C4"/>
    <w:pPr>
      <w:ind w:left="849" w:hanging="283"/>
      <w:contextualSpacing/>
    </w:pPr>
  </w:style>
  <w:style w:type="paragraph" w:styleId="45">
    <w:name w:val="List 4"/>
    <w:basedOn w:val="a2"/>
    <w:semiHidden/>
    <w:rsid w:val="006544C4"/>
    <w:pPr>
      <w:ind w:left="1132" w:hanging="283"/>
      <w:contextualSpacing/>
    </w:pPr>
  </w:style>
  <w:style w:type="paragraph" w:styleId="55">
    <w:name w:val="List 5"/>
    <w:basedOn w:val="a2"/>
    <w:uiPriority w:val="99"/>
    <w:semiHidden/>
    <w:rsid w:val="006544C4"/>
    <w:pPr>
      <w:ind w:left="1415" w:hanging="283"/>
      <w:contextualSpacing/>
    </w:pPr>
  </w:style>
  <w:style w:type="paragraph" w:styleId="a0">
    <w:name w:val="List Bullet"/>
    <w:basedOn w:val="a2"/>
    <w:uiPriority w:val="99"/>
    <w:semiHidden/>
    <w:rsid w:val="006544C4"/>
    <w:pPr>
      <w:numPr>
        <w:numId w:val="15"/>
      </w:numPr>
      <w:contextualSpacing/>
    </w:pPr>
  </w:style>
  <w:style w:type="paragraph" w:styleId="40">
    <w:name w:val="List Bullet 4"/>
    <w:basedOn w:val="a2"/>
    <w:uiPriority w:val="99"/>
    <w:semiHidden/>
    <w:rsid w:val="006544C4"/>
    <w:pPr>
      <w:numPr>
        <w:numId w:val="16"/>
      </w:numPr>
      <w:contextualSpacing/>
    </w:pPr>
  </w:style>
  <w:style w:type="paragraph" w:styleId="50">
    <w:name w:val="List Bullet 5"/>
    <w:basedOn w:val="a2"/>
    <w:semiHidden/>
    <w:rsid w:val="006544C4"/>
    <w:pPr>
      <w:numPr>
        <w:numId w:val="17"/>
      </w:numPr>
      <w:contextualSpacing/>
    </w:pPr>
  </w:style>
  <w:style w:type="paragraph" w:styleId="affff9">
    <w:name w:val="List Continue"/>
    <w:basedOn w:val="a2"/>
    <w:uiPriority w:val="99"/>
    <w:semiHidden/>
    <w:rsid w:val="006544C4"/>
    <w:pPr>
      <w:spacing w:after="120"/>
      <w:ind w:left="283"/>
      <w:contextualSpacing/>
    </w:pPr>
  </w:style>
  <w:style w:type="paragraph" w:styleId="2f">
    <w:name w:val="List Continue 2"/>
    <w:basedOn w:val="a2"/>
    <w:semiHidden/>
    <w:rsid w:val="006544C4"/>
    <w:pPr>
      <w:spacing w:after="120"/>
      <w:ind w:left="566"/>
      <w:contextualSpacing/>
    </w:pPr>
  </w:style>
  <w:style w:type="paragraph" w:styleId="3a">
    <w:name w:val="List Continue 3"/>
    <w:basedOn w:val="a2"/>
    <w:uiPriority w:val="99"/>
    <w:semiHidden/>
    <w:rsid w:val="006544C4"/>
    <w:pPr>
      <w:spacing w:after="120"/>
      <w:ind w:left="849"/>
      <w:contextualSpacing/>
    </w:pPr>
  </w:style>
  <w:style w:type="paragraph" w:styleId="46">
    <w:name w:val="List Continue 4"/>
    <w:basedOn w:val="a2"/>
    <w:uiPriority w:val="99"/>
    <w:semiHidden/>
    <w:rsid w:val="006544C4"/>
    <w:pPr>
      <w:spacing w:after="120"/>
      <w:ind w:left="1132"/>
      <w:contextualSpacing/>
    </w:pPr>
  </w:style>
  <w:style w:type="paragraph" w:styleId="56">
    <w:name w:val="List Continue 5"/>
    <w:basedOn w:val="a2"/>
    <w:uiPriority w:val="99"/>
    <w:semiHidden/>
    <w:rsid w:val="006544C4"/>
    <w:pPr>
      <w:spacing w:after="120"/>
      <w:ind w:left="1415"/>
      <w:contextualSpacing/>
    </w:pPr>
  </w:style>
  <w:style w:type="paragraph" w:styleId="a">
    <w:name w:val="List Number"/>
    <w:basedOn w:val="a2"/>
    <w:semiHidden/>
    <w:rsid w:val="006544C4"/>
    <w:pPr>
      <w:numPr>
        <w:numId w:val="18"/>
      </w:numPr>
      <w:contextualSpacing/>
    </w:pPr>
  </w:style>
  <w:style w:type="paragraph" w:styleId="2">
    <w:name w:val="List Number 2"/>
    <w:basedOn w:val="a2"/>
    <w:uiPriority w:val="99"/>
    <w:semiHidden/>
    <w:rsid w:val="006544C4"/>
    <w:pPr>
      <w:numPr>
        <w:numId w:val="19"/>
      </w:numPr>
      <w:contextualSpacing/>
    </w:pPr>
  </w:style>
  <w:style w:type="paragraph" w:styleId="3">
    <w:name w:val="List Number 3"/>
    <w:basedOn w:val="a2"/>
    <w:semiHidden/>
    <w:rsid w:val="006544C4"/>
    <w:pPr>
      <w:numPr>
        <w:numId w:val="20"/>
      </w:numPr>
      <w:contextualSpacing/>
    </w:pPr>
  </w:style>
  <w:style w:type="paragraph" w:styleId="4">
    <w:name w:val="List Number 4"/>
    <w:basedOn w:val="a2"/>
    <w:uiPriority w:val="99"/>
    <w:semiHidden/>
    <w:rsid w:val="006544C4"/>
    <w:pPr>
      <w:numPr>
        <w:numId w:val="21"/>
      </w:numPr>
      <w:contextualSpacing/>
    </w:pPr>
  </w:style>
  <w:style w:type="paragraph" w:styleId="5">
    <w:name w:val="List Number 5"/>
    <w:basedOn w:val="a2"/>
    <w:semiHidden/>
    <w:rsid w:val="006544C4"/>
    <w:pPr>
      <w:numPr>
        <w:numId w:val="22"/>
      </w:numPr>
      <w:contextualSpacing/>
    </w:pPr>
  </w:style>
  <w:style w:type="paragraph" w:styleId="affffa">
    <w:name w:val="macro"/>
    <w:link w:val="affffb"/>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6544C4"/>
    <w:rPr>
      <w:rFonts w:ascii="Consolas" w:eastAsiaTheme="minorEastAsia" w:hAnsi="Consolas" w:cs="Consolas"/>
      <w:sz w:val="20"/>
      <w:szCs w:val="20"/>
    </w:rPr>
  </w:style>
  <w:style w:type="table" w:styleId="13">
    <w:name w:val="Medium Grid 1"/>
    <w:basedOn w:val="a4"/>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6544C4"/>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6544C4"/>
    <w:rPr>
      <w:rFonts w:ascii="Times New Roman" w:hAnsi="Times New Roman" w:cs="Times New Roman"/>
      <w:szCs w:val="24"/>
    </w:rPr>
  </w:style>
  <w:style w:type="paragraph" w:styleId="afffff">
    <w:name w:val="Normal Indent"/>
    <w:basedOn w:val="a2"/>
    <w:uiPriority w:val="99"/>
    <w:semiHidden/>
    <w:rsid w:val="006544C4"/>
    <w:pPr>
      <w:ind w:left="720"/>
    </w:pPr>
  </w:style>
  <w:style w:type="paragraph" w:customStyle="1" w:styleId="NoteHeading1">
    <w:name w:val="Note Heading1"/>
    <w:basedOn w:val="a2"/>
    <w:next w:val="a2"/>
    <w:link w:val="NoteHeadingChar"/>
    <w:uiPriority w:val="99"/>
    <w:semiHidden/>
    <w:rsid w:val="006544C4"/>
  </w:style>
  <w:style w:type="character" w:customStyle="1" w:styleId="NoteHeadingChar">
    <w:name w:val="Note Heading Char"/>
    <w:basedOn w:val="a3"/>
    <w:link w:val="NoteHeading1"/>
    <w:uiPriority w:val="99"/>
    <w:semiHidden/>
    <w:rsid w:val="006544C4"/>
    <w:rPr>
      <w:rFonts w:eastAsiaTheme="minorEastAsia"/>
      <w:sz w:val="24"/>
    </w:rPr>
  </w:style>
  <w:style w:type="character" w:styleId="afffff0">
    <w:name w:val="Placeholder Text"/>
    <w:basedOn w:val="a3"/>
    <w:uiPriority w:val="99"/>
    <w:semiHidden/>
    <w:rsid w:val="00F9130D"/>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6544C4"/>
    <w:rPr>
      <w:rFonts w:ascii="Consolas" w:hAnsi="Consolas" w:cs="Consolas"/>
      <w:sz w:val="21"/>
      <w:szCs w:val="21"/>
    </w:rPr>
  </w:style>
  <w:style w:type="character" w:customStyle="1" w:styleId="afffff2">
    <w:name w:val="Текст Знак"/>
    <w:basedOn w:val="a3"/>
    <w:link w:val="afffff1"/>
    <w:uiPriority w:val="99"/>
    <w:semiHidden/>
    <w:rsid w:val="006544C4"/>
    <w:rPr>
      <w:rFonts w:ascii="Consolas" w:eastAsiaTheme="minorEastAsia" w:hAnsi="Consolas" w:cs="Consolas"/>
      <w:sz w:val="21"/>
      <w:szCs w:val="21"/>
    </w:rPr>
  </w:style>
  <w:style w:type="paragraph" w:styleId="afffff3">
    <w:name w:val="Salutation"/>
    <w:basedOn w:val="a2"/>
    <w:next w:val="a2"/>
    <w:link w:val="afffff4"/>
    <w:uiPriority w:val="99"/>
    <w:semiHidden/>
    <w:rsid w:val="006544C4"/>
  </w:style>
  <w:style w:type="character" w:customStyle="1" w:styleId="afffff4">
    <w:name w:val="Приветствие Знак"/>
    <w:basedOn w:val="a3"/>
    <w:link w:val="afffff3"/>
    <w:uiPriority w:val="99"/>
    <w:semiHidden/>
    <w:rsid w:val="006544C4"/>
    <w:rPr>
      <w:rFonts w:eastAsiaTheme="minorEastAsia"/>
      <w:sz w:val="24"/>
    </w:rPr>
  </w:style>
  <w:style w:type="paragraph" w:styleId="afffff5">
    <w:name w:val="Signature"/>
    <w:basedOn w:val="a2"/>
    <w:link w:val="afffff6"/>
    <w:uiPriority w:val="99"/>
    <w:semiHidden/>
    <w:rsid w:val="006544C4"/>
    <w:pPr>
      <w:ind w:left="4252"/>
    </w:pPr>
  </w:style>
  <w:style w:type="character" w:customStyle="1" w:styleId="afffff6">
    <w:name w:val="Подпись Знак"/>
    <w:basedOn w:val="a3"/>
    <w:link w:val="afffff5"/>
    <w:uiPriority w:val="99"/>
    <w:semiHidden/>
    <w:rsid w:val="006544C4"/>
    <w:rPr>
      <w:rFonts w:eastAsiaTheme="minorEastAsia"/>
      <w:sz w:val="24"/>
    </w:rPr>
  </w:style>
  <w:style w:type="table" w:styleId="16">
    <w:name w:val="Table 3D effects 1"/>
    <w:basedOn w:val="a4"/>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6544C4"/>
    <w:pPr>
      <w:ind w:left="240" w:hanging="240"/>
    </w:pPr>
  </w:style>
  <w:style w:type="paragraph" w:styleId="afffffa">
    <w:name w:val="table of figures"/>
    <w:basedOn w:val="a2"/>
    <w:next w:val="a2"/>
    <w:uiPriority w:val="99"/>
    <w:semiHidden/>
    <w:rsid w:val="006544C4"/>
  </w:style>
  <w:style w:type="table" w:styleId="afffffb">
    <w:name w:val="Table Professional"/>
    <w:basedOn w:val="a4"/>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F9130D"/>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F9130D"/>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6544C4"/>
    <w:pPr>
      <w:spacing w:after="100"/>
      <w:ind w:left="1680"/>
    </w:pPr>
  </w:style>
  <w:style w:type="paragraph" w:styleId="92">
    <w:name w:val="toc 9"/>
    <w:basedOn w:val="a2"/>
    <w:next w:val="a2"/>
    <w:autoRedefine/>
    <w:uiPriority w:val="99"/>
    <w:semiHidden/>
    <w:rsid w:val="006544C4"/>
    <w:pPr>
      <w:spacing w:after="100"/>
      <w:ind w:left="1920"/>
    </w:pPr>
  </w:style>
  <w:style w:type="paragraph" w:customStyle="1" w:styleId="ECHRFooter">
    <w:name w:val="ECHR_Footer"/>
    <w:aliases w:val="Footer_ECHR"/>
    <w:basedOn w:val="af2"/>
    <w:uiPriority w:val="57"/>
    <w:semiHidden/>
    <w:rsid w:val="00F9130D"/>
    <w:pPr>
      <w:jc w:val="left"/>
    </w:pPr>
    <w:rPr>
      <w:sz w:val="8"/>
    </w:rPr>
  </w:style>
  <w:style w:type="paragraph" w:customStyle="1" w:styleId="ECHRFooterLine">
    <w:name w:val="ECHR_Footer_Line"/>
    <w:aliases w:val="Footer_Line"/>
    <w:basedOn w:val="a2"/>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a2"/>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paragraph" w:styleId="afffffd">
    <w:name w:val="Note Heading"/>
    <w:basedOn w:val="a2"/>
    <w:next w:val="a2"/>
    <w:uiPriority w:val="99"/>
    <w:semiHidden/>
    <w:rsid w:val="00E07F40"/>
    <w:rPr>
      <w:lang w:val="en-GB"/>
    </w:rPr>
  </w:style>
  <w:style w:type="character" w:customStyle="1" w:styleId="NoteHeadingChar1">
    <w:name w:val="Note Heading Char1"/>
    <w:basedOn w:val="a3"/>
    <w:uiPriority w:val="99"/>
    <w:semiHidden/>
    <w:rsid w:val="00E07F40"/>
    <w:rPr>
      <w:rFonts w:eastAsiaTheme="minorEastAsia"/>
      <w:sz w:val="24"/>
    </w:rPr>
  </w:style>
  <w:style w:type="character" w:customStyle="1" w:styleId="ECHRParaChar">
    <w:name w:val="ECHR_Para Char"/>
    <w:aliases w:val="Ju_Para Char"/>
    <w:link w:val="ECHRPara"/>
    <w:uiPriority w:val="12"/>
    <w:rsid w:val="00E07F40"/>
    <w:rPr>
      <w:rFonts w:eastAsiaTheme="minorEastAsia"/>
      <w:sz w:val="24"/>
    </w:rPr>
  </w:style>
  <w:style w:type="character" w:customStyle="1" w:styleId="column">
    <w:name w:val="column"/>
    <w:basedOn w:val="a3"/>
    <w:rsid w:val="00E07F40"/>
  </w:style>
  <w:style w:type="paragraph" w:styleId="afffffe">
    <w:name w:val="Revision"/>
    <w:hidden/>
    <w:uiPriority w:val="99"/>
    <w:semiHidden/>
    <w:rsid w:val="00E07F4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3610-7E61-43EB-A7C8-AC0FEB38F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583FC-7833-49FC-A7F7-624D9D98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D74F78-CF31-4DC3-B6CF-C9BB8D67C6E4}">
  <ds:schemaRefs>
    <ds:schemaRef ds:uri="http://schemas.microsoft.com/sharepoint/v3/contenttype/forms"/>
  </ds:schemaRefs>
</ds:datastoreItem>
</file>

<file path=customXml/itemProps4.xml><?xml version="1.0" encoding="utf-8"?>
<ds:datastoreItem xmlns:ds="http://schemas.openxmlformats.org/officeDocument/2006/customXml" ds:itemID="{8D6B9A90-37CC-4379-AF28-BFE396C5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3052</Words>
  <Characters>17400</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2019-08-13T10:24:00Z</dcterms:created>
  <dcterms:modified xsi:type="dcterms:W3CDTF">2019-08-13T14:14:00Z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63896/12</vt:lpwstr>
  </property>
  <property fmtid="{D5CDD505-2E9C-101B-9397-08002B2CF9AE}" pid="4" name="CASEID">
    <vt:lpwstr>832560</vt:lpwstr>
  </property>
  <property fmtid="{D5CDD505-2E9C-101B-9397-08002B2CF9AE}" pid="5" name="ContentTypeId">
    <vt:lpwstr>0x010100558EB02BDB9E204AB350EDD385B68E10</vt:lpwstr>
  </property>
</Properties>
</file>