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54795" w:rsidR="00D420F3" w:rsidP="00F54795" w:rsidRDefault="00D420F3">
      <w:pPr>
        <w:jc w:val="center"/>
      </w:pPr>
      <w:bookmarkStart w:name="_GoBack" w:id="0"/>
      <w:bookmarkEnd w:id="0"/>
    </w:p>
    <w:p w:rsidRPr="00F54795" w:rsidR="00925B61" w:rsidP="00F54795" w:rsidRDefault="00925B61">
      <w:pPr>
        <w:jc w:val="center"/>
      </w:pPr>
    </w:p>
    <w:p w:rsidRPr="00F54795" w:rsidR="00925B61" w:rsidP="00F54795" w:rsidRDefault="00925B61">
      <w:pPr>
        <w:jc w:val="center"/>
      </w:pPr>
    </w:p>
    <w:p w:rsidRPr="00F54795" w:rsidR="00D420F3" w:rsidP="00F54795" w:rsidRDefault="007B2327">
      <w:pPr>
        <w:jc w:val="center"/>
      </w:pPr>
      <w:r w:rsidRPr="00F54795">
        <w:t>THIRD SECTION</w:t>
      </w:r>
    </w:p>
    <w:p w:rsidRPr="00F54795" w:rsidR="00D420F3" w:rsidP="00F54795" w:rsidRDefault="00D420F3">
      <w:pPr>
        <w:jc w:val="center"/>
      </w:pPr>
    </w:p>
    <w:p w:rsidRPr="00F54795" w:rsidR="00925B61" w:rsidP="00F54795" w:rsidRDefault="00925B61">
      <w:pPr>
        <w:jc w:val="center"/>
      </w:pPr>
    </w:p>
    <w:p w:rsidRPr="00F54795" w:rsidR="00925B61" w:rsidP="00F54795" w:rsidRDefault="00925B61">
      <w:pPr>
        <w:jc w:val="center"/>
      </w:pPr>
    </w:p>
    <w:p w:rsidRPr="00F54795" w:rsidR="00925B61" w:rsidP="00F54795" w:rsidRDefault="00925B61">
      <w:pPr>
        <w:jc w:val="center"/>
      </w:pPr>
    </w:p>
    <w:p w:rsidRPr="00F54795" w:rsidR="00925B61" w:rsidP="00F54795" w:rsidRDefault="00925B61">
      <w:pPr>
        <w:jc w:val="center"/>
      </w:pPr>
    </w:p>
    <w:p w:rsidRPr="00F54795" w:rsidR="00493A9C" w:rsidP="00F54795" w:rsidRDefault="00493A9C">
      <w:pPr>
        <w:jc w:val="center"/>
      </w:pPr>
    </w:p>
    <w:p w:rsidRPr="00F54795" w:rsidR="00D420F3" w:rsidP="00F54795" w:rsidRDefault="0077175D">
      <w:pPr>
        <w:jc w:val="center"/>
        <w:rPr>
          <w:b/>
        </w:rPr>
      </w:pPr>
      <w:bookmarkStart w:name="To" w:id="1"/>
      <w:r w:rsidRPr="00F54795">
        <w:rPr>
          <w:b/>
        </w:rPr>
        <w:t xml:space="preserve">CASE OF </w:t>
      </w:r>
      <w:bookmarkEnd w:id="1"/>
      <w:r w:rsidRPr="00F54795" w:rsidR="007B2327">
        <w:rPr>
          <w:b/>
        </w:rPr>
        <w:t>KORNEYEVA v. RUSSIA</w:t>
      </w:r>
    </w:p>
    <w:p w:rsidRPr="00F54795" w:rsidR="00D420F3" w:rsidP="00F54795" w:rsidRDefault="00D420F3">
      <w:pPr>
        <w:jc w:val="center"/>
      </w:pPr>
    </w:p>
    <w:p w:rsidRPr="00F54795" w:rsidR="00D420F3" w:rsidP="00F54795" w:rsidRDefault="0077175D">
      <w:pPr>
        <w:jc w:val="center"/>
        <w:rPr>
          <w:i/>
        </w:rPr>
      </w:pPr>
      <w:r w:rsidRPr="00F54795">
        <w:rPr>
          <w:i/>
        </w:rPr>
        <w:t>(</w:t>
      </w:r>
      <w:r w:rsidRPr="00F54795" w:rsidR="007B2327">
        <w:rPr>
          <w:i/>
        </w:rPr>
        <w:t>Application no. 72051/17</w:t>
      </w:r>
      <w:r w:rsidRPr="00F54795">
        <w:rPr>
          <w:i/>
        </w:rPr>
        <w:t>)</w:t>
      </w:r>
    </w:p>
    <w:p w:rsidRPr="00F54795" w:rsidR="00D420F3" w:rsidP="00F54795" w:rsidRDefault="00D420F3">
      <w:pPr>
        <w:jc w:val="center"/>
      </w:pPr>
    </w:p>
    <w:p w:rsidRPr="00F54795" w:rsidR="00493A9C" w:rsidP="00F54795" w:rsidRDefault="00493A9C">
      <w:pPr>
        <w:jc w:val="center"/>
      </w:pPr>
    </w:p>
    <w:p w:rsidRPr="00F54795" w:rsidR="00493A9C" w:rsidP="00F54795" w:rsidRDefault="00493A9C">
      <w:pPr>
        <w:jc w:val="center"/>
      </w:pPr>
    </w:p>
    <w:p w:rsidRPr="00F54795" w:rsidR="00493A9C" w:rsidP="00F54795" w:rsidRDefault="00493A9C">
      <w:pPr>
        <w:jc w:val="center"/>
      </w:pPr>
    </w:p>
    <w:p w:rsidRPr="00F54795" w:rsidR="00493A9C" w:rsidP="00F54795" w:rsidRDefault="00493A9C">
      <w:pPr>
        <w:jc w:val="center"/>
      </w:pPr>
    </w:p>
    <w:p w:rsidRPr="00F54795" w:rsidR="00493A9C" w:rsidP="00F54795" w:rsidRDefault="00493A9C">
      <w:pPr>
        <w:jc w:val="center"/>
      </w:pPr>
    </w:p>
    <w:p w:rsidRPr="00F54795" w:rsidR="00493A9C" w:rsidP="00F54795" w:rsidRDefault="00493A9C">
      <w:pPr>
        <w:jc w:val="center"/>
      </w:pPr>
    </w:p>
    <w:p w:rsidRPr="00F54795" w:rsidR="00F26CDF" w:rsidP="00F54795" w:rsidRDefault="00F26CDF">
      <w:pPr>
        <w:jc w:val="center"/>
      </w:pPr>
    </w:p>
    <w:p w:rsidRPr="00F54795" w:rsidR="00F26CDF" w:rsidP="00F54795" w:rsidRDefault="00F26CDF">
      <w:pPr>
        <w:jc w:val="center"/>
      </w:pPr>
    </w:p>
    <w:p w:rsidRPr="00F54795" w:rsidR="00F26CDF" w:rsidP="00F54795" w:rsidRDefault="00F26CDF">
      <w:pPr>
        <w:jc w:val="center"/>
      </w:pPr>
    </w:p>
    <w:p w:rsidRPr="00F54795" w:rsidR="00F26CDF" w:rsidP="00F54795" w:rsidRDefault="00F26CDF">
      <w:pPr>
        <w:jc w:val="center"/>
      </w:pPr>
    </w:p>
    <w:p w:rsidRPr="00F54795" w:rsidR="00493A9C" w:rsidP="00F54795" w:rsidRDefault="00493A9C">
      <w:pPr>
        <w:jc w:val="center"/>
      </w:pPr>
    </w:p>
    <w:p w:rsidRPr="00F54795" w:rsidR="00493A9C" w:rsidP="00F54795" w:rsidRDefault="00493A9C">
      <w:pPr>
        <w:jc w:val="center"/>
      </w:pPr>
    </w:p>
    <w:p w:rsidRPr="00F54795" w:rsidR="00493A9C" w:rsidP="00F54795" w:rsidRDefault="00493A9C">
      <w:pPr>
        <w:jc w:val="center"/>
      </w:pPr>
      <w:r w:rsidRPr="00F54795">
        <w:t>JUDGMENT</w:t>
      </w:r>
    </w:p>
    <w:p w:rsidRPr="00F54795" w:rsidR="00493A9C" w:rsidP="00F54795" w:rsidRDefault="00493A9C">
      <w:pPr>
        <w:jc w:val="center"/>
      </w:pPr>
    </w:p>
    <w:p w:rsidRPr="00F54795" w:rsidR="00493A9C" w:rsidP="00F54795" w:rsidRDefault="00493A9C">
      <w:pPr>
        <w:jc w:val="center"/>
      </w:pPr>
    </w:p>
    <w:p w:rsidRPr="00F54795" w:rsidR="00493A9C" w:rsidP="00F54795" w:rsidRDefault="00493A9C">
      <w:pPr>
        <w:jc w:val="center"/>
      </w:pPr>
    </w:p>
    <w:p w:rsidRPr="00F54795" w:rsidR="00493A9C" w:rsidP="00F54795" w:rsidRDefault="00493A9C">
      <w:pPr>
        <w:jc w:val="center"/>
      </w:pPr>
    </w:p>
    <w:p w:rsidRPr="00F54795" w:rsidR="00493A9C" w:rsidP="00F54795" w:rsidRDefault="00493A9C">
      <w:pPr>
        <w:jc w:val="center"/>
        <w:rPr>
          <w:b/>
        </w:rPr>
      </w:pPr>
      <w:r w:rsidRPr="00F54795">
        <w:t>STRASBOURG</w:t>
      </w:r>
    </w:p>
    <w:p w:rsidRPr="00F54795" w:rsidR="00493A9C" w:rsidP="00F54795" w:rsidRDefault="00493A9C">
      <w:pPr>
        <w:jc w:val="center"/>
      </w:pPr>
    </w:p>
    <w:p w:rsidRPr="00F54795" w:rsidR="00493A9C" w:rsidP="00F54795" w:rsidRDefault="00493A9C">
      <w:pPr>
        <w:jc w:val="center"/>
      </w:pPr>
      <w:r w:rsidRPr="00F54795">
        <w:t>8 October 2019</w:t>
      </w:r>
    </w:p>
    <w:p w:rsidRPr="00F54795" w:rsidR="00493A9C" w:rsidP="00F54795" w:rsidRDefault="00493A9C">
      <w:pPr>
        <w:jc w:val="center"/>
      </w:pPr>
    </w:p>
    <w:p w:rsidRPr="00F54795" w:rsidR="00493A9C" w:rsidP="00F54795" w:rsidRDefault="00493A9C">
      <w:pPr>
        <w:jc w:val="center"/>
      </w:pPr>
    </w:p>
    <w:p w:rsidRPr="00F54795" w:rsidR="00493A9C" w:rsidP="00F54795" w:rsidRDefault="00493A9C">
      <w:pPr>
        <w:jc w:val="center"/>
      </w:pPr>
    </w:p>
    <w:p w:rsidRPr="00F54795" w:rsidR="00493A9C" w:rsidP="00F54795" w:rsidRDefault="00925B61">
      <w:pPr>
        <w:pStyle w:val="JuCase"/>
        <w:ind w:firstLine="0"/>
        <w:rPr>
          <w:b w:val="0"/>
          <w:i/>
        </w:rPr>
      </w:pPr>
      <w:r w:rsidRPr="00F54795">
        <w:rPr>
          <w:b w:val="0"/>
          <w:i/>
        </w:rPr>
        <w:t>This judgment will become final in the circumstances set out in Article 44 §</w:t>
      </w:r>
      <w:r w:rsidRPr="00F54795" w:rsidR="006C02BA">
        <w:rPr>
          <w:b w:val="0"/>
          <w:i/>
        </w:rPr>
        <w:t> </w:t>
      </w:r>
      <w:r w:rsidRPr="00F54795">
        <w:rPr>
          <w:b w:val="0"/>
          <w:i/>
        </w:rPr>
        <w:t>2 of the Convention. It may be subject to editorial revision.</w:t>
      </w:r>
    </w:p>
    <w:p w:rsidRPr="00F54795" w:rsidR="00493A9C" w:rsidP="00F54795" w:rsidRDefault="00493A9C">
      <w:pPr>
        <w:pStyle w:val="ECHRPara"/>
        <w:rPr>
          <w:lang w:val="en-US"/>
        </w:rPr>
        <w:sectPr w:rsidRPr="00F54795" w:rsidR="00493A9C" w:rsidSect="00925B61">
          <w:headerReference w:type="even" r:id="rId8"/>
          <w:headerReference w:type="default" r:id="rId9"/>
          <w:footerReference w:type="default" r:id="rId10"/>
          <w:footnotePr>
            <w:numRestart w:val="eachSect"/>
          </w:footnotePr>
          <w:pgSz w:w="11906" w:h="16838" w:code="9"/>
          <w:pgMar w:top="2274" w:right="2274" w:bottom="2274" w:left="2274" w:header="1701" w:footer="720" w:gutter="0"/>
          <w:pgNumType w:start="1"/>
          <w:cols w:space="720"/>
          <w:docGrid w:linePitch="326"/>
        </w:sectPr>
      </w:pPr>
    </w:p>
    <w:p w:rsidRPr="00F54795" w:rsidR="00D420F3" w:rsidP="00F54795" w:rsidRDefault="00493A9C">
      <w:pPr>
        <w:pStyle w:val="JuCase"/>
        <w:rPr>
          <w:bCs/>
        </w:rPr>
      </w:pPr>
      <w:r w:rsidRPr="00F54795">
        <w:t>In the cas</w:t>
      </w:r>
      <w:r w:rsidRPr="00F54795" w:rsidR="0077175D">
        <w:t xml:space="preserve">e of </w:t>
      </w:r>
      <w:r w:rsidRPr="00F54795" w:rsidR="00C135C1">
        <w:t>Korneyeva</w:t>
      </w:r>
      <w:r w:rsidRPr="00F54795" w:rsidR="007B2327">
        <w:t xml:space="preserve"> v. Russia</w:t>
      </w:r>
      <w:r w:rsidRPr="00F54795" w:rsidR="0077175D">
        <w:t>,</w:t>
      </w:r>
    </w:p>
    <w:p w:rsidRPr="00F54795" w:rsidR="00D420F3" w:rsidP="00F54795" w:rsidRDefault="0077175D">
      <w:pPr>
        <w:pStyle w:val="ECHRPara"/>
      </w:pPr>
      <w:r w:rsidRPr="00F54795">
        <w:t>The European Court of Human Rights (</w:t>
      </w:r>
      <w:r w:rsidRPr="00F54795" w:rsidR="007B2327">
        <w:t>Third Section</w:t>
      </w:r>
      <w:r w:rsidRPr="00F54795">
        <w:t xml:space="preserve">), sitting as a </w:t>
      </w:r>
      <w:r w:rsidRPr="00F54795" w:rsidR="007B2327">
        <w:t>Chamber</w:t>
      </w:r>
      <w:r w:rsidRPr="00F54795">
        <w:t xml:space="preserve"> composed of:</w:t>
      </w:r>
    </w:p>
    <w:p w:rsidRPr="00F54795" w:rsidR="00D420F3" w:rsidP="00F54795" w:rsidRDefault="00493A9C">
      <w:pPr>
        <w:pStyle w:val="ECHRDecisionBody"/>
      </w:pPr>
      <w:r w:rsidRPr="00F54795">
        <w:tab/>
        <w:t>Vincent A. De Gaetano,</w:t>
      </w:r>
      <w:r w:rsidRPr="00F54795">
        <w:rPr>
          <w:i/>
        </w:rPr>
        <w:t xml:space="preserve"> President,</w:t>
      </w:r>
      <w:r w:rsidRPr="00F54795">
        <w:rPr>
          <w:i/>
        </w:rPr>
        <w:br/>
      </w:r>
      <w:r w:rsidRPr="00F54795">
        <w:tab/>
        <w:t>Paulo Pinto de Albuquerque,</w:t>
      </w:r>
      <w:r w:rsidRPr="00F54795">
        <w:rPr>
          <w:i/>
        </w:rPr>
        <w:br/>
      </w:r>
      <w:r w:rsidRPr="00F54795">
        <w:tab/>
        <w:t>Dmitry Dedov,</w:t>
      </w:r>
      <w:r w:rsidRPr="00F54795">
        <w:rPr>
          <w:i/>
        </w:rPr>
        <w:br/>
      </w:r>
      <w:r w:rsidRPr="00F54795">
        <w:tab/>
        <w:t>Branko Lubarda,</w:t>
      </w:r>
      <w:r w:rsidRPr="00F54795">
        <w:rPr>
          <w:i/>
        </w:rPr>
        <w:br/>
      </w:r>
      <w:r w:rsidRPr="00F54795">
        <w:tab/>
        <w:t>Alena Poláčková,</w:t>
      </w:r>
      <w:r w:rsidRPr="00F54795">
        <w:rPr>
          <w:i/>
        </w:rPr>
        <w:br/>
      </w:r>
      <w:r w:rsidRPr="00F54795">
        <w:tab/>
        <w:t>María Elósegui,</w:t>
      </w:r>
      <w:r w:rsidRPr="00F54795">
        <w:rPr>
          <w:i/>
        </w:rPr>
        <w:br/>
      </w:r>
      <w:r w:rsidRPr="00F54795">
        <w:tab/>
        <w:t>Gilberto Felici,</w:t>
      </w:r>
      <w:r w:rsidRPr="00F54795">
        <w:rPr>
          <w:i/>
        </w:rPr>
        <w:t xml:space="preserve"> judges,</w:t>
      </w:r>
      <w:r w:rsidRPr="00F54795">
        <w:rPr>
          <w:i/>
        </w:rPr>
        <w:br/>
      </w:r>
      <w:r w:rsidRPr="00F54795" w:rsidR="0077175D">
        <w:t xml:space="preserve">and </w:t>
      </w:r>
      <w:r w:rsidRPr="00F54795" w:rsidR="007B2327">
        <w:t>Stephen Phillips</w:t>
      </w:r>
      <w:r w:rsidRPr="00F54795" w:rsidR="0077175D">
        <w:t xml:space="preserve">, </w:t>
      </w:r>
      <w:r w:rsidRPr="00F54795" w:rsidR="007B2327">
        <w:rPr>
          <w:i/>
        </w:rPr>
        <w:t xml:space="preserve">Section </w:t>
      </w:r>
      <w:r w:rsidRPr="00F54795" w:rsidR="007B2327">
        <w:rPr>
          <w:i/>
          <w:iCs/>
        </w:rPr>
        <w:t>Registrar</w:t>
      </w:r>
      <w:r w:rsidRPr="00F54795" w:rsidR="0077175D">
        <w:rPr>
          <w:i/>
        </w:rPr>
        <w:t>,</w:t>
      </w:r>
    </w:p>
    <w:p w:rsidRPr="00F54795" w:rsidR="00D420F3" w:rsidP="00F54795" w:rsidRDefault="0077175D">
      <w:pPr>
        <w:pStyle w:val="ECHRPara"/>
      </w:pPr>
      <w:r w:rsidRPr="00F54795">
        <w:t xml:space="preserve">Having deliberated in private on </w:t>
      </w:r>
      <w:r w:rsidRPr="00F54795" w:rsidR="00493A9C">
        <w:t>10 September 2019</w:t>
      </w:r>
      <w:r w:rsidRPr="00F54795">
        <w:t>,</w:t>
      </w:r>
    </w:p>
    <w:p w:rsidRPr="00F54795" w:rsidR="00D420F3" w:rsidP="00F54795" w:rsidRDefault="0077175D">
      <w:pPr>
        <w:pStyle w:val="ECHRPara"/>
      </w:pPr>
      <w:r w:rsidRPr="00F54795">
        <w:t>Delivers the following judgment, which was adopted on that date:</w:t>
      </w:r>
    </w:p>
    <w:p w:rsidRPr="00F54795" w:rsidR="00D420F3" w:rsidP="00F54795" w:rsidRDefault="0077175D">
      <w:pPr>
        <w:pStyle w:val="ECHRTitle1"/>
      </w:pPr>
      <w:r w:rsidRPr="00F54795">
        <w:t>PROCEDURE</w:t>
      </w:r>
    </w:p>
    <w:p w:rsidRPr="00F54795" w:rsidR="008037B5"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1</w:t>
      </w:r>
      <w:r w:rsidRPr="00F54795">
        <w:fldChar w:fldCharType="end"/>
      </w:r>
      <w:r w:rsidRPr="00F54795" w:rsidR="0077175D">
        <w:t xml:space="preserve">.  The case originated in </w:t>
      </w:r>
      <w:r w:rsidRPr="00F54795" w:rsidR="000800B7">
        <w:t>an</w:t>
      </w:r>
      <w:r w:rsidRPr="00F54795">
        <w:t xml:space="preserve"> application (no. </w:t>
      </w:r>
      <w:r w:rsidRPr="00F54795" w:rsidR="000800B7">
        <w:t>72051/17)</w:t>
      </w:r>
      <w:r w:rsidRPr="00F54795" w:rsidR="0077175D">
        <w:t xml:space="preserve"> against </w:t>
      </w:r>
      <w:r w:rsidRPr="00F54795">
        <w:t>the Russian Federation</w:t>
      </w:r>
      <w:r w:rsidRPr="00F54795" w:rsidR="0077175D">
        <w:t xml:space="preserve"> lodged with the </w:t>
      </w:r>
      <w:r w:rsidRPr="00F54795">
        <w:t>Court under Article 34</w:t>
      </w:r>
      <w:r w:rsidRPr="00F54795" w:rsidR="0077175D">
        <w:t xml:space="preserve"> of the Convention for the Protection of Human Rights and Fundamental Freedoms (“the Convention”) by </w:t>
      </w:r>
      <w:r w:rsidRPr="00F54795" w:rsidR="000800B7">
        <w:t>a</w:t>
      </w:r>
      <w:r w:rsidRPr="00F54795">
        <w:t xml:space="preserve"> Russian</w:t>
      </w:r>
      <w:r w:rsidRPr="00F54795" w:rsidR="000800B7">
        <w:t xml:space="preserve"> n</w:t>
      </w:r>
      <w:r w:rsidRPr="00F54795">
        <w:t>ational,</w:t>
      </w:r>
      <w:r w:rsidRPr="00F54795" w:rsidR="000800B7">
        <w:t xml:space="preserve"> Ms Katerina Olegovna Korneyeva (“t</w:t>
      </w:r>
      <w:r w:rsidRPr="00F54795">
        <w:t>he applicant”), on 2</w:t>
      </w:r>
      <w:r w:rsidRPr="00F54795" w:rsidR="000800B7">
        <w:t>1</w:t>
      </w:r>
      <w:r w:rsidRPr="00F54795">
        <w:t xml:space="preserve"> September 2017</w:t>
      </w:r>
      <w:r w:rsidRPr="00F54795" w:rsidR="0077175D">
        <w:t>.</w:t>
      </w:r>
    </w:p>
    <w:p w:rsidRPr="00F54795" w:rsidR="007B2327"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2</w:t>
      </w:r>
      <w:r w:rsidRPr="00F54795">
        <w:fldChar w:fldCharType="end"/>
      </w:r>
      <w:r w:rsidRPr="00F54795" w:rsidR="0077175D">
        <w:t>.  </w:t>
      </w:r>
      <w:r w:rsidRPr="00F54795">
        <w:t>The applicant</w:t>
      </w:r>
      <w:r w:rsidRPr="00F54795" w:rsidR="000800B7">
        <w:t xml:space="preserve"> was</w:t>
      </w:r>
      <w:r w:rsidRPr="00F54795">
        <w:t xml:space="preserve"> represented by </w:t>
      </w:r>
      <w:r w:rsidRPr="00F54795" w:rsidR="000800B7">
        <w:t>Mr A</w:t>
      </w:r>
      <w:r w:rsidRPr="00F54795" w:rsidR="004375A6">
        <w:t>leksandr Dmitriyevich</w:t>
      </w:r>
      <w:r w:rsidRPr="00F54795" w:rsidR="000800B7">
        <w:t xml:space="preserve"> Peredruk, </w:t>
      </w:r>
      <w:r w:rsidRPr="00F54795">
        <w:t xml:space="preserve">a lawyer practising in </w:t>
      </w:r>
      <w:r w:rsidRPr="00F54795" w:rsidR="000800B7">
        <w:t>St Petersburg, Russia</w:t>
      </w:r>
      <w:r w:rsidRPr="00F54795">
        <w:t xml:space="preserve">. </w:t>
      </w:r>
      <w:r w:rsidRPr="00F54795" w:rsidR="0077175D">
        <w:t xml:space="preserve">The </w:t>
      </w:r>
      <w:r w:rsidRPr="00F54795">
        <w:t>Russian</w:t>
      </w:r>
      <w:r w:rsidRPr="00F54795" w:rsidR="0077175D">
        <w:t xml:space="preserve"> Government (“the Government”) were represented by</w:t>
      </w:r>
      <w:r w:rsidRPr="00F54795" w:rsidR="000800B7">
        <w:t xml:space="preserve"> Mr M. Galperin, Representative of the Russian Federation to the European Court of Human Rights.</w:t>
      </w:r>
    </w:p>
    <w:p w:rsidRPr="00F54795" w:rsidR="00D420F3"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3</w:t>
      </w:r>
      <w:r w:rsidRPr="00F54795">
        <w:fldChar w:fldCharType="end"/>
      </w:r>
      <w:r w:rsidRPr="00F54795">
        <w:t>.  The applicant alleged, in particular,</w:t>
      </w:r>
      <w:r w:rsidRPr="00F54795" w:rsidR="00B85B2F">
        <w:t xml:space="preserve"> </w:t>
      </w:r>
      <w:r w:rsidRPr="00F54795" w:rsidR="00682133">
        <w:t xml:space="preserve">that </w:t>
      </w:r>
      <w:r w:rsidRPr="00F54795" w:rsidR="00B85B2F">
        <w:t>her administrative escorting and arrest had been unlawful</w:t>
      </w:r>
      <w:r w:rsidRPr="00F54795" w:rsidR="008A5D04">
        <w:t>, that</w:t>
      </w:r>
      <w:r w:rsidRPr="00F54795" w:rsidR="00B85B2F">
        <w:t xml:space="preserve"> she had not been given a fair hearing by an impartial tribunal and </w:t>
      </w:r>
      <w:r w:rsidRPr="00F54795" w:rsidR="008A5D04">
        <w:t xml:space="preserve">that </w:t>
      </w:r>
      <w:r w:rsidRPr="00F54795" w:rsidR="00B85B2F">
        <w:t xml:space="preserve">there had been a violation of the </w:t>
      </w:r>
      <w:r w:rsidRPr="00F54795" w:rsidR="00B85B2F">
        <w:rPr>
          <w:i/>
        </w:rPr>
        <w:t>ne bis in idem</w:t>
      </w:r>
      <w:r w:rsidRPr="00F54795" w:rsidR="00B85B2F">
        <w:t xml:space="preserve"> principle.</w:t>
      </w:r>
    </w:p>
    <w:p w:rsidRPr="00F54795" w:rsidR="00D420F3"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4</w:t>
      </w:r>
      <w:r w:rsidRPr="00F54795">
        <w:fldChar w:fldCharType="end"/>
      </w:r>
      <w:r w:rsidRPr="00F54795" w:rsidR="0077175D">
        <w:t>.  </w:t>
      </w:r>
      <w:r w:rsidRPr="00F54795">
        <w:t>On</w:t>
      </w:r>
      <w:r w:rsidRPr="00F54795" w:rsidR="000800B7">
        <w:t xml:space="preserve"> 23 February 2018 </w:t>
      </w:r>
      <w:r w:rsidRPr="00F54795" w:rsidR="00682133">
        <w:t xml:space="preserve">the Government were given notice of </w:t>
      </w:r>
      <w:r w:rsidRPr="00F54795" w:rsidR="000800B7">
        <w:t xml:space="preserve">the </w:t>
      </w:r>
      <w:r w:rsidRPr="00F54795">
        <w:rPr>
          <w:rFonts w:ascii="Times New Roman" w:hAnsi="Times New Roman" w:eastAsia="Times New Roman" w:cs="Times New Roman"/>
        </w:rPr>
        <w:t>complaints</w:t>
      </w:r>
      <w:r w:rsidRPr="00F54795" w:rsidR="000800B7">
        <w:rPr>
          <w:rFonts w:ascii="Times New Roman" w:hAnsi="Times New Roman" w:eastAsia="Times New Roman" w:cs="Times New Roman"/>
        </w:rPr>
        <w:t xml:space="preserve"> under Article 5 </w:t>
      </w:r>
      <w:r w:rsidRPr="00F54795" w:rsidR="000800B7">
        <w:t xml:space="preserve">§ 1 and </w:t>
      </w:r>
      <w:r w:rsidRPr="00F54795" w:rsidR="00682133">
        <w:t xml:space="preserve">Article </w:t>
      </w:r>
      <w:r w:rsidRPr="00F54795" w:rsidR="000800B7">
        <w:t>6</w:t>
      </w:r>
      <w:r w:rsidRPr="00F54795" w:rsidR="00852DB6">
        <w:t xml:space="preserve"> §§ 1 and 3</w:t>
      </w:r>
      <w:r w:rsidRPr="00F54795" w:rsidR="000800B7">
        <w:t xml:space="preserve"> of the Convention and Article 4 § 1 of Protocol No. 7 to the Convention </w:t>
      </w:r>
      <w:r w:rsidRPr="00F54795">
        <w:rPr>
          <w:rFonts w:ascii="Times New Roman" w:hAnsi="Times New Roman" w:eastAsia="Times New Roman" w:cs="Times New Roman"/>
        </w:rPr>
        <w:t xml:space="preserve">and the remainder of the application </w:t>
      </w:r>
      <w:r w:rsidRPr="00F54795" w:rsidR="00682133">
        <w:rPr>
          <w:rFonts w:ascii="Times New Roman" w:hAnsi="Times New Roman" w:eastAsia="Times New Roman" w:cs="Times New Roman"/>
        </w:rPr>
        <w:t xml:space="preserve">was </w:t>
      </w:r>
      <w:r w:rsidRPr="00F54795">
        <w:rPr>
          <w:rFonts w:ascii="Times New Roman" w:hAnsi="Times New Roman" w:eastAsia="Times New Roman" w:cs="Times New Roman"/>
        </w:rPr>
        <w:t>declared inadmissible</w:t>
      </w:r>
      <w:r w:rsidRPr="00F54795">
        <w:t xml:space="preserve"> pursuant to Rule 54 § 3 of the Rules of Court</w:t>
      </w:r>
      <w:r w:rsidRPr="00F54795" w:rsidR="0077175D">
        <w:t>.</w:t>
      </w:r>
    </w:p>
    <w:p w:rsidRPr="00F54795" w:rsidR="00D420F3" w:rsidP="00F54795" w:rsidRDefault="0077175D">
      <w:pPr>
        <w:pStyle w:val="ECHRTitle1"/>
      </w:pPr>
      <w:r w:rsidRPr="00F54795">
        <w:t>THE FACTS</w:t>
      </w:r>
    </w:p>
    <w:p w:rsidRPr="00F54795" w:rsidR="00D420F3" w:rsidP="00F54795" w:rsidRDefault="0077175D">
      <w:pPr>
        <w:pStyle w:val="ECHRHeading1"/>
      </w:pPr>
      <w:r w:rsidRPr="00F54795">
        <w:t>I.  THE CIRCUMSTANCES OF THE CASE</w:t>
      </w:r>
    </w:p>
    <w:p w:rsidRPr="00F54795" w:rsidR="00D420F3"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5</w:t>
      </w:r>
      <w:r w:rsidRPr="00F54795">
        <w:fldChar w:fldCharType="end"/>
      </w:r>
      <w:r w:rsidRPr="00F54795" w:rsidR="0077175D">
        <w:t>.  The</w:t>
      </w:r>
      <w:r w:rsidRPr="00F54795" w:rsidR="008037B5">
        <w:t xml:space="preserve"> </w:t>
      </w:r>
      <w:r w:rsidRPr="00F54795">
        <w:t>applicant</w:t>
      </w:r>
      <w:r w:rsidRPr="00F54795" w:rsidR="006E282A">
        <w:t xml:space="preserve"> was born in 1996 and lives in St Petersburg, Russia</w:t>
      </w:r>
      <w:r w:rsidRPr="00F54795" w:rsidR="0077175D">
        <w:t>.</w:t>
      </w:r>
    </w:p>
    <w:p w:rsidRPr="00F54795" w:rsidR="00D03F96" w:rsidP="00F54795" w:rsidRDefault="00655D5A">
      <w:pPr>
        <w:pStyle w:val="ECHRPara"/>
      </w:pPr>
      <w:r w:rsidRPr="00F54795">
        <w:fldChar w:fldCharType="begin"/>
      </w:r>
      <w:r w:rsidRPr="00F54795">
        <w:instrText xml:space="preserve"> SEQ level0 \*arabic </w:instrText>
      </w:r>
      <w:r w:rsidRPr="00F54795">
        <w:fldChar w:fldCharType="separate"/>
      </w:r>
      <w:r w:rsidRPr="00F54795" w:rsidR="00F54795">
        <w:rPr>
          <w:noProof/>
        </w:rPr>
        <w:t>6</w:t>
      </w:r>
      <w:r w:rsidRPr="00F54795">
        <w:fldChar w:fldCharType="end"/>
      </w:r>
      <w:r w:rsidRPr="00F54795">
        <w:t>.  </w:t>
      </w:r>
      <w:r w:rsidRPr="00F54795" w:rsidR="00D03F96">
        <w:t xml:space="preserve">On 12 June 2017 a protest rally (involving some 1,000 people) was held at </w:t>
      </w:r>
      <w:r w:rsidRPr="00F54795" w:rsidR="007571E2">
        <w:t xml:space="preserve">the </w:t>
      </w:r>
      <w:r w:rsidRPr="00F54795" w:rsidR="00D03F96">
        <w:t>Marsovo Pole in St Petersburg. The app</w:t>
      </w:r>
      <w:r w:rsidRPr="00F54795" w:rsidR="0003204A">
        <w:t>licant was present at the venue with a friend but, according to her, did not take part in the rally</w:t>
      </w:r>
      <w:r w:rsidRPr="00F54795" w:rsidR="00852DB6">
        <w:t xml:space="preserve"> (see paragraph </w:t>
      </w:r>
      <w:r w:rsidRPr="00F54795" w:rsidR="00DC29BD">
        <w:fldChar w:fldCharType="begin"/>
      </w:r>
      <w:r w:rsidRPr="00F54795" w:rsidR="00DC29BD">
        <w:instrText xml:space="preserve"> REF  a \h </w:instrText>
      </w:r>
      <w:r w:rsidRPr="00F54795" w:rsidR="001772FB">
        <w:instrText xml:space="preserve"> \* MERGEFORMAT </w:instrText>
      </w:r>
      <w:r w:rsidRPr="00F54795" w:rsidR="00DC29BD">
        <w:fldChar w:fldCharType="separate"/>
      </w:r>
      <w:r w:rsidRPr="00F54795" w:rsidR="00F54795">
        <w:rPr>
          <w:noProof/>
        </w:rPr>
        <w:t>12</w:t>
      </w:r>
      <w:r w:rsidRPr="00F54795" w:rsidR="00DC29BD">
        <w:fldChar w:fldCharType="end"/>
      </w:r>
      <w:r w:rsidRPr="00F54795" w:rsidR="00DC29BD">
        <w:t xml:space="preserve"> </w:t>
      </w:r>
      <w:r w:rsidRPr="00F54795" w:rsidR="00852DB6">
        <w:t>below)</w:t>
      </w:r>
      <w:r w:rsidRPr="00F54795" w:rsidR="0003204A">
        <w:t>.</w:t>
      </w:r>
    </w:p>
    <w:p w:rsidRPr="00F54795" w:rsidR="003D1454" w:rsidP="00F54795" w:rsidRDefault="003D1454">
      <w:pPr>
        <w:pStyle w:val="ECHRHeading2"/>
      </w:pPr>
      <w:r w:rsidRPr="00F54795">
        <w:t>A.  The applicant</w:t>
      </w:r>
      <w:r w:rsidRPr="00F54795" w:rsidR="00F54795">
        <w:t>’</w:t>
      </w:r>
      <w:r w:rsidRPr="00F54795">
        <w:t>s arrest and pre-trial proceedings</w:t>
      </w:r>
    </w:p>
    <w:p w:rsidRPr="00F54795" w:rsidR="0003204A" w:rsidP="00F54795" w:rsidRDefault="005D31C6">
      <w:pPr>
        <w:pStyle w:val="ECHRPara"/>
      </w:pPr>
      <w:r w:rsidRPr="00F54795">
        <w:fldChar w:fldCharType="begin"/>
      </w:r>
      <w:r w:rsidRPr="00F54795">
        <w:instrText xml:space="preserve"> SEQ level0 \*arabic </w:instrText>
      </w:r>
      <w:r w:rsidRPr="00F54795">
        <w:fldChar w:fldCharType="separate"/>
      </w:r>
      <w:r w:rsidRPr="00F54795" w:rsidR="00F54795">
        <w:rPr>
          <w:noProof/>
        </w:rPr>
        <w:t>7</w:t>
      </w:r>
      <w:r w:rsidRPr="00F54795">
        <w:fldChar w:fldCharType="end"/>
      </w:r>
      <w:r w:rsidRPr="00F54795">
        <w:t>.  </w:t>
      </w:r>
      <w:r w:rsidRPr="00F54795" w:rsidR="0003204A">
        <w:t xml:space="preserve">According to the applicant, she was deprived of her liberty at 2.10 p.m., when the police and the National Guard surrounded the people </w:t>
      </w:r>
      <w:r w:rsidRPr="00F54795" w:rsidR="00682133">
        <w:t xml:space="preserve">gathered </w:t>
      </w:r>
      <w:r w:rsidRPr="00F54795" w:rsidR="00AD7EC3">
        <w:t xml:space="preserve">at </w:t>
      </w:r>
      <w:r w:rsidRPr="00F54795" w:rsidR="007571E2">
        <w:t xml:space="preserve">the </w:t>
      </w:r>
      <w:r w:rsidRPr="00F54795" w:rsidR="00AD7EC3">
        <w:t>Marsovo Pole by way of a “ke</w:t>
      </w:r>
      <w:r w:rsidRPr="00F54795" w:rsidR="0003204A">
        <w:t>ttling technique”. The applicant was “trapped” within the circle and could not leave.</w:t>
      </w:r>
    </w:p>
    <w:bookmarkStart w:name="escortrecord" w:id="2"/>
    <w:p w:rsidRPr="00F54795" w:rsidR="00D03F96" w:rsidP="00F54795" w:rsidRDefault="0003204A">
      <w:pPr>
        <w:pStyle w:val="ECHRPara"/>
      </w:pPr>
      <w:r w:rsidRPr="00F54795">
        <w:fldChar w:fldCharType="begin"/>
      </w:r>
      <w:r w:rsidRPr="00F54795">
        <w:instrText xml:space="preserve"> SEQ level0 \*arabic </w:instrText>
      </w:r>
      <w:r w:rsidRPr="00F54795">
        <w:fldChar w:fldCharType="separate"/>
      </w:r>
      <w:r w:rsidRPr="00F54795" w:rsidR="00F54795">
        <w:rPr>
          <w:noProof/>
        </w:rPr>
        <w:t>8</w:t>
      </w:r>
      <w:r w:rsidRPr="00F54795">
        <w:fldChar w:fldCharType="end"/>
      </w:r>
      <w:bookmarkEnd w:id="2"/>
      <w:r w:rsidRPr="00F54795">
        <w:t>.  </w:t>
      </w:r>
      <w:r w:rsidRPr="00F54795" w:rsidR="00D03F96">
        <w:t>The applicant was</w:t>
      </w:r>
      <w:r w:rsidRPr="00F54795" w:rsidR="00852DB6">
        <w:t xml:space="preserve"> then</w:t>
      </w:r>
      <w:r w:rsidRPr="00F54795" w:rsidR="00D03F96">
        <w:t xml:space="preserve"> apprehended</w:t>
      </w:r>
      <w:r w:rsidRPr="00F54795" w:rsidR="005A4611">
        <w:t xml:space="preserve"> and placed in a bus. </w:t>
      </w:r>
      <w:r w:rsidRPr="00F54795" w:rsidR="00D22F87">
        <w:t>At 2.50 p.m</w:t>
      </w:r>
      <w:r w:rsidRPr="00F54795" w:rsidR="00682133">
        <w:t>.</w:t>
      </w:r>
      <w:r w:rsidRPr="00F54795" w:rsidR="00D22F87">
        <w:t xml:space="preserve"> </w:t>
      </w:r>
      <w:r w:rsidRPr="00F54795" w:rsidR="005A4611">
        <w:t>she was</w:t>
      </w:r>
      <w:r w:rsidRPr="00F54795" w:rsidR="00D03F96">
        <w:t xml:space="preserve"> escorted to the police station</w:t>
      </w:r>
      <w:r w:rsidRPr="00F54795" w:rsidR="00AD7EC3">
        <w:t xml:space="preserve"> by police officer K.</w:t>
      </w:r>
      <w:r w:rsidRPr="00F54795" w:rsidR="00682133">
        <w:t>,</w:t>
      </w:r>
      <w:r w:rsidRPr="00F54795" w:rsidR="00D22F87">
        <w:t xml:space="preserve"> </w:t>
      </w:r>
      <w:r w:rsidRPr="00F54795" w:rsidR="00682133">
        <w:t xml:space="preserve">who </w:t>
      </w:r>
      <w:r w:rsidRPr="00F54795" w:rsidR="00AD7EC3">
        <w:t xml:space="preserve">then compiled an </w:t>
      </w:r>
      <w:r w:rsidRPr="00F54795" w:rsidR="00D03F96">
        <w:t>escort record. It indicated that the applicant had been escorted to the police station “</w:t>
      </w:r>
      <w:r w:rsidRPr="00F54795" w:rsidR="00682133">
        <w:t xml:space="preserve">in order to compile </w:t>
      </w:r>
      <w:r w:rsidRPr="00F54795" w:rsidR="00852DB6">
        <w:t>an</w:t>
      </w:r>
      <w:r w:rsidRPr="00F54795" w:rsidR="00D03F96">
        <w:t xml:space="preserve"> offence record”.</w:t>
      </w:r>
      <w:r w:rsidRPr="00F54795" w:rsidR="00AD7EC3">
        <w:t xml:space="preserve"> The </w:t>
      </w:r>
      <w:r w:rsidRPr="00F54795" w:rsidR="003528C9">
        <w:t xml:space="preserve">escort </w:t>
      </w:r>
      <w:r w:rsidRPr="00F54795" w:rsidR="00AD7EC3">
        <w:t>record also</w:t>
      </w:r>
      <w:r w:rsidRPr="00F54795" w:rsidR="008A5D04">
        <w:t xml:space="preserve"> stated as follows</w:t>
      </w:r>
      <w:r w:rsidRPr="00F54795" w:rsidR="00AD7EC3">
        <w:t>:</w:t>
      </w:r>
    </w:p>
    <w:p w:rsidRPr="00F54795" w:rsidR="00AD7EC3" w:rsidP="00F54795" w:rsidRDefault="00AD7EC3">
      <w:pPr>
        <w:pStyle w:val="ECHRParaQuote"/>
      </w:pPr>
      <w:r w:rsidRPr="00F54795">
        <w:t xml:space="preserve">“[The applicant] was voluntarily present among some 1,000 people, with the aim of publicly expressing her opinion and influencing </w:t>
      </w:r>
      <w:r w:rsidRPr="00F54795" w:rsidR="00AA0C03">
        <w:t xml:space="preserve">others in relation to acute political issues of public interest concerning </w:t>
      </w:r>
      <w:r w:rsidRPr="00F54795" w:rsidR="00F54795">
        <w:t>‘</w:t>
      </w:r>
      <w:r w:rsidRPr="00F54795" w:rsidR="00AA0C03">
        <w:t>total intolerance toward corruption</w:t>
      </w:r>
      <w:r w:rsidRPr="00F54795" w:rsidR="00F54795">
        <w:t>’</w:t>
      </w:r>
      <w:r w:rsidRPr="00F54795" w:rsidR="002022C5">
        <w:t xml:space="preserve"> ...</w:t>
      </w:r>
      <w:r w:rsidRPr="00F54795" w:rsidR="00AA0C03">
        <w:t xml:space="preserve"> She was a participant in a public event which had not be</w:t>
      </w:r>
      <w:r w:rsidRPr="00F54795" w:rsidR="002022C5">
        <w:t>en approved by the authorities ...</w:t>
      </w:r>
      <w:r w:rsidRPr="00F54795" w:rsidR="00AA0C03">
        <w:t xml:space="preserve"> Together with other participants standing less than ten metr</w:t>
      </w:r>
      <w:r w:rsidRPr="00F54795" w:rsidR="006F4C3D">
        <w:t>e</w:t>
      </w:r>
      <w:r w:rsidRPr="00F54795" w:rsidR="00AA0C03">
        <w:t xml:space="preserve">s from her, she uttered </w:t>
      </w:r>
      <w:r w:rsidRPr="00F54795" w:rsidR="006F4C3D">
        <w:t xml:space="preserve">the </w:t>
      </w:r>
      <w:r w:rsidRPr="00F54795" w:rsidR="00AA0C03">
        <w:t xml:space="preserve">slogans </w:t>
      </w:r>
      <w:r w:rsidRPr="00F54795" w:rsidR="00F54795">
        <w:t>‘</w:t>
      </w:r>
      <w:r w:rsidRPr="00F54795" w:rsidR="00AA0C03">
        <w:t>Putin is a thief</w:t>
      </w:r>
      <w:r w:rsidRPr="00F54795" w:rsidR="00F54795">
        <w:t>’</w:t>
      </w:r>
      <w:r w:rsidRPr="00F54795" w:rsidR="00AA0C03">
        <w:t xml:space="preserve"> or </w:t>
      </w:r>
      <w:r w:rsidRPr="00F54795" w:rsidR="00F54795">
        <w:t>‘</w:t>
      </w:r>
      <w:r w:rsidRPr="00F54795" w:rsidR="00AA0C03">
        <w:t>We are fed up with Putin</w:t>
      </w:r>
      <w:r w:rsidRPr="00F54795" w:rsidR="00F54795">
        <w:t>’</w:t>
      </w:r>
      <w:r w:rsidRPr="00F54795" w:rsidR="00AA0C03">
        <w:t>, thereby taking part in a non</w:t>
      </w:r>
      <w:r w:rsidRPr="00F54795" w:rsidR="002022C5">
        <w:noBreakHyphen/>
        <w:t>notified rally ...</w:t>
      </w:r>
      <w:r w:rsidRPr="00F54795" w:rsidR="00AA0C03">
        <w:t xml:space="preserve"> Officer S. repeatedly informed the participants, including the applicant, </w:t>
      </w:r>
      <w:r w:rsidRPr="00F54795" w:rsidR="006F4C3D">
        <w:t xml:space="preserve">via loudspeaker that </w:t>
      </w:r>
      <w:r w:rsidRPr="00F54795" w:rsidR="00AA0C03">
        <w:t>[the</w:t>
      </w:r>
      <w:r w:rsidRPr="00F54795" w:rsidR="006F4C3D">
        <w:t>y</w:t>
      </w:r>
      <w:r w:rsidRPr="00F54795" w:rsidR="00AA0C03">
        <w:t xml:space="preserve">] </w:t>
      </w:r>
      <w:r w:rsidRPr="00F54795" w:rsidR="006F4C3D">
        <w:t xml:space="preserve">were violating </w:t>
      </w:r>
      <w:r w:rsidRPr="00F54795" w:rsidR="00AA0C03">
        <w:t>section 6</w:t>
      </w:r>
      <w:r w:rsidRPr="00F54795" w:rsidR="006F4C3D">
        <w:t>(</w:t>
      </w:r>
      <w:r w:rsidRPr="00F54795" w:rsidR="00AA0C03">
        <w:t>3</w:t>
      </w:r>
      <w:r w:rsidRPr="00F54795" w:rsidR="006F4C3D">
        <w:t>)</w:t>
      </w:r>
      <w:r w:rsidRPr="00F54795" w:rsidR="00AA0C03">
        <w:t xml:space="preserve"> of the Public Events Act and ordered them </w:t>
      </w:r>
      <w:r w:rsidRPr="00F54795" w:rsidR="002022C5">
        <w:t>to stop the rally and disperse ...</w:t>
      </w:r>
      <w:r w:rsidRPr="00F54795" w:rsidR="00AA0C03">
        <w:t xml:space="preserve"> Being afforded no less than five minutes, [the applicant] did not c</w:t>
      </w:r>
      <w:r w:rsidRPr="00F54795" w:rsidR="002022C5">
        <w:t>omply with those lawful orders ...</w:t>
      </w:r>
      <w:r w:rsidRPr="00F54795" w:rsidR="00AA0C03">
        <w:t>”</w:t>
      </w:r>
    </w:p>
    <w:bookmarkStart w:name="officersreports" w:id="3"/>
    <w:p w:rsidRPr="00F54795" w:rsidR="00D635BB" w:rsidP="00F54795" w:rsidRDefault="00B951C2">
      <w:pPr>
        <w:pStyle w:val="ECHRPara"/>
      </w:pPr>
      <w:r w:rsidRPr="00F54795">
        <w:fldChar w:fldCharType="begin"/>
      </w:r>
      <w:r w:rsidRPr="00F54795">
        <w:instrText xml:space="preserve"> SEQ level0 \*arabic </w:instrText>
      </w:r>
      <w:r w:rsidRPr="00F54795">
        <w:fldChar w:fldCharType="separate"/>
      </w:r>
      <w:r w:rsidRPr="00F54795" w:rsidR="00F54795">
        <w:rPr>
          <w:noProof/>
        </w:rPr>
        <w:t>9</w:t>
      </w:r>
      <w:r w:rsidRPr="00F54795">
        <w:rPr>
          <w:noProof/>
        </w:rPr>
        <w:fldChar w:fldCharType="end"/>
      </w:r>
      <w:bookmarkEnd w:id="3"/>
      <w:r w:rsidRPr="00F54795" w:rsidR="00292C9A">
        <w:t xml:space="preserve">.  Officer K. also </w:t>
      </w:r>
      <w:r w:rsidRPr="00F54795" w:rsidR="002C6BDC">
        <w:t>compiled</w:t>
      </w:r>
      <w:r w:rsidRPr="00F54795" w:rsidR="00292C9A">
        <w:t xml:space="preserve"> a report (</w:t>
      </w:r>
      <w:r w:rsidRPr="00F54795" w:rsidR="00292C9A">
        <w:rPr>
          <w:i/>
          <w:lang w:val="ru-RU"/>
        </w:rPr>
        <w:t>рапорт</w:t>
      </w:r>
      <w:r w:rsidRPr="00F54795" w:rsidR="00292C9A">
        <w:t>)</w:t>
      </w:r>
      <w:r w:rsidRPr="00F54795" w:rsidR="008E27F7">
        <w:t xml:space="preserve"> to</w:t>
      </w:r>
      <w:r w:rsidRPr="00F54795" w:rsidR="00292C9A">
        <w:t xml:space="preserve"> </w:t>
      </w:r>
      <w:r w:rsidRPr="00F54795" w:rsidR="008E27F7">
        <w:t>his superior officer</w:t>
      </w:r>
      <w:r w:rsidRPr="00F54795" w:rsidR="00905D93">
        <w:t>. This report was worded in a way that was s</w:t>
      </w:r>
      <w:r w:rsidRPr="00F54795" w:rsidR="00292C9A">
        <w:t xml:space="preserve">imilar to </w:t>
      </w:r>
      <w:r w:rsidRPr="00F54795" w:rsidR="00905D93">
        <w:t>the wording</w:t>
      </w:r>
      <w:r w:rsidRPr="00F54795" w:rsidR="008A5D04">
        <w:t xml:space="preserve"> used by</w:t>
      </w:r>
      <w:r w:rsidRPr="00F54795" w:rsidR="008E27F7">
        <w:t xml:space="preserve"> Officer K.</w:t>
      </w:r>
      <w:r w:rsidRPr="00F54795" w:rsidR="00292C9A">
        <w:t xml:space="preserve"> </w:t>
      </w:r>
      <w:r w:rsidRPr="00F54795" w:rsidR="00813D17">
        <w:t>Nearly identical reports were submitted by Officers A. and S</w:t>
      </w:r>
      <w:r w:rsidRPr="00F54795" w:rsidR="00292C9A">
        <w:t xml:space="preserve">. </w:t>
      </w:r>
      <w:r w:rsidRPr="00F54795" w:rsidR="00813D17">
        <w:t xml:space="preserve">All three officers </w:t>
      </w:r>
      <w:r w:rsidRPr="00F54795" w:rsidR="00292C9A">
        <w:t xml:space="preserve">were interviewed by another official; the written record of their interviews was worded in terms that were similar or identical to </w:t>
      </w:r>
      <w:r w:rsidRPr="00F54795" w:rsidR="008A5D04">
        <w:t xml:space="preserve">those in </w:t>
      </w:r>
      <w:r w:rsidRPr="00F54795" w:rsidR="00292C9A">
        <w:t>the above</w:t>
      </w:r>
      <w:r w:rsidRPr="00F54795" w:rsidR="006F4C3D">
        <w:t>-mentioned</w:t>
      </w:r>
      <w:r w:rsidRPr="00F54795" w:rsidR="00292C9A">
        <w:t xml:space="preserve"> reports.</w:t>
      </w:r>
    </w:p>
    <w:bookmarkStart w:name="arrestrecord" w:id="4"/>
    <w:p w:rsidRPr="00F54795" w:rsidR="00CF0385" w:rsidP="00F54795" w:rsidRDefault="00552039">
      <w:pPr>
        <w:pStyle w:val="ECHRPara"/>
      </w:pPr>
      <w:r w:rsidRPr="00F54795">
        <w:fldChar w:fldCharType="begin"/>
      </w:r>
      <w:r w:rsidRPr="00F54795">
        <w:instrText xml:space="preserve"> SEQ level0 \*arabic </w:instrText>
      </w:r>
      <w:r w:rsidRPr="00F54795">
        <w:fldChar w:fldCharType="separate"/>
      </w:r>
      <w:r w:rsidRPr="00F54795" w:rsidR="00F54795">
        <w:rPr>
          <w:noProof/>
        </w:rPr>
        <w:t>10</w:t>
      </w:r>
      <w:r w:rsidRPr="00F54795">
        <w:rPr>
          <w:noProof/>
        </w:rPr>
        <w:fldChar w:fldCharType="end"/>
      </w:r>
      <w:bookmarkEnd w:id="4"/>
      <w:r w:rsidRPr="00F54795" w:rsidR="00655D5A">
        <w:t>.  </w:t>
      </w:r>
      <w:r w:rsidRPr="00F54795" w:rsidR="006F4C3D">
        <w:t>A r</w:t>
      </w:r>
      <w:r w:rsidRPr="00F54795" w:rsidR="00655D5A">
        <w:t xml:space="preserve">ecord </w:t>
      </w:r>
      <w:r w:rsidRPr="00F54795" w:rsidR="006F4C3D">
        <w:t xml:space="preserve">of </w:t>
      </w:r>
      <w:r w:rsidRPr="00F54795" w:rsidR="00655D5A">
        <w:t xml:space="preserve">offences </w:t>
      </w:r>
      <w:r w:rsidRPr="00F54795" w:rsidR="00C4792C">
        <w:t>under Articles 19.3 § 1</w:t>
      </w:r>
      <w:r w:rsidRPr="00F54795" w:rsidR="00F839FA">
        <w:t xml:space="preserve"> (failure to comply with a lawful order of an official in connection with the exercise of his duties)</w:t>
      </w:r>
      <w:r w:rsidRPr="00F54795" w:rsidR="00C4792C">
        <w:t xml:space="preserve"> and 20.2 § 5 </w:t>
      </w:r>
      <w:r w:rsidRPr="00F54795" w:rsidR="00F839FA">
        <w:t xml:space="preserve">(violation by a participant of the procedure for a public event) </w:t>
      </w:r>
      <w:r w:rsidRPr="00F54795" w:rsidR="00C4792C">
        <w:t xml:space="preserve">of the </w:t>
      </w:r>
      <w:r w:rsidRPr="00F54795" w:rsidR="008A5D04">
        <w:t>F</w:t>
      </w:r>
      <w:r w:rsidRPr="00F54795" w:rsidR="00C4792C">
        <w:t>ederal Code of Administrative Offences (</w:t>
      </w:r>
      <w:r w:rsidRPr="00F54795" w:rsidR="006F4C3D">
        <w:t xml:space="preserve">“the </w:t>
      </w:r>
      <w:r w:rsidRPr="00F54795" w:rsidR="00C4792C">
        <w:t>CAO</w:t>
      </w:r>
      <w:r w:rsidRPr="00F54795" w:rsidR="006F4C3D">
        <w:t>”</w:t>
      </w:r>
      <w:r w:rsidRPr="00F54795" w:rsidR="00C4792C">
        <w:t xml:space="preserve">) </w:t>
      </w:r>
      <w:r w:rsidRPr="00F54795" w:rsidR="00655D5A">
        <w:t xml:space="preserve">was compiled and the applicant had access to it at 9.55 p.m. Before or after that, </w:t>
      </w:r>
      <w:r w:rsidRPr="00F54795" w:rsidR="006F4C3D">
        <w:t xml:space="preserve">a </w:t>
      </w:r>
      <w:r w:rsidRPr="00F54795" w:rsidR="00655D5A">
        <w:t>record of administrative arrest was compiled in relation to the offence under Article</w:t>
      </w:r>
      <w:r w:rsidRPr="00F54795" w:rsidR="00C4792C">
        <w:t> </w:t>
      </w:r>
      <w:r w:rsidRPr="00F54795" w:rsidR="00655D5A">
        <w:t>19.3 of the</w:t>
      </w:r>
      <w:r w:rsidRPr="00F54795" w:rsidR="00440402">
        <w:t xml:space="preserve"> </w:t>
      </w:r>
      <w:r w:rsidRPr="00F54795" w:rsidR="00655D5A">
        <w:t xml:space="preserve">CAO, indicating that the arrest </w:t>
      </w:r>
      <w:r w:rsidRPr="00F54795" w:rsidR="006F4C3D">
        <w:t xml:space="preserve">had been necessary in order to ensure </w:t>
      </w:r>
      <w:r w:rsidRPr="00F54795" w:rsidR="00655D5A">
        <w:t>“the correct and exp</w:t>
      </w:r>
      <w:r w:rsidRPr="00F54795" w:rsidR="00292C9A">
        <w:t>edient examination of the case</w:t>
      </w:r>
      <w:r w:rsidRPr="00F54795" w:rsidR="003528C9">
        <w:t>”</w:t>
      </w:r>
      <w:r w:rsidRPr="00F54795" w:rsidR="00292C9A">
        <w:t>.</w:t>
      </w:r>
    </w:p>
    <w:p w:rsidRPr="00F54795" w:rsidR="00655D5A" w:rsidP="00F54795" w:rsidRDefault="00331105">
      <w:pPr>
        <w:pStyle w:val="ECHRPara"/>
      </w:pPr>
      <w:r w:rsidRPr="00F54795">
        <w:fldChar w:fldCharType="begin"/>
      </w:r>
      <w:r w:rsidRPr="00F54795">
        <w:instrText xml:space="preserve"> SEQ level0 \*arabic </w:instrText>
      </w:r>
      <w:r w:rsidRPr="00F54795">
        <w:fldChar w:fldCharType="separate"/>
      </w:r>
      <w:r w:rsidRPr="00F54795" w:rsidR="00F54795">
        <w:rPr>
          <w:noProof/>
        </w:rPr>
        <w:t>11</w:t>
      </w:r>
      <w:r w:rsidRPr="00F54795">
        <w:rPr>
          <w:noProof/>
        </w:rPr>
        <w:fldChar w:fldCharType="end"/>
      </w:r>
      <w:r w:rsidRPr="00F54795" w:rsidR="00CF0385">
        <w:t xml:space="preserve">.  The applicant spent the night in the police station. It appears that </w:t>
      </w:r>
      <w:r w:rsidRPr="00F54795" w:rsidR="006F4C3D">
        <w:t xml:space="preserve">at </w:t>
      </w:r>
      <w:r w:rsidRPr="00F54795" w:rsidR="00CF0385">
        <w:t>around 6 p.m. the next day she was taken to the Vasileostrovskiy District Court of St Petersburg. However, a judge adjourned</w:t>
      </w:r>
      <w:r w:rsidRPr="00F54795" w:rsidR="006F4C3D">
        <w:t xml:space="preserve"> the case</w:t>
      </w:r>
      <w:r w:rsidRPr="00F54795" w:rsidR="00CF0385">
        <w:t xml:space="preserve">. </w:t>
      </w:r>
      <w:r w:rsidRPr="00F54795" w:rsidR="00655D5A">
        <w:t xml:space="preserve">According to </w:t>
      </w:r>
      <w:r w:rsidRPr="00F54795" w:rsidR="006F4C3D">
        <w:t xml:space="preserve">a </w:t>
      </w:r>
      <w:r w:rsidRPr="00F54795" w:rsidR="00655D5A">
        <w:t>note in the arrest record, the applicant was released at 7.54 p.m. on 13</w:t>
      </w:r>
      <w:r w:rsidRPr="00F54795" w:rsidR="00CF0385">
        <w:t> </w:t>
      </w:r>
      <w:r w:rsidRPr="00F54795" w:rsidR="008A5D04">
        <w:t>June</w:t>
      </w:r>
      <w:r w:rsidRPr="00F54795" w:rsidR="00655D5A">
        <w:t xml:space="preserve"> 2017.</w:t>
      </w:r>
    </w:p>
    <w:p w:rsidRPr="00F54795" w:rsidR="003D1454" w:rsidP="00F54795" w:rsidRDefault="003D1454">
      <w:pPr>
        <w:pStyle w:val="ECHRHeading2"/>
      </w:pPr>
      <w:bookmarkStart w:name="v" w:id="5"/>
      <w:r w:rsidRPr="00F54795">
        <w:t>B.  Trials on 16 June 2017</w:t>
      </w:r>
    </w:p>
    <w:bookmarkStart w:name="a" w:id="6"/>
    <w:p w:rsidRPr="00F54795" w:rsidR="001D1B59" w:rsidP="00F54795" w:rsidRDefault="00E92401">
      <w:pPr>
        <w:pStyle w:val="ECHRPara"/>
      </w:pPr>
      <w:r w:rsidRPr="00F54795">
        <w:fldChar w:fldCharType="begin"/>
      </w:r>
      <w:r w:rsidRPr="00F54795">
        <w:instrText xml:space="preserve"> SEQ level0 \*arabic </w:instrText>
      </w:r>
      <w:r w:rsidRPr="00F54795">
        <w:fldChar w:fldCharType="separate"/>
      </w:r>
      <w:r w:rsidRPr="00F54795" w:rsidR="00F54795">
        <w:rPr>
          <w:noProof/>
        </w:rPr>
        <w:t>12</w:t>
      </w:r>
      <w:r w:rsidRPr="00F54795">
        <w:fldChar w:fldCharType="end"/>
      </w:r>
      <w:bookmarkEnd w:id="5"/>
      <w:bookmarkEnd w:id="6"/>
      <w:r w:rsidRPr="00F54795">
        <w:t>.  </w:t>
      </w:r>
      <w:r w:rsidRPr="00F54795" w:rsidR="00F472A9">
        <w:t>On 16 June 2017 judge K. of the Vasil</w:t>
      </w:r>
      <w:r w:rsidRPr="00F54795" w:rsidR="006B76B7">
        <w:t>eostrovskiy District Court of S</w:t>
      </w:r>
      <w:r w:rsidRPr="00F54795" w:rsidR="00F472A9">
        <w:t>t Petersburg examined, in turn, two cases against the applicant. T</w:t>
      </w:r>
      <w:r w:rsidRPr="00F54795" w:rsidR="002F3E9C">
        <w:t>he applicant and her lawyer were present at the trial hearing</w:t>
      </w:r>
      <w:r w:rsidRPr="00F54795" w:rsidR="00F472A9">
        <w:t>s</w:t>
      </w:r>
      <w:r w:rsidRPr="00F54795" w:rsidR="002F3E9C">
        <w:t xml:space="preserve"> and made oral submissions to the court</w:t>
      </w:r>
      <w:r w:rsidRPr="00F54795" w:rsidR="00F472A9">
        <w:t>s</w:t>
      </w:r>
      <w:r w:rsidRPr="00F54795" w:rsidR="002F3E9C">
        <w:t>.</w:t>
      </w:r>
      <w:r w:rsidRPr="00F54795" w:rsidR="00C703AA">
        <w:t xml:space="preserve"> The applicant pleaded not guilty.</w:t>
      </w:r>
      <w:r w:rsidRPr="00F54795" w:rsidR="002F3E9C">
        <w:t xml:space="preserve"> </w:t>
      </w:r>
      <w:r w:rsidRPr="00F54795" w:rsidR="009078E5">
        <w:t xml:space="preserve">According to her, on 12 June 2017 (which was Russia Day, an official holiday) she had been having a walk with a friend at </w:t>
      </w:r>
      <w:r w:rsidRPr="00F54795" w:rsidR="007571E2">
        <w:t xml:space="preserve">the </w:t>
      </w:r>
      <w:r w:rsidRPr="00F54795" w:rsidR="009078E5">
        <w:t xml:space="preserve">Marsovo Pole; she had not been in possession of any banners, flags or the like, </w:t>
      </w:r>
      <w:r w:rsidRPr="00F54795" w:rsidR="000E5A2D">
        <w:t xml:space="preserve">and </w:t>
      </w:r>
      <w:r w:rsidRPr="00F54795" w:rsidR="009078E5">
        <w:t>had not uttered any slogans; she had see</w:t>
      </w:r>
      <w:r w:rsidRPr="00F54795">
        <w:t>n</w:t>
      </w:r>
      <w:r w:rsidRPr="00F54795" w:rsidR="009078E5">
        <w:t xml:space="preserve"> some people </w:t>
      </w:r>
      <w:r w:rsidRPr="00F54795" w:rsidR="000E5A2D">
        <w:t xml:space="preserve">with </w:t>
      </w:r>
      <w:r w:rsidRPr="00F54795" w:rsidR="009078E5">
        <w:t>flags, at a distance from her; she had not heard any order to disperse.</w:t>
      </w:r>
    </w:p>
    <w:p w:rsidRPr="00F54795" w:rsidR="001D1B59" w:rsidP="00F54795" w:rsidRDefault="00331105">
      <w:pPr>
        <w:pStyle w:val="ECHRPara"/>
      </w:pPr>
      <w:r w:rsidRPr="00F54795">
        <w:fldChar w:fldCharType="begin"/>
      </w:r>
      <w:r w:rsidRPr="00F54795">
        <w:instrText xml:space="preserve"> SEQ level0 \*arabic </w:instrText>
      </w:r>
      <w:r w:rsidRPr="00F54795">
        <w:fldChar w:fldCharType="separate"/>
      </w:r>
      <w:r w:rsidRPr="00F54795" w:rsidR="00F54795">
        <w:rPr>
          <w:noProof/>
        </w:rPr>
        <w:t>13</w:t>
      </w:r>
      <w:r w:rsidRPr="00F54795">
        <w:rPr>
          <w:noProof/>
        </w:rPr>
        <w:fldChar w:fldCharType="end"/>
      </w:r>
      <w:r w:rsidRPr="00F54795" w:rsidR="001D1B59">
        <w:t xml:space="preserve">.  The trial court dismissed </w:t>
      </w:r>
      <w:r w:rsidRPr="00F54795" w:rsidR="00352A3F">
        <w:t xml:space="preserve">an application </w:t>
      </w:r>
      <w:r w:rsidRPr="00F54795" w:rsidR="000E5A2D">
        <w:t xml:space="preserve">lodged by </w:t>
      </w:r>
      <w:r w:rsidRPr="00F54795" w:rsidR="001D1B59">
        <w:t>the defence</w:t>
      </w:r>
      <w:r w:rsidRPr="00F54795" w:rsidR="000E5A2D">
        <w:t xml:space="preserve"> </w:t>
      </w:r>
      <w:r w:rsidRPr="00F54795" w:rsidR="001D1B59">
        <w:t>to have a public prosecutor summoned to the hearing in order to support the charge against the applicant.</w:t>
      </w:r>
    </w:p>
    <w:p w:rsidRPr="00F54795" w:rsidR="00E92401" w:rsidP="00F54795" w:rsidRDefault="00331105">
      <w:pPr>
        <w:pStyle w:val="ECHRPara"/>
      </w:pPr>
      <w:r w:rsidRPr="00F54795">
        <w:fldChar w:fldCharType="begin"/>
      </w:r>
      <w:r w:rsidRPr="00F54795">
        <w:instrText xml:space="preserve"> SEQ level0 \*arabic </w:instrText>
      </w:r>
      <w:r w:rsidRPr="00F54795">
        <w:fldChar w:fldCharType="separate"/>
      </w:r>
      <w:r w:rsidRPr="00F54795" w:rsidR="00F54795">
        <w:rPr>
          <w:noProof/>
        </w:rPr>
        <w:t>14</w:t>
      </w:r>
      <w:r w:rsidRPr="00F54795">
        <w:rPr>
          <w:noProof/>
        </w:rPr>
        <w:fldChar w:fldCharType="end"/>
      </w:r>
      <w:r w:rsidRPr="00F54795" w:rsidR="00E92401">
        <w:t>.  </w:t>
      </w:r>
      <w:r w:rsidRPr="00F54795" w:rsidR="00F472A9">
        <w:t xml:space="preserve">By </w:t>
      </w:r>
      <w:r w:rsidRPr="00F54795" w:rsidR="00F839FA">
        <w:t xml:space="preserve">two separate </w:t>
      </w:r>
      <w:r w:rsidRPr="00F54795" w:rsidR="00F472A9">
        <w:t xml:space="preserve">judgments of </w:t>
      </w:r>
      <w:r w:rsidRPr="00F54795" w:rsidR="00E92401">
        <w:t xml:space="preserve">16 June 2017 judge K. found </w:t>
      </w:r>
      <w:r w:rsidRPr="00F54795" w:rsidR="00F472A9">
        <w:t>the applicant</w:t>
      </w:r>
      <w:r w:rsidRPr="00F54795" w:rsidR="00E92401">
        <w:t xml:space="preserve"> guilty of the offences under Articles 19.3 § 1</w:t>
      </w:r>
      <w:r w:rsidRPr="00F54795" w:rsidR="00F839FA">
        <w:t>, and fined her 500</w:t>
      </w:r>
      <w:r w:rsidRPr="00F54795" w:rsidR="00723EB9">
        <w:t> </w:t>
      </w:r>
      <w:r w:rsidRPr="00F54795" w:rsidR="00F839FA">
        <w:t>Russian roubles (RUB),</w:t>
      </w:r>
      <w:r w:rsidRPr="00F54795" w:rsidR="00E92401">
        <w:t xml:space="preserve"> and 20.2 § 5 of the CAO and fine</w:t>
      </w:r>
      <w:r w:rsidRPr="00F54795" w:rsidR="00F839FA">
        <w:t xml:space="preserve">d her </w:t>
      </w:r>
      <w:r w:rsidRPr="00F54795" w:rsidR="00C01E32">
        <w:t>RUB</w:t>
      </w:r>
      <w:r w:rsidRPr="00F54795" w:rsidR="009F3CCF">
        <w:rPr>
          <w:lang w:val="en-US"/>
        </w:rPr>
        <w:t> </w:t>
      </w:r>
      <w:r w:rsidRPr="00F54795" w:rsidR="00F839FA">
        <w:t>10,000</w:t>
      </w:r>
      <w:r w:rsidRPr="00F54795" w:rsidR="00766B38">
        <w:t xml:space="preserve"> (EUR 7 and 140 at the time when the fines were due (29 June 2017))</w:t>
      </w:r>
      <w:r w:rsidRPr="00F54795" w:rsidR="00E92401">
        <w:t>.</w:t>
      </w:r>
    </w:p>
    <w:p w:rsidRPr="00F54795" w:rsidR="003D1454" w:rsidP="00F54795" w:rsidRDefault="000E5935">
      <w:pPr>
        <w:pStyle w:val="ECHRHeading2"/>
      </w:pPr>
      <w:r w:rsidRPr="00F54795">
        <w:t>C</w:t>
      </w:r>
      <w:r w:rsidRPr="00F54795" w:rsidR="003D1454">
        <w:t>.  Appeal hearings on 29 June 2017</w:t>
      </w:r>
    </w:p>
    <w:bookmarkStart w:name="vvv" w:id="7"/>
    <w:p w:rsidRPr="00F54795" w:rsidR="00655D5A" w:rsidP="00F54795" w:rsidRDefault="00552039">
      <w:pPr>
        <w:pStyle w:val="ECHRPara"/>
      </w:pPr>
      <w:r w:rsidRPr="00F54795">
        <w:fldChar w:fldCharType="begin"/>
      </w:r>
      <w:r w:rsidRPr="00F54795">
        <w:instrText xml:space="preserve"> SEQ level0 \*arabic </w:instrText>
      </w:r>
      <w:r w:rsidRPr="00F54795">
        <w:fldChar w:fldCharType="separate"/>
      </w:r>
      <w:r w:rsidRPr="00F54795" w:rsidR="00F54795">
        <w:rPr>
          <w:noProof/>
        </w:rPr>
        <w:t>15</w:t>
      </w:r>
      <w:r w:rsidRPr="00F54795">
        <w:rPr>
          <w:noProof/>
        </w:rPr>
        <w:fldChar w:fldCharType="end"/>
      </w:r>
      <w:bookmarkEnd w:id="7"/>
      <w:r w:rsidRPr="00F54795" w:rsidR="00655D5A">
        <w:t>.  The applicant appealed</w:t>
      </w:r>
      <w:r w:rsidRPr="00F54795" w:rsidR="00735870">
        <w:t xml:space="preserve"> to the St Petersburg City Court</w:t>
      </w:r>
      <w:r w:rsidRPr="00F54795" w:rsidR="00813D17">
        <w:t xml:space="preserve">. She argued, </w:t>
      </w:r>
      <w:r w:rsidRPr="00F54795" w:rsidR="00813D17">
        <w:rPr>
          <w:i/>
        </w:rPr>
        <w:t>inter alia</w:t>
      </w:r>
      <w:r w:rsidRPr="00F54795" w:rsidR="00813D17">
        <w:t xml:space="preserve">, that the alleged disobedience to the order to stop her participation in the rally might be an aggravating circumstance to weigh within the offence under Article 20.2 of the CAO. However, it could not amount to a separate offence, without violating the principle of </w:t>
      </w:r>
      <w:r w:rsidRPr="00F54795" w:rsidR="00813D17">
        <w:rPr>
          <w:i/>
        </w:rPr>
        <w:t>ne bis in idem</w:t>
      </w:r>
      <w:r w:rsidRPr="00F54795" w:rsidR="00813D17">
        <w:t xml:space="preserve">. </w:t>
      </w:r>
      <w:r w:rsidRPr="00F54795" w:rsidR="00F53D0C">
        <w:t>In her appeal relating to Article 20.2 of the CAO, the applicant argued that the overall set of facts held against her in both cases was identical; the offence record for both offences was worded in identical terms, too.</w:t>
      </w:r>
    </w:p>
    <w:bookmarkStart w:name="vvvv" w:id="8"/>
    <w:p w:rsidRPr="00F54795" w:rsidR="001D1B59" w:rsidP="00F54795" w:rsidRDefault="00552039">
      <w:pPr>
        <w:pStyle w:val="ECHRPara"/>
      </w:pPr>
      <w:r w:rsidRPr="00F54795">
        <w:fldChar w:fldCharType="begin"/>
      </w:r>
      <w:r w:rsidRPr="00F54795">
        <w:instrText xml:space="preserve"> SEQ level0 \*arabic </w:instrText>
      </w:r>
      <w:r w:rsidRPr="00F54795">
        <w:fldChar w:fldCharType="separate"/>
      </w:r>
      <w:r w:rsidRPr="00F54795" w:rsidR="00F54795">
        <w:rPr>
          <w:noProof/>
        </w:rPr>
        <w:t>16</w:t>
      </w:r>
      <w:r w:rsidRPr="00F54795">
        <w:rPr>
          <w:noProof/>
        </w:rPr>
        <w:fldChar w:fldCharType="end"/>
      </w:r>
      <w:bookmarkEnd w:id="8"/>
      <w:r w:rsidRPr="00F54795" w:rsidR="001D1B59">
        <w:t xml:space="preserve">.  The applicant also argued that the trial proceedings had been unfair in that </w:t>
      </w:r>
      <w:r w:rsidRPr="00F54795" w:rsidR="00352A3F">
        <w:t xml:space="preserve">her </w:t>
      </w:r>
      <w:r w:rsidRPr="00F54795" w:rsidR="001D1B59">
        <w:t xml:space="preserve">conviction had been based on the pre-trial statements </w:t>
      </w:r>
      <w:r w:rsidRPr="00F54795" w:rsidR="00352A3F">
        <w:t xml:space="preserve">given by </w:t>
      </w:r>
      <w:r w:rsidRPr="00F54795" w:rsidR="001D1B59">
        <w:t>the police officers</w:t>
      </w:r>
      <w:r w:rsidRPr="00F54795" w:rsidR="00352A3F">
        <w:t>,</w:t>
      </w:r>
      <w:r w:rsidRPr="00F54795" w:rsidR="001D1B59">
        <w:t xml:space="preserve"> </w:t>
      </w:r>
      <w:r w:rsidRPr="00F54795" w:rsidR="00352A3F">
        <w:t xml:space="preserve">whereas </w:t>
      </w:r>
      <w:r w:rsidRPr="00F54795" w:rsidR="001D1B59">
        <w:t>the defence had been afforded no opportunity to examine them; the trial court had adduced no reasons confirm</w:t>
      </w:r>
      <w:r w:rsidRPr="00F54795" w:rsidR="00352A3F">
        <w:t>ing</w:t>
      </w:r>
      <w:r w:rsidRPr="00F54795" w:rsidR="001D1B59">
        <w:t xml:space="preserve"> that the reliance on the written testimony without </w:t>
      </w:r>
      <w:r w:rsidRPr="00F54795" w:rsidR="008A5D04">
        <w:t xml:space="preserve">providing the defence with </w:t>
      </w:r>
      <w:r w:rsidRPr="00F54795" w:rsidR="001D1B59">
        <w:t xml:space="preserve">a possibility </w:t>
      </w:r>
      <w:r w:rsidRPr="00F54795" w:rsidR="00352A3F">
        <w:t xml:space="preserve">of </w:t>
      </w:r>
      <w:r w:rsidRPr="00F54795" w:rsidR="001D1B59">
        <w:t>contest</w:t>
      </w:r>
      <w:r w:rsidRPr="00F54795" w:rsidR="00352A3F">
        <w:t>ing</w:t>
      </w:r>
      <w:r w:rsidRPr="00F54795" w:rsidR="001D1B59">
        <w:t xml:space="preserve"> it in open court had been a measure of last resort.</w:t>
      </w:r>
    </w:p>
    <w:bookmarkStart w:name="appealproceedings" w:id="9"/>
    <w:p w:rsidRPr="00F54795" w:rsidR="00D635BB" w:rsidP="00F54795" w:rsidRDefault="00B951C2">
      <w:pPr>
        <w:pStyle w:val="ECHRPara"/>
      </w:pPr>
      <w:r w:rsidRPr="00F54795">
        <w:fldChar w:fldCharType="begin"/>
      </w:r>
      <w:r w:rsidRPr="00F54795">
        <w:instrText xml:space="preserve"> SEQ level0 \*arabic </w:instrText>
      </w:r>
      <w:r w:rsidRPr="00F54795">
        <w:fldChar w:fldCharType="separate"/>
      </w:r>
      <w:r w:rsidRPr="00F54795" w:rsidR="00F54795">
        <w:rPr>
          <w:noProof/>
        </w:rPr>
        <w:t>17</w:t>
      </w:r>
      <w:r w:rsidRPr="00F54795">
        <w:rPr>
          <w:noProof/>
        </w:rPr>
        <w:fldChar w:fldCharType="end"/>
      </w:r>
      <w:bookmarkEnd w:id="9"/>
      <w:r w:rsidRPr="00F54795" w:rsidR="00813D17">
        <w:t>.  </w:t>
      </w:r>
      <w:r w:rsidRPr="00F54795" w:rsidR="00655D5A">
        <w:t xml:space="preserve">Both cases were assigned to </w:t>
      </w:r>
      <w:r w:rsidRPr="00F54795" w:rsidR="00352A3F">
        <w:t>J</w:t>
      </w:r>
      <w:r w:rsidRPr="00F54795" w:rsidR="00655D5A">
        <w:t xml:space="preserve">udge L. of the City Court. On 29 June 2017 </w:t>
      </w:r>
      <w:r w:rsidRPr="00F54795" w:rsidR="00352A3F">
        <w:t xml:space="preserve">that </w:t>
      </w:r>
      <w:r w:rsidRPr="00F54795" w:rsidR="00735870">
        <w:t>judge</w:t>
      </w:r>
      <w:r w:rsidRPr="00F54795" w:rsidR="00655D5A">
        <w:t xml:space="preserve"> examined the case</w:t>
      </w:r>
      <w:r w:rsidRPr="00F54795" w:rsidR="008E27F7">
        <w:t>s</w:t>
      </w:r>
      <w:r w:rsidRPr="00F54795" w:rsidR="00655D5A">
        <w:t xml:space="preserve"> in turn. </w:t>
      </w:r>
      <w:r w:rsidRPr="00F54795" w:rsidR="00567183">
        <w:t xml:space="preserve">It is, however, unclear </w:t>
      </w:r>
      <w:r w:rsidRPr="00F54795" w:rsidR="00352A3F">
        <w:t xml:space="preserve">in </w:t>
      </w:r>
      <w:r w:rsidRPr="00F54795" w:rsidR="00567183">
        <w:t xml:space="preserve">which </w:t>
      </w:r>
      <w:r w:rsidRPr="00F54795" w:rsidR="00352A3F">
        <w:t xml:space="preserve">order </w:t>
      </w:r>
      <w:r w:rsidRPr="00F54795" w:rsidR="00567183">
        <w:t>the two cases</w:t>
      </w:r>
      <w:r w:rsidRPr="00F54795" w:rsidR="00352A3F">
        <w:t xml:space="preserve"> were examined</w:t>
      </w:r>
      <w:r w:rsidRPr="00F54795" w:rsidR="00567183">
        <w:t>. The appeal court upheld the judgments of 16 June 2017.</w:t>
      </w:r>
    </w:p>
    <w:bookmarkStart w:name="appealdecision202" w:id="10"/>
    <w:p w:rsidRPr="00F54795" w:rsidR="001D1B59" w:rsidP="00F54795" w:rsidRDefault="00552039">
      <w:pPr>
        <w:pStyle w:val="ECHRPara"/>
      </w:pPr>
      <w:r w:rsidRPr="00F54795">
        <w:fldChar w:fldCharType="begin"/>
      </w:r>
      <w:r w:rsidRPr="00F54795">
        <w:instrText xml:space="preserve"> SEQ level0 \*arabic </w:instrText>
      </w:r>
      <w:r w:rsidRPr="00F54795">
        <w:fldChar w:fldCharType="separate"/>
      </w:r>
      <w:r w:rsidRPr="00F54795" w:rsidR="00F54795">
        <w:rPr>
          <w:noProof/>
        </w:rPr>
        <w:t>18</w:t>
      </w:r>
      <w:r w:rsidRPr="00F54795">
        <w:rPr>
          <w:noProof/>
        </w:rPr>
        <w:fldChar w:fldCharType="end"/>
      </w:r>
      <w:bookmarkEnd w:id="10"/>
      <w:r w:rsidRPr="00F54795" w:rsidR="001D1B59">
        <w:t xml:space="preserve">.  The appeal decision in the case relating to Article 20.2 of the CAO dismissed the </w:t>
      </w:r>
      <w:r w:rsidRPr="00F54795" w:rsidR="001D1B59">
        <w:rPr>
          <w:i/>
        </w:rPr>
        <w:t>ne bis in idem</w:t>
      </w:r>
      <w:r w:rsidRPr="00F54795" w:rsidR="001D1B59">
        <w:t xml:space="preserve"> argument, indicating that that Article concerned liability for violating regulations on public events</w:t>
      </w:r>
      <w:r w:rsidRPr="00F54795" w:rsidR="00352A3F">
        <w:t>,</w:t>
      </w:r>
      <w:r w:rsidRPr="00F54795" w:rsidR="001D1B59">
        <w:t xml:space="preserve"> whereas Article 19.3 of the CAO concerned liability for disobedience to lawful orders from a public official. As to the arguments relating to</w:t>
      </w:r>
      <w:r w:rsidRPr="00F54795" w:rsidR="00735870">
        <w:t xml:space="preserve"> the</w:t>
      </w:r>
      <w:r w:rsidRPr="00F54795" w:rsidR="001D1B59">
        <w:t xml:space="preserve"> refusal to summon </w:t>
      </w:r>
      <w:r w:rsidRPr="00F54795" w:rsidR="00735870">
        <w:t xml:space="preserve">the </w:t>
      </w:r>
      <w:r w:rsidRPr="00F54795" w:rsidR="001D1B59">
        <w:t>police officers, the appeal court held as follows:</w:t>
      </w:r>
    </w:p>
    <w:p w:rsidRPr="00F54795" w:rsidR="00A27E78" w:rsidP="00F54795" w:rsidRDefault="001D1B59">
      <w:pPr>
        <w:pStyle w:val="ECHRParaQuote"/>
      </w:pPr>
      <w:r w:rsidRPr="00F54795">
        <w:t>“</w:t>
      </w:r>
      <w:r w:rsidRPr="00F54795" w:rsidR="00A27E78">
        <w:t>The trial court took cognisance of the evidence adduced by the defence, namely a photograph and a video recording. Having assessed them, the court rightly concluded that they did not rebut the other evidence and did not plead in favour of the defendant</w:t>
      </w:r>
      <w:r w:rsidRPr="00F54795" w:rsidR="00F54795">
        <w:t>’</w:t>
      </w:r>
      <w:r w:rsidRPr="00F54795" w:rsidR="00A27E78">
        <w:t xml:space="preserve">s innocence because they disclosed that the defendant had been present in the group of other people and had </w:t>
      </w:r>
      <w:r w:rsidRPr="00F54795" w:rsidR="00662AF7">
        <w:t>been apprehended by the police ...</w:t>
      </w:r>
    </w:p>
    <w:p w:rsidRPr="00F54795" w:rsidR="001D1B59" w:rsidP="00F54795" w:rsidRDefault="00A27E78">
      <w:pPr>
        <w:pStyle w:val="ECHRParaQuote"/>
      </w:pPr>
      <w:r w:rsidRPr="00F54795">
        <w:t xml:space="preserve">The defence argued that the trial court </w:t>
      </w:r>
      <w:r w:rsidRPr="00F54795" w:rsidR="00352A3F">
        <w:t xml:space="preserve">had </w:t>
      </w:r>
      <w:r w:rsidRPr="00F54795">
        <w:t xml:space="preserve">relied on the </w:t>
      </w:r>
      <w:r w:rsidRPr="00F54795" w:rsidR="00735870">
        <w:t>documentary</w:t>
      </w:r>
      <w:r w:rsidRPr="00F54795">
        <w:t xml:space="preserve"> evidence while refusing to summon a</w:t>
      </w:r>
      <w:r w:rsidRPr="00F54795" w:rsidR="00662AF7">
        <w:t>nd examine the police officers ...</w:t>
      </w:r>
      <w:r w:rsidRPr="00F54795">
        <w:t xml:space="preserve"> </w:t>
      </w:r>
      <w:r w:rsidRPr="00F54795" w:rsidR="001D1B59">
        <w:t>Those arguments do not disclose a violation of the defendant</w:t>
      </w:r>
      <w:r w:rsidRPr="00F54795" w:rsidR="00F54795">
        <w:t>’</w:t>
      </w:r>
      <w:r w:rsidRPr="00F54795" w:rsidR="001D1B59">
        <w:t>s right to a fair judgment. It was within the trial judge</w:t>
      </w:r>
      <w:r w:rsidRPr="00F54795" w:rsidR="00F54795">
        <w:t>’</w:t>
      </w:r>
      <w:r w:rsidRPr="00F54795" w:rsidR="001D1B59">
        <w:t xml:space="preserve">s competence to determine the scope of evidence that was needed for determining the charge. The trial judge examined all </w:t>
      </w:r>
      <w:r w:rsidRPr="00F54795" w:rsidR="007C32BB">
        <w:t xml:space="preserve">the </w:t>
      </w:r>
      <w:r w:rsidRPr="00F54795" w:rsidR="001D1B59">
        <w:t xml:space="preserve">available evidence; there were no reasons for seeking additional evidence, the available evidence being sufficient for establishing all </w:t>
      </w:r>
      <w:r w:rsidRPr="00F54795" w:rsidR="007C32BB">
        <w:t xml:space="preserve">the </w:t>
      </w:r>
      <w:r w:rsidRPr="00F54795" w:rsidR="001D1B59">
        <w:t>relevant circumstances of the case.”</w:t>
      </w:r>
    </w:p>
    <w:bookmarkStart w:name="appealdecision193" w:id="11"/>
    <w:p w:rsidRPr="00F54795" w:rsidR="00655D5A" w:rsidP="00F54795" w:rsidRDefault="00552039">
      <w:pPr>
        <w:pStyle w:val="ECHRPara"/>
      </w:pPr>
      <w:r w:rsidRPr="00F54795">
        <w:fldChar w:fldCharType="begin"/>
      </w:r>
      <w:r w:rsidRPr="00F54795">
        <w:instrText xml:space="preserve"> SEQ level0 \*arabic </w:instrText>
      </w:r>
      <w:r w:rsidRPr="00F54795">
        <w:fldChar w:fldCharType="separate"/>
      </w:r>
      <w:r w:rsidRPr="00F54795" w:rsidR="00F54795">
        <w:rPr>
          <w:noProof/>
        </w:rPr>
        <w:t>19</w:t>
      </w:r>
      <w:r w:rsidRPr="00F54795">
        <w:rPr>
          <w:noProof/>
        </w:rPr>
        <w:fldChar w:fldCharType="end"/>
      </w:r>
      <w:bookmarkEnd w:id="11"/>
      <w:r w:rsidRPr="00F54795" w:rsidR="001D1B59">
        <w:t>.  </w:t>
      </w:r>
      <w:r w:rsidRPr="00F54795" w:rsidR="00567183">
        <w:t xml:space="preserve">The appeal decision relating to Article 19.3 of the CAO reads </w:t>
      </w:r>
      <w:r w:rsidRPr="00F54795" w:rsidR="007C32BB">
        <w:t xml:space="preserve">as </w:t>
      </w:r>
      <w:r w:rsidRPr="00F54795" w:rsidR="00567183">
        <w:t>follows:</w:t>
      </w:r>
    </w:p>
    <w:p w:rsidRPr="00F54795" w:rsidR="00A9484E" w:rsidP="00F54795" w:rsidRDefault="00567183">
      <w:pPr>
        <w:pStyle w:val="ECHRParaQuote"/>
      </w:pPr>
      <w:r w:rsidRPr="00F54795">
        <w:t>“There are no grounds to consider that the defendant was tried twice, under Article</w:t>
      </w:r>
      <w:r w:rsidRPr="00F54795" w:rsidR="00B95C3B">
        <w:t> </w:t>
      </w:r>
      <w:r w:rsidRPr="00F54795">
        <w:t>20.2 and Article 19.3 of the CAO, for the same actions. Article 20.2 provides for liability in relation to breaching the regulations relating to public events, whereas Article 19.3 of the CAO concerns liability for disobedience to lawful</w:t>
      </w:r>
      <w:r w:rsidRPr="00F54795" w:rsidR="006B309E">
        <w:t xml:space="preserve"> orders from a public official ...</w:t>
      </w:r>
    </w:p>
    <w:p w:rsidRPr="00F54795" w:rsidR="00A9484E" w:rsidP="00F54795" w:rsidRDefault="00A9484E">
      <w:pPr>
        <w:pStyle w:val="ECHRParaQuote"/>
      </w:pPr>
      <w:r w:rsidRPr="00F54795">
        <w:t xml:space="preserve">As to the arguments relating to the non-compliance with the European Convention on human rights and fundamental freedoms in relation to recourse </w:t>
      </w:r>
      <w:r w:rsidRPr="00F54795" w:rsidR="00735870">
        <w:t>to</w:t>
      </w:r>
      <w:r w:rsidRPr="00F54795">
        <w:t xml:space="preserve"> the arrest procedure, it is noted that Article 27.1 of the CAO </w:t>
      </w:r>
      <w:r w:rsidRPr="00F54795" w:rsidR="00735870">
        <w:t>provides</w:t>
      </w:r>
      <w:r w:rsidRPr="00F54795">
        <w:t xml:space="preserve"> for certain measures</w:t>
      </w:r>
      <w:r w:rsidRPr="00F54795" w:rsidR="00735870">
        <w:t xml:space="preserve"> that</w:t>
      </w:r>
      <w:r w:rsidRPr="00F54795">
        <w:t xml:space="preserve"> could be applied </w:t>
      </w:r>
      <w:r w:rsidRPr="00F54795" w:rsidR="00735870">
        <w:t>to put a</w:t>
      </w:r>
      <w:r w:rsidRPr="00F54795">
        <w:t>n end to an offence, identifying a perpetrator, compiling an offence record, ensuring timely and correct examination of a case, or ensuring execution of a decision taken in that case. Administrative arrest</w:t>
      </w:r>
      <w:r w:rsidRPr="00F54795" w:rsidR="00DC7E8D">
        <w:t xml:space="preserve"> is listed as one such measure ...</w:t>
      </w:r>
      <w:r w:rsidRPr="00F54795">
        <w:t xml:space="preserve"> It follows from the meaning of Article 27.3 § 1 of the CAO that it is possible to use administrative arrest, </w:t>
      </w:r>
      <w:r w:rsidRPr="00F54795">
        <w:rPr>
          <w:i/>
        </w:rPr>
        <w:t>inter alia</w:t>
      </w:r>
      <w:r w:rsidRPr="00F54795">
        <w:t xml:space="preserve">, for the purpose of </w:t>
      </w:r>
      <w:r w:rsidRPr="00F54795" w:rsidR="00DF77A1">
        <w:t xml:space="preserve">ensuring </w:t>
      </w:r>
      <w:r w:rsidRPr="00F54795" w:rsidR="007C32BB">
        <w:t>the</w:t>
      </w:r>
      <w:r w:rsidRPr="00F54795" w:rsidR="00DF77A1">
        <w:t xml:space="preserve"> correct and expedient examination of a case. Thus, the defendant</w:t>
      </w:r>
      <w:r w:rsidRPr="00F54795" w:rsidR="00F54795">
        <w:t>’</w:t>
      </w:r>
      <w:r w:rsidRPr="00F54795" w:rsidR="00DF77A1">
        <w:t>s administrative</w:t>
      </w:r>
      <w:r w:rsidRPr="00F54795" w:rsidR="00BD6D57">
        <w:t xml:space="preserve"> </w:t>
      </w:r>
      <w:r w:rsidRPr="00F54795" w:rsidR="00DF77A1">
        <w:t>arrest was in compliance with</w:t>
      </w:r>
      <w:r w:rsidRPr="00F54795" w:rsidR="006B309E">
        <w:t xml:space="preserve"> the CAO and international law ...</w:t>
      </w:r>
      <w:r w:rsidRPr="00F54795" w:rsidR="00DF77A1">
        <w:t>”</w:t>
      </w:r>
    </w:p>
    <w:p w:rsidRPr="00F54795" w:rsidR="00D420F3" w:rsidP="00F54795" w:rsidRDefault="0077175D">
      <w:pPr>
        <w:pStyle w:val="ECHRHeading1"/>
      </w:pPr>
      <w:r w:rsidRPr="00F54795">
        <w:t>II.  RELEVANT DOMESTIC LAW AND PRACTICE</w:t>
      </w:r>
    </w:p>
    <w:p w:rsidRPr="00F54795" w:rsidR="001043AC" w:rsidP="00F54795" w:rsidRDefault="001043AC">
      <w:pPr>
        <w:pStyle w:val="ECHRHeading2"/>
      </w:pPr>
      <w:r w:rsidRPr="00F54795">
        <w:t>A.  Provisions relating to public event</w:t>
      </w:r>
      <w:r w:rsidRPr="00F54795" w:rsidR="00270F0D">
        <w:t>s</w:t>
      </w:r>
    </w:p>
    <w:bookmarkStart w:name="PEAobligations1" w:id="12"/>
    <w:p w:rsidRPr="00F54795" w:rsidR="00B66687" w:rsidP="00F54795" w:rsidRDefault="00B66687">
      <w:pPr>
        <w:pStyle w:val="ECHRPara"/>
      </w:pPr>
      <w:r w:rsidRPr="00F54795">
        <w:fldChar w:fldCharType="begin"/>
      </w:r>
      <w:r w:rsidRPr="00F54795">
        <w:instrText xml:space="preserve"> SEQ level0 \*arabic </w:instrText>
      </w:r>
      <w:r w:rsidRPr="00F54795">
        <w:fldChar w:fldCharType="separate"/>
      </w:r>
      <w:r w:rsidRPr="00F54795" w:rsidR="00F54795">
        <w:rPr>
          <w:noProof/>
        </w:rPr>
        <w:t>20</w:t>
      </w:r>
      <w:r w:rsidRPr="00F54795">
        <w:fldChar w:fldCharType="end"/>
      </w:r>
      <w:bookmarkEnd w:id="12"/>
      <w:r w:rsidRPr="00F54795">
        <w:t>.  Section 6(3) of the Public Events Act provides that during the public event its participants must comply with lawful orders of the organisers of the public event, representatives of the competent regional or municipal authorities, and law</w:t>
      </w:r>
      <w:r w:rsidRPr="00F54795">
        <w:noBreakHyphen/>
        <w:t>enforcement officials; maintain public order and follow the schedule of the public event.</w:t>
      </w:r>
    </w:p>
    <w:bookmarkStart w:name="PEAobligations2" w:id="13"/>
    <w:p w:rsidRPr="00F54795" w:rsidR="00B66687" w:rsidP="00F54795" w:rsidRDefault="00B66687">
      <w:pPr>
        <w:pStyle w:val="ECHRPara"/>
      </w:pPr>
      <w:r w:rsidRPr="00F54795">
        <w:fldChar w:fldCharType="begin"/>
      </w:r>
      <w:r w:rsidRPr="00F54795">
        <w:instrText xml:space="preserve"> SEQ level0 \*arabic </w:instrText>
      </w:r>
      <w:r w:rsidRPr="00F54795">
        <w:fldChar w:fldCharType="separate"/>
      </w:r>
      <w:r w:rsidRPr="00F54795" w:rsidR="00F54795">
        <w:rPr>
          <w:noProof/>
        </w:rPr>
        <w:t>21</w:t>
      </w:r>
      <w:r w:rsidRPr="00F54795">
        <w:fldChar w:fldCharType="end"/>
      </w:r>
      <w:bookmarkEnd w:id="13"/>
      <w:r w:rsidRPr="00F54795">
        <w:t>.  Section 6(4) of the Act provides that during the public event the participants are not allowed to hide their faces by way of using masks or other means for impeding their identification; to possess firearms or other objects that may be used as weapons; to be intoxicated.</w:t>
      </w:r>
    </w:p>
    <w:p w:rsidRPr="00F54795" w:rsidR="005962C9" w:rsidP="00F54795" w:rsidRDefault="001043AC">
      <w:pPr>
        <w:pStyle w:val="ECHRHeading2"/>
      </w:pPr>
      <w:r w:rsidRPr="00F54795">
        <w:t>B</w:t>
      </w:r>
      <w:r w:rsidRPr="00F54795" w:rsidR="005962C9">
        <w:t>.  Provisions relating to double jeopardy</w:t>
      </w:r>
    </w:p>
    <w:bookmarkStart w:name="CAOduplicationban" w:id="14"/>
    <w:p w:rsidRPr="00F54795" w:rsidR="00511D8B" w:rsidP="00F54795" w:rsidRDefault="00627E19">
      <w:pPr>
        <w:pStyle w:val="ECHRPara"/>
      </w:pPr>
      <w:r w:rsidRPr="00F54795">
        <w:fldChar w:fldCharType="begin"/>
      </w:r>
      <w:r w:rsidRPr="00F54795">
        <w:instrText xml:space="preserve"> SEQ level0 \*arabic </w:instrText>
      </w:r>
      <w:r w:rsidRPr="00F54795">
        <w:fldChar w:fldCharType="separate"/>
      </w:r>
      <w:r w:rsidRPr="00F54795" w:rsidR="00F54795">
        <w:rPr>
          <w:noProof/>
        </w:rPr>
        <w:t>22</w:t>
      </w:r>
      <w:r w:rsidRPr="00F54795">
        <w:fldChar w:fldCharType="end"/>
      </w:r>
      <w:bookmarkEnd w:id="14"/>
      <w:r w:rsidRPr="00F54795">
        <w:t>.  </w:t>
      </w:r>
      <w:r w:rsidRPr="00F54795" w:rsidR="0002759F">
        <w:t xml:space="preserve">Pursuant to Article 4.1 § 5 of the CAO, no one must be found administratively liable twice for the </w:t>
      </w:r>
      <w:r w:rsidRPr="00F54795" w:rsidR="00735870">
        <w:t>“</w:t>
      </w:r>
      <w:r w:rsidRPr="00F54795" w:rsidR="0002759F">
        <w:t>same administrative offence</w:t>
      </w:r>
      <w:r w:rsidRPr="00F54795" w:rsidR="00735870">
        <w:t>”</w:t>
      </w:r>
      <w:r w:rsidRPr="00F54795" w:rsidR="0002759F">
        <w:t>.</w:t>
      </w:r>
      <w:r w:rsidRPr="00F54795" w:rsidR="000B079D">
        <w:t xml:space="preserve"> Under Article 24.5 § 1 proceedings under the CAO should not be initiated or, if initiated, should be discontinued where there is no </w:t>
      </w:r>
      <w:r w:rsidRPr="00F54795" w:rsidR="000B079D">
        <w:rPr>
          <w:i/>
        </w:rPr>
        <w:t>corpus delic</w:t>
      </w:r>
      <w:r w:rsidRPr="00F54795" w:rsidR="00070358">
        <w:rPr>
          <w:i/>
        </w:rPr>
        <w:t>t</w:t>
      </w:r>
      <w:r w:rsidRPr="00F54795" w:rsidR="000B079D">
        <w:rPr>
          <w:i/>
        </w:rPr>
        <w:t xml:space="preserve">i </w:t>
      </w:r>
      <w:r w:rsidRPr="00F54795" w:rsidR="000B079D">
        <w:t>(</w:t>
      </w:r>
      <w:r w:rsidRPr="00F54795" w:rsidR="008911CE">
        <w:t>sub</w:t>
      </w:r>
      <w:r w:rsidRPr="00F54795" w:rsidR="00E232E6">
        <w:t>paragraph</w:t>
      </w:r>
      <w:r w:rsidRPr="00F54795" w:rsidR="000B079D">
        <w:t xml:space="preserve"> 2) or where there is a decision to impose a sentence or to discontinue the proceedings on account of the very same fact of unlawful actions by the same person, in so far as the offence is proscribed by the very same Article</w:t>
      </w:r>
      <w:r w:rsidRPr="00F54795" w:rsidR="00565C9E">
        <w:t>(</w:t>
      </w:r>
      <w:r w:rsidRPr="00F54795" w:rsidR="000B079D">
        <w:t>s</w:t>
      </w:r>
      <w:r w:rsidRPr="00F54795" w:rsidR="00565C9E">
        <w:t>)</w:t>
      </w:r>
      <w:r w:rsidRPr="00F54795" w:rsidR="000B079D">
        <w:t xml:space="preserve"> of the CAO (</w:t>
      </w:r>
      <w:r w:rsidRPr="00F54795" w:rsidR="008911CE">
        <w:t>sub</w:t>
      </w:r>
      <w:r w:rsidRPr="00F54795" w:rsidR="00E232E6">
        <w:t>paragraph</w:t>
      </w:r>
      <w:r w:rsidRPr="00F54795" w:rsidR="000B079D">
        <w:t xml:space="preserve"> 7).</w:t>
      </w:r>
    </w:p>
    <w:bookmarkStart w:name="CAOseparateexamination" w:id="15"/>
    <w:p w:rsidRPr="00F54795" w:rsidR="00511D8B" w:rsidP="00F54795" w:rsidRDefault="00511D8B">
      <w:pPr>
        <w:pStyle w:val="ECHRPara"/>
      </w:pPr>
      <w:r w:rsidRPr="00F54795">
        <w:fldChar w:fldCharType="begin"/>
      </w:r>
      <w:r w:rsidRPr="00F54795">
        <w:instrText xml:space="preserve"> SEQ level0 \*arabic </w:instrText>
      </w:r>
      <w:r w:rsidRPr="00F54795">
        <w:fldChar w:fldCharType="separate"/>
      </w:r>
      <w:r w:rsidRPr="00F54795" w:rsidR="00F54795">
        <w:rPr>
          <w:noProof/>
        </w:rPr>
        <w:t>23</w:t>
      </w:r>
      <w:r w:rsidRPr="00F54795">
        <w:fldChar w:fldCharType="end"/>
      </w:r>
      <w:bookmarkEnd w:id="15"/>
      <w:r w:rsidRPr="00F54795">
        <w:t>.  Where there are several records of administrative offences in respect of the same person, each record is submitted to a court to be examined separately. A court issues a separate judgment in respect of each related offence (Article 4.4 § 1 of the CAO</w:t>
      </w:r>
      <w:r w:rsidRPr="00F54795" w:rsidR="007571E2">
        <w:t xml:space="preserve"> and</w:t>
      </w:r>
      <w:r w:rsidRPr="00F54795">
        <w:t xml:space="preserve"> Ruling No. 5 of 24 March 2005 by the Plenary Supreme Court of Russia (paragraph 4(8)</w:t>
      </w:r>
      <w:r w:rsidRPr="00F54795" w:rsidR="007571E2">
        <w:t>)</w:t>
      </w:r>
      <w:r w:rsidRPr="00F54795">
        <w:t>. Where one (in)action on the part of the defendant concern</w:t>
      </w:r>
      <w:r w:rsidRPr="00F54795" w:rsidR="00070358">
        <w:t>s</w:t>
      </w:r>
      <w:r w:rsidRPr="00F54795">
        <w:t xml:space="preserve"> several offences under different Articles of the CAO and which fall within the jurisdiction of the same court, an administrative sentence is imposed with reference to the strict</w:t>
      </w:r>
      <w:r w:rsidRPr="00F54795" w:rsidR="008A5424">
        <w:t>est</w:t>
      </w:r>
      <w:r w:rsidRPr="00F54795">
        <w:t xml:space="preserve"> statutory penalty. Where there are grounds for imposing a sentence </w:t>
      </w:r>
      <w:r w:rsidRPr="00F54795" w:rsidR="008A5424">
        <w:t xml:space="preserve">in accordance with </w:t>
      </w:r>
      <w:r w:rsidRPr="00F54795">
        <w:t xml:space="preserve">the rule </w:t>
      </w:r>
      <w:r w:rsidRPr="00F54795" w:rsidR="00070358">
        <w:t xml:space="preserve">set out in </w:t>
      </w:r>
      <w:r w:rsidRPr="00F54795">
        <w:t xml:space="preserve">Article 4.4 § 2, the cases should be joined and examined in one </w:t>
      </w:r>
      <w:r w:rsidRPr="00F54795" w:rsidR="00070358">
        <w:t xml:space="preserve">set of </w:t>
      </w:r>
      <w:r w:rsidRPr="00F54795">
        <w:t>proceeding</w:t>
      </w:r>
      <w:r w:rsidRPr="00F54795" w:rsidR="00070358">
        <w:t>s</w:t>
      </w:r>
      <w:r w:rsidRPr="00F54795">
        <w:t xml:space="preserve"> resulting in </w:t>
      </w:r>
      <w:r w:rsidRPr="00F54795" w:rsidR="00070358">
        <w:t xml:space="preserve">a single </w:t>
      </w:r>
      <w:r w:rsidRPr="00F54795">
        <w:t>judgment (paragraph 4(9) of the Ruling).</w:t>
      </w:r>
    </w:p>
    <w:p w:rsidRPr="00F54795" w:rsidR="00D420F3"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24</w:t>
      </w:r>
      <w:r w:rsidRPr="00F54795">
        <w:fldChar w:fldCharType="end"/>
      </w:r>
      <w:r w:rsidRPr="00F54795" w:rsidR="0077175D">
        <w:t>.  </w:t>
      </w:r>
      <w:r w:rsidRPr="00F54795" w:rsidR="00C45E5D">
        <w:t xml:space="preserve">Article 19.3 § 1 of the CAO </w:t>
      </w:r>
      <w:r w:rsidRPr="00F54795" w:rsidR="00070358">
        <w:t xml:space="preserve">provides that the following conduct is punishable </w:t>
      </w:r>
      <w:r w:rsidRPr="00F54795" w:rsidR="00C45E5D">
        <w:t xml:space="preserve">with a fine </w:t>
      </w:r>
      <w:r w:rsidRPr="00F54795" w:rsidR="00070358">
        <w:t xml:space="preserve">of </w:t>
      </w:r>
      <w:r w:rsidRPr="00F54795" w:rsidR="00C45E5D">
        <w:t xml:space="preserve">from RUB 500 to 1,000 or </w:t>
      </w:r>
      <w:r w:rsidRPr="00F54795" w:rsidR="00E232E6">
        <w:t xml:space="preserve">administrative </w:t>
      </w:r>
      <w:r w:rsidRPr="00F54795" w:rsidR="00C45E5D">
        <w:t xml:space="preserve">detention </w:t>
      </w:r>
      <w:r w:rsidRPr="00F54795" w:rsidR="00E232E6">
        <w:t xml:space="preserve">for </w:t>
      </w:r>
      <w:r w:rsidRPr="00F54795" w:rsidR="00C45E5D">
        <w:t>up to fifteen day</w:t>
      </w:r>
      <w:r w:rsidRPr="00F54795" w:rsidR="00070358">
        <w:t>s</w:t>
      </w:r>
      <w:r w:rsidRPr="00F54795" w:rsidR="00C45E5D">
        <w:t xml:space="preserve">: (i) non-compliance with a lawful order or request </w:t>
      </w:r>
      <w:r w:rsidRPr="00F54795" w:rsidR="00B67C4F">
        <w:t xml:space="preserve">made </w:t>
      </w:r>
      <w:r w:rsidRPr="00F54795" w:rsidR="00070358">
        <w:t xml:space="preserve">by </w:t>
      </w:r>
      <w:r w:rsidRPr="00F54795" w:rsidR="00C45E5D">
        <w:t xml:space="preserve">a police officer, a military officer, a detention facility officer or a National Guard officer, in connection with </w:t>
      </w:r>
      <w:r w:rsidRPr="00F54795" w:rsidR="00070358">
        <w:t xml:space="preserve">the </w:t>
      </w:r>
      <w:r w:rsidRPr="00F54795" w:rsidR="00C45E5D">
        <w:t xml:space="preserve">exercise of </w:t>
      </w:r>
      <w:r w:rsidRPr="00F54795" w:rsidR="00070358">
        <w:t xml:space="preserve">his or her </w:t>
      </w:r>
      <w:r w:rsidRPr="00F54795" w:rsidR="00C45E5D">
        <w:t xml:space="preserve">duties relating to securing public order and public safety; (ii) resistance to </w:t>
      </w:r>
      <w:r w:rsidRPr="00F54795" w:rsidR="003D7BA6">
        <w:t xml:space="preserve">those officers in </w:t>
      </w:r>
      <w:r w:rsidRPr="00F54795" w:rsidR="00C45E5D">
        <w:t>the exercise of their official duties.</w:t>
      </w:r>
    </w:p>
    <w:bookmarkStart w:name="plenaryJune2018" w:id="16"/>
    <w:p w:rsidRPr="00F54795" w:rsidR="00C45E5D" w:rsidP="00F54795" w:rsidRDefault="00552039">
      <w:pPr>
        <w:pStyle w:val="ECHRPara"/>
      </w:pPr>
      <w:r w:rsidRPr="00F54795">
        <w:fldChar w:fldCharType="begin"/>
      </w:r>
      <w:r w:rsidRPr="00F54795">
        <w:instrText xml:space="preserve"> SEQ level0 \*arabic </w:instrText>
      </w:r>
      <w:r w:rsidRPr="00F54795">
        <w:fldChar w:fldCharType="separate"/>
      </w:r>
      <w:r w:rsidRPr="00F54795" w:rsidR="00F54795">
        <w:rPr>
          <w:noProof/>
        </w:rPr>
        <w:t>25</w:t>
      </w:r>
      <w:r w:rsidRPr="00F54795">
        <w:rPr>
          <w:noProof/>
        </w:rPr>
        <w:fldChar w:fldCharType="end"/>
      </w:r>
      <w:bookmarkEnd w:id="16"/>
      <w:r w:rsidRPr="00F54795" w:rsidR="00C45E5D">
        <w:t xml:space="preserve">.  Article 20.2 § 5 of the CAO </w:t>
      </w:r>
      <w:r w:rsidRPr="00F54795" w:rsidR="003D7BA6">
        <w:t xml:space="preserve">provides that the following conduct is punishable </w:t>
      </w:r>
      <w:r w:rsidRPr="00F54795" w:rsidR="00C45E5D">
        <w:t xml:space="preserve">with a fine </w:t>
      </w:r>
      <w:r w:rsidRPr="00F54795" w:rsidR="003D7BA6">
        <w:t xml:space="preserve">of </w:t>
      </w:r>
      <w:r w:rsidRPr="00F54795" w:rsidR="00C45E5D">
        <w:t>from RUB</w:t>
      </w:r>
      <w:r w:rsidRPr="00F54795" w:rsidR="00F0652B">
        <w:t> </w:t>
      </w:r>
      <w:r w:rsidRPr="00F54795" w:rsidR="00C45E5D">
        <w:t xml:space="preserve">10,000 to RUB 20,000 or up to forty hours of community work: </w:t>
      </w:r>
      <w:r w:rsidRPr="00F54795" w:rsidR="003D7BA6">
        <w:t xml:space="preserve">violation by </w:t>
      </w:r>
      <w:r w:rsidRPr="00F54795" w:rsidR="00C45E5D">
        <w:t xml:space="preserve">a </w:t>
      </w:r>
      <w:r w:rsidRPr="00F54795" w:rsidR="003D7BA6">
        <w:t xml:space="preserve">participant in a </w:t>
      </w:r>
      <w:r w:rsidRPr="00F54795" w:rsidR="00C45E5D">
        <w:t>public event of the established procedure for</w:t>
      </w:r>
      <w:r w:rsidRPr="00F54795" w:rsidR="009F3CCF">
        <w:t xml:space="preserve"> running (</w:t>
      </w:r>
      <w:r w:rsidRPr="00F54795" w:rsidR="009F3CCF">
        <w:rPr>
          <w:i/>
          <w:lang w:val="ru-RU"/>
        </w:rPr>
        <w:t>порядок</w:t>
      </w:r>
      <w:r w:rsidRPr="00F54795" w:rsidR="009F3CCF">
        <w:rPr>
          <w:i/>
          <w:lang w:val="en-US"/>
        </w:rPr>
        <w:t xml:space="preserve"> </w:t>
      </w:r>
      <w:r w:rsidRPr="00F54795" w:rsidR="009F3CCF">
        <w:rPr>
          <w:i/>
          <w:lang w:val="ru-RU"/>
        </w:rPr>
        <w:t>проведения</w:t>
      </w:r>
      <w:r w:rsidRPr="00F54795" w:rsidR="009F3CCF">
        <w:rPr>
          <w:lang w:val="en-US"/>
        </w:rPr>
        <w:t>)</w:t>
      </w:r>
      <w:r w:rsidRPr="00F54795" w:rsidR="00C45E5D">
        <w:t xml:space="preserve"> </w:t>
      </w:r>
      <w:r w:rsidRPr="00F54795" w:rsidR="009F3CCF">
        <w:t>a public event</w:t>
      </w:r>
      <w:r w:rsidRPr="00F54795" w:rsidR="009F3CCF">
        <w:rPr>
          <w:lang w:val="en-US"/>
        </w:rPr>
        <w:t>.</w:t>
      </w:r>
      <w:r w:rsidRPr="00F54795" w:rsidR="009F3CCF">
        <w:t xml:space="preserve"> </w:t>
      </w:r>
      <w:r w:rsidRPr="00F54795" w:rsidR="00C45E5D">
        <w:t xml:space="preserve">As specified in </w:t>
      </w:r>
      <w:r w:rsidRPr="00F54795" w:rsidR="008A5424">
        <w:t xml:space="preserve">paragraph </w:t>
      </w:r>
      <w:r w:rsidRPr="00F54795" w:rsidR="00C45E5D">
        <w:t xml:space="preserve">33 of </w:t>
      </w:r>
      <w:r w:rsidRPr="00F54795" w:rsidR="003D7BA6">
        <w:t>R</w:t>
      </w:r>
      <w:r w:rsidRPr="00F54795" w:rsidR="00C45E5D">
        <w:t xml:space="preserve">uling </w:t>
      </w:r>
      <w:r w:rsidRPr="00F54795" w:rsidR="003D7BA6">
        <w:t>N</w:t>
      </w:r>
      <w:r w:rsidRPr="00F54795" w:rsidR="00C45E5D">
        <w:t>o. 28 of 26 June 2018 by the Plenary Supreme Court of Russia, the above</w:t>
      </w:r>
      <w:r w:rsidRPr="00F54795" w:rsidR="003D7BA6">
        <w:t>-mentioned</w:t>
      </w:r>
      <w:r w:rsidRPr="00F54795" w:rsidR="00C45E5D">
        <w:t xml:space="preserve"> violation requires </w:t>
      </w:r>
      <w:r w:rsidRPr="00F54795" w:rsidR="003D7BA6">
        <w:t xml:space="preserve">the court to </w:t>
      </w:r>
      <w:r w:rsidRPr="00F54795" w:rsidR="00C45E5D">
        <w:t>establish that the demonstrator did not comply with (</w:t>
      </w:r>
      <w:r w:rsidRPr="00F54795" w:rsidR="00565C9E">
        <w:t xml:space="preserve">or </w:t>
      </w:r>
      <w:r w:rsidRPr="00F54795" w:rsidR="00C45E5D">
        <w:t>violated) one of the obligations (</w:t>
      </w:r>
      <w:r w:rsidRPr="00F54795" w:rsidR="00565C9E">
        <w:t xml:space="preserve">or </w:t>
      </w:r>
      <w:r w:rsidRPr="00F54795" w:rsidR="00C45E5D">
        <w:t>prohibitions) incumbent on demonstrator</w:t>
      </w:r>
      <w:r w:rsidRPr="00F54795" w:rsidR="008A5424">
        <w:t>s</w:t>
      </w:r>
      <w:r w:rsidRPr="00F54795" w:rsidR="00C45E5D">
        <w:t xml:space="preserve"> </w:t>
      </w:r>
      <w:r w:rsidRPr="00F54795" w:rsidR="003D7BA6">
        <w:t xml:space="preserve">under </w:t>
      </w:r>
      <w:r w:rsidRPr="00F54795" w:rsidR="00C45E5D">
        <w:t>section 6</w:t>
      </w:r>
      <w:r w:rsidRPr="00F54795" w:rsidR="003D7BA6">
        <w:t>(</w:t>
      </w:r>
      <w:r w:rsidRPr="00F54795" w:rsidR="00C45E5D">
        <w:t>3</w:t>
      </w:r>
      <w:r w:rsidRPr="00F54795" w:rsidR="003D7BA6">
        <w:t>) and (</w:t>
      </w:r>
      <w:r w:rsidRPr="00F54795" w:rsidR="00C45E5D">
        <w:t>4</w:t>
      </w:r>
      <w:r w:rsidRPr="00F54795" w:rsidR="003D7BA6">
        <w:t>)</w:t>
      </w:r>
      <w:r w:rsidRPr="00F54795" w:rsidR="00C45E5D">
        <w:t xml:space="preserve"> of the Public Events Act</w:t>
      </w:r>
      <w:r w:rsidRPr="00F54795" w:rsidR="001043AC">
        <w:t xml:space="preserve"> (see paragraph</w:t>
      </w:r>
      <w:r w:rsidRPr="00F54795" w:rsidR="00B66687">
        <w:t>s</w:t>
      </w:r>
      <w:r w:rsidRPr="00F54795" w:rsidR="001043AC">
        <w:t xml:space="preserve"> </w:t>
      </w:r>
      <w:r w:rsidRPr="00F54795" w:rsidR="00B66687">
        <w:fldChar w:fldCharType="begin"/>
      </w:r>
      <w:r w:rsidRPr="00F54795" w:rsidR="00B66687">
        <w:instrText xml:space="preserve"> REF  PEAobligations1 \h </w:instrText>
      </w:r>
      <w:r w:rsidRPr="00F54795" w:rsidR="001772FB">
        <w:instrText xml:space="preserve"> \* MERGEFORMAT </w:instrText>
      </w:r>
      <w:r w:rsidRPr="00F54795" w:rsidR="00B66687">
        <w:fldChar w:fldCharType="separate"/>
      </w:r>
      <w:r w:rsidRPr="00F54795" w:rsidR="00F54795">
        <w:rPr>
          <w:noProof/>
        </w:rPr>
        <w:t>20</w:t>
      </w:r>
      <w:r w:rsidRPr="00F54795" w:rsidR="00B66687">
        <w:fldChar w:fldCharType="end"/>
      </w:r>
      <w:r w:rsidRPr="00F54795" w:rsidR="00B66687">
        <w:t xml:space="preserve"> and </w:t>
      </w:r>
      <w:r w:rsidRPr="00F54795" w:rsidR="00B66687">
        <w:fldChar w:fldCharType="begin"/>
      </w:r>
      <w:r w:rsidRPr="00F54795" w:rsidR="00B66687">
        <w:instrText xml:space="preserve"> REF  PEAobligations2 \h </w:instrText>
      </w:r>
      <w:r w:rsidRPr="00F54795" w:rsidR="001772FB">
        <w:instrText xml:space="preserve"> \* MERGEFORMAT </w:instrText>
      </w:r>
      <w:r w:rsidRPr="00F54795" w:rsidR="00B66687">
        <w:fldChar w:fldCharType="separate"/>
      </w:r>
      <w:r w:rsidRPr="00F54795" w:rsidR="00F54795">
        <w:rPr>
          <w:noProof/>
        </w:rPr>
        <w:t>21</w:t>
      </w:r>
      <w:r w:rsidRPr="00F54795" w:rsidR="00B66687">
        <w:fldChar w:fldCharType="end"/>
      </w:r>
      <w:r w:rsidRPr="00F54795" w:rsidR="001043AC">
        <w:t xml:space="preserve"> above)</w:t>
      </w:r>
      <w:r w:rsidRPr="00F54795" w:rsidR="00C45E5D">
        <w:t>. For instance, one such obligation requires compliance with all legal orders made by the police, military officers or National Guard officers.</w:t>
      </w:r>
      <w:r w:rsidRPr="00F54795" w:rsidR="006D33FB">
        <w:t xml:space="preserve"> The Plenary Supreme Court indicated that a</w:t>
      </w:r>
      <w:r w:rsidRPr="00F54795" w:rsidR="00C45E5D">
        <w:t xml:space="preserve"> demonstrator</w:t>
      </w:r>
      <w:r w:rsidRPr="00F54795" w:rsidR="00F54795">
        <w:t>’</w:t>
      </w:r>
      <w:r w:rsidRPr="00F54795" w:rsidR="00C45E5D">
        <w:t>s non</w:t>
      </w:r>
      <w:r w:rsidRPr="00F54795" w:rsidR="00DE0E4E">
        <w:noBreakHyphen/>
      </w:r>
      <w:r w:rsidRPr="00F54795" w:rsidR="00C45E5D">
        <w:t xml:space="preserve">compliance with such orders or </w:t>
      </w:r>
      <w:r w:rsidRPr="00F54795" w:rsidR="00DC7612">
        <w:t>resistance</w:t>
      </w:r>
      <w:r w:rsidRPr="00F54795" w:rsidR="00C45E5D">
        <w:t xml:space="preserve"> to </w:t>
      </w:r>
      <w:r w:rsidRPr="00F54795" w:rsidR="003D7BA6">
        <w:t xml:space="preserve">those officers in </w:t>
      </w:r>
      <w:r w:rsidRPr="00F54795" w:rsidR="00C45E5D">
        <w:t>the exercise of their official duties</w:t>
      </w:r>
      <w:r w:rsidRPr="00F54795" w:rsidR="00DC7612">
        <w:t xml:space="preserve"> in the course of a public event fall</w:t>
      </w:r>
      <w:r w:rsidRPr="00F54795" w:rsidR="00565C9E">
        <w:t>s</w:t>
      </w:r>
      <w:r w:rsidRPr="00F54795" w:rsidR="00DC7612">
        <w:t xml:space="preserve"> within the ambit of an offence under Article 20.2 § 5 of the CAO. </w:t>
      </w:r>
      <w:r w:rsidRPr="00F54795" w:rsidR="00407454">
        <w:t>“</w:t>
      </w:r>
      <w:r w:rsidRPr="00F54795" w:rsidR="00DC7612">
        <w:t>In this specific context</w:t>
      </w:r>
      <w:r w:rsidRPr="00F54795" w:rsidR="00407454">
        <w:t>”</w:t>
      </w:r>
      <w:r w:rsidRPr="00F54795" w:rsidR="00DC7612">
        <w:t xml:space="preserve"> this provision is </w:t>
      </w:r>
      <w:r w:rsidRPr="00F54795" w:rsidR="00DC7612">
        <w:rPr>
          <w:i/>
        </w:rPr>
        <w:t>lex specialis vis-à-vis</w:t>
      </w:r>
      <w:r w:rsidRPr="00F54795" w:rsidR="00DC7612">
        <w:t xml:space="preserve"> Article 19.3 § 1 of the CAO.</w:t>
      </w:r>
    </w:p>
    <w:bookmarkStart w:name="plenaryfollowup" w:id="17"/>
    <w:p w:rsidRPr="00F54795" w:rsidR="00D635BB" w:rsidP="00F54795" w:rsidRDefault="00552039">
      <w:pPr>
        <w:pStyle w:val="ECHRPara"/>
      </w:pPr>
      <w:r w:rsidRPr="00F54795">
        <w:fldChar w:fldCharType="begin"/>
      </w:r>
      <w:r w:rsidRPr="00F54795">
        <w:instrText xml:space="preserve"> SEQ level0 \*arabic </w:instrText>
      </w:r>
      <w:r w:rsidRPr="00F54795">
        <w:fldChar w:fldCharType="separate"/>
      </w:r>
      <w:r w:rsidRPr="00F54795" w:rsidR="00F54795">
        <w:rPr>
          <w:noProof/>
        </w:rPr>
        <w:t>26</w:t>
      </w:r>
      <w:r w:rsidRPr="00F54795">
        <w:rPr>
          <w:noProof/>
        </w:rPr>
        <w:fldChar w:fldCharType="end"/>
      </w:r>
      <w:bookmarkEnd w:id="17"/>
      <w:r w:rsidRPr="00F54795" w:rsidR="00DC7612">
        <w:t>.  Applying the above interpretation in a review decision issued under Article 30.12 of the CAO on 29 June 2018 in case no.</w:t>
      </w:r>
      <w:r w:rsidRPr="00F54795" w:rsidR="006D33FB">
        <w:t> </w:t>
      </w:r>
      <w:r w:rsidRPr="00F54795" w:rsidR="00DC7612">
        <w:t>78-AD18-5,</w:t>
      </w:r>
      <w:r w:rsidRPr="00F54795" w:rsidR="006D33FB">
        <w:t xml:space="preserve"> a judge of</w:t>
      </w:r>
      <w:r w:rsidRPr="00F54795" w:rsidR="00DC7612">
        <w:t xml:space="preserve"> the Supreme Court of Russia stated:</w:t>
      </w:r>
    </w:p>
    <w:p w:rsidRPr="00F54795" w:rsidR="00756F0C" w:rsidP="00F54795" w:rsidRDefault="00DC7612">
      <w:pPr>
        <w:pStyle w:val="ECHRParaQuote"/>
      </w:pPr>
      <w:r w:rsidRPr="00F54795">
        <w:t>“[The defendant] was prosecuted on the ground</w:t>
      </w:r>
      <w:r w:rsidRPr="00F54795" w:rsidR="003D7BA6">
        <w:t>s</w:t>
      </w:r>
      <w:r w:rsidRPr="00F54795">
        <w:t xml:space="preserve"> that as a participant in a non</w:t>
      </w:r>
      <w:r w:rsidRPr="00F54795" w:rsidR="0070074D">
        <w:noBreakHyphen/>
      </w:r>
      <w:r w:rsidRPr="00F54795">
        <w:t>notified public event, she had not complied with lawful orders of a police officer requiring her to cease her part</w:t>
      </w:r>
      <w:r w:rsidRPr="00F54795" w:rsidR="0070074D">
        <w:t>icipation in that public event ...</w:t>
      </w:r>
      <w:r w:rsidRPr="00F54795">
        <w:t xml:space="preserve"> In the present case [Article 20.2 § 5 of the CAO] is </w:t>
      </w:r>
      <w:r w:rsidRPr="00F54795">
        <w:rPr>
          <w:i/>
        </w:rPr>
        <w:t>lex specialis vis-à-vis</w:t>
      </w:r>
      <w:r w:rsidRPr="00F54795">
        <w:t xml:space="preserve"> Article 19.3 §</w:t>
      </w:r>
      <w:r w:rsidRPr="00F54795" w:rsidR="0070074D">
        <w:t xml:space="preserve"> 1 of the CAO ...</w:t>
      </w:r>
      <w:r w:rsidRPr="00F54795">
        <w:t xml:space="preserve"> Thus, the [defendant</w:t>
      </w:r>
      <w:r w:rsidRPr="00F54795" w:rsidR="00F54795">
        <w:t>’</w:t>
      </w:r>
      <w:r w:rsidRPr="00F54795">
        <w:t xml:space="preserve">s] conduct does not constitute </w:t>
      </w:r>
      <w:r w:rsidRPr="00F54795">
        <w:rPr>
          <w:i/>
        </w:rPr>
        <w:t>corpus delicti</w:t>
      </w:r>
      <w:r w:rsidRPr="00F54795" w:rsidR="0070074D">
        <w:t xml:space="preserve"> under that provision ...</w:t>
      </w:r>
      <w:r w:rsidRPr="00F54795" w:rsidR="00756F0C">
        <w:t xml:space="preserve"> At the same time, it is not possible in the present case to reclassify the defendant</w:t>
      </w:r>
      <w:r w:rsidRPr="00F54795" w:rsidR="00F54795">
        <w:t>’</w:t>
      </w:r>
      <w:r w:rsidRPr="00F54795" w:rsidR="00756F0C">
        <w:t>s actions for the following re</w:t>
      </w:r>
      <w:r w:rsidRPr="00F54795" w:rsidR="0070074D">
        <w:t>asons ...</w:t>
      </w:r>
      <w:r w:rsidRPr="00F54795" w:rsidR="00756F0C">
        <w:t xml:space="preserve"> Reclassification from one Article of the CAO to another is possible when </w:t>
      </w:r>
      <w:r w:rsidRPr="00F54795" w:rsidR="00B67C4F">
        <w:t xml:space="preserve">the </w:t>
      </w:r>
      <w:r w:rsidRPr="00F54795" w:rsidR="00135CBF">
        <w:t xml:space="preserve">type of object </w:t>
      </w:r>
      <w:r w:rsidRPr="00F54795" w:rsidR="00B67C4F">
        <w:t xml:space="preserve">protected by </w:t>
      </w:r>
      <w:r w:rsidRPr="00F54795" w:rsidR="00756F0C">
        <w:t xml:space="preserve">those provisions </w:t>
      </w:r>
      <w:r w:rsidRPr="00F54795" w:rsidR="006D33FB">
        <w:t>(</w:t>
      </w:r>
      <w:r w:rsidRPr="00F54795" w:rsidR="006D33FB">
        <w:rPr>
          <w:i/>
          <w:lang w:val="ru-RU"/>
        </w:rPr>
        <w:t>единый</w:t>
      </w:r>
      <w:r w:rsidRPr="00F54795" w:rsidR="006D33FB">
        <w:rPr>
          <w:i/>
        </w:rPr>
        <w:t xml:space="preserve"> </w:t>
      </w:r>
      <w:r w:rsidRPr="00F54795" w:rsidR="006D33FB">
        <w:rPr>
          <w:i/>
          <w:lang w:val="ru-RU"/>
        </w:rPr>
        <w:t>родовой</w:t>
      </w:r>
      <w:r w:rsidRPr="00F54795" w:rsidR="006D33FB">
        <w:rPr>
          <w:i/>
        </w:rPr>
        <w:t xml:space="preserve"> </w:t>
      </w:r>
      <w:r w:rsidRPr="00F54795" w:rsidR="006D33FB">
        <w:rPr>
          <w:i/>
          <w:lang w:val="ru-RU"/>
        </w:rPr>
        <w:t>объект</w:t>
      </w:r>
      <w:r w:rsidRPr="00F54795" w:rsidR="006D33FB">
        <w:rPr>
          <w:i/>
        </w:rPr>
        <w:t xml:space="preserve"> </w:t>
      </w:r>
      <w:r w:rsidRPr="00F54795" w:rsidR="006D33FB">
        <w:rPr>
          <w:i/>
          <w:lang w:val="ru-RU"/>
        </w:rPr>
        <w:t>посягательства</w:t>
      </w:r>
      <w:r w:rsidRPr="00F54795" w:rsidR="006D33FB">
        <w:t xml:space="preserve">) </w:t>
      </w:r>
      <w:r w:rsidRPr="00F54795" w:rsidR="00B67C4F">
        <w:t xml:space="preserve">is the same </w:t>
      </w:r>
      <w:r w:rsidRPr="00F54795" w:rsidR="00756F0C">
        <w:t xml:space="preserve">and where </w:t>
      </w:r>
      <w:r w:rsidRPr="00F54795" w:rsidR="00B67C4F">
        <w:t xml:space="preserve">a </w:t>
      </w:r>
      <w:r w:rsidRPr="00F54795" w:rsidR="00756F0C">
        <w:t>new senten</w:t>
      </w:r>
      <w:r w:rsidRPr="00F54795" w:rsidR="00B67C4F">
        <w:t>c</w:t>
      </w:r>
      <w:r w:rsidRPr="00F54795" w:rsidR="00756F0C">
        <w:t>e would not worsen</w:t>
      </w:r>
      <w:r w:rsidRPr="00F54795" w:rsidR="0070074D">
        <w:t xml:space="preserve"> the position of the defendant ...</w:t>
      </w:r>
      <w:r w:rsidRPr="00F54795" w:rsidR="00756F0C">
        <w:t xml:space="preserve"> </w:t>
      </w:r>
      <w:r w:rsidRPr="00F54795" w:rsidR="004B335D">
        <w:t xml:space="preserve">Articles 19.3 and 20.2 are contained in different Chapters of the CAO </w:t>
      </w:r>
      <w:r w:rsidRPr="00F54795" w:rsidR="00E264E7">
        <w:t>.</w:t>
      </w:r>
      <w:r w:rsidRPr="00F54795" w:rsidR="004B335D">
        <w:t xml:space="preserve">.. and </w:t>
      </w:r>
      <w:r w:rsidRPr="00F54795" w:rsidR="00135CBF">
        <w:t xml:space="preserve">protect </w:t>
      </w:r>
      <w:r w:rsidRPr="00F54795" w:rsidR="0070074D">
        <w:t>different types of objects ...</w:t>
      </w:r>
      <w:r w:rsidRPr="00F54795" w:rsidR="004B335D">
        <w:t xml:space="preserve"> Article 20.2 § 5 provides for a strict</w:t>
      </w:r>
      <w:r w:rsidRPr="00F54795" w:rsidR="00135CBF">
        <w:t>er</w:t>
      </w:r>
      <w:r w:rsidRPr="00F54795" w:rsidR="004B335D">
        <w:t xml:space="preserve"> sentence </w:t>
      </w:r>
      <w:r w:rsidRPr="00F54795" w:rsidR="00135CBF">
        <w:t xml:space="preserve">than </w:t>
      </w:r>
      <w:r w:rsidRPr="00F54795" w:rsidR="004B335D">
        <w:t>Article</w:t>
      </w:r>
      <w:r w:rsidRPr="00F54795" w:rsidR="00565C9E">
        <w:t> </w:t>
      </w:r>
      <w:r w:rsidRPr="00F54795" w:rsidR="004B335D">
        <w:t>19.3 §</w:t>
      </w:r>
      <w:r w:rsidRPr="00F54795" w:rsidR="0070074D">
        <w:t xml:space="preserve"> 1 ...</w:t>
      </w:r>
      <w:r w:rsidRPr="00F54795" w:rsidR="004B335D">
        <w:t xml:space="preserve"> Pursuant to Article 4.1 § 5 of the CAO, no one should be found liable </w:t>
      </w:r>
      <w:r w:rsidRPr="00F54795" w:rsidR="007571E2">
        <w:t xml:space="preserve">more than once </w:t>
      </w:r>
      <w:r w:rsidRPr="00F54795" w:rsidR="004B335D">
        <w:t>for t</w:t>
      </w:r>
      <w:r w:rsidRPr="00F54795" w:rsidR="0070074D">
        <w:t>he same administrative offence ...</w:t>
      </w:r>
      <w:r w:rsidRPr="00F54795" w:rsidR="004B335D">
        <w:t>”</w:t>
      </w:r>
    </w:p>
    <w:p w:rsidRPr="00F54795" w:rsidR="005962C9" w:rsidP="00F54795" w:rsidRDefault="001043AC">
      <w:pPr>
        <w:pStyle w:val="ECHRHeading2"/>
        <w:rPr>
          <w:rFonts w:eastAsia="Times New Roman"/>
        </w:rPr>
      </w:pPr>
      <w:r w:rsidRPr="00F54795">
        <w:rPr>
          <w:rFonts w:eastAsia="Times New Roman"/>
        </w:rPr>
        <w:t>C</w:t>
      </w:r>
      <w:r w:rsidRPr="00F54795" w:rsidR="005962C9">
        <w:rPr>
          <w:rFonts w:eastAsia="Times New Roman"/>
        </w:rPr>
        <w:t>.  Administrative arrest</w:t>
      </w:r>
    </w:p>
    <w:p w:rsidRPr="00F54795" w:rsidR="008940CF" w:rsidP="00F54795" w:rsidRDefault="00705DDB">
      <w:pPr>
        <w:pStyle w:val="ECHRPara"/>
        <w:rPr>
          <w:rFonts w:eastAsia="Times New Roman"/>
        </w:rPr>
      </w:pPr>
      <w:r w:rsidRPr="00F54795">
        <w:rPr>
          <w:rFonts w:eastAsia="Times New Roman"/>
        </w:rPr>
        <w:fldChar w:fldCharType="begin"/>
      </w:r>
      <w:r w:rsidRPr="00F54795">
        <w:rPr>
          <w:rFonts w:eastAsia="Times New Roman"/>
        </w:rPr>
        <w:instrText xml:space="preserve"> SEQ level0 \*arabic </w:instrText>
      </w:r>
      <w:r w:rsidRPr="00F54795">
        <w:rPr>
          <w:rFonts w:eastAsia="Times New Roman"/>
        </w:rPr>
        <w:fldChar w:fldCharType="separate"/>
      </w:r>
      <w:r w:rsidRPr="00F54795" w:rsidR="00F54795">
        <w:rPr>
          <w:rFonts w:eastAsia="Times New Roman"/>
          <w:noProof/>
        </w:rPr>
        <w:t>27</w:t>
      </w:r>
      <w:r w:rsidRPr="00F54795">
        <w:rPr>
          <w:rFonts w:eastAsia="Times New Roman"/>
        </w:rPr>
        <w:fldChar w:fldCharType="end"/>
      </w:r>
      <w:r w:rsidRPr="00F54795">
        <w:rPr>
          <w:rFonts w:eastAsia="Times New Roman"/>
        </w:rPr>
        <w:t>.  </w:t>
      </w:r>
      <w:r w:rsidRPr="00F54795" w:rsidR="008940CF">
        <w:rPr>
          <w:rFonts w:eastAsia="Times New Roman"/>
        </w:rPr>
        <w:t>The Constitutional Court</w:t>
      </w:r>
      <w:r w:rsidRPr="00F54795" w:rsidR="00565C9E">
        <w:rPr>
          <w:rFonts w:eastAsia="Times New Roman"/>
        </w:rPr>
        <w:t xml:space="preserve"> of Russia</w:t>
      </w:r>
      <w:r w:rsidRPr="00F54795" w:rsidR="008940CF">
        <w:rPr>
          <w:rFonts w:eastAsia="Times New Roman"/>
        </w:rPr>
        <w:t xml:space="preserve"> has ruled that </w:t>
      </w:r>
      <w:r w:rsidRPr="00F54795">
        <w:rPr>
          <w:rFonts w:eastAsia="Times New Roman"/>
        </w:rPr>
        <w:t>a</w:t>
      </w:r>
      <w:r w:rsidRPr="00F54795" w:rsidR="008940CF">
        <w:rPr>
          <w:rFonts w:eastAsia="Times New Roman"/>
        </w:rPr>
        <w:t>dministrative arrest must be effected in compliance with the goals listed in subparagraph</w:t>
      </w:r>
      <w:r w:rsidRPr="00F54795" w:rsidR="00B3427A">
        <w:rPr>
          <w:rFonts w:eastAsia="Times New Roman"/>
        </w:rPr>
        <w:t> </w:t>
      </w:r>
      <w:r w:rsidRPr="00F54795" w:rsidR="008940CF">
        <w:rPr>
          <w:rFonts w:eastAsia="Times New Roman"/>
        </w:rPr>
        <w:t xml:space="preserve">(c) of Article 5 § 1, that is it must be effected for the purpose of bringing an individual before the competent legal authority on reasonable suspicion of having committed an offence or </w:t>
      </w:r>
      <w:r w:rsidRPr="00F54795" w:rsidR="00135CBF">
        <w:rPr>
          <w:rFonts w:eastAsia="Times New Roman"/>
        </w:rPr>
        <w:t xml:space="preserve">if </w:t>
      </w:r>
      <w:r w:rsidRPr="00F54795" w:rsidR="008940CF">
        <w:rPr>
          <w:rFonts w:eastAsia="Times New Roman"/>
        </w:rPr>
        <w:t xml:space="preserve">it is reasonably considered necessary to prevent </w:t>
      </w:r>
      <w:r w:rsidRPr="00F54795" w:rsidR="00135CBF">
        <w:rPr>
          <w:rFonts w:eastAsia="Times New Roman"/>
        </w:rPr>
        <w:t xml:space="preserve">him or her from </w:t>
      </w:r>
      <w:r w:rsidRPr="00F54795" w:rsidR="008940CF">
        <w:rPr>
          <w:rFonts w:eastAsia="Times New Roman"/>
        </w:rPr>
        <w:t>committing an offence or fleeing after having done so (Ruling</w:t>
      </w:r>
      <w:r w:rsidRPr="00F54795">
        <w:rPr>
          <w:rFonts w:eastAsia="Times New Roman"/>
        </w:rPr>
        <w:t> N</w:t>
      </w:r>
      <w:r w:rsidRPr="00F54795" w:rsidR="008940CF">
        <w:rPr>
          <w:rFonts w:eastAsia="Times New Roman"/>
        </w:rPr>
        <w:t>o.</w:t>
      </w:r>
      <w:r w:rsidRPr="00F54795">
        <w:rPr>
          <w:rFonts w:eastAsia="Times New Roman"/>
        </w:rPr>
        <w:t> </w:t>
      </w:r>
      <w:r w:rsidRPr="00F54795" w:rsidR="008940CF">
        <w:rPr>
          <w:rFonts w:eastAsia="Times New Roman"/>
        </w:rPr>
        <w:t>9-P of</w:t>
      </w:r>
      <w:r w:rsidRPr="00F54795" w:rsidR="006C3E59">
        <w:rPr>
          <w:rFonts w:eastAsia="Times New Roman"/>
        </w:rPr>
        <w:t xml:space="preserve"> 16 June 2009)</w:t>
      </w:r>
      <w:r w:rsidRPr="00F54795" w:rsidR="008940CF">
        <w:rPr>
          <w:rFonts w:eastAsia="Times New Roman"/>
        </w:rPr>
        <w:t xml:space="preserve">. </w:t>
      </w:r>
      <w:r w:rsidRPr="00F54795" w:rsidR="00A30D22">
        <w:rPr>
          <w:rFonts w:eastAsia="Times New Roman"/>
        </w:rPr>
        <w:t xml:space="preserve">For an </w:t>
      </w:r>
      <w:r w:rsidRPr="00F54795" w:rsidR="008940CF">
        <w:rPr>
          <w:rFonts w:eastAsia="Times New Roman"/>
        </w:rPr>
        <w:t xml:space="preserve">arrest </w:t>
      </w:r>
      <w:r w:rsidRPr="00F54795" w:rsidR="00A30D22">
        <w:rPr>
          <w:rFonts w:eastAsia="Times New Roman"/>
        </w:rPr>
        <w:t xml:space="preserve">to be lawful, an </w:t>
      </w:r>
      <w:r w:rsidRPr="00F54795" w:rsidR="008940CF">
        <w:rPr>
          <w:rFonts w:eastAsia="Times New Roman"/>
        </w:rPr>
        <w:t xml:space="preserve">assessment </w:t>
      </w:r>
      <w:r w:rsidRPr="00F54795" w:rsidR="00A30D22">
        <w:rPr>
          <w:rFonts w:eastAsia="Times New Roman"/>
        </w:rPr>
        <w:t xml:space="preserve">must be made </w:t>
      </w:r>
      <w:r w:rsidRPr="00F54795" w:rsidR="008940CF">
        <w:rPr>
          <w:rFonts w:eastAsia="Times New Roman"/>
        </w:rPr>
        <w:t>of the essential features affecting “lawfulness”, which includes assessment of whether the measure was justified (</w:t>
      </w:r>
      <w:r w:rsidRPr="00F54795" w:rsidR="008940CF">
        <w:rPr>
          <w:rFonts w:eastAsia="Times New Roman"/>
          <w:i/>
          <w:iCs/>
        </w:rPr>
        <w:t>обоснованной</w:t>
      </w:r>
      <w:r w:rsidRPr="00F54795" w:rsidR="008940CF">
        <w:rPr>
          <w:rFonts w:eastAsia="Times New Roman"/>
        </w:rPr>
        <w:t>) in view of the goals pursued and whether it was necessary and reasonable (</w:t>
      </w:r>
      <w:r w:rsidRPr="00F54795" w:rsidR="008940CF">
        <w:rPr>
          <w:rFonts w:eastAsia="Times New Roman"/>
          <w:i/>
          <w:iCs/>
        </w:rPr>
        <w:t>разумной</w:t>
      </w:r>
      <w:r w:rsidRPr="00F54795" w:rsidR="008940CF">
        <w:rPr>
          <w:rFonts w:eastAsia="Times New Roman"/>
        </w:rPr>
        <w:t>) in the specific circumstances of the situation in which it was</w:t>
      </w:r>
      <w:r w:rsidRPr="00F54795" w:rsidR="008A5424">
        <w:rPr>
          <w:rFonts w:eastAsia="Times New Roman"/>
        </w:rPr>
        <w:t xml:space="preserve"> carried out</w:t>
      </w:r>
      <w:r w:rsidRPr="00F54795" w:rsidR="008940CF">
        <w:rPr>
          <w:rFonts w:eastAsia="Times New Roman"/>
        </w:rPr>
        <w:t xml:space="preserve">. Administrative arrest is lawful if it </w:t>
      </w:r>
      <w:r w:rsidRPr="00F54795" w:rsidR="00A30D22">
        <w:rPr>
          <w:rFonts w:eastAsia="Times New Roman"/>
        </w:rPr>
        <w:t xml:space="preserve">can be </w:t>
      </w:r>
      <w:r w:rsidRPr="00F54795" w:rsidR="008940CF">
        <w:rPr>
          <w:rFonts w:eastAsia="Times New Roman"/>
        </w:rPr>
        <w:t xml:space="preserve">justified on account of the nature of the offence and is necessary for ensuring </w:t>
      </w:r>
      <w:r w:rsidRPr="00F54795" w:rsidR="00A30D22">
        <w:rPr>
          <w:rFonts w:eastAsia="Times New Roman"/>
        </w:rPr>
        <w:t xml:space="preserve">the </w:t>
      </w:r>
      <w:r w:rsidRPr="00F54795" w:rsidR="008940CF">
        <w:rPr>
          <w:rFonts w:eastAsia="Times New Roman"/>
        </w:rPr>
        <w:t xml:space="preserve">execution of </w:t>
      </w:r>
      <w:r w:rsidRPr="00F54795" w:rsidR="00A30D22">
        <w:rPr>
          <w:rFonts w:eastAsia="Times New Roman"/>
        </w:rPr>
        <w:t xml:space="preserve">a </w:t>
      </w:r>
      <w:r w:rsidRPr="00F54795" w:rsidR="008940CF">
        <w:rPr>
          <w:rFonts w:eastAsia="Times New Roman"/>
        </w:rPr>
        <w:t xml:space="preserve">judgment in </w:t>
      </w:r>
      <w:r w:rsidRPr="00F54795" w:rsidR="00A30D22">
        <w:rPr>
          <w:rFonts w:eastAsia="Times New Roman"/>
        </w:rPr>
        <w:t xml:space="preserve">an </w:t>
      </w:r>
      <w:r w:rsidRPr="00F54795" w:rsidR="008940CF">
        <w:rPr>
          <w:rFonts w:eastAsia="Times New Roman"/>
        </w:rPr>
        <w:t>administrative</w:t>
      </w:r>
      <w:r w:rsidRPr="00F54795" w:rsidR="008940CF">
        <w:rPr>
          <w:rFonts w:eastAsia="Times New Roman"/>
        </w:rPr>
        <w:noBreakHyphen/>
        <w:t xml:space="preserve">offence case (Decision </w:t>
      </w:r>
      <w:r w:rsidRPr="00F54795">
        <w:rPr>
          <w:rFonts w:eastAsia="Times New Roman"/>
        </w:rPr>
        <w:t>N</w:t>
      </w:r>
      <w:r w:rsidRPr="00F54795" w:rsidR="008940CF">
        <w:rPr>
          <w:rFonts w:eastAsia="Times New Roman"/>
        </w:rPr>
        <w:t>o.</w:t>
      </w:r>
      <w:r w:rsidRPr="00F54795" w:rsidR="005962C9">
        <w:rPr>
          <w:rFonts w:eastAsia="Times New Roman"/>
        </w:rPr>
        <w:t> </w:t>
      </w:r>
      <w:r w:rsidRPr="00F54795" w:rsidR="008940CF">
        <w:rPr>
          <w:rFonts w:eastAsia="Times New Roman"/>
        </w:rPr>
        <w:t>1049-O of 2 July 2013 by the Constitutional Court). The assessment of the reasons</w:t>
      </w:r>
      <w:r w:rsidRPr="00F54795" w:rsidR="006D33FB">
        <w:rPr>
          <w:rFonts w:eastAsia="Times New Roman"/>
        </w:rPr>
        <w:t xml:space="preserve"> and </w:t>
      </w:r>
      <w:r w:rsidRPr="00F54795" w:rsidR="008940CF">
        <w:rPr>
          <w:rFonts w:eastAsia="Times New Roman"/>
        </w:rPr>
        <w:t>grounds listed in the record of administrative arrest (</w:t>
      </w:r>
      <w:r w:rsidRPr="00F54795" w:rsidR="006C3E59">
        <w:rPr>
          <w:rFonts w:eastAsia="Times New Roman"/>
        </w:rPr>
        <w:t xml:space="preserve">in so far as it was </w:t>
      </w:r>
      <w:r w:rsidRPr="00F54795" w:rsidR="008940CF">
        <w:rPr>
          <w:rFonts w:eastAsia="Times New Roman"/>
        </w:rPr>
        <w:t>relevant</w:t>
      </w:r>
      <w:r w:rsidRPr="00F54795" w:rsidR="006C3E59">
        <w:rPr>
          <w:rFonts w:eastAsia="Times New Roman"/>
        </w:rPr>
        <w:t xml:space="preserve"> in the context of</w:t>
      </w:r>
      <w:r w:rsidRPr="00F54795" w:rsidR="008940CF">
        <w:rPr>
          <w:rFonts w:eastAsia="Times New Roman"/>
        </w:rPr>
        <w:t xml:space="preserve"> a claim for compensation relating to such arrest) includes </w:t>
      </w:r>
      <w:r w:rsidRPr="00F54795" w:rsidR="00A30D22">
        <w:rPr>
          <w:rFonts w:eastAsia="Times New Roman"/>
        </w:rPr>
        <w:t xml:space="preserve">an </w:t>
      </w:r>
      <w:r w:rsidRPr="00F54795" w:rsidR="008940CF">
        <w:rPr>
          <w:rFonts w:eastAsia="Times New Roman"/>
        </w:rPr>
        <w:t>assessment of whether arrest was the only possible measure in respect of the defendant (ibid).</w:t>
      </w:r>
    </w:p>
    <w:p w:rsidRPr="00F54795" w:rsidR="005962C9" w:rsidP="00F54795" w:rsidRDefault="005962C9">
      <w:pPr>
        <w:pStyle w:val="ECHRPara"/>
        <w:rPr>
          <w:lang w:eastAsia="en-GB"/>
        </w:rPr>
      </w:pPr>
      <w:r w:rsidRPr="00F54795">
        <w:rPr>
          <w:rFonts w:eastAsia="Times New Roman"/>
        </w:rPr>
        <w:fldChar w:fldCharType="begin"/>
      </w:r>
      <w:r w:rsidRPr="00F54795">
        <w:rPr>
          <w:rFonts w:eastAsia="Times New Roman"/>
        </w:rPr>
        <w:instrText xml:space="preserve"> SEQ level0 \*arabic </w:instrText>
      </w:r>
      <w:r w:rsidRPr="00F54795">
        <w:rPr>
          <w:rFonts w:eastAsia="Times New Roman"/>
        </w:rPr>
        <w:fldChar w:fldCharType="separate"/>
      </w:r>
      <w:r w:rsidRPr="00F54795" w:rsidR="00F54795">
        <w:rPr>
          <w:rFonts w:eastAsia="Times New Roman"/>
          <w:noProof/>
        </w:rPr>
        <w:t>28</w:t>
      </w:r>
      <w:r w:rsidRPr="00F54795">
        <w:rPr>
          <w:rFonts w:eastAsia="Times New Roman"/>
        </w:rPr>
        <w:fldChar w:fldCharType="end"/>
      </w:r>
      <w:r w:rsidRPr="00F54795">
        <w:rPr>
          <w:rFonts w:eastAsia="Times New Roman"/>
        </w:rPr>
        <w:t xml:space="preserve">.  For other relevant provisions of domestic law and judicial practice, </w:t>
      </w:r>
      <w:r w:rsidRPr="00F54795">
        <w:t xml:space="preserve">see </w:t>
      </w:r>
      <w:r w:rsidRPr="00F54795" w:rsidR="005A48F9">
        <w:rPr>
          <w:i/>
          <w:iCs/>
        </w:rPr>
        <w:t>Tsvetkova and Others v. Russia</w:t>
      </w:r>
      <w:r w:rsidRPr="00F54795" w:rsidR="005A48F9">
        <w:rPr>
          <w:lang w:eastAsia="en-GB"/>
        </w:rPr>
        <w:t xml:space="preserve">, </w:t>
      </w:r>
      <w:r w:rsidRPr="00F54795" w:rsidR="005A48F9">
        <w:t>nos. 54381/08 and 5 others</w:t>
      </w:r>
      <w:r w:rsidRPr="00F54795" w:rsidR="005A48F9">
        <w:rPr>
          <w:lang w:eastAsia="en-GB"/>
        </w:rPr>
        <w:t xml:space="preserve">, </w:t>
      </w:r>
      <w:r w:rsidRPr="00F54795" w:rsidR="005A48F9">
        <w:t>§§ 66-75, 10 April 2018.</w:t>
      </w:r>
    </w:p>
    <w:p w:rsidRPr="00F54795" w:rsidR="00D420F3" w:rsidP="00F54795" w:rsidRDefault="0077175D">
      <w:pPr>
        <w:pStyle w:val="ECHRTitle1"/>
      </w:pPr>
      <w:r w:rsidRPr="00F54795">
        <w:t>THE LAW</w:t>
      </w:r>
    </w:p>
    <w:p w:rsidRPr="00F54795" w:rsidR="00D420F3" w:rsidP="00F54795" w:rsidRDefault="0077175D">
      <w:pPr>
        <w:pStyle w:val="ECHRHeading1"/>
      </w:pPr>
      <w:r w:rsidRPr="00F54795">
        <w:t xml:space="preserve">I.  ALLEGED VIOLATION OF ARTICLE </w:t>
      </w:r>
      <w:r w:rsidRPr="00F54795" w:rsidR="001D5314">
        <w:t>5</w:t>
      </w:r>
      <w:r w:rsidRPr="00F54795" w:rsidR="00A712D3">
        <w:t xml:space="preserve"> § 1</w:t>
      </w:r>
      <w:r w:rsidRPr="00F54795">
        <w:t xml:space="preserve"> OF THE CONVENTION</w:t>
      </w:r>
    </w:p>
    <w:p w:rsidRPr="00F54795" w:rsidR="00D420F3"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29</w:t>
      </w:r>
      <w:r w:rsidRPr="00F54795">
        <w:fldChar w:fldCharType="end"/>
      </w:r>
      <w:r w:rsidRPr="00F54795" w:rsidR="0077175D">
        <w:t>.  The applicant</w:t>
      </w:r>
      <w:r w:rsidRPr="00F54795" w:rsidR="003644BF">
        <w:t xml:space="preserve"> </w:t>
      </w:r>
      <w:r w:rsidRPr="00F54795" w:rsidR="0077175D">
        <w:t>complained that</w:t>
      </w:r>
      <w:r w:rsidRPr="00F54795" w:rsidR="00AD1D0B">
        <w:t xml:space="preserve"> the administrative escorting and administrative arrest procedures against </w:t>
      </w:r>
      <w:r w:rsidRPr="00F54795" w:rsidR="00280D9B">
        <w:t>her</w:t>
      </w:r>
      <w:r w:rsidRPr="00F54795" w:rsidR="00AD1D0B">
        <w:t xml:space="preserve"> had breached</w:t>
      </w:r>
      <w:r w:rsidRPr="00F54795" w:rsidR="0077175D">
        <w:t xml:space="preserve"> Article</w:t>
      </w:r>
      <w:r w:rsidRPr="00F54795" w:rsidR="00AD1D0B">
        <w:t xml:space="preserve"> 5 § 1</w:t>
      </w:r>
      <w:r w:rsidRPr="00F54795" w:rsidR="0077175D">
        <w:t xml:space="preserve"> of the Convention, </w:t>
      </w:r>
      <w:r w:rsidRPr="00F54795" w:rsidR="00AD1D0B">
        <w:t>the relevant parts</w:t>
      </w:r>
      <w:r w:rsidRPr="00F54795" w:rsidR="0077175D">
        <w:t xml:space="preserve"> </w:t>
      </w:r>
      <w:r w:rsidRPr="00F54795" w:rsidR="00A21FDE">
        <w:t xml:space="preserve">of which </w:t>
      </w:r>
      <w:r w:rsidRPr="00F54795" w:rsidR="0077175D">
        <w:t>read as follows:</w:t>
      </w:r>
    </w:p>
    <w:p w:rsidRPr="00F54795" w:rsidR="00C631B1" w:rsidP="00F54795" w:rsidRDefault="00C631B1">
      <w:pPr>
        <w:pStyle w:val="ECHRParaQuote"/>
      </w:pPr>
      <w:r w:rsidRPr="00F54795">
        <w:t>“1.  Everyone has the right to liberty and security of person. No one shall be deprived of his liberty save in the following cases and in accordance with a procedure prescribed by law:</w:t>
      </w:r>
    </w:p>
    <w:p w:rsidRPr="00F54795" w:rsidR="00C631B1" w:rsidP="00F54795" w:rsidRDefault="00033CA1">
      <w:pPr>
        <w:pStyle w:val="ECHRParaQuote"/>
      </w:pPr>
      <w:r w:rsidRPr="00F54795">
        <w:t>...</w:t>
      </w:r>
    </w:p>
    <w:p w:rsidRPr="00F54795" w:rsidR="00C631B1" w:rsidP="00F54795" w:rsidRDefault="00C631B1">
      <w:pPr>
        <w:pStyle w:val="ECHRParaQuote"/>
      </w:pPr>
      <w:r w:rsidRPr="00F54795">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r w:rsidRPr="00F54795" w:rsidR="00033CA1">
        <w:t xml:space="preserve"> ...</w:t>
      </w:r>
      <w:r w:rsidRPr="00F54795">
        <w:t>”</w:t>
      </w:r>
    </w:p>
    <w:p w:rsidRPr="00F54795" w:rsidR="008940CF" w:rsidP="00F54795" w:rsidRDefault="00E70F38">
      <w:pPr>
        <w:pStyle w:val="ECHRHeading2"/>
      </w:pPr>
      <w:r w:rsidRPr="00F54795">
        <w:t>A</w:t>
      </w:r>
      <w:r w:rsidRPr="00F54795" w:rsidR="008940CF">
        <w:t>.  The parties</w:t>
      </w:r>
      <w:r w:rsidRPr="00F54795" w:rsidR="00F54795">
        <w:t>’</w:t>
      </w:r>
      <w:r w:rsidRPr="00F54795" w:rsidR="008940CF">
        <w:t xml:space="preserve"> submissions</w:t>
      </w:r>
    </w:p>
    <w:p w:rsidRPr="00F54795" w:rsidR="0025403B" w:rsidP="00F54795" w:rsidRDefault="00E70F38">
      <w:pPr>
        <w:pStyle w:val="ECHRHeading3"/>
      </w:pPr>
      <w:r w:rsidRPr="00F54795">
        <w:t>1.</w:t>
      </w:r>
      <w:r w:rsidRPr="00F54795" w:rsidR="0025403B">
        <w:t>  The Government</w:t>
      </w:r>
    </w:p>
    <w:bookmarkStart w:name="GobservationsA5" w:id="18"/>
    <w:p w:rsidRPr="00F54795" w:rsidR="0025403B" w:rsidP="00F54795" w:rsidRDefault="00F00F61">
      <w:pPr>
        <w:pStyle w:val="ECHRPara"/>
      </w:pPr>
      <w:r w:rsidRPr="00F54795">
        <w:rPr>
          <w:lang w:val="ru-RU"/>
        </w:rPr>
        <w:fldChar w:fldCharType="begin"/>
      </w:r>
      <w:r w:rsidRPr="00F54795">
        <w:rPr>
          <w:lang w:val="en-US"/>
        </w:rPr>
        <w:instrText xml:space="preserve"> SEQ level0 \*arabic </w:instrText>
      </w:r>
      <w:r w:rsidRPr="00F54795">
        <w:rPr>
          <w:lang w:val="ru-RU"/>
        </w:rPr>
        <w:fldChar w:fldCharType="separate"/>
      </w:r>
      <w:r w:rsidRPr="00F54795" w:rsidR="00F54795">
        <w:rPr>
          <w:noProof/>
          <w:lang w:val="en-US"/>
        </w:rPr>
        <w:t>30</w:t>
      </w:r>
      <w:r w:rsidRPr="00F54795">
        <w:rPr>
          <w:lang w:val="ru-RU"/>
        </w:rPr>
        <w:fldChar w:fldCharType="end"/>
      </w:r>
      <w:bookmarkEnd w:id="18"/>
      <w:r w:rsidRPr="00F54795">
        <w:rPr>
          <w:lang w:val="en-US"/>
        </w:rPr>
        <w:t>.  </w:t>
      </w:r>
      <w:r w:rsidRPr="00F54795" w:rsidR="00705DDB">
        <w:t>T</w:t>
      </w:r>
      <w:r w:rsidRPr="00F54795" w:rsidR="008940CF">
        <w:t xml:space="preserve">he Government argued that </w:t>
      </w:r>
      <w:r w:rsidRPr="00F54795" w:rsidR="003644BF">
        <w:t>the applicant had not exhausted</w:t>
      </w:r>
      <w:r w:rsidRPr="00F54795" w:rsidR="008940CF">
        <w:t xml:space="preserve"> domestic remedies by way of </w:t>
      </w:r>
      <w:r w:rsidRPr="00F54795" w:rsidR="008A5424">
        <w:t xml:space="preserve">instituting </w:t>
      </w:r>
      <w:r w:rsidRPr="00F54795" w:rsidR="0025403B">
        <w:t>“</w:t>
      </w:r>
      <w:r w:rsidRPr="00F54795" w:rsidR="008940CF">
        <w:t>separate proceedings</w:t>
      </w:r>
      <w:r w:rsidRPr="00F54795" w:rsidR="0025403B">
        <w:t>”</w:t>
      </w:r>
      <w:r w:rsidRPr="00F54795" w:rsidR="00CA5E1B">
        <w:t>,</w:t>
      </w:r>
      <w:r w:rsidRPr="00F54795" w:rsidR="008940CF">
        <w:t xml:space="preserve"> since the matter of administrative arrest was not inseparably linked to the main court decision in proceedings on the administrative charge.</w:t>
      </w:r>
      <w:r w:rsidRPr="00F54795" w:rsidR="00705DDB">
        <w:t xml:space="preserve"> </w:t>
      </w:r>
      <w:r w:rsidRPr="00F54795" w:rsidR="0025403B">
        <w:t xml:space="preserve">As to the legality of </w:t>
      </w:r>
      <w:r w:rsidRPr="00F54795" w:rsidR="008A5424">
        <w:t xml:space="preserve">her </w:t>
      </w:r>
      <w:r w:rsidRPr="00F54795" w:rsidR="0025403B">
        <w:t xml:space="preserve">deprivation of liberty, the Government </w:t>
      </w:r>
      <w:r w:rsidRPr="00F54795" w:rsidR="00705DDB">
        <w:t xml:space="preserve">stated </w:t>
      </w:r>
      <w:r w:rsidRPr="00F54795" w:rsidR="0025403B">
        <w:t xml:space="preserve">that section 13 of the Police Act of 2011 contained </w:t>
      </w:r>
      <w:r w:rsidRPr="00F54795" w:rsidR="008A5424">
        <w:t xml:space="preserve">the </w:t>
      </w:r>
      <w:r w:rsidRPr="00F54795" w:rsidR="0025403B">
        <w:t xml:space="preserve">statutory basis </w:t>
      </w:r>
      <w:r w:rsidRPr="00F54795" w:rsidR="00CA5E1B">
        <w:t xml:space="preserve">on which </w:t>
      </w:r>
      <w:r w:rsidRPr="00F54795" w:rsidR="0025403B">
        <w:t xml:space="preserve">the police </w:t>
      </w:r>
      <w:r w:rsidRPr="00F54795" w:rsidR="00CA5E1B">
        <w:t xml:space="preserve">drew up </w:t>
      </w:r>
      <w:r w:rsidRPr="00F54795" w:rsidR="0025403B">
        <w:t>reports relating to administrative offences under Articles 19.3 and 20.2 of the CAO</w:t>
      </w:r>
      <w:r w:rsidRPr="00F54795" w:rsidR="00705DDB">
        <w:t>.</w:t>
      </w:r>
      <w:r w:rsidRPr="00F54795" w:rsidR="0025403B">
        <w:t xml:space="preserve"> Article 27.1 of the CAO </w:t>
      </w:r>
      <w:r w:rsidRPr="00F54795" w:rsidR="008A5424">
        <w:t xml:space="preserve">was </w:t>
      </w:r>
      <w:r w:rsidRPr="00F54795" w:rsidR="00CA5E1B">
        <w:t xml:space="preserve">the </w:t>
      </w:r>
      <w:r w:rsidRPr="00F54795" w:rsidR="0025403B">
        <w:t xml:space="preserve">legal </w:t>
      </w:r>
      <w:r w:rsidRPr="00F54795" w:rsidR="00CA5E1B">
        <w:t xml:space="preserve">provision empowering </w:t>
      </w:r>
      <w:r w:rsidRPr="00F54795" w:rsidR="0025403B">
        <w:t xml:space="preserve">the police to take </w:t>
      </w:r>
      <w:r w:rsidRPr="00F54795" w:rsidR="00705DDB">
        <w:t>a person</w:t>
      </w:r>
      <w:r w:rsidRPr="00F54795" w:rsidR="0025403B">
        <w:t xml:space="preserve"> to a police station </w:t>
      </w:r>
      <w:r w:rsidRPr="00F54795" w:rsidR="00CA5E1B">
        <w:t xml:space="preserve">in circumstances </w:t>
      </w:r>
      <w:r w:rsidRPr="00F54795" w:rsidR="0025403B">
        <w:t xml:space="preserve">where it was necessary </w:t>
      </w:r>
      <w:r w:rsidRPr="00F54795" w:rsidR="00CA5E1B">
        <w:t xml:space="preserve">in order to put </w:t>
      </w:r>
      <w:r w:rsidRPr="00F54795" w:rsidR="0025403B">
        <w:t xml:space="preserve">an end to an offence. Article 27.2 of the CAO allowed </w:t>
      </w:r>
      <w:r w:rsidRPr="00F54795" w:rsidR="00CA5E1B">
        <w:t xml:space="preserve">the police to </w:t>
      </w:r>
      <w:r w:rsidRPr="00F54795" w:rsidR="0025403B">
        <w:t>escort a person to a police station where i</w:t>
      </w:r>
      <w:r w:rsidRPr="00F54795" w:rsidR="00705DDB">
        <w:t>t was not possible to compile an offence record at the place where the offence had been discovered</w:t>
      </w:r>
      <w:r w:rsidRPr="00F54795" w:rsidR="0025403B">
        <w:t xml:space="preserve">. The police had had no opportunity to compile </w:t>
      </w:r>
      <w:r w:rsidRPr="00F54795" w:rsidR="00CA5E1B">
        <w:t xml:space="preserve">a </w:t>
      </w:r>
      <w:r w:rsidRPr="00F54795" w:rsidR="0025403B">
        <w:t>report on the spot because “the place had been full of other participants of the rally”. Moreover, in view of the applicant</w:t>
      </w:r>
      <w:r w:rsidRPr="00F54795" w:rsidR="00F54795">
        <w:t>’</w:t>
      </w:r>
      <w:r w:rsidRPr="00F54795" w:rsidR="0025403B">
        <w:t xml:space="preserve">s active conduct during the rally, the compiling of </w:t>
      </w:r>
      <w:r w:rsidRPr="00F54795" w:rsidR="00CA5E1B">
        <w:t xml:space="preserve">an </w:t>
      </w:r>
      <w:r w:rsidRPr="00F54795" w:rsidR="00705DDB">
        <w:t>offence record</w:t>
      </w:r>
      <w:r w:rsidRPr="00F54795" w:rsidR="0025403B">
        <w:t xml:space="preserve"> </w:t>
      </w:r>
      <w:r w:rsidRPr="00F54795" w:rsidR="009178E6">
        <w:t xml:space="preserve">on the spot </w:t>
      </w:r>
      <w:r w:rsidRPr="00F54795" w:rsidR="0025403B">
        <w:t xml:space="preserve">would not </w:t>
      </w:r>
      <w:r w:rsidRPr="00F54795" w:rsidR="00CA5E1B">
        <w:t xml:space="preserve">have resulted in </w:t>
      </w:r>
      <w:r w:rsidRPr="00F54795" w:rsidR="0025403B">
        <w:t>suppressing the offence.</w:t>
      </w:r>
      <w:r w:rsidRPr="00F54795" w:rsidR="00780FFA">
        <w:t xml:space="preserve"> </w:t>
      </w:r>
      <w:r w:rsidRPr="00F54795" w:rsidR="008A5424">
        <w:t xml:space="preserve">Under </w:t>
      </w:r>
      <w:r w:rsidRPr="00F54795" w:rsidR="00780FFA">
        <w:t>Article 27.5</w:t>
      </w:r>
      <w:r w:rsidRPr="00F54795" w:rsidR="009E0E54">
        <w:t xml:space="preserve"> § </w:t>
      </w:r>
      <w:r w:rsidRPr="00F54795" w:rsidR="00780FFA">
        <w:t xml:space="preserve">3 of the CAO a defendant </w:t>
      </w:r>
      <w:r w:rsidRPr="00F54795" w:rsidR="008A5424">
        <w:t xml:space="preserve">could be kept </w:t>
      </w:r>
      <w:r w:rsidRPr="00F54795" w:rsidR="00780FFA">
        <w:t>for up to forty-eight hours in relation to an offence punishable by detention, such as the offence under Article</w:t>
      </w:r>
      <w:r w:rsidRPr="00F54795" w:rsidR="00705DDB">
        <w:t> </w:t>
      </w:r>
      <w:r w:rsidRPr="00F54795" w:rsidR="00780FFA">
        <w:t>19.3</w:t>
      </w:r>
      <w:r w:rsidRPr="00F54795" w:rsidR="00705DDB">
        <w:t xml:space="preserve"> § 1 </w:t>
      </w:r>
      <w:r w:rsidRPr="00F54795" w:rsidR="00780FFA">
        <w:t>of the CAO.</w:t>
      </w:r>
    </w:p>
    <w:p w:rsidRPr="00F54795" w:rsidR="00780FFA" w:rsidP="00F54795" w:rsidRDefault="00E70F38">
      <w:pPr>
        <w:pStyle w:val="ECHRHeading3"/>
      </w:pPr>
      <w:r w:rsidRPr="00F54795">
        <w:t>2.</w:t>
      </w:r>
      <w:r w:rsidRPr="00F54795" w:rsidR="00780FFA">
        <w:t>  The applicant</w:t>
      </w:r>
    </w:p>
    <w:p w:rsidRPr="00F54795" w:rsidR="00714DB2" w:rsidP="00F54795" w:rsidRDefault="00F472A9">
      <w:pPr>
        <w:pStyle w:val="ECHRPara"/>
      </w:pPr>
      <w:r w:rsidRPr="00F54795">
        <w:fldChar w:fldCharType="begin"/>
      </w:r>
      <w:r w:rsidRPr="00F54795">
        <w:instrText xml:space="preserve"> SEQ level0 \*arabic </w:instrText>
      </w:r>
      <w:r w:rsidRPr="00F54795">
        <w:fldChar w:fldCharType="separate"/>
      </w:r>
      <w:r w:rsidRPr="00F54795" w:rsidR="00F54795">
        <w:rPr>
          <w:noProof/>
        </w:rPr>
        <w:t>31</w:t>
      </w:r>
      <w:r w:rsidRPr="00F54795">
        <w:fldChar w:fldCharType="end"/>
      </w:r>
      <w:r w:rsidRPr="00F54795">
        <w:t>.  </w:t>
      </w:r>
      <w:r w:rsidRPr="00F54795" w:rsidR="00280D9B">
        <w:t>The applicant</w:t>
      </w:r>
      <w:r w:rsidRPr="00F54795" w:rsidR="005A4611">
        <w:t xml:space="preserve"> </w:t>
      </w:r>
      <w:r w:rsidRPr="00F54795" w:rsidR="00D82CA1">
        <w:t xml:space="preserve">submitted that the public event had been peaceful and that it participants had behaved in a peaceful manner. She </w:t>
      </w:r>
      <w:r w:rsidRPr="00F54795" w:rsidR="005A4611">
        <w:t xml:space="preserve">argued that </w:t>
      </w:r>
      <w:r w:rsidRPr="00F54795" w:rsidR="00E70F38">
        <w:t xml:space="preserve">since </w:t>
      </w:r>
      <w:r w:rsidRPr="00F54795" w:rsidR="005A4611">
        <w:t xml:space="preserve">the police had chosen to place arrestees in buses parked at the </w:t>
      </w:r>
      <w:r w:rsidRPr="00F54795" w:rsidR="00705DDB">
        <w:t xml:space="preserve">rally </w:t>
      </w:r>
      <w:r w:rsidRPr="00F54795" w:rsidR="005A4611">
        <w:t>venue</w:t>
      </w:r>
      <w:r w:rsidRPr="00F54795" w:rsidR="00E70F38">
        <w:t xml:space="preserve">, </w:t>
      </w:r>
      <w:r w:rsidRPr="00F54795" w:rsidR="005A4611">
        <w:t>it</w:t>
      </w:r>
      <w:r w:rsidRPr="00F54795" w:rsidR="00E70F38">
        <w:t xml:space="preserve"> </w:t>
      </w:r>
      <w:r w:rsidRPr="00F54795" w:rsidR="002127BE">
        <w:t xml:space="preserve">had been </w:t>
      </w:r>
      <w:r w:rsidRPr="00F54795" w:rsidR="005A4611">
        <w:t xml:space="preserve">feasible for </w:t>
      </w:r>
      <w:r w:rsidRPr="00F54795" w:rsidR="00705DDB">
        <w:t>them</w:t>
      </w:r>
      <w:r w:rsidRPr="00F54795" w:rsidR="005A4611">
        <w:t xml:space="preserve"> to proceed with the compiling of an offence record on the spot, without waiting </w:t>
      </w:r>
      <w:r w:rsidRPr="00F54795" w:rsidR="002127BE">
        <w:t xml:space="preserve">until </w:t>
      </w:r>
      <w:r w:rsidRPr="00F54795" w:rsidR="005A4611">
        <w:t xml:space="preserve">the buses </w:t>
      </w:r>
      <w:r w:rsidRPr="00F54795" w:rsidR="002127BE">
        <w:t xml:space="preserve">had </w:t>
      </w:r>
      <w:r w:rsidRPr="00F54795" w:rsidR="005A4611">
        <w:t>depart</w:t>
      </w:r>
      <w:r w:rsidRPr="00F54795" w:rsidR="002127BE">
        <w:t>ed</w:t>
      </w:r>
      <w:r w:rsidRPr="00F54795" w:rsidR="005A4611">
        <w:t xml:space="preserve">, being full or </w:t>
      </w:r>
      <w:r w:rsidRPr="00F54795" w:rsidR="002127BE">
        <w:t xml:space="preserve">at </w:t>
      </w:r>
      <w:r w:rsidRPr="00F54795" w:rsidR="005A4611">
        <w:t xml:space="preserve">the end of the rally. As to the aim of putting an end to </w:t>
      </w:r>
      <w:r w:rsidRPr="00F54795" w:rsidR="002127BE">
        <w:t xml:space="preserve">an </w:t>
      </w:r>
      <w:r w:rsidRPr="00F54795" w:rsidR="005A4611">
        <w:t xml:space="preserve">offence, the escort record only referred to the statutory aim of compiling an offence record (see paragraph </w:t>
      </w:r>
      <w:r w:rsidRPr="00F54795" w:rsidR="003528C9">
        <w:fldChar w:fldCharType="begin"/>
      </w:r>
      <w:r w:rsidRPr="00F54795" w:rsidR="003528C9">
        <w:instrText xml:space="preserve"> REF  escortrecord \h </w:instrText>
      </w:r>
      <w:r w:rsidRPr="00F54795" w:rsidR="001772FB">
        <w:instrText xml:space="preserve"> \* MERGEFORMAT </w:instrText>
      </w:r>
      <w:r w:rsidRPr="00F54795" w:rsidR="003528C9">
        <w:fldChar w:fldCharType="separate"/>
      </w:r>
      <w:r w:rsidRPr="00F54795" w:rsidR="00F54795">
        <w:rPr>
          <w:noProof/>
        </w:rPr>
        <w:t>8</w:t>
      </w:r>
      <w:r w:rsidRPr="00F54795" w:rsidR="003528C9">
        <w:fldChar w:fldCharType="end"/>
      </w:r>
      <w:r w:rsidRPr="00F54795" w:rsidR="005A4611">
        <w:t xml:space="preserve"> above). The examination of the case </w:t>
      </w:r>
      <w:r w:rsidRPr="00F54795" w:rsidR="00C13085">
        <w:t xml:space="preserve">in a correct and expedient manner </w:t>
      </w:r>
      <w:r w:rsidRPr="00F54795" w:rsidR="005A4611">
        <w:t>was indicated as the statutory aim of the applicant</w:t>
      </w:r>
      <w:r w:rsidRPr="00F54795" w:rsidR="00F54795">
        <w:t>’</w:t>
      </w:r>
      <w:r w:rsidRPr="00F54795" w:rsidR="005A4611">
        <w:t xml:space="preserve">s administrative arrest (see paragraph </w:t>
      </w:r>
      <w:r w:rsidRPr="00F54795" w:rsidR="00AE0ABB">
        <w:fldChar w:fldCharType="begin"/>
      </w:r>
      <w:r w:rsidRPr="00F54795" w:rsidR="00AE0ABB">
        <w:instrText xml:space="preserve"> REF  arrestrecord \h </w:instrText>
      </w:r>
      <w:r w:rsidRPr="00F54795" w:rsidR="001772FB">
        <w:instrText xml:space="preserve"> \* MERGEFORMAT </w:instrText>
      </w:r>
      <w:r w:rsidRPr="00F54795" w:rsidR="00AE0ABB">
        <w:fldChar w:fldCharType="separate"/>
      </w:r>
      <w:r w:rsidRPr="00F54795" w:rsidR="00F54795">
        <w:rPr>
          <w:noProof/>
        </w:rPr>
        <w:t>10</w:t>
      </w:r>
      <w:r w:rsidRPr="00F54795" w:rsidR="00AE0ABB">
        <w:fldChar w:fldCharType="end"/>
      </w:r>
      <w:r w:rsidRPr="00F54795" w:rsidR="00AE0ABB">
        <w:t xml:space="preserve"> </w:t>
      </w:r>
      <w:r w:rsidRPr="00F54795" w:rsidR="005A4611">
        <w:t>above).</w:t>
      </w:r>
      <w:r w:rsidRPr="00F54795" w:rsidR="00E70F38">
        <w:t xml:space="preserve"> However, n</w:t>
      </w:r>
      <w:r w:rsidRPr="00F54795" w:rsidR="005A4611">
        <w:t>either any domestic authority nor the Government before th</w:t>
      </w:r>
      <w:r w:rsidRPr="00F54795" w:rsidR="00705DDB">
        <w:t>e</w:t>
      </w:r>
      <w:r w:rsidRPr="00F54795" w:rsidR="005A4611">
        <w:t xml:space="preserve"> Court put forward any justification as to why the case had been </w:t>
      </w:r>
      <w:r w:rsidRPr="00F54795" w:rsidR="002127BE">
        <w:t xml:space="preserve">considered </w:t>
      </w:r>
      <w:r w:rsidRPr="00F54795" w:rsidR="005A4611">
        <w:t>“exceptional” within the meaning of Article 27.3 of the CAO,</w:t>
      </w:r>
      <w:r w:rsidRPr="00F54795" w:rsidR="00714DB2">
        <w:t xml:space="preserve"> in order to justify the arrest procedure, in particular after the offence record had been compiled </w:t>
      </w:r>
      <w:r w:rsidRPr="00F54795" w:rsidR="002127BE">
        <w:t xml:space="preserve">at </w:t>
      </w:r>
      <w:r w:rsidRPr="00F54795" w:rsidR="00714DB2">
        <w:t xml:space="preserve">around 8 p.m. </w:t>
      </w:r>
      <w:r w:rsidRPr="00F54795" w:rsidR="00705DDB">
        <w:t>on 12 June 2017</w:t>
      </w:r>
      <w:r w:rsidRPr="00F54795" w:rsidR="00714DB2">
        <w:t>. Notably, by that time the rally had been fully dispersed.</w:t>
      </w:r>
      <w:r w:rsidRPr="00F54795" w:rsidR="00F63943">
        <w:t xml:space="preserve"> Overall, the </w:t>
      </w:r>
      <w:r w:rsidRPr="00F54795" w:rsidR="00705DDB">
        <w:t>Government</w:t>
      </w:r>
      <w:r w:rsidRPr="00F54795" w:rsidR="00F54795">
        <w:t>’</w:t>
      </w:r>
      <w:r w:rsidRPr="00F54795" w:rsidR="00705DDB">
        <w:t xml:space="preserve">s </w:t>
      </w:r>
      <w:r w:rsidRPr="00F54795" w:rsidR="00F63943">
        <w:t>new arguments</w:t>
      </w:r>
      <w:r w:rsidRPr="00F54795" w:rsidR="002127BE">
        <w:t>,</w:t>
      </w:r>
      <w:r w:rsidRPr="00F54795" w:rsidR="00F63943">
        <w:t xml:space="preserve"> first put forward before the Court</w:t>
      </w:r>
      <w:r w:rsidRPr="00F54795" w:rsidR="002127BE">
        <w:t>,</w:t>
      </w:r>
      <w:r w:rsidRPr="00F54795" w:rsidR="00F63943">
        <w:t xml:space="preserve"> </w:t>
      </w:r>
      <w:r w:rsidRPr="00F54795" w:rsidR="00705DDB">
        <w:t xml:space="preserve">could </w:t>
      </w:r>
      <w:r w:rsidRPr="00F54795" w:rsidR="00F63943">
        <w:t xml:space="preserve">not </w:t>
      </w:r>
      <w:r w:rsidRPr="00F54795" w:rsidR="002127BE">
        <w:t xml:space="preserve">make up </w:t>
      </w:r>
      <w:r w:rsidRPr="00F54795" w:rsidR="00705DDB">
        <w:t>for the lack of</w:t>
      </w:r>
      <w:r w:rsidRPr="00F54795" w:rsidR="00F63943">
        <w:t xml:space="preserve"> reasoning that the domestic authorities should have provided.</w:t>
      </w:r>
    </w:p>
    <w:p w:rsidRPr="00F54795" w:rsidR="008940CF" w:rsidP="00F54795" w:rsidRDefault="00E70F38">
      <w:pPr>
        <w:pStyle w:val="ECHRHeading2"/>
      </w:pPr>
      <w:r w:rsidRPr="00F54795">
        <w:t>B</w:t>
      </w:r>
      <w:r w:rsidRPr="00F54795" w:rsidR="008940CF">
        <w:t>.  The Court</w:t>
      </w:r>
      <w:r w:rsidRPr="00F54795" w:rsidR="00F54795">
        <w:t>’</w:t>
      </w:r>
      <w:r w:rsidRPr="00F54795" w:rsidR="008940CF">
        <w:t>s assessment</w:t>
      </w:r>
    </w:p>
    <w:p w:rsidRPr="00F54795" w:rsidR="00780FFA" w:rsidP="00F54795" w:rsidRDefault="00E70F38">
      <w:pPr>
        <w:pStyle w:val="ECHRHeading3"/>
      </w:pPr>
      <w:r w:rsidRPr="00F54795">
        <w:t>1.</w:t>
      </w:r>
      <w:r w:rsidRPr="00F54795" w:rsidR="00780FFA">
        <w:t>  Admissibility</w:t>
      </w:r>
    </w:p>
    <w:p w:rsidRPr="00F54795" w:rsidR="00D635BB" w:rsidP="00F54795" w:rsidRDefault="00E72901">
      <w:pPr>
        <w:pStyle w:val="ECHRPara"/>
      </w:pPr>
      <w:r w:rsidRPr="00F54795">
        <w:fldChar w:fldCharType="begin"/>
      </w:r>
      <w:r w:rsidRPr="00F54795">
        <w:instrText xml:space="preserve"> SEQ level0 \*arabic </w:instrText>
      </w:r>
      <w:r w:rsidRPr="00F54795">
        <w:fldChar w:fldCharType="separate"/>
      </w:r>
      <w:r w:rsidRPr="00F54795" w:rsidR="00F54795">
        <w:rPr>
          <w:noProof/>
        </w:rPr>
        <w:t>32</w:t>
      </w:r>
      <w:r w:rsidRPr="00F54795">
        <w:fldChar w:fldCharType="end"/>
      </w:r>
      <w:r w:rsidRPr="00F54795">
        <w:t xml:space="preserve">.  As to the exhaustion of remedies, the Government have not specified what specific course of action </w:t>
      </w:r>
      <w:r w:rsidRPr="00F54795" w:rsidR="0025403B">
        <w:t>the applicant</w:t>
      </w:r>
      <w:r w:rsidRPr="00F54795">
        <w:t xml:space="preserve"> ought to have </w:t>
      </w:r>
      <w:r w:rsidRPr="00F54795" w:rsidR="002127BE">
        <w:t xml:space="preserve">taken </w:t>
      </w:r>
      <w:r w:rsidRPr="00F54795" w:rsidR="00475387">
        <w:t>in 2017</w:t>
      </w:r>
      <w:r w:rsidRPr="00F54795" w:rsidR="00705DDB">
        <w:t xml:space="preserve"> following her conviction and the </w:t>
      </w:r>
      <w:r w:rsidRPr="00F54795" w:rsidR="00170F17">
        <w:t>CAO</w:t>
      </w:r>
      <w:r w:rsidRPr="00F54795" w:rsidR="002127BE">
        <w:t xml:space="preserve"> </w:t>
      </w:r>
      <w:r w:rsidRPr="00F54795" w:rsidR="00705DDB">
        <w:t>courts</w:t>
      </w:r>
      <w:r w:rsidRPr="00F54795" w:rsidR="00F54795">
        <w:t>’</w:t>
      </w:r>
      <w:r w:rsidRPr="00F54795" w:rsidR="00705DDB">
        <w:t xml:space="preserve"> findings relating to the legality of her administrative arrest (see paragraph </w:t>
      </w:r>
      <w:r w:rsidRPr="00F54795" w:rsidR="00705DDB">
        <w:fldChar w:fldCharType="begin"/>
      </w:r>
      <w:r w:rsidRPr="00F54795" w:rsidR="00705DDB">
        <w:instrText xml:space="preserve"> REF  appealdecision193 \h </w:instrText>
      </w:r>
      <w:r w:rsidRPr="00F54795" w:rsidR="001772FB">
        <w:instrText xml:space="preserve"> \* MERGEFORMAT </w:instrText>
      </w:r>
      <w:r w:rsidRPr="00F54795" w:rsidR="00705DDB">
        <w:fldChar w:fldCharType="separate"/>
      </w:r>
      <w:r w:rsidRPr="00F54795" w:rsidR="00F54795">
        <w:rPr>
          <w:noProof/>
        </w:rPr>
        <w:t>19</w:t>
      </w:r>
      <w:r w:rsidRPr="00F54795" w:rsidR="00705DDB">
        <w:fldChar w:fldCharType="end"/>
      </w:r>
      <w:r w:rsidRPr="00F54795" w:rsidR="00705DDB">
        <w:t xml:space="preserve"> above)</w:t>
      </w:r>
      <w:r w:rsidRPr="00F54795">
        <w:t xml:space="preserve"> and whether it </w:t>
      </w:r>
      <w:r w:rsidRPr="00F54795" w:rsidR="00705DDB">
        <w:t>offered</w:t>
      </w:r>
      <w:r w:rsidRPr="00F54795">
        <w:t xml:space="preserve"> any p</w:t>
      </w:r>
      <w:r w:rsidRPr="00F54795" w:rsidR="00705DDB">
        <w:t>r</w:t>
      </w:r>
      <w:r w:rsidRPr="00F54795">
        <w:t>ospect of success. Thus the Government</w:t>
      </w:r>
      <w:r w:rsidRPr="00F54795" w:rsidR="00F54795">
        <w:t>’</w:t>
      </w:r>
      <w:r w:rsidRPr="00F54795">
        <w:t>s argument is dismissed as unsubstantiated.</w:t>
      </w:r>
    </w:p>
    <w:p w:rsidRPr="00F54795" w:rsidR="00D420F3"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33</w:t>
      </w:r>
      <w:r w:rsidRPr="00F54795">
        <w:fldChar w:fldCharType="end"/>
      </w:r>
      <w:r w:rsidRPr="00F54795" w:rsidR="0077175D">
        <w:t>.  The Court notes that this complaint is not manifestly ill-founded within the meaning of Article 35 § 3 (a) of the Convention. It further notes that it is not inadmissible on any other grounds. It must therefore be declared admissible.</w:t>
      </w:r>
    </w:p>
    <w:p w:rsidRPr="00F54795" w:rsidR="00D420F3" w:rsidP="00F54795" w:rsidRDefault="00E70F38">
      <w:pPr>
        <w:pStyle w:val="ECHRHeading3"/>
      </w:pPr>
      <w:r w:rsidRPr="00F54795">
        <w:t>2</w:t>
      </w:r>
      <w:r w:rsidRPr="00F54795" w:rsidR="0077175D">
        <w:t>.  Merits</w:t>
      </w:r>
    </w:p>
    <w:p w:rsidRPr="00F54795" w:rsidR="00D635BB" w:rsidP="00F54795" w:rsidRDefault="0025792B">
      <w:pPr>
        <w:pStyle w:val="ECHRPara"/>
      </w:pPr>
      <w:r w:rsidRPr="00F54795">
        <w:rPr>
          <w:lang w:val="en"/>
        </w:rPr>
        <w:fldChar w:fldCharType="begin"/>
      </w:r>
      <w:r w:rsidRPr="00F54795">
        <w:rPr>
          <w:lang w:val="en"/>
        </w:rPr>
        <w:instrText xml:space="preserve"> SEQ level0 \*arabic </w:instrText>
      </w:r>
      <w:r w:rsidRPr="00F54795">
        <w:rPr>
          <w:lang w:val="en"/>
        </w:rPr>
        <w:fldChar w:fldCharType="separate"/>
      </w:r>
      <w:r w:rsidRPr="00F54795" w:rsidR="00F54795">
        <w:rPr>
          <w:noProof/>
          <w:lang w:val="en"/>
        </w:rPr>
        <w:t>34</w:t>
      </w:r>
      <w:r w:rsidRPr="00F54795">
        <w:rPr>
          <w:lang w:val="en"/>
        </w:rPr>
        <w:fldChar w:fldCharType="end"/>
      </w:r>
      <w:r w:rsidRPr="00F54795">
        <w:rPr>
          <w:lang w:val="en"/>
        </w:rPr>
        <w:t xml:space="preserve">.  The Court notes </w:t>
      </w:r>
      <w:r w:rsidRPr="00F54795" w:rsidR="00E264E7">
        <w:t xml:space="preserve">that </w:t>
      </w:r>
      <w:r w:rsidRPr="00F54795" w:rsidR="00780FFA">
        <w:t xml:space="preserve">recourse to the escort procedure is lawful </w:t>
      </w:r>
      <w:r w:rsidRPr="00F54795" w:rsidR="00E264E7">
        <w:t>under Russian law</w:t>
      </w:r>
      <w:r w:rsidRPr="00F54795" w:rsidR="00357B41">
        <w:t xml:space="preserve"> (namely, Article 27.2 § 1 of the CAO)</w:t>
      </w:r>
      <w:r w:rsidRPr="00F54795" w:rsidR="00E264E7">
        <w:t xml:space="preserve"> </w:t>
      </w:r>
      <w:r w:rsidRPr="00F54795" w:rsidR="00780FFA">
        <w:t xml:space="preserve">where it was not possible to </w:t>
      </w:r>
      <w:r w:rsidRPr="00F54795" w:rsidR="00E264E7">
        <w:t>compile</w:t>
      </w:r>
      <w:r w:rsidRPr="00F54795" w:rsidR="00780FFA">
        <w:t xml:space="preserve"> an offence record </w:t>
      </w:r>
      <w:r w:rsidRPr="00F54795" w:rsidR="00705DDB">
        <w:t>at the place where the offence had been discovered</w:t>
      </w:r>
      <w:r w:rsidRPr="00F54795" w:rsidR="00780FFA">
        <w:t xml:space="preserve">. None of the </w:t>
      </w:r>
      <w:r w:rsidRPr="00F54795" w:rsidR="00C13085">
        <w:t xml:space="preserve">documents drawn up at </w:t>
      </w:r>
      <w:r w:rsidRPr="00F54795" w:rsidR="00780FFA">
        <w:t xml:space="preserve">domestic </w:t>
      </w:r>
      <w:r w:rsidRPr="00F54795" w:rsidR="00C13085">
        <w:t xml:space="preserve">level </w:t>
      </w:r>
      <w:r w:rsidRPr="00F54795" w:rsidR="00E264E7">
        <w:t>(for instance,</w:t>
      </w:r>
      <w:r w:rsidRPr="00F54795" w:rsidR="00357B41">
        <w:t xml:space="preserve"> the escort record,</w:t>
      </w:r>
      <w:r w:rsidRPr="00F54795" w:rsidR="00780FFA">
        <w:t xml:space="preserve"> the reports by the </w:t>
      </w:r>
      <w:r w:rsidRPr="00F54795" w:rsidR="00E264E7">
        <w:t>police officers</w:t>
      </w:r>
      <w:r w:rsidRPr="00F54795" w:rsidR="00780FFA">
        <w:t>, the offence record or any judicial decision</w:t>
      </w:r>
      <w:r w:rsidRPr="00F54795" w:rsidR="00E264E7">
        <w:t>)</w:t>
      </w:r>
      <w:r w:rsidRPr="00F54795" w:rsidR="00780FFA">
        <w:t xml:space="preserve"> clarif</w:t>
      </w:r>
      <w:r w:rsidRPr="00F54795" w:rsidR="00705DDB">
        <w:t>y</w:t>
      </w:r>
      <w:r w:rsidRPr="00F54795" w:rsidR="00780FFA">
        <w:t xml:space="preserve"> the factual and legal </w:t>
      </w:r>
      <w:r w:rsidRPr="00F54795" w:rsidR="00705DDB">
        <w:t>elements</w:t>
      </w:r>
      <w:r w:rsidRPr="00F54795" w:rsidR="000F29F2">
        <w:t xml:space="preserve"> which could explain why an offence record could not be drawn up on the spot</w:t>
      </w:r>
      <w:r w:rsidRPr="00F54795" w:rsidR="00780FFA">
        <w:t xml:space="preserve">. </w:t>
      </w:r>
      <w:r w:rsidRPr="00F54795" w:rsidR="00B44B0A">
        <w:t>T</w:t>
      </w:r>
      <w:r w:rsidRPr="00F54795" w:rsidR="00AE3616">
        <w:t>he</w:t>
      </w:r>
      <w:r w:rsidRPr="00F54795" w:rsidR="00780FFA">
        <w:t xml:space="preserve"> Government</w:t>
      </w:r>
      <w:r w:rsidRPr="00F54795" w:rsidR="00F54795">
        <w:t>’</w:t>
      </w:r>
      <w:r w:rsidRPr="00F54795" w:rsidR="00780FFA">
        <w:t xml:space="preserve">s submissions </w:t>
      </w:r>
      <w:r w:rsidRPr="00F54795" w:rsidR="00AE3616">
        <w:t>before th</w:t>
      </w:r>
      <w:r w:rsidRPr="00F54795" w:rsidR="0075617E">
        <w:t>e</w:t>
      </w:r>
      <w:r w:rsidRPr="00F54795" w:rsidR="00AE3616">
        <w:t xml:space="preserve"> Court </w:t>
      </w:r>
      <w:r w:rsidRPr="00F54795" w:rsidR="00780FFA">
        <w:t>s</w:t>
      </w:r>
      <w:r w:rsidRPr="00F54795" w:rsidR="00705DDB">
        <w:t xml:space="preserve">hed </w:t>
      </w:r>
      <w:r w:rsidRPr="00F54795" w:rsidR="00C13085">
        <w:t xml:space="preserve">no </w:t>
      </w:r>
      <w:r w:rsidRPr="00F54795" w:rsidR="00705DDB">
        <w:t>light on those elements</w:t>
      </w:r>
      <w:r w:rsidRPr="00F54795" w:rsidR="00780FFA">
        <w:t xml:space="preserve">, beyond a reference to the </w:t>
      </w:r>
      <w:r w:rsidRPr="00F54795" w:rsidR="00E264E7">
        <w:t>rally venue</w:t>
      </w:r>
      <w:r w:rsidRPr="00F54795" w:rsidR="00780FFA">
        <w:t xml:space="preserve"> being “full of other participants” or </w:t>
      </w:r>
      <w:r w:rsidRPr="00F54795" w:rsidR="00C13085">
        <w:t xml:space="preserve">to </w:t>
      </w:r>
      <w:r w:rsidRPr="00F54795" w:rsidR="00780FFA">
        <w:t>the applicant</w:t>
      </w:r>
      <w:r w:rsidRPr="00F54795" w:rsidR="00F54795">
        <w:t>’</w:t>
      </w:r>
      <w:r w:rsidRPr="00F54795" w:rsidR="00780FFA">
        <w:t>s active conduct during the rally.</w:t>
      </w:r>
      <w:r w:rsidRPr="00F54795" w:rsidR="009C402E">
        <w:t xml:space="preserve"> </w:t>
      </w:r>
      <w:r w:rsidRPr="00F54795" w:rsidR="00780FFA">
        <w:t>There is nothing to</w:t>
      </w:r>
      <w:r w:rsidRPr="00F54795" w:rsidR="00D82CA1">
        <w:t xml:space="preserve"> doubt that the applicant</w:t>
      </w:r>
      <w:r w:rsidRPr="00F54795" w:rsidR="00F54795">
        <w:t>’</w:t>
      </w:r>
      <w:r w:rsidRPr="00F54795" w:rsidR="00D82CA1">
        <w:t>s conduct was peaceful or to</w:t>
      </w:r>
      <w:r w:rsidRPr="00F54795" w:rsidR="00780FFA">
        <w:t xml:space="preserve"> contest </w:t>
      </w:r>
      <w:r w:rsidRPr="00F54795" w:rsidR="00D82CA1">
        <w:t>her</w:t>
      </w:r>
      <w:r w:rsidRPr="00F54795" w:rsidR="00780FFA">
        <w:t xml:space="preserve"> submission that the rally was peaceful</w:t>
      </w:r>
      <w:r w:rsidRPr="00F54795" w:rsidR="0075617E">
        <w:t xml:space="preserve"> (compare with </w:t>
      </w:r>
      <w:r w:rsidRPr="00F54795" w:rsidR="008B1336">
        <w:rPr>
          <w:i/>
        </w:rPr>
        <w:t>Kasparov and Others v. Russia (no. 2)</w:t>
      </w:r>
      <w:r w:rsidRPr="00F54795" w:rsidR="008B1336">
        <w:rPr>
          <w:snapToGrid w:val="0"/>
        </w:rPr>
        <w:t xml:space="preserve">, </w:t>
      </w:r>
      <w:r w:rsidRPr="00F54795" w:rsidR="008B1336">
        <w:t>no. 51988/07, § 39, 13 December 2016</w:t>
      </w:r>
      <w:r w:rsidRPr="00F54795" w:rsidR="00BA373C">
        <w:t xml:space="preserve">, and </w:t>
      </w:r>
      <w:r w:rsidRPr="00F54795" w:rsidR="0047364E">
        <w:rPr>
          <w:i/>
        </w:rPr>
        <w:t>Frumkin v.</w:t>
      </w:r>
      <w:r w:rsidRPr="00F54795" w:rsidR="004E7554">
        <w:rPr>
          <w:rFonts w:ascii="Sylfaen" w:hAnsi="Sylfaen"/>
          <w:i/>
          <w:lang w:val="hy-AM"/>
        </w:rPr>
        <w:t> </w:t>
      </w:r>
      <w:r w:rsidRPr="00F54795" w:rsidR="0047364E">
        <w:rPr>
          <w:i/>
        </w:rPr>
        <w:t>Russia</w:t>
      </w:r>
      <w:r w:rsidRPr="00F54795" w:rsidR="0047364E">
        <w:t>, no. 74568/12</w:t>
      </w:r>
      <w:r w:rsidRPr="00F54795" w:rsidR="0047364E">
        <w:rPr>
          <w:snapToGrid w:val="0"/>
        </w:rPr>
        <w:t xml:space="preserve">, § 148, </w:t>
      </w:r>
      <w:r w:rsidRPr="00F54795" w:rsidR="0047364E">
        <w:t>5 January 2016</w:t>
      </w:r>
      <w:r w:rsidRPr="00F54795" w:rsidR="008B1336">
        <w:t>).</w:t>
      </w:r>
      <w:r w:rsidRPr="00F54795" w:rsidR="00357B41">
        <w:t xml:space="preserve"> </w:t>
      </w:r>
      <w:r w:rsidRPr="00F54795" w:rsidR="009354E2">
        <w:t>Furthermore, d</w:t>
      </w:r>
      <w:r w:rsidRPr="00F54795" w:rsidR="00357B41">
        <w:t>espite the Government</w:t>
      </w:r>
      <w:r w:rsidRPr="00F54795" w:rsidR="00F54795">
        <w:t>’</w:t>
      </w:r>
      <w:r w:rsidRPr="00F54795" w:rsidR="00357B41">
        <w:t>s argument before the Court, it is noted that the escort record did not refer to any (arguably, statutory) aim</w:t>
      </w:r>
      <w:r w:rsidRPr="00F54795" w:rsidR="008410F0">
        <w:t xml:space="preserve"> which might</w:t>
      </w:r>
      <w:r w:rsidRPr="00F54795" w:rsidR="009354E2">
        <w:t xml:space="preserve"> have</w:t>
      </w:r>
      <w:r w:rsidRPr="00F54795" w:rsidR="00357B41">
        <w:t xml:space="preserve"> </w:t>
      </w:r>
      <w:r w:rsidRPr="00F54795" w:rsidR="008410F0">
        <w:t>justif</w:t>
      </w:r>
      <w:r w:rsidRPr="00F54795" w:rsidR="009354E2">
        <w:t>ied under Russian law</w:t>
      </w:r>
      <w:r w:rsidRPr="00F54795" w:rsidR="008410F0">
        <w:t xml:space="preserve"> recourse to </w:t>
      </w:r>
      <w:r w:rsidRPr="00F54795" w:rsidR="00357B41">
        <w:t>the escort procedure for putting an end to any ongoing offence</w:t>
      </w:r>
      <w:r w:rsidRPr="00F54795" w:rsidR="008410F0">
        <w:t>, instead of the primary statutory aim of this procedure, that is for compiling an offence record</w:t>
      </w:r>
      <w:r w:rsidRPr="00F54795" w:rsidR="00357B41">
        <w:t xml:space="preserve"> (see paragraphs </w:t>
      </w:r>
      <w:r w:rsidRPr="00F54795" w:rsidR="00357B41">
        <w:fldChar w:fldCharType="begin"/>
      </w:r>
      <w:r w:rsidRPr="00F54795" w:rsidR="00357B41">
        <w:instrText xml:space="preserve"> REF  escortrecord \h </w:instrText>
      </w:r>
      <w:r w:rsidRPr="00F54795" w:rsidR="001772FB">
        <w:instrText xml:space="preserve"> \* MERGEFORMAT </w:instrText>
      </w:r>
      <w:r w:rsidRPr="00F54795" w:rsidR="00357B41">
        <w:fldChar w:fldCharType="separate"/>
      </w:r>
      <w:r w:rsidRPr="00F54795" w:rsidR="00F54795">
        <w:rPr>
          <w:noProof/>
        </w:rPr>
        <w:t>8</w:t>
      </w:r>
      <w:r w:rsidRPr="00F54795" w:rsidR="00357B41">
        <w:fldChar w:fldCharType="end"/>
      </w:r>
      <w:r w:rsidRPr="00F54795" w:rsidR="00357B41">
        <w:t xml:space="preserve"> and </w:t>
      </w:r>
      <w:r w:rsidRPr="00F54795" w:rsidR="00357B41">
        <w:fldChar w:fldCharType="begin"/>
      </w:r>
      <w:r w:rsidRPr="00F54795" w:rsidR="00357B41">
        <w:instrText xml:space="preserve"> REF  GobservationsA5 \h </w:instrText>
      </w:r>
      <w:r w:rsidRPr="00F54795" w:rsidR="001772FB">
        <w:instrText xml:space="preserve"> \* MERGEFORMAT </w:instrText>
      </w:r>
      <w:r w:rsidRPr="00F54795" w:rsidR="00357B41">
        <w:fldChar w:fldCharType="separate"/>
      </w:r>
      <w:r w:rsidRPr="00F54795" w:rsidR="00F54795">
        <w:rPr>
          <w:noProof/>
          <w:lang w:val="en-US"/>
        </w:rPr>
        <w:t>30</w:t>
      </w:r>
      <w:r w:rsidRPr="00F54795" w:rsidR="00357B41">
        <w:fldChar w:fldCharType="end"/>
      </w:r>
      <w:r w:rsidRPr="00F54795" w:rsidR="00357B41">
        <w:t xml:space="preserve"> above).</w:t>
      </w:r>
    </w:p>
    <w:p w:rsidRPr="00F54795" w:rsidR="00475387" w:rsidP="00F54795" w:rsidRDefault="00675949">
      <w:pPr>
        <w:pStyle w:val="ECHRPara"/>
        <w:rPr>
          <w:i/>
        </w:rPr>
      </w:pPr>
      <w:r w:rsidRPr="00F54795">
        <w:fldChar w:fldCharType="begin"/>
      </w:r>
      <w:r w:rsidRPr="00F54795">
        <w:instrText xml:space="preserve"> SEQ level0 \*arabic </w:instrText>
      </w:r>
      <w:r w:rsidRPr="00F54795">
        <w:fldChar w:fldCharType="separate"/>
      </w:r>
      <w:r w:rsidRPr="00F54795" w:rsidR="00F54795">
        <w:rPr>
          <w:noProof/>
        </w:rPr>
        <w:t>35</w:t>
      </w:r>
      <w:r w:rsidRPr="00F54795">
        <w:fldChar w:fldCharType="end"/>
      </w:r>
      <w:r w:rsidRPr="00F54795">
        <w:t>.  </w:t>
      </w:r>
      <w:r w:rsidRPr="00F54795" w:rsidR="00D03F96">
        <w:t xml:space="preserve">As to recourse to the arrest </w:t>
      </w:r>
      <w:r w:rsidRPr="00F54795" w:rsidR="00AD55C7">
        <w:t>procedure</w:t>
      </w:r>
      <w:r w:rsidRPr="00F54795" w:rsidR="00D03F96">
        <w:t xml:space="preserve"> </w:t>
      </w:r>
      <w:r w:rsidRPr="00F54795" w:rsidR="00705DDB">
        <w:t>after</w:t>
      </w:r>
      <w:r w:rsidRPr="00F54795" w:rsidR="00D03F96">
        <w:t xml:space="preserve"> the applicant</w:t>
      </w:r>
      <w:r w:rsidRPr="00F54795" w:rsidR="00F54795">
        <w:t>’</w:t>
      </w:r>
      <w:r w:rsidRPr="00F54795" w:rsidR="00D03F96">
        <w:t xml:space="preserve">s arrival </w:t>
      </w:r>
      <w:r w:rsidRPr="00F54795" w:rsidR="00E076D0">
        <w:t xml:space="preserve">at </w:t>
      </w:r>
      <w:r w:rsidRPr="00F54795" w:rsidR="00D03F96">
        <w:t xml:space="preserve">the police station, the Court notes that the aim of compiling </w:t>
      </w:r>
      <w:r w:rsidRPr="00F54795" w:rsidR="00A21FDE">
        <w:t xml:space="preserve">an </w:t>
      </w:r>
      <w:r w:rsidRPr="00F54795" w:rsidR="00D03F96">
        <w:t xml:space="preserve">offence record no longer justified, in terms of Russian law, the continued deprivation of liberty once </w:t>
      </w:r>
      <w:r w:rsidRPr="00F54795" w:rsidR="00A21FDE">
        <w:t xml:space="preserve">that </w:t>
      </w:r>
      <w:r w:rsidRPr="00F54795" w:rsidR="00D03F96">
        <w:t xml:space="preserve">aim </w:t>
      </w:r>
      <w:r w:rsidRPr="00F54795" w:rsidR="00A21FDE">
        <w:t xml:space="preserve">had been </w:t>
      </w:r>
      <w:r w:rsidRPr="00F54795" w:rsidR="00D03F96">
        <w:t xml:space="preserve">achieved. As to the aim of the “timely and correct examination of the case” referred to in the arrest record (see paragraph </w:t>
      </w:r>
      <w:r w:rsidRPr="00F54795" w:rsidR="00AB3022">
        <w:fldChar w:fldCharType="begin"/>
      </w:r>
      <w:r w:rsidRPr="00F54795" w:rsidR="00AB3022">
        <w:instrText xml:space="preserve"> REF  arrestrecord \h </w:instrText>
      </w:r>
      <w:r w:rsidRPr="00F54795" w:rsidR="001772FB">
        <w:instrText xml:space="preserve"> \* MERGEFORMAT </w:instrText>
      </w:r>
      <w:r w:rsidRPr="00F54795" w:rsidR="00AB3022">
        <w:fldChar w:fldCharType="separate"/>
      </w:r>
      <w:r w:rsidRPr="00F54795" w:rsidR="00F54795">
        <w:rPr>
          <w:noProof/>
        </w:rPr>
        <w:t>10</w:t>
      </w:r>
      <w:r w:rsidRPr="00F54795" w:rsidR="00AB3022">
        <w:fldChar w:fldCharType="end"/>
      </w:r>
      <w:r w:rsidRPr="00F54795" w:rsidR="00D03F96">
        <w:t xml:space="preserve"> above), </w:t>
      </w:r>
      <w:r w:rsidRPr="00F54795" w:rsidR="00705DDB">
        <w:t xml:space="preserve">it remains </w:t>
      </w:r>
      <w:r w:rsidRPr="00F54795" w:rsidR="00F02D8F">
        <w:t xml:space="preserve">the case </w:t>
      </w:r>
      <w:r w:rsidRPr="00F54795" w:rsidR="00705DDB">
        <w:t>that the CAO required</w:t>
      </w:r>
      <w:r w:rsidRPr="00F54795" w:rsidR="00AB3022">
        <w:t xml:space="preserve"> the measure </w:t>
      </w:r>
      <w:r w:rsidRPr="00F54795" w:rsidR="00705DDB">
        <w:t>to be</w:t>
      </w:r>
      <w:r w:rsidRPr="00F54795" w:rsidR="00AB3022">
        <w:t xml:space="preserve"> justified with reference to “exceptional” circumstances. No such circumstances, beyond mere convenience, were adduced at the domestic level or, at </w:t>
      </w:r>
      <w:r w:rsidRPr="00F54795" w:rsidR="00F02D8F">
        <w:t>the latest</w:t>
      </w:r>
      <w:r w:rsidRPr="00F54795" w:rsidR="00AB3022">
        <w:t>, before the Court.</w:t>
      </w:r>
      <w:r w:rsidRPr="00F54795" w:rsidR="00705DDB">
        <w:t xml:space="preserve"> </w:t>
      </w:r>
      <w:r w:rsidRPr="00F54795" w:rsidR="00F02D8F">
        <w:t>N</w:t>
      </w:r>
      <w:r w:rsidRPr="00F54795" w:rsidR="005D31C6">
        <w:t>othing</w:t>
      </w:r>
      <w:r w:rsidRPr="00F54795" w:rsidR="00475387">
        <w:t xml:space="preserve"> </w:t>
      </w:r>
      <w:r w:rsidRPr="00F54795" w:rsidR="00C13085">
        <w:t xml:space="preserve">in the file </w:t>
      </w:r>
      <w:r w:rsidRPr="00F54795" w:rsidR="00475387">
        <w:t xml:space="preserve">suggests that there was a risk of the applicant reoffending, tampering with evidence, influencing witnesses or fleeing justice, which would plead in favour of </w:t>
      </w:r>
      <w:r w:rsidRPr="00F54795" w:rsidR="00A21FDE">
        <w:t xml:space="preserve">her </w:t>
      </w:r>
      <w:r w:rsidRPr="00F54795" w:rsidR="00475387">
        <w:t>continued detention. Even if those considerations could be considered to constitute an “exceptional case” referred to in Article 27.3 § 1 of the CAO as part of the rationale for avoiding excessive and abusive recourse to the administrative</w:t>
      </w:r>
      <w:r w:rsidRPr="00F54795" w:rsidR="00475387">
        <w:noBreakHyphen/>
        <w:t xml:space="preserve">arrest procedure, there is nothing in the file </w:t>
      </w:r>
      <w:r w:rsidRPr="00F54795" w:rsidR="00A21FDE">
        <w:t xml:space="preserve">that </w:t>
      </w:r>
      <w:r w:rsidRPr="00F54795" w:rsidR="00F02D8F">
        <w:t>c</w:t>
      </w:r>
      <w:r w:rsidRPr="00F54795" w:rsidR="00A21FDE">
        <w:t xml:space="preserve">ould lead the Court </w:t>
      </w:r>
      <w:r w:rsidRPr="00F54795" w:rsidR="00475387">
        <w:t xml:space="preserve">to conclude that such considerations </w:t>
      </w:r>
      <w:r w:rsidRPr="00F54795" w:rsidR="00C13085">
        <w:t xml:space="preserve">had been </w:t>
      </w:r>
      <w:r w:rsidRPr="00F54795" w:rsidR="00475387">
        <w:t>weighed and justified the applicant</w:t>
      </w:r>
      <w:r w:rsidRPr="00F54795" w:rsidR="00F54795">
        <w:t>’</w:t>
      </w:r>
      <w:r w:rsidRPr="00F54795" w:rsidR="00475387">
        <w:t xml:space="preserve">s deprivation of liberty </w:t>
      </w:r>
      <w:r w:rsidRPr="00F54795">
        <w:t>after 10 p.m. on 12 June 2017 until her release</w:t>
      </w:r>
      <w:r w:rsidRPr="00F54795" w:rsidR="00357295">
        <w:t xml:space="preserve"> </w:t>
      </w:r>
      <w:r w:rsidRPr="00F54795" w:rsidR="00A21FDE">
        <w:t xml:space="preserve">at </w:t>
      </w:r>
      <w:r w:rsidRPr="00F54795" w:rsidR="00357295">
        <w:t>around</w:t>
      </w:r>
      <w:r w:rsidRPr="00F54795">
        <w:t xml:space="preserve"> 8 p.m. on 13 June 2017 </w:t>
      </w:r>
      <w:r w:rsidRPr="00F54795" w:rsidR="00475387">
        <w:t>(see</w:t>
      </w:r>
      <w:r w:rsidRPr="00F54795" w:rsidR="00705DDB">
        <w:t xml:space="preserve"> </w:t>
      </w:r>
      <w:r w:rsidRPr="00F54795" w:rsidR="00705DDB">
        <w:rPr>
          <w:i/>
        </w:rPr>
        <w:t>Navalnyy v. Russia</w:t>
      </w:r>
      <w:r w:rsidRPr="00F54795" w:rsidR="00705DDB">
        <w:t xml:space="preserve"> [GC], nos. 29580/12 and 4 others, §§</w:t>
      </w:r>
      <w:r w:rsidRPr="00F54795" w:rsidR="00357295">
        <w:t> </w:t>
      </w:r>
      <w:r w:rsidRPr="00F54795" w:rsidR="00705DDB">
        <w:t>71-72, 15 November 2018</w:t>
      </w:r>
      <w:r w:rsidRPr="00F54795">
        <w:t>, and</w:t>
      </w:r>
      <w:r w:rsidRPr="00F54795" w:rsidR="00475387">
        <w:t xml:space="preserve"> </w:t>
      </w:r>
      <w:r w:rsidRPr="00F54795" w:rsidR="00475387">
        <w:rPr>
          <w:i/>
          <w:iCs/>
        </w:rPr>
        <w:t>Butkevich v. Russia</w:t>
      </w:r>
      <w:r w:rsidRPr="00F54795" w:rsidR="00475387">
        <w:rPr>
          <w:lang w:eastAsia="en-GB"/>
        </w:rPr>
        <w:t xml:space="preserve">, no. </w:t>
      </w:r>
      <w:r w:rsidRPr="00F54795" w:rsidR="00475387">
        <w:t>5865/07</w:t>
      </w:r>
      <w:r w:rsidRPr="00F54795" w:rsidR="00475387">
        <w:rPr>
          <w:lang w:eastAsia="en-GB"/>
        </w:rPr>
        <w:t xml:space="preserve">, </w:t>
      </w:r>
      <w:r w:rsidRPr="00F54795" w:rsidR="00475387">
        <w:t>§ 123, 13</w:t>
      </w:r>
      <w:r w:rsidRPr="00F54795">
        <w:t> </w:t>
      </w:r>
      <w:r w:rsidRPr="00F54795" w:rsidR="00475387">
        <w:t>February 2018</w:t>
      </w:r>
      <w:r w:rsidRPr="00F54795" w:rsidR="003540EA">
        <w:t xml:space="preserve">; see also </w:t>
      </w:r>
      <w:r w:rsidRPr="00F54795" w:rsidR="00F26CDF">
        <w:rPr>
          <w:i/>
          <w:iCs/>
        </w:rPr>
        <w:t>S., V. </w:t>
      </w:r>
      <w:r w:rsidRPr="00F54795" w:rsidR="003540EA">
        <w:rPr>
          <w:i/>
          <w:iCs/>
        </w:rPr>
        <w:t>and A. v. Denmark</w:t>
      </w:r>
      <w:r w:rsidRPr="00F54795" w:rsidR="003540EA">
        <w:t xml:space="preserve"> [GC], </w:t>
      </w:r>
      <w:r w:rsidRPr="00F54795" w:rsidR="003540EA">
        <w:rPr>
          <w:lang w:eastAsia="en-GB"/>
        </w:rPr>
        <w:t xml:space="preserve">nos. </w:t>
      </w:r>
      <w:r w:rsidRPr="00F54795" w:rsidR="003540EA">
        <w:t>35553/12 and 2 others, § 77, 22 October 2018</w:t>
      </w:r>
      <w:r w:rsidRPr="00F54795" w:rsidR="00475387">
        <w:t>).</w:t>
      </w:r>
    </w:p>
    <w:p w:rsidRPr="00F54795" w:rsidR="00D420F3" w:rsidP="00F54795" w:rsidRDefault="00AB3022">
      <w:pPr>
        <w:pStyle w:val="ECHRPara"/>
      </w:pPr>
      <w:r w:rsidRPr="00F54795">
        <w:fldChar w:fldCharType="begin"/>
      </w:r>
      <w:r w:rsidRPr="00F54795">
        <w:instrText xml:space="preserve"> SEQ level0 \*arabic </w:instrText>
      </w:r>
      <w:r w:rsidRPr="00F54795">
        <w:fldChar w:fldCharType="separate"/>
      </w:r>
      <w:r w:rsidRPr="00F54795" w:rsidR="00F54795">
        <w:rPr>
          <w:noProof/>
        </w:rPr>
        <w:t>36</w:t>
      </w:r>
      <w:r w:rsidRPr="00F54795">
        <w:fldChar w:fldCharType="end"/>
      </w:r>
      <w:r w:rsidRPr="00F54795">
        <w:t>.  </w:t>
      </w:r>
      <w:r w:rsidRPr="00F54795" w:rsidR="0077175D">
        <w:t xml:space="preserve">There has accordingly been a violation of Article </w:t>
      </w:r>
      <w:r w:rsidRPr="00F54795">
        <w:t xml:space="preserve">5 § 1 </w:t>
      </w:r>
      <w:r w:rsidRPr="00F54795" w:rsidR="0077175D">
        <w:t>of the Convention</w:t>
      </w:r>
      <w:r w:rsidRPr="00F54795" w:rsidR="00B44B0A">
        <w:t>, at least,</w:t>
      </w:r>
      <w:r w:rsidRPr="00F54795" w:rsidR="00CD3637">
        <w:t xml:space="preserve"> after </w:t>
      </w:r>
      <w:r w:rsidRPr="00F54795" w:rsidR="00B44B0A">
        <w:t>2.50</w:t>
      </w:r>
      <w:r w:rsidRPr="00F54795" w:rsidR="00CD3637">
        <w:t xml:space="preserve"> p.m. on 12 June 2017 until the applicant</w:t>
      </w:r>
      <w:r w:rsidRPr="00F54795" w:rsidR="00F54795">
        <w:t>’</w:t>
      </w:r>
      <w:r w:rsidRPr="00F54795" w:rsidR="00CD3637">
        <w:t>s release around 8 p.m. on 13 June 2017</w:t>
      </w:r>
      <w:r w:rsidRPr="00F54795" w:rsidR="0077175D">
        <w:t>.</w:t>
      </w:r>
    </w:p>
    <w:p w:rsidRPr="00F54795" w:rsidR="004F7537" w:rsidP="00F54795" w:rsidRDefault="004F7537">
      <w:pPr>
        <w:pStyle w:val="ECHRHeading1"/>
      </w:pPr>
      <w:r w:rsidRPr="00F54795">
        <w:t>II.  ALLEGED VIOLATION</w:t>
      </w:r>
      <w:r w:rsidRPr="00F54795" w:rsidR="00675949">
        <w:t>S</w:t>
      </w:r>
      <w:r w:rsidRPr="00F54795">
        <w:t xml:space="preserve"> OF ARTICLE 6 OF THE CONVENTION</w:t>
      </w:r>
    </w:p>
    <w:p w:rsidRPr="00F54795" w:rsidR="004F7537" w:rsidP="00F54795" w:rsidRDefault="004F7537">
      <w:pPr>
        <w:pStyle w:val="ECHRPara"/>
      </w:pPr>
      <w:r w:rsidRPr="00F54795">
        <w:fldChar w:fldCharType="begin"/>
      </w:r>
      <w:r w:rsidRPr="00F54795">
        <w:instrText xml:space="preserve"> SEQ level0 \*arabic </w:instrText>
      </w:r>
      <w:r w:rsidRPr="00F54795">
        <w:fldChar w:fldCharType="separate"/>
      </w:r>
      <w:r w:rsidRPr="00F54795" w:rsidR="00F54795">
        <w:rPr>
          <w:noProof/>
        </w:rPr>
        <w:t>37</w:t>
      </w:r>
      <w:r w:rsidRPr="00F54795">
        <w:fldChar w:fldCharType="end"/>
      </w:r>
      <w:r w:rsidRPr="00F54795">
        <w:t>.  </w:t>
      </w:r>
      <w:r w:rsidRPr="00F54795" w:rsidR="00280D9B">
        <w:t xml:space="preserve">The applicant </w:t>
      </w:r>
      <w:r w:rsidRPr="00F54795">
        <w:t>complained of violation</w:t>
      </w:r>
      <w:r w:rsidRPr="00F54795" w:rsidR="00675949">
        <w:t>s</w:t>
      </w:r>
      <w:r w:rsidRPr="00F54795">
        <w:t xml:space="preserve"> of Article 6 of the Convention </w:t>
      </w:r>
      <w:r w:rsidRPr="00F54795" w:rsidR="00675949">
        <w:t xml:space="preserve">in both cases against her, </w:t>
      </w:r>
      <w:r w:rsidRPr="00F54795">
        <w:t>on account of the lack of a prosecuting party at the trial hearings</w:t>
      </w:r>
      <w:r w:rsidRPr="00F54795" w:rsidR="00675949">
        <w:t xml:space="preserve"> and</w:t>
      </w:r>
      <w:r w:rsidRPr="00F54795">
        <w:t xml:space="preserve"> </w:t>
      </w:r>
      <w:r w:rsidRPr="00F54795" w:rsidR="00675949">
        <w:t>the restrictions on the defence</w:t>
      </w:r>
      <w:r w:rsidRPr="00F54795" w:rsidR="00F54795">
        <w:t>’</w:t>
      </w:r>
      <w:r w:rsidRPr="00F54795" w:rsidR="00675949">
        <w:t>s ability to contest the adverse written evidence, in particular by way of examining three</w:t>
      </w:r>
      <w:r w:rsidRPr="00F54795">
        <w:t xml:space="preserve"> police officer</w:t>
      </w:r>
      <w:r w:rsidRPr="00F54795" w:rsidR="00675949">
        <w:t>s</w:t>
      </w:r>
      <w:r w:rsidRPr="00F54795">
        <w:t>.</w:t>
      </w:r>
    </w:p>
    <w:p w:rsidRPr="00F54795" w:rsidR="004F7537" w:rsidP="00F54795" w:rsidRDefault="00331105">
      <w:pPr>
        <w:pStyle w:val="ECHRPara"/>
      </w:pPr>
      <w:r w:rsidRPr="00F54795">
        <w:fldChar w:fldCharType="begin"/>
      </w:r>
      <w:r w:rsidRPr="00F54795">
        <w:instrText xml:space="preserve"> SEQ level0 \*arabic </w:instrText>
      </w:r>
      <w:r w:rsidRPr="00F54795">
        <w:fldChar w:fldCharType="separate"/>
      </w:r>
      <w:r w:rsidRPr="00F54795" w:rsidR="00F54795">
        <w:rPr>
          <w:noProof/>
        </w:rPr>
        <w:t>38</w:t>
      </w:r>
      <w:r w:rsidRPr="00F54795">
        <w:rPr>
          <w:noProof/>
        </w:rPr>
        <w:fldChar w:fldCharType="end"/>
      </w:r>
      <w:r w:rsidRPr="00F54795" w:rsidR="004F7537">
        <w:t>.  </w:t>
      </w:r>
      <w:r w:rsidRPr="00F54795" w:rsidR="00A21FDE">
        <w:t xml:space="preserve">The relevant parts of </w:t>
      </w:r>
      <w:r w:rsidRPr="00F54795" w:rsidR="004F7537">
        <w:t>Article 6 of the Convention read as follows:</w:t>
      </w:r>
    </w:p>
    <w:p w:rsidRPr="00F54795" w:rsidR="004F7537" w:rsidP="00F54795" w:rsidRDefault="006A4C79">
      <w:pPr>
        <w:pStyle w:val="ECHRParaQuote"/>
      </w:pPr>
      <w:r w:rsidRPr="00F54795">
        <w:t>“1.  In the determination of ...</w:t>
      </w:r>
      <w:r w:rsidRPr="00F54795" w:rsidR="004F7537">
        <w:t xml:space="preserve"> any criminal charge against him, everyone is entitle</w:t>
      </w:r>
      <w:r w:rsidRPr="00F54795">
        <w:t>d to a fair and public hearing ...</w:t>
      </w:r>
    </w:p>
    <w:p w:rsidRPr="00F54795" w:rsidR="004F7537" w:rsidP="00F54795" w:rsidRDefault="004F7537">
      <w:pPr>
        <w:pStyle w:val="ECHRParaQuote"/>
      </w:pPr>
      <w:r w:rsidRPr="00F54795">
        <w:t>3.  Everyone charged with a criminal offence has the following minimum rights:</w:t>
      </w:r>
    </w:p>
    <w:p w:rsidRPr="00F54795" w:rsidR="004F7537" w:rsidP="00F54795" w:rsidRDefault="006A4C79">
      <w:pPr>
        <w:pStyle w:val="ECHRParaQuote"/>
      </w:pPr>
      <w:r w:rsidRPr="00F54795">
        <w:t>...</w:t>
      </w:r>
    </w:p>
    <w:p w:rsidRPr="00F54795" w:rsidR="004F7537" w:rsidP="00F54795" w:rsidRDefault="004F7537">
      <w:pPr>
        <w:pStyle w:val="ECHRParaQuote"/>
      </w:pPr>
      <w:r w:rsidRPr="00F54795">
        <w:t>(d)  to examine or have examined witnesses against him and to obtain the attendance and examination of witnesses on his behalf under the same condit</w:t>
      </w:r>
      <w:r w:rsidRPr="00F54795" w:rsidR="006A4C79">
        <w:t>ions as witnesses against him; ...</w:t>
      </w:r>
      <w:r w:rsidRPr="00F54795">
        <w:t>”</w:t>
      </w:r>
    </w:p>
    <w:p w:rsidRPr="00F54795" w:rsidR="00D635BB" w:rsidP="00F54795" w:rsidRDefault="00331105">
      <w:pPr>
        <w:pStyle w:val="ECHRPara"/>
      </w:pPr>
      <w:r w:rsidRPr="00F54795">
        <w:fldChar w:fldCharType="begin"/>
      </w:r>
      <w:r w:rsidRPr="00F54795">
        <w:instrText xml:space="preserve"> SEQ level0 \*arabic </w:instrText>
      </w:r>
      <w:r w:rsidRPr="00F54795">
        <w:fldChar w:fldCharType="separate"/>
      </w:r>
      <w:r w:rsidRPr="00F54795" w:rsidR="00F54795">
        <w:rPr>
          <w:noProof/>
        </w:rPr>
        <w:t>39</w:t>
      </w:r>
      <w:r w:rsidRPr="00F54795">
        <w:rPr>
          <w:noProof/>
        </w:rPr>
        <w:fldChar w:fldCharType="end"/>
      </w:r>
      <w:r w:rsidRPr="00F54795" w:rsidR="00A077E2">
        <w:t>.  </w:t>
      </w:r>
      <w:r w:rsidRPr="00F54795" w:rsidR="00F44F8E">
        <w:t xml:space="preserve">The Government </w:t>
      </w:r>
      <w:r w:rsidRPr="00F54795" w:rsidR="00F472A9">
        <w:t>submitted that t</w:t>
      </w:r>
      <w:r w:rsidRPr="00F54795" w:rsidR="00F44F8E">
        <w:t>he defence had been afforded an opportunity to contest the adverse evidence</w:t>
      </w:r>
      <w:r w:rsidRPr="00F54795" w:rsidR="00E74915">
        <w:t>,</w:t>
      </w:r>
      <w:r w:rsidRPr="00F54795" w:rsidR="00F44F8E">
        <w:t xml:space="preserve"> as well as to study the case file, lodge </w:t>
      </w:r>
      <w:r w:rsidRPr="00F54795" w:rsidR="00E74915">
        <w:t xml:space="preserve">applications </w:t>
      </w:r>
      <w:r w:rsidRPr="00F54795" w:rsidR="00F44F8E">
        <w:t>and put forward a defence.</w:t>
      </w:r>
    </w:p>
    <w:p w:rsidRPr="00F54795" w:rsidR="00F472A9" w:rsidP="00F54795" w:rsidRDefault="00FD3D5D">
      <w:pPr>
        <w:pStyle w:val="ECHRPara"/>
      </w:pPr>
      <w:r w:rsidRPr="00F54795">
        <w:fldChar w:fldCharType="begin"/>
      </w:r>
      <w:r w:rsidRPr="00F54795">
        <w:instrText xml:space="preserve"> SEQ level0 \*arabic </w:instrText>
      </w:r>
      <w:r w:rsidRPr="00F54795">
        <w:fldChar w:fldCharType="separate"/>
      </w:r>
      <w:r w:rsidRPr="00F54795" w:rsidR="00F54795">
        <w:rPr>
          <w:noProof/>
        </w:rPr>
        <w:t>40</w:t>
      </w:r>
      <w:r w:rsidRPr="00F54795">
        <w:rPr>
          <w:noProof/>
        </w:rPr>
        <w:fldChar w:fldCharType="end"/>
      </w:r>
      <w:r w:rsidRPr="00F54795" w:rsidR="00F472A9">
        <w:t>.  The applicant maintained her complaints.</w:t>
      </w:r>
    </w:p>
    <w:p w:rsidRPr="00F54795" w:rsidR="004B1EDD" w:rsidP="00F54795" w:rsidRDefault="00F472A9">
      <w:pPr>
        <w:pStyle w:val="ECHRHeading2"/>
      </w:pPr>
      <w:r w:rsidRPr="00F54795">
        <w:t>A</w:t>
      </w:r>
      <w:r w:rsidRPr="00F54795" w:rsidR="004B1EDD">
        <w:t>.  Admissibility</w:t>
      </w:r>
    </w:p>
    <w:p w:rsidRPr="00F54795" w:rsidR="003E2E06" w:rsidP="00F54795" w:rsidRDefault="003B69DA">
      <w:pPr>
        <w:pStyle w:val="ECHRPara"/>
      </w:pPr>
      <w:r w:rsidRPr="00F54795">
        <w:fldChar w:fldCharType="begin"/>
      </w:r>
      <w:r w:rsidRPr="00F54795">
        <w:instrText xml:space="preserve"> SEQ level0 \*arabic </w:instrText>
      </w:r>
      <w:r w:rsidRPr="00F54795">
        <w:fldChar w:fldCharType="separate"/>
      </w:r>
      <w:r w:rsidRPr="00F54795" w:rsidR="00F54795">
        <w:rPr>
          <w:noProof/>
        </w:rPr>
        <w:t>41</w:t>
      </w:r>
      <w:r w:rsidRPr="00F54795">
        <w:fldChar w:fldCharType="end"/>
      </w:r>
      <w:r w:rsidRPr="00F54795">
        <w:t>.  </w:t>
      </w:r>
      <w:r w:rsidRPr="00F54795" w:rsidR="003E2E06">
        <w:t>The Court notes that th</w:t>
      </w:r>
      <w:r w:rsidRPr="00F54795" w:rsidR="000A060D">
        <w:t>e</w:t>
      </w:r>
      <w:r w:rsidRPr="00F54795" w:rsidR="003E2E06">
        <w:t xml:space="preserve"> complaint</w:t>
      </w:r>
      <w:r w:rsidRPr="00F54795" w:rsidR="003E3B51">
        <w:t>s</w:t>
      </w:r>
      <w:r w:rsidRPr="00F54795" w:rsidR="000A060D">
        <w:t xml:space="preserve"> </w:t>
      </w:r>
      <w:r w:rsidRPr="00F54795" w:rsidR="00D7552F">
        <w:t>are</w:t>
      </w:r>
      <w:r w:rsidRPr="00F54795" w:rsidR="003E2E06">
        <w:t xml:space="preserve"> not manifestly ill-founded within the meaning of Article 35 § 3 (a) of the Convention. It further notes that </w:t>
      </w:r>
      <w:r w:rsidRPr="00F54795" w:rsidR="00D7552F">
        <w:t>they are</w:t>
      </w:r>
      <w:r w:rsidRPr="00F54795" w:rsidR="003E2E06">
        <w:t xml:space="preserve"> not inadmissible on any other grounds. </w:t>
      </w:r>
      <w:r w:rsidRPr="00F54795" w:rsidR="00D7552F">
        <w:t>Th</w:t>
      </w:r>
      <w:r w:rsidRPr="00F54795" w:rsidR="00FD3765">
        <w:t>ey</w:t>
      </w:r>
      <w:r w:rsidRPr="00F54795" w:rsidR="00D7552F">
        <w:t xml:space="preserve"> </w:t>
      </w:r>
      <w:r w:rsidRPr="00F54795" w:rsidR="003E2E06">
        <w:t>must therefore be declared admissible.</w:t>
      </w:r>
    </w:p>
    <w:p w:rsidRPr="00F54795" w:rsidR="00D635BB" w:rsidP="00F54795" w:rsidRDefault="00F472A9">
      <w:pPr>
        <w:pStyle w:val="ECHRHeading2"/>
      </w:pPr>
      <w:r w:rsidRPr="00F54795">
        <w:t>B</w:t>
      </w:r>
      <w:r w:rsidRPr="00F54795" w:rsidR="004B1EDD">
        <w:t>.  Merits</w:t>
      </w:r>
    </w:p>
    <w:p w:rsidRPr="00F54795" w:rsidR="000A060D" w:rsidP="00F54795" w:rsidRDefault="00331105">
      <w:pPr>
        <w:pStyle w:val="ECHRPara"/>
      </w:pPr>
      <w:r w:rsidRPr="00F54795">
        <w:fldChar w:fldCharType="begin"/>
      </w:r>
      <w:r w:rsidRPr="00F54795">
        <w:instrText xml:space="preserve"> SEQ level0 \*arabic </w:instrText>
      </w:r>
      <w:r w:rsidRPr="00F54795">
        <w:fldChar w:fldCharType="separate"/>
      </w:r>
      <w:r w:rsidRPr="00F54795" w:rsidR="00F54795">
        <w:rPr>
          <w:noProof/>
        </w:rPr>
        <w:t>42</w:t>
      </w:r>
      <w:r w:rsidRPr="00F54795">
        <w:rPr>
          <w:noProof/>
        </w:rPr>
        <w:fldChar w:fldCharType="end"/>
      </w:r>
      <w:r w:rsidRPr="00F54795" w:rsidR="000778E1">
        <w:t>.  </w:t>
      </w:r>
      <w:r w:rsidRPr="00F54795" w:rsidR="00675949">
        <w:t>A</w:t>
      </w:r>
      <w:r w:rsidRPr="00F54795" w:rsidR="000A060D">
        <w:t>s regards the requirement of objective impartiality, the Court has previously examined this matter and has found a violation of Article 6 § 1 of the Convention on account of the lack of a prosecuting party in the context of oral hearings resulting in the determination</w:t>
      </w:r>
      <w:r w:rsidRPr="00F54795" w:rsidR="00F26CDF">
        <w:t xml:space="preserve"> of administrative charges (see </w:t>
      </w:r>
      <w:r w:rsidRPr="00F54795" w:rsidR="004F1C0C">
        <w:rPr>
          <w:i/>
        </w:rPr>
        <w:t>Karelin v. Russia</w:t>
      </w:r>
      <w:r w:rsidRPr="00F54795" w:rsidR="004F1C0C">
        <w:t>, no. 926/08</w:t>
      </w:r>
      <w:r w:rsidRPr="00F54795" w:rsidR="004F1C0C">
        <w:rPr>
          <w:snapToGrid w:val="0"/>
        </w:rPr>
        <w:t xml:space="preserve">, </w:t>
      </w:r>
      <w:r w:rsidRPr="00F54795" w:rsidR="004F1C0C">
        <w:t>§§ 69-84</w:t>
      </w:r>
      <w:r w:rsidRPr="00F54795" w:rsidR="004F1C0C">
        <w:rPr>
          <w:snapToGrid w:val="0"/>
        </w:rPr>
        <w:t>, 20 September 2016</w:t>
      </w:r>
      <w:r w:rsidRPr="00F54795" w:rsidR="000A060D">
        <w:t xml:space="preserve">, </w:t>
      </w:r>
      <w:r w:rsidRPr="00F54795" w:rsidR="004C6DE5">
        <w:t xml:space="preserve">and </w:t>
      </w:r>
      <w:r w:rsidRPr="00F54795" w:rsidR="000A060D">
        <w:rPr>
          <w:i/>
          <w:iCs/>
        </w:rPr>
        <w:t>Butkevich</w:t>
      </w:r>
      <w:r w:rsidRPr="00F54795" w:rsidR="000A060D">
        <w:rPr>
          <w:lang w:eastAsia="en-GB"/>
        </w:rPr>
        <w:t>,</w:t>
      </w:r>
      <w:r w:rsidRPr="00F54795" w:rsidR="00475387">
        <w:rPr>
          <w:lang w:eastAsia="en-GB"/>
        </w:rPr>
        <w:t xml:space="preserve"> </w:t>
      </w:r>
      <w:r w:rsidRPr="00F54795" w:rsidR="000A060D">
        <w:t>§§ 82-84</w:t>
      </w:r>
      <w:r w:rsidRPr="00F54795" w:rsidR="004C6DE5">
        <w:t>, cited above</w:t>
      </w:r>
      <w:r w:rsidRPr="00F54795" w:rsidR="000A060D">
        <w:t xml:space="preserve">; </w:t>
      </w:r>
      <w:r w:rsidRPr="00F54795" w:rsidR="004C6DE5">
        <w:t xml:space="preserve">see also </w:t>
      </w:r>
      <w:r w:rsidRPr="00F54795" w:rsidR="000A060D">
        <w:rPr>
          <w:i/>
        </w:rPr>
        <w:t>Mikhaylova v. Ukraine</w:t>
      </w:r>
      <w:r w:rsidRPr="00F54795" w:rsidR="000A060D">
        <w:rPr>
          <w:lang w:eastAsia="en-GB"/>
        </w:rPr>
        <w:t xml:space="preserve">, </w:t>
      </w:r>
      <w:r w:rsidRPr="00F54795" w:rsidR="000A060D">
        <w:t>no.</w:t>
      </w:r>
      <w:r w:rsidRPr="00F54795" w:rsidR="004C6DE5">
        <w:t> </w:t>
      </w:r>
      <w:r w:rsidRPr="00F54795" w:rsidR="000A060D">
        <w:t>10644/08</w:t>
      </w:r>
      <w:r w:rsidRPr="00F54795" w:rsidR="000A060D">
        <w:rPr>
          <w:lang w:eastAsia="en-GB"/>
        </w:rPr>
        <w:t xml:space="preserve">, </w:t>
      </w:r>
      <w:r w:rsidRPr="00F54795" w:rsidR="000A060D">
        <w:t>§</w:t>
      </w:r>
      <w:r w:rsidRPr="00F54795" w:rsidR="002E5BA4">
        <w:t>§ 62-67</w:t>
      </w:r>
      <w:r w:rsidRPr="00F54795" w:rsidR="000A060D">
        <w:t>, 6</w:t>
      </w:r>
      <w:r w:rsidRPr="00F54795" w:rsidR="002E5BA4">
        <w:t> </w:t>
      </w:r>
      <w:r w:rsidRPr="00F54795" w:rsidR="000A060D">
        <w:t>March 2018). The Court notes that the essential factual and legal elements of t</w:t>
      </w:r>
      <w:r w:rsidRPr="00F54795" w:rsidR="00F26CDF">
        <w:t xml:space="preserve">he present case and the case of </w:t>
      </w:r>
      <w:r w:rsidRPr="00F54795" w:rsidR="000A060D">
        <w:rPr>
          <w:i/>
        </w:rPr>
        <w:t>Karelin</w:t>
      </w:r>
      <w:r w:rsidRPr="00F54795" w:rsidR="00F26CDF">
        <w:t xml:space="preserve"> </w:t>
      </w:r>
      <w:r w:rsidRPr="00F54795" w:rsidR="000A060D">
        <w:t>(</w:t>
      </w:r>
      <w:r w:rsidRPr="00F54795" w:rsidR="002E5BA4">
        <w:t xml:space="preserve">cited above, </w:t>
      </w:r>
      <w:r w:rsidRPr="00F54795" w:rsidR="000A060D">
        <w:t xml:space="preserve">§§ 59-68) are similar. The </w:t>
      </w:r>
      <w:r w:rsidRPr="00F54795" w:rsidR="000C456C">
        <w:t xml:space="preserve">factual circumstances or the </w:t>
      </w:r>
      <w:r w:rsidRPr="00F54795" w:rsidR="000A060D">
        <w:t>parties</w:t>
      </w:r>
      <w:r w:rsidRPr="00F54795" w:rsidR="00F54795">
        <w:t>’</w:t>
      </w:r>
      <w:r w:rsidRPr="00F54795" w:rsidR="000A060D">
        <w:t xml:space="preserve"> submissions in the present case disclose no reason for the Court to depart from its earlier judgment</w:t>
      </w:r>
      <w:r w:rsidRPr="00F54795" w:rsidR="00675949">
        <w:t>s</w:t>
      </w:r>
      <w:r w:rsidRPr="00F54795" w:rsidR="000A060D">
        <w:t>.</w:t>
      </w:r>
      <w:r w:rsidRPr="00F54795" w:rsidR="000778E1">
        <w:t xml:space="preserve"> </w:t>
      </w:r>
      <w:r w:rsidRPr="00F54795" w:rsidR="000A060D">
        <w:t>There has therefore been a violation of Article 6 § 1 of the Convention on account of the requirement of objective impartiality</w:t>
      </w:r>
      <w:r w:rsidRPr="00F54795" w:rsidR="004B1EDD">
        <w:t xml:space="preserve"> as regards </w:t>
      </w:r>
      <w:r w:rsidRPr="00F54795" w:rsidR="00FE500B">
        <w:t>the trial hearings in two cases against the applicant</w:t>
      </w:r>
      <w:r w:rsidRPr="00F54795" w:rsidR="000A060D">
        <w:t>.</w:t>
      </w:r>
    </w:p>
    <w:p w:rsidRPr="00F54795" w:rsidR="004B1EDD" w:rsidP="00F54795" w:rsidRDefault="00331105">
      <w:pPr>
        <w:pStyle w:val="ECHRPara"/>
      </w:pPr>
      <w:r w:rsidRPr="00F54795">
        <w:fldChar w:fldCharType="begin"/>
      </w:r>
      <w:r w:rsidRPr="00F54795">
        <w:instrText xml:space="preserve"> SEQ level0 \*arabic </w:instrText>
      </w:r>
      <w:r w:rsidRPr="00F54795">
        <w:fldChar w:fldCharType="separate"/>
      </w:r>
      <w:r w:rsidRPr="00F54795" w:rsidR="00F54795">
        <w:rPr>
          <w:noProof/>
        </w:rPr>
        <w:t>43</w:t>
      </w:r>
      <w:r w:rsidRPr="00F54795">
        <w:rPr>
          <w:noProof/>
        </w:rPr>
        <w:fldChar w:fldCharType="end"/>
      </w:r>
      <w:r w:rsidRPr="00F54795" w:rsidR="000778E1">
        <w:t>.  </w:t>
      </w:r>
      <w:r w:rsidRPr="00F54795" w:rsidR="00FE500B">
        <w:t>I</w:t>
      </w:r>
      <w:r w:rsidRPr="00F54795" w:rsidR="000778E1">
        <w:t>n view of the above finding</w:t>
      </w:r>
      <w:r w:rsidRPr="00F54795" w:rsidR="009031CC">
        <w:t xml:space="preserve"> in respect of both sets of proceedings</w:t>
      </w:r>
      <w:r w:rsidRPr="00F54795" w:rsidR="000778E1">
        <w:t xml:space="preserve"> and the nature and scope of the findings under Article 4 § 1 of Protocol</w:t>
      </w:r>
      <w:r w:rsidRPr="00F54795" w:rsidR="00F26CDF">
        <w:rPr>
          <w:rFonts w:ascii="Sylfaen" w:hAnsi="Sylfaen"/>
        </w:rPr>
        <w:t> </w:t>
      </w:r>
      <w:r w:rsidRPr="00F54795" w:rsidR="000778E1">
        <w:t>No.</w:t>
      </w:r>
      <w:r w:rsidRPr="00F54795" w:rsidR="00FE500B">
        <w:t> </w:t>
      </w:r>
      <w:r w:rsidRPr="00F54795" w:rsidR="000778E1">
        <w:t>7 to the Convention below</w:t>
      </w:r>
      <w:r w:rsidRPr="00F54795" w:rsidR="009031CC">
        <w:t xml:space="preserve"> in respect of one set of those proceedings</w:t>
      </w:r>
      <w:r w:rsidRPr="00F54795" w:rsidR="000778E1">
        <w:t>, the Court finds it possible</w:t>
      </w:r>
      <w:r w:rsidRPr="00F54795" w:rsidR="00FE500B">
        <w:t xml:space="preserve">, in the particular context of the present case, </w:t>
      </w:r>
      <w:r w:rsidRPr="00F54795" w:rsidR="000778E1">
        <w:t>to dispense with a separate examination of the merits of the remaining complaints relating to the overall fairness of the proceedings.</w:t>
      </w:r>
    </w:p>
    <w:p w:rsidRPr="00F54795" w:rsidR="00D420F3" w:rsidP="00F54795" w:rsidRDefault="004F7537">
      <w:pPr>
        <w:pStyle w:val="ECHRHeading1"/>
      </w:pPr>
      <w:r w:rsidRPr="00F54795">
        <w:t>I</w:t>
      </w:r>
      <w:r w:rsidRPr="00F54795" w:rsidR="001D5314">
        <w:t>II</w:t>
      </w:r>
      <w:r w:rsidRPr="00F54795" w:rsidR="0077175D">
        <w:t xml:space="preserve">.  ALLEGED VIOLATION OF ARTICLE </w:t>
      </w:r>
      <w:r w:rsidRPr="00F54795" w:rsidR="001D5314">
        <w:t>4</w:t>
      </w:r>
      <w:r w:rsidRPr="00F54795" w:rsidR="0077175D">
        <w:t xml:space="preserve"> OF </w:t>
      </w:r>
      <w:r w:rsidRPr="00F54795" w:rsidR="001D5314">
        <w:t>PROTOCOL N</w:t>
      </w:r>
      <w:r w:rsidRPr="00F54795" w:rsidR="00290C8E">
        <w:t>o</w:t>
      </w:r>
      <w:r w:rsidRPr="00F54795" w:rsidR="001D5314">
        <w:t xml:space="preserve">. 7 TO </w:t>
      </w:r>
      <w:r w:rsidRPr="00F54795" w:rsidR="0077175D">
        <w:t>THE CONVENTION</w:t>
      </w:r>
    </w:p>
    <w:p w:rsidRPr="00F54795" w:rsidR="00D420F3"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44</w:t>
      </w:r>
      <w:r w:rsidRPr="00F54795">
        <w:fldChar w:fldCharType="end"/>
      </w:r>
      <w:r w:rsidRPr="00F54795" w:rsidR="0077175D">
        <w:t>.  </w:t>
      </w:r>
      <w:r w:rsidRPr="00F54795" w:rsidR="00280D9B">
        <w:t xml:space="preserve">The applicant argued that her conviction for two offences disclosed a violation of Article 4 </w:t>
      </w:r>
      <w:r w:rsidRPr="00F54795" w:rsidR="00D23CF5">
        <w:t xml:space="preserve">§ 1 </w:t>
      </w:r>
      <w:r w:rsidRPr="00F54795" w:rsidR="00280D9B">
        <w:t>of Protocol No. 7 to the Convention</w:t>
      </w:r>
      <w:r w:rsidRPr="00F54795" w:rsidR="00F91051">
        <w:t>,</w:t>
      </w:r>
      <w:r w:rsidRPr="00F54795" w:rsidR="00280D9B">
        <w:t xml:space="preserve"> the relevant part </w:t>
      </w:r>
      <w:r w:rsidRPr="00F54795" w:rsidR="00F91051">
        <w:t xml:space="preserve">of which reads </w:t>
      </w:r>
      <w:r w:rsidRPr="00F54795" w:rsidR="00280D9B">
        <w:t>as follows:</w:t>
      </w:r>
    </w:p>
    <w:p w:rsidRPr="00F54795" w:rsidR="00C631B1" w:rsidP="00F54795" w:rsidRDefault="00C631B1">
      <w:pPr>
        <w:pStyle w:val="ECHRParaQuote"/>
      </w:pPr>
      <w:r w:rsidRPr="00F54795">
        <w:t>“1.  No one shall be liable to be tried or punished again in criminal proceedings under the jurisdiction of the same State for an offence for which he has already been finally acquitted or convicted in accordance with the law an</w:t>
      </w:r>
      <w:r w:rsidRPr="00F54795" w:rsidR="002D03F6">
        <w:t>d</w:t>
      </w:r>
      <w:r w:rsidRPr="00F54795" w:rsidR="002C3018">
        <w:t xml:space="preserve"> penal procedure of that State</w:t>
      </w:r>
      <w:r w:rsidRPr="00F54795" w:rsidR="002C3018">
        <w:rPr>
          <w:rFonts w:cstheme="minorHAnsi"/>
          <w:lang w:val="hy-AM"/>
        </w:rPr>
        <w:t xml:space="preserve"> </w:t>
      </w:r>
      <w:r w:rsidRPr="00F54795" w:rsidR="002C3018">
        <w:t>...</w:t>
      </w:r>
      <w:r w:rsidRPr="00F54795" w:rsidR="002D03F6">
        <w:t>”</w:t>
      </w:r>
    </w:p>
    <w:p w:rsidRPr="00F54795" w:rsidR="00C631B1" w:rsidP="00F54795" w:rsidRDefault="00632858">
      <w:pPr>
        <w:pStyle w:val="ECHRHeading2"/>
      </w:pPr>
      <w:r w:rsidRPr="00F54795">
        <w:t>A.  The parties</w:t>
      </w:r>
      <w:r w:rsidRPr="00F54795" w:rsidR="00F54795">
        <w:t>’</w:t>
      </w:r>
      <w:r w:rsidRPr="00F54795">
        <w:t xml:space="preserve"> submissions</w:t>
      </w:r>
    </w:p>
    <w:bookmarkStart w:name="GobsP7" w:id="19"/>
    <w:p w:rsidRPr="00F54795" w:rsidR="00632858" w:rsidP="00F54795" w:rsidRDefault="00632858">
      <w:pPr>
        <w:pStyle w:val="ECHRPara"/>
      </w:pPr>
      <w:r w:rsidRPr="00F54795">
        <w:fldChar w:fldCharType="begin"/>
      </w:r>
      <w:r w:rsidRPr="00F54795">
        <w:instrText xml:space="preserve"> SEQ level0 \*arabic </w:instrText>
      </w:r>
      <w:r w:rsidRPr="00F54795">
        <w:fldChar w:fldCharType="separate"/>
      </w:r>
      <w:r w:rsidRPr="00F54795" w:rsidR="00F54795">
        <w:rPr>
          <w:noProof/>
        </w:rPr>
        <w:t>45</w:t>
      </w:r>
      <w:r w:rsidRPr="00F54795">
        <w:fldChar w:fldCharType="end"/>
      </w:r>
      <w:bookmarkEnd w:id="19"/>
      <w:r w:rsidRPr="00F54795">
        <w:t>.  </w:t>
      </w:r>
      <w:r w:rsidRPr="00F54795" w:rsidR="00C90579">
        <w:t xml:space="preserve">The Government argued that the </w:t>
      </w:r>
      <w:r w:rsidRPr="00F54795" w:rsidR="00C90579">
        <w:rPr>
          <w:i/>
        </w:rPr>
        <w:t>actus reus</w:t>
      </w:r>
      <w:r w:rsidRPr="00F54795" w:rsidR="00C90579">
        <w:t xml:space="preserve"> differed as regards Article 19.3 and Article 20.2 of the CAO:</w:t>
      </w:r>
      <w:r w:rsidRPr="00F54795" w:rsidR="00D23CF5">
        <w:t xml:space="preserve"> the first one p</w:t>
      </w:r>
      <w:r w:rsidRPr="00F54795" w:rsidR="00C90579">
        <w:t>unish</w:t>
      </w:r>
      <w:r w:rsidRPr="00F54795" w:rsidR="00D23CF5">
        <w:t>ed</w:t>
      </w:r>
      <w:r w:rsidRPr="00F54795" w:rsidR="00C90579">
        <w:t xml:space="preserve"> disobedience to a lawful order by a public official, the second</w:t>
      </w:r>
      <w:r w:rsidRPr="00F54795" w:rsidR="00D23CF5">
        <w:t xml:space="preserve"> punished</w:t>
      </w:r>
      <w:r w:rsidRPr="00F54795" w:rsidR="00C90579">
        <w:t xml:space="preserve"> a breach of the established procedure for public events. Moreover, the offences were placed in different chapters of the CAO, the first </w:t>
      </w:r>
      <w:r w:rsidRPr="00F54795" w:rsidR="00D23CF5">
        <w:t xml:space="preserve">one </w:t>
      </w:r>
      <w:r w:rsidRPr="00F54795" w:rsidR="00C90579">
        <w:t>under the heading of offences</w:t>
      </w:r>
      <w:r w:rsidRPr="00F54795" w:rsidR="00E553BB">
        <w:t xml:space="preserve"> against the rules relating to government</w:t>
      </w:r>
      <w:r w:rsidRPr="00F54795" w:rsidR="00C90579">
        <w:t>, and the second</w:t>
      </w:r>
      <w:r w:rsidRPr="00F54795" w:rsidR="00E553BB">
        <w:t xml:space="preserve"> one in relation to preventing disorder and ensuring public safety</w:t>
      </w:r>
      <w:r w:rsidRPr="00F54795" w:rsidR="00C90579">
        <w:t xml:space="preserve">. In any event, on the facts of the present case the applicant had been charged with different offences: in the first case she </w:t>
      </w:r>
      <w:r w:rsidRPr="00F54795" w:rsidR="00E553BB">
        <w:t>had been</w:t>
      </w:r>
      <w:r w:rsidRPr="00F54795" w:rsidR="00C90579">
        <w:t xml:space="preserve"> accused of disobedience to a police order to cease her participation in an unlawful rally, </w:t>
      </w:r>
      <w:r w:rsidRPr="00F54795" w:rsidR="00397B26">
        <w:t xml:space="preserve">and </w:t>
      </w:r>
      <w:r w:rsidRPr="00F54795" w:rsidR="00C90579">
        <w:t xml:space="preserve">in the second case she </w:t>
      </w:r>
      <w:r w:rsidRPr="00F54795" w:rsidR="00E553BB">
        <w:t>had been</w:t>
      </w:r>
      <w:r w:rsidRPr="00F54795" w:rsidR="00C90579">
        <w:t xml:space="preserve"> charged with participation in th</w:t>
      </w:r>
      <w:r w:rsidRPr="00F54795" w:rsidR="00D23CF5">
        <w:t>at</w:t>
      </w:r>
      <w:r w:rsidRPr="00F54795" w:rsidR="00C90579">
        <w:t xml:space="preserve"> unlawful rally.</w:t>
      </w:r>
    </w:p>
    <w:p w:rsidRPr="00F54795" w:rsidR="00D927B6" w:rsidP="00F54795" w:rsidRDefault="00331105">
      <w:pPr>
        <w:pStyle w:val="ECHRPara"/>
      </w:pPr>
      <w:r w:rsidRPr="00F54795">
        <w:fldChar w:fldCharType="begin"/>
      </w:r>
      <w:r w:rsidRPr="00F54795">
        <w:instrText xml:space="preserve"> SEQ level0 \*arabic </w:instrText>
      </w:r>
      <w:r w:rsidRPr="00F54795">
        <w:fldChar w:fldCharType="separate"/>
      </w:r>
      <w:r w:rsidRPr="00F54795" w:rsidR="00F54795">
        <w:rPr>
          <w:noProof/>
        </w:rPr>
        <w:t>46</w:t>
      </w:r>
      <w:r w:rsidRPr="00F54795">
        <w:rPr>
          <w:noProof/>
        </w:rPr>
        <w:fldChar w:fldCharType="end"/>
      </w:r>
      <w:r w:rsidRPr="00F54795" w:rsidR="00632858">
        <w:t>.  </w:t>
      </w:r>
      <w:r w:rsidRPr="00F54795" w:rsidR="00C90579">
        <w:t xml:space="preserve">The applicant argued that </w:t>
      </w:r>
      <w:r w:rsidRPr="00F54795" w:rsidR="00B3473E">
        <w:t xml:space="preserve">she had been prosecuted and sentenced </w:t>
      </w:r>
      <w:r w:rsidRPr="00F54795" w:rsidR="00D1351A">
        <w:t xml:space="preserve">twice </w:t>
      </w:r>
      <w:r w:rsidRPr="00F54795" w:rsidR="00B3473E">
        <w:t>in relation to the same facts.</w:t>
      </w:r>
      <w:r w:rsidRPr="00F54795" w:rsidR="00D927B6">
        <w:t xml:space="preserve"> The wording of the offence record for each case </w:t>
      </w:r>
      <w:r w:rsidRPr="00F54795" w:rsidR="00D23CF5">
        <w:t>and</w:t>
      </w:r>
      <w:r w:rsidRPr="00F54795" w:rsidR="00D927B6">
        <w:t xml:space="preserve"> the adverse reports issued by the police officers and then used in evidence against </w:t>
      </w:r>
      <w:r w:rsidRPr="00F54795" w:rsidR="00D23CF5">
        <w:t>her had been worded in identical terms</w:t>
      </w:r>
      <w:r w:rsidRPr="00F54795" w:rsidR="00D927B6">
        <w:t xml:space="preserve">. </w:t>
      </w:r>
      <w:r w:rsidRPr="00F54795" w:rsidR="00AA6E6B">
        <w:t xml:space="preserve">Her </w:t>
      </w:r>
      <w:r w:rsidRPr="00F54795" w:rsidR="00D927B6">
        <w:t xml:space="preserve">position in the present case </w:t>
      </w:r>
      <w:r w:rsidRPr="00F54795" w:rsidR="00AA6E6B">
        <w:t xml:space="preserve">had been </w:t>
      </w:r>
      <w:r w:rsidRPr="00F54795" w:rsidR="00EA5431">
        <w:t>recently</w:t>
      </w:r>
      <w:r w:rsidRPr="00F54795" w:rsidR="00D927B6">
        <w:t xml:space="preserve"> confirmed by the Plenary Supreme Court in June 2018 and in at least one follow-up case (see paragraph</w:t>
      </w:r>
      <w:r w:rsidRPr="00F54795" w:rsidR="00D23CF5">
        <w:t xml:space="preserve">s </w:t>
      </w:r>
      <w:r w:rsidRPr="00F54795" w:rsidR="00D23CF5">
        <w:fldChar w:fldCharType="begin"/>
      </w:r>
      <w:r w:rsidRPr="00F54795" w:rsidR="00D23CF5">
        <w:instrText xml:space="preserve"> REF  plenaryJune2018 \h </w:instrText>
      </w:r>
      <w:r w:rsidRPr="00F54795" w:rsidR="001772FB">
        <w:instrText xml:space="preserve"> \* MERGEFORMAT </w:instrText>
      </w:r>
      <w:r w:rsidRPr="00F54795" w:rsidR="00D23CF5">
        <w:fldChar w:fldCharType="separate"/>
      </w:r>
      <w:r w:rsidRPr="00F54795" w:rsidR="00F54795">
        <w:rPr>
          <w:noProof/>
        </w:rPr>
        <w:t>25</w:t>
      </w:r>
      <w:r w:rsidRPr="00F54795" w:rsidR="00D23CF5">
        <w:fldChar w:fldCharType="end"/>
      </w:r>
      <w:r w:rsidRPr="00F54795" w:rsidR="00D23CF5">
        <w:t xml:space="preserve"> and</w:t>
      </w:r>
      <w:r w:rsidRPr="00F54795" w:rsidR="00E553BB">
        <w:t xml:space="preserve"> </w:t>
      </w:r>
      <w:r w:rsidRPr="00F54795" w:rsidR="00E553BB">
        <w:fldChar w:fldCharType="begin"/>
      </w:r>
      <w:r w:rsidRPr="00F54795" w:rsidR="00E553BB">
        <w:instrText xml:space="preserve"> REF  plenaryfollowup \h </w:instrText>
      </w:r>
      <w:r w:rsidRPr="00F54795" w:rsidR="001772FB">
        <w:instrText xml:space="preserve"> \* MERGEFORMAT </w:instrText>
      </w:r>
      <w:r w:rsidRPr="00F54795" w:rsidR="00E553BB">
        <w:fldChar w:fldCharType="separate"/>
      </w:r>
      <w:r w:rsidRPr="00F54795" w:rsidR="00F54795">
        <w:rPr>
          <w:noProof/>
        </w:rPr>
        <w:t>26</w:t>
      </w:r>
      <w:r w:rsidRPr="00F54795" w:rsidR="00E553BB">
        <w:fldChar w:fldCharType="end"/>
      </w:r>
      <w:r w:rsidRPr="00F54795" w:rsidR="00D23CF5">
        <w:t xml:space="preserve"> </w:t>
      </w:r>
      <w:r w:rsidRPr="00F54795" w:rsidR="00D927B6">
        <w:t>above).</w:t>
      </w:r>
    </w:p>
    <w:p w:rsidRPr="00F54795" w:rsidR="00632858" w:rsidP="00F54795" w:rsidRDefault="00632858">
      <w:pPr>
        <w:pStyle w:val="ECHRHeading2"/>
      </w:pPr>
      <w:r w:rsidRPr="00F54795">
        <w:t>B.  The Court</w:t>
      </w:r>
      <w:r w:rsidRPr="00F54795" w:rsidR="00F54795">
        <w:t>’</w:t>
      </w:r>
      <w:r w:rsidRPr="00F54795">
        <w:t>s assessment</w:t>
      </w:r>
    </w:p>
    <w:p w:rsidRPr="00F54795" w:rsidR="00632858" w:rsidP="00F54795" w:rsidRDefault="00632858">
      <w:pPr>
        <w:pStyle w:val="ECHRHeading3"/>
      </w:pPr>
      <w:r w:rsidRPr="00F54795">
        <w:t>1.  Admissibility</w:t>
      </w:r>
    </w:p>
    <w:p w:rsidRPr="00F54795" w:rsidR="006E3E03" w:rsidP="00F54795" w:rsidRDefault="006E3E03">
      <w:pPr>
        <w:pStyle w:val="ECHRHeading4"/>
      </w:pPr>
      <w:r w:rsidRPr="00F54795">
        <w:t>(a)  Preliminary consideration</w:t>
      </w:r>
      <w:r w:rsidRPr="00F54795" w:rsidR="008B798E">
        <w:t>s</w:t>
      </w:r>
    </w:p>
    <w:p w:rsidRPr="00F54795" w:rsidR="00730107" w:rsidP="00F54795" w:rsidRDefault="00730107">
      <w:pPr>
        <w:pStyle w:val="ECHRPara"/>
      </w:pPr>
      <w:r w:rsidRPr="00F54795">
        <w:fldChar w:fldCharType="begin"/>
      </w:r>
      <w:r w:rsidRPr="00F54795">
        <w:instrText xml:space="preserve"> SEQ level0 \*arabic </w:instrText>
      </w:r>
      <w:r w:rsidRPr="00F54795">
        <w:fldChar w:fldCharType="separate"/>
      </w:r>
      <w:r w:rsidRPr="00F54795" w:rsidR="00F54795">
        <w:rPr>
          <w:noProof/>
        </w:rPr>
        <w:t>47</w:t>
      </w:r>
      <w:r w:rsidRPr="00F54795">
        <w:fldChar w:fldCharType="end"/>
      </w:r>
      <w:r w:rsidRPr="00F54795">
        <w:t>.  </w:t>
      </w:r>
      <w:r w:rsidRPr="00F54795" w:rsidR="00AA6E6B">
        <w:t>The applicant was convicted of two offences i</w:t>
      </w:r>
      <w:r w:rsidRPr="00F54795">
        <w:t xml:space="preserve">n two separate </w:t>
      </w:r>
      <w:r w:rsidRPr="00F54795" w:rsidR="00AA6E6B">
        <w:t xml:space="preserve">sets of </w:t>
      </w:r>
      <w:r w:rsidRPr="00F54795">
        <w:t xml:space="preserve">proceedings on the same date. </w:t>
      </w:r>
      <w:r w:rsidRPr="00F54795" w:rsidR="00D1351A">
        <w:t>O</w:t>
      </w:r>
      <w:r w:rsidRPr="00F54795">
        <w:t>n</w:t>
      </w:r>
      <w:r w:rsidRPr="00F54795" w:rsidR="00D1351A">
        <w:t xml:space="preserve"> a later date</w:t>
      </w:r>
      <w:r w:rsidRPr="00F54795">
        <w:t xml:space="preserve">, her appeals were examined consecutively </w:t>
      </w:r>
      <w:r w:rsidRPr="00F54795" w:rsidR="00511D8B">
        <w:t xml:space="preserve">in two separate </w:t>
      </w:r>
      <w:r w:rsidRPr="00F54795" w:rsidR="00D1351A">
        <w:t xml:space="preserve">sets of </w:t>
      </w:r>
      <w:r w:rsidRPr="00F54795" w:rsidR="00511D8B">
        <w:t>appeal hearings</w:t>
      </w:r>
      <w:r w:rsidRPr="00F54795" w:rsidR="00AA6E6B">
        <w:t>,</w:t>
      </w:r>
      <w:r w:rsidRPr="00F54795" w:rsidR="00511D8B">
        <w:t xml:space="preserve"> as required by the CAO (see paragraphs </w:t>
      </w:r>
      <w:r w:rsidRPr="00F54795" w:rsidR="00511D8B">
        <w:fldChar w:fldCharType="begin"/>
      </w:r>
      <w:r w:rsidRPr="00F54795" w:rsidR="00511D8B">
        <w:instrText xml:space="preserve"> REF  appealproceedings \h </w:instrText>
      </w:r>
      <w:r w:rsidRPr="00F54795" w:rsidR="001772FB">
        <w:instrText xml:space="preserve"> \* MERGEFORMAT </w:instrText>
      </w:r>
      <w:r w:rsidRPr="00F54795" w:rsidR="00511D8B">
        <w:fldChar w:fldCharType="separate"/>
      </w:r>
      <w:r w:rsidRPr="00F54795" w:rsidR="00F54795">
        <w:rPr>
          <w:noProof/>
        </w:rPr>
        <w:t>17</w:t>
      </w:r>
      <w:r w:rsidRPr="00F54795" w:rsidR="00511D8B">
        <w:fldChar w:fldCharType="end"/>
      </w:r>
      <w:r w:rsidRPr="00F54795" w:rsidR="00511D8B">
        <w:t xml:space="preserve"> and </w:t>
      </w:r>
      <w:r w:rsidRPr="00F54795" w:rsidR="00511D8B">
        <w:fldChar w:fldCharType="begin"/>
      </w:r>
      <w:r w:rsidRPr="00F54795" w:rsidR="00511D8B">
        <w:instrText xml:space="preserve"> REF  CAOseparateexamination \h </w:instrText>
      </w:r>
      <w:r w:rsidRPr="00F54795" w:rsidR="001772FB">
        <w:instrText xml:space="preserve"> \* MERGEFORMAT </w:instrText>
      </w:r>
      <w:r w:rsidRPr="00F54795" w:rsidR="00511D8B">
        <w:fldChar w:fldCharType="separate"/>
      </w:r>
      <w:r w:rsidRPr="00F54795" w:rsidR="00F54795">
        <w:rPr>
          <w:noProof/>
        </w:rPr>
        <w:t>23</w:t>
      </w:r>
      <w:r w:rsidRPr="00F54795" w:rsidR="00511D8B">
        <w:fldChar w:fldCharType="end"/>
      </w:r>
      <w:r w:rsidRPr="00F54795" w:rsidR="00511D8B">
        <w:t xml:space="preserve"> above).</w:t>
      </w:r>
    </w:p>
    <w:p w:rsidRPr="00F54795" w:rsidR="006C6353" w:rsidP="00F54795" w:rsidRDefault="001675EA">
      <w:pPr>
        <w:pStyle w:val="ECHRPara"/>
      </w:pPr>
      <w:r w:rsidRPr="00F54795">
        <w:fldChar w:fldCharType="begin"/>
      </w:r>
      <w:r w:rsidRPr="00F54795">
        <w:instrText xml:space="preserve"> SEQ level0 \*arabic </w:instrText>
      </w:r>
      <w:r w:rsidRPr="00F54795">
        <w:fldChar w:fldCharType="separate"/>
      </w:r>
      <w:r w:rsidRPr="00F54795" w:rsidR="00F54795">
        <w:rPr>
          <w:noProof/>
        </w:rPr>
        <w:t>48</w:t>
      </w:r>
      <w:r w:rsidRPr="00F54795">
        <w:fldChar w:fldCharType="end"/>
      </w:r>
      <w:r w:rsidRPr="00F54795">
        <w:t>.  </w:t>
      </w:r>
      <w:r w:rsidRPr="00F54795" w:rsidR="006C6353">
        <w:t xml:space="preserve">The Court reiterates that the guarantee enshrined in Article 4 § 1 of Protocol No. 7 to the Convention is activated </w:t>
      </w:r>
      <w:r w:rsidRPr="00F54795" w:rsidR="006C6353">
        <w:rPr>
          <w:i/>
        </w:rPr>
        <w:t>vis-à-vis</w:t>
      </w:r>
      <w:r w:rsidRPr="00F54795" w:rsidR="006C6353">
        <w:t xml:space="preserve"> a new</w:t>
      </w:r>
      <w:r w:rsidRPr="00F54795" w:rsidR="00A873D6">
        <w:t xml:space="preserve"> or </w:t>
      </w:r>
      <w:r w:rsidRPr="00F54795" w:rsidR="006C6353">
        <w:t>another prosecution, where a prior acquittal or conviction ha</w:t>
      </w:r>
      <w:r w:rsidRPr="00F54795" w:rsidR="00F26CDF">
        <w:t xml:space="preserve">s already acquired the force of </w:t>
      </w:r>
      <w:r w:rsidRPr="00F54795" w:rsidR="006C6353">
        <w:rPr>
          <w:i/>
        </w:rPr>
        <w:t>res judicata</w:t>
      </w:r>
      <w:r w:rsidRPr="00F54795" w:rsidR="006C6353">
        <w:t>. Thus, prior to delving into admissibility issues, the Court finds it pertinent to determine the point of such finality, with reference to the applicable Russian law.</w:t>
      </w:r>
      <w:r w:rsidRPr="00F54795">
        <w:t xml:space="preserve"> Judgments </w:t>
      </w:r>
      <w:r w:rsidRPr="00F54795" w:rsidR="00A873D6">
        <w:t>“</w:t>
      </w:r>
      <w:r w:rsidRPr="00F54795" w:rsidR="00100D75">
        <w:t>enter</w:t>
      </w:r>
      <w:r w:rsidRPr="00F54795">
        <w:t>ed</w:t>
      </w:r>
      <w:r w:rsidRPr="00F54795" w:rsidR="00100D75">
        <w:t xml:space="preserve"> into force” within the meaning of the Russian CAO after expiry of the period for an appeal or following delivery of an appeal decision on the merits of the charge. The applicant appealed and the </w:t>
      </w:r>
      <w:r w:rsidRPr="00F54795" w:rsidR="00A873D6">
        <w:t xml:space="preserve">appellate </w:t>
      </w:r>
      <w:r w:rsidRPr="00F54795" w:rsidR="00100D75">
        <w:t>courts issue</w:t>
      </w:r>
      <w:r w:rsidRPr="00F54795" w:rsidR="00A873D6">
        <w:t>d</w:t>
      </w:r>
      <w:r w:rsidRPr="00F54795" w:rsidR="00100D75">
        <w:t xml:space="preserve"> decisions</w:t>
      </w:r>
      <w:r w:rsidRPr="00F54795" w:rsidR="00A873D6">
        <w:t xml:space="preserve"> on the appeal</w:t>
      </w:r>
      <w:r w:rsidRPr="00F54795" w:rsidR="00D1351A">
        <w:t>s</w:t>
      </w:r>
      <w:r w:rsidRPr="00F54795" w:rsidR="00100D75">
        <w:t xml:space="preserve">. Those decisions had the force of </w:t>
      </w:r>
      <w:r w:rsidRPr="00F54795" w:rsidR="00100D75">
        <w:rPr>
          <w:i/>
        </w:rPr>
        <w:t>res judicata</w:t>
      </w:r>
      <w:r w:rsidRPr="00F54795" w:rsidR="00100D75">
        <w:t xml:space="preserve"> </w:t>
      </w:r>
      <w:r w:rsidRPr="00F54795">
        <w:t>under the CAO</w:t>
      </w:r>
      <w:r w:rsidRPr="00F54795" w:rsidR="00D1351A">
        <w:t>,</w:t>
      </w:r>
      <w:r w:rsidRPr="00F54795">
        <w:t xml:space="preserve"> </w:t>
      </w:r>
      <w:r w:rsidRPr="00F54795" w:rsidR="00D1351A">
        <w:t xml:space="preserve">so </w:t>
      </w:r>
      <w:r w:rsidRPr="00F54795" w:rsidR="00100D75">
        <w:t>the issue under Article 4 § 1 of Protocol</w:t>
      </w:r>
      <w:r w:rsidRPr="00F54795" w:rsidR="00FC0FB3">
        <w:t xml:space="preserve"> </w:t>
      </w:r>
      <w:r w:rsidRPr="00F54795" w:rsidR="00100D75">
        <w:t xml:space="preserve">No. 7 should be determined with reference to them </w:t>
      </w:r>
      <w:r w:rsidRPr="00F54795" w:rsidR="00535C28">
        <w:t xml:space="preserve">as a starting point </w:t>
      </w:r>
      <w:r w:rsidRPr="00F54795" w:rsidR="00100D75">
        <w:t>in the present case.</w:t>
      </w:r>
    </w:p>
    <w:p w:rsidRPr="00F54795" w:rsidR="00D635BB" w:rsidP="00F54795" w:rsidRDefault="001675EA">
      <w:pPr>
        <w:pStyle w:val="ECHRPara"/>
      </w:pPr>
      <w:r w:rsidRPr="00F54795">
        <w:fldChar w:fldCharType="begin"/>
      </w:r>
      <w:r w:rsidRPr="00F54795">
        <w:instrText xml:space="preserve"> SEQ level0 \*arabic </w:instrText>
      </w:r>
      <w:r w:rsidRPr="00F54795">
        <w:fldChar w:fldCharType="separate"/>
      </w:r>
      <w:r w:rsidRPr="00F54795" w:rsidR="00F54795">
        <w:rPr>
          <w:noProof/>
        </w:rPr>
        <w:t>49</w:t>
      </w:r>
      <w:r w:rsidRPr="00F54795">
        <w:fldChar w:fldCharType="end"/>
      </w:r>
      <w:r w:rsidRPr="00F54795">
        <w:t>.  </w:t>
      </w:r>
      <w:r w:rsidRPr="00F54795" w:rsidR="00DB6149">
        <w:t xml:space="preserve">The Court observes that the two sets of proceedings were initiated and then pursued, up to the appeal stage, in parallel. </w:t>
      </w:r>
      <w:r w:rsidRPr="00F54795" w:rsidR="00B44B0A">
        <w:t>The object of Article 4 of Protocol No. 7 is to prevent the injustice of a person</w:t>
      </w:r>
      <w:r w:rsidRPr="00F54795" w:rsidR="00F54795">
        <w:t>’</w:t>
      </w:r>
      <w:r w:rsidRPr="00F54795" w:rsidR="00B44B0A">
        <w:t>s being prosecuted or punished twice for the same criminalised conduct. It does not, however, outlaw legal systems which take an “integrated” approach to the social wrongdoing in question, and in particular</w:t>
      </w:r>
      <w:r w:rsidRPr="00F54795" w:rsidR="00F26CDF">
        <w:t xml:space="preserve"> an approach involving parallel </w:t>
      </w:r>
      <w:r w:rsidRPr="00F54795" w:rsidR="00B44B0A">
        <w:t xml:space="preserve">stages of legal response to the wrongdoing by different authorities and for different purposes (see </w:t>
      </w:r>
      <w:r w:rsidRPr="00F54795" w:rsidR="00B44B0A">
        <w:rPr>
          <w:i/>
        </w:rPr>
        <w:t>A and B v.</w:t>
      </w:r>
      <w:r w:rsidRPr="00F54795" w:rsidR="00B44B0A">
        <w:rPr>
          <w:rFonts w:ascii="Sylfaen" w:hAnsi="Sylfaen"/>
          <w:i/>
          <w:lang w:val="hy-AM"/>
        </w:rPr>
        <w:t> </w:t>
      </w:r>
      <w:r w:rsidRPr="00F54795" w:rsidR="00B44B0A">
        <w:rPr>
          <w:i/>
        </w:rPr>
        <w:t xml:space="preserve">Norway </w:t>
      </w:r>
      <w:r w:rsidRPr="00F54795" w:rsidR="00B44B0A">
        <w:t>[GC], nos.</w:t>
      </w:r>
      <w:r w:rsidRPr="00F54795" w:rsidR="009A52DF">
        <w:rPr>
          <w:rFonts w:ascii="Sylfaen" w:hAnsi="Sylfaen"/>
          <w:lang w:val="hy-AM"/>
        </w:rPr>
        <w:t> </w:t>
      </w:r>
      <w:r w:rsidRPr="00F54795" w:rsidR="00F26CDF">
        <w:t>24130/11 and </w:t>
      </w:r>
      <w:r w:rsidRPr="00F54795" w:rsidR="00B44B0A">
        <w:t>29758/11, § 23, 15</w:t>
      </w:r>
      <w:r w:rsidRPr="00F54795" w:rsidR="00B44B0A">
        <w:rPr>
          <w:rFonts w:ascii="Sylfaen" w:hAnsi="Sylfaen"/>
          <w:lang w:val="hy-AM"/>
        </w:rPr>
        <w:t> </w:t>
      </w:r>
      <w:r w:rsidRPr="00F54795" w:rsidR="00B44B0A">
        <w:t xml:space="preserve">November 2016). </w:t>
      </w:r>
      <w:r w:rsidRPr="00F54795">
        <w:t xml:space="preserve">However, </w:t>
      </w:r>
      <w:r w:rsidRPr="00F54795" w:rsidR="00DB6149">
        <w:t xml:space="preserve">in the present case, </w:t>
      </w:r>
      <w:r w:rsidRPr="00F54795">
        <w:t xml:space="preserve">the second </w:t>
      </w:r>
      <w:r w:rsidRPr="00F54795" w:rsidR="00A873D6">
        <w:t xml:space="preserve">set of </w:t>
      </w:r>
      <w:r w:rsidRPr="00F54795">
        <w:t>proceeding</w:t>
      </w:r>
      <w:r w:rsidRPr="00F54795" w:rsidR="00A873D6">
        <w:t>s</w:t>
      </w:r>
      <w:r w:rsidRPr="00F54795">
        <w:t xml:space="preserve"> continue</w:t>
      </w:r>
      <w:r w:rsidRPr="00F54795" w:rsidR="00DB6149">
        <w:t>d</w:t>
      </w:r>
      <w:r w:rsidRPr="00F54795">
        <w:t xml:space="preserve"> </w:t>
      </w:r>
      <w:r w:rsidRPr="00F54795" w:rsidR="00AC01BA">
        <w:t xml:space="preserve">after </w:t>
      </w:r>
      <w:r w:rsidRPr="00F54795">
        <w:t xml:space="preserve">the delivery of the appeal decision in the first </w:t>
      </w:r>
      <w:r w:rsidRPr="00F54795" w:rsidR="00A873D6">
        <w:t xml:space="preserve">set of </w:t>
      </w:r>
      <w:r w:rsidRPr="00F54795" w:rsidR="000208C9">
        <w:t>proceedings on 29 June 2017</w:t>
      </w:r>
      <w:r w:rsidRPr="00F54795" w:rsidR="00DB6149">
        <w:t>, albeit for a relatively short period</w:t>
      </w:r>
      <w:r w:rsidRPr="00F54795" w:rsidR="000208C9">
        <w:t xml:space="preserve"> (see paragraph </w:t>
      </w:r>
      <w:r w:rsidRPr="00F54795" w:rsidR="000208C9">
        <w:fldChar w:fldCharType="begin"/>
      </w:r>
      <w:r w:rsidRPr="00F54795" w:rsidR="000208C9">
        <w:instrText xml:space="preserve"> REF  appealproceedings \h </w:instrText>
      </w:r>
      <w:r w:rsidRPr="00F54795" w:rsidR="001772FB">
        <w:instrText xml:space="preserve"> \* MERGEFORMAT </w:instrText>
      </w:r>
      <w:r w:rsidRPr="00F54795" w:rsidR="000208C9">
        <w:fldChar w:fldCharType="separate"/>
      </w:r>
      <w:r w:rsidRPr="00F54795" w:rsidR="00F54795">
        <w:rPr>
          <w:noProof/>
        </w:rPr>
        <w:t>17</w:t>
      </w:r>
      <w:r w:rsidRPr="00F54795" w:rsidR="000208C9">
        <w:fldChar w:fldCharType="end"/>
      </w:r>
      <w:r w:rsidRPr="00F54795" w:rsidR="000208C9">
        <w:t xml:space="preserve"> above).</w:t>
      </w:r>
    </w:p>
    <w:p w:rsidRPr="00F54795" w:rsidR="00506BEB" w:rsidP="00F54795" w:rsidRDefault="00506BEB">
      <w:pPr>
        <w:pStyle w:val="ECHRHeading4"/>
      </w:pPr>
      <w:r w:rsidRPr="00F54795">
        <w:t>(</w:t>
      </w:r>
      <w:r w:rsidRPr="00F54795" w:rsidR="006E3E03">
        <w:t>b</w:t>
      </w:r>
      <w:r w:rsidRPr="00F54795">
        <w:t>)  Six-</w:t>
      </w:r>
      <w:r w:rsidRPr="00F54795" w:rsidR="009711B5">
        <w:t xml:space="preserve">month </w:t>
      </w:r>
      <w:r w:rsidRPr="00F54795" w:rsidR="00452BB1">
        <w:t>rule</w:t>
      </w:r>
    </w:p>
    <w:p w:rsidRPr="00F54795" w:rsidR="00920679" w:rsidP="00F54795" w:rsidRDefault="009711B5">
      <w:pPr>
        <w:pStyle w:val="ECHRPara"/>
      </w:pPr>
      <w:r w:rsidRPr="00F54795">
        <w:fldChar w:fldCharType="begin"/>
      </w:r>
      <w:r w:rsidRPr="00F54795">
        <w:instrText xml:space="preserve"> SEQ level0 \*arabic </w:instrText>
      </w:r>
      <w:r w:rsidRPr="00F54795">
        <w:fldChar w:fldCharType="separate"/>
      </w:r>
      <w:r w:rsidRPr="00F54795" w:rsidR="00F54795">
        <w:rPr>
          <w:noProof/>
        </w:rPr>
        <w:t>50</w:t>
      </w:r>
      <w:r w:rsidRPr="00F54795">
        <w:fldChar w:fldCharType="end"/>
      </w:r>
      <w:r w:rsidRPr="00F54795">
        <w:t>.  </w:t>
      </w:r>
      <w:r w:rsidRPr="00F54795" w:rsidR="001675EA">
        <w:t>I</w:t>
      </w:r>
      <w:r w:rsidRPr="00F54795" w:rsidR="00A921F9">
        <w:t xml:space="preserve">n so far as it </w:t>
      </w:r>
      <w:r w:rsidRPr="00F54795" w:rsidR="00A873D6">
        <w:t xml:space="preserve">falls within </w:t>
      </w:r>
      <w:r w:rsidRPr="00F54795" w:rsidR="00A921F9">
        <w:t xml:space="preserve">its jurisdiction, the Court will </w:t>
      </w:r>
      <w:r w:rsidRPr="00F54795" w:rsidR="001675EA">
        <w:t xml:space="preserve">now </w:t>
      </w:r>
      <w:r w:rsidRPr="00F54795" w:rsidR="00A921F9">
        <w:t xml:space="preserve">examine whether the applicant has complied with the </w:t>
      </w:r>
      <w:r w:rsidRPr="00F54795" w:rsidR="00920679">
        <w:t>six-month rule under Article 35</w:t>
      </w:r>
      <w:r w:rsidRPr="00F54795" w:rsidR="0032229C">
        <w:t xml:space="preserve"> § </w:t>
      </w:r>
      <w:r w:rsidRPr="00F54795" w:rsidR="00920679">
        <w:t>1 of the Convention.</w:t>
      </w:r>
    </w:p>
    <w:p w:rsidRPr="00F54795" w:rsidR="00337419" w:rsidP="00F54795" w:rsidRDefault="00A921F9">
      <w:pPr>
        <w:pStyle w:val="ECHRPara"/>
      </w:pPr>
      <w:r w:rsidRPr="00F54795">
        <w:fldChar w:fldCharType="begin"/>
      </w:r>
      <w:r w:rsidRPr="00F54795">
        <w:instrText xml:space="preserve"> SEQ level0 \*arabic </w:instrText>
      </w:r>
      <w:r w:rsidRPr="00F54795">
        <w:fldChar w:fldCharType="separate"/>
      </w:r>
      <w:r w:rsidRPr="00F54795" w:rsidR="00F54795">
        <w:rPr>
          <w:noProof/>
        </w:rPr>
        <w:t>51</w:t>
      </w:r>
      <w:r w:rsidRPr="00F54795">
        <w:fldChar w:fldCharType="end"/>
      </w:r>
      <w:r w:rsidRPr="00F54795">
        <w:t>.  </w:t>
      </w:r>
      <w:r w:rsidRPr="00F54795" w:rsidR="00337419">
        <w:t xml:space="preserve">Article 4 § 1 of Protocol No. 7 to the Convention </w:t>
      </w:r>
      <w:r w:rsidRPr="00F54795" w:rsidR="00252FD8">
        <w:t xml:space="preserve">applies </w:t>
      </w:r>
      <w:r w:rsidRPr="00F54795" w:rsidR="00337419">
        <w:t>when</w:t>
      </w:r>
      <w:r w:rsidRPr="00F54795" w:rsidR="0032229C">
        <w:t xml:space="preserve"> </w:t>
      </w:r>
      <w:r w:rsidRPr="00F54795" w:rsidR="0010640E">
        <w:t xml:space="preserve">a final judgment </w:t>
      </w:r>
      <w:r w:rsidRPr="00F54795" w:rsidR="00337419">
        <w:t>in one of two cases was already obtained (for instance, on account of the delivery of an appeal decision in that case upholding the conviction as a whole or in part</w:t>
      </w:r>
      <w:r w:rsidRPr="00F54795" w:rsidR="0010640E">
        <w:t>,</w:t>
      </w:r>
      <w:r w:rsidRPr="00F54795" w:rsidR="00337419">
        <w:t xml:space="preserve"> or discontinuing the proceedings)</w:t>
      </w:r>
      <w:r w:rsidRPr="00F54795" w:rsidR="0010640E">
        <w:t>,</w:t>
      </w:r>
      <w:r w:rsidRPr="00F54795" w:rsidR="001675EA">
        <w:t xml:space="preserve"> while</w:t>
      </w:r>
      <w:r w:rsidRPr="00F54795" w:rsidR="00337419">
        <w:t xml:space="preserve"> the proceedings in the second case continue</w:t>
      </w:r>
      <w:r w:rsidRPr="00F54795" w:rsidR="001675EA">
        <w:t>.</w:t>
      </w:r>
      <w:r w:rsidRPr="00F54795" w:rsidR="00337419">
        <w:t xml:space="preserve"> Thus, a related complaint should be lodged before this Court</w:t>
      </w:r>
      <w:r w:rsidRPr="00F54795" w:rsidR="00506BEB">
        <w:t>,</w:t>
      </w:r>
      <w:r w:rsidRPr="00F54795" w:rsidR="00337419">
        <w:t xml:space="preserve"> </w:t>
      </w:r>
      <w:r w:rsidRPr="00F54795" w:rsidR="00506BEB">
        <w:t xml:space="preserve">at the latest, within six months of the date on which </w:t>
      </w:r>
      <w:r w:rsidRPr="00F54795" w:rsidR="0010640E">
        <w:t xml:space="preserve">a final judgment has been obtained </w:t>
      </w:r>
      <w:r w:rsidRPr="00F54795" w:rsidR="00506BEB">
        <w:t>in the second case or when the applicant first became aware of it.</w:t>
      </w:r>
    </w:p>
    <w:p w:rsidRPr="00F54795" w:rsidR="00506BEB" w:rsidP="00F54795" w:rsidRDefault="00331105">
      <w:pPr>
        <w:pStyle w:val="ECHRPara"/>
      </w:pPr>
      <w:r w:rsidRPr="00F54795">
        <w:fldChar w:fldCharType="begin"/>
      </w:r>
      <w:r w:rsidRPr="00F54795">
        <w:instrText xml:space="preserve"> SEQ level0 \*arabic </w:instrText>
      </w:r>
      <w:r w:rsidRPr="00F54795">
        <w:fldChar w:fldCharType="separate"/>
      </w:r>
      <w:r w:rsidRPr="00F54795" w:rsidR="00F54795">
        <w:rPr>
          <w:noProof/>
        </w:rPr>
        <w:t>52</w:t>
      </w:r>
      <w:r w:rsidRPr="00F54795">
        <w:rPr>
          <w:noProof/>
        </w:rPr>
        <w:fldChar w:fldCharType="end"/>
      </w:r>
      <w:r w:rsidRPr="00F54795" w:rsidR="00506BEB">
        <w:t xml:space="preserve">.  In the present case, </w:t>
      </w:r>
      <w:r w:rsidRPr="00F54795" w:rsidR="0010640E">
        <w:t xml:space="preserve">a final judgment </w:t>
      </w:r>
      <w:r w:rsidRPr="00F54795" w:rsidR="00711638">
        <w:t xml:space="preserve">in the first case </w:t>
      </w:r>
      <w:r w:rsidRPr="00F54795" w:rsidR="0010640E">
        <w:t xml:space="preserve">was </w:t>
      </w:r>
      <w:r w:rsidRPr="00F54795" w:rsidR="00711638">
        <w:t>obtained on 29 June 2017, immediately prior to the appeal hearing in the second case that resulted in an appeal decision</w:t>
      </w:r>
      <w:r w:rsidRPr="00F54795" w:rsidR="001675EA">
        <w:t xml:space="preserve"> on </w:t>
      </w:r>
      <w:r w:rsidRPr="00F54795" w:rsidR="00711638">
        <w:t>the same date. The applicant then lodged a complaint before the Court on 21 September 2017. Thus, she has complied with the six-month rule.</w:t>
      </w:r>
    </w:p>
    <w:p w:rsidRPr="00F54795" w:rsidR="00FE7A74" w:rsidP="00F54795" w:rsidRDefault="00506BEB">
      <w:pPr>
        <w:pStyle w:val="ECHRHeading4"/>
      </w:pPr>
      <w:r w:rsidRPr="00F54795">
        <w:t>(</w:t>
      </w:r>
      <w:r w:rsidRPr="00F54795" w:rsidR="006E3E03">
        <w:t>c</w:t>
      </w:r>
      <w:r w:rsidRPr="00F54795">
        <w:t>)  </w:t>
      </w:r>
      <w:r w:rsidRPr="00F54795" w:rsidR="00FE7A74">
        <w:t xml:space="preserve">Compatibility </w:t>
      </w:r>
      <w:r w:rsidRPr="00F54795" w:rsidR="00FE7A74">
        <w:rPr>
          <w:i/>
        </w:rPr>
        <w:t>ratione materiae</w:t>
      </w:r>
    </w:p>
    <w:p w:rsidRPr="00F54795" w:rsidR="002834A6" w:rsidP="00F54795" w:rsidRDefault="002834A6">
      <w:pPr>
        <w:pStyle w:val="ECHRPara"/>
        <w:rPr>
          <w:i/>
        </w:rPr>
      </w:pPr>
      <w:r w:rsidRPr="00F54795">
        <w:fldChar w:fldCharType="begin"/>
      </w:r>
      <w:r w:rsidRPr="00F54795">
        <w:instrText xml:space="preserve"> SEQ level0 \*arabic </w:instrText>
      </w:r>
      <w:r w:rsidRPr="00F54795">
        <w:fldChar w:fldCharType="separate"/>
      </w:r>
      <w:r w:rsidRPr="00F54795" w:rsidR="00F54795">
        <w:rPr>
          <w:noProof/>
        </w:rPr>
        <w:t>53</w:t>
      </w:r>
      <w:r w:rsidRPr="00F54795">
        <w:fldChar w:fldCharType="end"/>
      </w:r>
      <w:r w:rsidRPr="00F54795">
        <w:t xml:space="preserve">.  In so far as Article 4 </w:t>
      </w:r>
      <w:r w:rsidRPr="00F54795">
        <w:rPr>
          <w:lang w:val="pt-PT"/>
        </w:rPr>
        <w:t>§ 1 of Protocol No. 7 to the Convention is concerned, t</w:t>
      </w:r>
      <w:r w:rsidRPr="00F54795">
        <w:t xml:space="preserve">he Court has previously considered, in view of the so-called </w:t>
      </w:r>
      <w:r w:rsidRPr="00F54795">
        <w:rPr>
          <w:i/>
        </w:rPr>
        <w:t>Engel</w:t>
      </w:r>
      <w:r w:rsidRPr="00F54795">
        <w:t xml:space="preserve"> criteria, that proceedings relating to charges under the CAO, namely those under its Articles 20.2 or 19.3, were “criminal charges” within the meaning of Article 6 § 1 of the Convention (see </w:t>
      </w:r>
      <w:r w:rsidRPr="00F54795">
        <w:rPr>
          <w:i/>
        </w:rPr>
        <w:t>Navalnyy</w:t>
      </w:r>
      <w:r w:rsidRPr="00F54795">
        <w:t xml:space="preserve">, cited above, §§ 77-80, with the references cited therein). </w:t>
      </w:r>
      <w:r w:rsidRPr="00F54795" w:rsidR="008F34C9">
        <w:t>“Criminal proceedings” for the purposes of</w:t>
      </w:r>
      <w:r w:rsidRPr="00F54795">
        <w:t xml:space="preserve"> Article 4 § 1 of Protocol No. 7 to the Convention</w:t>
      </w:r>
      <w:r w:rsidRPr="00F54795" w:rsidR="008F34C9">
        <w:t xml:space="preserve"> are interpreted in the same way</w:t>
      </w:r>
      <w:r w:rsidRPr="00F54795">
        <w:t xml:space="preserve"> (see </w:t>
      </w:r>
      <w:r w:rsidRPr="00F54795">
        <w:rPr>
          <w:i/>
        </w:rPr>
        <w:t>A and B v.</w:t>
      </w:r>
      <w:r w:rsidRPr="00F54795" w:rsidR="00580AA8">
        <w:rPr>
          <w:rFonts w:ascii="Sylfaen" w:hAnsi="Sylfaen"/>
          <w:i/>
          <w:lang w:val="hy-AM"/>
        </w:rPr>
        <w:t> </w:t>
      </w:r>
      <w:r w:rsidRPr="00F54795">
        <w:rPr>
          <w:i/>
        </w:rPr>
        <w:t xml:space="preserve">Norway </w:t>
      </w:r>
      <w:r w:rsidRPr="00F54795">
        <w:t>[GC], nos. 24130/11 and 29758/11, §§ 107 and 136, 15</w:t>
      </w:r>
      <w:r w:rsidRPr="00F54795" w:rsidR="007C2BAE">
        <w:rPr>
          <w:rFonts w:ascii="Sylfaen" w:hAnsi="Sylfaen"/>
          <w:lang w:val="hy-AM"/>
        </w:rPr>
        <w:t> </w:t>
      </w:r>
      <w:r w:rsidRPr="00F54795">
        <w:t>November 2016). Th</w:t>
      </w:r>
      <w:r w:rsidRPr="00F54795" w:rsidR="008F34C9">
        <w:t>e Court finds that</w:t>
      </w:r>
      <w:r w:rsidRPr="00F54795">
        <w:t xml:space="preserve"> both sets of proceedings against the applicant were “criminal proceedings”</w:t>
      </w:r>
      <w:r w:rsidRPr="00F54795" w:rsidR="008955FC">
        <w:t xml:space="preserve"> </w:t>
      </w:r>
      <w:r w:rsidRPr="00F54795">
        <w:t>within the meaning of that provision.</w:t>
      </w:r>
    </w:p>
    <w:p w:rsidRPr="00F54795" w:rsidR="00506BEB" w:rsidP="00F54795" w:rsidRDefault="00FE7A74">
      <w:pPr>
        <w:pStyle w:val="ECHRHeading4"/>
      </w:pPr>
      <w:r w:rsidRPr="00F54795">
        <w:t>(</w:t>
      </w:r>
      <w:r w:rsidRPr="00F54795" w:rsidR="006E3E03">
        <w:t>d</w:t>
      </w:r>
      <w:r w:rsidRPr="00F54795">
        <w:t>)  </w:t>
      </w:r>
      <w:r w:rsidRPr="00F54795" w:rsidR="00506BEB">
        <w:t>Other admissibility criteria</w:t>
      </w:r>
      <w:r w:rsidRPr="00F54795">
        <w:t xml:space="preserve"> and conclusion</w:t>
      </w:r>
    </w:p>
    <w:p w:rsidRPr="00F54795" w:rsidR="00C60712" w:rsidP="00F54795" w:rsidRDefault="00C60712">
      <w:pPr>
        <w:pStyle w:val="ECHRPara"/>
      </w:pPr>
      <w:r w:rsidRPr="00F54795">
        <w:fldChar w:fldCharType="begin"/>
      </w:r>
      <w:r w:rsidRPr="00F54795">
        <w:instrText xml:space="preserve"> SEQ level0 \*arabic </w:instrText>
      </w:r>
      <w:r w:rsidRPr="00F54795">
        <w:fldChar w:fldCharType="separate"/>
      </w:r>
      <w:r w:rsidRPr="00F54795" w:rsidR="00F54795">
        <w:rPr>
          <w:noProof/>
        </w:rPr>
        <w:t>54</w:t>
      </w:r>
      <w:r w:rsidRPr="00F54795">
        <w:fldChar w:fldCharType="end"/>
      </w:r>
      <w:r w:rsidRPr="00F54795">
        <w:t>.  The Court notes that this complaint is not manifestly ill-founded within the meaning of Article 35 § 3 (a) of the Convention. It further notes that it is not inadmissible on any other grounds. It must therefore be declared admissible.</w:t>
      </w:r>
    </w:p>
    <w:p w:rsidRPr="00F54795" w:rsidR="00632858" w:rsidP="00F54795" w:rsidRDefault="00632858">
      <w:pPr>
        <w:pStyle w:val="ECHRHeading3"/>
      </w:pPr>
      <w:r w:rsidRPr="00F54795">
        <w:t>2.  Merits</w:t>
      </w:r>
    </w:p>
    <w:p w:rsidRPr="00F54795" w:rsidR="00632858" w:rsidP="00F54795" w:rsidRDefault="00632858">
      <w:pPr>
        <w:pStyle w:val="ECHRHeading4"/>
      </w:pPr>
      <w:r w:rsidRPr="00F54795">
        <w:t>(a)  General principles and the applicable approach</w:t>
      </w:r>
    </w:p>
    <w:p w:rsidRPr="00F54795" w:rsidR="001675EA" w:rsidP="00F54795" w:rsidRDefault="00331105">
      <w:pPr>
        <w:pStyle w:val="ECHRPara"/>
        <w:rPr>
          <w:lang w:val="pt-PT"/>
        </w:rPr>
      </w:pPr>
      <w:r w:rsidRPr="00F54795">
        <w:fldChar w:fldCharType="begin"/>
      </w:r>
      <w:r w:rsidRPr="00F54795">
        <w:instrText xml:space="preserve"> SEQ level0 \*arabic </w:instrText>
      </w:r>
      <w:r w:rsidRPr="00F54795">
        <w:fldChar w:fldCharType="separate"/>
      </w:r>
      <w:r w:rsidRPr="00F54795" w:rsidR="00F54795">
        <w:rPr>
          <w:noProof/>
        </w:rPr>
        <w:t>55</w:t>
      </w:r>
      <w:r w:rsidRPr="00F54795">
        <w:rPr>
          <w:noProof/>
        </w:rPr>
        <w:fldChar w:fldCharType="end"/>
      </w:r>
      <w:r w:rsidRPr="00F54795" w:rsidR="001675EA">
        <w:t xml:space="preserve">.  Article 4 of Protocol No. 7 </w:t>
      </w:r>
      <w:r w:rsidRPr="00F54795" w:rsidR="006F010D">
        <w:t>is</w:t>
      </w:r>
      <w:r w:rsidRPr="00F54795" w:rsidR="001675EA">
        <w:t xml:space="preserve"> understood as prohibiting the prosecution or trial of a second “offence” in so far as it arose from identical facts or facts which were substantially the same (see </w:t>
      </w:r>
      <w:r w:rsidRPr="00F54795" w:rsidR="001675EA">
        <w:rPr>
          <w:i/>
          <w:lang w:val="pt-PT"/>
        </w:rPr>
        <w:t xml:space="preserve">Marguš v. Croatia </w:t>
      </w:r>
      <w:r w:rsidRPr="00F54795" w:rsidR="001675EA">
        <w:rPr>
          <w:lang w:val="pt-PT"/>
        </w:rPr>
        <w:t>[GC]</w:t>
      </w:r>
      <w:r w:rsidRPr="00F54795" w:rsidR="001675EA">
        <w:rPr>
          <w:snapToGrid w:val="0"/>
          <w:lang w:val="pt-PT"/>
        </w:rPr>
        <w:t>, no.</w:t>
      </w:r>
      <w:r w:rsidRPr="00F54795" w:rsidR="001675EA">
        <w:rPr>
          <w:lang w:val="pt-PT"/>
        </w:rPr>
        <w:t xml:space="preserve"> 4455/10, § 114, ECHR 2014 (extracts)).</w:t>
      </w:r>
    </w:p>
    <w:p w:rsidRPr="00F54795" w:rsidR="00BF4D9D" w:rsidP="00F54795" w:rsidRDefault="00632858">
      <w:pPr>
        <w:pStyle w:val="ECHRPara"/>
        <w:rPr>
          <w:rFonts w:eastAsia="Times New Roman"/>
          <w:sz w:val="17"/>
          <w:szCs w:val="17"/>
        </w:rPr>
      </w:pPr>
      <w:r w:rsidRPr="00F54795">
        <w:fldChar w:fldCharType="begin"/>
      </w:r>
      <w:r w:rsidRPr="00F54795">
        <w:instrText xml:space="preserve"> SEQ level0 \*arabic </w:instrText>
      </w:r>
      <w:r w:rsidRPr="00F54795">
        <w:fldChar w:fldCharType="separate"/>
      </w:r>
      <w:r w:rsidRPr="00F54795" w:rsidR="00F54795">
        <w:rPr>
          <w:noProof/>
        </w:rPr>
        <w:t>56</w:t>
      </w:r>
      <w:r w:rsidRPr="00F54795">
        <w:fldChar w:fldCharType="end"/>
      </w:r>
      <w:r w:rsidRPr="00F54795">
        <w:t>.  </w:t>
      </w:r>
      <w:r w:rsidRPr="00F54795" w:rsidR="00BF4D9D">
        <w:rPr>
          <w:rFonts w:eastAsia="Times New Roman"/>
        </w:rPr>
        <w:t>States should be able legitimately to choose complementary legal responses to socially offensive conduct (such as non-compliance with road</w:t>
      </w:r>
      <w:r w:rsidRPr="00F54795" w:rsidR="004A3D2C">
        <w:rPr>
          <w:rFonts w:eastAsia="Times New Roman"/>
        </w:rPr>
        <w:noBreakHyphen/>
      </w:r>
      <w:r w:rsidRPr="00F54795" w:rsidR="00BF4D9D">
        <w:rPr>
          <w:rFonts w:eastAsia="Times New Roman"/>
        </w:rPr>
        <w:t xml:space="preserve">traffic regulations or non-payment/evasion of taxes) through different procedures forming a coherent whole so as to address different aspects of the social problem involved, provided that the accumulated legal responses do not represent an excessive burden for the individual concerned (see </w:t>
      </w:r>
      <w:r w:rsidRPr="00F54795" w:rsidR="00F54795">
        <w:rPr>
          <w:i/>
        </w:rPr>
        <w:t>A </w:t>
      </w:r>
      <w:r w:rsidRPr="00F54795" w:rsidR="00BF4D9D">
        <w:rPr>
          <w:i/>
        </w:rPr>
        <w:t>and B v. Norway</w:t>
      </w:r>
      <w:r w:rsidRPr="00F54795" w:rsidR="00BF4D9D">
        <w:t xml:space="preserve">, cited above, § 121). </w:t>
      </w:r>
      <w:r w:rsidRPr="00F54795" w:rsidR="00BF4D9D">
        <w:rPr>
          <w:rFonts w:eastAsia="Times New Roman"/>
        </w:rPr>
        <w:t>In cases raising an issue under Article</w:t>
      </w:r>
      <w:r w:rsidRPr="00F54795" w:rsidR="006824FE">
        <w:rPr>
          <w:rFonts w:eastAsia="Times New Roman"/>
        </w:rPr>
        <w:t> </w:t>
      </w:r>
      <w:r w:rsidRPr="00F54795" w:rsidR="00BF4D9D">
        <w:rPr>
          <w:rFonts w:eastAsia="Times New Roman"/>
        </w:rPr>
        <w:t xml:space="preserve">4 of Protocol No. 7, it </w:t>
      </w:r>
      <w:r w:rsidRPr="00F54795" w:rsidR="001675EA">
        <w:rPr>
          <w:rFonts w:eastAsia="Times New Roman"/>
        </w:rPr>
        <w:t>should be determined</w:t>
      </w:r>
      <w:r w:rsidRPr="00F54795" w:rsidR="00BF4D9D">
        <w:rPr>
          <w:rFonts w:eastAsia="Times New Roman"/>
        </w:rPr>
        <w:t xml:space="preserve"> whether the specific national measure complained of entails, in substance or in effect, double jeopardy to the detriment of the individual or whether, in contrast, it is the product of an integrated system enabling different aspects of the wrongdoing to be addressed in a foreseeable and proportionate manner forming a coherent whole, so that the individual concerned is not thereby subjected to injustice (</w:t>
      </w:r>
      <w:r w:rsidRPr="00F54795" w:rsidR="005B7DCD">
        <w:rPr>
          <w:rFonts w:eastAsia="Times New Roman"/>
        </w:rPr>
        <w:t xml:space="preserve">ibid., </w:t>
      </w:r>
      <w:r w:rsidRPr="00F54795" w:rsidR="00BF4D9D">
        <w:t>§ 12</w:t>
      </w:r>
      <w:r w:rsidRPr="00F54795" w:rsidR="005B7DCD">
        <w:t>2</w:t>
      </w:r>
      <w:r w:rsidRPr="00F54795" w:rsidR="00BF4D9D">
        <w:t>)</w:t>
      </w:r>
      <w:r w:rsidRPr="00F54795" w:rsidR="00BF4D9D">
        <w:rPr>
          <w:rFonts w:eastAsia="Times New Roman"/>
        </w:rPr>
        <w:t>.</w:t>
      </w:r>
      <w:r w:rsidRPr="00F54795" w:rsidR="008955FC">
        <w:rPr>
          <w:rFonts w:eastAsia="Times New Roman"/>
        </w:rPr>
        <w:t xml:space="preserve"> </w:t>
      </w:r>
      <w:r w:rsidRPr="00F54795" w:rsidR="00BF4D9D">
        <w:rPr>
          <w:rFonts w:eastAsia="Times New Roman"/>
        </w:rPr>
        <w:t>The object of Article 4 of Protocol</w:t>
      </w:r>
      <w:r w:rsidRPr="00F54795" w:rsidR="00F54795">
        <w:rPr>
          <w:rFonts w:eastAsia="Times New Roman"/>
        </w:rPr>
        <w:t> </w:t>
      </w:r>
      <w:r w:rsidRPr="00F54795" w:rsidR="00BF4D9D">
        <w:rPr>
          <w:rFonts w:eastAsia="Times New Roman"/>
        </w:rPr>
        <w:t>No.</w:t>
      </w:r>
      <w:r w:rsidRPr="00F54795" w:rsidR="008C2D5F">
        <w:rPr>
          <w:rFonts w:eastAsia="Times New Roman"/>
        </w:rPr>
        <w:t> </w:t>
      </w:r>
      <w:r w:rsidRPr="00F54795" w:rsidR="00BF4D9D">
        <w:rPr>
          <w:rFonts w:eastAsia="Times New Roman"/>
        </w:rPr>
        <w:t>7 is to prevent the injustice of a person</w:t>
      </w:r>
      <w:r w:rsidRPr="00F54795" w:rsidR="00F54795">
        <w:rPr>
          <w:rFonts w:eastAsia="Times New Roman"/>
        </w:rPr>
        <w:t>’</w:t>
      </w:r>
      <w:r w:rsidRPr="00F54795" w:rsidR="00BF4D9D">
        <w:rPr>
          <w:rFonts w:eastAsia="Times New Roman"/>
        </w:rPr>
        <w:t>s being prosecuted or punished twice for the same criminalised conduct. It does not, however, outlaw legal systems which take an “integrated” approach to the social wrongdoing in question, in particular an approach involving parallel stages of legal response to the wrongdoing by different authorities and for different purposes (</w:t>
      </w:r>
      <w:r w:rsidRPr="00F54795" w:rsidR="005B7DCD">
        <w:rPr>
          <w:rFonts w:eastAsia="Times New Roman"/>
        </w:rPr>
        <w:t xml:space="preserve">ibid., </w:t>
      </w:r>
      <w:r w:rsidRPr="00F54795" w:rsidR="00BF4D9D">
        <w:t>§ 123).</w:t>
      </w:r>
    </w:p>
    <w:bookmarkStart w:name="x" w:id="20"/>
    <w:p w:rsidRPr="00F54795" w:rsidR="00BF4D9D" w:rsidP="00F54795" w:rsidRDefault="00BF4D9D">
      <w:pPr>
        <w:pStyle w:val="ECHRPara"/>
        <w:rPr>
          <w:rFonts w:eastAsia="Times New Roman"/>
          <w:sz w:val="17"/>
          <w:szCs w:val="17"/>
        </w:rPr>
      </w:pPr>
      <w:r w:rsidRPr="00F54795">
        <w:rPr>
          <w:rFonts w:eastAsia="Times New Roman"/>
        </w:rPr>
        <w:fldChar w:fldCharType="begin"/>
      </w:r>
      <w:r w:rsidRPr="00F54795">
        <w:rPr>
          <w:rFonts w:eastAsia="Times New Roman"/>
        </w:rPr>
        <w:instrText xml:space="preserve"> SEQ level0 \*arabic </w:instrText>
      </w:r>
      <w:r w:rsidRPr="00F54795">
        <w:rPr>
          <w:rFonts w:eastAsia="Times New Roman"/>
        </w:rPr>
        <w:fldChar w:fldCharType="separate"/>
      </w:r>
      <w:r w:rsidRPr="00F54795" w:rsidR="00F54795">
        <w:rPr>
          <w:rFonts w:eastAsia="Times New Roman"/>
          <w:noProof/>
        </w:rPr>
        <w:t>57</w:t>
      </w:r>
      <w:r w:rsidRPr="00F54795">
        <w:rPr>
          <w:rFonts w:eastAsia="Times New Roman"/>
        </w:rPr>
        <w:fldChar w:fldCharType="end"/>
      </w:r>
      <w:bookmarkEnd w:id="20"/>
      <w:r w:rsidRPr="00F54795">
        <w:rPr>
          <w:rFonts w:eastAsia="Times New Roman"/>
        </w:rPr>
        <w:t>.  Article 4 of Protocol No. 7 does not exclude the conduct of dual proceedings, provided that certain conditions are fulfilled. In particular, for the Court to be satisfied that there is no duplication of trial or punishment (</w:t>
      </w:r>
      <w:r w:rsidRPr="00F54795">
        <w:rPr>
          <w:rFonts w:eastAsia="Times New Roman"/>
          <w:i/>
          <w:iCs/>
        </w:rPr>
        <w:t>bis</w:t>
      </w:r>
      <w:r w:rsidRPr="00F54795">
        <w:rPr>
          <w:rFonts w:eastAsia="Times New Roman"/>
        </w:rPr>
        <w:t xml:space="preserve">) as proscribed by Article 4 of Protocol No. 7, the respondent State must demonstrate convincingly that the dual proceedings in question </w:t>
      </w:r>
      <w:r w:rsidRPr="00F54795" w:rsidR="003D1D84">
        <w:rPr>
          <w:rFonts w:eastAsia="Times New Roman"/>
        </w:rPr>
        <w:t xml:space="preserve">were </w:t>
      </w:r>
      <w:r w:rsidRPr="00F54795">
        <w:rPr>
          <w:rFonts w:eastAsia="Times New Roman"/>
        </w:rPr>
        <w:t xml:space="preserve">“sufficiently closely connected in substance and in time”. In other words, it must be shown that they </w:t>
      </w:r>
      <w:r w:rsidRPr="00F54795" w:rsidR="003D1D84">
        <w:rPr>
          <w:rFonts w:eastAsia="Times New Roman"/>
        </w:rPr>
        <w:t xml:space="preserve">were </w:t>
      </w:r>
      <w:r w:rsidRPr="00F54795">
        <w:rPr>
          <w:rFonts w:eastAsia="Times New Roman"/>
        </w:rPr>
        <w:t>combined in an integrated manner so as to form a coherent whole. This implies not only that the purposes pursued and the means used to achieve them should in essence be complementary and linked in time, but also that the possible consequences of organising the legal treatment of the conduct concerned in such a manner should be proportionate and foreseeable for the persons affected (</w:t>
      </w:r>
      <w:r w:rsidRPr="00F54795" w:rsidR="003D1D84">
        <w:rPr>
          <w:rFonts w:eastAsia="Times New Roman"/>
        </w:rPr>
        <w:t xml:space="preserve">ibid., </w:t>
      </w:r>
      <w:r w:rsidRPr="00F54795">
        <w:t xml:space="preserve">§ 130). </w:t>
      </w:r>
      <w:r w:rsidRPr="00F54795">
        <w:rPr>
          <w:rFonts w:eastAsia="Times New Roman"/>
        </w:rPr>
        <w:t>As regards the conditions to be satisfied in order for dual criminal and administrative proceedings to be regarded as sufficiently connected in substance and in ti</w:t>
      </w:r>
      <w:r w:rsidRPr="00F54795" w:rsidR="00F54795">
        <w:rPr>
          <w:rFonts w:eastAsia="Times New Roman"/>
        </w:rPr>
        <w:t xml:space="preserve">me and thus compatible with the </w:t>
      </w:r>
      <w:r w:rsidRPr="00F54795">
        <w:rPr>
          <w:rFonts w:eastAsia="Times New Roman"/>
          <w:i/>
          <w:iCs/>
        </w:rPr>
        <w:t>bis</w:t>
      </w:r>
      <w:r w:rsidRPr="00F54795" w:rsidR="00F54795">
        <w:rPr>
          <w:rFonts w:eastAsia="Times New Roman"/>
        </w:rPr>
        <w:t xml:space="preserve"> </w:t>
      </w:r>
      <w:r w:rsidRPr="00F54795">
        <w:rPr>
          <w:rFonts w:eastAsia="Times New Roman"/>
        </w:rPr>
        <w:t xml:space="preserve">criterion in Article 4 of Protocol No. 7, </w:t>
      </w:r>
      <w:r w:rsidRPr="00F54795" w:rsidR="003D1D84">
        <w:rPr>
          <w:rFonts w:eastAsia="Times New Roman"/>
        </w:rPr>
        <w:t xml:space="preserve">the </w:t>
      </w:r>
      <w:r w:rsidRPr="00F54795">
        <w:rPr>
          <w:rFonts w:eastAsia="Times New Roman"/>
        </w:rPr>
        <w:t xml:space="preserve">material factors for determining whether there </w:t>
      </w:r>
      <w:r w:rsidRPr="00F54795" w:rsidR="0008375E">
        <w:rPr>
          <w:rFonts w:eastAsia="Times New Roman"/>
        </w:rPr>
        <w:t xml:space="preserve">was </w:t>
      </w:r>
      <w:r w:rsidRPr="00F54795">
        <w:rPr>
          <w:rFonts w:eastAsia="Times New Roman"/>
        </w:rPr>
        <w:t>a sufficiently close connection in substance include:</w:t>
      </w:r>
    </w:p>
    <w:p w:rsidRPr="00F54795" w:rsidR="00BF4D9D" w:rsidP="00F54795" w:rsidRDefault="00F54795">
      <w:pPr>
        <w:pStyle w:val="ECHRPara"/>
        <w:rPr>
          <w:rFonts w:eastAsia="Times New Roman"/>
          <w:sz w:val="17"/>
          <w:szCs w:val="17"/>
        </w:rPr>
      </w:pPr>
      <w:r w:rsidRPr="00F54795">
        <w:rPr>
          <w:rFonts w:eastAsia="Times New Roman"/>
        </w:rPr>
        <w:t>-  </w:t>
      </w:r>
      <w:r w:rsidRPr="00F54795" w:rsidR="00BF4D9D">
        <w:rPr>
          <w:rFonts w:eastAsia="Times New Roman"/>
        </w:rPr>
        <w:t>whether the different proceedings pursue complementary purposes and thus address</w:t>
      </w:r>
      <w:r w:rsidRPr="00F54795" w:rsidR="0008375E">
        <w:rPr>
          <w:rFonts w:eastAsia="Times New Roman"/>
        </w:rPr>
        <w:t>ed</w:t>
      </w:r>
      <w:r w:rsidRPr="00F54795" w:rsidR="00BF4D9D">
        <w:rPr>
          <w:rFonts w:eastAsia="Times New Roman"/>
        </w:rPr>
        <w:t>, not only </w:t>
      </w:r>
      <w:r w:rsidRPr="00F54795" w:rsidR="00BF4D9D">
        <w:rPr>
          <w:rFonts w:eastAsia="Times New Roman"/>
          <w:i/>
          <w:iCs/>
        </w:rPr>
        <w:t>in abstracto</w:t>
      </w:r>
      <w:r w:rsidRPr="00F54795" w:rsidR="00BF4D9D">
        <w:rPr>
          <w:rFonts w:eastAsia="Times New Roman"/>
        </w:rPr>
        <w:t> but also </w:t>
      </w:r>
      <w:r w:rsidRPr="00F54795" w:rsidR="00BF4D9D">
        <w:rPr>
          <w:rFonts w:eastAsia="Times New Roman"/>
          <w:i/>
          <w:iCs/>
        </w:rPr>
        <w:t>in concreto</w:t>
      </w:r>
      <w:r w:rsidRPr="00F54795" w:rsidR="00BF4D9D">
        <w:rPr>
          <w:rFonts w:eastAsia="Times New Roman"/>
        </w:rPr>
        <w:t>, different aspects of the social misconduct involved;</w:t>
      </w:r>
    </w:p>
    <w:p w:rsidRPr="00F54795" w:rsidR="00BF4D9D" w:rsidP="00F54795" w:rsidRDefault="00F54795">
      <w:pPr>
        <w:pStyle w:val="ECHRPara"/>
        <w:rPr>
          <w:rFonts w:eastAsia="Times New Roman"/>
          <w:sz w:val="17"/>
          <w:szCs w:val="17"/>
        </w:rPr>
      </w:pPr>
      <w:r w:rsidRPr="00F54795">
        <w:rPr>
          <w:rFonts w:eastAsia="Times New Roman"/>
        </w:rPr>
        <w:t>-  </w:t>
      </w:r>
      <w:r w:rsidRPr="00F54795" w:rsidR="00BF4D9D">
        <w:rPr>
          <w:rFonts w:eastAsia="Times New Roman"/>
        </w:rPr>
        <w:t xml:space="preserve">whether the duality of proceedings concerned </w:t>
      </w:r>
      <w:r w:rsidRPr="00F54795" w:rsidR="0008375E">
        <w:rPr>
          <w:rFonts w:eastAsia="Times New Roman"/>
        </w:rPr>
        <w:t xml:space="preserve">was </w:t>
      </w:r>
      <w:r w:rsidRPr="00F54795" w:rsidR="00BF4D9D">
        <w:rPr>
          <w:rFonts w:eastAsia="Times New Roman"/>
        </w:rPr>
        <w:t>a foreseeable consequence, both in law and in practice, of the same impugned conduct (</w:t>
      </w:r>
      <w:r w:rsidRPr="00F54795" w:rsidR="00BF4D9D">
        <w:rPr>
          <w:rFonts w:eastAsia="Times New Roman"/>
          <w:i/>
          <w:iCs/>
        </w:rPr>
        <w:t>idem</w:t>
      </w:r>
      <w:r w:rsidRPr="00F54795" w:rsidR="00BF4D9D">
        <w:rPr>
          <w:rFonts w:eastAsia="Times New Roman"/>
        </w:rPr>
        <w:t>);</w:t>
      </w:r>
    </w:p>
    <w:p w:rsidRPr="00F54795" w:rsidR="00BF4D9D" w:rsidP="00F54795" w:rsidRDefault="00F54795">
      <w:pPr>
        <w:pStyle w:val="ECHRPara"/>
        <w:rPr>
          <w:rFonts w:eastAsia="Times New Roman"/>
          <w:sz w:val="17"/>
          <w:szCs w:val="17"/>
        </w:rPr>
      </w:pPr>
      <w:r w:rsidRPr="00F54795">
        <w:rPr>
          <w:rFonts w:eastAsia="Times New Roman"/>
        </w:rPr>
        <w:t>-  </w:t>
      </w:r>
      <w:r w:rsidRPr="00F54795" w:rsidR="00BF4D9D">
        <w:rPr>
          <w:rFonts w:eastAsia="Times New Roman"/>
        </w:rPr>
        <w:t xml:space="preserve">whether the relevant sets of proceedings </w:t>
      </w:r>
      <w:r w:rsidRPr="00F54795" w:rsidR="0008375E">
        <w:rPr>
          <w:rFonts w:eastAsia="Times New Roman"/>
        </w:rPr>
        <w:t xml:space="preserve">were </w:t>
      </w:r>
      <w:r w:rsidRPr="00F54795" w:rsidR="00BF4D9D">
        <w:rPr>
          <w:rFonts w:eastAsia="Times New Roman"/>
        </w:rPr>
        <w:t>conducted in such a manner as to avoid as far as possible any duplication in the collection as well as the assessment of the evidence, notably through adequate interaction between the various competent authorities to bring about that the establishment of facts in one set is also used in the other set;</w:t>
      </w:r>
    </w:p>
    <w:p w:rsidRPr="00F54795" w:rsidR="00BF4D9D" w:rsidP="00F54795" w:rsidRDefault="00F54795">
      <w:pPr>
        <w:pStyle w:val="ECHRPara"/>
        <w:rPr>
          <w:rFonts w:eastAsia="Times New Roman"/>
          <w:sz w:val="17"/>
          <w:szCs w:val="17"/>
        </w:rPr>
      </w:pPr>
      <w:r w:rsidRPr="00F54795">
        <w:rPr>
          <w:rFonts w:eastAsia="Times New Roman"/>
        </w:rPr>
        <w:t>-  </w:t>
      </w:r>
      <w:r w:rsidRPr="00F54795" w:rsidR="00BF4D9D">
        <w:rPr>
          <w:rFonts w:eastAsia="Times New Roman"/>
        </w:rPr>
        <w:t>and, above all, whether the sanction imposed in the proceedings which bec</w:t>
      </w:r>
      <w:r w:rsidRPr="00F54795" w:rsidR="0008375E">
        <w:rPr>
          <w:rFonts w:eastAsia="Times New Roman"/>
        </w:rPr>
        <w:t>a</w:t>
      </w:r>
      <w:r w:rsidRPr="00F54795" w:rsidR="00BF4D9D">
        <w:rPr>
          <w:rFonts w:eastAsia="Times New Roman"/>
        </w:rPr>
        <w:t xml:space="preserve">me final first </w:t>
      </w:r>
      <w:r w:rsidRPr="00F54795" w:rsidR="0008375E">
        <w:rPr>
          <w:rFonts w:eastAsia="Times New Roman"/>
        </w:rPr>
        <w:t xml:space="preserve">was </w:t>
      </w:r>
      <w:r w:rsidRPr="00F54795" w:rsidR="00BF4D9D">
        <w:rPr>
          <w:rFonts w:eastAsia="Times New Roman"/>
        </w:rPr>
        <w:t>taken into account in those which bec</w:t>
      </w:r>
      <w:r w:rsidRPr="00F54795" w:rsidR="0008375E">
        <w:rPr>
          <w:rFonts w:eastAsia="Times New Roman"/>
        </w:rPr>
        <w:t>a</w:t>
      </w:r>
      <w:r w:rsidRPr="00F54795" w:rsidR="00BF4D9D">
        <w:rPr>
          <w:rFonts w:eastAsia="Times New Roman"/>
        </w:rPr>
        <w:t xml:space="preserve">me final last, so as to prevent the individual concerned </w:t>
      </w:r>
      <w:r w:rsidRPr="00F54795" w:rsidR="0008375E">
        <w:rPr>
          <w:rFonts w:eastAsia="Times New Roman"/>
        </w:rPr>
        <w:t xml:space="preserve">from being </w:t>
      </w:r>
      <w:r w:rsidRPr="00F54795" w:rsidR="00BF4D9D">
        <w:rPr>
          <w:rFonts w:eastAsia="Times New Roman"/>
        </w:rPr>
        <w:t>in the end made to bear an excessive burden</w:t>
      </w:r>
      <w:r w:rsidRPr="00F54795" w:rsidR="0008375E">
        <w:rPr>
          <w:rFonts w:eastAsia="Times New Roman"/>
        </w:rPr>
        <w:t>;</w:t>
      </w:r>
      <w:r w:rsidRPr="00F54795" w:rsidR="00BF4D9D">
        <w:rPr>
          <w:rFonts w:eastAsia="Times New Roman"/>
        </w:rPr>
        <w:t xml:space="preserve"> this latter risk </w:t>
      </w:r>
      <w:r w:rsidRPr="00F54795" w:rsidR="0008375E">
        <w:rPr>
          <w:rFonts w:eastAsia="Times New Roman"/>
        </w:rPr>
        <w:t xml:space="preserve">is </w:t>
      </w:r>
      <w:r w:rsidRPr="00F54795" w:rsidR="00BF4D9D">
        <w:rPr>
          <w:rFonts w:eastAsia="Times New Roman"/>
        </w:rPr>
        <w:t>least likely to be present where there is in place an offsetting mechanism designed to ensure that the overall amount of any penalties imposed is proportionate</w:t>
      </w:r>
      <w:r w:rsidRPr="00F54795" w:rsidR="003D1D84">
        <w:rPr>
          <w:rFonts w:eastAsia="Times New Roman"/>
        </w:rPr>
        <w:t xml:space="preserve"> (ibid., </w:t>
      </w:r>
      <w:r w:rsidRPr="00F54795" w:rsidR="003D1D84">
        <w:t>§§ 130-31)</w:t>
      </w:r>
      <w:r w:rsidRPr="00F54795" w:rsidR="00BF4D9D">
        <w:rPr>
          <w:rFonts w:eastAsia="Times New Roman"/>
        </w:rPr>
        <w:t>.</w:t>
      </w:r>
    </w:p>
    <w:p w:rsidRPr="00F54795" w:rsidR="00632858" w:rsidP="00F54795" w:rsidRDefault="00632858">
      <w:pPr>
        <w:pStyle w:val="ECHRHeading4"/>
      </w:pPr>
      <w:r w:rsidRPr="00F54795">
        <w:t>(b)  Application of the principles in the present case</w:t>
      </w:r>
    </w:p>
    <w:bookmarkStart w:name="P7onPlenary" w:id="21"/>
    <w:p w:rsidRPr="00F54795" w:rsidR="00706F75" w:rsidP="00F54795" w:rsidRDefault="00706F75">
      <w:pPr>
        <w:pStyle w:val="ECHRPara"/>
      </w:pPr>
      <w:r w:rsidRPr="00F54795">
        <w:fldChar w:fldCharType="begin"/>
      </w:r>
      <w:r w:rsidRPr="00F54795">
        <w:instrText xml:space="preserve"> SEQ level0 \*arabic </w:instrText>
      </w:r>
      <w:r w:rsidRPr="00F54795">
        <w:fldChar w:fldCharType="separate"/>
      </w:r>
      <w:r w:rsidRPr="00F54795" w:rsidR="00F54795">
        <w:rPr>
          <w:noProof/>
        </w:rPr>
        <w:t>58</w:t>
      </w:r>
      <w:r w:rsidRPr="00F54795">
        <w:rPr>
          <w:noProof/>
        </w:rPr>
        <w:fldChar w:fldCharType="end"/>
      </w:r>
      <w:r w:rsidRPr="00F54795">
        <w:t xml:space="preserve">.  Firstly, it has not been argued, and the Court does not find it established, that two sets of proceedings under Articles 20.2 </w:t>
      </w:r>
      <w:r w:rsidRPr="00F54795">
        <w:rPr>
          <w:lang w:val="pt-PT"/>
        </w:rPr>
        <w:t>§</w:t>
      </w:r>
      <w:r w:rsidRPr="00F54795">
        <w:t xml:space="preserve"> 5 and 19.3 </w:t>
      </w:r>
      <w:r w:rsidRPr="00F54795">
        <w:rPr>
          <w:lang w:val="pt-PT"/>
        </w:rPr>
        <w:t>§ </w:t>
      </w:r>
      <w:r w:rsidRPr="00F54795">
        <w:t>1 of the CAO should be regarded as forming an integrated legal response to the applicant</w:t>
      </w:r>
      <w:r w:rsidRPr="00F54795" w:rsidR="00F54795">
        <w:t>’</w:t>
      </w:r>
      <w:r w:rsidRPr="00F54795">
        <w:t xml:space="preserve">s conduct and, even less, that the conditions mentioned in paragraph </w:t>
      </w:r>
      <w:r w:rsidRPr="00F54795">
        <w:fldChar w:fldCharType="begin"/>
      </w:r>
      <w:r w:rsidRPr="00F54795">
        <w:instrText xml:space="preserve"> REF  x \h </w:instrText>
      </w:r>
      <w:r w:rsidRPr="00F54795" w:rsidR="001772FB">
        <w:instrText xml:space="preserve"> \* MERGEFORMAT </w:instrText>
      </w:r>
      <w:r w:rsidRPr="00F54795">
        <w:fldChar w:fldCharType="separate"/>
      </w:r>
      <w:r w:rsidRPr="00F54795" w:rsidR="00F54795">
        <w:rPr>
          <w:rFonts w:eastAsia="Times New Roman"/>
          <w:noProof/>
        </w:rPr>
        <w:t>57</w:t>
      </w:r>
      <w:r w:rsidRPr="00F54795">
        <w:fldChar w:fldCharType="end"/>
      </w:r>
      <w:r w:rsidRPr="00F54795">
        <w:t xml:space="preserve"> have been met. Indeed, the above conclusion is confirmed by the Plenary Supreme Court</w:t>
      </w:r>
      <w:r w:rsidRPr="00F54795" w:rsidR="00F54795">
        <w:t>’</w:t>
      </w:r>
      <w:r w:rsidRPr="00F54795">
        <w:t xml:space="preserve">s approach in which it held that one set of proceedings was a </w:t>
      </w:r>
      <w:r w:rsidRPr="00F54795">
        <w:rPr>
          <w:i/>
        </w:rPr>
        <w:t>lex specialis vis-à-vis</w:t>
      </w:r>
      <w:r w:rsidRPr="00F54795">
        <w:t xml:space="preserve"> the other one (see paragraph </w:t>
      </w:r>
      <w:r w:rsidRPr="00F54795">
        <w:fldChar w:fldCharType="begin"/>
      </w:r>
      <w:r w:rsidRPr="00F54795">
        <w:instrText xml:space="preserve"> REF  plenaryJune2018 \h </w:instrText>
      </w:r>
      <w:r w:rsidRPr="00F54795" w:rsidR="001772FB">
        <w:instrText xml:space="preserve"> \* MERGEFORMAT </w:instrText>
      </w:r>
      <w:r w:rsidRPr="00F54795">
        <w:fldChar w:fldCharType="separate"/>
      </w:r>
      <w:r w:rsidRPr="00F54795" w:rsidR="00F54795">
        <w:rPr>
          <w:noProof/>
        </w:rPr>
        <w:t>25</w:t>
      </w:r>
      <w:r w:rsidRPr="00F54795">
        <w:fldChar w:fldCharType="end"/>
      </w:r>
      <w:r w:rsidRPr="00F54795">
        <w:t xml:space="preserve"> above). Thus, the Court finds it necessary to go further into the issue of the finality of the first set of proceedings and the duplication of prosecution (see by contrast, </w:t>
      </w:r>
      <w:r w:rsidRPr="00F54795">
        <w:rPr>
          <w:i/>
        </w:rPr>
        <w:t>A and B v. Norway</w:t>
      </w:r>
      <w:r w:rsidRPr="00F54795">
        <w:t>, cited above, § 142).</w:t>
      </w:r>
    </w:p>
    <w:bookmarkStart w:name="b" w:id="22"/>
    <w:p w:rsidRPr="00F54795" w:rsidR="00252FD8" w:rsidP="00F54795" w:rsidRDefault="00252FD8">
      <w:pPr>
        <w:pStyle w:val="ECHRPara"/>
      </w:pPr>
      <w:r w:rsidRPr="00F54795">
        <w:fldChar w:fldCharType="begin"/>
      </w:r>
      <w:r w:rsidRPr="00F54795">
        <w:instrText xml:space="preserve"> SEQ level0 \*arabic </w:instrText>
      </w:r>
      <w:r w:rsidRPr="00F54795">
        <w:fldChar w:fldCharType="separate"/>
      </w:r>
      <w:r w:rsidRPr="00F54795" w:rsidR="00F54795">
        <w:rPr>
          <w:noProof/>
        </w:rPr>
        <w:t>59</w:t>
      </w:r>
      <w:r w:rsidRPr="00F54795">
        <w:fldChar w:fldCharType="end"/>
      </w:r>
      <w:bookmarkEnd w:id="22"/>
      <w:r w:rsidRPr="00F54795">
        <w:t>.  The Court notes</w:t>
      </w:r>
      <w:r w:rsidRPr="00F54795" w:rsidR="001E01B5">
        <w:t xml:space="preserve"> in this connection </w:t>
      </w:r>
      <w:r w:rsidRPr="00F54795">
        <w:t xml:space="preserve">that under the Russian CAO, no one must be found administratively liable twice for the same administrative offence. Proceedings under the CAO should not be initiated or, if initiated, should be discontinued where there is no </w:t>
      </w:r>
      <w:r w:rsidRPr="00F54795">
        <w:rPr>
          <w:i/>
        </w:rPr>
        <w:t xml:space="preserve">corpus delicti </w:t>
      </w:r>
      <w:r w:rsidRPr="00F54795">
        <w:t xml:space="preserve">or where a decision is made to impose a sentence or to discontinue the proceedings on account of the same unlawful acts by the same person, in so far as the offence is proscribed by the same Article(s) of the CAO (see paragraph </w:t>
      </w:r>
      <w:r w:rsidRPr="00F54795">
        <w:fldChar w:fldCharType="begin"/>
      </w:r>
      <w:r w:rsidRPr="00F54795">
        <w:instrText xml:space="preserve"> REF  CAOduplicationban \h </w:instrText>
      </w:r>
      <w:r w:rsidRPr="00F54795" w:rsidR="001772FB">
        <w:instrText xml:space="preserve"> \* MERGEFORMAT </w:instrText>
      </w:r>
      <w:r w:rsidRPr="00F54795">
        <w:fldChar w:fldCharType="separate"/>
      </w:r>
      <w:r w:rsidRPr="00F54795" w:rsidR="00F54795">
        <w:rPr>
          <w:noProof/>
        </w:rPr>
        <w:t>22</w:t>
      </w:r>
      <w:r w:rsidRPr="00F54795">
        <w:fldChar w:fldCharType="end"/>
      </w:r>
      <w:r w:rsidRPr="00F54795">
        <w:t xml:space="preserve"> above). The present case concern</w:t>
      </w:r>
      <w:r w:rsidRPr="00F54795" w:rsidR="00DB6149">
        <w:t>s</w:t>
      </w:r>
      <w:r w:rsidRPr="00F54795">
        <w:t xml:space="preserve"> prosecution under two different Articles of the CAO.</w:t>
      </w:r>
    </w:p>
    <w:p w:rsidRPr="00F54795" w:rsidR="002834A6" w:rsidP="00F54795" w:rsidRDefault="002834A6">
      <w:pPr>
        <w:pStyle w:val="ECHRPara"/>
      </w:pPr>
      <w:r w:rsidRPr="00F54795">
        <w:fldChar w:fldCharType="begin"/>
      </w:r>
      <w:r w:rsidRPr="00F54795">
        <w:instrText xml:space="preserve"> SEQ level0 \*arabic </w:instrText>
      </w:r>
      <w:r w:rsidRPr="00F54795">
        <w:fldChar w:fldCharType="separate"/>
      </w:r>
      <w:r w:rsidRPr="00F54795" w:rsidR="00F54795">
        <w:rPr>
          <w:noProof/>
        </w:rPr>
        <w:t>60</w:t>
      </w:r>
      <w:r w:rsidRPr="00F54795">
        <w:fldChar w:fldCharType="end"/>
      </w:r>
      <w:bookmarkEnd w:id="21"/>
      <w:r w:rsidRPr="00F54795">
        <w:t>.  </w:t>
      </w:r>
      <w:r w:rsidRPr="00F54795" w:rsidR="00252FD8">
        <w:t>T</w:t>
      </w:r>
      <w:r w:rsidRPr="00F54795">
        <w:t xml:space="preserve">he Court has taken note of the position </w:t>
      </w:r>
      <w:r w:rsidRPr="00F54795" w:rsidR="007C243F">
        <w:t>adopted</w:t>
      </w:r>
      <w:r w:rsidRPr="00F54795" w:rsidR="001505CB">
        <w:t xml:space="preserve"> in June 2018</w:t>
      </w:r>
      <w:r w:rsidRPr="00F54795">
        <w:t xml:space="preserve"> by the Plenary Supreme Court of Russia in relation to dual charges brought under Articles 20.2 </w:t>
      </w:r>
      <w:r w:rsidRPr="00F54795">
        <w:rPr>
          <w:lang w:val="pt-PT"/>
        </w:rPr>
        <w:t>§</w:t>
      </w:r>
      <w:r w:rsidRPr="00F54795">
        <w:t xml:space="preserve"> 5 and 19.3 </w:t>
      </w:r>
      <w:r w:rsidRPr="00F54795">
        <w:rPr>
          <w:lang w:val="pt-PT"/>
        </w:rPr>
        <w:t xml:space="preserve">§ </w:t>
      </w:r>
      <w:r w:rsidRPr="00F54795">
        <w:t xml:space="preserve">1 of the CAO against a demonstrator on account of participation in a public event and non-compliance with a police order to cease such participation (and disperse). Relying on the </w:t>
      </w:r>
      <w:r w:rsidRPr="00F54795">
        <w:rPr>
          <w:i/>
        </w:rPr>
        <w:t>lex specialis</w:t>
      </w:r>
      <w:r w:rsidRPr="00F54795">
        <w:t xml:space="preserve"> rule, the Supreme Court stated that in this specific context, only prosecution under Article 20.2 </w:t>
      </w:r>
      <w:r w:rsidRPr="00F54795">
        <w:rPr>
          <w:lang w:val="pt-PT"/>
        </w:rPr>
        <w:t xml:space="preserve">§ </w:t>
      </w:r>
      <w:r w:rsidRPr="00F54795">
        <w:t>5 would be lawful</w:t>
      </w:r>
      <w:r w:rsidRPr="00F54795" w:rsidR="003540EA">
        <w:t xml:space="preserve"> under Russian law</w:t>
      </w:r>
      <w:r w:rsidRPr="00F54795">
        <w:t xml:space="preserve"> (see paragraph</w:t>
      </w:r>
      <w:r w:rsidRPr="00F54795" w:rsidR="00A272BA">
        <w:t> </w:t>
      </w:r>
      <w:r w:rsidRPr="00F54795">
        <w:fldChar w:fldCharType="begin"/>
      </w:r>
      <w:r w:rsidRPr="00F54795">
        <w:instrText xml:space="preserve"> REF  plenaryJune2018 \h </w:instrText>
      </w:r>
      <w:r w:rsidRPr="00F54795" w:rsidR="001772FB">
        <w:instrText xml:space="preserve"> \* MERGEFORMAT </w:instrText>
      </w:r>
      <w:r w:rsidRPr="00F54795">
        <w:fldChar w:fldCharType="separate"/>
      </w:r>
      <w:r w:rsidRPr="00F54795" w:rsidR="00F54795">
        <w:rPr>
          <w:noProof/>
        </w:rPr>
        <w:t>25</w:t>
      </w:r>
      <w:r w:rsidRPr="00F54795">
        <w:fldChar w:fldCharType="end"/>
      </w:r>
      <w:r w:rsidRPr="00F54795">
        <w:t xml:space="preserve"> above). The Plenary Supreme Court did not rely on the </w:t>
      </w:r>
      <w:r w:rsidRPr="00F54795">
        <w:rPr>
          <w:i/>
        </w:rPr>
        <w:t>ne bis in idem</w:t>
      </w:r>
      <w:r w:rsidRPr="00F54795">
        <w:t xml:space="preserve"> principle in that connection. However, in at least one subsequent decision, a reviewing court relied on the above ruling and also mentioned, albeit without any further detail, the CAO provision relating to the ban on the duplication of prosecution under the CAO (see paragraph </w:t>
      </w:r>
      <w:r w:rsidRPr="00F54795">
        <w:fldChar w:fldCharType="begin"/>
      </w:r>
      <w:r w:rsidRPr="00F54795">
        <w:instrText xml:space="preserve"> REF  plenaryfollowup \h </w:instrText>
      </w:r>
      <w:r w:rsidRPr="00F54795" w:rsidR="006860BE">
        <w:instrText xml:space="preserve"> \* MERGEFORMAT </w:instrText>
      </w:r>
      <w:r w:rsidRPr="00F54795">
        <w:fldChar w:fldCharType="separate"/>
      </w:r>
      <w:r w:rsidRPr="00F54795" w:rsidR="00F54795">
        <w:rPr>
          <w:noProof/>
        </w:rPr>
        <w:t>26</w:t>
      </w:r>
      <w:r w:rsidRPr="00F54795">
        <w:fldChar w:fldCharType="end"/>
      </w:r>
      <w:r w:rsidRPr="00F54795">
        <w:t xml:space="preserve"> above</w:t>
      </w:r>
      <w:r w:rsidRPr="00F54795" w:rsidR="006860BE">
        <w:t xml:space="preserve"> for an example of a case in which conviction was quashed by way of the review procedure under Article 30.12 of the CAO</w:t>
      </w:r>
      <w:r w:rsidRPr="00F54795">
        <w:t>).</w:t>
      </w:r>
    </w:p>
    <w:p w:rsidRPr="00F54795" w:rsidR="00D635BB" w:rsidP="00F54795" w:rsidRDefault="001505CB">
      <w:pPr>
        <w:pStyle w:val="ECHRPara"/>
      </w:pPr>
      <w:r w:rsidRPr="00F54795">
        <w:fldChar w:fldCharType="begin"/>
      </w:r>
      <w:r w:rsidRPr="00F54795">
        <w:instrText xml:space="preserve"> SEQ level0 \*arabic </w:instrText>
      </w:r>
      <w:r w:rsidRPr="00F54795">
        <w:fldChar w:fldCharType="separate"/>
      </w:r>
      <w:r w:rsidRPr="00F54795" w:rsidR="00F54795">
        <w:rPr>
          <w:noProof/>
        </w:rPr>
        <w:t>61</w:t>
      </w:r>
      <w:r w:rsidRPr="00F54795">
        <w:fldChar w:fldCharType="end"/>
      </w:r>
      <w:r w:rsidRPr="00F54795">
        <w:t>.  </w:t>
      </w:r>
      <w:r w:rsidRPr="00F54795" w:rsidR="006860BE">
        <w:t>The Court has taken note of those recent developments in the domestic case-law. It</w:t>
      </w:r>
      <w:r w:rsidRPr="00F54795">
        <w:t xml:space="preserve"> notes, however, that the above legal position was first </w:t>
      </w:r>
      <w:r w:rsidRPr="00F54795" w:rsidR="00322EB6">
        <w:t>articulated in</w:t>
      </w:r>
      <w:r w:rsidRPr="00F54795" w:rsidR="00337564">
        <w:t xml:space="preserve"> June</w:t>
      </w:r>
      <w:r w:rsidRPr="00F54795" w:rsidR="00322EB6">
        <w:t xml:space="preserve"> 2018, that is after the </w:t>
      </w:r>
      <w:r w:rsidRPr="00F54795" w:rsidR="00A272BA">
        <w:t>appeal decisions in the applicant</w:t>
      </w:r>
      <w:r w:rsidRPr="00F54795" w:rsidR="00F54795">
        <w:t>’</w:t>
      </w:r>
      <w:r w:rsidRPr="00F54795" w:rsidR="00A272BA">
        <w:t>s cases</w:t>
      </w:r>
      <w:r w:rsidRPr="00F54795" w:rsidR="00337564">
        <w:t xml:space="preserve"> in June 2017</w:t>
      </w:r>
      <w:r w:rsidRPr="00F54795" w:rsidR="008B0032">
        <w:t xml:space="preserve"> and </w:t>
      </w:r>
      <w:r w:rsidRPr="00F54795" w:rsidR="009F3CCF">
        <w:t>after</w:t>
      </w:r>
      <w:r w:rsidRPr="00F54795" w:rsidR="008B0032">
        <w:t xml:space="preserve"> her lodging an application before this Court in September 2017</w:t>
      </w:r>
      <w:r w:rsidRPr="00F54795" w:rsidR="00A272BA">
        <w:t>.</w:t>
      </w:r>
    </w:p>
    <w:bookmarkStart w:name="bb" w:id="23"/>
    <w:p w:rsidRPr="00F54795" w:rsidR="003B5B29" w:rsidP="00F54795" w:rsidRDefault="00331105">
      <w:pPr>
        <w:pStyle w:val="ECHRPara"/>
        <w:rPr>
          <w:i/>
        </w:rPr>
      </w:pPr>
      <w:r w:rsidRPr="00F54795">
        <w:fldChar w:fldCharType="begin"/>
      </w:r>
      <w:r w:rsidRPr="00F54795">
        <w:instrText xml:space="preserve"> SEQ level0 \*arabic </w:instrText>
      </w:r>
      <w:r w:rsidRPr="00F54795">
        <w:fldChar w:fldCharType="separate"/>
      </w:r>
      <w:r w:rsidRPr="00F54795" w:rsidR="00F54795">
        <w:rPr>
          <w:noProof/>
        </w:rPr>
        <w:t>62</w:t>
      </w:r>
      <w:r w:rsidRPr="00F54795">
        <w:rPr>
          <w:noProof/>
        </w:rPr>
        <w:fldChar w:fldCharType="end"/>
      </w:r>
      <w:bookmarkEnd w:id="23"/>
      <w:r w:rsidRPr="00F54795" w:rsidR="007415E2">
        <w:t>.  A</w:t>
      </w:r>
      <w:r w:rsidRPr="00F54795" w:rsidR="00706F75">
        <w:t>s to the merits of the issue, t</w:t>
      </w:r>
      <w:r w:rsidRPr="00F54795" w:rsidR="00535B50">
        <w:t xml:space="preserve">he Court reiterates that Article 4 § 1 of Protocol No. 7 prohibits the prosecution or trial of a second “offence” in so far as it arises from identical facts or facts which </w:t>
      </w:r>
      <w:r w:rsidRPr="00F54795" w:rsidR="00F54795">
        <w:t xml:space="preserve">are substantially the same (see </w:t>
      </w:r>
      <w:r w:rsidRPr="00F54795" w:rsidR="001675EA">
        <w:rPr>
          <w:i/>
        </w:rPr>
        <w:t>A and B v. Norway</w:t>
      </w:r>
      <w:r w:rsidRPr="00F54795" w:rsidR="00252FD8">
        <w:t xml:space="preserve">, cited above, </w:t>
      </w:r>
      <w:r w:rsidRPr="00F54795" w:rsidR="001675EA">
        <w:t xml:space="preserve">§ 108, and </w:t>
      </w:r>
      <w:r w:rsidRPr="00F54795" w:rsidR="002F778C">
        <w:rPr>
          <w:i/>
        </w:rPr>
        <w:t>Sergey Zolotukhin v. Russia</w:t>
      </w:r>
      <w:r w:rsidRPr="00F54795" w:rsidR="002F778C">
        <w:t xml:space="preserve"> [GC], no. 14939/03, § 82, ECHR 2009</w:t>
      </w:r>
      <w:r w:rsidRPr="00F54795" w:rsidR="00535B50">
        <w:t xml:space="preserve">). The Court has also held that </w:t>
      </w:r>
      <w:r w:rsidRPr="00F54795" w:rsidR="003D1D84">
        <w:t xml:space="preserve">an </w:t>
      </w:r>
      <w:r w:rsidRPr="00F54795" w:rsidR="00535B50">
        <w:t>approach which emphasises the legal characterisation of the two offences is too restrictive on the rights of the individual and risks undermining the guarantee enshrined in Article 4 §</w:t>
      </w:r>
      <w:r w:rsidRPr="00F54795" w:rsidR="00B467AB">
        <w:rPr>
          <w:rFonts w:ascii="Sylfaen" w:hAnsi="Sylfaen"/>
          <w:lang w:val="hy-AM"/>
        </w:rPr>
        <w:t> </w:t>
      </w:r>
      <w:r w:rsidRPr="00F54795" w:rsidR="00535B50">
        <w:t>1 of Protocol No.</w:t>
      </w:r>
      <w:r w:rsidRPr="00F54795" w:rsidR="00F67F61">
        <w:t> </w:t>
      </w:r>
      <w:r w:rsidRPr="00F54795" w:rsidR="00F54795">
        <w:t xml:space="preserve">7 (see </w:t>
      </w:r>
      <w:r w:rsidRPr="00F54795" w:rsidR="00F54795">
        <w:rPr>
          <w:i/>
        </w:rPr>
        <w:t>Sergey </w:t>
      </w:r>
      <w:r w:rsidRPr="00F54795" w:rsidR="00535B50">
        <w:rPr>
          <w:i/>
        </w:rPr>
        <w:t>Zolotukhin</w:t>
      </w:r>
      <w:r w:rsidRPr="00F54795" w:rsidR="00535B50">
        <w:t>, cited above, § 81, and</w:t>
      </w:r>
      <w:r w:rsidRPr="00F54795" w:rsidR="00F67F61">
        <w:t xml:space="preserve"> </w:t>
      </w:r>
      <w:r w:rsidRPr="00F54795" w:rsidR="00535B50">
        <w:rPr>
          <w:i/>
        </w:rPr>
        <w:t>Boman v. Finland</w:t>
      </w:r>
      <w:r w:rsidRPr="00F54795" w:rsidR="00535B50">
        <w:t>, no. 41604/11, § 33, 17</w:t>
      </w:r>
      <w:r w:rsidRPr="00F54795" w:rsidR="0020538F">
        <w:t> </w:t>
      </w:r>
      <w:r w:rsidRPr="00F54795" w:rsidR="00535B50">
        <w:t>February 2015). Accordingly, it cannot accept the Government</w:t>
      </w:r>
      <w:r w:rsidRPr="00F54795" w:rsidR="00F54795">
        <w:t>’</w:t>
      </w:r>
      <w:r w:rsidRPr="00F54795" w:rsidR="00535B50">
        <w:t xml:space="preserve">s argument (see paragraph </w:t>
      </w:r>
      <w:r w:rsidRPr="00F54795" w:rsidR="00756F0C">
        <w:fldChar w:fldCharType="begin"/>
      </w:r>
      <w:r w:rsidRPr="00F54795" w:rsidR="00756F0C">
        <w:instrText xml:space="preserve"> REF  GobsP7 \h </w:instrText>
      </w:r>
      <w:r w:rsidRPr="00F54795" w:rsidR="001772FB">
        <w:instrText xml:space="preserve"> \* MERGEFORMAT </w:instrText>
      </w:r>
      <w:r w:rsidRPr="00F54795" w:rsidR="00756F0C">
        <w:fldChar w:fldCharType="separate"/>
      </w:r>
      <w:r w:rsidRPr="00F54795" w:rsidR="00F54795">
        <w:rPr>
          <w:noProof/>
        </w:rPr>
        <w:t>45</w:t>
      </w:r>
      <w:r w:rsidRPr="00F54795" w:rsidR="00756F0C">
        <w:fldChar w:fldCharType="end"/>
      </w:r>
      <w:r w:rsidRPr="00F54795" w:rsidR="00535B50">
        <w:t xml:space="preserve"> above) that the duplication of proceedings in the present case was justified by the distinct </w:t>
      </w:r>
      <w:r w:rsidRPr="00F54795" w:rsidR="00C979F0">
        <w:t xml:space="preserve">types or </w:t>
      </w:r>
      <w:r w:rsidRPr="00F54795" w:rsidR="00535B50">
        <w:t xml:space="preserve">areas of protection </w:t>
      </w:r>
      <w:r w:rsidRPr="00F54795" w:rsidR="00E33C84">
        <w:t xml:space="preserve">pertaining to </w:t>
      </w:r>
      <w:r w:rsidRPr="00F54795" w:rsidR="00535B50">
        <w:t xml:space="preserve">each offence (see, </w:t>
      </w:r>
      <w:r w:rsidRPr="00F54795" w:rsidR="00535B50">
        <w:rPr>
          <w:i/>
        </w:rPr>
        <w:t>mutatis mutandis</w:t>
      </w:r>
      <w:r w:rsidRPr="00F54795" w:rsidR="00535B50">
        <w:t xml:space="preserve">, </w:t>
      </w:r>
      <w:r w:rsidRPr="00F54795" w:rsidR="0062781E">
        <w:rPr>
          <w:i/>
          <w:iCs/>
        </w:rPr>
        <w:t>Šimkus v. Lithuania</w:t>
      </w:r>
      <w:r w:rsidRPr="00F54795" w:rsidR="0062781E">
        <w:t>, no.</w:t>
      </w:r>
      <w:r w:rsidRPr="00F54795" w:rsidR="00E87051">
        <w:t> </w:t>
      </w:r>
      <w:r w:rsidRPr="00F54795" w:rsidR="0062781E">
        <w:t>41788/11, § 48, 13 June 2017</w:t>
      </w:r>
      <w:r w:rsidRPr="00F54795" w:rsidR="00535B50">
        <w:t xml:space="preserve">, and </w:t>
      </w:r>
      <w:r w:rsidRPr="00F54795" w:rsidR="00535B50">
        <w:rPr>
          <w:i/>
        </w:rPr>
        <w:t>Rivard v. Switzerland</w:t>
      </w:r>
      <w:r w:rsidRPr="00F54795" w:rsidR="00535B50">
        <w:t>, no. 21563/12, § 26, 4</w:t>
      </w:r>
      <w:r w:rsidRPr="00F54795" w:rsidR="0062781E">
        <w:t> </w:t>
      </w:r>
      <w:r w:rsidRPr="00F54795" w:rsidR="00535B50">
        <w:t>October 2016).</w:t>
      </w:r>
      <w:r w:rsidRPr="00F54795" w:rsidR="00D11D8F">
        <w:t xml:space="preserve"> What matters is </w:t>
      </w:r>
      <w:r w:rsidRPr="00F54795" w:rsidR="00E33C84">
        <w:t xml:space="preserve">that there is </w:t>
      </w:r>
      <w:r w:rsidRPr="00F54795" w:rsidR="00D11D8F">
        <w:t xml:space="preserve">an overlap </w:t>
      </w:r>
      <w:r w:rsidRPr="00F54795" w:rsidR="00E33C84">
        <w:t xml:space="preserve">of </w:t>
      </w:r>
      <w:r w:rsidRPr="00F54795" w:rsidR="00D11D8F">
        <w:t xml:space="preserve">the facts constituting the basis for </w:t>
      </w:r>
      <w:r w:rsidRPr="00F54795" w:rsidR="00E33C84">
        <w:t xml:space="preserve">the </w:t>
      </w:r>
      <w:r w:rsidRPr="00F54795" w:rsidR="00D11D8F">
        <w:t>defendant</w:t>
      </w:r>
      <w:r w:rsidRPr="00F54795" w:rsidR="00F54795">
        <w:t>’</w:t>
      </w:r>
      <w:r w:rsidRPr="00F54795" w:rsidR="00D11D8F">
        <w:t xml:space="preserve">s prosecution in the second set </w:t>
      </w:r>
      <w:r w:rsidRPr="00F54795" w:rsidR="00E33C84">
        <w:t xml:space="preserve">of proceedings </w:t>
      </w:r>
      <w:r w:rsidRPr="00F54795" w:rsidR="00D11D8F">
        <w:t xml:space="preserve">with </w:t>
      </w:r>
      <w:r w:rsidRPr="00F54795" w:rsidR="00E33C84">
        <w:t xml:space="preserve">facts that are substantially the same </w:t>
      </w:r>
      <w:r w:rsidRPr="00F54795" w:rsidR="00D11D8F">
        <w:t>in the first set of proceedings.</w:t>
      </w:r>
      <w:r w:rsidRPr="00F54795" w:rsidR="001675EA">
        <w:t xml:space="preserve"> The Court notes that in each set of proceedings the applicant was </w:t>
      </w:r>
      <w:r w:rsidRPr="00F54795" w:rsidR="00F6281F">
        <w:t xml:space="preserve">accused </w:t>
      </w:r>
      <w:r w:rsidRPr="00F54795" w:rsidR="003540EA">
        <w:t>in relation to</w:t>
      </w:r>
      <w:r w:rsidRPr="00F54795" w:rsidR="00E33C84">
        <w:t xml:space="preserve"> participating </w:t>
      </w:r>
      <w:r w:rsidRPr="00F54795" w:rsidR="001675EA">
        <w:t xml:space="preserve">in </w:t>
      </w:r>
      <w:r w:rsidRPr="00F54795" w:rsidR="00F6281F">
        <w:t xml:space="preserve">an </w:t>
      </w:r>
      <w:r w:rsidRPr="00F54795" w:rsidR="001675EA">
        <w:t>unlawful rally</w:t>
      </w:r>
      <w:r w:rsidRPr="00F54795" w:rsidR="00F02A40">
        <w:t>, namely,</w:t>
      </w:r>
      <w:r w:rsidRPr="00F54795" w:rsidR="001675EA">
        <w:t xml:space="preserve"> </w:t>
      </w:r>
      <w:r w:rsidRPr="00F54795" w:rsidR="00E33C84">
        <w:t>of</w:t>
      </w:r>
      <w:r w:rsidRPr="00F54795" w:rsidR="009F3CCF">
        <w:t xml:space="preserve"> (i)</w:t>
      </w:r>
      <w:r w:rsidRPr="00F54795" w:rsidR="00BF5732">
        <w:t> </w:t>
      </w:r>
      <w:r w:rsidRPr="00F54795" w:rsidR="00E33C84">
        <w:t xml:space="preserve">refusing </w:t>
      </w:r>
      <w:r w:rsidRPr="00F54795" w:rsidR="001675EA">
        <w:t>to</w:t>
      </w:r>
      <w:r w:rsidRPr="00F54795" w:rsidR="00C769A3">
        <w:t xml:space="preserve"> comply with a police officer</w:t>
      </w:r>
      <w:r w:rsidRPr="00F54795" w:rsidR="00F54795">
        <w:t>’</w:t>
      </w:r>
      <w:r w:rsidRPr="00F54795" w:rsidR="00270F0D">
        <w:t>s order to</w:t>
      </w:r>
      <w:r w:rsidRPr="00F54795" w:rsidR="001675EA">
        <w:t xml:space="preserve"> </w:t>
      </w:r>
      <w:r w:rsidRPr="00F54795" w:rsidR="00E33C84">
        <w:t xml:space="preserve">cease </w:t>
      </w:r>
      <w:r w:rsidRPr="00F54795" w:rsidR="001675EA">
        <w:t>her participation in it</w:t>
      </w:r>
      <w:r w:rsidRPr="00F54795" w:rsidR="00F02A40">
        <w:t xml:space="preserve"> (Article 19.3</w:t>
      </w:r>
      <w:r w:rsidRPr="00F54795" w:rsidR="009354E2">
        <w:t xml:space="preserve"> § 1 of the CAO</w:t>
      </w:r>
      <w:r w:rsidRPr="00F54795" w:rsidR="00F02A40">
        <w:t xml:space="preserve">) and </w:t>
      </w:r>
      <w:r w:rsidRPr="00F54795" w:rsidR="009F3CCF">
        <w:t xml:space="preserve">(ii) </w:t>
      </w:r>
      <w:r w:rsidRPr="00F54795" w:rsidR="00F02A40">
        <w:t>failing to comply with her statutory obligation under the Public Events Act to comply with police orders, in the present case, the order to cease her participation in the event (Article</w:t>
      </w:r>
      <w:r w:rsidRPr="00F54795" w:rsidR="0062781E">
        <w:t> </w:t>
      </w:r>
      <w:r w:rsidRPr="00F54795" w:rsidR="00F02A40">
        <w:t>20.2</w:t>
      </w:r>
      <w:r w:rsidRPr="00F54795" w:rsidR="0062781E">
        <w:t> </w:t>
      </w:r>
      <w:r w:rsidRPr="00F54795" w:rsidR="009354E2">
        <w:t>§</w:t>
      </w:r>
      <w:r w:rsidRPr="00F54795" w:rsidR="0062781E">
        <w:t> </w:t>
      </w:r>
      <w:r w:rsidRPr="00F54795" w:rsidR="009354E2">
        <w:t xml:space="preserve">5 </w:t>
      </w:r>
      <w:r w:rsidRPr="00F54795" w:rsidR="00F02A40">
        <w:t>of the CAO read with section 6(3) of the Public Events Act)</w:t>
      </w:r>
      <w:r w:rsidRPr="00F54795" w:rsidR="001675EA">
        <w:t>.</w:t>
      </w:r>
      <w:r w:rsidRPr="00F54795" w:rsidR="00821989">
        <w:t xml:space="preserve"> As acknowledged in substance by the Plenary Supreme Court, such </w:t>
      </w:r>
      <w:r w:rsidRPr="00F54795" w:rsidR="00E33C84">
        <w:t xml:space="preserve">accusations </w:t>
      </w:r>
      <w:r w:rsidRPr="00F54795" w:rsidR="00821989">
        <w:t xml:space="preserve">are intertwined and </w:t>
      </w:r>
      <w:r w:rsidRPr="00F54795" w:rsidR="002834A6">
        <w:t>entailing a conclusion</w:t>
      </w:r>
      <w:r w:rsidRPr="00F54795" w:rsidR="00821989">
        <w:t xml:space="preserve">, in terms of Russian law, </w:t>
      </w:r>
      <w:r w:rsidRPr="00F54795" w:rsidR="002834A6">
        <w:t xml:space="preserve">that </w:t>
      </w:r>
      <w:r w:rsidRPr="00F54795" w:rsidR="00821989">
        <w:t>only a charge under Article 20.2</w:t>
      </w:r>
      <w:r w:rsidRPr="00F54795" w:rsidR="009D6C05">
        <w:t xml:space="preserve"> §</w:t>
      </w:r>
      <w:r w:rsidRPr="00F54795" w:rsidR="00457119">
        <w:rPr>
          <w:rFonts w:ascii="Sylfaen" w:hAnsi="Sylfaen"/>
          <w:lang w:val="hy-AM"/>
        </w:rPr>
        <w:t> </w:t>
      </w:r>
      <w:r w:rsidRPr="00F54795" w:rsidR="009D6C05">
        <w:t>5</w:t>
      </w:r>
      <w:r w:rsidRPr="00F54795" w:rsidR="00821989">
        <w:t xml:space="preserve"> of the CAO was permissible</w:t>
      </w:r>
      <w:r w:rsidRPr="00F54795" w:rsidR="00517C7F">
        <w:t xml:space="preserve"> (see paragraph </w:t>
      </w:r>
      <w:r w:rsidRPr="00F54795" w:rsidR="00517C7F">
        <w:fldChar w:fldCharType="begin"/>
      </w:r>
      <w:r w:rsidRPr="00F54795" w:rsidR="00517C7F">
        <w:instrText xml:space="preserve"> REF  plenaryJune2018 \h </w:instrText>
      </w:r>
      <w:r w:rsidRPr="00F54795" w:rsidR="001772FB">
        <w:instrText xml:space="preserve"> \* MERGEFORMAT </w:instrText>
      </w:r>
      <w:r w:rsidRPr="00F54795" w:rsidR="00517C7F">
        <w:fldChar w:fldCharType="separate"/>
      </w:r>
      <w:r w:rsidRPr="00F54795" w:rsidR="00F54795">
        <w:rPr>
          <w:noProof/>
        </w:rPr>
        <w:t>25</w:t>
      </w:r>
      <w:r w:rsidRPr="00F54795" w:rsidR="00517C7F">
        <w:fldChar w:fldCharType="end"/>
      </w:r>
      <w:r w:rsidRPr="00F54795" w:rsidR="00517C7F">
        <w:t xml:space="preserve"> above)</w:t>
      </w:r>
      <w:r w:rsidRPr="00F54795" w:rsidR="00821989">
        <w:t>.</w:t>
      </w:r>
    </w:p>
    <w:bookmarkStart w:name="bbb" w:id="24"/>
    <w:p w:rsidRPr="00F54795" w:rsidR="00337419" w:rsidP="00F54795" w:rsidRDefault="00337419">
      <w:pPr>
        <w:pStyle w:val="ECHRPara"/>
      </w:pPr>
      <w:r w:rsidRPr="00F54795">
        <w:fldChar w:fldCharType="begin"/>
      </w:r>
      <w:r w:rsidRPr="00F54795">
        <w:instrText xml:space="preserve"> SEQ level0 \*arabic </w:instrText>
      </w:r>
      <w:r w:rsidRPr="00F54795">
        <w:fldChar w:fldCharType="separate"/>
      </w:r>
      <w:r w:rsidRPr="00F54795" w:rsidR="00F54795">
        <w:rPr>
          <w:noProof/>
        </w:rPr>
        <w:t>63</w:t>
      </w:r>
      <w:r w:rsidRPr="00F54795">
        <w:fldChar w:fldCharType="end"/>
      </w:r>
      <w:bookmarkEnd w:id="24"/>
      <w:r w:rsidRPr="00F54795">
        <w:t>.  </w:t>
      </w:r>
      <w:r w:rsidRPr="00F54795" w:rsidR="00821989">
        <w:t>H</w:t>
      </w:r>
      <w:r w:rsidRPr="00F54795">
        <w:t xml:space="preserve">aving regard to its own case-law </w:t>
      </w:r>
      <w:r w:rsidRPr="00F54795" w:rsidR="00F54795">
        <w:t>under Article 4 § 1 of Protocol </w:t>
      </w:r>
      <w:r w:rsidRPr="00F54795">
        <w:t xml:space="preserve">No. 7 to the Convention, the Court </w:t>
      </w:r>
      <w:r w:rsidRPr="00F54795" w:rsidR="00821989">
        <w:t xml:space="preserve">concludes </w:t>
      </w:r>
      <w:r w:rsidRPr="00F54795" w:rsidR="00E33C84">
        <w:t xml:space="preserve">that </w:t>
      </w:r>
      <w:r w:rsidRPr="00F54795">
        <w:t xml:space="preserve">the applicant became “liable to </w:t>
      </w:r>
      <w:r w:rsidRPr="00F54795" w:rsidR="00E33C84">
        <w:t xml:space="preserve">be </w:t>
      </w:r>
      <w:r w:rsidRPr="00F54795">
        <w:t xml:space="preserve">tried or punished again” once </w:t>
      </w:r>
      <w:r w:rsidRPr="00F54795" w:rsidR="00B9055C">
        <w:t xml:space="preserve">a final judgment </w:t>
      </w:r>
      <w:r w:rsidRPr="00F54795">
        <w:t xml:space="preserve">in one of </w:t>
      </w:r>
      <w:r w:rsidRPr="00F54795" w:rsidR="00E33C84">
        <w:t xml:space="preserve">the </w:t>
      </w:r>
      <w:r w:rsidRPr="00F54795">
        <w:t xml:space="preserve">two cases </w:t>
      </w:r>
      <w:r w:rsidRPr="00F54795" w:rsidR="00B9055C">
        <w:t xml:space="preserve">had </w:t>
      </w:r>
      <w:r w:rsidRPr="00F54795" w:rsidR="00E33C84">
        <w:t xml:space="preserve">been </w:t>
      </w:r>
      <w:r w:rsidRPr="00F54795">
        <w:t xml:space="preserve">obtained, </w:t>
      </w:r>
      <w:r w:rsidRPr="00F54795" w:rsidR="00B9055C">
        <w:t>in this instance</w:t>
      </w:r>
      <w:r w:rsidRPr="00F54795">
        <w:t xml:space="preserve">, </w:t>
      </w:r>
      <w:r w:rsidRPr="00F54795" w:rsidR="004C307F">
        <w:t xml:space="preserve">once </w:t>
      </w:r>
      <w:r w:rsidRPr="00F54795">
        <w:t>the appeal decision in that</w:t>
      </w:r>
      <w:r w:rsidRPr="00F54795" w:rsidR="00821989">
        <w:t xml:space="preserve"> </w:t>
      </w:r>
      <w:r w:rsidRPr="00F54795">
        <w:t>case</w:t>
      </w:r>
      <w:r w:rsidRPr="00F54795" w:rsidR="004C307F">
        <w:t xml:space="preserve"> had been delivered</w:t>
      </w:r>
      <w:r w:rsidRPr="00F54795" w:rsidR="007415E2">
        <w:t xml:space="preserve"> in relation to the facts that were substantially the same to those at the heart of the first proceedings.</w:t>
      </w:r>
    </w:p>
    <w:p w:rsidRPr="00F54795" w:rsidR="00D635BB" w:rsidP="00F54795" w:rsidRDefault="00F02A40">
      <w:pPr>
        <w:pStyle w:val="ECHRPara"/>
      </w:pPr>
      <w:r w:rsidRPr="00F54795">
        <w:fldChar w:fldCharType="begin"/>
      </w:r>
      <w:r w:rsidRPr="00F54795">
        <w:instrText xml:space="preserve"> SEQ level0 \*arabic </w:instrText>
      </w:r>
      <w:r w:rsidRPr="00F54795">
        <w:fldChar w:fldCharType="separate"/>
      </w:r>
      <w:r w:rsidRPr="00F54795" w:rsidR="00F54795">
        <w:rPr>
          <w:noProof/>
        </w:rPr>
        <w:t>64</w:t>
      </w:r>
      <w:r w:rsidRPr="00F54795">
        <w:fldChar w:fldCharType="end"/>
      </w:r>
      <w:r w:rsidRPr="00F54795">
        <w:t>.  </w:t>
      </w:r>
      <w:r w:rsidRPr="00F54795" w:rsidR="00D11D8F">
        <w:t>The Court conclude</w:t>
      </w:r>
      <w:r w:rsidRPr="00F54795" w:rsidR="00172646">
        <w:t>s</w:t>
      </w:r>
      <w:r w:rsidRPr="00F54795" w:rsidR="00D11D8F">
        <w:t xml:space="preserve"> that the applicant was tried</w:t>
      </w:r>
      <w:r w:rsidRPr="00F54795" w:rsidR="00322EB6">
        <w:t xml:space="preserve"> and punished</w:t>
      </w:r>
      <w:r w:rsidRPr="00F54795" w:rsidR="00D11D8F">
        <w:t xml:space="preserve"> twice for the same </w:t>
      </w:r>
      <w:r w:rsidRPr="00F54795" w:rsidR="003540EA">
        <w:t>“</w:t>
      </w:r>
      <w:r w:rsidRPr="00F54795" w:rsidR="00D11D8F">
        <w:t>offence</w:t>
      </w:r>
      <w:r w:rsidRPr="00F54795" w:rsidR="003540EA">
        <w:t>”</w:t>
      </w:r>
      <w:r w:rsidRPr="00F54795" w:rsidR="00D11D8F">
        <w:t>.</w:t>
      </w:r>
    </w:p>
    <w:p w:rsidRPr="00F54795" w:rsidR="00FF1064" w:rsidP="00F54795" w:rsidRDefault="00331105">
      <w:pPr>
        <w:pStyle w:val="ECHRPara"/>
      </w:pPr>
      <w:r w:rsidRPr="00F54795">
        <w:fldChar w:fldCharType="begin"/>
      </w:r>
      <w:r w:rsidRPr="00F54795">
        <w:instrText xml:space="preserve"> SEQ level0 \*arabic </w:instrText>
      </w:r>
      <w:r w:rsidRPr="00F54795">
        <w:fldChar w:fldCharType="separate"/>
      </w:r>
      <w:r w:rsidRPr="00F54795" w:rsidR="00F54795">
        <w:rPr>
          <w:noProof/>
        </w:rPr>
        <w:t>65</w:t>
      </w:r>
      <w:r w:rsidRPr="00F54795">
        <w:rPr>
          <w:noProof/>
        </w:rPr>
        <w:fldChar w:fldCharType="end"/>
      </w:r>
      <w:r w:rsidRPr="00F54795" w:rsidR="00302D77">
        <w:t>.  </w:t>
      </w:r>
      <w:r w:rsidRPr="00F54795" w:rsidR="00EC69AB">
        <w:t>There has therefore been a violati</w:t>
      </w:r>
      <w:r w:rsidRPr="00F54795" w:rsidR="00F54795">
        <w:t>on of Article 4 § 1 of Protocol </w:t>
      </w:r>
      <w:r w:rsidRPr="00F54795" w:rsidR="00EC69AB">
        <w:t>No. 7 to the Convention.</w:t>
      </w:r>
    </w:p>
    <w:p w:rsidRPr="00F54795" w:rsidR="00D420F3" w:rsidP="00F54795" w:rsidRDefault="006A057C">
      <w:pPr>
        <w:pStyle w:val="ECHRHeading1"/>
      </w:pPr>
      <w:r w:rsidRPr="00F54795">
        <w:t>I</w:t>
      </w:r>
      <w:r w:rsidRPr="00F54795" w:rsidR="007A675B">
        <w:t>V</w:t>
      </w:r>
      <w:r w:rsidRPr="00F54795" w:rsidR="0077175D">
        <w:t>.  APPLICATION OF ARTICLE</w:t>
      </w:r>
      <w:r w:rsidRPr="00F54795" w:rsidR="00403B61">
        <w:t>S</w:t>
      </w:r>
      <w:r w:rsidRPr="00F54795" w:rsidR="0077175D">
        <w:t xml:space="preserve"> 41</w:t>
      </w:r>
      <w:r w:rsidRPr="00F54795" w:rsidR="00403B61">
        <w:t xml:space="preserve"> </w:t>
      </w:r>
      <w:r w:rsidRPr="00F54795" w:rsidR="00ED5B78">
        <w:t>AND</w:t>
      </w:r>
      <w:r w:rsidRPr="00F54795" w:rsidR="00403B61">
        <w:t xml:space="preserve"> 46</w:t>
      </w:r>
      <w:r w:rsidRPr="00F54795" w:rsidR="0077175D">
        <w:t xml:space="preserve"> OF THE CONVENTION</w:t>
      </w:r>
    </w:p>
    <w:p w:rsidRPr="00F54795" w:rsidR="00403B61" w:rsidP="00F54795" w:rsidRDefault="00403B61">
      <w:pPr>
        <w:pStyle w:val="ECHRHeading2"/>
      </w:pPr>
      <w:r w:rsidRPr="00F54795">
        <w:t>A.  Article 46 of the Convention</w:t>
      </w:r>
    </w:p>
    <w:p w:rsidRPr="00F54795" w:rsidR="00403B61" w:rsidP="00F54795" w:rsidRDefault="00403B61">
      <w:pPr>
        <w:pStyle w:val="ECHRPara"/>
      </w:pPr>
      <w:r w:rsidRPr="00F54795">
        <w:fldChar w:fldCharType="begin"/>
      </w:r>
      <w:r w:rsidRPr="00F54795">
        <w:instrText xml:space="preserve"> SEQ level0 \*arabic </w:instrText>
      </w:r>
      <w:r w:rsidRPr="00F54795">
        <w:fldChar w:fldCharType="separate"/>
      </w:r>
      <w:r w:rsidRPr="00F54795" w:rsidR="00F54795">
        <w:rPr>
          <w:noProof/>
        </w:rPr>
        <w:t>66</w:t>
      </w:r>
      <w:r w:rsidRPr="00F54795">
        <w:fldChar w:fldCharType="end"/>
      </w:r>
      <w:r w:rsidRPr="00F54795">
        <w:t>.  Article 46 of the Convention reads as follows:</w:t>
      </w:r>
    </w:p>
    <w:p w:rsidRPr="00F54795" w:rsidR="00403B61" w:rsidP="00F54795" w:rsidRDefault="00403B61">
      <w:pPr>
        <w:pStyle w:val="ECHRParaQuote"/>
      </w:pPr>
      <w:r w:rsidRPr="00F54795">
        <w:t>“1.  The High Contracting Parties undertake to abide by the final judgment of the Court in any case to which they are parties.</w:t>
      </w:r>
    </w:p>
    <w:p w:rsidRPr="00F54795" w:rsidR="00403B61" w:rsidP="00F54795" w:rsidRDefault="00403B61">
      <w:pPr>
        <w:pStyle w:val="ECHRParaQuote"/>
      </w:pPr>
      <w:r w:rsidRPr="00F54795">
        <w:t>2.  The final judgment of the Court shall be transmitted to the Committee of Ministers, which shall supervise its execution.”</w:t>
      </w:r>
    </w:p>
    <w:p w:rsidRPr="00F54795" w:rsidR="00D635BB" w:rsidP="00F54795" w:rsidRDefault="00B82A76">
      <w:pPr>
        <w:pStyle w:val="ECHRPara"/>
      </w:pPr>
      <w:r w:rsidRPr="00F54795">
        <w:fldChar w:fldCharType="begin"/>
      </w:r>
      <w:r w:rsidRPr="00F54795">
        <w:instrText xml:space="preserve"> SEQ level0 \*arabic </w:instrText>
      </w:r>
      <w:r w:rsidRPr="00F54795">
        <w:fldChar w:fldCharType="separate"/>
      </w:r>
      <w:r w:rsidRPr="00F54795" w:rsidR="00F54795">
        <w:rPr>
          <w:noProof/>
        </w:rPr>
        <w:t>67</w:t>
      </w:r>
      <w:r w:rsidRPr="00F54795">
        <w:fldChar w:fldCharType="end"/>
      </w:r>
      <w:r w:rsidRPr="00F54795">
        <w:t>.  </w:t>
      </w:r>
      <w:r w:rsidRPr="00F54795" w:rsidR="00281CD0">
        <w:t>Under Article 46 of the Convention the Contracting Parties have undertaken to abide by the final judgments of the Court in cases to which they are parties, execution being supervised by the Comm</w:t>
      </w:r>
      <w:r w:rsidRPr="00F54795" w:rsidR="00F54795">
        <w:t xml:space="preserve">ittee of Ministers. It follows, </w:t>
      </w:r>
      <w:r w:rsidRPr="00F54795" w:rsidR="00281CD0">
        <w:rPr>
          <w:i/>
        </w:rPr>
        <w:t>inter alia</w:t>
      </w:r>
      <w:r w:rsidRPr="00F54795" w:rsidR="00281CD0">
        <w:t>, that a judgment in which the Court finds a violation of the Convention or the Protocols thereto imposes on the respondent State the legal obligation not just to pay those concerned the sums awarded by way of just satisfaction pursuant to Article 41 of the Convention but also to choose, subject to supervision by the Committee of Ministers, the general and/or, if necessary, individual measures which it considers appropriate to incorporate into domestic law in order to put an end to the violation found by the Court and to redress as far as possible the effects. It is primarily for the State concerned to choose, subject to supervision by the Committee of Ministers, the means to be used under its domestic law to comply with that obligation. However, with a view to helping the respondent State in that task, the Court may seek to indicate the type of individual and/or general measures that might be taken in order to put an end to the situation it has found to exist</w:t>
      </w:r>
      <w:r w:rsidRPr="00F54795" w:rsidR="00D635BB">
        <w:t xml:space="preserve"> </w:t>
      </w:r>
      <w:r w:rsidRPr="00F54795" w:rsidR="00403B61">
        <w:t>(see</w:t>
      </w:r>
      <w:r w:rsidRPr="00F54795" w:rsidR="00281CD0">
        <w:t xml:space="preserve">, as a recent authority, </w:t>
      </w:r>
      <w:r w:rsidRPr="00F54795" w:rsidR="00281CD0">
        <w:rPr>
          <w:i/>
        </w:rPr>
        <w:t>Navalnyy</w:t>
      </w:r>
      <w:r w:rsidRPr="00F54795" w:rsidR="00281CD0">
        <w:t>, cited above, § 182</w:t>
      </w:r>
      <w:r w:rsidRPr="00F54795" w:rsidR="00403B61">
        <w:t>).</w:t>
      </w:r>
    </w:p>
    <w:p w:rsidRPr="00F54795" w:rsidR="00D635BB" w:rsidP="00F54795" w:rsidRDefault="00407D1D">
      <w:pPr>
        <w:pStyle w:val="ECHRPara"/>
        <w:rPr>
          <w:lang w:val="en"/>
        </w:rPr>
      </w:pPr>
      <w:r w:rsidRPr="00F54795">
        <w:rPr>
          <w:lang w:val="en"/>
        </w:rPr>
        <w:fldChar w:fldCharType="begin"/>
      </w:r>
      <w:r w:rsidRPr="00F54795">
        <w:rPr>
          <w:lang w:val="en"/>
        </w:rPr>
        <w:instrText xml:space="preserve"> SEQ level0 \*arabic </w:instrText>
      </w:r>
      <w:r w:rsidRPr="00F54795">
        <w:rPr>
          <w:lang w:val="en"/>
        </w:rPr>
        <w:fldChar w:fldCharType="separate"/>
      </w:r>
      <w:r w:rsidRPr="00F54795" w:rsidR="00F54795">
        <w:rPr>
          <w:noProof/>
          <w:lang w:val="en"/>
        </w:rPr>
        <w:t>68</w:t>
      </w:r>
      <w:r w:rsidRPr="00F54795">
        <w:rPr>
          <w:lang w:val="en"/>
        </w:rPr>
        <w:fldChar w:fldCharType="end"/>
      </w:r>
      <w:r w:rsidRPr="00F54795">
        <w:rPr>
          <w:lang w:val="en"/>
        </w:rPr>
        <w:t>.  </w:t>
      </w:r>
      <w:r w:rsidRPr="00F54795" w:rsidR="009F0FC5">
        <w:rPr>
          <w:lang w:val="en"/>
        </w:rPr>
        <w:t xml:space="preserve">As to Article 4 </w:t>
      </w:r>
      <w:r w:rsidRPr="00F54795" w:rsidR="009F0FC5">
        <w:t xml:space="preserve">§ 1 </w:t>
      </w:r>
      <w:r w:rsidRPr="00F54795" w:rsidR="009F0FC5">
        <w:rPr>
          <w:lang w:val="en"/>
        </w:rPr>
        <w:t>of Protocol No. 7 to the Convention, the Court notes that there are over one hundred applications pending before it which raise similar issues, mostly, in an identical legal context or in relation to other paragraphs of Articles 19.3 and 20.2 of the CAO or other Articles of the CAO.</w:t>
      </w:r>
    </w:p>
    <w:p w:rsidRPr="00F54795" w:rsidR="00D635BB" w:rsidP="00F54795" w:rsidRDefault="00834BBE">
      <w:pPr>
        <w:pStyle w:val="ECHRPara"/>
      </w:pPr>
      <w:r w:rsidRPr="00F54795">
        <w:fldChar w:fldCharType="begin"/>
      </w:r>
      <w:r w:rsidRPr="00F54795">
        <w:instrText xml:space="preserve"> SEQ level0 \*arabic </w:instrText>
      </w:r>
      <w:r w:rsidRPr="00F54795">
        <w:fldChar w:fldCharType="separate"/>
      </w:r>
      <w:r w:rsidRPr="00F54795" w:rsidR="00F54795">
        <w:rPr>
          <w:noProof/>
        </w:rPr>
        <w:t>69</w:t>
      </w:r>
      <w:r w:rsidRPr="00F54795">
        <w:fldChar w:fldCharType="end"/>
      </w:r>
      <w:r w:rsidRPr="00F54795">
        <w:t>.  </w:t>
      </w:r>
      <w:r w:rsidRPr="00F54795" w:rsidR="007159C2">
        <w:rPr>
          <w:lang w:val="en"/>
        </w:rPr>
        <w:t>In the present case</w:t>
      </w:r>
      <w:r w:rsidRPr="00F54795" w:rsidR="007159C2">
        <w:t xml:space="preserve"> t</w:t>
      </w:r>
      <w:r w:rsidRPr="00F54795">
        <w:t>he Court has found violations of</w:t>
      </w:r>
      <w:r w:rsidRPr="00F54795" w:rsidR="00DF6075">
        <w:t xml:space="preserve">, </w:t>
      </w:r>
      <w:r w:rsidRPr="00F54795" w:rsidR="00DF6075">
        <w:rPr>
          <w:i/>
        </w:rPr>
        <w:t>inter alia</w:t>
      </w:r>
      <w:r w:rsidRPr="00F54795" w:rsidR="00DF6075">
        <w:t>,</w:t>
      </w:r>
      <w:r w:rsidRPr="00F54795">
        <w:t xml:space="preserve"> Article </w:t>
      </w:r>
      <w:r w:rsidRPr="00F54795">
        <w:rPr>
          <w:lang w:val="en"/>
        </w:rPr>
        <w:t xml:space="preserve">4 </w:t>
      </w:r>
      <w:r w:rsidRPr="00F54795">
        <w:t xml:space="preserve">§ 1 </w:t>
      </w:r>
      <w:r w:rsidRPr="00F54795">
        <w:rPr>
          <w:lang w:val="en"/>
        </w:rPr>
        <w:t>of Protocol No. 7 to the Convention</w:t>
      </w:r>
      <w:r w:rsidRPr="00F54795" w:rsidR="007159C2">
        <w:rPr>
          <w:lang w:val="en"/>
        </w:rPr>
        <w:t xml:space="preserve"> on account of the </w:t>
      </w:r>
      <w:r w:rsidRPr="00F54795" w:rsidR="00F6281F">
        <w:rPr>
          <w:lang w:val="en"/>
        </w:rPr>
        <w:t>duplication of prosecution in two</w:t>
      </w:r>
      <w:r w:rsidRPr="00F54795" w:rsidR="007159C2">
        <w:rPr>
          <w:lang w:val="en"/>
        </w:rPr>
        <w:t xml:space="preserve"> </w:t>
      </w:r>
      <w:r w:rsidRPr="00F54795" w:rsidR="00F6281F">
        <w:rPr>
          <w:lang w:val="en"/>
        </w:rPr>
        <w:t xml:space="preserve">sets of </w:t>
      </w:r>
      <w:r w:rsidRPr="00F54795" w:rsidR="007159C2">
        <w:rPr>
          <w:lang w:val="en"/>
        </w:rPr>
        <w:t>proceedings</w:t>
      </w:r>
      <w:r w:rsidRPr="00F54795" w:rsidR="00407D1D">
        <w:t>, under Article 20.2 § 5 and Article 19.3 § 1 of the CAO</w:t>
      </w:r>
      <w:r w:rsidRPr="00F54795">
        <w:rPr>
          <w:lang w:val="en"/>
        </w:rPr>
        <w:t>.</w:t>
      </w:r>
      <w:r w:rsidRPr="00F54795">
        <w:t xml:space="preserve"> The Court notes in this connection that unlike the other procedural codes of the Russian Federation, the CAO contains no specific provision setting out grounds and a procedure for re</w:t>
      </w:r>
      <w:r w:rsidRPr="00F54795" w:rsidR="00EF7B96">
        <w:noBreakHyphen/>
      </w:r>
      <w:r w:rsidRPr="00F54795">
        <w:t>examining the relevant court decisions (reopening the relevant proceedings) on account of this Court</w:t>
      </w:r>
      <w:r w:rsidRPr="00F54795" w:rsidR="00F54795">
        <w:t>’</w:t>
      </w:r>
      <w:r w:rsidRPr="00F54795">
        <w:t>s finding of a violation of the Convention or the Protocols thereto</w:t>
      </w:r>
      <w:r w:rsidRPr="00F54795" w:rsidR="00D5384D">
        <w:t xml:space="preserve"> (see also </w:t>
      </w:r>
      <w:r w:rsidRPr="00F54795" w:rsidR="00D5384D">
        <w:rPr>
          <w:i/>
        </w:rPr>
        <w:t>Bukreyev v. Russia</w:t>
      </w:r>
      <w:r w:rsidRPr="00F54795" w:rsidR="00D5384D">
        <w:t xml:space="preserve"> [Committee], no. </w:t>
      </w:r>
      <w:r w:rsidRPr="00F54795" w:rsidR="00D5384D">
        <w:rPr>
          <w:color w:val="000000"/>
          <w:szCs w:val="24"/>
        </w:rPr>
        <w:t xml:space="preserve">60646/13, </w:t>
      </w:r>
      <w:r w:rsidRPr="00F54795" w:rsidR="00D5384D">
        <w:t>§§ 38-39</w:t>
      </w:r>
      <w:r w:rsidRPr="00F54795" w:rsidR="00D5384D">
        <w:rPr>
          <w:color w:val="000000"/>
          <w:szCs w:val="24"/>
        </w:rPr>
        <w:t>, 1 October 2019</w:t>
      </w:r>
      <w:r w:rsidRPr="00F54795" w:rsidR="00D5384D">
        <w:t>)</w:t>
      </w:r>
      <w:r w:rsidRPr="00F54795">
        <w:t xml:space="preserve">. </w:t>
      </w:r>
      <w:r w:rsidRPr="00F54795" w:rsidR="0093071E">
        <w:t>T</w:t>
      </w:r>
      <w:r w:rsidRPr="00F54795">
        <w:t>here is nothing before the Court to confirm</w:t>
      </w:r>
      <w:r w:rsidRPr="00F54795" w:rsidR="00676FBE">
        <w:t>,</w:t>
      </w:r>
      <w:r w:rsidRPr="00F54795">
        <w:t xml:space="preserve"> to the requisite degree of certainty, that the procedure under Article 30.12 of the CAO, normally applicable for review of final court decisions issued under that Code, may serve that purpose for </w:t>
      </w:r>
      <w:r w:rsidRPr="00F54795" w:rsidR="007159C2">
        <w:t>such</w:t>
      </w:r>
      <w:r w:rsidRPr="00F54795">
        <w:t xml:space="preserve"> “reopening” or “retrial” within the meaning of Article 46 of the Convention, if the applicant requests it.</w:t>
      </w:r>
      <w:r w:rsidRPr="00F54795" w:rsidR="0093071E">
        <w:t> The Court is therefore not satisfied in the present case that there are clear grounds and procedures, as well as a consistent and established practice of applying them, for any such “reopening” or “retrial” under the CAO</w:t>
      </w:r>
      <w:r w:rsidRPr="00F54795" w:rsidR="00D5384D">
        <w:t>.</w:t>
      </w:r>
    </w:p>
    <w:p w:rsidRPr="00F54795" w:rsidR="00D635BB" w:rsidP="00F54795" w:rsidRDefault="005C5A7D">
      <w:pPr>
        <w:pStyle w:val="ECHRPara"/>
      </w:pPr>
      <w:r w:rsidRPr="00F54795">
        <w:rPr>
          <w:lang w:val="en"/>
        </w:rPr>
        <w:fldChar w:fldCharType="begin"/>
      </w:r>
      <w:r w:rsidRPr="00F54795">
        <w:rPr>
          <w:lang w:val="en"/>
        </w:rPr>
        <w:instrText xml:space="preserve"> SEQ level0 \*arabic </w:instrText>
      </w:r>
      <w:r w:rsidRPr="00F54795">
        <w:rPr>
          <w:lang w:val="en"/>
        </w:rPr>
        <w:fldChar w:fldCharType="separate"/>
      </w:r>
      <w:r w:rsidRPr="00F54795" w:rsidR="00F54795">
        <w:rPr>
          <w:noProof/>
          <w:lang w:val="en"/>
        </w:rPr>
        <w:t>70</w:t>
      </w:r>
      <w:r w:rsidRPr="00F54795">
        <w:rPr>
          <w:lang w:val="en"/>
        </w:rPr>
        <w:fldChar w:fldCharType="end"/>
      </w:r>
      <w:r w:rsidRPr="00F54795">
        <w:rPr>
          <w:lang w:val="en"/>
        </w:rPr>
        <w:t>.  </w:t>
      </w:r>
      <w:r w:rsidRPr="00F54795" w:rsidR="006831AE">
        <w:rPr>
          <w:lang w:val="en"/>
        </w:rPr>
        <w:t>Nevertheless</w:t>
      </w:r>
      <w:r w:rsidRPr="00F54795" w:rsidR="009F0FC5">
        <w:rPr>
          <w:lang w:val="en"/>
        </w:rPr>
        <w:t>, i</w:t>
      </w:r>
      <w:r w:rsidRPr="00F54795" w:rsidR="00403B61">
        <w:t>t appears that the Plenary Supreme Court</w:t>
      </w:r>
      <w:r w:rsidRPr="00F54795" w:rsidR="00F54795">
        <w:t>’</w:t>
      </w:r>
      <w:r w:rsidRPr="00F54795" w:rsidR="00403B61">
        <w:t xml:space="preserve">s approach in June 2018 about the prosecution to be limited to Article 20.2 § 5 of the CAO is applicable to cases finally decided prior to June 2018 (see paragraph </w:t>
      </w:r>
      <w:r w:rsidRPr="00F54795" w:rsidR="00403B61">
        <w:fldChar w:fldCharType="begin"/>
      </w:r>
      <w:r w:rsidRPr="00F54795" w:rsidR="00403B61">
        <w:instrText xml:space="preserve"> REF  plenaryfollowup \h  \* MERGEFORMAT </w:instrText>
      </w:r>
      <w:r w:rsidRPr="00F54795" w:rsidR="00403B61">
        <w:fldChar w:fldCharType="separate"/>
      </w:r>
      <w:r w:rsidRPr="00F54795" w:rsidR="00F54795">
        <w:rPr>
          <w:noProof/>
        </w:rPr>
        <w:t>26</w:t>
      </w:r>
      <w:r w:rsidRPr="00F54795" w:rsidR="00403B61">
        <w:fldChar w:fldCharType="end"/>
      </w:r>
      <w:r w:rsidRPr="00F54795" w:rsidR="00403B61">
        <w:t xml:space="preserve"> above).</w:t>
      </w:r>
      <w:r w:rsidRPr="00F54795" w:rsidR="00403B61">
        <w:rPr>
          <w:lang w:val="en"/>
        </w:rPr>
        <w:t xml:space="preserve"> </w:t>
      </w:r>
      <w:r w:rsidRPr="00F54795" w:rsidR="007159C2">
        <w:rPr>
          <w:lang w:val="en"/>
        </w:rPr>
        <w:t>I</w:t>
      </w:r>
      <w:r w:rsidRPr="00F54795" w:rsidR="00403B61">
        <w:t>t is noted that in the present case</w:t>
      </w:r>
      <w:r w:rsidRPr="00F54795" w:rsidR="00226089">
        <w:t>, for instance,</w:t>
      </w:r>
      <w:r w:rsidRPr="00F54795" w:rsidR="00403B61">
        <w:t xml:space="preserve"> no review under Article 30.12 of the CAO has been carried out at a regional level and then before the Supreme Court of Russia (if need be), with reference to the Plenary Supreme Court</w:t>
      </w:r>
      <w:r w:rsidRPr="00F54795" w:rsidR="00F54795">
        <w:t>’</w:t>
      </w:r>
      <w:r w:rsidRPr="00F54795" w:rsidR="00403B61">
        <w:t xml:space="preserve">s approach, so that one of the convictions would be set aside and any persisting consequences of the related prosecution and punishment would be eliminated too (for instance, by way of reimbursement of the fine already paid and/or by way of another adequate redress, in particular as regard other types of penalties already served) (see, </w:t>
      </w:r>
      <w:r w:rsidRPr="00F54795" w:rsidR="00403B61">
        <w:rPr>
          <w:i/>
        </w:rPr>
        <w:t>mutatis mutandis</w:t>
      </w:r>
      <w:r w:rsidRPr="00F54795" w:rsidR="00403B61">
        <w:t xml:space="preserve">, </w:t>
      </w:r>
      <w:r w:rsidRPr="00F54795" w:rsidR="00403B61">
        <w:rPr>
          <w:i/>
        </w:rPr>
        <w:t>Sergey Zolotukhin</w:t>
      </w:r>
      <w:r w:rsidRPr="00F54795" w:rsidR="00403B61">
        <w:t xml:space="preserve">, cited above, § 83; see also paragraph </w:t>
      </w:r>
      <w:r w:rsidRPr="00F54795" w:rsidR="00403B61">
        <w:fldChar w:fldCharType="begin"/>
      </w:r>
      <w:r w:rsidRPr="00F54795" w:rsidR="00403B61">
        <w:instrText xml:space="preserve"> REF  plenaryfollowup \h  \* MERGEFORMAT </w:instrText>
      </w:r>
      <w:r w:rsidRPr="00F54795" w:rsidR="00403B61">
        <w:fldChar w:fldCharType="separate"/>
      </w:r>
      <w:r w:rsidRPr="00F54795" w:rsidR="00F54795">
        <w:rPr>
          <w:noProof/>
        </w:rPr>
        <w:t>26</w:t>
      </w:r>
      <w:r w:rsidRPr="00F54795" w:rsidR="00403B61">
        <w:fldChar w:fldCharType="end"/>
      </w:r>
      <w:r w:rsidRPr="00F54795" w:rsidR="00403B61">
        <w:t xml:space="preserve"> above).</w:t>
      </w:r>
    </w:p>
    <w:p w:rsidRPr="00F54795" w:rsidR="00D635BB" w:rsidP="00F54795" w:rsidRDefault="0093071E">
      <w:pPr>
        <w:pStyle w:val="ECHRPara"/>
      </w:pPr>
      <w:r w:rsidRPr="00F54795">
        <w:fldChar w:fldCharType="begin"/>
      </w:r>
      <w:r w:rsidRPr="00F54795">
        <w:instrText xml:space="preserve"> SEQ level0 \*arabic </w:instrText>
      </w:r>
      <w:r w:rsidRPr="00F54795">
        <w:fldChar w:fldCharType="separate"/>
      </w:r>
      <w:r w:rsidRPr="00F54795" w:rsidR="00F54795">
        <w:rPr>
          <w:noProof/>
        </w:rPr>
        <w:t>71</w:t>
      </w:r>
      <w:r w:rsidRPr="00F54795">
        <w:fldChar w:fldCharType="end"/>
      </w:r>
      <w:r w:rsidRPr="00F54795">
        <w:t>.  </w:t>
      </w:r>
      <w:r w:rsidRPr="00F54795" w:rsidR="00403B61">
        <w:t>This being said, as regards</w:t>
      </w:r>
      <w:r w:rsidRPr="00F54795" w:rsidR="00184137">
        <w:t xml:space="preserve"> </w:t>
      </w:r>
      <w:r w:rsidRPr="00F54795" w:rsidR="00403B61">
        <w:t xml:space="preserve">cases finally decided </w:t>
      </w:r>
      <w:r w:rsidRPr="00F54795" w:rsidR="001972D9">
        <w:t xml:space="preserve">domestically </w:t>
      </w:r>
      <w:r w:rsidRPr="00F54795" w:rsidR="00403B61">
        <w:t xml:space="preserve">prior to June 2018 like the present case, it remains open to the respondent Government to make appropriate use of the available legal avenues which might yield the result mentioned above, namely where it was a conviction under Article 19.3 § 1 of the CAO that gave rise to the </w:t>
      </w:r>
      <w:r w:rsidRPr="00F54795" w:rsidR="00403B61">
        <w:rPr>
          <w:i/>
        </w:rPr>
        <w:t>ne bis in idem</w:t>
      </w:r>
      <w:r w:rsidRPr="00F54795" w:rsidR="00403B61">
        <w:t xml:space="preserve"> issue.</w:t>
      </w:r>
    </w:p>
    <w:p w:rsidRPr="00F54795" w:rsidR="00403B61" w:rsidP="00F54795" w:rsidRDefault="00403B61">
      <w:pPr>
        <w:pStyle w:val="ECHRPara"/>
        <w:rPr>
          <w:lang w:val="en"/>
        </w:rPr>
      </w:pPr>
      <w:r w:rsidRPr="00F54795">
        <w:fldChar w:fldCharType="begin"/>
      </w:r>
      <w:r w:rsidRPr="00F54795">
        <w:instrText xml:space="preserve"> SEQ level0 \*arabic </w:instrText>
      </w:r>
      <w:r w:rsidRPr="00F54795">
        <w:fldChar w:fldCharType="separate"/>
      </w:r>
      <w:r w:rsidRPr="00F54795" w:rsidR="00F54795">
        <w:rPr>
          <w:noProof/>
        </w:rPr>
        <w:t>72</w:t>
      </w:r>
      <w:r w:rsidRPr="00F54795">
        <w:fldChar w:fldCharType="end"/>
      </w:r>
      <w:r w:rsidRPr="00F54795">
        <w:t>.  </w:t>
      </w:r>
      <w:r w:rsidRPr="00F54795" w:rsidR="009F0FC5">
        <w:t>More generally</w:t>
      </w:r>
      <w:r w:rsidRPr="00F54795" w:rsidR="00DC717E">
        <w:t>, i</w:t>
      </w:r>
      <w:r w:rsidRPr="00F54795">
        <w:t>t remains for the respondent Government, together with the Council of Europe Committee of Ministers, to consider what measures may be appropriate</w:t>
      </w:r>
      <w:r w:rsidRPr="00F54795" w:rsidR="006C2991">
        <w:t xml:space="preserve"> </w:t>
      </w:r>
      <w:r w:rsidRPr="00F54795">
        <w:t xml:space="preserve">to facilitate the rapid and effective suppression of a malfunction in the national system of human-rights protection, for instance, by way of </w:t>
      </w:r>
      <w:r w:rsidRPr="00F54795">
        <w:rPr>
          <w:lang w:val="en"/>
        </w:rPr>
        <w:t xml:space="preserve">further clarifying the scope of the </w:t>
      </w:r>
      <w:r w:rsidRPr="00F54795">
        <w:rPr>
          <w:i/>
          <w:lang w:val="en"/>
        </w:rPr>
        <w:t>ne bis in idem</w:t>
      </w:r>
      <w:r w:rsidRPr="00F54795">
        <w:rPr>
          <w:lang w:val="en"/>
        </w:rPr>
        <w:t xml:space="preserve"> principle in CAO cases</w:t>
      </w:r>
      <w:r w:rsidRPr="00F54795" w:rsidR="009F0FC5">
        <w:rPr>
          <w:lang w:val="en"/>
        </w:rPr>
        <w:t xml:space="preserve"> in a manner compatible with the Court</w:t>
      </w:r>
      <w:r w:rsidRPr="00F54795" w:rsidR="00F54795">
        <w:rPr>
          <w:lang w:val="en"/>
        </w:rPr>
        <w:t>’</w:t>
      </w:r>
      <w:r w:rsidRPr="00F54795" w:rsidR="009F0FC5">
        <w:rPr>
          <w:lang w:val="en"/>
        </w:rPr>
        <w:t xml:space="preserve">s approach in paragraphs </w:t>
      </w:r>
      <w:r w:rsidRPr="00F54795" w:rsidR="009F0FC5">
        <w:rPr>
          <w:lang w:val="en"/>
        </w:rPr>
        <w:fldChar w:fldCharType="begin"/>
      </w:r>
      <w:r w:rsidRPr="00F54795" w:rsidR="009F0FC5">
        <w:rPr>
          <w:lang w:val="en"/>
        </w:rPr>
        <w:instrText xml:space="preserve"> REF  b \h  \* MERGEFORMAT </w:instrText>
      </w:r>
      <w:r w:rsidRPr="00F54795" w:rsidR="009F0FC5">
        <w:rPr>
          <w:lang w:val="en"/>
        </w:rPr>
      </w:r>
      <w:r w:rsidRPr="00F54795" w:rsidR="009F0FC5">
        <w:rPr>
          <w:lang w:val="en"/>
        </w:rPr>
        <w:fldChar w:fldCharType="separate"/>
      </w:r>
      <w:r w:rsidRPr="00F54795" w:rsidR="00F54795">
        <w:rPr>
          <w:noProof/>
        </w:rPr>
        <w:t>59</w:t>
      </w:r>
      <w:r w:rsidRPr="00F54795" w:rsidR="009F0FC5">
        <w:rPr>
          <w:lang w:val="en"/>
        </w:rPr>
        <w:fldChar w:fldCharType="end"/>
      </w:r>
      <w:r w:rsidRPr="00F54795" w:rsidR="009F0FC5">
        <w:rPr>
          <w:lang w:val="en"/>
        </w:rPr>
        <w:t xml:space="preserve">, </w:t>
      </w:r>
      <w:r w:rsidRPr="00F54795" w:rsidR="009F0FC5">
        <w:rPr>
          <w:lang w:val="en"/>
        </w:rPr>
        <w:fldChar w:fldCharType="begin"/>
      </w:r>
      <w:r w:rsidRPr="00F54795" w:rsidR="009F0FC5">
        <w:rPr>
          <w:lang w:val="en"/>
        </w:rPr>
        <w:instrText xml:space="preserve"> REF  bb \h  \* MERGEFORMAT </w:instrText>
      </w:r>
      <w:r w:rsidRPr="00F54795" w:rsidR="009F0FC5">
        <w:rPr>
          <w:lang w:val="en"/>
        </w:rPr>
      </w:r>
      <w:r w:rsidRPr="00F54795" w:rsidR="009F0FC5">
        <w:rPr>
          <w:lang w:val="en"/>
        </w:rPr>
        <w:fldChar w:fldCharType="separate"/>
      </w:r>
      <w:r w:rsidRPr="00F54795" w:rsidR="00F54795">
        <w:rPr>
          <w:noProof/>
        </w:rPr>
        <w:t>62</w:t>
      </w:r>
      <w:r w:rsidRPr="00F54795" w:rsidR="009F0FC5">
        <w:rPr>
          <w:lang w:val="en"/>
        </w:rPr>
        <w:fldChar w:fldCharType="end"/>
      </w:r>
      <w:r w:rsidRPr="00F54795" w:rsidR="009F0FC5">
        <w:rPr>
          <w:lang w:val="en"/>
        </w:rPr>
        <w:t xml:space="preserve"> and </w:t>
      </w:r>
      <w:r w:rsidRPr="00F54795" w:rsidR="009F0FC5">
        <w:rPr>
          <w:lang w:val="en"/>
        </w:rPr>
        <w:fldChar w:fldCharType="begin"/>
      </w:r>
      <w:r w:rsidRPr="00F54795" w:rsidR="009F0FC5">
        <w:rPr>
          <w:lang w:val="en"/>
        </w:rPr>
        <w:instrText xml:space="preserve"> REF  bbb \h  \* MERGEFORMAT </w:instrText>
      </w:r>
      <w:r w:rsidRPr="00F54795" w:rsidR="009F0FC5">
        <w:rPr>
          <w:lang w:val="en"/>
        </w:rPr>
      </w:r>
      <w:r w:rsidRPr="00F54795" w:rsidR="009F0FC5">
        <w:rPr>
          <w:lang w:val="en"/>
        </w:rPr>
        <w:fldChar w:fldCharType="separate"/>
      </w:r>
      <w:r w:rsidRPr="00F54795" w:rsidR="00F54795">
        <w:rPr>
          <w:noProof/>
        </w:rPr>
        <w:t>63</w:t>
      </w:r>
      <w:r w:rsidRPr="00F54795" w:rsidR="009F0FC5">
        <w:rPr>
          <w:lang w:val="en"/>
        </w:rPr>
        <w:fldChar w:fldCharType="end"/>
      </w:r>
      <w:r w:rsidRPr="00F54795" w:rsidR="009F0FC5">
        <w:rPr>
          <w:lang w:val="en"/>
        </w:rPr>
        <w:t xml:space="preserve"> above</w:t>
      </w:r>
      <w:r w:rsidRPr="00F54795">
        <w:rPr>
          <w:lang w:val="en"/>
        </w:rPr>
        <w:t xml:space="preserve"> and ensuring its practical application within the applicable domestic remedies.</w:t>
      </w:r>
    </w:p>
    <w:p w:rsidRPr="00F54795" w:rsidR="00403B61" w:rsidP="00F54795" w:rsidRDefault="00403B61">
      <w:pPr>
        <w:pStyle w:val="ECHRHeading2"/>
      </w:pPr>
      <w:r w:rsidRPr="00F54795">
        <w:t>B.  Article 41 of the Convention</w:t>
      </w:r>
    </w:p>
    <w:p w:rsidRPr="00F54795" w:rsidR="00D420F3"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73</w:t>
      </w:r>
      <w:r w:rsidRPr="00F54795">
        <w:fldChar w:fldCharType="end"/>
      </w:r>
      <w:r w:rsidRPr="00F54795" w:rsidR="0077175D">
        <w:t>.  Article 41 of the Convention provides:</w:t>
      </w:r>
    </w:p>
    <w:p w:rsidRPr="00F54795" w:rsidR="00D420F3" w:rsidP="00F54795" w:rsidRDefault="0077175D">
      <w:pPr>
        <w:pStyle w:val="ECHRParaQuote"/>
        <w:keepNext/>
        <w:keepLines/>
      </w:pPr>
      <w:r w:rsidRPr="00F5479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54795" w:rsidR="00D420F3" w:rsidP="00F54795" w:rsidRDefault="00E4257C">
      <w:pPr>
        <w:pStyle w:val="ECHRHeading3"/>
      </w:pPr>
      <w:r w:rsidRPr="00F54795">
        <w:t>1</w:t>
      </w:r>
      <w:r w:rsidRPr="00F54795" w:rsidR="0077175D">
        <w:t>.  Damage</w:t>
      </w:r>
    </w:p>
    <w:p w:rsidRPr="00F54795" w:rsidR="00D420F3"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74</w:t>
      </w:r>
      <w:r w:rsidRPr="00F54795">
        <w:fldChar w:fldCharType="end"/>
      </w:r>
      <w:r w:rsidRPr="00F54795" w:rsidR="0077175D">
        <w:t>.  </w:t>
      </w:r>
      <w:r w:rsidRPr="00F54795" w:rsidR="00280D9B">
        <w:t>The applicant</w:t>
      </w:r>
      <w:r w:rsidRPr="00F54795" w:rsidR="0077175D">
        <w:t xml:space="preserve"> claimed </w:t>
      </w:r>
      <w:r w:rsidRPr="00F54795" w:rsidR="00297969">
        <w:t>10,000</w:t>
      </w:r>
      <w:r w:rsidRPr="00F54795" w:rsidR="0077175D">
        <w:t xml:space="preserve"> </w:t>
      </w:r>
      <w:r w:rsidRPr="00F54795" w:rsidR="00B9055C">
        <w:t xml:space="preserve">euros (EUR) </w:t>
      </w:r>
      <w:r w:rsidRPr="00F54795" w:rsidR="00297969">
        <w:t>and 1</w:t>
      </w:r>
      <w:r w:rsidRPr="00F54795" w:rsidR="004375A6">
        <w:t>0</w:t>
      </w:r>
      <w:r w:rsidRPr="00F54795" w:rsidR="00297969">
        <w:t>,</w:t>
      </w:r>
      <w:r w:rsidRPr="00F54795" w:rsidR="004375A6">
        <w:t>5</w:t>
      </w:r>
      <w:r w:rsidRPr="00F54795" w:rsidR="00297969">
        <w:t xml:space="preserve">00 </w:t>
      </w:r>
      <w:r w:rsidRPr="00F54795" w:rsidR="00B9055C">
        <w:t xml:space="preserve">roubles (RUB) </w:t>
      </w:r>
      <w:r w:rsidRPr="00F54795" w:rsidR="0077175D">
        <w:t xml:space="preserve">in respect of </w:t>
      </w:r>
      <w:r w:rsidRPr="00F54795" w:rsidR="00297969">
        <w:t xml:space="preserve">non-pecuniary damage and </w:t>
      </w:r>
      <w:r w:rsidRPr="00F54795" w:rsidR="0077175D">
        <w:t>pecuniary</w:t>
      </w:r>
      <w:r w:rsidRPr="00F54795" w:rsidR="00297969">
        <w:t xml:space="preserve"> damage (on account of </w:t>
      </w:r>
      <w:r w:rsidRPr="00F54795" w:rsidR="00B9055C">
        <w:t xml:space="preserve">the </w:t>
      </w:r>
      <w:r w:rsidRPr="00F54795" w:rsidR="00297969">
        <w:t>two fines</w:t>
      </w:r>
      <w:r w:rsidRPr="00F54795" w:rsidR="00750E27">
        <w:t xml:space="preserve"> she had paid</w:t>
      </w:r>
      <w:r w:rsidRPr="00F54795" w:rsidR="00297969">
        <w:t>) respectively</w:t>
      </w:r>
      <w:r w:rsidRPr="00F54795" w:rsidR="0077175D">
        <w:t>.</w:t>
      </w:r>
    </w:p>
    <w:p w:rsidRPr="00F54795" w:rsidR="00D420F3"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75</w:t>
      </w:r>
      <w:r w:rsidRPr="00F54795">
        <w:fldChar w:fldCharType="end"/>
      </w:r>
      <w:r w:rsidRPr="00F54795" w:rsidR="0077175D">
        <w:t xml:space="preserve">.  The Government </w:t>
      </w:r>
      <w:r w:rsidRPr="00F54795" w:rsidR="008C67B4">
        <w:t>made no specific comment.</w:t>
      </w:r>
    </w:p>
    <w:p w:rsidRPr="00F54795" w:rsidR="00D635BB"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76</w:t>
      </w:r>
      <w:r w:rsidRPr="00F54795">
        <w:fldChar w:fldCharType="end"/>
      </w:r>
      <w:r w:rsidRPr="00F54795" w:rsidR="0077175D">
        <w:t>.  </w:t>
      </w:r>
      <w:r w:rsidRPr="00F54795" w:rsidR="00821989">
        <w:t>The Court has discerned no causal link between the fine</w:t>
      </w:r>
      <w:r w:rsidRPr="00F54795" w:rsidR="008B0032">
        <w:t>s</w:t>
      </w:r>
      <w:r w:rsidRPr="00F54795" w:rsidR="00821989">
        <w:t xml:space="preserve"> and the</w:t>
      </w:r>
      <w:r w:rsidRPr="00F54795" w:rsidR="008B0032">
        <w:t xml:space="preserve"> only</w:t>
      </w:r>
      <w:r w:rsidRPr="00F54795" w:rsidR="00821989">
        <w:t xml:space="preserve"> violation under Article 6 of the Convention as established by the Court in the present case (compare</w:t>
      </w:r>
      <w:r w:rsidRPr="00F54795" w:rsidR="00821989">
        <w:rPr>
          <w:lang w:val="en-US"/>
        </w:rPr>
        <w:t xml:space="preserve"> </w:t>
      </w:r>
      <w:r w:rsidRPr="00F54795" w:rsidR="00984C03">
        <w:rPr>
          <w:i/>
        </w:rPr>
        <w:t>Mikhaylova v. Russia</w:t>
      </w:r>
      <w:r w:rsidRPr="00F54795" w:rsidR="00984C03">
        <w:t>, no. 46998/08</w:t>
      </w:r>
      <w:r w:rsidRPr="00F54795" w:rsidR="00984C03">
        <w:rPr>
          <w:snapToGrid w:val="0"/>
        </w:rPr>
        <w:t>,</w:t>
      </w:r>
      <w:r w:rsidRPr="00F54795" w:rsidR="00984C03">
        <w:rPr>
          <w:snapToGrid w:val="0"/>
          <w:lang w:val="en-US"/>
        </w:rPr>
        <w:t xml:space="preserve"> § 106</w:t>
      </w:r>
      <w:r w:rsidRPr="00F54795" w:rsidR="00984C03">
        <w:rPr>
          <w:snapToGrid w:val="0"/>
        </w:rPr>
        <w:t>, 1</w:t>
      </w:r>
      <w:r w:rsidRPr="00F54795" w:rsidR="00984C03">
        <w:t>9</w:t>
      </w:r>
      <w:r w:rsidRPr="00F54795" w:rsidR="00984C03">
        <w:rPr>
          <w:rFonts w:ascii="Sylfaen" w:hAnsi="Sylfaen"/>
          <w:lang w:val="hy-AM"/>
        </w:rPr>
        <w:t> </w:t>
      </w:r>
      <w:r w:rsidRPr="00F54795" w:rsidR="00984C03">
        <w:t>November</w:t>
      </w:r>
      <w:r w:rsidRPr="00F54795" w:rsidR="00984C03">
        <w:rPr>
          <w:snapToGrid w:val="0"/>
        </w:rPr>
        <w:t xml:space="preserve"> 2015</w:t>
      </w:r>
      <w:r w:rsidRPr="00F54795" w:rsidR="00C61FCB">
        <w:rPr>
          <w:lang w:val="en-US"/>
        </w:rPr>
        <w:t xml:space="preserve">, </w:t>
      </w:r>
      <w:r w:rsidRPr="00F54795" w:rsidR="00821989">
        <w:rPr>
          <w:snapToGrid w:val="0"/>
          <w:lang w:val="en-US"/>
        </w:rPr>
        <w:t xml:space="preserve">and </w:t>
      </w:r>
      <w:r w:rsidRPr="00F54795" w:rsidR="00821989">
        <w:rPr>
          <w:i/>
          <w:lang w:val="en-US"/>
        </w:rPr>
        <w:t>Morice v.</w:t>
      </w:r>
      <w:r w:rsidRPr="00F54795" w:rsidR="00BB693B">
        <w:rPr>
          <w:rFonts w:ascii="Sylfaen" w:hAnsi="Sylfaen"/>
          <w:i/>
          <w:lang w:val="hy-AM"/>
        </w:rPr>
        <w:t> </w:t>
      </w:r>
      <w:r w:rsidRPr="00F54795" w:rsidR="00821989">
        <w:rPr>
          <w:i/>
          <w:lang w:val="en-US"/>
        </w:rPr>
        <w:t xml:space="preserve">France </w:t>
      </w:r>
      <w:r w:rsidRPr="00F54795" w:rsidR="00821989">
        <w:rPr>
          <w:lang w:val="en-US"/>
        </w:rPr>
        <w:t>[GC], no.</w:t>
      </w:r>
      <w:r w:rsidRPr="00F54795" w:rsidR="00821989">
        <w:t> </w:t>
      </w:r>
      <w:r w:rsidRPr="00F54795" w:rsidR="00821989">
        <w:rPr>
          <w:lang w:val="en-US"/>
        </w:rPr>
        <w:t xml:space="preserve">29369/10, § 182, ECHR 2015). As to </w:t>
      </w:r>
      <w:r w:rsidRPr="00F54795" w:rsidR="00821989">
        <w:t>Article 4 § 1 of Protocol No. 7, since i</w:t>
      </w:r>
      <w:r w:rsidRPr="00F54795" w:rsidR="00297969">
        <w:t xml:space="preserve">t remains unclear </w:t>
      </w:r>
      <w:r w:rsidRPr="00F54795" w:rsidR="00B9055C">
        <w:t xml:space="preserve">in </w:t>
      </w:r>
      <w:r w:rsidRPr="00F54795" w:rsidR="00297969">
        <w:t xml:space="preserve">which </w:t>
      </w:r>
      <w:r w:rsidRPr="00F54795" w:rsidR="00B9055C">
        <w:t xml:space="preserve">order </w:t>
      </w:r>
      <w:r w:rsidRPr="00F54795" w:rsidR="00297969">
        <w:t xml:space="preserve">the two </w:t>
      </w:r>
      <w:r w:rsidRPr="00F54795" w:rsidR="00B9055C">
        <w:t xml:space="preserve">sets of </w:t>
      </w:r>
      <w:r w:rsidRPr="00F54795" w:rsidR="00550FB9">
        <w:t xml:space="preserve">appeal </w:t>
      </w:r>
      <w:r w:rsidRPr="00F54795" w:rsidR="00297969">
        <w:t xml:space="preserve">proceedings </w:t>
      </w:r>
      <w:r w:rsidRPr="00F54795" w:rsidR="00B9055C">
        <w:t xml:space="preserve">were conducted </w:t>
      </w:r>
      <w:r w:rsidRPr="00F54795" w:rsidR="00297969">
        <w:t>on 29</w:t>
      </w:r>
      <w:r w:rsidRPr="00F54795" w:rsidR="00DB7BFE">
        <w:rPr>
          <w:rFonts w:ascii="Sylfaen" w:hAnsi="Sylfaen"/>
          <w:lang w:val="hy-AM"/>
        </w:rPr>
        <w:t> </w:t>
      </w:r>
      <w:r w:rsidRPr="00F54795" w:rsidR="00297969">
        <w:t xml:space="preserve">June </w:t>
      </w:r>
      <w:r w:rsidRPr="00F54795" w:rsidR="00C53ABA">
        <w:t>2017</w:t>
      </w:r>
      <w:r w:rsidRPr="00F54795" w:rsidR="00821989">
        <w:t xml:space="preserve">, </w:t>
      </w:r>
      <w:r w:rsidRPr="00F54795" w:rsidR="00297969">
        <w:t xml:space="preserve">no </w:t>
      </w:r>
      <w:r w:rsidRPr="00F54795" w:rsidR="0077175D">
        <w:t xml:space="preserve">causal link </w:t>
      </w:r>
      <w:r w:rsidRPr="00F54795" w:rsidR="00297969">
        <w:t>has been substantiated in the</w:t>
      </w:r>
      <w:r w:rsidRPr="00F54795" w:rsidR="00302D77">
        <w:t xml:space="preserve"> specific context of the</w:t>
      </w:r>
      <w:r w:rsidRPr="00F54795" w:rsidR="00297969">
        <w:t xml:space="preserve"> present case </w:t>
      </w:r>
      <w:r w:rsidRPr="00F54795" w:rsidR="0077175D">
        <w:t>between the violation</w:t>
      </w:r>
      <w:r w:rsidRPr="00F54795" w:rsidR="00821989">
        <w:t xml:space="preserve"> of that Article and any of the fines</w:t>
      </w:r>
      <w:r w:rsidRPr="00F54795" w:rsidR="00297969">
        <w:t>.</w:t>
      </w:r>
    </w:p>
    <w:p w:rsidRPr="00F54795" w:rsidR="00D635BB" w:rsidP="00F54795" w:rsidRDefault="00F47741">
      <w:pPr>
        <w:pStyle w:val="ECHRPara"/>
      </w:pPr>
      <w:r w:rsidRPr="00F54795">
        <w:fldChar w:fldCharType="begin"/>
      </w:r>
      <w:r w:rsidRPr="00F54795">
        <w:instrText xml:space="preserve"> SEQ level0 \*arabic </w:instrText>
      </w:r>
      <w:r w:rsidRPr="00F54795">
        <w:fldChar w:fldCharType="separate"/>
      </w:r>
      <w:r w:rsidRPr="00F54795" w:rsidR="00F54795">
        <w:rPr>
          <w:noProof/>
        </w:rPr>
        <w:t>77</w:t>
      </w:r>
      <w:r w:rsidRPr="00F54795">
        <w:fldChar w:fldCharType="end"/>
      </w:r>
      <w:r w:rsidRPr="00F54795">
        <w:t>.  </w:t>
      </w:r>
      <w:r w:rsidRPr="00F54795" w:rsidR="00DD4BDD">
        <w:t>T</w:t>
      </w:r>
      <w:r w:rsidRPr="00F54795" w:rsidR="00B86C6F">
        <w:t>he Court reiterates that its primary role in respect of applications lodged under Article 34 of the Convention is to render justice in individual cases by way of recognising violations of an injured party</w:t>
      </w:r>
      <w:r w:rsidRPr="00F54795" w:rsidR="00F54795">
        <w:t>’</w:t>
      </w:r>
      <w:r w:rsidRPr="00F54795" w:rsidR="00B86C6F">
        <w:t xml:space="preserve">s rights and freedoms under the Convention and Protocols thereto and, if necessary, by way of affording just satisfaction (see </w:t>
      </w:r>
      <w:r w:rsidRPr="00F54795" w:rsidR="00B86C6F">
        <w:rPr>
          <w:i/>
        </w:rPr>
        <w:t>Nagmetov v. Russia</w:t>
      </w:r>
      <w:r w:rsidRPr="00F54795" w:rsidR="00B86C6F">
        <w:t xml:space="preserve"> [GC], no. 35589/08, § 64, 30 March 2017). A judgment in which the Court finds a breach of the Convention imposes on the respondent State a legal obligation to put an end to the breach and make reparation for its consequences in such a way as to restore as far as possible the situation existing before the breach (ibid</w:t>
      </w:r>
      <w:r w:rsidRPr="00F54795" w:rsidR="00B9055C">
        <w:t>.</w:t>
      </w:r>
      <w:r w:rsidRPr="00F54795" w:rsidR="00B86C6F">
        <w:t>, § 65).</w:t>
      </w:r>
    </w:p>
    <w:p w:rsidRPr="00F54795" w:rsidR="008B0032" w:rsidP="00F54795" w:rsidRDefault="00331105">
      <w:pPr>
        <w:pStyle w:val="ECHRPara"/>
      </w:pPr>
      <w:r w:rsidRPr="00F54795">
        <w:fldChar w:fldCharType="begin"/>
      </w:r>
      <w:r w:rsidRPr="00F54795">
        <w:instrText xml:space="preserve"> SEQ level0 \*arabic </w:instrText>
      </w:r>
      <w:r w:rsidRPr="00F54795">
        <w:fldChar w:fldCharType="separate"/>
      </w:r>
      <w:r w:rsidRPr="00F54795" w:rsidR="00F54795">
        <w:rPr>
          <w:noProof/>
        </w:rPr>
        <w:t>78</w:t>
      </w:r>
      <w:r w:rsidRPr="00F54795">
        <w:rPr>
          <w:noProof/>
        </w:rPr>
        <w:fldChar w:fldCharType="end"/>
      </w:r>
      <w:r w:rsidRPr="00F54795" w:rsidR="002A27CA">
        <w:t>.  T</w:t>
      </w:r>
      <w:r w:rsidRPr="00F54795" w:rsidR="008B0032">
        <w:t xml:space="preserve">he Court considers that the finding of a violation is not sufficient to constitute in itself sufficient just satisfaction for any non-pecuniary damage which the applicant may have suffered in relation to Articles 5 § 1 and 6 § 1 of the Convention and Article </w:t>
      </w:r>
      <w:r w:rsidRPr="00F54795" w:rsidR="008B0032">
        <w:rPr>
          <w:lang w:val="en"/>
        </w:rPr>
        <w:t>4 of Protocol No. 7</w:t>
      </w:r>
      <w:r w:rsidRPr="00F54795" w:rsidR="008B0032">
        <w:t xml:space="preserve">. Having regard to the nature and scope of the violations found and making its assessment on an equitable basis, the Court awards the applicant EUR </w:t>
      </w:r>
      <w:r w:rsidRPr="00F54795" w:rsidR="0049506F">
        <w:t>3</w:t>
      </w:r>
      <w:r w:rsidRPr="00F54795" w:rsidR="008B0032">
        <w:t>,</w:t>
      </w:r>
      <w:r w:rsidRPr="00F54795" w:rsidR="0049506F">
        <w:t>2</w:t>
      </w:r>
      <w:r w:rsidRPr="00F54795" w:rsidR="000E3E9C">
        <w:t>5</w:t>
      </w:r>
      <w:r w:rsidRPr="00F54795" w:rsidR="008B0032">
        <w:t>0 in respect of non-pecuniary damage, plus any tax that may be chargeable.</w:t>
      </w:r>
    </w:p>
    <w:p w:rsidRPr="00F54795" w:rsidR="00D420F3" w:rsidP="00F54795" w:rsidRDefault="00403B61">
      <w:pPr>
        <w:pStyle w:val="ECHRHeading3"/>
      </w:pPr>
      <w:r w:rsidRPr="00F54795">
        <w:t>2</w:t>
      </w:r>
      <w:r w:rsidRPr="00F54795" w:rsidR="0077175D">
        <w:t>.  Costs and expenses</w:t>
      </w:r>
    </w:p>
    <w:p w:rsidRPr="00F54795" w:rsidR="00D420F3"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79</w:t>
      </w:r>
      <w:r w:rsidRPr="00F54795">
        <w:fldChar w:fldCharType="end"/>
      </w:r>
      <w:r w:rsidRPr="00F54795" w:rsidR="0077175D">
        <w:t>.  </w:t>
      </w:r>
      <w:r w:rsidRPr="00F54795" w:rsidR="00280D9B">
        <w:t xml:space="preserve">The applicant </w:t>
      </w:r>
      <w:r w:rsidRPr="00F54795" w:rsidR="0077175D">
        <w:t xml:space="preserve">claimed EUR </w:t>
      </w:r>
      <w:r w:rsidRPr="00F54795" w:rsidR="00EE40FA">
        <w:t xml:space="preserve">3,750 </w:t>
      </w:r>
      <w:r w:rsidRPr="00F54795" w:rsidR="0077175D">
        <w:t xml:space="preserve">for the costs and expenses incurred before the domestic </w:t>
      </w:r>
      <w:r w:rsidRPr="00F54795" w:rsidR="00EE40FA">
        <w:t>authorities</w:t>
      </w:r>
      <w:r w:rsidRPr="00F54795" w:rsidR="0077175D">
        <w:t xml:space="preserve"> and</w:t>
      </w:r>
      <w:r w:rsidRPr="00F54795" w:rsidR="00EE40FA">
        <w:t xml:space="preserve"> </w:t>
      </w:r>
      <w:r w:rsidRPr="00F54795" w:rsidR="0077175D">
        <w:t>the Court.</w:t>
      </w:r>
    </w:p>
    <w:p w:rsidRPr="00F54795" w:rsidR="00D420F3"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80</w:t>
      </w:r>
      <w:r w:rsidRPr="00F54795">
        <w:fldChar w:fldCharType="end"/>
      </w:r>
      <w:r w:rsidRPr="00F54795" w:rsidR="0077175D">
        <w:t>.  The Government</w:t>
      </w:r>
      <w:r w:rsidRPr="00F54795" w:rsidR="00F00E38">
        <w:t xml:space="preserve"> have made no specific comment.</w:t>
      </w:r>
    </w:p>
    <w:p w:rsidRPr="00F54795" w:rsidR="00D420F3" w:rsidP="00F54795" w:rsidRDefault="00C769A3">
      <w:pPr>
        <w:pStyle w:val="ECHRPara"/>
      </w:pPr>
      <w:r w:rsidRPr="00F54795">
        <w:fldChar w:fldCharType="begin"/>
      </w:r>
      <w:r w:rsidRPr="00F54795">
        <w:instrText xml:space="preserve"> SEQ level0 \*arabic </w:instrText>
      </w:r>
      <w:r w:rsidRPr="00F54795">
        <w:fldChar w:fldCharType="separate"/>
      </w:r>
      <w:r w:rsidRPr="00F54795" w:rsidR="00F54795">
        <w:rPr>
          <w:noProof/>
        </w:rPr>
        <w:t>81</w:t>
      </w:r>
      <w:r w:rsidRPr="00F54795">
        <w:fldChar w:fldCharType="end"/>
      </w:r>
      <w:r w:rsidRPr="00F54795">
        <w:t>.  </w:t>
      </w:r>
      <w:r w:rsidRPr="00F54795" w:rsidR="007B2327">
        <w:t>According to the Court</w:t>
      </w:r>
      <w:r w:rsidRPr="00F54795" w:rsidR="00F54795">
        <w:t>’</w:t>
      </w:r>
      <w:r w:rsidRPr="00F54795" w:rsidR="007B2327">
        <w:t xml:space="preserve">s case-law, an applicant is entitled to the reimbursement of costs and expenses only in so far as it has been shown that these have been actually and necessarily incurred and are reasonable as to quantum. </w:t>
      </w:r>
      <w:r w:rsidRPr="00F54795" w:rsidR="0068240F">
        <w:t>R</w:t>
      </w:r>
      <w:r w:rsidRPr="00F54795" w:rsidR="007B2327">
        <w:t>egard</w:t>
      </w:r>
      <w:r w:rsidRPr="00F54795" w:rsidR="0077175D">
        <w:t xml:space="preserve"> being had to the documents in its possession and </w:t>
      </w:r>
      <w:r w:rsidRPr="00F54795" w:rsidR="007B2327">
        <w:t>the above criteria</w:t>
      </w:r>
      <w:r w:rsidRPr="00F54795" w:rsidR="00006E44">
        <w:t xml:space="preserve"> (in particular, </w:t>
      </w:r>
      <w:r w:rsidRPr="00F54795" w:rsidR="00B6403E">
        <w:t>the straightforward nature of certain issues raised under the Convention</w:t>
      </w:r>
      <w:r w:rsidRPr="00F54795" w:rsidR="00006E44">
        <w:t>)</w:t>
      </w:r>
      <w:r w:rsidRPr="00F54795" w:rsidR="0068240F">
        <w:t xml:space="preserve"> and in so far as the expenses are related to the violations found by the Court</w:t>
      </w:r>
      <w:r w:rsidRPr="00F54795" w:rsidR="0077175D">
        <w:t>, the Court considers</w:t>
      </w:r>
      <w:r w:rsidRPr="00F54795" w:rsidR="00B40A9B">
        <w:t xml:space="preserve"> </w:t>
      </w:r>
      <w:r w:rsidRPr="00F54795" w:rsidR="0077175D">
        <w:t>it reasonable to award EUR</w:t>
      </w:r>
      <w:r w:rsidRPr="00F54795" w:rsidR="00F2616A">
        <w:t> </w:t>
      </w:r>
      <w:r w:rsidRPr="00F54795" w:rsidR="00F00E38">
        <w:t>2</w:t>
      </w:r>
      <w:r w:rsidRPr="00F54795" w:rsidR="00EE40FA">
        <w:t>,</w:t>
      </w:r>
      <w:r w:rsidRPr="00F54795" w:rsidR="00F00E38">
        <w:t>5</w:t>
      </w:r>
      <w:r w:rsidRPr="00F54795" w:rsidR="00B6403E">
        <w:t>0</w:t>
      </w:r>
      <w:r w:rsidRPr="00F54795" w:rsidR="00B40A9B">
        <w:t>0</w:t>
      </w:r>
      <w:r w:rsidRPr="00F54795" w:rsidR="00EE40FA">
        <w:t xml:space="preserve"> </w:t>
      </w:r>
      <w:r w:rsidRPr="00F54795" w:rsidR="0077175D">
        <w:t>covering costs under al</w:t>
      </w:r>
      <w:r w:rsidRPr="00F54795" w:rsidR="00EE40FA">
        <w:t>l heads, to be paid directly to Mr</w:t>
      </w:r>
      <w:r w:rsidRPr="00F54795" w:rsidR="00F2616A">
        <w:t> </w:t>
      </w:r>
      <w:r w:rsidRPr="00F54795" w:rsidR="00EE40FA">
        <w:t>A.</w:t>
      </w:r>
      <w:r w:rsidRPr="00F54795" w:rsidR="004375A6">
        <w:t>D.</w:t>
      </w:r>
      <w:r w:rsidRPr="00F54795" w:rsidR="00F2616A">
        <w:t> </w:t>
      </w:r>
      <w:r w:rsidRPr="00F54795" w:rsidR="00EE40FA">
        <w:t>Peredruk</w:t>
      </w:r>
      <w:r w:rsidRPr="00F54795" w:rsidR="00821989">
        <w:t xml:space="preserve"> as requested</w:t>
      </w:r>
      <w:r w:rsidRPr="00F54795" w:rsidR="0077175D">
        <w:t>.</w:t>
      </w:r>
    </w:p>
    <w:p w:rsidRPr="00F54795" w:rsidR="00D420F3" w:rsidP="00F54795" w:rsidRDefault="00403B61">
      <w:pPr>
        <w:pStyle w:val="ECHRHeading3"/>
      </w:pPr>
      <w:r w:rsidRPr="00F54795">
        <w:t>3</w:t>
      </w:r>
      <w:r w:rsidRPr="00F54795" w:rsidR="0077175D">
        <w:t>.  Default interest</w:t>
      </w:r>
    </w:p>
    <w:p w:rsidRPr="00F54795" w:rsidR="00D420F3" w:rsidP="00F54795" w:rsidRDefault="007B2327">
      <w:pPr>
        <w:pStyle w:val="ECHRPara"/>
      </w:pPr>
      <w:r w:rsidRPr="00F54795">
        <w:fldChar w:fldCharType="begin"/>
      </w:r>
      <w:r w:rsidRPr="00F54795">
        <w:instrText xml:space="preserve"> SEQ level0 \*arabic </w:instrText>
      </w:r>
      <w:r w:rsidRPr="00F54795">
        <w:fldChar w:fldCharType="separate"/>
      </w:r>
      <w:r w:rsidRPr="00F54795" w:rsidR="00F54795">
        <w:rPr>
          <w:noProof/>
        </w:rPr>
        <w:t>82</w:t>
      </w:r>
      <w:r w:rsidRPr="00F54795">
        <w:fldChar w:fldCharType="end"/>
      </w:r>
      <w:r w:rsidRPr="00F54795" w:rsidR="0077175D">
        <w:t>.  The Court considers it appropriate that the default interest rate should be based on the marginal lending rate of the European Central Bank, to which should be added three percentage points.</w:t>
      </w:r>
    </w:p>
    <w:p w:rsidRPr="00F54795" w:rsidR="00D420F3" w:rsidP="00F54795" w:rsidRDefault="0077175D">
      <w:pPr>
        <w:pStyle w:val="ECHRTitle1"/>
      </w:pPr>
      <w:r w:rsidRPr="00F54795">
        <w:t>FOR THESE REASONS, THE COURT</w:t>
      </w:r>
      <w:r w:rsidRPr="00F54795" w:rsidR="00967F2A">
        <w:t>, UNANIMOUSLY,</w:t>
      </w:r>
    </w:p>
    <w:p w:rsidRPr="00F54795" w:rsidR="00D420F3" w:rsidP="00F54795" w:rsidRDefault="0077175D">
      <w:pPr>
        <w:pStyle w:val="JuList"/>
      </w:pPr>
      <w:r w:rsidRPr="00F54795">
        <w:t>1.  </w:t>
      </w:r>
      <w:r w:rsidRPr="00F54795">
        <w:rPr>
          <w:i/>
        </w:rPr>
        <w:t>Declares</w:t>
      </w:r>
      <w:r w:rsidRPr="00F54795">
        <w:t xml:space="preserve"> the complaints </w:t>
      </w:r>
      <w:r w:rsidRPr="00F54795" w:rsidR="00280D9B">
        <w:t>under Article 5 </w:t>
      </w:r>
      <w:r w:rsidRPr="00F54795" w:rsidR="00280D9B">
        <w:rPr>
          <w:lang w:val="en-US"/>
        </w:rPr>
        <w:t>§ 1</w:t>
      </w:r>
      <w:r w:rsidRPr="00F54795" w:rsidR="004C307F">
        <w:rPr>
          <w:lang w:val="en-US"/>
        </w:rPr>
        <w:t xml:space="preserve"> and</w:t>
      </w:r>
      <w:r w:rsidRPr="00F54795" w:rsidR="00280D9B">
        <w:rPr>
          <w:lang w:val="en-US"/>
        </w:rPr>
        <w:t xml:space="preserve"> </w:t>
      </w:r>
      <w:r w:rsidRPr="00F54795" w:rsidR="0073648D">
        <w:rPr>
          <w:lang w:val="en-US"/>
        </w:rPr>
        <w:t xml:space="preserve">Article </w:t>
      </w:r>
      <w:r w:rsidRPr="00F54795" w:rsidR="00280D9B">
        <w:rPr>
          <w:lang w:val="en-US"/>
        </w:rPr>
        <w:t xml:space="preserve">6 §§ 1 and 3 </w:t>
      </w:r>
      <w:r w:rsidRPr="00F54795" w:rsidR="00252DB1">
        <w:rPr>
          <w:lang w:val="en-US"/>
        </w:rPr>
        <w:t xml:space="preserve">(d) </w:t>
      </w:r>
      <w:r w:rsidRPr="00F54795" w:rsidR="00280D9B">
        <w:rPr>
          <w:lang w:val="en-US"/>
        </w:rPr>
        <w:t>of the Convention</w:t>
      </w:r>
      <w:r w:rsidRPr="00F54795" w:rsidR="000778E1">
        <w:rPr>
          <w:lang w:val="en-US"/>
        </w:rPr>
        <w:t xml:space="preserve"> </w:t>
      </w:r>
      <w:r w:rsidRPr="00F54795" w:rsidR="00280D9B">
        <w:rPr>
          <w:lang w:val="en-US"/>
        </w:rPr>
        <w:t>and Article</w:t>
      </w:r>
      <w:r w:rsidRPr="00F54795" w:rsidR="000778E1">
        <w:rPr>
          <w:lang w:val="en-US"/>
        </w:rPr>
        <w:t> </w:t>
      </w:r>
      <w:r w:rsidRPr="00F54795" w:rsidR="00280D9B">
        <w:rPr>
          <w:lang w:val="en-US"/>
        </w:rPr>
        <w:t xml:space="preserve">4 </w:t>
      </w:r>
      <w:r w:rsidRPr="00F54795" w:rsidR="00252DB1">
        <w:rPr>
          <w:lang w:val="en-US"/>
        </w:rPr>
        <w:t xml:space="preserve">§ 1 </w:t>
      </w:r>
      <w:r w:rsidRPr="00F54795" w:rsidR="00280D9B">
        <w:rPr>
          <w:lang w:val="en-US"/>
        </w:rPr>
        <w:t xml:space="preserve">of Protocol No. 7 to the Convention </w:t>
      </w:r>
      <w:r w:rsidRPr="00F54795">
        <w:t>admissible;</w:t>
      </w:r>
    </w:p>
    <w:p w:rsidRPr="00F54795" w:rsidR="00D420F3" w:rsidP="00F54795" w:rsidRDefault="00D420F3">
      <w:pPr>
        <w:pStyle w:val="JuList"/>
        <w:ind w:left="0" w:firstLine="0"/>
      </w:pPr>
    </w:p>
    <w:p w:rsidRPr="00F54795" w:rsidR="00D420F3" w:rsidP="00F54795" w:rsidRDefault="000778E1">
      <w:pPr>
        <w:pStyle w:val="JuList"/>
      </w:pPr>
      <w:r w:rsidRPr="00F54795">
        <w:t>2</w:t>
      </w:r>
      <w:r w:rsidRPr="00F54795" w:rsidR="0077175D">
        <w:t>.  </w:t>
      </w:r>
      <w:r w:rsidRPr="00F54795" w:rsidR="0077175D">
        <w:rPr>
          <w:i/>
        </w:rPr>
        <w:t>Holds</w:t>
      </w:r>
      <w:r w:rsidRPr="00F54795" w:rsidR="0077175D">
        <w:rPr>
          <w:color w:val="000000"/>
        </w:rPr>
        <w:t xml:space="preserve"> </w:t>
      </w:r>
      <w:r w:rsidRPr="00F54795" w:rsidR="0077175D">
        <w:t xml:space="preserve">that there has been a violation of Article </w:t>
      </w:r>
      <w:r w:rsidRPr="00F54795" w:rsidR="00280D9B">
        <w:t xml:space="preserve">5 </w:t>
      </w:r>
      <w:r w:rsidRPr="00F54795" w:rsidR="00280D9B">
        <w:rPr>
          <w:lang w:val="en-US"/>
        </w:rPr>
        <w:t xml:space="preserve">§ 1 </w:t>
      </w:r>
      <w:r w:rsidRPr="00F54795" w:rsidR="0077175D">
        <w:t>of the Convention;</w:t>
      </w:r>
    </w:p>
    <w:p w:rsidRPr="00F54795" w:rsidR="00D420F3" w:rsidP="00F54795" w:rsidRDefault="00D420F3">
      <w:pPr>
        <w:pStyle w:val="JuList"/>
      </w:pPr>
    </w:p>
    <w:p w:rsidRPr="00F54795" w:rsidR="00D420F3" w:rsidP="00F54795" w:rsidRDefault="000778E1">
      <w:pPr>
        <w:pStyle w:val="JuList"/>
      </w:pPr>
      <w:r w:rsidRPr="00F54795">
        <w:t>3</w:t>
      </w:r>
      <w:r w:rsidRPr="00F54795" w:rsidR="0077175D">
        <w:t>.  </w:t>
      </w:r>
      <w:r w:rsidRPr="00F54795" w:rsidR="0077175D">
        <w:rPr>
          <w:i/>
        </w:rPr>
        <w:t>Holds</w:t>
      </w:r>
      <w:r w:rsidRPr="00F54795" w:rsidR="0077175D">
        <w:rPr>
          <w:color w:val="000000"/>
        </w:rPr>
        <w:t xml:space="preserve"> </w:t>
      </w:r>
      <w:r w:rsidRPr="00F54795" w:rsidR="0077175D">
        <w:t>that there has been a violation of Article</w:t>
      </w:r>
      <w:r w:rsidRPr="00F54795" w:rsidR="00280D9B">
        <w:t xml:space="preserve"> 6</w:t>
      </w:r>
      <w:r w:rsidRPr="00F54795" w:rsidR="0077175D">
        <w:t xml:space="preserve"> </w:t>
      </w:r>
      <w:r w:rsidRPr="00F54795" w:rsidR="00280D9B">
        <w:rPr>
          <w:lang w:val="en-US"/>
        </w:rPr>
        <w:t>§ 1</w:t>
      </w:r>
      <w:r w:rsidRPr="00F54795" w:rsidR="0077175D">
        <w:t xml:space="preserve"> of the Convention</w:t>
      </w:r>
      <w:r w:rsidRPr="00F54795" w:rsidR="00280D9B">
        <w:t xml:space="preserve"> on account of the requirement of objective impartiality</w:t>
      </w:r>
      <w:r w:rsidRPr="00F54795" w:rsidR="0077175D">
        <w:t>;</w:t>
      </w:r>
    </w:p>
    <w:p w:rsidRPr="00F54795" w:rsidR="000778E1" w:rsidP="00F54795" w:rsidRDefault="000778E1">
      <w:pPr>
        <w:pStyle w:val="JuList"/>
      </w:pPr>
    </w:p>
    <w:p w:rsidRPr="00F54795" w:rsidR="000778E1" w:rsidP="00F54795" w:rsidRDefault="000778E1">
      <w:pPr>
        <w:pStyle w:val="JuList"/>
      </w:pPr>
      <w:r w:rsidRPr="00F54795">
        <w:t>4.  </w:t>
      </w:r>
      <w:r w:rsidRPr="00F54795">
        <w:rPr>
          <w:i/>
        </w:rPr>
        <w:t>Holds</w:t>
      </w:r>
      <w:r w:rsidRPr="00F54795">
        <w:rPr>
          <w:color w:val="000000"/>
        </w:rPr>
        <w:t xml:space="preserve"> </w:t>
      </w:r>
      <w:r w:rsidRPr="00F54795">
        <w:t>that it is not necessary to examine separately the remaining issues under Article 6 of the Convention;</w:t>
      </w:r>
    </w:p>
    <w:p w:rsidRPr="00F54795" w:rsidR="00D420F3" w:rsidP="00F54795" w:rsidRDefault="00D420F3">
      <w:pPr>
        <w:pStyle w:val="JuList"/>
      </w:pPr>
    </w:p>
    <w:p w:rsidRPr="00F54795" w:rsidR="00280D9B" w:rsidP="00F54795" w:rsidRDefault="000778E1">
      <w:pPr>
        <w:pStyle w:val="JuList"/>
      </w:pPr>
      <w:r w:rsidRPr="00F54795">
        <w:t>5</w:t>
      </w:r>
      <w:r w:rsidRPr="00F54795" w:rsidR="00280D9B">
        <w:t>.  </w:t>
      </w:r>
      <w:r w:rsidRPr="00F54795" w:rsidR="00280D9B">
        <w:rPr>
          <w:i/>
        </w:rPr>
        <w:t>Holds</w:t>
      </w:r>
      <w:r w:rsidRPr="00F54795" w:rsidR="00280D9B">
        <w:rPr>
          <w:color w:val="000000"/>
        </w:rPr>
        <w:t xml:space="preserve"> </w:t>
      </w:r>
      <w:r w:rsidRPr="00F54795" w:rsidR="00280D9B">
        <w:t xml:space="preserve">that there has been a violation of Article 4 </w:t>
      </w:r>
      <w:r w:rsidRPr="00F54795" w:rsidR="00252DB1">
        <w:rPr>
          <w:lang w:val="en-US"/>
        </w:rPr>
        <w:t xml:space="preserve">§ 1 </w:t>
      </w:r>
      <w:r w:rsidRPr="00F54795" w:rsidR="00280D9B">
        <w:t>of Protocol No. 7 to the Convention;</w:t>
      </w:r>
    </w:p>
    <w:p w:rsidRPr="00F54795" w:rsidR="00D420F3" w:rsidP="00F54795" w:rsidRDefault="00D420F3">
      <w:pPr>
        <w:pStyle w:val="JuList"/>
      </w:pPr>
    </w:p>
    <w:p w:rsidRPr="00F54795" w:rsidR="00D420F3" w:rsidP="00F54795" w:rsidRDefault="000778E1">
      <w:pPr>
        <w:pStyle w:val="JuList"/>
      </w:pPr>
      <w:r w:rsidRPr="00F54795">
        <w:t>6</w:t>
      </w:r>
      <w:r w:rsidRPr="00F54795" w:rsidR="0077175D">
        <w:t>.  </w:t>
      </w:r>
      <w:r w:rsidRPr="00F54795" w:rsidR="0077175D">
        <w:rPr>
          <w:i/>
        </w:rPr>
        <w:t>Holds</w:t>
      </w:r>
    </w:p>
    <w:p w:rsidRPr="00F54795" w:rsidR="00D420F3" w:rsidP="00F54795" w:rsidRDefault="0077175D">
      <w:pPr>
        <w:pStyle w:val="JuLista"/>
      </w:pPr>
      <w:r w:rsidRPr="00F54795">
        <w:t>(a)  that the respondent State is to pay the applicant, within three months</w:t>
      </w:r>
      <w:r w:rsidRPr="00F54795" w:rsidR="008037B5">
        <w:t xml:space="preserve"> </w:t>
      </w:r>
      <w:r w:rsidRPr="00F54795" w:rsidR="007B2327">
        <w:t>from the date on which the judgment becomes final in accordance with Article 44 § 2 of the Convention,</w:t>
      </w:r>
      <w:r w:rsidRPr="00F54795">
        <w:t xml:space="preserve"> the following amounts, to be converted into </w:t>
      </w:r>
      <w:r w:rsidRPr="00F54795">
        <w:rPr>
          <w:color w:val="000000"/>
        </w:rPr>
        <w:t>the currency of the respondent State</w:t>
      </w:r>
      <w:r w:rsidRPr="00F54795">
        <w:t xml:space="preserve"> at the rate applicable at the date of settlement:</w:t>
      </w:r>
    </w:p>
    <w:p w:rsidRPr="00F54795" w:rsidR="00D420F3" w:rsidP="00F54795" w:rsidRDefault="0077175D">
      <w:pPr>
        <w:pStyle w:val="JuListi"/>
      </w:pPr>
      <w:r w:rsidRPr="00F54795">
        <w:t xml:space="preserve">(i)  EUR </w:t>
      </w:r>
      <w:r w:rsidRPr="00F54795" w:rsidR="0049506F">
        <w:t>3</w:t>
      </w:r>
      <w:r w:rsidRPr="00F54795" w:rsidR="00024AC1">
        <w:t>,</w:t>
      </w:r>
      <w:r w:rsidRPr="00F54795" w:rsidR="0049506F">
        <w:t>2</w:t>
      </w:r>
      <w:r w:rsidRPr="00F54795" w:rsidR="000E3E9C">
        <w:t>5</w:t>
      </w:r>
      <w:r w:rsidRPr="00F54795" w:rsidR="00024AC1">
        <w:t>0</w:t>
      </w:r>
      <w:r w:rsidRPr="00F54795">
        <w:t xml:space="preserve"> (</w:t>
      </w:r>
      <w:r w:rsidRPr="00F54795" w:rsidR="0049506F">
        <w:t>three</w:t>
      </w:r>
      <w:r w:rsidRPr="00F54795" w:rsidR="000E3E9C">
        <w:t xml:space="preserve"> </w:t>
      </w:r>
      <w:r w:rsidRPr="00F54795" w:rsidR="00024AC1">
        <w:t>thousand</w:t>
      </w:r>
      <w:r w:rsidRPr="00F54795" w:rsidR="000E3E9C">
        <w:t xml:space="preserve"> </w:t>
      </w:r>
      <w:r w:rsidRPr="00F54795" w:rsidR="0049506F">
        <w:t>two</w:t>
      </w:r>
      <w:r w:rsidRPr="00F54795" w:rsidR="000E3E9C">
        <w:t xml:space="preserve"> hundred</w:t>
      </w:r>
      <w:r w:rsidRPr="00F54795" w:rsidR="0049506F">
        <w:t xml:space="preserve"> </w:t>
      </w:r>
      <w:r w:rsidRPr="00F54795" w:rsidR="00830CEB">
        <w:rPr>
          <w:rFonts w:ascii="Sylfaen" w:hAnsi="Sylfaen"/>
          <w:lang w:val="hy-AM"/>
        </w:rPr>
        <w:t xml:space="preserve">and </w:t>
      </w:r>
      <w:r w:rsidRPr="00F54795" w:rsidR="0049506F">
        <w:t>fifty</w:t>
      </w:r>
      <w:r w:rsidRPr="00F54795" w:rsidR="00024AC1">
        <w:t xml:space="preserve"> </w:t>
      </w:r>
      <w:r w:rsidRPr="00F54795">
        <w:t>euros), plus any tax that may be chargeable,</w:t>
      </w:r>
      <w:r w:rsidRPr="00F54795" w:rsidR="00024AC1">
        <w:t xml:space="preserve"> </w:t>
      </w:r>
      <w:r w:rsidRPr="00F54795">
        <w:t xml:space="preserve">in respect of </w:t>
      </w:r>
      <w:r w:rsidRPr="00F54795" w:rsidR="007375DC">
        <w:t>non</w:t>
      </w:r>
      <w:r w:rsidRPr="00F54795" w:rsidR="00024AC1">
        <w:t>-</w:t>
      </w:r>
      <w:r w:rsidRPr="00F54795">
        <w:t>pecuniary damage;</w:t>
      </w:r>
    </w:p>
    <w:p w:rsidRPr="00F54795" w:rsidR="00D420F3" w:rsidP="00F54795" w:rsidRDefault="0077175D">
      <w:pPr>
        <w:pStyle w:val="JuListi"/>
      </w:pPr>
      <w:r w:rsidRPr="00F54795">
        <w:t xml:space="preserve">(ii)  EUR </w:t>
      </w:r>
      <w:r w:rsidRPr="00F54795" w:rsidR="00B6403E">
        <w:t>2</w:t>
      </w:r>
      <w:r w:rsidRPr="00F54795" w:rsidR="00024AC1">
        <w:t>,</w:t>
      </w:r>
      <w:r w:rsidRPr="00F54795" w:rsidR="00EF5E8A">
        <w:t>5</w:t>
      </w:r>
      <w:r w:rsidRPr="00F54795" w:rsidR="00B6403E">
        <w:t>00</w:t>
      </w:r>
      <w:r w:rsidRPr="00F54795">
        <w:t xml:space="preserve"> (</w:t>
      </w:r>
      <w:r w:rsidRPr="00F54795" w:rsidR="00B6403E">
        <w:t xml:space="preserve">two </w:t>
      </w:r>
      <w:r w:rsidRPr="00F54795" w:rsidR="00024AC1">
        <w:t>thousand</w:t>
      </w:r>
      <w:r w:rsidRPr="00F54795" w:rsidR="00EF5E8A">
        <w:t xml:space="preserve"> five hundred</w:t>
      </w:r>
      <w:r w:rsidRPr="00F54795" w:rsidR="00024AC1">
        <w:t xml:space="preserve"> </w:t>
      </w:r>
      <w:r w:rsidRPr="00F54795">
        <w:t>euros), plus any tax that may be chargeable to the applicant, i</w:t>
      </w:r>
      <w:r w:rsidRPr="00F54795" w:rsidR="00252DB1">
        <w:t xml:space="preserve">n respect of costs and expenses, to be paid to </w:t>
      </w:r>
      <w:r w:rsidRPr="00F54795" w:rsidR="00024AC1">
        <w:t>Mr A.</w:t>
      </w:r>
      <w:r w:rsidRPr="00F54795" w:rsidR="004375A6">
        <w:t>D.</w:t>
      </w:r>
      <w:r w:rsidRPr="00F54795" w:rsidR="00024AC1">
        <w:t xml:space="preserve"> Peredruk;</w:t>
      </w:r>
    </w:p>
    <w:p w:rsidRPr="00F54795" w:rsidR="00D420F3" w:rsidP="00F54795" w:rsidRDefault="0077175D">
      <w:pPr>
        <w:pStyle w:val="JuLista"/>
      </w:pPr>
      <w:r w:rsidRPr="00F54795">
        <w:t>(b)  that from the expiry of the above-mentioned three months until settlement</w:t>
      </w:r>
      <w:r w:rsidRPr="00F54795" w:rsidR="0073648D">
        <w:t>,</w:t>
      </w:r>
      <w:r w:rsidRPr="00F54795">
        <w:t xml:space="preserve"> simple interest shall be payable on the above amounts at a rate equal to the marginal lending rate of the European Central Bank during the default period</w:t>
      </w:r>
      <w:r w:rsidRPr="00F54795" w:rsidR="0073648D">
        <w:t>,</w:t>
      </w:r>
      <w:r w:rsidRPr="00F54795">
        <w:t xml:space="preserve"> plus three percentage points;</w:t>
      </w:r>
    </w:p>
    <w:p w:rsidRPr="00F54795" w:rsidR="00D420F3" w:rsidP="00F54795" w:rsidRDefault="00D420F3">
      <w:pPr>
        <w:pStyle w:val="JuList"/>
      </w:pPr>
    </w:p>
    <w:p w:rsidRPr="00F54795" w:rsidR="00D420F3" w:rsidP="00F54795" w:rsidRDefault="000778E1">
      <w:pPr>
        <w:pStyle w:val="JuList"/>
      </w:pPr>
      <w:r w:rsidRPr="00F54795">
        <w:t>7</w:t>
      </w:r>
      <w:r w:rsidRPr="00F54795" w:rsidR="0077175D">
        <w:t>.  </w:t>
      </w:r>
      <w:r w:rsidRPr="00F54795" w:rsidR="0077175D">
        <w:rPr>
          <w:i/>
        </w:rPr>
        <w:t>Dismisses</w:t>
      </w:r>
      <w:r w:rsidRPr="00F54795" w:rsidR="00B324ED">
        <w:t xml:space="preserve"> </w:t>
      </w:r>
      <w:r w:rsidRPr="00F54795" w:rsidR="0077175D">
        <w:t>the remainder of the applicant</w:t>
      </w:r>
      <w:r w:rsidRPr="00F54795" w:rsidR="00F54795">
        <w:t>’</w:t>
      </w:r>
      <w:r w:rsidRPr="00F54795" w:rsidR="00280D9B">
        <w:t>s</w:t>
      </w:r>
      <w:r w:rsidRPr="00F54795" w:rsidR="0077175D">
        <w:t xml:space="preserve"> claim for just satisfaction.</w:t>
      </w:r>
    </w:p>
    <w:p w:rsidRPr="00F54795" w:rsidR="00D420F3" w:rsidP="00F54795" w:rsidRDefault="0077175D">
      <w:pPr>
        <w:pStyle w:val="JuParaLast"/>
      </w:pPr>
      <w:r w:rsidRPr="00F54795">
        <w:t xml:space="preserve">Done in English, and notified in writing on </w:t>
      </w:r>
      <w:r w:rsidRPr="00F54795" w:rsidR="00B324ED">
        <w:t>8 October 2019</w:t>
      </w:r>
      <w:r w:rsidRPr="00F54795">
        <w:t>, pursuant to Rule 77 §§ 2 and 3 of the Rules of Court.</w:t>
      </w:r>
    </w:p>
    <w:p w:rsidRPr="00F54795" w:rsidR="00D420F3" w:rsidP="00F54795" w:rsidRDefault="0077175D">
      <w:pPr>
        <w:pStyle w:val="JuSigned"/>
      </w:pPr>
      <w:r w:rsidRPr="00F54795">
        <w:tab/>
      </w:r>
      <w:r w:rsidRPr="00F54795" w:rsidR="007B2327">
        <w:t>Stephen Phillips</w:t>
      </w:r>
      <w:r w:rsidRPr="00F54795">
        <w:tab/>
      </w:r>
      <w:r w:rsidRPr="00F54795" w:rsidR="00231FEF">
        <w:t>Vincent A. De Gaetano</w:t>
      </w:r>
      <w:r w:rsidRPr="00F54795">
        <w:rPr>
          <w:szCs w:val="24"/>
        </w:rPr>
        <w:br/>
      </w:r>
      <w:r w:rsidRPr="00F54795">
        <w:tab/>
      </w:r>
      <w:r w:rsidRPr="00F54795" w:rsidR="007B2327">
        <w:rPr>
          <w:iCs/>
        </w:rPr>
        <w:t>Registrar</w:t>
      </w:r>
      <w:r w:rsidRPr="00F54795">
        <w:tab/>
        <w:t>President</w:t>
      </w:r>
    </w:p>
    <w:sectPr w:rsidRPr="00F54795" w:rsidR="00D420F3" w:rsidSect="00925B61">
      <w:headerReference w:type="default" r:id="rId11"/>
      <w:footerReference w:type="default" r:id="rId1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D1D" w:rsidRDefault="00407D1D">
      <w:r>
        <w:separator/>
      </w:r>
    </w:p>
  </w:endnote>
  <w:endnote w:type="continuationSeparator" w:id="0">
    <w:p w:rsidR="00407D1D" w:rsidRDefault="0040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61" w:rsidRDefault="000F05E0" w:rsidP="000F05E0">
    <w:pPr>
      <w:pStyle w:val="Footer"/>
      <w:jc w:val="center"/>
    </w:pPr>
    <w:r>
      <w:rPr>
        <w:noProof/>
        <w:lang w:val="en-US" w:eastAsia="ja-JP"/>
      </w:rPr>
      <w:drawing>
        <wp:inline distT="0" distB="0" distL="0" distR="0" wp14:anchorId="5991132B" wp14:editId="2D994425">
          <wp:extent cx="771525" cy="619125"/>
          <wp:effectExtent l="0" t="0" r="9525" b="9525"/>
          <wp:docPr id="36" name="Picture 3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E0" w:rsidRDefault="000F0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D1D" w:rsidRPr="003152BA" w:rsidRDefault="00407D1D" w:rsidP="00D420F3">
      <w:r w:rsidRPr="003152BA">
        <w:separator/>
      </w:r>
    </w:p>
  </w:footnote>
  <w:footnote w:type="continuationSeparator" w:id="0">
    <w:p w:rsidR="00407D1D" w:rsidRPr="003152BA" w:rsidRDefault="00407D1D" w:rsidP="00D420F3">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61" w:rsidRPr="003152BA" w:rsidRDefault="00925B61" w:rsidP="00D420F3">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F54795">
      <w:rPr>
        <w:rStyle w:val="PageNumber"/>
        <w:noProof/>
        <w:szCs w:val="18"/>
      </w:rPr>
      <w:t>10</w:t>
    </w:r>
    <w:r>
      <w:rPr>
        <w:rStyle w:val="PageNumber"/>
        <w:szCs w:val="18"/>
      </w:rPr>
      <w:fldChar w:fldCharType="end"/>
    </w:r>
    <w:r w:rsidRPr="003152BA">
      <w:tab/>
    </w:r>
    <w:r>
      <w:t>KORNEYEVA v. RUSSIA</w:t>
    </w:r>
    <w:r w:rsidR="00493A9C">
      <w:t xml:space="preserve"> </w:t>
    </w:r>
    <w:r w:rsidRPr="003152BA">
      <w:rPr>
        <w:noProof/>
      </w:rPr>
      <w:t>J</w:t>
    </w:r>
    <w:r>
      <w:rPr>
        <w:noProof/>
      </w:rPr>
      <w:t>UDGMENT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61" w:rsidRPr="00493A9C" w:rsidRDefault="00493A9C" w:rsidP="00493A9C">
    <w:pPr>
      <w:pStyle w:val="Header"/>
      <w:tabs>
        <w:tab w:val="clear" w:pos="4536"/>
      </w:tabs>
      <w:jc w:val="center"/>
    </w:pPr>
    <w:r>
      <w:rPr>
        <w:noProof/>
        <w:lang w:val="en-US" w:eastAsia="ja-JP"/>
      </w:rPr>
      <w:drawing>
        <wp:inline distT="0" distB="0" distL="0" distR="0" wp14:anchorId="4093AD09" wp14:editId="7C62137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9C" w:rsidRPr="003152BA" w:rsidRDefault="00493A9C" w:rsidP="00D420F3">
    <w:pPr>
      <w:pStyle w:val="ECHRHeader"/>
    </w:pPr>
    <w:r w:rsidRPr="003152BA">
      <w:tab/>
    </w:r>
    <w:r>
      <w:t xml:space="preserve">KORNEYEVA v. RUSSIA </w:t>
    </w:r>
    <w:r w:rsidRPr="003152BA">
      <w:rPr>
        <w:noProof/>
      </w:rPr>
      <w:t>J</w:t>
    </w:r>
    <w:r>
      <w:rPr>
        <w:noProof/>
      </w:rPr>
      <w:t>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F54795">
      <w:rPr>
        <w:rStyle w:val="PageNumber"/>
        <w:noProof/>
        <w:szCs w:val="18"/>
      </w:rPr>
      <w:t>11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C552A6"/>
    <w:multiLevelType w:val="hybridMultilevel"/>
    <w:tmpl w:val="D222E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F80067"/>
    <w:multiLevelType w:val="hybridMultilevel"/>
    <w:tmpl w:val="3AB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D1241"/>
    <w:multiLevelType w:val="hybridMultilevel"/>
    <w:tmpl w:val="F6D86CC2"/>
    <w:lvl w:ilvl="0" w:tplc="135E7E6C">
      <w:start w:val="1"/>
      <w:numFmt w:val="bullet"/>
      <w:pStyle w:val="ListBullet"/>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9"/>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4"/>
  </w:num>
  <w:num w:numId="16">
    <w:abstractNumId w:val="14"/>
  </w:num>
  <w:num w:numId="17">
    <w:abstractNumId w:val="11"/>
  </w:num>
  <w:num w:numId="18">
    <w:abstractNumId w:val="12"/>
  </w:num>
  <w:num w:numId="19">
    <w:abstractNumId w:val="14"/>
  </w:num>
  <w:num w:numId="20">
    <w:abstractNumId w:val="14"/>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7B2327"/>
    <w:rsid w:val="00000B1B"/>
    <w:rsid w:val="0000322B"/>
    <w:rsid w:val="00006E44"/>
    <w:rsid w:val="000208C9"/>
    <w:rsid w:val="0002198B"/>
    <w:rsid w:val="000236A9"/>
    <w:rsid w:val="00024AC1"/>
    <w:rsid w:val="0002759F"/>
    <w:rsid w:val="0003204A"/>
    <w:rsid w:val="00033CA1"/>
    <w:rsid w:val="000408BC"/>
    <w:rsid w:val="00051A51"/>
    <w:rsid w:val="000520BF"/>
    <w:rsid w:val="00055CB5"/>
    <w:rsid w:val="00057484"/>
    <w:rsid w:val="00070358"/>
    <w:rsid w:val="000733CA"/>
    <w:rsid w:val="00077433"/>
    <w:rsid w:val="000778E1"/>
    <w:rsid w:val="0008005B"/>
    <w:rsid w:val="000800B7"/>
    <w:rsid w:val="0008375E"/>
    <w:rsid w:val="0008454D"/>
    <w:rsid w:val="00094FCC"/>
    <w:rsid w:val="00097DFA"/>
    <w:rsid w:val="000A060D"/>
    <w:rsid w:val="000A223F"/>
    <w:rsid w:val="000B079D"/>
    <w:rsid w:val="000C0C79"/>
    <w:rsid w:val="000C456C"/>
    <w:rsid w:val="000D07A8"/>
    <w:rsid w:val="000D262C"/>
    <w:rsid w:val="000D68D9"/>
    <w:rsid w:val="000D7110"/>
    <w:rsid w:val="000E3424"/>
    <w:rsid w:val="000E3E9C"/>
    <w:rsid w:val="000E5935"/>
    <w:rsid w:val="000E5A2D"/>
    <w:rsid w:val="000F05E0"/>
    <w:rsid w:val="000F29F2"/>
    <w:rsid w:val="000F46F2"/>
    <w:rsid w:val="00100D75"/>
    <w:rsid w:val="001043AC"/>
    <w:rsid w:val="0010640E"/>
    <w:rsid w:val="00111F18"/>
    <w:rsid w:val="00117ECE"/>
    <w:rsid w:val="00122319"/>
    <w:rsid w:val="001228BD"/>
    <w:rsid w:val="00127D66"/>
    <w:rsid w:val="00135CBF"/>
    <w:rsid w:val="00141578"/>
    <w:rsid w:val="0014720A"/>
    <w:rsid w:val="001505CB"/>
    <w:rsid w:val="001607CD"/>
    <w:rsid w:val="00161753"/>
    <w:rsid w:val="001617F3"/>
    <w:rsid w:val="00166C10"/>
    <w:rsid w:val="001675EA"/>
    <w:rsid w:val="00170F17"/>
    <w:rsid w:val="00172646"/>
    <w:rsid w:val="001772FB"/>
    <w:rsid w:val="00184137"/>
    <w:rsid w:val="00184A42"/>
    <w:rsid w:val="001972D9"/>
    <w:rsid w:val="001977C4"/>
    <w:rsid w:val="001A0DDE"/>
    <w:rsid w:val="001A2190"/>
    <w:rsid w:val="001B6B19"/>
    <w:rsid w:val="001B7991"/>
    <w:rsid w:val="001C2D27"/>
    <w:rsid w:val="001C79D0"/>
    <w:rsid w:val="001D1B59"/>
    <w:rsid w:val="001D5314"/>
    <w:rsid w:val="001D5960"/>
    <w:rsid w:val="001D5ED9"/>
    <w:rsid w:val="001E01B5"/>
    <w:rsid w:val="001F29C9"/>
    <w:rsid w:val="001F6C7C"/>
    <w:rsid w:val="002016FA"/>
    <w:rsid w:val="002022C5"/>
    <w:rsid w:val="0020538F"/>
    <w:rsid w:val="002111A6"/>
    <w:rsid w:val="002127BE"/>
    <w:rsid w:val="00221951"/>
    <w:rsid w:val="002243AC"/>
    <w:rsid w:val="00226089"/>
    <w:rsid w:val="002304D5"/>
    <w:rsid w:val="00231FEF"/>
    <w:rsid w:val="0023496A"/>
    <w:rsid w:val="00235CD4"/>
    <w:rsid w:val="00252DB1"/>
    <w:rsid w:val="00252FD8"/>
    <w:rsid w:val="0025403B"/>
    <w:rsid w:val="0025792B"/>
    <w:rsid w:val="002627B1"/>
    <w:rsid w:val="00270F0D"/>
    <w:rsid w:val="002803E0"/>
    <w:rsid w:val="00280B29"/>
    <w:rsid w:val="00280D9B"/>
    <w:rsid w:val="00281CD0"/>
    <w:rsid w:val="002834A6"/>
    <w:rsid w:val="00283A43"/>
    <w:rsid w:val="002842EC"/>
    <w:rsid w:val="00284861"/>
    <w:rsid w:val="00285ABA"/>
    <w:rsid w:val="00287642"/>
    <w:rsid w:val="00290C8E"/>
    <w:rsid w:val="00292C9A"/>
    <w:rsid w:val="002938DD"/>
    <w:rsid w:val="00295BA1"/>
    <w:rsid w:val="00297969"/>
    <w:rsid w:val="002A27CA"/>
    <w:rsid w:val="002A50D4"/>
    <w:rsid w:val="002B1785"/>
    <w:rsid w:val="002B3DD4"/>
    <w:rsid w:val="002C3018"/>
    <w:rsid w:val="002C6BDC"/>
    <w:rsid w:val="002D03F6"/>
    <w:rsid w:val="002D4D9B"/>
    <w:rsid w:val="002D7F87"/>
    <w:rsid w:val="002E156E"/>
    <w:rsid w:val="002E2A12"/>
    <w:rsid w:val="002E5BA4"/>
    <w:rsid w:val="002E7DEF"/>
    <w:rsid w:val="002F2BA7"/>
    <w:rsid w:val="002F3E9C"/>
    <w:rsid w:val="002F4405"/>
    <w:rsid w:val="002F778C"/>
    <w:rsid w:val="003002F4"/>
    <w:rsid w:val="00301302"/>
    <w:rsid w:val="003022D4"/>
    <w:rsid w:val="00302D77"/>
    <w:rsid w:val="00305AC8"/>
    <w:rsid w:val="0031193C"/>
    <w:rsid w:val="00314C6A"/>
    <w:rsid w:val="00315B45"/>
    <w:rsid w:val="003161B9"/>
    <w:rsid w:val="00317E47"/>
    <w:rsid w:val="0032229C"/>
    <w:rsid w:val="003226F6"/>
    <w:rsid w:val="00322EB6"/>
    <w:rsid w:val="00331105"/>
    <w:rsid w:val="00332A9E"/>
    <w:rsid w:val="00337419"/>
    <w:rsid w:val="00337564"/>
    <w:rsid w:val="003528C9"/>
    <w:rsid w:val="00352A3F"/>
    <w:rsid w:val="003540EA"/>
    <w:rsid w:val="00356D4E"/>
    <w:rsid w:val="00357295"/>
    <w:rsid w:val="00357B41"/>
    <w:rsid w:val="003644BF"/>
    <w:rsid w:val="00366E8D"/>
    <w:rsid w:val="0037159F"/>
    <w:rsid w:val="00371958"/>
    <w:rsid w:val="00380468"/>
    <w:rsid w:val="00382857"/>
    <w:rsid w:val="003965E3"/>
    <w:rsid w:val="00397B26"/>
    <w:rsid w:val="003A4B55"/>
    <w:rsid w:val="003B0307"/>
    <w:rsid w:val="003B3C47"/>
    <w:rsid w:val="003B4403"/>
    <w:rsid w:val="003B5B29"/>
    <w:rsid w:val="003B69DA"/>
    <w:rsid w:val="003C46B7"/>
    <w:rsid w:val="003D1454"/>
    <w:rsid w:val="003D1D84"/>
    <w:rsid w:val="003D39ED"/>
    <w:rsid w:val="003D7BA6"/>
    <w:rsid w:val="003E2E06"/>
    <w:rsid w:val="003E3B51"/>
    <w:rsid w:val="003F10CF"/>
    <w:rsid w:val="0040095C"/>
    <w:rsid w:val="00403B61"/>
    <w:rsid w:val="00407454"/>
    <w:rsid w:val="00407D1D"/>
    <w:rsid w:val="00410034"/>
    <w:rsid w:val="004103C5"/>
    <w:rsid w:val="00414210"/>
    <w:rsid w:val="004375A6"/>
    <w:rsid w:val="00440004"/>
    <w:rsid w:val="00440402"/>
    <w:rsid w:val="00452BB1"/>
    <w:rsid w:val="0045445C"/>
    <w:rsid w:val="00455366"/>
    <w:rsid w:val="00456DAC"/>
    <w:rsid w:val="00457119"/>
    <w:rsid w:val="0047364E"/>
    <w:rsid w:val="00475387"/>
    <w:rsid w:val="00485FED"/>
    <w:rsid w:val="00493A9C"/>
    <w:rsid w:val="00493F22"/>
    <w:rsid w:val="00494A38"/>
    <w:rsid w:val="0049506F"/>
    <w:rsid w:val="004A3D2C"/>
    <w:rsid w:val="004A64F8"/>
    <w:rsid w:val="004B1EDD"/>
    <w:rsid w:val="004B335D"/>
    <w:rsid w:val="004B44EE"/>
    <w:rsid w:val="004C307F"/>
    <w:rsid w:val="004C4902"/>
    <w:rsid w:val="004C5262"/>
    <w:rsid w:val="004C6336"/>
    <w:rsid w:val="004C6DE5"/>
    <w:rsid w:val="004D09B1"/>
    <w:rsid w:val="004D1D43"/>
    <w:rsid w:val="004D6622"/>
    <w:rsid w:val="004D7212"/>
    <w:rsid w:val="004E4A3C"/>
    <w:rsid w:val="004E7554"/>
    <w:rsid w:val="004F003E"/>
    <w:rsid w:val="004F12D8"/>
    <w:rsid w:val="004F1C0C"/>
    <w:rsid w:val="004F25C2"/>
    <w:rsid w:val="004F4E25"/>
    <w:rsid w:val="004F7537"/>
    <w:rsid w:val="004F761F"/>
    <w:rsid w:val="00501CB5"/>
    <w:rsid w:val="005025C3"/>
    <w:rsid w:val="00506BEB"/>
    <w:rsid w:val="00511112"/>
    <w:rsid w:val="00511D8B"/>
    <w:rsid w:val="00517C7F"/>
    <w:rsid w:val="005235E9"/>
    <w:rsid w:val="00527EAB"/>
    <w:rsid w:val="005303F8"/>
    <w:rsid w:val="00533BE1"/>
    <w:rsid w:val="00535B50"/>
    <w:rsid w:val="00535C28"/>
    <w:rsid w:val="00536751"/>
    <w:rsid w:val="0054417E"/>
    <w:rsid w:val="00550FB9"/>
    <w:rsid w:val="00552039"/>
    <w:rsid w:val="00552489"/>
    <w:rsid w:val="00553078"/>
    <w:rsid w:val="00553459"/>
    <w:rsid w:val="00560937"/>
    <w:rsid w:val="00565C9E"/>
    <w:rsid w:val="00567183"/>
    <w:rsid w:val="00576B96"/>
    <w:rsid w:val="00580AA8"/>
    <w:rsid w:val="005962C9"/>
    <w:rsid w:val="00596D67"/>
    <w:rsid w:val="005A2699"/>
    <w:rsid w:val="005A4482"/>
    <w:rsid w:val="005A4611"/>
    <w:rsid w:val="005A48F9"/>
    <w:rsid w:val="005B243D"/>
    <w:rsid w:val="005B67AE"/>
    <w:rsid w:val="005B7DCD"/>
    <w:rsid w:val="005C1159"/>
    <w:rsid w:val="005C1671"/>
    <w:rsid w:val="005C5A7D"/>
    <w:rsid w:val="005D31C6"/>
    <w:rsid w:val="005D4AD0"/>
    <w:rsid w:val="005D7CC3"/>
    <w:rsid w:val="005F026B"/>
    <w:rsid w:val="005F0470"/>
    <w:rsid w:val="00615D0C"/>
    <w:rsid w:val="006208F5"/>
    <w:rsid w:val="00620E86"/>
    <w:rsid w:val="0062248D"/>
    <w:rsid w:val="00622573"/>
    <w:rsid w:val="00624C0E"/>
    <w:rsid w:val="006277DC"/>
    <w:rsid w:val="0062781E"/>
    <w:rsid w:val="00627E19"/>
    <w:rsid w:val="00627FF1"/>
    <w:rsid w:val="00630F58"/>
    <w:rsid w:val="00632858"/>
    <w:rsid w:val="006349F4"/>
    <w:rsid w:val="00651A49"/>
    <w:rsid w:val="00655D5A"/>
    <w:rsid w:val="006565B4"/>
    <w:rsid w:val="00662AF7"/>
    <w:rsid w:val="00665ACA"/>
    <w:rsid w:val="00675949"/>
    <w:rsid w:val="00676FBE"/>
    <w:rsid w:val="00682133"/>
    <w:rsid w:val="0068240F"/>
    <w:rsid w:val="006824FE"/>
    <w:rsid w:val="006828A9"/>
    <w:rsid w:val="006831AE"/>
    <w:rsid w:val="006860BE"/>
    <w:rsid w:val="006A057C"/>
    <w:rsid w:val="006A4C79"/>
    <w:rsid w:val="006A5C3D"/>
    <w:rsid w:val="006B309E"/>
    <w:rsid w:val="006B76B7"/>
    <w:rsid w:val="006C02BA"/>
    <w:rsid w:val="006C2991"/>
    <w:rsid w:val="006C3E59"/>
    <w:rsid w:val="006C6353"/>
    <w:rsid w:val="006C6463"/>
    <w:rsid w:val="006D33FB"/>
    <w:rsid w:val="006D56C9"/>
    <w:rsid w:val="006E282A"/>
    <w:rsid w:val="006E3E03"/>
    <w:rsid w:val="006E4326"/>
    <w:rsid w:val="006F010D"/>
    <w:rsid w:val="006F1C44"/>
    <w:rsid w:val="006F24CC"/>
    <w:rsid w:val="006F4C3D"/>
    <w:rsid w:val="0070074D"/>
    <w:rsid w:val="00702B71"/>
    <w:rsid w:val="00702EFB"/>
    <w:rsid w:val="007031CE"/>
    <w:rsid w:val="00704D3E"/>
    <w:rsid w:val="00705DDB"/>
    <w:rsid w:val="00706F75"/>
    <w:rsid w:val="00711638"/>
    <w:rsid w:val="007128BE"/>
    <w:rsid w:val="00714DB2"/>
    <w:rsid w:val="007159C2"/>
    <w:rsid w:val="00723EB9"/>
    <w:rsid w:val="00730107"/>
    <w:rsid w:val="00733BAD"/>
    <w:rsid w:val="00735870"/>
    <w:rsid w:val="0073648D"/>
    <w:rsid w:val="007375DC"/>
    <w:rsid w:val="007415E2"/>
    <w:rsid w:val="00743F4D"/>
    <w:rsid w:val="00745ED3"/>
    <w:rsid w:val="00746CAB"/>
    <w:rsid w:val="00750E27"/>
    <w:rsid w:val="0075391F"/>
    <w:rsid w:val="00754483"/>
    <w:rsid w:val="00755053"/>
    <w:rsid w:val="0075617E"/>
    <w:rsid w:val="007567B1"/>
    <w:rsid w:val="00756B93"/>
    <w:rsid w:val="00756F0C"/>
    <w:rsid w:val="007571E2"/>
    <w:rsid w:val="00766B38"/>
    <w:rsid w:val="0077175D"/>
    <w:rsid w:val="00773BA2"/>
    <w:rsid w:val="00774DB8"/>
    <w:rsid w:val="00780FFA"/>
    <w:rsid w:val="00790DA3"/>
    <w:rsid w:val="00791BA6"/>
    <w:rsid w:val="00792798"/>
    <w:rsid w:val="00793E2B"/>
    <w:rsid w:val="007A1C5E"/>
    <w:rsid w:val="007A2AAF"/>
    <w:rsid w:val="007A4E22"/>
    <w:rsid w:val="007A5E18"/>
    <w:rsid w:val="007A675B"/>
    <w:rsid w:val="007A6D95"/>
    <w:rsid w:val="007B2327"/>
    <w:rsid w:val="007B3ADB"/>
    <w:rsid w:val="007B65F7"/>
    <w:rsid w:val="007C243F"/>
    <w:rsid w:val="007C2BAE"/>
    <w:rsid w:val="007C32BB"/>
    <w:rsid w:val="007C7ACA"/>
    <w:rsid w:val="007D02A9"/>
    <w:rsid w:val="007D0A27"/>
    <w:rsid w:val="007D5DAC"/>
    <w:rsid w:val="007E0FAA"/>
    <w:rsid w:val="007E7A32"/>
    <w:rsid w:val="007F13E4"/>
    <w:rsid w:val="007F6372"/>
    <w:rsid w:val="0080049B"/>
    <w:rsid w:val="008037B5"/>
    <w:rsid w:val="00813D17"/>
    <w:rsid w:val="00814080"/>
    <w:rsid w:val="00816986"/>
    <w:rsid w:val="00821989"/>
    <w:rsid w:val="00826E08"/>
    <w:rsid w:val="00830CEB"/>
    <w:rsid w:val="00834BBE"/>
    <w:rsid w:val="008410F0"/>
    <w:rsid w:val="00841F75"/>
    <w:rsid w:val="00842482"/>
    <w:rsid w:val="00842E26"/>
    <w:rsid w:val="00846BE2"/>
    <w:rsid w:val="00852DB6"/>
    <w:rsid w:val="008709B0"/>
    <w:rsid w:val="008900A5"/>
    <w:rsid w:val="008911CE"/>
    <w:rsid w:val="008940CF"/>
    <w:rsid w:val="00895295"/>
    <w:rsid w:val="008955FC"/>
    <w:rsid w:val="008A1FE7"/>
    <w:rsid w:val="008A5424"/>
    <w:rsid w:val="008A5D04"/>
    <w:rsid w:val="008B0032"/>
    <w:rsid w:val="008B1336"/>
    <w:rsid w:val="008B77B7"/>
    <w:rsid w:val="008B798E"/>
    <w:rsid w:val="008C0AF1"/>
    <w:rsid w:val="008C2D5F"/>
    <w:rsid w:val="008C67B4"/>
    <w:rsid w:val="008D4478"/>
    <w:rsid w:val="008D4693"/>
    <w:rsid w:val="008E27F7"/>
    <w:rsid w:val="008E674B"/>
    <w:rsid w:val="008F34C9"/>
    <w:rsid w:val="008F47BF"/>
    <w:rsid w:val="008F68CF"/>
    <w:rsid w:val="008F7757"/>
    <w:rsid w:val="008F7CF9"/>
    <w:rsid w:val="009017FD"/>
    <w:rsid w:val="009031CC"/>
    <w:rsid w:val="00903404"/>
    <w:rsid w:val="00905D93"/>
    <w:rsid w:val="009078E5"/>
    <w:rsid w:val="00917551"/>
    <w:rsid w:val="009178E6"/>
    <w:rsid w:val="00920679"/>
    <w:rsid w:val="009225CE"/>
    <w:rsid w:val="00924567"/>
    <w:rsid w:val="00925B61"/>
    <w:rsid w:val="00927878"/>
    <w:rsid w:val="0093071E"/>
    <w:rsid w:val="00932C91"/>
    <w:rsid w:val="009354E2"/>
    <w:rsid w:val="00950872"/>
    <w:rsid w:val="0095373C"/>
    <w:rsid w:val="00955414"/>
    <w:rsid w:val="009644BA"/>
    <w:rsid w:val="0096761B"/>
    <w:rsid w:val="00967F2A"/>
    <w:rsid w:val="009711B5"/>
    <w:rsid w:val="00983DC8"/>
    <w:rsid w:val="00984C03"/>
    <w:rsid w:val="00991582"/>
    <w:rsid w:val="009A52DF"/>
    <w:rsid w:val="009A6241"/>
    <w:rsid w:val="009B6D85"/>
    <w:rsid w:val="009C402E"/>
    <w:rsid w:val="009C627D"/>
    <w:rsid w:val="009C6453"/>
    <w:rsid w:val="009D6C05"/>
    <w:rsid w:val="009E0E54"/>
    <w:rsid w:val="009E3033"/>
    <w:rsid w:val="009F03E4"/>
    <w:rsid w:val="009F0FC5"/>
    <w:rsid w:val="009F22F0"/>
    <w:rsid w:val="009F3CCF"/>
    <w:rsid w:val="009F5495"/>
    <w:rsid w:val="00A062F4"/>
    <w:rsid w:val="00A07461"/>
    <w:rsid w:val="00A077E2"/>
    <w:rsid w:val="00A131D6"/>
    <w:rsid w:val="00A165B2"/>
    <w:rsid w:val="00A21FDE"/>
    <w:rsid w:val="00A22E7A"/>
    <w:rsid w:val="00A272BA"/>
    <w:rsid w:val="00A27E78"/>
    <w:rsid w:val="00A30D22"/>
    <w:rsid w:val="00A32D32"/>
    <w:rsid w:val="00A34634"/>
    <w:rsid w:val="00A4029B"/>
    <w:rsid w:val="00A43237"/>
    <w:rsid w:val="00A43C04"/>
    <w:rsid w:val="00A51E18"/>
    <w:rsid w:val="00A52941"/>
    <w:rsid w:val="00A5734A"/>
    <w:rsid w:val="00A712D3"/>
    <w:rsid w:val="00A80F16"/>
    <w:rsid w:val="00A873D6"/>
    <w:rsid w:val="00A921F9"/>
    <w:rsid w:val="00A93DC2"/>
    <w:rsid w:val="00A9484E"/>
    <w:rsid w:val="00AA0C03"/>
    <w:rsid w:val="00AA305A"/>
    <w:rsid w:val="00AA6D2E"/>
    <w:rsid w:val="00AA6E6B"/>
    <w:rsid w:val="00AB3022"/>
    <w:rsid w:val="00AB3EA9"/>
    <w:rsid w:val="00AC01BA"/>
    <w:rsid w:val="00AC457F"/>
    <w:rsid w:val="00AC4EB3"/>
    <w:rsid w:val="00AC61F5"/>
    <w:rsid w:val="00AD03FA"/>
    <w:rsid w:val="00AD1D0B"/>
    <w:rsid w:val="00AD55C7"/>
    <w:rsid w:val="00AD7EC3"/>
    <w:rsid w:val="00AE0ABB"/>
    <w:rsid w:val="00AE0D9F"/>
    <w:rsid w:val="00AE3616"/>
    <w:rsid w:val="00AF279E"/>
    <w:rsid w:val="00B02B57"/>
    <w:rsid w:val="00B06990"/>
    <w:rsid w:val="00B1470A"/>
    <w:rsid w:val="00B22B5C"/>
    <w:rsid w:val="00B23A8F"/>
    <w:rsid w:val="00B2701E"/>
    <w:rsid w:val="00B32274"/>
    <w:rsid w:val="00B324ED"/>
    <w:rsid w:val="00B3427A"/>
    <w:rsid w:val="00B3473E"/>
    <w:rsid w:val="00B36B37"/>
    <w:rsid w:val="00B37422"/>
    <w:rsid w:val="00B40A9B"/>
    <w:rsid w:val="00B43276"/>
    <w:rsid w:val="00B44B0A"/>
    <w:rsid w:val="00B4629B"/>
    <w:rsid w:val="00B467AB"/>
    <w:rsid w:val="00B6074C"/>
    <w:rsid w:val="00B6403E"/>
    <w:rsid w:val="00B66687"/>
    <w:rsid w:val="00B67290"/>
    <w:rsid w:val="00B6751A"/>
    <w:rsid w:val="00B67C4F"/>
    <w:rsid w:val="00B726B6"/>
    <w:rsid w:val="00B80024"/>
    <w:rsid w:val="00B82A76"/>
    <w:rsid w:val="00B834C2"/>
    <w:rsid w:val="00B8488D"/>
    <w:rsid w:val="00B85B2F"/>
    <w:rsid w:val="00B86C6F"/>
    <w:rsid w:val="00B9055C"/>
    <w:rsid w:val="00B951C2"/>
    <w:rsid w:val="00B95C3B"/>
    <w:rsid w:val="00BA373C"/>
    <w:rsid w:val="00BA7063"/>
    <w:rsid w:val="00BB693B"/>
    <w:rsid w:val="00BD3135"/>
    <w:rsid w:val="00BD34AB"/>
    <w:rsid w:val="00BD3B91"/>
    <w:rsid w:val="00BD5EE4"/>
    <w:rsid w:val="00BD6D57"/>
    <w:rsid w:val="00BE185F"/>
    <w:rsid w:val="00BE4ABC"/>
    <w:rsid w:val="00BE79F1"/>
    <w:rsid w:val="00BF4D9D"/>
    <w:rsid w:val="00BF5732"/>
    <w:rsid w:val="00C01E32"/>
    <w:rsid w:val="00C13085"/>
    <w:rsid w:val="00C135C1"/>
    <w:rsid w:val="00C16B04"/>
    <w:rsid w:val="00C22BE6"/>
    <w:rsid w:val="00C2789B"/>
    <w:rsid w:val="00C4072F"/>
    <w:rsid w:val="00C41DB6"/>
    <w:rsid w:val="00C45E5D"/>
    <w:rsid w:val="00C4792C"/>
    <w:rsid w:val="00C53ABA"/>
    <w:rsid w:val="00C5484E"/>
    <w:rsid w:val="00C54856"/>
    <w:rsid w:val="00C54B2D"/>
    <w:rsid w:val="00C54C18"/>
    <w:rsid w:val="00C60712"/>
    <w:rsid w:val="00C61FCB"/>
    <w:rsid w:val="00C631B1"/>
    <w:rsid w:val="00C635AA"/>
    <w:rsid w:val="00C703AA"/>
    <w:rsid w:val="00C769A3"/>
    <w:rsid w:val="00C87A1E"/>
    <w:rsid w:val="00C90579"/>
    <w:rsid w:val="00C9101F"/>
    <w:rsid w:val="00C94303"/>
    <w:rsid w:val="00C979F0"/>
    <w:rsid w:val="00CA004C"/>
    <w:rsid w:val="00CA030B"/>
    <w:rsid w:val="00CA5E1B"/>
    <w:rsid w:val="00CA7CC9"/>
    <w:rsid w:val="00CB20C3"/>
    <w:rsid w:val="00CC2BC9"/>
    <w:rsid w:val="00CC3DE3"/>
    <w:rsid w:val="00CD181C"/>
    <w:rsid w:val="00CD3637"/>
    <w:rsid w:val="00CE1E52"/>
    <w:rsid w:val="00CE3012"/>
    <w:rsid w:val="00CF0385"/>
    <w:rsid w:val="00CF1BC0"/>
    <w:rsid w:val="00CF6446"/>
    <w:rsid w:val="00D03F96"/>
    <w:rsid w:val="00D05D71"/>
    <w:rsid w:val="00D06B80"/>
    <w:rsid w:val="00D07757"/>
    <w:rsid w:val="00D11641"/>
    <w:rsid w:val="00D11D8F"/>
    <w:rsid w:val="00D1351A"/>
    <w:rsid w:val="00D1442C"/>
    <w:rsid w:val="00D17744"/>
    <w:rsid w:val="00D22F87"/>
    <w:rsid w:val="00D23CF5"/>
    <w:rsid w:val="00D26E01"/>
    <w:rsid w:val="00D337CF"/>
    <w:rsid w:val="00D373A4"/>
    <w:rsid w:val="00D420F3"/>
    <w:rsid w:val="00D42F8E"/>
    <w:rsid w:val="00D457AD"/>
    <w:rsid w:val="00D45AFA"/>
    <w:rsid w:val="00D51080"/>
    <w:rsid w:val="00D526DE"/>
    <w:rsid w:val="00D5384D"/>
    <w:rsid w:val="00D635BB"/>
    <w:rsid w:val="00D637E9"/>
    <w:rsid w:val="00D73ACE"/>
    <w:rsid w:val="00D754E9"/>
    <w:rsid w:val="00D7552F"/>
    <w:rsid w:val="00D8108C"/>
    <w:rsid w:val="00D82CA1"/>
    <w:rsid w:val="00D86F37"/>
    <w:rsid w:val="00D927B6"/>
    <w:rsid w:val="00D94C30"/>
    <w:rsid w:val="00D95F7E"/>
    <w:rsid w:val="00DA2637"/>
    <w:rsid w:val="00DA3905"/>
    <w:rsid w:val="00DA5B7E"/>
    <w:rsid w:val="00DA7AC8"/>
    <w:rsid w:val="00DB6149"/>
    <w:rsid w:val="00DB7BFE"/>
    <w:rsid w:val="00DC29BD"/>
    <w:rsid w:val="00DC717E"/>
    <w:rsid w:val="00DC7612"/>
    <w:rsid w:val="00DC7E8D"/>
    <w:rsid w:val="00DD4BDD"/>
    <w:rsid w:val="00DE0C93"/>
    <w:rsid w:val="00DE0E4E"/>
    <w:rsid w:val="00DE181E"/>
    <w:rsid w:val="00DF0638"/>
    <w:rsid w:val="00DF4E76"/>
    <w:rsid w:val="00DF6075"/>
    <w:rsid w:val="00DF77A1"/>
    <w:rsid w:val="00E050CB"/>
    <w:rsid w:val="00E05268"/>
    <w:rsid w:val="00E06A32"/>
    <w:rsid w:val="00E076D0"/>
    <w:rsid w:val="00E20B36"/>
    <w:rsid w:val="00E232E6"/>
    <w:rsid w:val="00E264E7"/>
    <w:rsid w:val="00E30939"/>
    <w:rsid w:val="00E33C84"/>
    <w:rsid w:val="00E41D8B"/>
    <w:rsid w:val="00E4257C"/>
    <w:rsid w:val="00E44332"/>
    <w:rsid w:val="00E50D3D"/>
    <w:rsid w:val="00E5141B"/>
    <w:rsid w:val="00E534CA"/>
    <w:rsid w:val="00E553BB"/>
    <w:rsid w:val="00E70F38"/>
    <w:rsid w:val="00E72901"/>
    <w:rsid w:val="00E74915"/>
    <w:rsid w:val="00E8146E"/>
    <w:rsid w:val="00E87051"/>
    <w:rsid w:val="00E87134"/>
    <w:rsid w:val="00E871BC"/>
    <w:rsid w:val="00E92401"/>
    <w:rsid w:val="00E9332D"/>
    <w:rsid w:val="00E97319"/>
    <w:rsid w:val="00EA32E2"/>
    <w:rsid w:val="00EA5431"/>
    <w:rsid w:val="00EB64DA"/>
    <w:rsid w:val="00EB7C70"/>
    <w:rsid w:val="00EC1DA9"/>
    <w:rsid w:val="00EC69AB"/>
    <w:rsid w:val="00ED10D3"/>
    <w:rsid w:val="00ED5B78"/>
    <w:rsid w:val="00ED69D5"/>
    <w:rsid w:val="00EE40FA"/>
    <w:rsid w:val="00EE531A"/>
    <w:rsid w:val="00EF5E8A"/>
    <w:rsid w:val="00EF7B96"/>
    <w:rsid w:val="00F00A58"/>
    <w:rsid w:val="00F00E38"/>
    <w:rsid w:val="00F00F61"/>
    <w:rsid w:val="00F02A40"/>
    <w:rsid w:val="00F02D8F"/>
    <w:rsid w:val="00F056A3"/>
    <w:rsid w:val="00F0652B"/>
    <w:rsid w:val="00F108C0"/>
    <w:rsid w:val="00F11D8F"/>
    <w:rsid w:val="00F12488"/>
    <w:rsid w:val="00F126D8"/>
    <w:rsid w:val="00F2616A"/>
    <w:rsid w:val="00F26CDF"/>
    <w:rsid w:val="00F32C3D"/>
    <w:rsid w:val="00F35888"/>
    <w:rsid w:val="00F40B3F"/>
    <w:rsid w:val="00F43EE2"/>
    <w:rsid w:val="00F44F8E"/>
    <w:rsid w:val="00F472A9"/>
    <w:rsid w:val="00F47741"/>
    <w:rsid w:val="00F5084A"/>
    <w:rsid w:val="00F52438"/>
    <w:rsid w:val="00F53D0C"/>
    <w:rsid w:val="00F54795"/>
    <w:rsid w:val="00F556F9"/>
    <w:rsid w:val="00F6281F"/>
    <w:rsid w:val="00F62D54"/>
    <w:rsid w:val="00F63082"/>
    <w:rsid w:val="00F63943"/>
    <w:rsid w:val="00F646FD"/>
    <w:rsid w:val="00F6525E"/>
    <w:rsid w:val="00F66F5D"/>
    <w:rsid w:val="00F67F61"/>
    <w:rsid w:val="00F71AB9"/>
    <w:rsid w:val="00F839FA"/>
    <w:rsid w:val="00F83D29"/>
    <w:rsid w:val="00F86C6D"/>
    <w:rsid w:val="00F91051"/>
    <w:rsid w:val="00F942DE"/>
    <w:rsid w:val="00F94F4E"/>
    <w:rsid w:val="00F967BB"/>
    <w:rsid w:val="00FA4F8F"/>
    <w:rsid w:val="00FB6863"/>
    <w:rsid w:val="00FB6C8C"/>
    <w:rsid w:val="00FB7F99"/>
    <w:rsid w:val="00FC0FB3"/>
    <w:rsid w:val="00FD3765"/>
    <w:rsid w:val="00FD3D5D"/>
    <w:rsid w:val="00FD4380"/>
    <w:rsid w:val="00FD5E65"/>
    <w:rsid w:val="00FE0EAF"/>
    <w:rsid w:val="00FE3BB2"/>
    <w:rsid w:val="00FE500B"/>
    <w:rsid w:val="00FE7A74"/>
    <w:rsid w:val="00FF1064"/>
    <w:rsid w:val="00FF27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26CDF"/>
    <w:pPr>
      <w:jc w:val="both"/>
    </w:pPr>
    <w:rPr>
      <w:rFonts w:eastAsiaTheme="minorEastAsia"/>
      <w:sz w:val="24"/>
      <w:lang w:val="en-GB"/>
    </w:rPr>
  </w:style>
  <w:style w:type="paragraph" w:styleId="Heading1">
    <w:name w:val="heading 1"/>
    <w:basedOn w:val="Normal"/>
    <w:next w:val="Normal"/>
    <w:link w:val="Heading1Char"/>
    <w:uiPriority w:val="99"/>
    <w:semiHidden/>
    <w:rsid w:val="00F26CD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26CD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26CD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26CD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26CDF"/>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F26CD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26CDF"/>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F26CDF"/>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F26CDF"/>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6CDF"/>
    <w:rPr>
      <w:rFonts w:ascii="Tahoma" w:hAnsi="Tahoma" w:cs="Tahoma"/>
      <w:sz w:val="16"/>
      <w:szCs w:val="16"/>
    </w:rPr>
  </w:style>
  <w:style w:type="character" w:customStyle="1" w:styleId="BalloonTextChar">
    <w:name w:val="Balloon Text Char"/>
    <w:basedOn w:val="DefaultParagraphFont"/>
    <w:link w:val="BalloonText"/>
    <w:uiPriority w:val="99"/>
    <w:semiHidden/>
    <w:rsid w:val="00F26CDF"/>
    <w:rPr>
      <w:rFonts w:ascii="Tahoma" w:eastAsiaTheme="minorEastAsia" w:hAnsi="Tahoma" w:cs="Tahoma"/>
      <w:sz w:val="16"/>
      <w:szCs w:val="16"/>
      <w:lang w:val="en-GB"/>
    </w:rPr>
  </w:style>
  <w:style w:type="character" w:styleId="BookTitle">
    <w:name w:val="Book Title"/>
    <w:uiPriority w:val="99"/>
    <w:semiHidden/>
    <w:qFormat/>
    <w:rsid w:val="00F26CDF"/>
    <w:rPr>
      <w:i/>
      <w:iCs/>
      <w:smallCaps/>
      <w:spacing w:val="5"/>
    </w:rPr>
  </w:style>
  <w:style w:type="paragraph" w:customStyle="1" w:styleId="ECHRHeader">
    <w:name w:val="ECHR_Header"/>
    <w:aliases w:val="Ju_Header"/>
    <w:basedOn w:val="Header"/>
    <w:uiPriority w:val="4"/>
    <w:qFormat/>
    <w:rsid w:val="00F26CD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F26CDF"/>
    <w:pPr>
      <w:jc w:val="left"/>
    </w:pPr>
    <w:rPr>
      <w:sz w:val="8"/>
    </w:rPr>
  </w:style>
  <w:style w:type="character" w:styleId="Strong">
    <w:name w:val="Strong"/>
    <w:uiPriority w:val="99"/>
    <w:semiHidden/>
    <w:qFormat/>
    <w:rsid w:val="00F26CDF"/>
    <w:rPr>
      <w:b/>
      <w:bCs/>
    </w:rPr>
  </w:style>
  <w:style w:type="paragraph" w:styleId="NoSpacing">
    <w:name w:val="No Spacing"/>
    <w:basedOn w:val="Normal"/>
    <w:link w:val="NoSpacingChar"/>
    <w:semiHidden/>
    <w:qFormat/>
    <w:rsid w:val="00F26CDF"/>
    <w:rPr>
      <w:sz w:val="22"/>
      <w:lang w:val="en-US"/>
    </w:rPr>
  </w:style>
  <w:style w:type="character" w:customStyle="1" w:styleId="NoSpacingChar">
    <w:name w:val="No Spacing Char"/>
    <w:basedOn w:val="DefaultParagraphFont"/>
    <w:link w:val="NoSpacing"/>
    <w:semiHidden/>
    <w:rsid w:val="00F26CDF"/>
    <w:rPr>
      <w:rFonts w:eastAsiaTheme="minorEastAsia"/>
    </w:rPr>
  </w:style>
  <w:style w:type="paragraph" w:customStyle="1" w:styleId="ECHRFooterLine">
    <w:name w:val="ECHR_Footer_Line"/>
    <w:aliases w:val="Footer_Line"/>
    <w:basedOn w:val="Normal"/>
    <w:next w:val="ECHRFooter"/>
    <w:uiPriority w:val="57"/>
    <w:semiHidden/>
    <w:rsid w:val="00F26CD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F26CDF"/>
    <w:pPr>
      <w:numPr>
        <w:numId w:val="22"/>
      </w:numPr>
      <w:jc w:val="left"/>
    </w:pPr>
    <w:rPr>
      <w:b/>
    </w:rPr>
  </w:style>
  <w:style w:type="paragraph" w:customStyle="1" w:styleId="DummyStyle">
    <w:name w:val="Dummy_Style"/>
    <w:basedOn w:val="Normal"/>
    <w:semiHidden/>
    <w:qFormat/>
    <w:rsid w:val="00F26CDF"/>
    <w:rPr>
      <w:color w:val="00B050"/>
    </w:rPr>
  </w:style>
  <w:style w:type="paragraph" w:customStyle="1" w:styleId="JuParaSub">
    <w:name w:val="Ju_Para_Sub"/>
    <w:basedOn w:val="ECHRPara"/>
    <w:uiPriority w:val="13"/>
    <w:qFormat/>
    <w:rsid w:val="00F26CDF"/>
    <w:pPr>
      <w:ind w:left="284"/>
    </w:pPr>
  </w:style>
  <w:style w:type="paragraph" w:customStyle="1" w:styleId="ECHRTitleCentre3">
    <w:name w:val="ECHR_Title_Centre_3"/>
    <w:aliases w:val="Ju_H_Article"/>
    <w:basedOn w:val="Normal"/>
    <w:next w:val="ECHRParaQuote"/>
    <w:uiPriority w:val="27"/>
    <w:qFormat/>
    <w:rsid w:val="00F26CD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26CDF"/>
    <w:pPr>
      <w:keepNext/>
      <w:keepLines/>
      <w:spacing w:after="240"/>
      <w:jc w:val="center"/>
      <w:outlineLvl w:val="0"/>
    </w:pPr>
    <w:rPr>
      <w:rFonts w:asciiTheme="majorHAnsi" w:hAnsiTheme="majorHAnsi"/>
      <w:sz w:val="28"/>
    </w:rPr>
  </w:style>
  <w:style w:type="paragraph" w:customStyle="1" w:styleId="OpiH1">
    <w:name w:val="Opi_H_1"/>
    <w:basedOn w:val="ECHRHeading2"/>
    <w:uiPriority w:val="42"/>
    <w:qFormat/>
    <w:rsid w:val="00F26CDF"/>
    <w:pPr>
      <w:ind w:left="635" w:hanging="357"/>
      <w:outlineLvl w:val="2"/>
    </w:pPr>
  </w:style>
  <w:style w:type="paragraph" w:customStyle="1" w:styleId="OpiHa">
    <w:name w:val="Opi_H_a"/>
    <w:basedOn w:val="ECHRHeading3"/>
    <w:uiPriority w:val="43"/>
    <w:qFormat/>
    <w:rsid w:val="00F26CDF"/>
    <w:pPr>
      <w:ind w:left="833" w:hanging="357"/>
      <w:outlineLvl w:val="3"/>
    </w:pPr>
    <w:rPr>
      <w:b/>
      <w:i w:val="0"/>
      <w:sz w:val="20"/>
    </w:rPr>
  </w:style>
  <w:style w:type="paragraph" w:customStyle="1" w:styleId="OpiHA0">
    <w:name w:val="Opi_H_A"/>
    <w:basedOn w:val="ECHRHeading1"/>
    <w:next w:val="OpiPara"/>
    <w:uiPriority w:val="41"/>
    <w:qFormat/>
    <w:rsid w:val="00F26CDF"/>
    <w:pPr>
      <w:tabs>
        <w:tab w:val="clear" w:pos="357"/>
      </w:tabs>
      <w:outlineLvl w:val="1"/>
    </w:pPr>
    <w:rPr>
      <w:b/>
    </w:rPr>
  </w:style>
  <w:style w:type="paragraph" w:customStyle="1" w:styleId="ECHRTitleCentre2">
    <w:name w:val="ECHR_Title_Centre_2"/>
    <w:aliases w:val="Dec_H_Case"/>
    <w:basedOn w:val="Normal"/>
    <w:next w:val="ECHRPara"/>
    <w:uiPriority w:val="8"/>
    <w:qFormat/>
    <w:rsid w:val="00F26CDF"/>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F26CDF"/>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F26CDF"/>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F26CD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F26CD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F26CD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26CDF"/>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F26CDF"/>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F26CDF"/>
    <w:pPr>
      <w:keepNext/>
      <w:keepLines/>
      <w:spacing w:before="240" w:after="120"/>
      <w:ind w:left="1236"/>
    </w:pPr>
    <w:rPr>
      <w:sz w:val="20"/>
      <w:lang w:val="en-GB"/>
    </w:rPr>
  </w:style>
  <w:style w:type="paragraph" w:customStyle="1" w:styleId="JuQuotSub">
    <w:name w:val="Ju_Quot_Sub"/>
    <w:basedOn w:val="ECHRParaQuote"/>
    <w:uiPriority w:val="15"/>
    <w:qFormat/>
    <w:rsid w:val="00F26CDF"/>
    <w:pPr>
      <w:ind w:left="567"/>
    </w:pPr>
  </w:style>
  <w:style w:type="paragraph" w:customStyle="1" w:styleId="JuInitialled">
    <w:name w:val="Ju_Initialled"/>
    <w:basedOn w:val="Normal"/>
    <w:uiPriority w:val="31"/>
    <w:qFormat/>
    <w:rsid w:val="00F26CDF"/>
    <w:pPr>
      <w:tabs>
        <w:tab w:val="center" w:pos="6407"/>
      </w:tabs>
      <w:spacing w:before="720"/>
      <w:jc w:val="right"/>
    </w:pPr>
  </w:style>
  <w:style w:type="paragraph" w:customStyle="1" w:styleId="OpiHi">
    <w:name w:val="Opi_H_i"/>
    <w:basedOn w:val="ECHRHeading4"/>
    <w:uiPriority w:val="44"/>
    <w:qFormat/>
    <w:rsid w:val="00F26CDF"/>
    <w:pPr>
      <w:ind w:left="1037" w:hanging="357"/>
      <w:outlineLvl w:val="4"/>
    </w:pPr>
    <w:rPr>
      <w:b w:val="0"/>
      <w:i/>
    </w:rPr>
  </w:style>
  <w:style w:type="paragraph" w:styleId="Header">
    <w:name w:val="header"/>
    <w:basedOn w:val="Normal"/>
    <w:link w:val="HeaderChar"/>
    <w:uiPriority w:val="57"/>
    <w:semiHidden/>
    <w:rsid w:val="00F26CDF"/>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26CDF"/>
    <w:rPr>
      <w:sz w:val="24"/>
      <w:lang w:val="en-GB"/>
    </w:rPr>
  </w:style>
  <w:style w:type="character" w:customStyle="1" w:styleId="Heading1Char">
    <w:name w:val="Heading 1 Char"/>
    <w:basedOn w:val="DefaultParagraphFont"/>
    <w:link w:val="Heading1"/>
    <w:uiPriority w:val="99"/>
    <w:semiHidden/>
    <w:rsid w:val="00F26CDF"/>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F26CD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F26CDF"/>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F26CDF"/>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F26CDF"/>
    <w:rPr>
      <w:caps w:val="0"/>
      <w:smallCaps/>
    </w:rPr>
  </w:style>
  <w:style w:type="paragraph" w:customStyle="1" w:styleId="JuCase">
    <w:name w:val="Ju_Case"/>
    <w:basedOn w:val="Normal"/>
    <w:next w:val="ECHRPara"/>
    <w:uiPriority w:val="10"/>
    <w:rsid w:val="00F26CDF"/>
    <w:pPr>
      <w:ind w:firstLine="284"/>
    </w:pPr>
    <w:rPr>
      <w:b/>
    </w:rPr>
  </w:style>
  <w:style w:type="character" w:customStyle="1" w:styleId="Heading3Char">
    <w:name w:val="Heading 3 Char"/>
    <w:basedOn w:val="DefaultParagraphFont"/>
    <w:link w:val="Heading3"/>
    <w:uiPriority w:val="99"/>
    <w:semiHidden/>
    <w:rsid w:val="00F26CDF"/>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F26CDF"/>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F26CDF"/>
    <w:rPr>
      <w:rFonts w:asciiTheme="majorHAnsi" w:eastAsiaTheme="majorEastAsia" w:hAnsiTheme="majorHAnsi" w:cstheme="majorBidi"/>
      <w:b/>
      <w:bCs/>
      <w:color w:val="808080"/>
    </w:rPr>
  </w:style>
  <w:style w:type="character" w:styleId="SubtleEmphasis">
    <w:name w:val="Subtle Emphasis"/>
    <w:uiPriority w:val="99"/>
    <w:semiHidden/>
    <w:qFormat/>
    <w:rsid w:val="00F26CDF"/>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F26CDF"/>
    <w:pPr>
      <w:keepNext/>
      <w:keepLines/>
      <w:spacing w:before="720" w:after="240"/>
      <w:outlineLvl w:val="0"/>
    </w:pPr>
    <w:rPr>
      <w:rFonts w:asciiTheme="majorHAnsi" w:hAnsiTheme="majorHAnsi"/>
      <w:sz w:val="28"/>
    </w:rPr>
  </w:style>
  <w:style w:type="character" w:styleId="Emphasis">
    <w:name w:val="Emphasis"/>
    <w:uiPriority w:val="99"/>
    <w:semiHidden/>
    <w:qFormat/>
    <w:rsid w:val="00F26CDF"/>
    <w:rPr>
      <w:b/>
      <w:bCs/>
      <w:i/>
      <w:iCs/>
      <w:spacing w:val="10"/>
      <w:bdr w:val="none" w:sz="0" w:space="0" w:color="auto"/>
      <w:shd w:val="clear" w:color="auto" w:fill="auto"/>
    </w:rPr>
  </w:style>
  <w:style w:type="paragraph" w:styleId="Footer">
    <w:name w:val="footer"/>
    <w:basedOn w:val="Normal"/>
    <w:link w:val="FooterChar"/>
    <w:uiPriority w:val="57"/>
    <w:semiHidden/>
    <w:rsid w:val="00F26CDF"/>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26CDF"/>
    <w:rPr>
      <w:sz w:val="24"/>
      <w:lang w:val="en-GB"/>
    </w:rPr>
  </w:style>
  <w:style w:type="character" w:styleId="FootnoteReference">
    <w:name w:val="footnote reference"/>
    <w:basedOn w:val="DefaultParagraphFont"/>
    <w:uiPriority w:val="99"/>
    <w:semiHidden/>
    <w:rsid w:val="00F26CDF"/>
    <w:rPr>
      <w:vertAlign w:val="superscript"/>
    </w:rPr>
  </w:style>
  <w:style w:type="paragraph" w:styleId="FootnoteText">
    <w:name w:val="footnote text"/>
    <w:basedOn w:val="Normal"/>
    <w:link w:val="FootnoteTextChar"/>
    <w:uiPriority w:val="99"/>
    <w:semiHidden/>
    <w:rsid w:val="00F26CDF"/>
    <w:rPr>
      <w:sz w:val="20"/>
      <w:szCs w:val="20"/>
    </w:rPr>
  </w:style>
  <w:style w:type="character" w:customStyle="1" w:styleId="FootnoteTextChar">
    <w:name w:val="Footnote Text Char"/>
    <w:basedOn w:val="DefaultParagraphFont"/>
    <w:link w:val="FootnoteText"/>
    <w:uiPriority w:val="99"/>
    <w:semiHidden/>
    <w:rsid w:val="00F26CDF"/>
    <w:rPr>
      <w:rFonts w:eastAsiaTheme="minorEastAsia"/>
      <w:sz w:val="20"/>
      <w:szCs w:val="20"/>
      <w:lang w:val="en-GB"/>
    </w:rPr>
  </w:style>
  <w:style w:type="character" w:customStyle="1" w:styleId="Heading6Char">
    <w:name w:val="Heading 6 Char"/>
    <w:basedOn w:val="DefaultParagraphFont"/>
    <w:link w:val="Heading6"/>
    <w:uiPriority w:val="99"/>
    <w:semiHidden/>
    <w:rsid w:val="00F26CDF"/>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F26CD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26CD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26CDF"/>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26CDF"/>
    <w:rPr>
      <w:color w:val="0072BC" w:themeColor="hyperlink"/>
      <w:u w:val="single"/>
    </w:rPr>
  </w:style>
  <w:style w:type="character" w:styleId="IntenseEmphasis">
    <w:name w:val="Intense Emphasis"/>
    <w:uiPriority w:val="99"/>
    <w:semiHidden/>
    <w:qFormat/>
    <w:rsid w:val="00F26CDF"/>
    <w:rPr>
      <w:b/>
      <w:bCs/>
    </w:rPr>
  </w:style>
  <w:style w:type="paragraph" w:styleId="IntenseQuote">
    <w:name w:val="Intense Quote"/>
    <w:basedOn w:val="Normal"/>
    <w:next w:val="Normal"/>
    <w:link w:val="IntenseQuoteChar"/>
    <w:uiPriority w:val="99"/>
    <w:semiHidden/>
    <w:qFormat/>
    <w:rsid w:val="00F26CDF"/>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F26CDF"/>
    <w:rPr>
      <w:rFonts w:eastAsiaTheme="minorEastAsia"/>
      <w:b/>
      <w:bCs/>
      <w:i/>
      <w:iCs/>
      <w:lang w:bidi="en-US"/>
    </w:rPr>
  </w:style>
  <w:style w:type="character" w:styleId="IntenseReference">
    <w:name w:val="Intense Reference"/>
    <w:uiPriority w:val="99"/>
    <w:semiHidden/>
    <w:qFormat/>
    <w:rsid w:val="00F26CDF"/>
    <w:rPr>
      <w:smallCaps/>
      <w:spacing w:val="5"/>
      <w:u w:val="single"/>
    </w:rPr>
  </w:style>
  <w:style w:type="paragraph" w:styleId="ListParagraph">
    <w:name w:val="List Paragraph"/>
    <w:basedOn w:val="Normal"/>
    <w:uiPriority w:val="99"/>
    <w:semiHidden/>
    <w:qFormat/>
    <w:rsid w:val="00F26CD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F26CDF"/>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F26CDF"/>
    <w:rPr>
      <w:rFonts w:eastAsiaTheme="minorEastAsia"/>
      <w:i/>
      <w:iCs/>
      <w:lang w:bidi="en-US"/>
    </w:rPr>
  </w:style>
  <w:style w:type="character" w:styleId="SubtleReference">
    <w:name w:val="Subtle Reference"/>
    <w:uiPriority w:val="99"/>
    <w:semiHidden/>
    <w:qFormat/>
    <w:rsid w:val="00F26CDF"/>
    <w:rPr>
      <w:smallCaps/>
    </w:rPr>
  </w:style>
  <w:style w:type="table" w:styleId="TableGrid">
    <w:name w:val="Table Grid"/>
    <w:basedOn w:val="TableNormal"/>
    <w:uiPriority w:val="59"/>
    <w:semiHidden/>
    <w:rsid w:val="00F26CD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26CD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F26CD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F26CD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F26CDF"/>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F26CD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F26CD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26CD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F26CDF"/>
    <w:pPr>
      <w:spacing w:before="120" w:after="120"/>
      <w:ind w:left="425" w:firstLine="142"/>
    </w:pPr>
    <w:rPr>
      <w:sz w:val="20"/>
    </w:rPr>
  </w:style>
  <w:style w:type="paragraph" w:customStyle="1" w:styleId="ECHRPara">
    <w:name w:val="ECHR_Para"/>
    <w:aliases w:val="Ju_Para"/>
    <w:basedOn w:val="Normal"/>
    <w:link w:val="ECHRParaChar"/>
    <w:uiPriority w:val="12"/>
    <w:qFormat/>
    <w:rsid w:val="00F26CDF"/>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26CD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F26CD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F26CDF"/>
    <w:pPr>
      <w:ind w:left="340" w:hanging="340"/>
    </w:pPr>
  </w:style>
  <w:style w:type="paragraph" w:customStyle="1" w:styleId="JuSigned">
    <w:name w:val="Ju_Signed"/>
    <w:basedOn w:val="Normal"/>
    <w:next w:val="JuParaLast"/>
    <w:uiPriority w:val="32"/>
    <w:qFormat/>
    <w:rsid w:val="00F26CDF"/>
    <w:pPr>
      <w:tabs>
        <w:tab w:val="center" w:pos="851"/>
        <w:tab w:val="center" w:pos="6407"/>
      </w:tabs>
      <w:spacing w:before="720"/>
      <w:jc w:val="left"/>
    </w:pPr>
  </w:style>
  <w:style w:type="paragraph" w:customStyle="1" w:styleId="JuParaLast">
    <w:name w:val="Ju_Para_Last"/>
    <w:basedOn w:val="Normal"/>
    <w:next w:val="ECHRPara"/>
    <w:uiPriority w:val="30"/>
    <w:qFormat/>
    <w:rsid w:val="00F26CDF"/>
    <w:pPr>
      <w:keepNext/>
      <w:keepLines/>
      <w:spacing w:before="240"/>
      <w:ind w:firstLine="284"/>
    </w:pPr>
  </w:style>
  <w:style w:type="paragraph" w:customStyle="1" w:styleId="JuCourt">
    <w:name w:val="Ju_Court"/>
    <w:basedOn w:val="Normal"/>
    <w:next w:val="Normal"/>
    <w:uiPriority w:val="16"/>
    <w:qFormat/>
    <w:rsid w:val="00F26CDF"/>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F26CDF"/>
    <w:pPr>
      <w:ind w:left="346" w:firstLine="0"/>
    </w:pPr>
  </w:style>
  <w:style w:type="paragraph" w:customStyle="1" w:styleId="JuListi">
    <w:name w:val="Ju_List_i"/>
    <w:basedOn w:val="Normal"/>
    <w:next w:val="JuLista"/>
    <w:uiPriority w:val="28"/>
    <w:qFormat/>
    <w:rsid w:val="00F26CDF"/>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F26CDF"/>
    <w:rPr>
      <w:vertAlign w:val="superscript"/>
    </w:rPr>
  </w:style>
  <w:style w:type="paragraph" w:styleId="EndnoteText">
    <w:name w:val="endnote text"/>
    <w:basedOn w:val="Normal"/>
    <w:link w:val="EndnoteTextChar"/>
    <w:uiPriority w:val="99"/>
    <w:semiHidden/>
    <w:rsid w:val="00F26CDF"/>
    <w:rPr>
      <w:sz w:val="20"/>
      <w:szCs w:val="20"/>
    </w:rPr>
  </w:style>
  <w:style w:type="character" w:customStyle="1" w:styleId="EndnoteTextChar">
    <w:name w:val="Endnote Text Char"/>
    <w:basedOn w:val="DefaultParagraphFont"/>
    <w:link w:val="EndnoteText"/>
    <w:uiPriority w:val="99"/>
    <w:semiHidden/>
    <w:rsid w:val="00F26CDF"/>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F26CDF"/>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F26CDF"/>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F26CDF"/>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customStyle="1" w:styleId="OpiPara">
    <w:name w:val="Opi_Para"/>
    <w:basedOn w:val="ECHRPara"/>
    <w:uiPriority w:val="46"/>
    <w:qFormat/>
    <w:rsid w:val="00F26CDF"/>
  </w:style>
  <w:style w:type="paragraph" w:customStyle="1" w:styleId="OpiParaSub">
    <w:name w:val="Opi_Para_Sub"/>
    <w:basedOn w:val="JuParaSub"/>
    <w:uiPriority w:val="47"/>
    <w:qFormat/>
    <w:rsid w:val="00F26CDF"/>
  </w:style>
  <w:style w:type="character" w:styleId="PlaceholderText">
    <w:name w:val="Placeholder Text"/>
    <w:basedOn w:val="DefaultParagraphFont"/>
    <w:uiPriority w:val="99"/>
    <w:semiHidden/>
    <w:rsid w:val="00F26CDF"/>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F26CD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F26CD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Quot">
    <w:name w:val="Opi_Quot"/>
    <w:basedOn w:val="ECHRParaQuote"/>
    <w:uiPriority w:val="48"/>
    <w:qFormat/>
    <w:rsid w:val="00F26CDF"/>
  </w:style>
  <w:style w:type="paragraph" w:customStyle="1" w:styleId="DecHTitle">
    <w:name w:val="Dec_H_Title"/>
    <w:basedOn w:val="ECHRTitleCentre1"/>
    <w:uiPriority w:val="7"/>
    <w:qFormat/>
    <w:rsid w:val="00F26CDF"/>
  </w:style>
  <w:style w:type="paragraph" w:customStyle="1" w:styleId="DecList">
    <w:name w:val="Dec_List"/>
    <w:basedOn w:val="Normal"/>
    <w:uiPriority w:val="9"/>
    <w:qFormat/>
    <w:rsid w:val="00F26CDF"/>
    <w:pPr>
      <w:spacing w:before="240"/>
      <w:ind w:left="284"/>
    </w:pPr>
  </w:style>
  <w:style w:type="paragraph" w:customStyle="1" w:styleId="OpiQuotSub">
    <w:name w:val="Opi_Quot_Sub"/>
    <w:basedOn w:val="JuQuotSub"/>
    <w:uiPriority w:val="49"/>
    <w:qFormat/>
    <w:rsid w:val="00F26CDF"/>
  </w:style>
  <w:style w:type="paragraph" w:customStyle="1" w:styleId="OpiTranslation">
    <w:name w:val="Opi_Translation"/>
    <w:basedOn w:val="Normal"/>
    <w:next w:val="OpiPara"/>
    <w:uiPriority w:val="40"/>
    <w:qFormat/>
    <w:rsid w:val="00F26CDF"/>
    <w:pPr>
      <w:jc w:val="center"/>
      <w:outlineLvl w:val="0"/>
    </w:pPr>
    <w:rPr>
      <w:i/>
    </w:rPr>
  </w:style>
  <w:style w:type="paragraph" w:styleId="NoteHeading">
    <w:name w:val="Note Heading"/>
    <w:basedOn w:val="Normal"/>
    <w:next w:val="Normal"/>
    <w:link w:val="NoteHeadingChar"/>
    <w:uiPriority w:val="99"/>
    <w:semiHidden/>
    <w:rsid w:val="004D09B1"/>
  </w:style>
  <w:style w:type="character" w:customStyle="1" w:styleId="NoteHeadingChar">
    <w:name w:val="Note Heading Char"/>
    <w:basedOn w:val="DefaultParagraphFont"/>
    <w:link w:val="NoteHeading"/>
    <w:uiPriority w:val="99"/>
    <w:semiHidden/>
    <w:rsid w:val="004D09B1"/>
    <w:rPr>
      <w:rFonts w:eastAsiaTheme="minorEastAsia"/>
      <w:sz w:val="24"/>
    </w:rPr>
  </w:style>
  <w:style w:type="paragraph" w:customStyle="1" w:styleId="JuHeaderLandscape">
    <w:name w:val="Ju_Header_Landscape"/>
    <w:basedOn w:val="ECHRHeader"/>
    <w:uiPriority w:val="4"/>
    <w:qFormat/>
    <w:rsid w:val="00F26CDF"/>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FE7A74"/>
    <w:rPr>
      <w:rFonts w:eastAsiaTheme="minorEastAsia"/>
      <w:sz w:val="24"/>
      <w:lang w:val="en-GB"/>
    </w:rPr>
  </w:style>
  <w:style w:type="paragraph" w:customStyle="1" w:styleId="ECHRParaSpaced">
    <w:name w:val="ECHR_Para_Spaced"/>
    <w:aliases w:val="Para_Spaced"/>
    <w:basedOn w:val="ECHRPara"/>
    <w:uiPriority w:val="4"/>
    <w:rsid w:val="007A5E18"/>
    <w:pPr>
      <w:spacing w:before="120" w:after="120"/>
      <w:ind w:firstLine="0"/>
    </w:pPr>
    <w:rPr>
      <w:rFonts w:eastAsiaTheme="minorHAnsi"/>
      <w:sz w:val="22"/>
    </w:rPr>
  </w:style>
  <w:style w:type="paragraph" w:styleId="Revision">
    <w:name w:val="Revision"/>
    <w:hidden/>
    <w:uiPriority w:val="99"/>
    <w:semiHidden/>
    <w:rsid w:val="00352A3F"/>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1526">
      <w:bodyDiv w:val="1"/>
      <w:marLeft w:val="0"/>
      <w:marRight w:val="0"/>
      <w:marTop w:val="0"/>
      <w:marBottom w:val="0"/>
      <w:divBdr>
        <w:top w:val="none" w:sz="0" w:space="0" w:color="auto"/>
        <w:left w:val="none" w:sz="0" w:space="0" w:color="auto"/>
        <w:bottom w:val="none" w:sz="0" w:space="0" w:color="auto"/>
        <w:right w:val="none" w:sz="0" w:space="0" w:color="auto"/>
      </w:divBdr>
    </w:div>
    <w:div w:id="160825352">
      <w:bodyDiv w:val="1"/>
      <w:marLeft w:val="0"/>
      <w:marRight w:val="0"/>
      <w:marTop w:val="0"/>
      <w:marBottom w:val="0"/>
      <w:divBdr>
        <w:top w:val="none" w:sz="0" w:space="0" w:color="auto"/>
        <w:left w:val="none" w:sz="0" w:space="0" w:color="auto"/>
        <w:bottom w:val="none" w:sz="0" w:space="0" w:color="auto"/>
        <w:right w:val="none" w:sz="0" w:space="0" w:color="auto"/>
      </w:divBdr>
    </w:div>
    <w:div w:id="260341501">
      <w:bodyDiv w:val="1"/>
      <w:marLeft w:val="0"/>
      <w:marRight w:val="0"/>
      <w:marTop w:val="0"/>
      <w:marBottom w:val="0"/>
      <w:divBdr>
        <w:top w:val="none" w:sz="0" w:space="0" w:color="auto"/>
        <w:left w:val="none" w:sz="0" w:space="0" w:color="auto"/>
        <w:bottom w:val="none" w:sz="0" w:space="0" w:color="auto"/>
        <w:right w:val="none" w:sz="0" w:space="0" w:color="auto"/>
      </w:divBdr>
    </w:div>
    <w:div w:id="592398144">
      <w:bodyDiv w:val="1"/>
      <w:marLeft w:val="0"/>
      <w:marRight w:val="0"/>
      <w:marTop w:val="0"/>
      <w:marBottom w:val="0"/>
      <w:divBdr>
        <w:top w:val="none" w:sz="0" w:space="0" w:color="auto"/>
        <w:left w:val="none" w:sz="0" w:space="0" w:color="auto"/>
        <w:bottom w:val="none" w:sz="0" w:space="0" w:color="auto"/>
        <w:right w:val="none" w:sz="0" w:space="0" w:color="auto"/>
      </w:divBdr>
    </w:div>
    <w:div w:id="741606419">
      <w:bodyDiv w:val="1"/>
      <w:marLeft w:val="0"/>
      <w:marRight w:val="0"/>
      <w:marTop w:val="0"/>
      <w:marBottom w:val="0"/>
      <w:divBdr>
        <w:top w:val="none" w:sz="0" w:space="0" w:color="auto"/>
        <w:left w:val="none" w:sz="0" w:space="0" w:color="auto"/>
        <w:bottom w:val="none" w:sz="0" w:space="0" w:color="auto"/>
        <w:right w:val="none" w:sz="0" w:space="0" w:color="auto"/>
      </w:divBdr>
    </w:div>
    <w:div w:id="1019771800">
      <w:bodyDiv w:val="1"/>
      <w:marLeft w:val="0"/>
      <w:marRight w:val="0"/>
      <w:marTop w:val="0"/>
      <w:marBottom w:val="0"/>
      <w:divBdr>
        <w:top w:val="none" w:sz="0" w:space="0" w:color="auto"/>
        <w:left w:val="none" w:sz="0" w:space="0" w:color="auto"/>
        <w:bottom w:val="none" w:sz="0" w:space="0" w:color="auto"/>
        <w:right w:val="none" w:sz="0" w:space="0" w:color="auto"/>
      </w:divBdr>
      <w:divsChild>
        <w:div w:id="1227372973">
          <w:marLeft w:val="0"/>
          <w:marRight w:val="0"/>
          <w:marTop w:val="0"/>
          <w:marBottom w:val="0"/>
          <w:divBdr>
            <w:top w:val="none" w:sz="0" w:space="0" w:color="auto"/>
            <w:left w:val="none" w:sz="0" w:space="0" w:color="auto"/>
            <w:bottom w:val="single" w:sz="6" w:space="0" w:color="D3D3D3"/>
            <w:right w:val="none" w:sz="0" w:space="0" w:color="auto"/>
          </w:divBdr>
          <w:divsChild>
            <w:div w:id="382868507">
              <w:marLeft w:val="0"/>
              <w:marRight w:val="0"/>
              <w:marTop w:val="0"/>
              <w:marBottom w:val="0"/>
              <w:divBdr>
                <w:top w:val="none" w:sz="0" w:space="0" w:color="auto"/>
                <w:left w:val="none" w:sz="0" w:space="0" w:color="auto"/>
                <w:bottom w:val="none" w:sz="0" w:space="0" w:color="auto"/>
                <w:right w:val="none" w:sz="0" w:space="0" w:color="auto"/>
              </w:divBdr>
            </w:div>
          </w:divsChild>
        </w:div>
        <w:div w:id="951740315">
          <w:marLeft w:val="0"/>
          <w:marRight w:val="0"/>
          <w:marTop w:val="0"/>
          <w:marBottom w:val="0"/>
          <w:divBdr>
            <w:top w:val="none" w:sz="0" w:space="0" w:color="auto"/>
            <w:left w:val="none" w:sz="0" w:space="0" w:color="auto"/>
            <w:bottom w:val="none" w:sz="0" w:space="0" w:color="auto"/>
            <w:right w:val="none" w:sz="0" w:space="0" w:color="auto"/>
          </w:divBdr>
        </w:div>
      </w:divsChild>
    </w:div>
    <w:div w:id="1052079873">
      <w:bodyDiv w:val="1"/>
      <w:marLeft w:val="0"/>
      <w:marRight w:val="0"/>
      <w:marTop w:val="0"/>
      <w:marBottom w:val="0"/>
      <w:divBdr>
        <w:top w:val="none" w:sz="0" w:space="0" w:color="auto"/>
        <w:left w:val="none" w:sz="0" w:space="0" w:color="auto"/>
        <w:bottom w:val="none" w:sz="0" w:space="0" w:color="auto"/>
        <w:right w:val="none" w:sz="0" w:space="0" w:color="auto"/>
      </w:divBdr>
    </w:div>
    <w:div w:id="1521511570">
      <w:bodyDiv w:val="1"/>
      <w:marLeft w:val="0"/>
      <w:marRight w:val="0"/>
      <w:marTop w:val="0"/>
      <w:marBottom w:val="0"/>
      <w:divBdr>
        <w:top w:val="none" w:sz="0" w:space="0" w:color="auto"/>
        <w:left w:val="none" w:sz="0" w:space="0" w:color="auto"/>
        <w:bottom w:val="none" w:sz="0" w:space="0" w:color="auto"/>
        <w:right w:val="none" w:sz="0" w:space="0" w:color="auto"/>
      </w:divBdr>
    </w:div>
    <w:div w:id="1599094234">
      <w:bodyDiv w:val="1"/>
      <w:marLeft w:val="0"/>
      <w:marRight w:val="0"/>
      <w:marTop w:val="0"/>
      <w:marBottom w:val="0"/>
      <w:divBdr>
        <w:top w:val="none" w:sz="0" w:space="0" w:color="auto"/>
        <w:left w:val="none" w:sz="0" w:space="0" w:color="auto"/>
        <w:bottom w:val="none" w:sz="0" w:space="0" w:color="auto"/>
        <w:right w:val="none" w:sz="0" w:space="0" w:color="auto"/>
      </w:divBdr>
    </w:div>
    <w:div w:id="1781142646">
      <w:bodyDiv w:val="1"/>
      <w:marLeft w:val="0"/>
      <w:marRight w:val="0"/>
      <w:marTop w:val="0"/>
      <w:marBottom w:val="0"/>
      <w:divBdr>
        <w:top w:val="none" w:sz="0" w:space="0" w:color="auto"/>
        <w:left w:val="none" w:sz="0" w:space="0" w:color="auto"/>
        <w:bottom w:val="none" w:sz="0" w:space="0" w:color="auto"/>
        <w:right w:val="none" w:sz="0" w:space="0" w:color="auto"/>
      </w:divBdr>
    </w:div>
    <w:div w:id="1843816676">
      <w:bodyDiv w:val="1"/>
      <w:marLeft w:val="0"/>
      <w:marRight w:val="0"/>
      <w:marTop w:val="0"/>
      <w:marBottom w:val="0"/>
      <w:divBdr>
        <w:top w:val="none" w:sz="0" w:space="0" w:color="auto"/>
        <w:left w:val="none" w:sz="0" w:space="0" w:color="auto"/>
        <w:bottom w:val="none" w:sz="0" w:space="0" w:color="auto"/>
        <w:right w:val="none" w:sz="0" w:space="0" w:color="auto"/>
      </w:divBdr>
      <w:divsChild>
        <w:div w:id="2022968934">
          <w:marLeft w:val="0"/>
          <w:marRight w:val="0"/>
          <w:marTop w:val="0"/>
          <w:marBottom w:val="0"/>
          <w:divBdr>
            <w:top w:val="none" w:sz="0" w:space="0" w:color="auto"/>
            <w:left w:val="none" w:sz="0" w:space="0" w:color="auto"/>
            <w:bottom w:val="none" w:sz="0" w:space="0" w:color="auto"/>
            <w:right w:val="none" w:sz="0" w:space="0" w:color="auto"/>
          </w:divBdr>
        </w:div>
        <w:div w:id="2078894620">
          <w:marLeft w:val="0"/>
          <w:marRight w:val="0"/>
          <w:marTop w:val="0"/>
          <w:marBottom w:val="0"/>
          <w:divBdr>
            <w:top w:val="none" w:sz="0" w:space="0" w:color="auto"/>
            <w:left w:val="none" w:sz="0" w:space="0" w:color="auto"/>
            <w:bottom w:val="none" w:sz="0" w:space="0" w:color="auto"/>
            <w:right w:val="none" w:sz="0" w:space="0" w:color="auto"/>
          </w:divBdr>
        </w:div>
      </w:divsChild>
    </w:div>
    <w:div w:id="1953440869">
      <w:bodyDiv w:val="1"/>
      <w:marLeft w:val="0"/>
      <w:marRight w:val="0"/>
      <w:marTop w:val="0"/>
      <w:marBottom w:val="0"/>
      <w:divBdr>
        <w:top w:val="none" w:sz="0" w:space="0" w:color="auto"/>
        <w:left w:val="none" w:sz="0" w:space="0" w:color="auto"/>
        <w:bottom w:val="none" w:sz="0" w:space="0" w:color="auto"/>
        <w:right w:val="none" w:sz="0" w:space="0" w:color="auto"/>
      </w:divBdr>
    </w:div>
    <w:div w:id="1970234130">
      <w:bodyDiv w:val="1"/>
      <w:marLeft w:val="0"/>
      <w:marRight w:val="0"/>
      <w:marTop w:val="0"/>
      <w:marBottom w:val="0"/>
      <w:divBdr>
        <w:top w:val="none" w:sz="0" w:space="0" w:color="auto"/>
        <w:left w:val="none" w:sz="0" w:space="0" w:color="auto"/>
        <w:bottom w:val="none" w:sz="0" w:space="0" w:color="auto"/>
        <w:right w:val="none" w:sz="0" w:space="0" w:color="auto"/>
      </w:divBdr>
    </w:div>
    <w:div w:id="2020890262">
      <w:bodyDiv w:val="1"/>
      <w:marLeft w:val="0"/>
      <w:marRight w:val="0"/>
      <w:marTop w:val="0"/>
      <w:marBottom w:val="0"/>
      <w:divBdr>
        <w:top w:val="none" w:sz="0" w:space="0" w:color="auto"/>
        <w:left w:val="none" w:sz="0" w:space="0" w:color="auto"/>
        <w:bottom w:val="none" w:sz="0" w:space="0" w:color="auto"/>
        <w:right w:val="none" w:sz="0" w:space="0" w:color="auto"/>
      </w:divBdr>
    </w:div>
    <w:div w:id="20857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1CBF4-9424-4846-9072-92FDA0DF7978}"/>
</file>

<file path=customXml/itemProps2.xml><?xml version="1.0" encoding="utf-8"?>
<ds:datastoreItem xmlns:ds="http://schemas.openxmlformats.org/officeDocument/2006/customXml" ds:itemID="{CFDEC277-2E9B-4A0E-8ABD-28BCE6876ECD}"/>
</file>

<file path=customXml/itemProps3.xml><?xml version="1.0" encoding="utf-8"?>
<ds:datastoreItem xmlns:ds="http://schemas.openxmlformats.org/officeDocument/2006/customXml" ds:itemID="{8EAAB3A8-723A-4ED0-A8BB-83ED938DE547}"/>
</file>

<file path=customXml/itemProps4.xml><?xml version="1.0" encoding="utf-8"?>
<ds:datastoreItem xmlns:ds="http://schemas.openxmlformats.org/officeDocument/2006/customXml" ds:itemID="{4075B30B-AD97-46CE-B5AD-6524103BDFB8}"/>
</file>

<file path=docProps/app.xml><?xml version="1.0" encoding="utf-8"?>
<Properties xmlns="http://schemas.openxmlformats.org/officeDocument/2006/extended-properties" xmlns:vt="http://schemas.openxmlformats.org/officeDocument/2006/docPropsVTypes">
  <Template>Normal.dotm</Template>
  <TotalTime>0</TotalTime>
  <Pages>1</Pages>
  <Words>8298</Words>
  <Characters>47303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2019-10-08T07:50:00Z</dcterms:created>
  <dcterms:modified xsi:type="dcterms:W3CDTF">2019-10-08T07:50:00Z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71399/17</vt:lpwstr>
  </property>
  <property fmtid="{D5CDD505-2E9C-101B-9397-08002B2CF9AE}" pid="4" name="CASEID">
    <vt:lpwstr>1344658</vt:lpwstr>
  </property>
  <property fmtid="{D5CDD505-2E9C-101B-9397-08002B2CF9AE}" pid="5" name="ContentTypeId">
    <vt:lpwstr>0x010100558EB02BDB9E204AB350EDD385B68E10</vt:lpwstr>
  </property>
</Properties>
</file>