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40730" w:rsidR="00FF4D02" w:rsidP="00240730" w:rsidRDefault="00FF4D02">
      <w:pPr>
        <w:jc w:val="center"/>
      </w:pPr>
    </w:p>
    <w:p w:rsidRPr="00240730" w:rsidR="00FF4D02" w:rsidP="00240730" w:rsidRDefault="00FF4D02">
      <w:pPr>
        <w:jc w:val="center"/>
      </w:pPr>
    </w:p>
    <w:p w:rsidRPr="00240730" w:rsidR="00FF4D02" w:rsidP="00240730" w:rsidRDefault="00FF4D02">
      <w:pPr>
        <w:jc w:val="center"/>
      </w:pPr>
    </w:p>
    <w:p w:rsidRPr="00240730" w:rsidR="00FF4D02" w:rsidP="00240730" w:rsidRDefault="00FF4D02">
      <w:pPr>
        <w:tabs>
          <w:tab w:val="left" w:pos="5529"/>
        </w:tabs>
        <w:jc w:val="center"/>
      </w:pPr>
      <w:r w:rsidRPr="00240730">
        <w:t>THIRD SECTION</w:t>
      </w:r>
    </w:p>
    <w:p w:rsidRPr="00240730" w:rsidR="00FF4D02" w:rsidP="00240730" w:rsidRDefault="00FF4D02">
      <w:pPr>
        <w:jc w:val="center"/>
      </w:pPr>
    </w:p>
    <w:p w:rsidRPr="00240730" w:rsidR="00FF4D02" w:rsidP="00240730" w:rsidRDefault="00FF4D02">
      <w:pPr>
        <w:jc w:val="center"/>
      </w:pPr>
    </w:p>
    <w:p w:rsidRPr="00240730" w:rsidR="00FF4D02" w:rsidP="00240730" w:rsidRDefault="00FF4D02">
      <w:pPr>
        <w:jc w:val="center"/>
      </w:pPr>
    </w:p>
    <w:p w:rsidRPr="00240730" w:rsidR="00FF4D02" w:rsidP="00240730" w:rsidRDefault="00FF4D02">
      <w:pPr>
        <w:jc w:val="right"/>
      </w:pPr>
    </w:p>
    <w:p w:rsidRPr="00240730" w:rsidR="00FF4D02" w:rsidP="00240730" w:rsidRDefault="00FF4D02">
      <w:pPr>
        <w:jc w:val="center"/>
      </w:pPr>
    </w:p>
    <w:p w:rsidRPr="00240730" w:rsidR="00FF4D02" w:rsidP="00240730" w:rsidRDefault="00FF4D02">
      <w:pPr>
        <w:jc w:val="center"/>
      </w:pPr>
    </w:p>
    <w:p w:rsidRPr="00240730" w:rsidR="00FF4D02" w:rsidP="00240730" w:rsidRDefault="00FF4D02">
      <w:pPr>
        <w:jc w:val="center"/>
      </w:pPr>
    </w:p>
    <w:p w:rsidRPr="00240730" w:rsidR="00240730" w:rsidP="00240730" w:rsidRDefault="00FF4D02">
      <w:pPr>
        <w:jc w:val="center"/>
        <w:outlineLvl w:val="0"/>
        <w:rPr>
          <w:b/>
        </w:rPr>
      </w:pPr>
      <w:r w:rsidRPr="00240730">
        <w:rPr>
          <w:b/>
        </w:rPr>
        <w:t>CASE OF KUZHELEV AND OTHERS v. RUSSIA</w:t>
      </w:r>
    </w:p>
    <w:p w:rsidRPr="00240730" w:rsidR="00FF4D02" w:rsidP="00240730" w:rsidRDefault="00FF4D02">
      <w:pPr>
        <w:jc w:val="right"/>
      </w:pPr>
    </w:p>
    <w:p w:rsidRPr="00240730" w:rsidR="00FF4D02" w:rsidP="00240730" w:rsidRDefault="00FF4D02">
      <w:pPr>
        <w:jc w:val="center"/>
        <w:rPr>
          <w:i/>
        </w:rPr>
      </w:pPr>
      <w:r w:rsidRPr="00240730">
        <w:rPr>
          <w:i/>
        </w:rPr>
        <w:t>(Applications nos. 64098/09 and 6 others –</w:t>
      </w:r>
      <w:r w:rsidRPr="00240730" w:rsidR="00CF6B6D">
        <w:rPr>
          <w:i/>
        </w:rPr>
        <w:t xml:space="preserve"> </w:t>
      </w:r>
      <w:r w:rsidRPr="00240730">
        <w:rPr>
          <w:i/>
        </w:rPr>
        <w:t>see appended list)</w:t>
      </w:r>
    </w:p>
    <w:p w:rsidRPr="00240730" w:rsidR="00FF4D02" w:rsidP="00240730" w:rsidRDefault="00FF4D02">
      <w:pPr>
        <w:jc w:val="center"/>
      </w:pPr>
    </w:p>
    <w:p w:rsidRPr="00240730" w:rsidR="00FF4D02" w:rsidP="00240730" w:rsidRDefault="00FF4D02">
      <w:pPr>
        <w:jc w:val="center"/>
      </w:pPr>
    </w:p>
    <w:p w:rsidRPr="00240730" w:rsidR="00FF4D02" w:rsidP="00240730" w:rsidRDefault="00FF4D02">
      <w:pPr>
        <w:jc w:val="center"/>
      </w:pPr>
    </w:p>
    <w:p w:rsidRPr="00240730" w:rsidR="00FF4D02" w:rsidP="00240730" w:rsidRDefault="00FF4D02">
      <w:pPr>
        <w:jc w:val="center"/>
      </w:pPr>
    </w:p>
    <w:p w:rsidRPr="00240730" w:rsidR="00FF4D02" w:rsidP="00240730" w:rsidRDefault="00FF4D02">
      <w:pPr>
        <w:jc w:val="center"/>
      </w:pPr>
    </w:p>
    <w:p w:rsidRPr="00240730" w:rsidR="00FF4D02" w:rsidP="00240730" w:rsidRDefault="00FF4D02">
      <w:pPr>
        <w:jc w:val="center"/>
      </w:pPr>
    </w:p>
    <w:p w:rsidRPr="00240730" w:rsidR="00FF4D02" w:rsidP="00240730" w:rsidRDefault="00FF4D02">
      <w:pPr>
        <w:jc w:val="center"/>
      </w:pPr>
    </w:p>
    <w:p w:rsidRPr="00240730" w:rsidR="00FF4D02" w:rsidP="00240730" w:rsidRDefault="00FF4D02">
      <w:pPr>
        <w:jc w:val="center"/>
      </w:pPr>
    </w:p>
    <w:p w:rsidRPr="00240730" w:rsidR="00FF4D02" w:rsidP="00240730" w:rsidRDefault="00FF4D02">
      <w:pPr>
        <w:jc w:val="center"/>
      </w:pPr>
    </w:p>
    <w:p w:rsidRPr="00240730" w:rsidR="00FF4D02" w:rsidP="00240730" w:rsidRDefault="00FF4D02">
      <w:pPr>
        <w:jc w:val="center"/>
      </w:pPr>
    </w:p>
    <w:p w:rsidRPr="00240730" w:rsidR="00FF4D02" w:rsidP="00240730" w:rsidRDefault="00FF4D02">
      <w:pPr>
        <w:jc w:val="center"/>
      </w:pPr>
    </w:p>
    <w:p w:rsidRPr="00240730" w:rsidR="00FF4D02" w:rsidP="00240730" w:rsidRDefault="00FF4D02">
      <w:pPr>
        <w:jc w:val="center"/>
      </w:pPr>
    </w:p>
    <w:p w:rsidRPr="00240730" w:rsidR="00FF4D02" w:rsidP="00240730" w:rsidRDefault="00FF4D02">
      <w:pPr>
        <w:jc w:val="center"/>
      </w:pPr>
    </w:p>
    <w:p w:rsidRPr="00240730" w:rsidR="00FF4D02" w:rsidP="00240730" w:rsidRDefault="00FF4D02">
      <w:pPr>
        <w:jc w:val="center"/>
        <w:outlineLvl w:val="0"/>
      </w:pPr>
      <w:r w:rsidRPr="00240730">
        <w:t>JUDGMENT</w:t>
      </w:r>
    </w:p>
    <w:p w:rsidRPr="00240730" w:rsidR="00FF4D02" w:rsidP="00240730" w:rsidRDefault="00FF4D02">
      <w:pPr>
        <w:jc w:val="center"/>
      </w:pPr>
    </w:p>
    <w:p w:rsidRPr="00240730" w:rsidR="00FF4D02" w:rsidP="00240730" w:rsidRDefault="00FF4D02">
      <w:pPr>
        <w:jc w:val="center"/>
        <w:rPr>
          <w:i/>
        </w:rPr>
      </w:pPr>
    </w:p>
    <w:p w:rsidRPr="00240730" w:rsidR="00FF4D02" w:rsidP="00240730" w:rsidRDefault="00FF4D02">
      <w:pPr>
        <w:jc w:val="center"/>
        <w:outlineLvl w:val="0"/>
      </w:pPr>
      <w:r w:rsidRPr="00240730">
        <w:t>STRASBOURG</w:t>
      </w:r>
    </w:p>
    <w:p w:rsidRPr="00240730" w:rsidR="00FF4D02" w:rsidP="00240730" w:rsidRDefault="00FF4D02">
      <w:pPr>
        <w:jc w:val="center"/>
      </w:pPr>
    </w:p>
    <w:p w:rsidRPr="00240730" w:rsidR="00FF4D02" w:rsidP="00240730" w:rsidRDefault="00FF4D02">
      <w:pPr>
        <w:jc w:val="center"/>
      </w:pPr>
      <w:r w:rsidRPr="00240730">
        <w:t>15 October 2019</w:t>
      </w:r>
    </w:p>
    <w:p w:rsidRPr="00240730" w:rsidR="00FF4D02" w:rsidP="00240730" w:rsidRDefault="00FF4D02">
      <w:pPr>
        <w:jc w:val="center"/>
      </w:pPr>
    </w:p>
    <w:p w:rsidRPr="00240730" w:rsidR="00FF4D02" w:rsidP="00240730" w:rsidRDefault="00FF4D02">
      <w:pPr>
        <w:jc w:val="center"/>
      </w:pPr>
    </w:p>
    <w:p w:rsidRPr="00240730" w:rsidR="00FF4D02" w:rsidP="00240730" w:rsidRDefault="00FF4D02">
      <w:pPr>
        <w:jc w:val="center"/>
      </w:pPr>
    </w:p>
    <w:p w:rsidRPr="00240730" w:rsidR="00DE7CB4" w:rsidP="00240730" w:rsidRDefault="00FF4D02">
      <w:pPr>
        <w:pStyle w:val="ListParagraph"/>
        <w:spacing w:after="120"/>
        <w:ind w:left="284"/>
        <w:rPr>
          <w:sz w:val="20"/>
          <w:szCs w:val="20"/>
        </w:rPr>
      </w:pPr>
      <w:r w:rsidRPr="00240730">
        <w:rPr>
          <w:i/>
          <w:sz w:val="22"/>
        </w:rPr>
        <w:t>This judgment will become final in the circumstances set out in Article 44 § 2 of the Convention. It may be subject to editorial revision.</w:t>
      </w:r>
    </w:p>
    <w:p w:rsidRPr="00240730" w:rsidR="000E0327" w:rsidP="00240730" w:rsidRDefault="000E0327">
      <w:pPr>
        <w:pStyle w:val="JuCase"/>
        <w:sectPr w:rsidRPr="00240730" w:rsidR="000E0327" w:rsidSect="000E0327">
          <w:headerReference w:type="default" r:id="rId8"/>
          <w:headerReference w:type="first" r:id="rId9"/>
          <w:footerReference w:type="first" r:id="rId10"/>
          <w:footnotePr>
            <w:numRestart w:val="eachSect"/>
          </w:footnotePr>
          <w:pgSz w:w="11906" w:h="16838" w:code="9"/>
          <w:pgMar w:top="2274" w:right="2274" w:bottom="2274" w:left="2274" w:header="1701" w:footer="720" w:gutter="0"/>
          <w:cols w:space="720"/>
          <w:titlePg/>
          <w:docGrid w:linePitch="326"/>
        </w:sectPr>
      </w:pPr>
    </w:p>
    <w:p w:rsidRPr="00240730" w:rsidR="00DC7F69" w:rsidP="00240730" w:rsidRDefault="00DC7F69">
      <w:pPr>
        <w:pStyle w:val="ECHRPara"/>
        <w:rPr>
          <w:b/>
        </w:rPr>
      </w:pPr>
      <w:r w:rsidRPr="00240730">
        <w:rPr>
          <w:b/>
        </w:rPr>
        <w:t xml:space="preserve">In the case of </w:t>
      </w:r>
      <w:proofErr w:type="spellStart"/>
      <w:r w:rsidRPr="00240730">
        <w:rPr>
          <w:b/>
        </w:rPr>
        <w:t>Kuzhelev</w:t>
      </w:r>
      <w:proofErr w:type="spellEnd"/>
      <w:r w:rsidRPr="00240730" w:rsidR="00B36168">
        <w:rPr>
          <w:b/>
        </w:rPr>
        <w:t xml:space="preserve"> and Others</w:t>
      </w:r>
      <w:r w:rsidRPr="00240730">
        <w:rPr>
          <w:b/>
        </w:rPr>
        <w:t xml:space="preserve"> v. Russia,</w:t>
      </w:r>
    </w:p>
    <w:p w:rsidRPr="00240730" w:rsidR="00014566" w:rsidP="00240730" w:rsidRDefault="00014566">
      <w:pPr>
        <w:pStyle w:val="ECHRPara"/>
      </w:pPr>
      <w:r w:rsidRPr="00240730">
        <w:t>The European Court of Human Rights (</w:t>
      </w:r>
      <w:r w:rsidRPr="00240730" w:rsidR="000B07BC">
        <w:t>Third Section</w:t>
      </w:r>
      <w:r w:rsidRPr="00240730">
        <w:t xml:space="preserve">), sitting as a </w:t>
      </w:r>
      <w:r w:rsidRPr="00240730" w:rsidR="006B4D3D">
        <w:t>Chamber</w:t>
      </w:r>
      <w:r w:rsidRPr="00240730">
        <w:t xml:space="preserve"> composed of:</w:t>
      </w:r>
    </w:p>
    <w:p w:rsidRPr="00240730" w:rsidR="00014566" w:rsidP="00240730" w:rsidRDefault="00DC7F69">
      <w:pPr>
        <w:pStyle w:val="ECHRDecisionBody"/>
      </w:pPr>
      <w:r w:rsidRPr="00240730">
        <w:tab/>
        <w:t>Paul Lemmens,</w:t>
      </w:r>
      <w:r w:rsidRPr="00240730">
        <w:rPr>
          <w:i/>
        </w:rPr>
        <w:t xml:space="preserve"> President,</w:t>
      </w:r>
      <w:r w:rsidRPr="00240730">
        <w:rPr>
          <w:i/>
        </w:rPr>
        <w:br/>
      </w:r>
      <w:r w:rsidRPr="00240730">
        <w:tab/>
        <w:t>Paulo Pinto de Albuquerque,</w:t>
      </w:r>
      <w:r w:rsidRPr="00240730">
        <w:rPr>
          <w:i/>
        </w:rPr>
        <w:br/>
      </w:r>
      <w:r w:rsidRPr="00240730">
        <w:tab/>
        <w:t>Helen Keller,</w:t>
      </w:r>
      <w:r w:rsidRPr="00240730">
        <w:rPr>
          <w:i/>
        </w:rPr>
        <w:br/>
      </w:r>
      <w:r w:rsidRPr="00240730">
        <w:tab/>
        <w:t xml:space="preserve">Dmitry </w:t>
      </w:r>
      <w:proofErr w:type="spellStart"/>
      <w:r w:rsidRPr="00240730">
        <w:t>Dedov</w:t>
      </w:r>
      <w:proofErr w:type="spellEnd"/>
      <w:r w:rsidRPr="00240730">
        <w:t>,</w:t>
      </w:r>
      <w:r w:rsidRPr="00240730">
        <w:rPr>
          <w:i/>
        </w:rPr>
        <w:br/>
      </w:r>
      <w:r w:rsidRPr="00240730">
        <w:tab/>
        <w:t xml:space="preserve">Alena </w:t>
      </w:r>
      <w:proofErr w:type="spellStart"/>
      <w:r w:rsidRPr="00240730">
        <w:t>Poláčková</w:t>
      </w:r>
      <w:proofErr w:type="spellEnd"/>
      <w:r w:rsidRPr="00240730">
        <w:t>,</w:t>
      </w:r>
      <w:r w:rsidRPr="00240730">
        <w:rPr>
          <w:i/>
        </w:rPr>
        <w:br/>
      </w:r>
      <w:r w:rsidRPr="00240730">
        <w:tab/>
        <w:t xml:space="preserve">Gilberto </w:t>
      </w:r>
      <w:proofErr w:type="spellStart"/>
      <w:r w:rsidRPr="00240730">
        <w:t>Felici</w:t>
      </w:r>
      <w:proofErr w:type="spellEnd"/>
      <w:r w:rsidRPr="00240730">
        <w:t>,</w:t>
      </w:r>
      <w:r w:rsidRPr="00240730">
        <w:rPr>
          <w:i/>
        </w:rPr>
        <w:br/>
      </w:r>
      <w:r w:rsidRPr="00240730">
        <w:tab/>
        <w:t xml:space="preserve">Erik </w:t>
      </w:r>
      <w:proofErr w:type="spellStart"/>
      <w:r w:rsidRPr="00240730">
        <w:t>Wennerström</w:t>
      </w:r>
      <w:proofErr w:type="spellEnd"/>
      <w:r w:rsidRPr="00240730">
        <w:t>,</w:t>
      </w:r>
      <w:r w:rsidRPr="00240730">
        <w:rPr>
          <w:i/>
        </w:rPr>
        <w:t xml:space="preserve"> judges,</w:t>
      </w:r>
      <w:r w:rsidRPr="00240730" w:rsidR="00014566">
        <w:rPr>
          <w:szCs w:val="24"/>
        </w:rPr>
        <w:br/>
      </w:r>
      <w:r w:rsidRPr="00240730" w:rsidR="00014566">
        <w:t xml:space="preserve">and </w:t>
      </w:r>
      <w:r w:rsidRPr="00240730" w:rsidR="006B4D3D">
        <w:t>Stephen Phillips</w:t>
      </w:r>
      <w:r w:rsidRPr="00240730" w:rsidR="00014566">
        <w:t xml:space="preserve">, </w:t>
      </w:r>
      <w:r w:rsidRPr="00240730" w:rsidR="000B07BC">
        <w:rPr>
          <w:i/>
        </w:rPr>
        <w:t xml:space="preserve">Section </w:t>
      </w:r>
      <w:r w:rsidRPr="00240730" w:rsidR="000B07BC">
        <w:rPr>
          <w:i/>
          <w:iCs/>
        </w:rPr>
        <w:t>Registrar</w:t>
      </w:r>
      <w:r w:rsidRPr="00240730" w:rsidR="00014566">
        <w:rPr>
          <w:i/>
        </w:rPr>
        <w:t>,</w:t>
      </w:r>
    </w:p>
    <w:p w:rsidRPr="00240730" w:rsidR="00014566" w:rsidP="00240730" w:rsidRDefault="00014566">
      <w:pPr>
        <w:pStyle w:val="ECHRPara"/>
      </w:pPr>
      <w:r w:rsidRPr="00240730">
        <w:t xml:space="preserve">Having deliberated in private on </w:t>
      </w:r>
      <w:r w:rsidRPr="00240730" w:rsidR="00DC7F69">
        <w:t>24 September 2019</w:t>
      </w:r>
      <w:r w:rsidRPr="00240730">
        <w:t>,</w:t>
      </w:r>
    </w:p>
    <w:p w:rsidRPr="00240730" w:rsidR="00014566" w:rsidP="00240730" w:rsidRDefault="00014566">
      <w:pPr>
        <w:pStyle w:val="ECHRPara"/>
      </w:pPr>
      <w:r w:rsidRPr="00240730">
        <w:t>Delivers the following judgment, which was adopted on that date:</w:t>
      </w:r>
    </w:p>
    <w:p w:rsidRPr="00240730" w:rsidR="00014566" w:rsidP="00240730" w:rsidRDefault="00014566">
      <w:pPr>
        <w:pStyle w:val="ECHRTitle1"/>
      </w:pPr>
      <w:r w:rsidRPr="00240730">
        <w:t>PROCEDURE</w:t>
      </w:r>
    </w:p>
    <w:p w:rsidRPr="00240730" w:rsidR="00377D0B" w:rsidP="00240730" w:rsidRDefault="00512DDE">
      <w:pPr>
        <w:pStyle w:val="ECHRPara"/>
      </w:pPr>
      <w:r w:rsidRPr="00240730">
        <w:fldChar w:fldCharType="begin"/>
      </w:r>
      <w:r w:rsidRPr="00240730">
        <w:instrText xml:space="preserve"> SEQ level0 \*arabic </w:instrText>
      </w:r>
      <w:r w:rsidRPr="00240730">
        <w:fldChar w:fldCharType="separate"/>
      </w:r>
      <w:r w:rsidRPr="00240730" w:rsidR="00240730">
        <w:rPr>
          <w:noProof/>
        </w:rPr>
        <w:t>1</w:t>
      </w:r>
      <w:r w:rsidRPr="00240730">
        <w:fldChar w:fldCharType="end"/>
      </w:r>
      <w:r w:rsidRPr="00240730">
        <w:t>.  </w:t>
      </w:r>
      <w:r w:rsidRPr="00240730" w:rsidR="00014566">
        <w:t xml:space="preserve">The case originated in </w:t>
      </w:r>
      <w:r w:rsidRPr="00240730" w:rsidR="00433FA8">
        <w:t>seven</w:t>
      </w:r>
      <w:r w:rsidRPr="00240730" w:rsidR="000B07BC">
        <w:t xml:space="preserve"> applications (nos. 64098/09</w:t>
      </w:r>
      <w:r w:rsidRPr="00240730" w:rsidR="00D61187">
        <w:t>, 64891/09</w:t>
      </w:r>
      <w:r w:rsidRPr="00240730" w:rsidR="00B36168">
        <w:t xml:space="preserve">, 65418/09, 66035/09, 67406/09, 67697/09 </w:t>
      </w:r>
      <w:r w:rsidRPr="00240730" w:rsidR="00D61187">
        <w:t>and 1504/10</w:t>
      </w:r>
      <w:r w:rsidRPr="00240730" w:rsidR="000B07BC">
        <w:t>)</w:t>
      </w:r>
      <w:r w:rsidRPr="00240730" w:rsidR="00014566">
        <w:t xml:space="preserve"> against </w:t>
      </w:r>
      <w:r w:rsidRPr="00240730" w:rsidR="000B07BC">
        <w:t>the Russian Federation</w:t>
      </w:r>
      <w:r w:rsidRPr="00240730" w:rsidR="00014566">
        <w:t xml:space="preserve"> lodged with the </w:t>
      </w:r>
      <w:r w:rsidRPr="00240730" w:rsidR="00BA401C">
        <w:t>Court under Article </w:t>
      </w:r>
      <w:r w:rsidRPr="00240730" w:rsidR="000B07BC">
        <w:t>34</w:t>
      </w:r>
      <w:r w:rsidRPr="00240730" w:rsidR="00014566">
        <w:t xml:space="preserve"> of the Convention for the Protection of Human Rights and Fundamental Freedoms (“the Convention”) by </w:t>
      </w:r>
      <w:r w:rsidRPr="00240730" w:rsidR="00433FA8">
        <w:t>seven</w:t>
      </w:r>
      <w:r w:rsidRPr="00240730" w:rsidR="000B07BC">
        <w:t xml:space="preserve"> Russian</w:t>
      </w:r>
      <w:r w:rsidRPr="00240730" w:rsidR="001845C7">
        <w:t xml:space="preserve"> nationals</w:t>
      </w:r>
      <w:r w:rsidRPr="00240730" w:rsidR="00014566">
        <w:t>.</w:t>
      </w:r>
    </w:p>
    <w:p w:rsidRPr="00240730" w:rsidR="001845C7" w:rsidP="00240730" w:rsidRDefault="000B07BC">
      <w:pPr>
        <w:pStyle w:val="ECHRPara"/>
      </w:pPr>
      <w:r w:rsidRPr="00240730">
        <w:fldChar w:fldCharType="begin"/>
      </w:r>
      <w:r w:rsidRPr="00240730">
        <w:instrText xml:space="preserve"> SEQ level0 \*arabic </w:instrText>
      </w:r>
      <w:r w:rsidRPr="00240730">
        <w:fldChar w:fldCharType="separate"/>
      </w:r>
      <w:r w:rsidRPr="00240730" w:rsidR="00240730">
        <w:rPr>
          <w:noProof/>
        </w:rPr>
        <w:t>2</w:t>
      </w:r>
      <w:r w:rsidRPr="00240730">
        <w:fldChar w:fldCharType="end"/>
      </w:r>
      <w:r w:rsidRPr="00240730" w:rsidR="00014566">
        <w:t>.  </w:t>
      </w:r>
      <w:r w:rsidRPr="00240730" w:rsidR="002C09F5">
        <w:t xml:space="preserve">The Russian Government (“the Government”) were represented initially by Mr G. </w:t>
      </w:r>
      <w:proofErr w:type="spellStart"/>
      <w:r w:rsidRPr="00240730" w:rsidR="002C09F5">
        <w:t>Matyushkin</w:t>
      </w:r>
      <w:proofErr w:type="spellEnd"/>
      <w:r w:rsidRPr="00240730" w:rsidR="002C09F5">
        <w:t xml:space="preserve">, the Representative of the Russian Federation to the European Court of Human Rights, and then by his </w:t>
      </w:r>
      <w:r w:rsidRPr="00240730" w:rsidR="00AE08AE">
        <w:t>successor in that office, Mr M. </w:t>
      </w:r>
      <w:proofErr w:type="spellStart"/>
      <w:r w:rsidRPr="00240730" w:rsidR="002C09F5">
        <w:t>Galperin</w:t>
      </w:r>
      <w:proofErr w:type="spellEnd"/>
      <w:r w:rsidRPr="00240730" w:rsidR="002C09F5">
        <w:t>.</w:t>
      </w:r>
    </w:p>
    <w:p w:rsidRPr="00240730" w:rsidR="00BC479A" w:rsidP="00240730" w:rsidRDefault="000B07BC">
      <w:pPr>
        <w:pStyle w:val="ECHRPara"/>
      </w:pPr>
      <w:r w:rsidRPr="00240730">
        <w:fldChar w:fldCharType="begin"/>
      </w:r>
      <w:r w:rsidRPr="00240730">
        <w:instrText xml:space="preserve"> SEQ level0 \*arabic </w:instrText>
      </w:r>
      <w:r w:rsidRPr="00240730">
        <w:fldChar w:fldCharType="separate"/>
      </w:r>
      <w:r w:rsidRPr="00240730" w:rsidR="00240730">
        <w:rPr>
          <w:noProof/>
        </w:rPr>
        <w:t>3</w:t>
      </w:r>
      <w:r w:rsidRPr="00240730">
        <w:fldChar w:fldCharType="end"/>
      </w:r>
      <w:r w:rsidRPr="00240730" w:rsidR="00014566">
        <w:t>.  </w:t>
      </w:r>
      <w:r w:rsidRPr="00240730">
        <w:t xml:space="preserve">On </w:t>
      </w:r>
      <w:r w:rsidRPr="00240730" w:rsidR="001845C7">
        <w:t xml:space="preserve">various dates </w:t>
      </w:r>
      <w:r w:rsidRPr="00240730" w:rsidR="004A4BB9">
        <w:t xml:space="preserve">the Government were given </w:t>
      </w:r>
      <w:r w:rsidRPr="00240730" w:rsidR="001D1E20">
        <w:t xml:space="preserve">notice of </w:t>
      </w:r>
      <w:r w:rsidRPr="00240730" w:rsidR="00014566">
        <w:t xml:space="preserve">the </w:t>
      </w:r>
      <w:r w:rsidRPr="00240730" w:rsidR="001845C7">
        <w:t>complaints concerning the non-enforcement of the judgments given against the federal unitary enterprise</w:t>
      </w:r>
      <w:r w:rsidRPr="00240730" w:rsidR="007509D5">
        <w:t>.</w:t>
      </w:r>
      <w:r w:rsidRPr="00240730" w:rsidR="001845C7">
        <w:t xml:space="preserve"> In 2017</w:t>
      </w:r>
      <w:r w:rsidRPr="00240730" w:rsidR="004A4BB9">
        <w:t xml:space="preserve"> they were given</w:t>
      </w:r>
      <w:r w:rsidRPr="00240730" w:rsidR="001845C7">
        <w:t xml:space="preserve"> </w:t>
      </w:r>
      <w:r w:rsidRPr="00240730" w:rsidR="00DE7CB4">
        <w:t xml:space="preserve">additional </w:t>
      </w:r>
      <w:r w:rsidRPr="00240730" w:rsidR="001D1E20">
        <w:t>notice of</w:t>
      </w:r>
      <w:r w:rsidRPr="00240730" w:rsidR="001845C7">
        <w:t xml:space="preserve"> the part </w:t>
      </w:r>
      <w:r w:rsidRPr="00240730" w:rsidR="004A4BB9">
        <w:t xml:space="preserve">of </w:t>
      </w:r>
      <w:r w:rsidRPr="00240730" w:rsidR="00F57042">
        <w:t xml:space="preserve">four </w:t>
      </w:r>
      <w:r w:rsidRPr="00240730" w:rsidR="004A4BB9">
        <w:t>application</w:t>
      </w:r>
      <w:r w:rsidRPr="00240730" w:rsidR="00F57042">
        <w:t>s</w:t>
      </w:r>
      <w:r w:rsidRPr="00240730" w:rsidR="004A4BB9">
        <w:t xml:space="preserve"> </w:t>
      </w:r>
      <w:r w:rsidRPr="00240730" w:rsidR="001845C7">
        <w:t xml:space="preserve">concerning the non-enforcement of the judgments issued against the joint-stock company. </w:t>
      </w:r>
      <w:r w:rsidRPr="00240730" w:rsidR="00BC479A">
        <w:t>The remainder of applications nos</w:t>
      </w:r>
      <w:r w:rsidRPr="00240730" w:rsidR="0004317E">
        <w:t>.</w:t>
      </w:r>
      <w:r w:rsidRPr="00240730" w:rsidR="00BC479A">
        <w:t> 64098/09</w:t>
      </w:r>
      <w:r w:rsidRPr="00240730" w:rsidR="00B36168">
        <w:t xml:space="preserve">, 64891/09, 66035/09, 67406/09, 67697/09 </w:t>
      </w:r>
      <w:r w:rsidRPr="00240730" w:rsidR="00BC479A">
        <w:t>and 1504/10 was declared inadmissible</w:t>
      </w:r>
      <w:r w:rsidRPr="00240730" w:rsidR="00BC479A">
        <w:rPr>
          <w:szCs w:val="24"/>
        </w:rPr>
        <w:t xml:space="preserve"> </w:t>
      </w:r>
      <w:r w:rsidRPr="00240730" w:rsidR="00BC479A">
        <w:t>pursuant to Rule 54 § 3 of the Rules of Court.</w:t>
      </w:r>
    </w:p>
    <w:p w:rsidRPr="00240730" w:rsidR="00014566" w:rsidP="00240730" w:rsidRDefault="00014566">
      <w:pPr>
        <w:pStyle w:val="ECHRTitle1"/>
      </w:pPr>
      <w:r w:rsidRPr="00240730">
        <w:t>THE FACTS</w:t>
      </w:r>
    </w:p>
    <w:p w:rsidRPr="00240730" w:rsidR="00014566" w:rsidP="00240730" w:rsidRDefault="00014566">
      <w:pPr>
        <w:pStyle w:val="ECHRHeading1"/>
      </w:pPr>
      <w:r w:rsidRPr="00240730">
        <w:t>I.  THE CIRCUMSTANCES OF THE CASE</w:t>
      </w:r>
    </w:p>
    <w:p w:rsidRPr="00240730" w:rsidR="000B07BC" w:rsidP="00240730" w:rsidRDefault="000B07BC">
      <w:pPr>
        <w:pStyle w:val="ECHRPara"/>
      </w:pPr>
      <w:r w:rsidRPr="00240730">
        <w:fldChar w:fldCharType="begin"/>
      </w:r>
      <w:r w:rsidRPr="00240730">
        <w:instrText xml:space="preserve"> SEQ level0 \*arabic </w:instrText>
      </w:r>
      <w:r w:rsidRPr="00240730">
        <w:fldChar w:fldCharType="separate"/>
      </w:r>
      <w:r w:rsidRPr="00240730" w:rsidR="00240730">
        <w:rPr>
          <w:noProof/>
        </w:rPr>
        <w:t>4</w:t>
      </w:r>
      <w:r w:rsidRPr="00240730">
        <w:fldChar w:fldCharType="end"/>
      </w:r>
      <w:r w:rsidRPr="00240730" w:rsidR="00014566">
        <w:t>.  </w:t>
      </w:r>
      <w:r w:rsidRPr="00240730">
        <w:t xml:space="preserve">The applicants are </w:t>
      </w:r>
      <w:r w:rsidRPr="00240730" w:rsidR="00D563A4">
        <w:t>seven</w:t>
      </w:r>
      <w:r w:rsidRPr="00240730">
        <w:t xml:space="preserve"> Russian nationals living in St Petersburg. Their personal details are set out in Appendix I.</w:t>
      </w:r>
    </w:p>
    <w:p w:rsidRPr="00240730" w:rsidR="000B07BC" w:rsidP="00240730" w:rsidRDefault="005C2039">
      <w:pPr>
        <w:pStyle w:val="ECHRHeading2"/>
      </w:pPr>
      <w:r w:rsidRPr="00240730">
        <w:t>A</w:t>
      </w:r>
      <w:r w:rsidRPr="00240730" w:rsidR="000B07BC">
        <w:t>.  Information on the applicants</w:t>
      </w:r>
      <w:r w:rsidRPr="00240730" w:rsidR="00240730">
        <w:t>’</w:t>
      </w:r>
      <w:r w:rsidRPr="00240730" w:rsidR="000B07BC">
        <w:t xml:space="preserve"> former employer and </w:t>
      </w:r>
      <w:r w:rsidRPr="00240730" w:rsidR="00437A06">
        <w:t>creation of</w:t>
      </w:r>
      <w:r w:rsidRPr="00240730" w:rsidR="000B07BC">
        <w:t xml:space="preserve"> an open joint-stock company in 2007</w:t>
      </w:r>
    </w:p>
    <w:p w:rsidRPr="00240730" w:rsidR="000B07BC" w:rsidP="00240730" w:rsidRDefault="005C2039">
      <w:pPr>
        <w:pStyle w:val="ECHRHeading3"/>
      </w:pPr>
      <w:r w:rsidRPr="00240730">
        <w:t>1.  </w:t>
      </w:r>
      <w:r w:rsidRPr="00240730" w:rsidR="000B07BC">
        <w:t xml:space="preserve">The employer </w:t>
      </w:r>
      <w:r w:rsidRPr="00240730" w:rsidR="0016218C">
        <w:t>unitary enterprise</w:t>
      </w:r>
    </w:p>
    <w:p w:rsidRPr="00240730" w:rsidR="000B07BC" w:rsidP="00240730" w:rsidRDefault="000B07BC">
      <w:pPr>
        <w:pStyle w:val="ECHRPara"/>
        <w:rPr>
          <w:rFonts w:ascii="Times New Roman" w:hAnsi="Times New Roman" w:cs="Times New Roman"/>
        </w:rPr>
      </w:pPr>
      <w:r w:rsidRPr="00240730">
        <w:fldChar w:fldCharType="begin"/>
      </w:r>
      <w:r w:rsidRPr="00240730">
        <w:instrText xml:space="preserve"> SEQ level0 \*arabic </w:instrText>
      </w:r>
      <w:r w:rsidRPr="00240730">
        <w:fldChar w:fldCharType="separate"/>
      </w:r>
      <w:r w:rsidRPr="00240730" w:rsidR="00240730">
        <w:rPr>
          <w:noProof/>
        </w:rPr>
        <w:t>5</w:t>
      </w:r>
      <w:r w:rsidRPr="00240730">
        <w:fldChar w:fldCharType="end"/>
      </w:r>
      <w:r w:rsidRPr="00240730">
        <w:t xml:space="preserve">.  The applicants are former employees of the </w:t>
      </w:r>
      <w:proofErr w:type="spellStart"/>
      <w:r w:rsidRPr="00240730">
        <w:t>Kronstadt</w:t>
      </w:r>
      <w:proofErr w:type="spellEnd"/>
      <w:r w:rsidRPr="00240730">
        <w:t xml:space="preserve"> Marine Plant (</w:t>
      </w:r>
      <w:proofErr w:type="spellStart"/>
      <w:r w:rsidRPr="00240730">
        <w:rPr>
          <w:i/>
        </w:rPr>
        <w:t>Kronshtadtskiy</w:t>
      </w:r>
      <w:proofErr w:type="spellEnd"/>
      <w:r w:rsidRPr="00240730">
        <w:rPr>
          <w:i/>
        </w:rPr>
        <w:t xml:space="preserve"> </w:t>
      </w:r>
      <w:proofErr w:type="spellStart"/>
      <w:r w:rsidRPr="00240730">
        <w:rPr>
          <w:i/>
        </w:rPr>
        <w:t>morskoy</w:t>
      </w:r>
      <w:proofErr w:type="spellEnd"/>
      <w:r w:rsidRPr="00240730">
        <w:rPr>
          <w:i/>
        </w:rPr>
        <w:t xml:space="preserve"> </w:t>
      </w:r>
      <w:proofErr w:type="spellStart"/>
      <w:r w:rsidRPr="00240730">
        <w:rPr>
          <w:i/>
        </w:rPr>
        <w:t>zavod</w:t>
      </w:r>
      <w:proofErr w:type="spellEnd"/>
      <w:r w:rsidRPr="00240730">
        <w:t xml:space="preserve"> – “the Marine Plant”), one of the oldest and largest shipyards in Russia, incorporated between 1997 and 2015 as a State unitary enterprise (“the FGUP”</w:t>
      </w:r>
      <w:r w:rsidRPr="00240730" w:rsidR="0016218C">
        <w:t xml:space="preserve"> or “the enterprise”</w:t>
      </w:r>
      <w:r w:rsidRPr="00240730">
        <w:t>) of the Russian Ministry of Defence. It primarily provided various services to th</w:t>
      </w:r>
      <w:r w:rsidRPr="00240730" w:rsidR="00BA401C">
        <w:t>e</w:t>
      </w:r>
      <w:r w:rsidRPr="00240730">
        <w:t xml:space="preserve"> Ministry, such as maintaining and repairing military ships and their weaponry, and shipbuilding for the Russian Navy. </w:t>
      </w:r>
      <w:r w:rsidRPr="00240730" w:rsidR="0016218C">
        <w:rPr>
          <w:rFonts w:ascii="Times New Roman" w:hAnsi="Times New Roman" w:cs="Times New Roman"/>
        </w:rPr>
        <w:t>The FGUP</w:t>
      </w:r>
      <w:r w:rsidRPr="00240730" w:rsidR="00240730">
        <w:rPr>
          <w:rFonts w:ascii="Times New Roman" w:hAnsi="Times New Roman" w:cs="Times New Roman"/>
        </w:rPr>
        <w:t>’</w:t>
      </w:r>
      <w:r w:rsidRPr="00240730" w:rsidR="0016218C">
        <w:rPr>
          <w:rFonts w:ascii="Times New Roman" w:hAnsi="Times New Roman" w:cs="Times New Roman"/>
        </w:rPr>
        <w:t>s assets were federal property (</w:t>
      </w:r>
      <w:r w:rsidRPr="00240730" w:rsidR="004B45D3">
        <w:rPr>
          <w:rFonts w:ascii="Times New Roman" w:hAnsi="Times New Roman" w:cs="Times New Roman"/>
        </w:rPr>
        <w:t>P</w:t>
      </w:r>
      <w:r w:rsidRPr="00240730" w:rsidR="0016218C">
        <w:rPr>
          <w:rFonts w:ascii="Times New Roman" w:hAnsi="Times New Roman" w:cs="Times New Roman"/>
        </w:rPr>
        <w:t>aragraph 3.1 of the FGUP</w:t>
      </w:r>
      <w:r w:rsidRPr="00240730" w:rsidR="00240730">
        <w:rPr>
          <w:rFonts w:ascii="Times New Roman" w:hAnsi="Times New Roman" w:cs="Times New Roman"/>
        </w:rPr>
        <w:t>’</w:t>
      </w:r>
      <w:r w:rsidRPr="00240730" w:rsidR="0016218C">
        <w:rPr>
          <w:rFonts w:ascii="Times New Roman" w:hAnsi="Times New Roman" w:cs="Times New Roman"/>
        </w:rPr>
        <w:t>s rules).</w:t>
      </w:r>
      <w:r w:rsidRPr="00240730" w:rsidR="0016218C">
        <w:rPr>
          <w:rFonts w:ascii="Times New Roman" w:hAnsi="Times New Roman" w:cs="Times New Roman"/>
          <w:lang w:val="en-US"/>
        </w:rPr>
        <w:t xml:space="preserve"> </w:t>
      </w:r>
      <w:r w:rsidRPr="00240730">
        <w:t>The FGUP had</w:t>
      </w:r>
      <w:r w:rsidRPr="00240730" w:rsidR="006A4437">
        <w:t xml:space="preserve"> a</w:t>
      </w:r>
      <w:r w:rsidRPr="00240730">
        <w:t xml:space="preserve"> “right of economic control” </w:t>
      </w:r>
      <w:r w:rsidRPr="00240730">
        <w:rPr>
          <w:i/>
        </w:rPr>
        <w:t>(</w:t>
      </w:r>
      <w:proofErr w:type="spellStart"/>
      <w:r w:rsidRPr="00240730">
        <w:rPr>
          <w:i/>
        </w:rPr>
        <w:t>право</w:t>
      </w:r>
      <w:proofErr w:type="spellEnd"/>
      <w:r w:rsidRPr="00240730">
        <w:rPr>
          <w:i/>
        </w:rPr>
        <w:t xml:space="preserve"> </w:t>
      </w:r>
      <w:proofErr w:type="spellStart"/>
      <w:r w:rsidRPr="00240730">
        <w:rPr>
          <w:i/>
        </w:rPr>
        <w:t>хозяйственного</w:t>
      </w:r>
      <w:proofErr w:type="spellEnd"/>
      <w:r w:rsidRPr="00240730">
        <w:rPr>
          <w:i/>
        </w:rPr>
        <w:t xml:space="preserve"> </w:t>
      </w:r>
      <w:proofErr w:type="spellStart"/>
      <w:r w:rsidRPr="00240730">
        <w:rPr>
          <w:i/>
        </w:rPr>
        <w:t>ведения</w:t>
      </w:r>
      <w:proofErr w:type="spellEnd"/>
      <w:r w:rsidRPr="00240730">
        <w:t xml:space="preserve">) over the assets allocated to it in order to carry out its statutory activities </w:t>
      </w:r>
      <w:r w:rsidRPr="00240730">
        <w:rPr>
          <w:rFonts w:ascii="Times New Roman" w:hAnsi="Times New Roman" w:cs="Times New Roman"/>
        </w:rPr>
        <w:t>(</w:t>
      </w:r>
      <w:r w:rsidRPr="00240730" w:rsidR="0016218C">
        <w:rPr>
          <w:rFonts w:ascii="Times New Roman" w:hAnsi="Times New Roman" w:cs="Times New Roman"/>
        </w:rPr>
        <w:t>ibid</w:t>
      </w:r>
      <w:r w:rsidRPr="00240730" w:rsidR="004B45D3">
        <w:rPr>
          <w:rFonts w:ascii="Times New Roman" w:hAnsi="Times New Roman" w:cs="Times New Roman"/>
        </w:rPr>
        <w:t>.</w:t>
      </w:r>
      <w:r w:rsidRPr="00240730" w:rsidR="0016218C">
        <w:rPr>
          <w:rFonts w:ascii="Times New Roman" w:hAnsi="Times New Roman" w:cs="Times New Roman"/>
        </w:rPr>
        <w:t xml:space="preserve">; </w:t>
      </w:r>
      <w:r w:rsidRPr="00240730">
        <w:rPr>
          <w:rFonts w:ascii="Times New Roman" w:hAnsi="Times New Roman" w:cs="Times New Roman"/>
        </w:rPr>
        <w:t>for further details on the legal status of unitary enterprises in Russia, see</w:t>
      </w:r>
      <w:r w:rsidRPr="00240730" w:rsidR="001D1E20">
        <w:rPr>
          <w:rFonts w:ascii="Times New Roman" w:hAnsi="Times New Roman" w:cs="Times New Roman"/>
        </w:rPr>
        <w:t>,</w:t>
      </w:r>
      <w:r w:rsidRPr="00240730">
        <w:rPr>
          <w:rFonts w:ascii="Times New Roman" w:hAnsi="Times New Roman" w:cs="Times New Roman"/>
        </w:rPr>
        <w:t xml:space="preserve"> in so far as relevant, </w:t>
      </w:r>
      <w:proofErr w:type="spellStart"/>
      <w:r w:rsidRPr="00240730">
        <w:rPr>
          <w:rFonts w:ascii="Times New Roman" w:hAnsi="Times New Roman" w:cs="Times New Roman"/>
          <w:i/>
          <w:iCs/>
        </w:rPr>
        <w:t>Liseytseva</w:t>
      </w:r>
      <w:proofErr w:type="spellEnd"/>
      <w:r w:rsidRPr="00240730">
        <w:rPr>
          <w:rFonts w:ascii="Times New Roman" w:hAnsi="Times New Roman" w:cs="Times New Roman"/>
          <w:i/>
          <w:iCs/>
        </w:rPr>
        <w:t xml:space="preserve"> and </w:t>
      </w:r>
      <w:proofErr w:type="spellStart"/>
      <w:r w:rsidRPr="00240730">
        <w:rPr>
          <w:rFonts w:ascii="Times New Roman" w:hAnsi="Times New Roman" w:cs="Times New Roman"/>
          <w:i/>
          <w:iCs/>
        </w:rPr>
        <w:t>Maslov</w:t>
      </w:r>
      <w:proofErr w:type="spellEnd"/>
      <w:r w:rsidRPr="00240730">
        <w:rPr>
          <w:rFonts w:ascii="Times New Roman" w:hAnsi="Times New Roman" w:cs="Times New Roman"/>
        </w:rPr>
        <w:t xml:space="preserve"> </w:t>
      </w:r>
      <w:r w:rsidRPr="00240730">
        <w:rPr>
          <w:rFonts w:ascii="Times New Roman" w:hAnsi="Times New Roman" w:cs="Times New Roman"/>
          <w:i/>
          <w:iCs/>
        </w:rPr>
        <w:t>v. Russia</w:t>
      </w:r>
      <w:r w:rsidRPr="00240730">
        <w:rPr>
          <w:rFonts w:ascii="Times New Roman" w:hAnsi="Times New Roman" w:cs="Times New Roman"/>
        </w:rPr>
        <w:t>, nos. 39483/05 and 40527/10, §§ 55-75, 9 October 2014).</w:t>
      </w:r>
      <w:r w:rsidRPr="00240730" w:rsidR="00B67CF4">
        <w:rPr>
          <w:rFonts w:ascii="Times New Roman" w:hAnsi="Times New Roman" w:cs="Times New Roman"/>
        </w:rPr>
        <w:t xml:space="preserve"> </w:t>
      </w:r>
      <w:r w:rsidRPr="00240730" w:rsidR="00EC6B7E">
        <w:rPr>
          <w:rFonts w:ascii="Times New Roman" w:hAnsi="Times New Roman" w:cs="Times New Roman"/>
        </w:rPr>
        <w:t>I</w:t>
      </w:r>
      <w:r w:rsidRPr="00240730" w:rsidR="00B67CF4">
        <w:rPr>
          <w:rFonts w:ascii="Times New Roman" w:hAnsi="Times New Roman" w:cs="Times New Roman"/>
        </w:rPr>
        <w:t xml:space="preserve">t was </w:t>
      </w:r>
      <w:r w:rsidRPr="00240730" w:rsidR="00EC6B7E">
        <w:rPr>
          <w:rFonts w:ascii="Times New Roman" w:hAnsi="Times New Roman" w:cs="Times New Roman"/>
        </w:rPr>
        <w:t xml:space="preserve">apparently </w:t>
      </w:r>
      <w:r w:rsidRPr="00240730" w:rsidR="00B67CF4">
        <w:rPr>
          <w:rFonts w:ascii="Times New Roman" w:hAnsi="Times New Roman" w:cs="Times New Roman"/>
        </w:rPr>
        <w:t xml:space="preserve">the main employer in the town of </w:t>
      </w:r>
      <w:proofErr w:type="spellStart"/>
      <w:r w:rsidRPr="00240730" w:rsidR="00B67CF4">
        <w:rPr>
          <w:rFonts w:ascii="Times New Roman" w:hAnsi="Times New Roman" w:cs="Times New Roman"/>
        </w:rPr>
        <w:t>Kronstadt</w:t>
      </w:r>
      <w:proofErr w:type="spellEnd"/>
      <w:r w:rsidRPr="00240730" w:rsidR="00B67CF4">
        <w:rPr>
          <w:rFonts w:ascii="Times New Roman" w:hAnsi="Times New Roman" w:cs="Times New Roman"/>
        </w:rPr>
        <w:t>.</w:t>
      </w:r>
    </w:p>
    <w:p w:rsidRPr="00240730" w:rsidR="00E2289C" w:rsidP="00240730" w:rsidRDefault="005F0490">
      <w:pPr>
        <w:pStyle w:val="ECHRPara"/>
        <w:rPr>
          <w:rFonts w:ascii="Times New Roman" w:hAnsi="Times New Roman" w:cs="Times New Roman"/>
          <w:lang w:val="en-US"/>
        </w:rPr>
      </w:pPr>
      <w:r w:rsidRPr="00240730">
        <w:rPr>
          <w:rFonts w:ascii="Times New Roman" w:hAnsi="Times New Roman" w:cs="Times New Roman"/>
        </w:rPr>
        <w:fldChar w:fldCharType="begin"/>
      </w:r>
      <w:r w:rsidRPr="00240730">
        <w:rPr>
          <w:rFonts w:ascii="Times New Roman" w:hAnsi="Times New Roman" w:cs="Times New Roman"/>
        </w:rPr>
        <w:instrText xml:space="preserve"> SEQ level0 \*arabic </w:instrText>
      </w:r>
      <w:r w:rsidRPr="00240730">
        <w:rPr>
          <w:rFonts w:ascii="Times New Roman" w:hAnsi="Times New Roman" w:cs="Times New Roman"/>
        </w:rPr>
        <w:fldChar w:fldCharType="separate"/>
      </w:r>
      <w:r w:rsidRPr="00240730" w:rsidR="00240730">
        <w:rPr>
          <w:rFonts w:ascii="Times New Roman" w:hAnsi="Times New Roman" w:cs="Times New Roman"/>
          <w:noProof/>
        </w:rPr>
        <w:t>6</w:t>
      </w:r>
      <w:r w:rsidRPr="00240730">
        <w:rPr>
          <w:rFonts w:ascii="Times New Roman" w:hAnsi="Times New Roman" w:cs="Times New Roman"/>
        </w:rPr>
        <w:fldChar w:fldCharType="end"/>
      </w:r>
      <w:r w:rsidRPr="00240730">
        <w:rPr>
          <w:rFonts w:ascii="Times New Roman" w:hAnsi="Times New Roman" w:cs="Times New Roman"/>
        </w:rPr>
        <w:t xml:space="preserve">.  The </w:t>
      </w:r>
      <w:r w:rsidRPr="00240730" w:rsidR="0016218C">
        <w:rPr>
          <w:rFonts w:ascii="Times New Roman" w:hAnsi="Times New Roman" w:cs="Times New Roman"/>
        </w:rPr>
        <w:t>enterprise</w:t>
      </w:r>
      <w:r w:rsidRPr="00240730">
        <w:rPr>
          <w:rFonts w:ascii="Times New Roman" w:hAnsi="Times New Roman" w:cs="Times New Roman"/>
        </w:rPr>
        <w:t xml:space="preserve"> was set up as a separate legal entity, a commercial organisation liable for its obligations with its</w:t>
      </w:r>
      <w:r w:rsidRPr="00240730" w:rsidR="0051215D">
        <w:rPr>
          <w:rFonts w:ascii="Times New Roman" w:hAnsi="Times New Roman" w:cs="Times New Roman"/>
        </w:rPr>
        <w:t xml:space="preserve"> entire</w:t>
      </w:r>
      <w:r w:rsidRPr="00240730">
        <w:rPr>
          <w:rFonts w:ascii="Times New Roman" w:hAnsi="Times New Roman" w:cs="Times New Roman"/>
        </w:rPr>
        <w:t xml:space="preserve"> assets (</w:t>
      </w:r>
      <w:r w:rsidRPr="00240730" w:rsidR="00834B09">
        <w:rPr>
          <w:rFonts w:ascii="Times New Roman" w:hAnsi="Times New Roman" w:cs="Times New Roman"/>
        </w:rPr>
        <w:t>P</w:t>
      </w:r>
      <w:r w:rsidRPr="00240730" w:rsidR="001D1E20">
        <w:rPr>
          <w:rFonts w:ascii="Times New Roman" w:hAnsi="Times New Roman" w:cs="Times New Roman"/>
        </w:rPr>
        <w:t>aragraphs</w:t>
      </w:r>
      <w:r w:rsidRPr="00240730">
        <w:rPr>
          <w:rFonts w:ascii="Times New Roman" w:hAnsi="Times New Roman" w:cs="Times New Roman"/>
        </w:rPr>
        <w:t> 1.3, 1.5 and 1.6 of the rules). It was subordinat</w:t>
      </w:r>
      <w:r w:rsidRPr="00240730" w:rsidR="0051215D">
        <w:rPr>
          <w:rFonts w:ascii="Times New Roman" w:hAnsi="Times New Roman" w:cs="Times New Roman"/>
        </w:rPr>
        <w:t>e</w:t>
      </w:r>
      <w:r w:rsidRPr="00240730">
        <w:rPr>
          <w:rFonts w:ascii="Times New Roman" w:hAnsi="Times New Roman" w:cs="Times New Roman"/>
        </w:rPr>
        <w:t xml:space="preserve"> (</w:t>
      </w:r>
      <w:r w:rsidRPr="00240730">
        <w:rPr>
          <w:rFonts w:ascii="Times New Roman" w:hAnsi="Times New Roman" w:cs="Times New Roman"/>
          <w:i/>
          <w:lang w:val="ru-RU"/>
        </w:rPr>
        <w:t>в</w:t>
      </w:r>
      <w:r w:rsidRPr="00240730">
        <w:rPr>
          <w:rFonts w:ascii="Times New Roman" w:hAnsi="Times New Roman" w:cs="Times New Roman"/>
          <w:i/>
        </w:rPr>
        <w:t xml:space="preserve"> </w:t>
      </w:r>
      <w:r w:rsidRPr="00240730">
        <w:rPr>
          <w:rFonts w:ascii="Times New Roman" w:hAnsi="Times New Roman" w:cs="Times New Roman"/>
          <w:i/>
          <w:lang w:val="ru-RU"/>
        </w:rPr>
        <w:t>ведомственном</w:t>
      </w:r>
      <w:r w:rsidRPr="00240730">
        <w:rPr>
          <w:rFonts w:ascii="Times New Roman" w:hAnsi="Times New Roman" w:cs="Times New Roman"/>
          <w:i/>
        </w:rPr>
        <w:t xml:space="preserve"> </w:t>
      </w:r>
      <w:r w:rsidRPr="00240730">
        <w:rPr>
          <w:rFonts w:ascii="Times New Roman" w:hAnsi="Times New Roman" w:cs="Times New Roman"/>
          <w:i/>
          <w:lang w:val="ru-RU"/>
        </w:rPr>
        <w:t>подчинении</w:t>
      </w:r>
      <w:r w:rsidRPr="00240730">
        <w:rPr>
          <w:rFonts w:ascii="Times New Roman" w:hAnsi="Times New Roman" w:cs="Times New Roman"/>
        </w:rPr>
        <w:t xml:space="preserve">) to the Ministry of Defence of the Russian Federation. Its founders were the Ministry of </w:t>
      </w:r>
      <w:r w:rsidRPr="00240730" w:rsidR="001574DB">
        <w:rPr>
          <w:rFonts w:ascii="Times New Roman" w:hAnsi="Times New Roman" w:cs="Times New Roman"/>
        </w:rPr>
        <w:t>Property Relations</w:t>
      </w:r>
      <w:r w:rsidRPr="00240730" w:rsidR="00D541FB">
        <w:rPr>
          <w:rStyle w:val="FootnoteReference"/>
          <w:rFonts w:ascii="Times New Roman" w:hAnsi="Times New Roman" w:cs="Times New Roman"/>
        </w:rPr>
        <w:footnoteReference w:id="1"/>
      </w:r>
      <w:r w:rsidRPr="00240730">
        <w:rPr>
          <w:rFonts w:ascii="Times New Roman" w:hAnsi="Times New Roman" w:cs="Times New Roman"/>
        </w:rPr>
        <w:t xml:space="preserve"> and the Ministry of Defence of the Russian Federation (</w:t>
      </w:r>
      <w:r w:rsidRPr="00240730" w:rsidR="00834B09">
        <w:rPr>
          <w:rFonts w:ascii="Times New Roman" w:hAnsi="Times New Roman" w:cs="Times New Roman"/>
        </w:rPr>
        <w:t>Paragraph</w:t>
      </w:r>
      <w:r w:rsidRPr="00240730">
        <w:rPr>
          <w:rFonts w:ascii="Times New Roman" w:hAnsi="Times New Roman" w:cs="Times New Roman"/>
        </w:rPr>
        <w:t> 1.4 of the rules).</w:t>
      </w:r>
    </w:p>
    <w:bookmarkStart w:name="FGUPStatutoryAimsAndTasks" w:id="0"/>
    <w:p w:rsidRPr="00240730" w:rsidR="00377D0B" w:rsidP="00240730" w:rsidRDefault="005F0490">
      <w:pPr>
        <w:pStyle w:val="ECHRPara"/>
        <w:rPr>
          <w:rFonts w:ascii="Times New Roman" w:hAnsi="Times New Roman" w:cs="Times New Roman"/>
        </w:rPr>
      </w:pPr>
      <w:r w:rsidRPr="00240730">
        <w:rPr>
          <w:rFonts w:ascii="Times New Roman" w:hAnsi="Times New Roman" w:cs="Times New Roman"/>
        </w:rPr>
        <w:fldChar w:fldCharType="begin"/>
      </w:r>
      <w:r w:rsidRPr="00240730">
        <w:rPr>
          <w:rFonts w:ascii="Times New Roman" w:hAnsi="Times New Roman" w:cs="Times New Roman"/>
        </w:rPr>
        <w:instrText xml:space="preserve"> SEQ level0 \*arabic </w:instrText>
      </w:r>
      <w:r w:rsidRPr="00240730">
        <w:rPr>
          <w:rFonts w:ascii="Times New Roman" w:hAnsi="Times New Roman" w:cs="Times New Roman"/>
        </w:rPr>
        <w:fldChar w:fldCharType="separate"/>
      </w:r>
      <w:r w:rsidRPr="00240730" w:rsidR="00240730">
        <w:rPr>
          <w:rFonts w:ascii="Times New Roman" w:hAnsi="Times New Roman" w:cs="Times New Roman"/>
          <w:noProof/>
        </w:rPr>
        <w:t>7</w:t>
      </w:r>
      <w:r w:rsidRPr="00240730">
        <w:rPr>
          <w:rFonts w:ascii="Times New Roman" w:hAnsi="Times New Roman" w:cs="Times New Roman"/>
        </w:rPr>
        <w:fldChar w:fldCharType="end"/>
      </w:r>
      <w:bookmarkEnd w:id="0"/>
      <w:r w:rsidRPr="00240730">
        <w:rPr>
          <w:rFonts w:ascii="Times New Roman" w:hAnsi="Times New Roman" w:cs="Times New Roman"/>
        </w:rPr>
        <w:t xml:space="preserve">.  It was created with the aim of producing goods and providing services </w:t>
      </w:r>
      <w:r w:rsidRPr="00240730" w:rsidR="00B5520B">
        <w:rPr>
          <w:rFonts w:ascii="Times New Roman" w:hAnsi="Times New Roman" w:cs="Times New Roman"/>
        </w:rPr>
        <w:t xml:space="preserve">to meet </w:t>
      </w:r>
      <w:r w:rsidRPr="00240730">
        <w:rPr>
          <w:rFonts w:ascii="Times New Roman" w:hAnsi="Times New Roman" w:cs="Times New Roman"/>
        </w:rPr>
        <w:t>the needs of the Ministry of Defence</w:t>
      </w:r>
      <w:r w:rsidRPr="00240730" w:rsidR="00EC6B7E">
        <w:rPr>
          <w:rFonts w:ascii="Times New Roman" w:hAnsi="Times New Roman" w:cs="Times New Roman"/>
        </w:rPr>
        <w:t xml:space="preserve"> and</w:t>
      </w:r>
      <w:r w:rsidRPr="00240730">
        <w:rPr>
          <w:rFonts w:ascii="Times New Roman" w:hAnsi="Times New Roman" w:cs="Times New Roman"/>
        </w:rPr>
        <w:t xml:space="preserve"> other public needs (</w:t>
      </w:r>
      <w:r w:rsidRPr="00240730">
        <w:rPr>
          <w:rFonts w:ascii="Times New Roman" w:hAnsi="Times New Roman" w:cs="Times New Roman"/>
          <w:i/>
          <w:lang w:val="ru-RU"/>
        </w:rPr>
        <w:t>общественных</w:t>
      </w:r>
      <w:r w:rsidRPr="00240730">
        <w:rPr>
          <w:rFonts w:ascii="Times New Roman" w:hAnsi="Times New Roman" w:cs="Times New Roman"/>
          <w:i/>
        </w:rPr>
        <w:t xml:space="preserve"> </w:t>
      </w:r>
      <w:r w:rsidRPr="00240730">
        <w:rPr>
          <w:rFonts w:ascii="Times New Roman" w:hAnsi="Times New Roman" w:cs="Times New Roman"/>
          <w:i/>
          <w:lang w:val="ru-RU"/>
        </w:rPr>
        <w:t>потребностей</w:t>
      </w:r>
      <w:r w:rsidRPr="00240730">
        <w:rPr>
          <w:rFonts w:ascii="Times New Roman" w:hAnsi="Times New Roman" w:cs="Times New Roman"/>
        </w:rPr>
        <w:t>) and</w:t>
      </w:r>
      <w:r w:rsidRPr="00240730" w:rsidR="00EC6B7E">
        <w:rPr>
          <w:rFonts w:ascii="Times New Roman" w:hAnsi="Times New Roman" w:cs="Times New Roman"/>
        </w:rPr>
        <w:t xml:space="preserve"> for</w:t>
      </w:r>
      <w:r w:rsidRPr="00240730">
        <w:rPr>
          <w:rFonts w:ascii="Times New Roman" w:hAnsi="Times New Roman" w:cs="Times New Roman"/>
        </w:rPr>
        <w:t xml:space="preserve"> extract</w:t>
      </w:r>
      <w:r w:rsidRPr="00240730" w:rsidR="00C54F9D">
        <w:rPr>
          <w:rFonts w:ascii="Times New Roman" w:hAnsi="Times New Roman" w:cs="Times New Roman"/>
        </w:rPr>
        <w:t xml:space="preserve">ing </w:t>
      </w:r>
      <w:r w:rsidRPr="00240730">
        <w:rPr>
          <w:rFonts w:ascii="Times New Roman" w:hAnsi="Times New Roman" w:cs="Times New Roman"/>
        </w:rPr>
        <w:t>profit (</w:t>
      </w:r>
      <w:r w:rsidRPr="00240730" w:rsidR="00834B09">
        <w:rPr>
          <w:rFonts w:ascii="Times New Roman" w:hAnsi="Times New Roman" w:cs="Times New Roman"/>
        </w:rPr>
        <w:t>Paragraph</w:t>
      </w:r>
      <w:r w:rsidRPr="00240730">
        <w:rPr>
          <w:rFonts w:ascii="Times New Roman" w:hAnsi="Times New Roman" w:cs="Times New Roman"/>
        </w:rPr>
        <w:t xml:space="preserve"> 2.1 of the rules). To achieve that aim, the </w:t>
      </w:r>
      <w:r w:rsidRPr="00240730" w:rsidR="006964B9">
        <w:rPr>
          <w:rFonts w:ascii="Times New Roman" w:hAnsi="Times New Roman" w:cs="Times New Roman"/>
        </w:rPr>
        <w:t>enterprise</w:t>
      </w:r>
      <w:r w:rsidRPr="00240730">
        <w:rPr>
          <w:rFonts w:ascii="Times New Roman" w:hAnsi="Times New Roman" w:cs="Times New Roman"/>
        </w:rPr>
        <w:t xml:space="preserve"> </w:t>
      </w:r>
      <w:r w:rsidRPr="00240730" w:rsidR="0051215D">
        <w:rPr>
          <w:rFonts w:ascii="Times New Roman" w:hAnsi="Times New Roman" w:cs="Times New Roman"/>
        </w:rPr>
        <w:t>carried out</w:t>
      </w:r>
      <w:r w:rsidRPr="00240730">
        <w:rPr>
          <w:rFonts w:ascii="Times New Roman" w:hAnsi="Times New Roman" w:cs="Times New Roman"/>
        </w:rPr>
        <w:t xml:space="preserve">, in particular, the following activities: repair and docking of military ships of the executive power of the Russian Federation; repair of their weaponry and production of component parts of military ships and military equipment; exportation of </w:t>
      </w:r>
      <w:r w:rsidRPr="00240730" w:rsidR="00565ABD">
        <w:rPr>
          <w:rFonts w:ascii="Times New Roman" w:hAnsi="Times New Roman" w:cs="Times New Roman"/>
        </w:rPr>
        <w:t>products</w:t>
      </w:r>
      <w:r w:rsidRPr="00240730">
        <w:rPr>
          <w:rFonts w:ascii="Times New Roman" w:hAnsi="Times New Roman" w:cs="Times New Roman"/>
        </w:rPr>
        <w:t xml:space="preserve">, works and services </w:t>
      </w:r>
      <w:r w:rsidRPr="00240730" w:rsidR="00087F6C">
        <w:rPr>
          <w:rFonts w:ascii="Times New Roman" w:hAnsi="Times New Roman" w:cs="Times New Roman"/>
        </w:rPr>
        <w:t xml:space="preserve">for </w:t>
      </w:r>
      <w:r w:rsidRPr="00240730">
        <w:rPr>
          <w:rFonts w:ascii="Times New Roman" w:hAnsi="Times New Roman" w:cs="Times New Roman"/>
        </w:rPr>
        <w:t>military</w:t>
      </w:r>
      <w:r w:rsidRPr="00240730" w:rsidR="00087F6C">
        <w:rPr>
          <w:rFonts w:ascii="Times New Roman" w:hAnsi="Times New Roman" w:cs="Times New Roman"/>
        </w:rPr>
        <w:t xml:space="preserve"> purposes</w:t>
      </w:r>
      <w:r w:rsidRPr="00240730">
        <w:rPr>
          <w:rFonts w:ascii="Times New Roman" w:hAnsi="Times New Roman" w:cs="Times New Roman"/>
        </w:rPr>
        <w:t>, other military assets for ships and onshore assets under contracts with the Ministry of Defence or legal entities specialis</w:t>
      </w:r>
      <w:r w:rsidRPr="00240730" w:rsidR="000303AE">
        <w:rPr>
          <w:rFonts w:ascii="Times New Roman" w:hAnsi="Times New Roman" w:cs="Times New Roman"/>
        </w:rPr>
        <w:t xml:space="preserve">ing in </w:t>
      </w:r>
      <w:r w:rsidRPr="00240730">
        <w:rPr>
          <w:rFonts w:ascii="Times New Roman" w:hAnsi="Times New Roman" w:cs="Times New Roman"/>
        </w:rPr>
        <w:t>those types of activities; repair of ships under the flag of the Russian Federation; recycling of military equipment systems; provision of industrial and non-industrial services to individuals and legal entities, including transportation and provision of services involving the use of docks, service roads, railway lines, and storage facilities on the FGUP</w:t>
      </w:r>
      <w:r w:rsidRPr="00240730" w:rsidR="00240730">
        <w:rPr>
          <w:rFonts w:ascii="Times New Roman" w:hAnsi="Times New Roman" w:cs="Times New Roman"/>
        </w:rPr>
        <w:t>’</w:t>
      </w:r>
      <w:r w:rsidRPr="00240730">
        <w:rPr>
          <w:rFonts w:ascii="Times New Roman" w:hAnsi="Times New Roman" w:cs="Times New Roman"/>
        </w:rPr>
        <w:t xml:space="preserve">s territory, as well as utility sales; engineering, technical </w:t>
      </w:r>
      <w:r w:rsidRPr="00240730" w:rsidR="000303AE">
        <w:rPr>
          <w:rFonts w:ascii="Times New Roman" w:hAnsi="Times New Roman" w:cs="Times New Roman"/>
        </w:rPr>
        <w:t>reviews</w:t>
      </w:r>
      <w:r w:rsidRPr="00240730">
        <w:rPr>
          <w:rFonts w:ascii="Times New Roman" w:hAnsi="Times New Roman" w:cs="Times New Roman"/>
        </w:rPr>
        <w:t xml:space="preserve">, exploitation and modernisation of </w:t>
      </w:r>
      <w:r w:rsidRPr="00240730" w:rsidR="000303AE">
        <w:rPr>
          <w:rFonts w:ascii="Times New Roman" w:hAnsi="Times New Roman" w:cs="Times New Roman"/>
        </w:rPr>
        <w:t xml:space="preserve">property </w:t>
      </w:r>
      <w:r w:rsidRPr="00240730">
        <w:rPr>
          <w:rFonts w:ascii="Times New Roman" w:hAnsi="Times New Roman" w:cs="Times New Roman"/>
        </w:rPr>
        <w:t>of the State technical authority (</w:t>
      </w:r>
      <w:r w:rsidRPr="00240730">
        <w:rPr>
          <w:rFonts w:ascii="Times New Roman" w:hAnsi="Times New Roman" w:cs="Times New Roman"/>
          <w:i/>
          <w:lang w:val="ru-RU"/>
        </w:rPr>
        <w:t>объектов</w:t>
      </w:r>
      <w:r w:rsidRPr="00240730">
        <w:rPr>
          <w:rFonts w:ascii="Times New Roman" w:hAnsi="Times New Roman" w:cs="Times New Roman"/>
          <w:i/>
        </w:rPr>
        <w:t xml:space="preserve"> </w:t>
      </w:r>
      <w:proofErr w:type="spellStart"/>
      <w:r w:rsidRPr="00240730" w:rsidR="00C54F9D">
        <w:rPr>
          <w:rFonts w:ascii="Times New Roman" w:hAnsi="Times New Roman" w:cs="Times New Roman"/>
          <w:i/>
          <w:lang w:val="ru-RU"/>
        </w:rPr>
        <w:t>гостехнадз</w:t>
      </w:r>
      <w:r w:rsidRPr="00240730">
        <w:rPr>
          <w:rFonts w:ascii="Times New Roman" w:hAnsi="Times New Roman" w:cs="Times New Roman"/>
          <w:i/>
          <w:lang w:val="ru-RU"/>
        </w:rPr>
        <w:t>ора</w:t>
      </w:r>
      <w:proofErr w:type="spellEnd"/>
      <w:r w:rsidRPr="00240730">
        <w:rPr>
          <w:rFonts w:ascii="Times New Roman" w:hAnsi="Times New Roman" w:cs="Times New Roman"/>
        </w:rPr>
        <w:t xml:space="preserve">) </w:t>
      </w:r>
      <w:r w:rsidRPr="00240730" w:rsidR="000303AE">
        <w:rPr>
          <w:rFonts w:ascii="Times New Roman" w:hAnsi="Times New Roman" w:cs="Times New Roman"/>
        </w:rPr>
        <w:t xml:space="preserve">for </w:t>
      </w:r>
      <w:r w:rsidRPr="00240730">
        <w:rPr>
          <w:rFonts w:ascii="Times New Roman" w:hAnsi="Times New Roman" w:cs="Times New Roman"/>
        </w:rPr>
        <w:t xml:space="preserve">common and military </w:t>
      </w:r>
      <w:r w:rsidRPr="00240730" w:rsidR="000303AE">
        <w:rPr>
          <w:rFonts w:ascii="Times New Roman" w:hAnsi="Times New Roman" w:cs="Times New Roman"/>
        </w:rPr>
        <w:t>use</w:t>
      </w:r>
      <w:r w:rsidRPr="00240730">
        <w:rPr>
          <w:rFonts w:ascii="Times New Roman" w:hAnsi="Times New Roman" w:cs="Times New Roman"/>
        </w:rPr>
        <w:t xml:space="preserve">; education services, transportation services, medical activities, rent of vacant areas and quays; maintenance and </w:t>
      </w:r>
      <w:r w:rsidRPr="00240730" w:rsidR="000303AE">
        <w:rPr>
          <w:rFonts w:ascii="Times New Roman" w:hAnsi="Times New Roman" w:cs="Times New Roman"/>
        </w:rPr>
        <w:t xml:space="preserve">servicing </w:t>
      </w:r>
      <w:r w:rsidRPr="00240730">
        <w:rPr>
          <w:rFonts w:ascii="Times New Roman" w:hAnsi="Times New Roman" w:cs="Times New Roman"/>
        </w:rPr>
        <w:t xml:space="preserve">of cars; production of </w:t>
      </w:r>
      <w:r w:rsidRPr="00240730" w:rsidR="000303AE">
        <w:rPr>
          <w:rFonts w:ascii="Times New Roman" w:hAnsi="Times New Roman" w:cs="Times New Roman"/>
        </w:rPr>
        <w:t xml:space="preserve">consumer </w:t>
      </w:r>
      <w:r w:rsidRPr="00240730">
        <w:rPr>
          <w:rFonts w:ascii="Times New Roman" w:hAnsi="Times New Roman" w:cs="Times New Roman"/>
        </w:rPr>
        <w:t xml:space="preserve">goods, as well as research, development and technological works </w:t>
      </w:r>
      <w:r w:rsidRPr="00240730" w:rsidR="00087F6C">
        <w:rPr>
          <w:rFonts w:ascii="Times New Roman" w:hAnsi="Times New Roman" w:cs="Times New Roman"/>
        </w:rPr>
        <w:t>(Paragraph </w:t>
      </w:r>
      <w:r w:rsidRPr="00240730">
        <w:rPr>
          <w:rFonts w:ascii="Times New Roman" w:hAnsi="Times New Roman" w:cs="Times New Roman"/>
        </w:rPr>
        <w:t>2.2 of the rules).</w:t>
      </w:r>
    </w:p>
    <w:bookmarkStart w:name="Rules_AssetsManagement_AndMore" w:id="1"/>
    <w:p w:rsidRPr="00240730" w:rsidR="00437A06" w:rsidP="00240730" w:rsidRDefault="00437A06">
      <w:pPr>
        <w:pStyle w:val="ECHRPara"/>
        <w:rPr>
          <w:rFonts w:ascii="Times New Roman" w:hAnsi="Times New Roman" w:cs="Times New Roman"/>
        </w:rPr>
      </w:pPr>
      <w:r w:rsidRPr="00240730">
        <w:rPr>
          <w:rFonts w:ascii="Times New Roman" w:hAnsi="Times New Roman" w:cs="Times New Roman"/>
        </w:rPr>
        <w:fldChar w:fldCharType="begin"/>
      </w:r>
      <w:r w:rsidRPr="00240730">
        <w:rPr>
          <w:rFonts w:ascii="Times New Roman" w:hAnsi="Times New Roman" w:cs="Times New Roman"/>
        </w:rPr>
        <w:instrText xml:space="preserve"> SEQ level0 \*arabic </w:instrText>
      </w:r>
      <w:r w:rsidRPr="00240730">
        <w:rPr>
          <w:rFonts w:ascii="Times New Roman" w:hAnsi="Times New Roman" w:cs="Times New Roman"/>
        </w:rPr>
        <w:fldChar w:fldCharType="separate"/>
      </w:r>
      <w:r w:rsidRPr="00240730" w:rsidR="00240730">
        <w:rPr>
          <w:rFonts w:ascii="Times New Roman" w:hAnsi="Times New Roman" w:cs="Times New Roman"/>
          <w:noProof/>
        </w:rPr>
        <w:t>8</w:t>
      </w:r>
      <w:r w:rsidRPr="00240730">
        <w:rPr>
          <w:rFonts w:ascii="Times New Roman" w:hAnsi="Times New Roman" w:cs="Times New Roman"/>
        </w:rPr>
        <w:fldChar w:fldCharType="end"/>
      </w:r>
      <w:bookmarkEnd w:id="1"/>
      <w:r w:rsidRPr="00240730">
        <w:rPr>
          <w:rFonts w:ascii="Times New Roman" w:hAnsi="Times New Roman" w:cs="Times New Roman"/>
        </w:rPr>
        <w:t>.  </w:t>
      </w:r>
      <w:r w:rsidRPr="00240730" w:rsidR="004C3253">
        <w:rPr>
          <w:rFonts w:ascii="Times New Roman" w:hAnsi="Times New Roman" w:cs="Times New Roman"/>
        </w:rPr>
        <w:t xml:space="preserve">The enterprise could sell, rent and loan its real property, </w:t>
      </w:r>
      <w:r w:rsidRPr="00240730" w:rsidR="004C3253">
        <w:t xml:space="preserve">transfer </w:t>
      </w:r>
      <w:r w:rsidRPr="00240730" w:rsidR="00C74ED7">
        <w:t xml:space="preserve">it </w:t>
      </w:r>
      <w:r w:rsidRPr="00240730" w:rsidR="004C3253">
        <w:t>as a capital contribution to</w:t>
      </w:r>
      <w:r w:rsidRPr="00240730" w:rsidR="006466A6">
        <w:t xml:space="preserve"> the</w:t>
      </w:r>
      <w:r w:rsidRPr="00240730" w:rsidR="004C3253">
        <w:t xml:space="preserve"> </w:t>
      </w:r>
      <w:r w:rsidRPr="00240730" w:rsidR="00C74ED7">
        <w:t>authorised capital</w:t>
      </w:r>
      <w:r w:rsidRPr="00240730" w:rsidR="004C3253">
        <w:t xml:space="preserve"> of companies and partnerships, or otherwise dispose of such property, </w:t>
      </w:r>
      <w:r w:rsidRPr="00240730" w:rsidR="00391314">
        <w:t xml:space="preserve">only </w:t>
      </w:r>
      <w:r w:rsidRPr="00240730" w:rsidR="001E1AF2">
        <w:t>with</w:t>
      </w:r>
      <w:r w:rsidRPr="00240730" w:rsidR="004C3253">
        <w:t xml:space="preserve"> </w:t>
      </w:r>
      <w:r w:rsidRPr="00240730" w:rsidR="004B45D3">
        <w:t xml:space="preserve">the </w:t>
      </w:r>
      <w:r w:rsidRPr="00240730" w:rsidR="001E1AF2">
        <w:t xml:space="preserve">prior </w:t>
      </w:r>
      <w:r w:rsidRPr="00240730" w:rsidR="004C3253">
        <w:t xml:space="preserve">approval of the </w:t>
      </w:r>
      <w:r w:rsidRPr="00240730" w:rsidR="00B75B4D">
        <w:t>Ministry</w:t>
      </w:r>
      <w:r w:rsidRPr="00240730" w:rsidR="004C3253">
        <w:t xml:space="preserve"> of Property Relations</w:t>
      </w:r>
      <w:r w:rsidRPr="00240730" w:rsidR="00C74ED7">
        <w:t xml:space="preserve"> (its regional department)</w:t>
      </w:r>
      <w:r w:rsidRPr="00240730" w:rsidR="004C3253">
        <w:t xml:space="preserve"> and the Ministry of Defence</w:t>
      </w:r>
      <w:r w:rsidRPr="00240730" w:rsidR="00C74ED7">
        <w:t xml:space="preserve"> (</w:t>
      </w:r>
      <w:r w:rsidRPr="00240730" w:rsidR="00B75B4D">
        <w:t>P</w:t>
      </w:r>
      <w:r w:rsidRPr="00240730" w:rsidR="00C74ED7">
        <w:t>aragraph 3.8 of the rules)</w:t>
      </w:r>
      <w:r w:rsidRPr="00240730" w:rsidR="004C3253">
        <w:t xml:space="preserve">. </w:t>
      </w:r>
      <w:r w:rsidRPr="00240730">
        <w:rPr>
          <w:rFonts w:ascii="Times New Roman" w:hAnsi="Times New Roman" w:cs="Times New Roman"/>
        </w:rPr>
        <w:t xml:space="preserve">The enterprise could </w:t>
      </w:r>
      <w:r w:rsidRPr="00240730" w:rsidR="004C3253">
        <w:rPr>
          <w:rFonts w:ascii="Times New Roman" w:hAnsi="Times New Roman" w:cs="Times New Roman"/>
        </w:rPr>
        <w:t xml:space="preserve">pledge or rent </w:t>
      </w:r>
      <w:r w:rsidRPr="00240730" w:rsidR="00AF46DA">
        <w:rPr>
          <w:rFonts w:ascii="Times New Roman" w:hAnsi="Times New Roman" w:cs="Times New Roman"/>
        </w:rPr>
        <w:t xml:space="preserve">the assets acquired as a result of its </w:t>
      </w:r>
      <w:r w:rsidRPr="00240730" w:rsidR="004C3253">
        <w:rPr>
          <w:rFonts w:ascii="Times New Roman" w:hAnsi="Times New Roman" w:cs="Times New Roman"/>
        </w:rPr>
        <w:t xml:space="preserve">economic activity, or </w:t>
      </w:r>
      <w:r w:rsidRPr="00240730" w:rsidR="004C3253">
        <w:t xml:space="preserve">transfer such assets as a capital contribution </w:t>
      </w:r>
      <w:r w:rsidRPr="00240730" w:rsidR="00C74ED7">
        <w:t xml:space="preserve">to </w:t>
      </w:r>
      <w:r w:rsidRPr="00240730" w:rsidR="00DB709B">
        <w:t xml:space="preserve">the </w:t>
      </w:r>
      <w:r w:rsidRPr="00240730" w:rsidR="00C74ED7">
        <w:t>authorised capital of companies and partnerships,</w:t>
      </w:r>
      <w:r w:rsidRPr="00240730" w:rsidR="004C3253">
        <w:t xml:space="preserve"> in</w:t>
      </w:r>
      <w:r w:rsidRPr="00240730" w:rsidR="00DB709B">
        <w:t xml:space="preserve"> the</w:t>
      </w:r>
      <w:r w:rsidRPr="00240730" w:rsidR="004C3253">
        <w:t xml:space="preserve"> </w:t>
      </w:r>
      <w:r w:rsidRPr="00240730" w:rsidR="00C94A9F">
        <w:t xml:space="preserve">manner </w:t>
      </w:r>
      <w:r w:rsidRPr="00240730" w:rsidR="004C3253">
        <w:t xml:space="preserve">and within the limits established by the </w:t>
      </w:r>
      <w:r w:rsidRPr="00240730" w:rsidR="004B45D3">
        <w:t>r</w:t>
      </w:r>
      <w:r w:rsidRPr="00240730" w:rsidR="004C3253">
        <w:t xml:space="preserve">ules and national law. The </w:t>
      </w:r>
      <w:r w:rsidRPr="00240730" w:rsidR="000570AA">
        <w:t xml:space="preserve">transfer of </w:t>
      </w:r>
      <w:r w:rsidRPr="00240730" w:rsidR="004C3253">
        <w:t xml:space="preserve">assets was </w:t>
      </w:r>
      <w:r w:rsidRPr="00240730" w:rsidR="000570AA">
        <w:t>by deed</w:t>
      </w:r>
      <w:r w:rsidRPr="00240730" w:rsidR="00DB709B">
        <w:t xml:space="preserve">, </w:t>
      </w:r>
      <w:r w:rsidRPr="00240730" w:rsidR="004C3253">
        <w:t xml:space="preserve">in accordance with </w:t>
      </w:r>
      <w:r w:rsidRPr="00240730" w:rsidR="00574A1F">
        <w:t>P</w:t>
      </w:r>
      <w:r w:rsidRPr="00240730" w:rsidR="004C3253">
        <w:t xml:space="preserve">aragraph 3.8 of the rules (cited above) and </w:t>
      </w:r>
      <w:r w:rsidRPr="00240730" w:rsidR="0025517C">
        <w:t>the procedure</w:t>
      </w:r>
      <w:r w:rsidRPr="00240730" w:rsidR="004C3253">
        <w:t xml:space="preserve"> defined by the Ministry of Defence </w:t>
      </w:r>
      <w:r w:rsidRPr="00240730" w:rsidR="004C3253">
        <w:rPr>
          <w:rFonts w:ascii="Times New Roman" w:hAnsi="Times New Roman" w:cs="Times New Roman"/>
        </w:rPr>
        <w:t>(Paragraph 5.1 of the rules</w:t>
      </w:r>
      <w:r w:rsidRPr="00240730" w:rsidR="004C3253">
        <w:t xml:space="preserve">). </w:t>
      </w:r>
      <w:r w:rsidRPr="00240730">
        <w:rPr>
          <w:rFonts w:ascii="Times New Roman" w:hAnsi="Times New Roman" w:cs="Times New Roman"/>
        </w:rPr>
        <w:t xml:space="preserve">The Ministry of Defence determined the annual amount of benefits to be transferred by the enterprise to the federal budget (Paragraph 3.10 of the rules), as well as the rules for </w:t>
      </w:r>
      <w:r w:rsidRPr="00240730" w:rsidR="00224BFA">
        <w:rPr>
          <w:rFonts w:ascii="Times New Roman" w:hAnsi="Times New Roman" w:cs="Times New Roman"/>
        </w:rPr>
        <w:t xml:space="preserve">the setting </w:t>
      </w:r>
      <w:r w:rsidRPr="00240730" w:rsidR="004C3253">
        <w:rPr>
          <w:rFonts w:ascii="Times New Roman" w:hAnsi="Times New Roman" w:cs="Times New Roman"/>
        </w:rPr>
        <w:t>of</w:t>
      </w:r>
      <w:r w:rsidRPr="00240730" w:rsidR="00140E33">
        <w:rPr>
          <w:rFonts w:ascii="Times New Roman" w:hAnsi="Times New Roman" w:cs="Times New Roman"/>
        </w:rPr>
        <w:t xml:space="preserve"> draft wholesale prices for State Defence order production in</w:t>
      </w:r>
      <w:r w:rsidRPr="00240730">
        <w:rPr>
          <w:rFonts w:ascii="Times New Roman" w:hAnsi="Times New Roman" w:cs="Times New Roman"/>
        </w:rPr>
        <w:t xml:space="preserve"> </w:t>
      </w:r>
      <w:r w:rsidRPr="00240730" w:rsidR="001567AA">
        <w:rPr>
          <w:rFonts w:ascii="Times New Roman" w:hAnsi="Times New Roman" w:cs="Times New Roman"/>
        </w:rPr>
        <w:t>co-ordination and agreement</w:t>
      </w:r>
      <w:r w:rsidRPr="00240730" w:rsidR="001567AA">
        <w:rPr>
          <w:rFonts w:ascii="Times New Roman" w:hAnsi="Times New Roman" w:cs="Times New Roman"/>
          <w:lang w:val="en-US"/>
        </w:rPr>
        <w:t xml:space="preserve"> </w:t>
      </w:r>
      <w:r w:rsidRPr="00240730" w:rsidR="001567AA">
        <w:rPr>
          <w:rFonts w:ascii="Times New Roman" w:hAnsi="Times New Roman" w:cs="Times New Roman"/>
        </w:rPr>
        <w:t>(</w:t>
      </w:r>
      <w:r w:rsidRPr="00240730" w:rsidR="001567AA">
        <w:rPr>
          <w:rFonts w:ascii="Times New Roman" w:hAnsi="Times New Roman" w:cs="Times New Roman"/>
          <w:i/>
          <w:lang w:val="ru-RU"/>
        </w:rPr>
        <w:t>согласование</w:t>
      </w:r>
      <w:r w:rsidRPr="00240730" w:rsidR="001567AA">
        <w:rPr>
          <w:rFonts w:ascii="Times New Roman" w:hAnsi="Times New Roman" w:cs="Times New Roman"/>
          <w:lang w:val="en-US"/>
        </w:rPr>
        <w:t>)</w:t>
      </w:r>
      <w:r w:rsidRPr="00240730">
        <w:rPr>
          <w:rFonts w:ascii="Times New Roman" w:hAnsi="Times New Roman" w:cs="Times New Roman"/>
        </w:rPr>
        <w:t xml:space="preserve"> </w:t>
      </w:r>
      <w:r w:rsidRPr="00240730" w:rsidR="00AF46DA">
        <w:rPr>
          <w:rFonts w:ascii="Times New Roman" w:hAnsi="Times New Roman" w:cs="Times New Roman"/>
        </w:rPr>
        <w:t>with State clients</w:t>
      </w:r>
      <w:r w:rsidRPr="00240730" w:rsidR="00140E33">
        <w:rPr>
          <w:rFonts w:ascii="Times New Roman" w:hAnsi="Times New Roman" w:cs="Times New Roman"/>
        </w:rPr>
        <w:t>.</w:t>
      </w:r>
      <w:r w:rsidRPr="00240730" w:rsidR="00AF46DA">
        <w:rPr>
          <w:rFonts w:ascii="Times New Roman" w:hAnsi="Times New Roman" w:cs="Times New Roman"/>
        </w:rPr>
        <w:t xml:space="preserve"> </w:t>
      </w:r>
      <w:r w:rsidRPr="00240730">
        <w:rPr>
          <w:rFonts w:ascii="Times New Roman" w:hAnsi="Times New Roman" w:cs="Times New Roman"/>
        </w:rPr>
        <w:t>Contracts with ordering parties of the Ministry of Defence were performed as a matter of priority (Paragraph 4.1</w:t>
      </w:r>
      <w:r w:rsidRPr="00240730" w:rsidR="000570AA">
        <w:rPr>
          <w:rFonts w:ascii="Times New Roman" w:hAnsi="Times New Roman" w:cs="Times New Roman"/>
        </w:rPr>
        <w:t xml:space="preserve"> of the rules</w:t>
      </w:r>
      <w:r w:rsidRPr="00240730">
        <w:rPr>
          <w:rFonts w:ascii="Times New Roman" w:hAnsi="Times New Roman" w:cs="Times New Roman"/>
        </w:rPr>
        <w:t>). The enterprise was obliged, in particular, to</w:t>
      </w:r>
      <w:r w:rsidRPr="00240730" w:rsidR="0061109E">
        <w:rPr>
          <w:rFonts w:ascii="Times New Roman" w:hAnsi="Times New Roman" w:cs="Times New Roman"/>
        </w:rPr>
        <w:t xml:space="preserve"> meet</w:t>
      </w:r>
      <w:r w:rsidRPr="00240730">
        <w:rPr>
          <w:rFonts w:ascii="Times New Roman" w:hAnsi="Times New Roman" w:cs="Times New Roman"/>
        </w:rPr>
        <w:t xml:space="preserve"> its </w:t>
      </w:r>
      <w:r w:rsidRPr="00240730" w:rsidR="00224BFA">
        <w:t>financial</w:t>
      </w:r>
      <w:r w:rsidRPr="00240730" w:rsidR="00AF46DA">
        <w:t xml:space="preserve"> performance targets </w:t>
      </w:r>
      <w:r w:rsidRPr="00240730">
        <w:rPr>
          <w:rFonts w:ascii="Times New Roman" w:hAnsi="Times New Roman" w:cs="Times New Roman"/>
        </w:rPr>
        <w:t xml:space="preserve">and </w:t>
      </w:r>
      <w:r w:rsidRPr="00240730" w:rsidR="006D0BA0">
        <w:rPr>
          <w:rFonts w:ascii="Times New Roman" w:hAnsi="Times New Roman" w:cs="Times New Roman"/>
        </w:rPr>
        <w:t>fulfil</w:t>
      </w:r>
      <w:r w:rsidRPr="00240730" w:rsidR="0061109E">
        <w:rPr>
          <w:rFonts w:ascii="Times New Roman" w:hAnsi="Times New Roman" w:cs="Times New Roman"/>
        </w:rPr>
        <w:t xml:space="preserve"> </w:t>
      </w:r>
      <w:r w:rsidRPr="00240730">
        <w:rPr>
          <w:rFonts w:ascii="Times New Roman" w:hAnsi="Times New Roman" w:cs="Times New Roman"/>
        </w:rPr>
        <w:t>the State Defence order</w:t>
      </w:r>
      <w:r w:rsidRPr="00240730" w:rsidR="005E1778">
        <w:rPr>
          <w:rFonts w:ascii="Times New Roman" w:hAnsi="Times New Roman" w:cs="Times New Roman"/>
        </w:rPr>
        <w:t xml:space="preserve">, </w:t>
      </w:r>
      <w:r w:rsidRPr="00240730">
        <w:rPr>
          <w:rFonts w:ascii="Times New Roman" w:hAnsi="Times New Roman" w:cs="Times New Roman"/>
        </w:rPr>
        <w:t>provide information to the State bodies in</w:t>
      </w:r>
      <w:r w:rsidRPr="00240730" w:rsidR="0061109E">
        <w:rPr>
          <w:rFonts w:ascii="Times New Roman" w:hAnsi="Times New Roman" w:cs="Times New Roman"/>
        </w:rPr>
        <w:t xml:space="preserve"> the</w:t>
      </w:r>
      <w:r w:rsidRPr="00240730">
        <w:rPr>
          <w:rFonts w:ascii="Times New Roman" w:hAnsi="Times New Roman" w:cs="Times New Roman"/>
        </w:rPr>
        <w:t xml:space="preserve"> cases and within the procedure determined by the Ministry of Defence</w:t>
      </w:r>
      <w:r w:rsidRPr="00240730" w:rsidR="005E1778">
        <w:rPr>
          <w:rFonts w:ascii="Times New Roman" w:hAnsi="Times New Roman" w:cs="Times New Roman"/>
        </w:rPr>
        <w:t xml:space="preserve">, </w:t>
      </w:r>
      <w:r w:rsidRPr="00240730">
        <w:rPr>
          <w:rFonts w:ascii="Times New Roman" w:hAnsi="Times New Roman" w:cs="Times New Roman"/>
        </w:rPr>
        <w:t xml:space="preserve">and comply with secrecy and access requirements in </w:t>
      </w:r>
      <w:r w:rsidRPr="00240730" w:rsidR="009026EF">
        <w:rPr>
          <w:rFonts w:ascii="Times New Roman" w:hAnsi="Times New Roman" w:cs="Times New Roman"/>
        </w:rPr>
        <w:t xml:space="preserve">the manner </w:t>
      </w:r>
      <w:r w:rsidRPr="00240730">
        <w:rPr>
          <w:rFonts w:ascii="Times New Roman" w:hAnsi="Times New Roman" w:cs="Times New Roman"/>
        </w:rPr>
        <w:t>defin</w:t>
      </w:r>
      <w:r w:rsidRPr="00240730" w:rsidR="00B75B4D">
        <w:rPr>
          <w:rFonts w:ascii="Times New Roman" w:hAnsi="Times New Roman" w:cs="Times New Roman"/>
        </w:rPr>
        <w:t>ed by the Ministry of Defence (P</w:t>
      </w:r>
      <w:r w:rsidRPr="00240730">
        <w:rPr>
          <w:rFonts w:ascii="Times New Roman" w:hAnsi="Times New Roman" w:cs="Times New Roman"/>
        </w:rPr>
        <w:t>aragraph 4.7).</w:t>
      </w:r>
    </w:p>
    <w:p w:rsidRPr="00240730" w:rsidR="00377D0B" w:rsidP="00240730" w:rsidRDefault="00FA4FCA">
      <w:pPr>
        <w:pStyle w:val="ECHRPara"/>
        <w:rPr>
          <w:rFonts w:hint="eastAsia" w:ascii="Source Sans Pro" w:hAnsi="Source Sans Pro"/>
        </w:rPr>
      </w:pPr>
      <w:r w:rsidRPr="00240730">
        <w:fldChar w:fldCharType="begin"/>
      </w:r>
      <w:r w:rsidRPr="00240730">
        <w:instrText xml:space="preserve"> SEQ level0 \*arabic </w:instrText>
      </w:r>
      <w:r w:rsidRPr="00240730">
        <w:fldChar w:fldCharType="separate"/>
      </w:r>
      <w:r w:rsidRPr="00240730" w:rsidR="00240730">
        <w:rPr>
          <w:noProof/>
        </w:rPr>
        <w:t>9</w:t>
      </w:r>
      <w:r w:rsidRPr="00240730">
        <w:fldChar w:fldCharType="end"/>
      </w:r>
      <w:r w:rsidRPr="00240730">
        <w:t>.  </w:t>
      </w:r>
      <w:r w:rsidRPr="00240730" w:rsidR="00CF2E4C">
        <w:t xml:space="preserve">Owing to the </w:t>
      </w:r>
      <w:r w:rsidRPr="00240730" w:rsidR="006964B9">
        <w:t>enterprise</w:t>
      </w:r>
      <w:r w:rsidRPr="00240730" w:rsidR="00240730">
        <w:t>’</w:t>
      </w:r>
      <w:r w:rsidRPr="00240730" w:rsidR="00CF2E4C">
        <w:t>s difficult financial situation,</w:t>
      </w:r>
      <w:r w:rsidRPr="00240730" w:rsidR="00BA401C">
        <w:t xml:space="preserve"> </w:t>
      </w:r>
      <w:r w:rsidRPr="00240730" w:rsidR="0007643A">
        <w:t>from</w:t>
      </w:r>
      <w:r w:rsidRPr="00240730" w:rsidR="00BA401C">
        <w:t xml:space="preserve"> 200</w:t>
      </w:r>
      <w:r w:rsidRPr="00240730" w:rsidR="008833F3">
        <w:t>0</w:t>
      </w:r>
      <w:r w:rsidRPr="00240730" w:rsidR="00BA401C">
        <w:t xml:space="preserve"> </w:t>
      </w:r>
      <w:r w:rsidRPr="00240730" w:rsidR="0007643A">
        <w:t xml:space="preserve">onwards </w:t>
      </w:r>
      <w:r w:rsidRPr="00240730" w:rsidR="00A560A2">
        <w:t>several attempts to set insolvency proceedings in motion took place.</w:t>
      </w:r>
      <w:r w:rsidRPr="00240730" w:rsidR="00BA401C">
        <w:t xml:space="preserve"> In </w:t>
      </w:r>
      <w:r w:rsidRPr="00240730" w:rsidR="005E3A25">
        <w:t xml:space="preserve">early 2005 </w:t>
      </w:r>
      <w:r w:rsidRPr="00240730" w:rsidR="00AE08AE">
        <w:t>the company</w:t>
      </w:r>
      <w:r w:rsidRPr="00240730" w:rsidR="00240730">
        <w:t>’</w:t>
      </w:r>
      <w:r w:rsidRPr="00240730" w:rsidR="00AE08AE">
        <w:t xml:space="preserve">s </w:t>
      </w:r>
      <w:r w:rsidRPr="00240730" w:rsidR="00FA5D97">
        <w:t xml:space="preserve">committee of </w:t>
      </w:r>
      <w:r w:rsidRPr="00240730" w:rsidR="00AE08AE">
        <w:t xml:space="preserve">creditors </w:t>
      </w:r>
      <w:r w:rsidRPr="00240730">
        <w:t>lodged a</w:t>
      </w:r>
      <w:r w:rsidRPr="00240730" w:rsidR="00692385">
        <w:t>n</w:t>
      </w:r>
      <w:r w:rsidRPr="00240730">
        <w:t xml:space="preserve"> </w:t>
      </w:r>
      <w:r w:rsidRPr="00240730" w:rsidR="00692385">
        <w:t xml:space="preserve">application </w:t>
      </w:r>
      <w:r w:rsidRPr="00240730">
        <w:t>with a commercial court requesting to</w:t>
      </w:r>
      <w:r w:rsidRPr="00240730" w:rsidR="00AE08AE">
        <w:t xml:space="preserve"> place the FGUP in </w:t>
      </w:r>
      <w:r w:rsidRPr="00240730" w:rsidR="00B50619">
        <w:t>“</w:t>
      </w:r>
      <w:r w:rsidRPr="00240730" w:rsidR="00AE08AE">
        <w:t>externa</w:t>
      </w:r>
      <w:r w:rsidRPr="00240730" w:rsidR="00B50619">
        <w:t>l administration” (</w:t>
      </w:r>
      <w:r w:rsidRPr="00240730" w:rsidR="00AE08AE">
        <w:rPr>
          <w:i/>
          <w:lang w:val="ru-RU"/>
        </w:rPr>
        <w:t>внешнее</w:t>
      </w:r>
      <w:r w:rsidRPr="00240730" w:rsidR="00AE08AE">
        <w:rPr>
          <w:i/>
        </w:rPr>
        <w:t xml:space="preserve"> </w:t>
      </w:r>
      <w:r w:rsidRPr="00240730" w:rsidR="00AE08AE">
        <w:rPr>
          <w:i/>
          <w:lang w:val="ru-RU"/>
        </w:rPr>
        <w:t>управление</w:t>
      </w:r>
      <w:r w:rsidRPr="00240730" w:rsidR="00AE08AE">
        <w:t>)</w:t>
      </w:r>
      <w:r w:rsidRPr="00240730" w:rsidR="00B50619">
        <w:t>, a measure aimed at restoring the company</w:t>
      </w:r>
      <w:r w:rsidRPr="00240730" w:rsidR="00240730">
        <w:t>’</w:t>
      </w:r>
      <w:r w:rsidRPr="00240730">
        <w:t xml:space="preserve">s solvency </w:t>
      </w:r>
      <w:r w:rsidRPr="00240730" w:rsidR="0005434D">
        <w:rPr>
          <w:rFonts w:ascii="Source Sans Pro" w:hAnsi="Source Sans Pro"/>
        </w:rPr>
        <w:t>by applying special measures under an external administration plan</w:t>
      </w:r>
      <w:r w:rsidRPr="00240730">
        <w:rPr>
          <w:rFonts w:ascii="Source Sans Pro" w:hAnsi="Source Sans Pro"/>
        </w:rPr>
        <w:t>.</w:t>
      </w:r>
    </w:p>
    <w:bookmarkStart w:name="ExternalAdministrationPutInPlace0140305" w:id="2"/>
    <w:p w:rsidRPr="00240730" w:rsidR="00377D0B" w:rsidP="00240730" w:rsidRDefault="002C6927">
      <w:pPr>
        <w:pStyle w:val="ECHRPara"/>
      </w:pPr>
      <w:r w:rsidRPr="00240730">
        <w:fldChar w:fldCharType="begin"/>
      </w:r>
      <w:r w:rsidRPr="00240730">
        <w:instrText xml:space="preserve"> SEQ level0 \*arabic </w:instrText>
      </w:r>
      <w:r w:rsidRPr="00240730">
        <w:fldChar w:fldCharType="separate"/>
      </w:r>
      <w:r w:rsidRPr="00240730" w:rsidR="00240730">
        <w:rPr>
          <w:noProof/>
        </w:rPr>
        <w:t>10</w:t>
      </w:r>
      <w:r w:rsidRPr="00240730">
        <w:fldChar w:fldCharType="end"/>
      </w:r>
      <w:bookmarkEnd w:id="2"/>
      <w:r w:rsidRPr="00240730">
        <w:t>.  </w:t>
      </w:r>
      <w:r w:rsidRPr="00240730" w:rsidR="00AE08AE">
        <w:t>O</w:t>
      </w:r>
      <w:r w:rsidRPr="00240730" w:rsidR="00CF2E4C">
        <w:t>n</w:t>
      </w:r>
      <w:r w:rsidRPr="00240730" w:rsidR="004510CC">
        <w:t xml:space="preserve"> </w:t>
      </w:r>
      <w:r w:rsidRPr="00240730" w:rsidR="000B07BC">
        <w:t>14 March 2005 the Commercial Court</w:t>
      </w:r>
      <w:r w:rsidRPr="00240730" w:rsidR="00CF2E4C">
        <w:t xml:space="preserve"> </w:t>
      </w:r>
      <w:r w:rsidRPr="00240730" w:rsidR="00E76873">
        <w:t xml:space="preserve">of St Petersburg and the Leningrad Region </w:t>
      </w:r>
      <w:r w:rsidRPr="00240730" w:rsidR="00CF2E4C">
        <w:t xml:space="preserve">placed the </w:t>
      </w:r>
      <w:r w:rsidRPr="00240730" w:rsidR="004510CC">
        <w:t>FGUP in</w:t>
      </w:r>
      <w:r w:rsidRPr="00240730" w:rsidR="00CF2E4C">
        <w:t xml:space="preserve"> </w:t>
      </w:r>
      <w:r w:rsidRPr="00240730" w:rsidR="004510CC">
        <w:t>external administration</w:t>
      </w:r>
      <w:r w:rsidRPr="00240730" w:rsidR="00B50619">
        <w:t xml:space="preserve"> </w:t>
      </w:r>
      <w:r w:rsidRPr="00240730" w:rsidR="000B07BC">
        <w:t>for a period of eighteen months</w:t>
      </w:r>
      <w:r w:rsidRPr="00240730" w:rsidR="00E76873">
        <w:t xml:space="preserve"> and </w:t>
      </w:r>
      <w:r w:rsidRPr="00240730" w:rsidR="00251900">
        <w:t>approved</w:t>
      </w:r>
      <w:r w:rsidRPr="00240730" w:rsidR="004510CC">
        <w:t xml:space="preserve"> </w:t>
      </w:r>
      <w:r w:rsidRPr="00240730" w:rsidR="000B07BC">
        <w:t xml:space="preserve">an </w:t>
      </w:r>
      <w:r w:rsidRPr="00240730" w:rsidR="004510CC">
        <w:t>external manager</w:t>
      </w:r>
      <w:r w:rsidRPr="00240730" w:rsidR="000B07BC">
        <w:t xml:space="preserve"> (</w:t>
      </w:r>
      <w:r w:rsidRPr="00240730" w:rsidR="000B07BC">
        <w:rPr>
          <w:i/>
          <w:lang w:val="ru-RU"/>
        </w:rPr>
        <w:t>внешний</w:t>
      </w:r>
      <w:r w:rsidRPr="00240730" w:rsidR="000B07BC">
        <w:rPr>
          <w:i/>
        </w:rPr>
        <w:t xml:space="preserve"> </w:t>
      </w:r>
      <w:r w:rsidRPr="00240730" w:rsidR="000B07BC">
        <w:rPr>
          <w:i/>
          <w:lang w:val="ru-RU"/>
        </w:rPr>
        <w:t>управляющий</w:t>
      </w:r>
      <w:r w:rsidRPr="00240730" w:rsidR="000B07BC">
        <w:t>)</w:t>
      </w:r>
      <w:r w:rsidRPr="00240730" w:rsidR="00895293">
        <w:t>,</w:t>
      </w:r>
      <w:r w:rsidRPr="00240730">
        <w:t xml:space="preserve"> who </w:t>
      </w:r>
      <w:r w:rsidRPr="00240730">
        <w:rPr>
          <w:rFonts w:ascii="Source Sans Pro" w:hAnsi="Source Sans Pro"/>
        </w:rPr>
        <w:t>replaced the debtor</w:t>
      </w:r>
      <w:r w:rsidRPr="00240730" w:rsidR="00240730">
        <w:rPr>
          <w:rFonts w:ascii="Source Sans Pro" w:hAnsi="Source Sans Pro"/>
        </w:rPr>
        <w:t>’</w:t>
      </w:r>
      <w:r w:rsidRPr="00240730">
        <w:rPr>
          <w:rFonts w:ascii="Source Sans Pro" w:hAnsi="Source Sans Pro"/>
        </w:rPr>
        <w:t>s management</w:t>
      </w:r>
      <w:r w:rsidRPr="00240730" w:rsidR="000B07BC">
        <w:t>.</w:t>
      </w:r>
      <w:r w:rsidRPr="00240730" w:rsidR="004510CC">
        <w:t xml:space="preserve"> </w:t>
      </w:r>
      <w:r w:rsidRPr="00240730" w:rsidR="00CF2E4C">
        <w:t xml:space="preserve">On 26 June 2006 the same court extended the </w:t>
      </w:r>
      <w:r w:rsidRPr="00240730" w:rsidR="00087F6C">
        <w:t xml:space="preserve">administration </w:t>
      </w:r>
      <w:r w:rsidRPr="00240730" w:rsidR="004510CC">
        <w:t xml:space="preserve">for </w:t>
      </w:r>
      <w:r w:rsidRPr="00240730" w:rsidR="0051215D">
        <w:t xml:space="preserve">a </w:t>
      </w:r>
      <w:r w:rsidRPr="00240730" w:rsidR="00895293">
        <w:t xml:space="preserve">further </w:t>
      </w:r>
      <w:r w:rsidRPr="00240730" w:rsidR="0051215D">
        <w:t xml:space="preserve">six </w:t>
      </w:r>
      <w:r w:rsidRPr="00240730" w:rsidR="004510CC">
        <w:t>months.</w:t>
      </w:r>
    </w:p>
    <w:p w:rsidRPr="00240730" w:rsidR="000B07BC" w:rsidP="00240730" w:rsidRDefault="005C2039">
      <w:pPr>
        <w:pStyle w:val="ECHRHeading3"/>
      </w:pPr>
      <w:r w:rsidRPr="00240730">
        <w:t>2.</w:t>
      </w:r>
      <w:r w:rsidRPr="00240730" w:rsidR="000B07BC">
        <w:t>  Creation of a</w:t>
      </w:r>
      <w:r w:rsidRPr="00240730" w:rsidR="0047262E">
        <w:t xml:space="preserve"> joint-stock company</w:t>
      </w:r>
      <w:r w:rsidRPr="00240730" w:rsidR="000B07BC">
        <w:t>, transfer of assets and the applicants</w:t>
      </w:r>
      <w:r w:rsidRPr="00240730" w:rsidR="00240730">
        <w:t>’</w:t>
      </w:r>
      <w:r w:rsidRPr="00240730" w:rsidR="000B07BC">
        <w:t xml:space="preserve"> employment</w:t>
      </w:r>
    </w:p>
    <w:bookmarkStart w:name="ExternalAdministrationPlan" w:id="3"/>
    <w:p w:rsidRPr="00240730" w:rsidR="00E76873" w:rsidP="00240730" w:rsidRDefault="002C6927">
      <w:pPr>
        <w:pStyle w:val="ECHRPara"/>
      </w:pPr>
      <w:r w:rsidRPr="00240730">
        <w:fldChar w:fldCharType="begin"/>
      </w:r>
      <w:r w:rsidRPr="00240730">
        <w:instrText xml:space="preserve"> SEQ level0 \*arabic </w:instrText>
      </w:r>
      <w:r w:rsidRPr="00240730">
        <w:fldChar w:fldCharType="separate"/>
      </w:r>
      <w:r w:rsidRPr="00240730" w:rsidR="00240730">
        <w:rPr>
          <w:noProof/>
        </w:rPr>
        <w:t>11</w:t>
      </w:r>
      <w:r w:rsidRPr="00240730">
        <w:fldChar w:fldCharType="end"/>
      </w:r>
      <w:bookmarkEnd w:id="3"/>
      <w:r w:rsidRPr="00240730">
        <w:t xml:space="preserve">.  The external manager prepared an external </w:t>
      </w:r>
      <w:r w:rsidRPr="00240730" w:rsidR="002A5B6B">
        <w:t xml:space="preserve">administration </w:t>
      </w:r>
      <w:r w:rsidRPr="00240730">
        <w:t xml:space="preserve">plan </w:t>
      </w:r>
      <w:r w:rsidRPr="00240730" w:rsidR="002A5B6B">
        <w:t xml:space="preserve">to </w:t>
      </w:r>
      <w:r w:rsidRPr="00240730">
        <w:t>restor</w:t>
      </w:r>
      <w:r w:rsidRPr="00240730" w:rsidR="002A5B6B">
        <w:t>e</w:t>
      </w:r>
      <w:r w:rsidRPr="00240730">
        <w:t xml:space="preserve"> the FGUP</w:t>
      </w:r>
      <w:r w:rsidRPr="00240730" w:rsidR="00240730">
        <w:t>’</w:t>
      </w:r>
      <w:r w:rsidRPr="00240730">
        <w:t>s solvency</w:t>
      </w:r>
      <w:r w:rsidRPr="00240730" w:rsidR="00E76873">
        <w:t xml:space="preserve">. The plan included, </w:t>
      </w:r>
      <w:r w:rsidRPr="00240730" w:rsidR="00E76873">
        <w:rPr>
          <w:i/>
        </w:rPr>
        <w:t>inter alia</w:t>
      </w:r>
      <w:r w:rsidRPr="00240730" w:rsidR="00E76873">
        <w:t>,</w:t>
      </w:r>
      <w:r w:rsidRPr="00240730" w:rsidR="002A5B6B">
        <w:t xml:space="preserve"> a</w:t>
      </w:r>
      <w:r w:rsidRPr="00240730" w:rsidR="00E76873">
        <w:t xml:space="preserve"> “substitution of assets” (“</w:t>
      </w:r>
      <w:proofErr w:type="spellStart"/>
      <w:r w:rsidRPr="00240730" w:rsidR="00E76873">
        <w:rPr>
          <w:i/>
        </w:rPr>
        <w:t>замещение</w:t>
      </w:r>
      <w:proofErr w:type="spellEnd"/>
      <w:r w:rsidRPr="00240730" w:rsidR="00E76873">
        <w:rPr>
          <w:i/>
        </w:rPr>
        <w:t xml:space="preserve"> </w:t>
      </w:r>
      <w:proofErr w:type="spellStart"/>
      <w:r w:rsidRPr="00240730" w:rsidR="00E76873">
        <w:rPr>
          <w:i/>
        </w:rPr>
        <w:t>активов</w:t>
      </w:r>
      <w:proofErr w:type="spellEnd"/>
      <w:r w:rsidRPr="00240730" w:rsidR="005609A8">
        <w:t>”</w:t>
      </w:r>
      <w:r w:rsidRPr="00240730" w:rsidR="00E76873">
        <w:t>, see paragraph </w:t>
      </w:r>
      <w:r w:rsidRPr="00240730" w:rsidR="0090182B">
        <w:fldChar w:fldCharType="begin"/>
      </w:r>
      <w:r w:rsidRPr="00240730" w:rsidR="0090182B">
        <w:instrText xml:space="preserve"> REF Section115IASubstitutionAssets \h </w:instrText>
      </w:r>
      <w:r w:rsidRPr="00240730" w:rsidR="0090182B">
        <w:fldChar w:fldCharType="separate"/>
      </w:r>
      <w:r w:rsidRPr="00240730" w:rsidR="00240730">
        <w:rPr>
          <w:noProof/>
        </w:rPr>
        <w:t>74</w:t>
      </w:r>
      <w:r w:rsidRPr="00240730" w:rsidR="0090182B">
        <w:fldChar w:fldCharType="end"/>
      </w:r>
      <w:r w:rsidRPr="00240730" w:rsidR="00E76873">
        <w:t xml:space="preserve"> below)</w:t>
      </w:r>
      <w:r w:rsidRPr="00240730" w:rsidR="002A5B6B">
        <w:t>, to be achieved</w:t>
      </w:r>
      <w:r w:rsidRPr="00240730" w:rsidR="00E76873">
        <w:t xml:space="preserve"> by creating an open joint-stock company </w:t>
      </w:r>
      <w:r w:rsidRPr="00240730" w:rsidR="0047262E">
        <w:t xml:space="preserve">(“the OAO”) </w:t>
      </w:r>
      <w:r w:rsidRPr="00240730" w:rsidR="00E76873">
        <w:t>and transferring the entirety of the FGUP</w:t>
      </w:r>
      <w:r w:rsidRPr="00240730" w:rsidR="00240730">
        <w:t>’</w:t>
      </w:r>
      <w:r w:rsidRPr="00240730" w:rsidR="00E76873">
        <w:t>s assets thereto as</w:t>
      </w:r>
      <w:r w:rsidRPr="00240730" w:rsidR="00FD37A7">
        <w:t xml:space="preserve"> a</w:t>
      </w:r>
      <w:r w:rsidRPr="00240730" w:rsidR="00E76873">
        <w:t xml:space="preserve"> capital contribution.</w:t>
      </w:r>
    </w:p>
    <w:p w:rsidRPr="00240730" w:rsidR="00377D0B" w:rsidP="00240730" w:rsidRDefault="00E76873">
      <w:pPr>
        <w:pStyle w:val="ECHRPara"/>
      </w:pPr>
      <w:r w:rsidRPr="00240730">
        <w:fldChar w:fldCharType="begin"/>
      </w:r>
      <w:r w:rsidRPr="00240730">
        <w:instrText xml:space="preserve"> SEQ level0 \*arabic </w:instrText>
      </w:r>
      <w:r w:rsidRPr="00240730">
        <w:fldChar w:fldCharType="separate"/>
      </w:r>
      <w:r w:rsidRPr="00240730" w:rsidR="00240730">
        <w:rPr>
          <w:noProof/>
        </w:rPr>
        <w:t>12</w:t>
      </w:r>
      <w:r w:rsidRPr="00240730">
        <w:fldChar w:fldCharType="end"/>
      </w:r>
      <w:r w:rsidRPr="00240730">
        <w:t>.  On 16 May 2005 the plan</w:t>
      </w:r>
      <w:r w:rsidRPr="00240730" w:rsidR="002C6927">
        <w:t xml:space="preserve"> was approved by the creditors</w:t>
      </w:r>
      <w:r w:rsidRPr="00240730" w:rsidR="00240730">
        <w:t>’</w:t>
      </w:r>
      <w:r w:rsidRPr="00240730" w:rsidR="002C6927">
        <w:t xml:space="preserve"> </w:t>
      </w:r>
      <w:r w:rsidRPr="00240730" w:rsidR="002A5B6B">
        <w:t>committee</w:t>
      </w:r>
      <w:r w:rsidRPr="00240730" w:rsidR="002C6927">
        <w:t>.</w:t>
      </w:r>
    </w:p>
    <w:bookmarkStart w:name="Letter28062005FederalAgencyGenlApproval" w:id="4"/>
    <w:p w:rsidRPr="00240730" w:rsidR="00377D0B" w:rsidP="00240730" w:rsidRDefault="00174990">
      <w:pPr>
        <w:pStyle w:val="ECHRPara"/>
      </w:pPr>
      <w:r w:rsidRPr="00240730">
        <w:fldChar w:fldCharType="begin"/>
      </w:r>
      <w:r w:rsidRPr="00240730">
        <w:instrText xml:space="preserve"> SEQ level0 \*arabic </w:instrText>
      </w:r>
      <w:r w:rsidRPr="00240730">
        <w:fldChar w:fldCharType="separate"/>
      </w:r>
      <w:r w:rsidRPr="00240730" w:rsidR="00240730">
        <w:rPr>
          <w:noProof/>
        </w:rPr>
        <w:t>13</w:t>
      </w:r>
      <w:r w:rsidRPr="00240730">
        <w:fldChar w:fldCharType="end"/>
      </w:r>
      <w:bookmarkEnd w:id="4"/>
      <w:r w:rsidRPr="00240730">
        <w:t>.  </w:t>
      </w:r>
      <w:r w:rsidRPr="00240730" w:rsidR="009B7B25">
        <w:t xml:space="preserve">It appears from the </w:t>
      </w:r>
      <w:r w:rsidRPr="00240730" w:rsidR="002A5B6B">
        <w:t xml:space="preserve">relevant </w:t>
      </w:r>
      <w:r w:rsidRPr="00240730" w:rsidR="009B7B25">
        <w:t>domestic court decision (see paragraph </w:t>
      </w:r>
      <w:r w:rsidRPr="00240730" w:rsidR="009256F9">
        <w:fldChar w:fldCharType="begin"/>
      </w:r>
      <w:r w:rsidRPr="00240730" w:rsidR="009256F9">
        <w:instrText xml:space="preserve"> REF Judgment19102007 \h </w:instrText>
      </w:r>
      <w:r w:rsidRPr="00240730" w:rsidR="009256F9">
        <w:fldChar w:fldCharType="separate"/>
      </w:r>
      <w:r w:rsidRPr="00240730" w:rsidR="00240730">
        <w:rPr>
          <w:noProof/>
        </w:rPr>
        <w:t>21</w:t>
      </w:r>
      <w:r w:rsidRPr="00240730" w:rsidR="009256F9">
        <w:fldChar w:fldCharType="end"/>
      </w:r>
      <w:r w:rsidRPr="00240730" w:rsidR="009B7B25">
        <w:t xml:space="preserve"> below) that by letter no. CC-08/14269 of</w:t>
      </w:r>
      <w:r w:rsidRPr="00240730">
        <w:t xml:space="preserve"> 28 June</w:t>
      </w:r>
      <w:r w:rsidRPr="00240730" w:rsidR="009B7B25">
        <w:t xml:space="preserve"> 2005</w:t>
      </w:r>
      <w:r w:rsidRPr="00240730">
        <w:t xml:space="preserve"> the Federal</w:t>
      </w:r>
      <w:r w:rsidRPr="00240730" w:rsidR="009B7B25">
        <w:t xml:space="preserve"> State Assets Management Agency informed an unspecified recipient (apparently the OAO) of its decision to approve the major provisions of the external </w:t>
      </w:r>
      <w:r w:rsidRPr="00240730" w:rsidR="002A5B6B">
        <w:t xml:space="preserve">administration </w:t>
      </w:r>
      <w:r w:rsidRPr="00240730" w:rsidR="009B7B25">
        <w:t>plan</w:t>
      </w:r>
      <w:r w:rsidRPr="00240730" w:rsidR="000D6536">
        <w:t xml:space="preserve"> and</w:t>
      </w:r>
      <w:r w:rsidRPr="00240730" w:rsidR="009B7B25">
        <w:t>, in</w:t>
      </w:r>
      <w:r w:rsidRPr="00240730" w:rsidR="000D6536">
        <w:t xml:space="preserve"> particular, </w:t>
      </w:r>
      <w:r w:rsidRPr="00240730" w:rsidR="00FA5D97">
        <w:t xml:space="preserve">the </w:t>
      </w:r>
      <w:r w:rsidRPr="00240730" w:rsidR="000D6536">
        <w:t xml:space="preserve">substitution of assets </w:t>
      </w:r>
      <w:r w:rsidRPr="00240730" w:rsidR="00FA5D97">
        <w:t xml:space="preserve">involving a </w:t>
      </w:r>
      <w:r w:rsidRPr="00240730" w:rsidR="002A5B6B">
        <w:t xml:space="preserve">transfer of </w:t>
      </w:r>
      <w:r w:rsidRPr="00240730" w:rsidR="000D6536">
        <w:t>the debtor</w:t>
      </w:r>
      <w:r w:rsidRPr="00240730" w:rsidR="00240730">
        <w:t>’</w:t>
      </w:r>
      <w:r w:rsidRPr="00240730" w:rsidR="000D6536">
        <w:t xml:space="preserve">s assets </w:t>
      </w:r>
      <w:r w:rsidRPr="00240730" w:rsidR="00FD37A7">
        <w:t>to the newly</w:t>
      </w:r>
      <w:r w:rsidRPr="00240730" w:rsidR="00A10F6A">
        <w:t xml:space="preserve"> </w:t>
      </w:r>
      <w:r w:rsidRPr="00240730" w:rsidR="00FD37A7">
        <w:t>created joint-stock company</w:t>
      </w:r>
      <w:r w:rsidRPr="00240730" w:rsidDel="002A5B6B" w:rsidR="00FD37A7">
        <w:t xml:space="preserve"> </w:t>
      </w:r>
      <w:r w:rsidRPr="00240730" w:rsidR="000D6536">
        <w:t xml:space="preserve">as </w:t>
      </w:r>
      <w:r w:rsidRPr="00240730" w:rsidR="00FD37A7">
        <w:t xml:space="preserve">a </w:t>
      </w:r>
      <w:r w:rsidRPr="00240730" w:rsidR="000D6536">
        <w:t xml:space="preserve">capital contribution, as a measure </w:t>
      </w:r>
      <w:r w:rsidRPr="00240730" w:rsidR="005609A8">
        <w:t xml:space="preserve">to restore </w:t>
      </w:r>
      <w:r w:rsidRPr="00240730" w:rsidR="000D6536">
        <w:t>the debtor</w:t>
      </w:r>
      <w:r w:rsidRPr="00240730" w:rsidR="00240730">
        <w:t>’</w:t>
      </w:r>
      <w:r w:rsidRPr="00240730" w:rsidR="000D6536">
        <w:t>s solvency.</w:t>
      </w:r>
      <w:r w:rsidRPr="00240730" w:rsidR="002A5B6B">
        <w:t xml:space="preserve"> </w:t>
      </w:r>
      <w:r w:rsidRPr="00240730" w:rsidR="000D6536">
        <w:t>The letter indicat</w:t>
      </w:r>
      <w:r w:rsidRPr="00240730" w:rsidR="005609A8">
        <w:t xml:space="preserve">ed </w:t>
      </w:r>
      <w:r w:rsidRPr="00240730" w:rsidR="000D6536">
        <w:t>that transactions with the newly</w:t>
      </w:r>
      <w:r w:rsidRPr="00240730" w:rsidR="005609A8">
        <w:t xml:space="preserve"> </w:t>
      </w:r>
      <w:r w:rsidRPr="00240730" w:rsidR="000D6536">
        <w:t>created company</w:t>
      </w:r>
      <w:r w:rsidRPr="00240730" w:rsidR="00240730">
        <w:t>’</w:t>
      </w:r>
      <w:r w:rsidRPr="00240730" w:rsidR="000D6536">
        <w:t xml:space="preserve">s shares and </w:t>
      </w:r>
      <w:r w:rsidRPr="00240730" w:rsidR="00FD37A7">
        <w:t>immovable property</w:t>
      </w:r>
      <w:r w:rsidRPr="00240730" w:rsidR="000D6536">
        <w:t xml:space="preserve"> </w:t>
      </w:r>
      <w:proofErr w:type="gramStart"/>
      <w:r w:rsidRPr="00240730" w:rsidR="000D6536">
        <w:t>effected</w:t>
      </w:r>
      <w:proofErr w:type="gramEnd"/>
      <w:r w:rsidRPr="00240730" w:rsidR="000D6536">
        <w:t xml:space="preserve"> in accordance with the external </w:t>
      </w:r>
      <w:r w:rsidRPr="00240730" w:rsidR="00FD37A7">
        <w:t xml:space="preserve">administration </w:t>
      </w:r>
      <w:r w:rsidRPr="00240730" w:rsidR="000D6536">
        <w:t xml:space="preserve">plan required an expert examination </w:t>
      </w:r>
      <w:r w:rsidRPr="00240730" w:rsidR="00FD37A7">
        <w:t xml:space="preserve">by </w:t>
      </w:r>
      <w:r w:rsidRPr="00240730" w:rsidR="000D6536">
        <w:t>the Federal State Assets Management Agency.</w:t>
      </w:r>
    </w:p>
    <w:bookmarkStart w:name="AssessmentAssets01092005" w:id="5"/>
    <w:p w:rsidRPr="00240730" w:rsidR="00BB2DC5" w:rsidP="00240730" w:rsidRDefault="00BB2DC5">
      <w:pPr>
        <w:pStyle w:val="ECHRPara"/>
      </w:pPr>
      <w:r w:rsidRPr="00240730">
        <w:fldChar w:fldCharType="begin"/>
      </w:r>
      <w:r w:rsidRPr="00240730">
        <w:instrText xml:space="preserve"> SEQ level0 \*arabic </w:instrText>
      </w:r>
      <w:r w:rsidRPr="00240730">
        <w:fldChar w:fldCharType="separate"/>
      </w:r>
      <w:r w:rsidRPr="00240730" w:rsidR="00240730">
        <w:rPr>
          <w:noProof/>
        </w:rPr>
        <w:t>14</w:t>
      </w:r>
      <w:r w:rsidRPr="00240730">
        <w:fldChar w:fldCharType="end"/>
      </w:r>
      <w:bookmarkEnd w:id="5"/>
      <w:r w:rsidRPr="00240730">
        <w:t>.  </w:t>
      </w:r>
      <w:r w:rsidRPr="00240730" w:rsidR="001302A2">
        <w:t>On 1 September 2006</w:t>
      </w:r>
      <w:r w:rsidRPr="00240730">
        <w:t xml:space="preserve"> an independent market </w:t>
      </w:r>
      <w:r w:rsidRPr="00240730" w:rsidR="007F588D">
        <w:t xml:space="preserve">valuation </w:t>
      </w:r>
      <w:r w:rsidRPr="00240730">
        <w:t>of the company</w:t>
      </w:r>
      <w:r w:rsidRPr="00240730" w:rsidR="00240730">
        <w:t>’</w:t>
      </w:r>
      <w:r w:rsidRPr="00240730">
        <w:t>s assets was conducted.</w:t>
      </w:r>
    </w:p>
    <w:p w:rsidRPr="00240730" w:rsidR="000B07BC" w:rsidP="00240730" w:rsidRDefault="00CF2B22">
      <w:pPr>
        <w:pStyle w:val="ECHRPara"/>
      </w:pPr>
      <w:r w:rsidRPr="00240730">
        <w:fldChar w:fldCharType="begin"/>
      </w:r>
      <w:r w:rsidRPr="00240730">
        <w:instrText xml:space="preserve"> SEQ level0 \*arabic </w:instrText>
      </w:r>
      <w:r w:rsidRPr="00240730">
        <w:fldChar w:fldCharType="separate"/>
      </w:r>
      <w:r w:rsidRPr="00240730" w:rsidR="00240730">
        <w:rPr>
          <w:noProof/>
        </w:rPr>
        <w:t>15</w:t>
      </w:r>
      <w:r w:rsidRPr="00240730">
        <w:fldChar w:fldCharType="end"/>
      </w:r>
      <w:r w:rsidRPr="00240730">
        <w:t>.  </w:t>
      </w:r>
      <w:r w:rsidRPr="00240730" w:rsidR="000B07BC">
        <w:t xml:space="preserve">By a decision of 25 December 2006 the external manager </w:t>
      </w:r>
      <w:r w:rsidRPr="00240730" w:rsidR="00FD37A7">
        <w:t>(</w:t>
      </w:r>
      <w:r w:rsidRPr="00240730" w:rsidR="000B07BC">
        <w:t>acting on behalf of the FGUP</w:t>
      </w:r>
      <w:r w:rsidRPr="00240730" w:rsidR="00FD37A7">
        <w:t>)</w:t>
      </w:r>
      <w:r w:rsidRPr="00240730" w:rsidR="000B07BC">
        <w:t xml:space="preserve"> created the open joint-stock company </w:t>
      </w:r>
      <w:proofErr w:type="spellStart"/>
      <w:r w:rsidRPr="00240730" w:rsidR="000B07BC">
        <w:t>Kronstadt</w:t>
      </w:r>
      <w:proofErr w:type="spellEnd"/>
      <w:r w:rsidRPr="00240730" w:rsidR="000B07BC">
        <w:t xml:space="preserve"> Marine Plant Awarded the Order of Lenin</w:t>
      </w:r>
      <w:r w:rsidRPr="00240730" w:rsidDel="00D34246" w:rsidR="000B07BC">
        <w:t xml:space="preserve"> </w:t>
      </w:r>
      <w:r w:rsidRPr="00240730" w:rsidR="000B07BC">
        <w:t>(</w:t>
      </w:r>
      <w:proofErr w:type="spellStart"/>
      <w:r w:rsidRPr="00240730" w:rsidR="000B07BC">
        <w:rPr>
          <w:i/>
        </w:rPr>
        <w:t>Kronshtadtskiy</w:t>
      </w:r>
      <w:proofErr w:type="spellEnd"/>
      <w:r w:rsidRPr="00240730" w:rsidR="000B07BC">
        <w:rPr>
          <w:i/>
        </w:rPr>
        <w:t xml:space="preserve"> </w:t>
      </w:r>
      <w:proofErr w:type="spellStart"/>
      <w:r w:rsidRPr="00240730" w:rsidR="000B07BC">
        <w:rPr>
          <w:i/>
        </w:rPr>
        <w:t>morskoy</w:t>
      </w:r>
      <w:proofErr w:type="spellEnd"/>
      <w:r w:rsidRPr="00240730" w:rsidR="000B07BC">
        <w:rPr>
          <w:i/>
        </w:rPr>
        <w:t xml:space="preserve"> </w:t>
      </w:r>
      <w:proofErr w:type="spellStart"/>
      <w:r w:rsidRPr="00240730" w:rsidR="000B07BC">
        <w:rPr>
          <w:i/>
        </w:rPr>
        <w:t>ordena</w:t>
      </w:r>
      <w:proofErr w:type="spellEnd"/>
      <w:r w:rsidRPr="00240730" w:rsidR="000B07BC">
        <w:rPr>
          <w:i/>
        </w:rPr>
        <w:t xml:space="preserve"> </w:t>
      </w:r>
      <w:proofErr w:type="spellStart"/>
      <w:r w:rsidRPr="00240730" w:rsidR="000B07BC">
        <w:rPr>
          <w:i/>
        </w:rPr>
        <w:t>Lenina</w:t>
      </w:r>
      <w:proofErr w:type="spellEnd"/>
      <w:r w:rsidRPr="00240730" w:rsidR="000B07BC">
        <w:rPr>
          <w:i/>
        </w:rPr>
        <w:t xml:space="preserve"> </w:t>
      </w:r>
      <w:proofErr w:type="spellStart"/>
      <w:r w:rsidRPr="00240730" w:rsidR="000B07BC">
        <w:rPr>
          <w:i/>
        </w:rPr>
        <w:t>zavod</w:t>
      </w:r>
      <w:proofErr w:type="spellEnd"/>
      <w:r w:rsidRPr="00240730" w:rsidR="000B07BC">
        <w:rPr>
          <w:i/>
        </w:rPr>
        <w:t xml:space="preserve"> </w:t>
      </w:r>
      <w:r w:rsidRPr="00240730" w:rsidR="000B07BC">
        <w:t>– “the OAO”) and transferred the major assets allocated under the FGUP</w:t>
      </w:r>
      <w:r w:rsidRPr="00240730" w:rsidR="00240730">
        <w:t>’</w:t>
      </w:r>
      <w:r w:rsidRPr="00240730" w:rsidR="000B07BC">
        <w:t xml:space="preserve">s economic control </w:t>
      </w:r>
      <w:r w:rsidRPr="00240730" w:rsidR="00E76873">
        <w:t>(a total of 184</w:t>
      </w:r>
      <w:r w:rsidRPr="00240730" w:rsidR="005609A8">
        <w:t xml:space="preserve"> items</w:t>
      </w:r>
      <w:r w:rsidRPr="00240730" w:rsidR="00E76873">
        <w:t xml:space="preserve">, including buildings and watercraft) </w:t>
      </w:r>
      <w:r w:rsidRPr="00240730" w:rsidR="000B07BC">
        <w:t>to the OAO as a capital contribution, with effect from 1 March 2007.</w:t>
      </w:r>
    </w:p>
    <w:bookmarkStart w:name="FGUPfounderOAO" w:id="6"/>
    <w:p w:rsidRPr="00240730" w:rsidR="00E2289C" w:rsidP="00240730" w:rsidRDefault="00477D61">
      <w:pPr>
        <w:pStyle w:val="ECHRPara"/>
      </w:pPr>
      <w:r w:rsidRPr="00240730">
        <w:fldChar w:fldCharType="begin"/>
      </w:r>
      <w:r w:rsidRPr="00240730">
        <w:instrText xml:space="preserve"> SEQ level0 \*arabic </w:instrText>
      </w:r>
      <w:r w:rsidRPr="00240730">
        <w:fldChar w:fldCharType="separate"/>
      </w:r>
      <w:r w:rsidRPr="00240730" w:rsidR="00240730">
        <w:rPr>
          <w:noProof/>
        </w:rPr>
        <w:t>16</w:t>
      </w:r>
      <w:r w:rsidRPr="00240730">
        <w:rPr>
          <w:noProof/>
        </w:rPr>
        <w:fldChar w:fldCharType="end"/>
      </w:r>
      <w:bookmarkEnd w:id="6"/>
      <w:r w:rsidRPr="00240730" w:rsidR="00B67CF4">
        <w:t>.  The FGUP was the company</w:t>
      </w:r>
      <w:r w:rsidRPr="00240730" w:rsidR="00240730">
        <w:t>’</w:t>
      </w:r>
      <w:r w:rsidRPr="00240730" w:rsidR="00B67CF4">
        <w:t xml:space="preserve">s </w:t>
      </w:r>
      <w:r w:rsidRPr="00240730" w:rsidR="00120C9D">
        <w:t xml:space="preserve">only </w:t>
      </w:r>
      <w:r w:rsidRPr="00240730" w:rsidR="00B67CF4">
        <w:t>founder</w:t>
      </w:r>
      <w:r w:rsidRPr="00240730" w:rsidR="0005534E">
        <w:t>.</w:t>
      </w:r>
    </w:p>
    <w:p w:rsidRPr="00240730" w:rsidR="000B07BC" w:rsidP="00240730" w:rsidRDefault="000B07BC">
      <w:pPr>
        <w:pStyle w:val="ECHRPara"/>
      </w:pPr>
      <w:r w:rsidRPr="00240730">
        <w:fldChar w:fldCharType="begin"/>
      </w:r>
      <w:r w:rsidRPr="00240730">
        <w:instrText xml:space="preserve"> SEQ level0 \*arabic </w:instrText>
      </w:r>
      <w:r w:rsidRPr="00240730">
        <w:fldChar w:fldCharType="separate"/>
      </w:r>
      <w:r w:rsidRPr="00240730" w:rsidR="00240730">
        <w:rPr>
          <w:noProof/>
        </w:rPr>
        <w:t>17</w:t>
      </w:r>
      <w:r w:rsidRPr="00240730">
        <w:fldChar w:fldCharType="end"/>
      </w:r>
      <w:r w:rsidRPr="00240730">
        <w:t>.  The FGUP employees, including the applicants, were accordingly registered as working for the OAO from that later date.</w:t>
      </w:r>
    </w:p>
    <w:p w:rsidRPr="00240730" w:rsidR="000B07BC" w:rsidP="00240730" w:rsidRDefault="000B07BC">
      <w:pPr>
        <w:pStyle w:val="ECHRPara"/>
      </w:pPr>
      <w:r w:rsidRPr="00240730">
        <w:fldChar w:fldCharType="begin"/>
      </w:r>
      <w:r w:rsidRPr="00240730">
        <w:instrText xml:space="preserve"> SEQ level0 \*arabic </w:instrText>
      </w:r>
      <w:r w:rsidRPr="00240730">
        <w:fldChar w:fldCharType="separate"/>
      </w:r>
      <w:r w:rsidRPr="00240730" w:rsidR="00240730">
        <w:rPr>
          <w:noProof/>
        </w:rPr>
        <w:t>18</w:t>
      </w:r>
      <w:r w:rsidRPr="00240730">
        <w:fldChar w:fldCharType="end"/>
      </w:r>
      <w:r w:rsidRPr="00240730">
        <w:t xml:space="preserve">.  On 9 February 2007 </w:t>
      </w:r>
      <w:r w:rsidRPr="00240730" w:rsidR="00F04586">
        <w:t xml:space="preserve">the </w:t>
      </w:r>
      <w:r w:rsidRPr="00240730">
        <w:t>FGUP</w:t>
      </w:r>
      <w:r w:rsidRPr="00240730" w:rsidR="00240730">
        <w:t>’</w:t>
      </w:r>
      <w:r w:rsidRPr="00240730">
        <w:t>s assets were transferred to the OAO</w:t>
      </w:r>
      <w:r w:rsidRPr="00240730" w:rsidR="00F04586">
        <w:t xml:space="preserve"> in accordance with </w:t>
      </w:r>
      <w:r w:rsidRPr="00240730" w:rsidR="009026EF">
        <w:t>a</w:t>
      </w:r>
      <w:r w:rsidRPr="00240730" w:rsidR="00F04586">
        <w:t xml:space="preserve"> transfer </w:t>
      </w:r>
      <w:r w:rsidRPr="00240730" w:rsidR="0061109E">
        <w:t xml:space="preserve">deed </w:t>
      </w:r>
      <w:r w:rsidRPr="00240730" w:rsidR="00F04586">
        <w:t>signed on that date</w:t>
      </w:r>
      <w:r w:rsidRPr="00240730">
        <w:t>.</w:t>
      </w:r>
    </w:p>
    <w:p w:rsidRPr="00240730" w:rsidR="00B603FF" w:rsidP="00240730" w:rsidRDefault="00B603FF">
      <w:pPr>
        <w:pStyle w:val="ECHRHeading3"/>
      </w:pPr>
      <w:r w:rsidRPr="00240730">
        <w:t xml:space="preserve">3.  Annulment of the </w:t>
      </w:r>
      <w:r w:rsidRPr="00240730" w:rsidR="005609A8">
        <w:t xml:space="preserve">creation of the </w:t>
      </w:r>
      <w:r w:rsidRPr="00240730">
        <w:t>OAO and transfer</w:t>
      </w:r>
      <w:r w:rsidRPr="00240730" w:rsidR="005609A8">
        <w:t xml:space="preserve"> of assets</w:t>
      </w:r>
    </w:p>
    <w:bookmarkStart w:name="UnitedShipBuildingCo" w:id="7"/>
    <w:p w:rsidRPr="00240730" w:rsidR="00377D0B" w:rsidP="00240730" w:rsidRDefault="00A52AA3">
      <w:pPr>
        <w:pStyle w:val="ECHRPara"/>
      </w:pPr>
      <w:r w:rsidRPr="00240730">
        <w:fldChar w:fldCharType="begin"/>
      </w:r>
      <w:r w:rsidRPr="00240730">
        <w:instrText xml:space="preserve"> SEQ level0 \*arabic </w:instrText>
      </w:r>
      <w:r w:rsidRPr="00240730">
        <w:fldChar w:fldCharType="separate"/>
      </w:r>
      <w:r w:rsidRPr="00240730" w:rsidR="00240730">
        <w:rPr>
          <w:noProof/>
        </w:rPr>
        <w:t>19</w:t>
      </w:r>
      <w:r w:rsidRPr="00240730">
        <w:fldChar w:fldCharType="end"/>
      </w:r>
      <w:bookmarkEnd w:id="7"/>
      <w:r w:rsidRPr="00240730">
        <w:t xml:space="preserve">.  By Decree no. 394 of 21 March 2007 the President of the Russian Federation ordered that the </w:t>
      </w:r>
      <w:proofErr w:type="spellStart"/>
      <w:r w:rsidRPr="00240730">
        <w:t>Kronstadt</w:t>
      </w:r>
      <w:proofErr w:type="spellEnd"/>
      <w:r w:rsidRPr="00240730">
        <w:t xml:space="preserve"> Marine Plant be included in </w:t>
      </w:r>
      <w:r w:rsidRPr="00240730" w:rsidR="00524DC2">
        <w:t xml:space="preserve">the </w:t>
      </w:r>
      <w:r w:rsidRPr="00240730" w:rsidR="002000E9">
        <w:t>United</w:t>
      </w:r>
      <w:r w:rsidRPr="00240730">
        <w:t xml:space="preserve"> Shipbuilding Corporation</w:t>
      </w:r>
      <w:r w:rsidRPr="00240730" w:rsidR="00524DC2">
        <w:t xml:space="preserve">, which </w:t>
      </w:r>
      <w:r w:rsidRPr="00240730" w:rsidR="005609A8">
        <w:t>had been</w:t>
      </w:r>
      <w:r w:rsidRPr="00240730" w:rsidR="009538A4">
        <w:t xml:space="preserve"> </w:t>
      </w:r>
      <w:r w:rsidRPr="00240730" w:rsidR="00524DC2">
        <w:t xml:space="preserve">created </w:t>
      </w:r>
      <w:r w:rsidRPr="00240730" w:rsidR="009538A4">
        <w:t xml:space="preserve">to unite the major shipbuilding companies, ship repair yards </w:t>
      </w:r>
      <w:r w:rsidRPr="00240730" w:rsidR="002000E9">
        <w:t xml:space="preserve">and maintenance </w:t>
      </w:r>
      <w:r w:rsidRPr="00240730" w:rsidR="009538A4">
        <w:t xml:space="preserve">companies across Russia, </w:t>
      </w:r>
      <w:r w:rsidRPr="00240730" w:rsidR="002000E9">
        <w:t>to streamline</w:t>
      </w:r>
      <w:r w:rsidRPr="00240730" w:rsidR="009538A4">
        <w:t xml:space="preserve"> and consolidate </w:t>
      </w:r>
      <w:r w:rsidRPr="00240730" w:rsidR="002000E9">
        <w:t>civilian shipbuilding using military facilities.</w:t>
      </w:r>
    </w:p>
    <w:bookmarkStart w:name="ProsecutorBringsClaimAnnulOAOcreation" w:id="8"/>
    <w:p w:rsidRPr="00240730" w:rsidR="00377D0B" w:rsidP="00240730" w:rsidRDefault="000B07BC">
      <w:pPr>
        <w:pStyle w:val="ECHRPara"/>
      </w:pPr>
      <w:r w:rsidRPr="00240730">
        <w:fldChar w:fldCharType="begin"/>
      </w:r>
      <w:r w:rsidRPr="00240730">
        <w:instrText xml:space="preserve"> SEQ level0 \*arabic </w:instrText>
      </w:r>
      <w:r w:rsidRPr="00240730">
        <w:fldChar w:fldCharType="separate"/>
      </w:r>
      <w:r w:rsidRPr="00240730" w:rsidR="00240730">
        <w:rPr>
          <w:noProof/>
        </w:rPr>
        <w:t>20</w:t>
      </w:r>
      <w:r w:rsidRPr="00240730">
        <w:fldChar w:fldCharType="end"/>
      </w:r>
      <w:bookmarkEnd w:id="8"/>
      <w:r w:rsidRPr="00240730">
        <w:t>.  T</w:t>
      </w:r>
      <w:r w:rsidRPr="00240730" w:rsidR="004510CC">
        <w:t>he military prosecutor, acting in the interest</w:t>
      </w:r>
      <w:r w:rsidRPr="00240730" w:rsidR="00FD37A7">
        <w:t>s</w:t>
      </w:r>
      <w:r w:rsidRPr="00240730" w:rsidR="004510CC">
        <w:t xml:space="preserve"> of the </w:t>
      </w:r>
      <w:r w:rsidRPr="00240730" w:rsidR="00CF2B22">
        <w:t xml:space="preserve">Russian Federation, </w:t>
      </w:r>
      <w:r w:rsidRPr="00240730" w:rsidR="009B7B25">
        <w:t xml:space="preserve">the </w:t>
      </w:r>
      <w:r w:rsidRPr="00240730" w:rsidR="00CF2B22">
        <w:t xml:space="preserve">Federal </w:t>
      </w:r>
      <w:r w:rsidRPr="00240730" w:rsidR="00174990">
        <w:t>State Assets</w:t>
      </w:r>
      <w:r w:rsidRPr="00240730" w:rsidR="00CF2B22">
        <w:t xml:space="preserve"> Management </w:t>
      </w:r>
      <w:r w:rsidRPr="00240730" w:rsidR="009B7B25">
        <w:t xml:space="preserve">Agency </w:t>
      </w:r>
      <w:r w:rsidRPr="00240730" w:rsidR="00CF2B22">
        <w:t xml:space="preserve">and the </w:t>
      </w:r>
      <w:r w:rsidRPr="00240730" w:rsidR="004510CC">
        <w:t xml:space="preserve">Ministry of Defence, </w:t>
      </w:r>
      <w:r w:rsidRPr="00240730" w:rsidR="00211F0D">
        <w:t xml:space="preserve">lodged a court action against the FGUP </w:t>
      </w:r>
      <w:r w:rsidRPr="00240730">
        <w:t>challeng</w:t>
      </w:r>
      <w:r w:rsidRPr="00240730" w:rsidR="00211F0D">
        <w:t>ing</w:t>
      </w:r>
      <w:r w:rsidRPr="00240730">
        <w:t xml:space="preserve"> the decisions to create the OAO and transfer the assets, claiming that they were unlawful and void </w:t>
      </w:r>
      <w:r w:rsidRPr="00240730">
        <w:rPr>
          <w:i/>
        </w:rPr>
        <w:t>ab initio</w:t>
      </w:r>
      <w:r w:rsidRPr="00240730">
        <w:t>.</w:t>
      </w:r>
      <w:r w:rsidRPr="00240730" w:rsidR="00174990">
        <w:t xml:space="preserve"> </w:t>
      </w:r>
      <w:r w:rsidRPr="00240730" w:rsidR="00DD53B8">
        <w:t>The prosecutor argued, in particular, that,</w:t>
      </w:r>
      <w:r w:rsidRPr="00240730" w:rsidR="00DD53B8">
        <w:rPr>
          <w:b/>
        </w:rPr>
        <w:t xml:space="preserve"> </w:t>
      </w:r>
      <w:r w:rsidRPr="00240730" w:rsidR="00DD53B8">
        <w:t xml:space="preserve">contrary to the </w:t>
      </w:r>
      <w:r w:rsidRPr="00240730" w:rsidR="0061109E">
        <w:t xml:space="preserve">requirements of the </w:t>
      </w:r>
      <w:r w:rsidRPr="00240730" w:rsidR="00DD53B8">
        <w:t xml:space="preserve">Insolvency Act, the external manager had failed to obtain a mandatory </w:t>
      </w:r>
      <w:r w:rsidRPr="00240730" w:rsidR="001302A2">
        <w:t xml:space="preserve">expert </w:t>
      </w:r>
      <w:r w:rsidRPr="00240730" w:rsidR="00DD53B8">
        <w:t xml:space="preserve">examination of the market </w:t>
      </w:r>
      <w:r w:rsidRPr="00240730" w:rsidR="007F588D">
        <w:t>valuation report</w:t>
      </w:r>
      <w:r w:rsidRPr="00240730" w:rsidR="00DD53B8">
        <w:t xml:space="preserve"> by the</w:t>
      </w:r>
      <w:r w:rsidRPr="00240730" w:rsidR="00AB3BBB">
        <w:t xml:space="preserve"> Federal</w:t>
      </w:r>
      <w:r w:rsidRPr="00240730" w:rsidR="00DD53B8">
        <w:t xml:space="preserve"> State Assets Management Agency, and that the</w:t>
      </w:r>
      <w:r w:rsidRPr="00240730" w:rsidR="001302A2">
        <w:t xml:space="preserve"> value contained in the </w:t>
      </w:r>
      <w:r w:rsidRPr="00240730" w:rsidR="007F588D">
        <w:t xml:space="preserve">report </w:t>
      </w:r>
      <w:r w:rsidRPr="00240730" w:rsidR="001302A2">
        <w:t>was too low.</w:t>
      </w:r>
      <w:r w:rsidRPr="00240730" w:rsidR="00DD53B8">
        <w:t xml:space="preserve"> </w:t>
      </w:r>
      <w:r w:rsidRPr="00240730" w:rsidR="00174990">
        <w:t xml:space="preserve">The OAO objected, referring, </w:t>
      </w:r>
      <w:r w:rsidRPr="00240730" w:rsidR="00174990">
        <w:rPr>
          <w:i/>
        </w:rPr>
        <w:t>inter alia</w:t>
      </w:r>
      <w:r w:rsidRPr="00240730" w:rsidR="00174990">
        <w:t>, to the owner</w:t>
      </w:r>
      <w:r w:rsidRPr="00240730" w:rsidR="00240730">
        <w:t>’</w:t>
      </w:r>
      <w:r w:rsidRPr="00240730" w:rsidR="00174990">
        <w:t>s approval of the ma</w:t>
      </w:r>
      <w:r w:rsidRPr="00240730" w:rsidR="00C54F9D">
        <w:t>in</w:t>
      </w:r>
      <w:r w:rsidRPr="00240730" w:rsidR="00174990">
        <w:t xml:space="preserve"> provisions of the external </w:t>
      </w:r>
      <w:r w:rsidRPr="00240730" w:rsidR="00FD37A7">
        <w:t xml:space="preserve">administration </w:t>
      </w:r>
      <w:r w:rsidRPr="00240730" w:rsidR="00174990">
        <w:t>plan, including the substitution of assets (see paragraph </w:t>
      </w:r>
      <w:r w:rsidRPr="00240730" w:rsidR="009256F9">
        <w:fldChar w:fldCharType="begin"/>
      </w:r>
      <w:r w:rsidRPr="00240730" w:rsidR="009256F9">
        <w:instrText xml:space="preserve"> REF Letter28062005FederalAgencyGenlApproval \h </w:instrText>
      </w:r>
      <w:r w:rsidRPr="00240730" w:rsidR="009256F9">
        <w:fldChar w:fldCharType="separate"/>
      </w:r>
      <w:r w:rsidRPr="00240730" w:rsidR="00240730">
        <w:rPr>
          <w:noProof/>
        </w:rPr>
        <w:t>13</w:t>
      </w:r>
      <w:r w:rsidRPr="00240730" w:rsidR="009256F9">
        <w:fldChar w:fldCharType="end"/>
      </w:r>
      <w:r w:rsidRPr="00240730" w:rsidR="00174990">
        <w:t xml:space="preserve"> above).</w:t>
      </w:r>
    </w:p>
    <w:bookmarkStart w:name="Judgment19102007" w:id="9"/>
    <w:p w:rsidRPr="00240730" w:rsidR="000B07BC" w:rsidP="00240730" w:rsidRDefault="000B07BC">
      <w:pPr>
        <w:pStyle w:val="ECHRPara"/>
      </w:pPr>
      <w:r w:rsidRPr="00240730">
        <w:fldChar w:fldCharType="begin"/>
      </w:r>
      <w:r w:rsidRPr="00240730">
        <w:instrText xml:space="preserve"> SEQ level0 \*arabic </w:instrText>
      </w:r>
      <w:r w:rsidRPr="00240730">
        <w:fldChar w:fldCharType="separate"/>
      </w:r>
      <w:r w:rsidRPr="00240730" w:rsidR="00240730">
        <w:rPr>
          <w:noProof/>
        </w:rPr>
        <w:t>21</w:t>
      </w:r>
      <w:r w:rsidRPr="00240730">
        <w:fldChar w:fldCharType="end"/>
      </w:r>
      <w:bookmarkEnd w:id="9"/>
      <w:r w:rsidRPr="00240730">
        <w:t>.  On 19 October 2007 the</w:t>
      </w:r>
      <w:r w:rsidRPr="00240730" w:rsidR="00E76873">
        <w:t xml:space="preserve"> Commercial Court of St Petersburg and the Leningrad Region </w:t>
      </w:r>
      <w:r w:rsidRPr="00240730">
        <w:t>allo</w:t>
      </w:r>
      <w:r w:rsidRPr="00240730" w:rsidR="00182F27">
        <w:t>wed the prosecutor</w:t>
      </w:r>
      <w:r w:rsidRPr="00240730" w:rsidR="00240730">
        <w:t>’</w:t>
      </w:r>
      <w:r w:rsidRPr="00240730" w:rsidR="00182F27">
        <w:t xml:space="preserve">s action. It </w:t>
      </w:r>
      <w:r w:rsidRPr="00240730" w:rsidR="00FD37A7">
        <w:t xml:space="preserve">held </w:t>
      </w:r>
      <w:r w:rsidRPr="00240730" w:rsidR="00182F27">
        <w:t>that</w:t>
      </w:r>
      <w:r w:rsidRPr="00240730" w:rsidR="00FD37A7">
        <w:t xml:space="preserve"> a</w:t>
      </w:r>
      <w:r w:rsidRPr="00240730" w:rsidR="00182F27">
        <w:t xml:space="preserve"> </w:t>
      </w:r>
      <w:r w:rsidRPr="00240730" w:rsidR="00FD37A7">
        <w:t xml:space="preserve">substitution </w:t>
      </w:r>
      <w:r w:rsidRPr="00240730" w:rsidR="00182F27">
        <w:t xml:space="preserve">of assets was possible in respect of unitary enterprises. However, </w:t>
      </w:r>
      <w:r w:rsidRPr="00240730" w:rsidR="00FD37A7">
        <w:t>under</w:t>
      </w:r>
      <w:r w:rsidRPr="00240730" w:rsidR="00182F27">
        <w:t xml:space="preserve"> sections 94</w:t>
      </w:r>
      <w:r w:rsidRPr="00240730" w:rsidR="00513D02">
        <w:t>(</w:t>
      </w:r>
      <w:r w:rsidRPr="00240730" w:rsidR="00182F27">
        <w:t>2</w:t>
      </w:r>
      <w:r w:rsidRPr="00240730" w:rsidR="00513D02">
        <w:t>)</w:t>
      </w:r>
      <w:r w:rsidRPr="00240730" w:rsidR="00182F27">
        <w:t xml:space="preserve"> and 115</w:t>
      </w:r>
      <w:r w:rsidRPr="00240730" w:rsidR="00513D02">
        <w:t>(</w:t>
      </w:r>
      <w:r w:rsidRPr="00240730" w:rsidR="00182F27">
        <w:t>2</w:t>
      </w:r>
      <w:r w:rsidRPr="00240730" w:rsidR="00513D02">
        <w:t>)</w:t>
      </w:r>
      <w:r w:rsidRPr="00240730" w:rsidR="00182F27">
        <w:t xml:space="preserve"> of the Insolvency Act, this way of restoring </w:t>
      </w:r>
      <w:r w:rsidRPr="00240730" w:rsidR="00FD37A7">
        <w:t>a</w:t>
      </w:r>
      <w:r w:rsidRPr="00240730" w:rsidR="00182F27">
        <w:t xml:space="preserve"> company</w:t>
      </w:r>
      <w:r w:rsidRPr="00240730" w:rsidR="00240730">
        <w:t>’</w:t>
      </w:r>
      <w:r w:rsidRPr="00240730" w:rsidR="00182F27">
        <w:t xml:space="preserve">s solvency could </w:t>
      </w:r>
      <w:r w:rsidRPr="00240730" w:rsidR="00FD37A7">
        <w:t xml:space="preserve">only </w:t>
      </w:r>
      <w:r w:rsidRPr="00240730" w:rsidR="00182F27">
        <w:t xml:space="preserve">be included in the external </w:t>
      </w:r>
      <w:r w:rsidRPr="00240730" w:rsidR="00FD37A7">
        <w:t xml:space="preserve">administration </w:t>
      </w:r>
      <w:r w:rsidRPr="00240730" w:rsidR="00182F27">
        <w:t xml:space="preserve">plan or submitted for the </w:t>
      </w:r>
      <w:r w:rsidRPr="00240730" w:rsidR="00FD37A7">
        <w:t>committee of creditors</w:t>
      </w:r>
      <w:r w:rsidRPr="00240730" w:rsidR="00240730">
        <w:t>’</w:t>
      </w:r>
      <w:r w:rsidRPr="00240730" w:rsidR="00FD37A7">
        <w:t xml:space="preserve"> </w:t>
      </w:r>
      <w:r w:rsidRPr="00240730" w:rsidR="00182F27">
        <w:t xml:space="preserve">consideration if there was a decision by the </w:t>
      </w:r>
      <w:r w:rsidRPr="00240730" w:rsidR="00013B0C">
        <w:t xml:space="preserve">managerial </w:t>
      </w:r>
      <w:r w:rsidRPr="00240730" w:rsidR="00182F27">
        <w:t>body</w:t>
      </w:r>
      <w:r w:rsidRPr="00240730" w:rsidR="00013B0C">
        <w:t xml:space="preserve"> of the debtor</w:t>
      </w:r>
      <w:r w:rsidRPr="00240730" w:rsidR="00182F27">
        <w:t xml:space="preserve"> entitled to decide on the debtor</w:t>
      </w:r>
      <w:r w:rsidRPr="00240730" w:rsidR="00240730">
        <w:t>’</w:t>
      </w:r>
      <w:r w:rsidRPr="00240730" w:rsidR="00182F27">
        <w:t>s concluding such transactions by the company</w:t>
      </w:r>
      <w:r w:rsidRPr="00240730" w:rsidR="00240730">
        <w:t>’</w:t>
      </w:r>
      <w:r w:rsidRPr="00240730" w:rsidR="00182F27">
        <w:t xml:space="preserve">s </w:t>
      </w:r>
      <w:r w:rsidRPr="00240730" w:rsidR="00417BAB">
        <w:t xml:space="preserve">constituent </w:t>
      </w:r>
      <w:r w:rsidRPr="00240730" w:rsidR="00182F27">
        <w:t>documents. The FGUP</w:t>
      </w:r>
      <w:r w:rsidRPr="00240730" w:rsidR="00240730">
        <w:t>’</w:t>
      </w:r>
      <w:r w:rsidRPr="00240730" w:rsidR="00182F27">
        <w:t>s assets were State property allocated to the FGUP</w:t>
      </w:r>
      <w:r w:rsidRPr="00240730" w:rsidR="00240730">
        <w:t>’</w:t>
      </w:r>
      <w:r w:rsidRPr="00240730" w:rsidR="00182F27">
        <w:t xml:space="preserve">s economic control. The enterprise could not </w:t>
      </w:r>
      <w:r w:rsidRPr="00240730" w:rsidR="00174990">
        <w:t>enter in</w:t>
      </w:r>
      <w:r w:rsidRPr="00240730" w:rsidR="00045627">
        <w:t>to</w:t>
      </w:r>
      <w:r w:rsidRPr="00240730" w:rsidR="00174990">
        <w:t xml:space="preserve"> any </w:t>
      </w:r>
      <w:r w:rsidRPr="00240730" w:rsidR="00182F27">
        <w:t>transaction</w:t>
      </w:r>
      <w:r w:rsidRPr="00240730" w:rsidR="00045627">
        <w:t>s</w:t>
      </w:r>
      <w:r w:rsidRPr="00240730" w:rsidR="00182F27">
        <w:t xml:space="preserve"> </w:t>
      </w:r>
      <w:r w:rsidRPr="00240730" w:rsidR="00174990">
        <w:t>leading</w:t>
      </w:r>
      <w:r w:rsidRPr="00240730" w:rsidR="00182F27">
        <w:t xml:space="preserve"> to the encumbrance or alienation of </w:t>
      </w:r>
      <w:r w:rsidRPr="00240730" w:rsidR="00045627">
        <w:t>immovable property</w:t>
      </w:r>
      <w:r w:rsidRPr="00240730" w:rsidR="00174990">
        <w:t xml:space="preserve"> without the owner</w:t>
      </w:r>
      <w:r w:rsidRPr="00240730" w:rsidR="00240730">
        <w:t>’</w:t>
      </w:r>
      <w:r w:rsidRPr="00240730" w:rsidR="00174990">
        <w:t>s consent (Ar</w:t>
      </w:r>
      <w:r w:rsidRPr="00240730" w:rsidR="009256F9">
        <w:t>ticle 295 § </w:t>
      </w:r>
      <w:r w:rsidRPr="00240730" w:rsidR="00174990">
        <w:t>2 of the Civil Code). The court est</w:t>
      </w:r>
      <w:r w:rsidRPr="00240730" w:rsidR="002D6505">
        <w:t>ablished that the interests of the</w:t>
      </w:r>
      <w:r w:rsidRPr="00240730" w:rsidR="00174990">
        <w:t xml:space="preserve"> </w:t>
      </w:r>
      <w:r w:rsidRPr="00240730" w:rsidR="002D6505">
        <w:t xml:space="preserve">owner of the assets of the </w:t>
      </w:r>
      <w:r w:rsidRPr="00240730" w:rsidR="00174990">
        <w:t>debtor unitary enterprise in the context of the insolvency proceedings were represented by the Federal State Assets Management Agency. The court rejected the OAO</w:t>
      </w:r>
      <w:r w:rsidRPr="00240730" w:rsidR="00240730">
        <w:t>’</w:t>
      </w:r>
      <w:r w:rsidRPr="00240730" w:rsidR="00174990">
        <w:t>s reference to the Agency</w:t>
      </w:r>
      <w:r w:rsidRPr="00240730" w:rsidR="00240730">
        <w:t>’</w:t>
      </w:r>
      <w:r w:rsidRPr="00240730" w:rsidR="00174990">
        <w:t>s letter of 28 June 2005,</w:t>
      </w:r>
      <w:r w:rsidRPr="00240730" w:rsidR="001302A2">
        <w:t xml:space="preserve"> </w:t>
      </w:r>
      <w:r w:rsidRPr="00240730" w:rsidR="00174990">
        <w:t xml:space="preserve">as it </w:t>
      </w:r>
      <w:r w:rsidRPr="00240730" w:rsidR="00045627">
        <w:t>indicated</w:t>
      </w:r>
      <w:r w:rsidRPr="00240730" w:rsidR="00174990">
        <w:t xml:space="preserve"> that transactions </w:t>
      </w:r>
      <w:r w:rsidRPr="00240730" w:rsidR="00045627">
        <w:t>involving immovable property</w:t>
      </w:r>
      <w:r w:rsidRPr="00240730" w:rsidR="00174990">
        <w:t xml:space="preserve"> and shares of the newly</w:t>
      </w:r>
      <w:r w:rsidRPr="00240730" w:rsidR="00A10F6A">
        <w:t xml:space="preserve"> </w:t>
      </w:r>
      <w:r w:rsidRPr="00240730" w:rsidR="00174990">
        <w:t>created joint-stock company were subject to a</w:t>
      </w:r>
      <w:r w:rsidRPr="00240730" w:rsidR="00BB2DC5">
        <w:t xml:space="preserve"> mandatory </w:t>
      </w:r>
      <w:r w:rsidRPr="00240730" w:rsidR="00174990">
        <w:t xml:space="preserve">expert examination by the Federal State Assets Management Agency. However, according to the court, </w:t>
      </w:r>
      <w:r w:rsidRPr="00240730" w:rsidR="00BB2DC5">
        <w:t xml:space="preserve">the </w:t>
      </w:r>
      <w:r w:rsidRPr="00240730" w:rsidR="007F588D">
        <w:t xml:space="preserve">market valuation </w:t>
      </w:r>
      <w:r w:rsidRPr="00240730" w:rsidR="00BB2DC5">
        <w:t>report (see paragraph </w:t>
      </w:r>
      <w:r w:rsidRPr="00240730" w:rsidR="003772C2">
        <w:fldChar w:fldCharType="begin"/>
      </w:r>
      <w:r w:rsidRPr="00240730" w:rsidR="003772C2">
        <w:instrText xml:space="preserve"> REF AssessmentAssets01092005 \h </w:instrText>
      </w:r>
      <w:r w:rsidRPr="00240730" w:rsidR="00CB3D0E">
        <w:instrText xml:space="preserve"> \* MERGEFORMAT </w:instrText>
      </w:r>
      <w:r w:rsidRPr="00240730" w:rsidR="003772C2">
        <w:fldChar w:fldCharType="separate"/>
      </w:r>
      <w:r w:rsidRPr="00240730" w:rsidR="00240730">
        <w:rPr>
          <w:noProof/>
        </w:rPr>
        <w:t>14</w:t>
      </w:r>
      <w:r w:rsidRPr="00240730" w:rsidR="003772C2">
        <w:fldChar w:fldCharType="end"/>
      </w:r>
      <w:r w:rsidRPr="00240730" w:rsidR="00BB2DC5">
        <w:t xml:space="preserve"> above) had not been subject to </w:t>
      </w:r>
      <w:r w:rsidRPr="00240730" w:rsidR="003E4A59">
        <w:t>the</w:t>
      </w:r>
      <w:r w:rsidRPr="00240730" w:rsidR="00BB2DC5">
        <w:t xml:space="preserve"> mandatory expert examination by</w:t>
      </w:r>
      <w:r w:rsidRPr="00240730">
        <w:t xml:space="preserve"> </w:t>
      </w:r>
      <w:r w:rsidRPr="00240730" w:rsidR="002D6505">
        <w:t>that</w:t>
      </w:r>
      <w:r w:rsidRPr="00240730" w:rsidR="003B6BD1">
        <w:t xml:space="preserve"> </w:t>
      </w:r>
      <w:r w:rsidRPr="00240730">
        <w:t xml:space="preserve">Agency. The court </w:t>
      </w:r>
      <w:r w:rsidRPr="00240730" w:rsidR="001302A2">
        <w:t xml:space="preserve">concluded that the decision of 25 December 2006 </w:t>
      </w:r>
      <w:r w:rsidRPr="00240730" w:rsidR="005B09E3">
        <w:t xml:space="preserve">had been </w:t>
      </w:r>
      <w:r w:rsidRPr="00240730" w:rsidR="001302A2">
        <w:t xml:space="preserve">taken in violation of domestic law, and </w:t>
      </w:r>
      <w:r w:rsidRPr="00240730" w:rsidR="003E4A59">
        <w:t xml:space="preserve">accordingly </w:t>
      </w:r>
      <w:r w:rsidRPr="00240730">
        <w:t>declared the creation of the OAO and transfer</w:t>
      </w:r>
      <w:r w:rsidRPr="00240730" w:rsidR="00AB3BBB">
        <w:t xml:space="preserve"> of assets</w:t>
      </w:r>
      <w:r w:rsidRPr="00240730">
        <w:t xml:space="preserve"> </w:t>
      </w:r>
      <w:r w:rsidRPr="00240730" w:rsidR="00211F0D">
        <w:t xml:space="preserve">invalid. It further </w:t>
      </w:r>
      <w:r w:rsidRPr="00240730" w:rsidR="005B09E3">
        <w:t>ordered the assets to be returned to the FGUP, pursuant to Article</w:t>
      </w:r>
      <w:r w:rsidRPr="00240730" w:rsidR="00391314">
        <w:t> </w:t>
      </w:r>
      <w:r w:rsidRPr="00240730" w:rsidR="005B09E3">
        <w:t>167</w:t>
      </w:r>
      <w:r w:rsidRPr="00240730" w:rsidR="00391314">
        <w:t> </w:t>
      </w:r>
      <w:r w:rsidRPr="00240730" w:rsidR="005B09E3">
        <w:rPr>
          <w:rFonts w:cstheme="minorHAnsi"/>
        </w:rPr>
        <w:t>§</w:t>
      </w:r>
      <w:r w:rsidRPr="00240730" w:rsidR="00391314">
        <w:t> </w:t>
      </w:r>
      <w:r w:rsidRPr="00240730" w:rsidR="005B09E3">
        <w:t>2 of the Civil Code</w:t>
      </w:r>
      <w:r w:rsidRPr="00240730" w:rsidR="00DD53B8">
        <w:t xml:space="preserve"> (</w:t>
      </w:r>
      <w:r w:rsidRPr="00240730" w:rsidR="00C2206A">
        <w:t>see paragraph </w:t>
      </w:r>
      <w:r w:rsidRPr="00240730" w:rsidR="00C2206A">
        <w:fldChar w:fldCharType="begin"/>
      </w:r>
      <w:r w:rsidRPr="00240730" w:rsidR="00C2206A">
        <w:instrText xml:space="preserve"> REF A167CCodeVoidedTransaction \h </w:instrText>
      </w:r>
      <w:r w:rsidRPr="00240730" w:rsidR="00CB3D0E">
        <w:instrText xml:space="preserve"> \* MERGEFORMAT </w:instrText>
      </w:r>
      <w:r w:rsidRPr="00240730" w:rsidR="00C2206A">
        <w:fldChar w:fldCharType="separate"/>
      </w:r>
      <w:r w:rsidRPr="00240730" w:rsidR="00240730">
        <w:rPr>
          <w:noProof/>
        </w:rPr>
        <w:t>66</w:t>
      </w:r>
      <w:r w:rsidRPr="00240730" w:rsidR="00C2206A">
        <w:fldChar w:fldCharType="end"/>
      </w:r>
      <w:r w:rsidRPr="00240730" w:rsidR="00C2206A">
        <w:t xml:space="preserve"> below)</w:t>
      </w:r>
      <w:r w:rsidRPr="00240730">
        <w:t>.</w:t>
      </w:r>
    </w:p>
    <w:p w:rsidRPr="00240730" w:rsidR="001345B8" w:rsidP="00240730" w:rsidRDefault="001345B8">
      <w:pPr>
        <w:pStyle w:val="ECHRPara"/>
      </w:pPr>
      <w:r w:rsidRPr="00240730">
        <w:fldChar w:fldCharType="begin"/>
      </w:r>
      <w:r w:rsidRPr="00240730">
        <w:instrText xml:space="preserve"> SEQ level0 \*arabic </w:instrText>
      </w:r>
      <w:r w:rsidRPr="00240730">
        <w:fldChar w:fldCharType="separate"/>
      </w:r>
      <w:r w:rsidRPr="00240730" w:rsidR="00240730">
        <w:rPr>
          <w:noProof/>
        </w:rPr>
        <w:t>22</w:t>
      </w:r>
      <w:r w:rsidRPr="00240730">
        <w:fldChar w:fldCharType="end"/>
      </w:r>
      <w:r w:rsidRPr="00240730">
        <w:t>.  On 11 February 200</w:t>
      </w:r>
      <w:r w:rsidRPr="00240730" w:rsidR="006D2C4B">
        <w:t>8</w:t>
      </w:r>
      <w:r w:rsidRPr="00240730">
        <w:t xml:space="preserve"> the 13</w:t>
      </w:r>
      <w:r w:rsidRPr="00240730">
        <w:rPr>
          <w:vertAlign w:val="superscript"/>
        </w:rPr>
        <w:t>th</w:t>
      </w:r>
      <w:r w:rsidRPr="00240730">
        <w:t xml:space="preserve"> Commercial Appeal Court quashed the judgment of 19 October 2007 on appeal.</w:t>
      </w:r>
    </w:p>
    <w:bookmarkStart w:name="Judgment29042008AnnullmentOAOfinal" w:id="10"/>
    <w:p w:rsidRPr="00240730" w:rsidR="00377D0B" w:rsidP="00240730" w:rsidRDefault="000B07BC">
      <w:pPr>
        <w:pStyle w:val="ECHRPara"/>
        <w:rPr>
          <w:rFonts w:ascii="Times New Roman" w:hAnsi="Times New Roman" w:eastAsia="Times New Roman" w:cs="Times New Roman"/>
          <w:szCs w:val="24"/>
        </w:rPr>
      </w:pPr>
      <w:r w:rsidRPr="00240730">
        <w:fldChar w:fldCharType="begin"/>
      </w:r>
      <w:r w:rsidRPr="00240730">
        <w:instrText xml:space="preserve"> SEQ level0 \*arabic </w:instrText>
      </w:r>
      <w:r w:rsidRPr="00240730">
        <w:fldChar w:fldCharType="separate"/>
      </w:r>
      <w:r w:rsidRPr="00240730" w:rsidR="00240730">
        <w:rPr>
          <w:noProof/>
        </w:rPr>
        <w:t>23</w:t>
      </w:r>
      <w:r w:rsidRPr="00240730">
        <w:fldChar w:fldCharType="end"/>
      </w:r>
      <w:bookmarkEnd w:id="10"/>
      <w:r w:rsidRPr="00240730">
        <w:t xml:space="preserve">.  On 29 April 2008 the Commercial Court of the North-West Circuit </w:t>
      </w:r>
      <w:r w:rsidRPr="00240730" w:rsidR="00045627">
        <w:t xml:space="preserve">quashed </w:t>
      </w:r>
      <w:r w:rsidRPr="00240730" w:rsidR="001345B8">
        <w:t>the appeal judgment of 11 February 200</w:t>
      </w:r>
      <w:r w:rsidRPr="00240730" w:rsidR="002D6505">
        <w:t>8</w:t>
      </w:r>
      <w:r w:rsidRPr="00240730" w:rsidR="001345B8">
        <w:t xml:space="preserve"> and </w:t>
      </w:r>
      <w:r w:rsidRPr="00240730">
        <w:t xml:space="preserve">upheld the judgment </w:t>
      </w:r>
      <w:r w:rsidRPr="00240730" w:rsidR="001345B8">
        <w:t xml:space="preserve">of 19 October 2007 </w:t>
      </w:r>
      <w:r w:rsidRPr="00240730">
        <w:t>at final instance.</w:t>
      </w:r>
      <w:r w:rsidRPr="00240730" w:rsidR="00AC5CDA">
        <w:t xml:space="preserve"> The court established </w:t>
      </w:r>
      <w:r w:rsidRPr="00240730" w:rsidR="002B6040">
        <w:t>that, in accordance</w:t>
      </w:r>
      <w:r w:rsidRPr="00240730" w:rsidR="00C2206A">
        <w:t xml:space="preserve"> with section </w:t>
      </w:r>
      <w:r w:rsidRPr="00240730" w:rsidR="00AC5CDA">
        <w:t>94</w:t>
      </w:r>
      <w:r w:rsidRPr="00240730" w:rsidR="00513D02">
        <w:t>(</w:t>
      </w:r>
      <w:r w:rsidRPr="00240730" w:rsidR="00AC5CDA">
        <w:t>1</w:t>
      </w:r>
      <w:r w:rsidRPr="00240730" w:rsidR="00513D02">
        <w:t>)</w:t>
      </w:r>
      <w:r w:rsidRPr="00240730" w:rsidR="00AC5CDA">
        <w:t xml:space="preserve"> of the Insolvency Act, as of the date of </w:t>
      </w:r>
      <w:r w:rsidRPr="00240730" w:rsidR="00045627">
        <w:t xml:space="preserve">the </w:t>
      </w:r>
      <w:r w:rsidRPr="00240730" w:rsidR="00AC5CDA">
        <w:t xml:space="preserve">institution of external administration, </w:t>
      </w:r>
      <w:r w:rsidRPr="00240730" w:rsidR="002B6040">
        <w:t>the powers of the managerial bodies of the debtor</w:t>
      </w:r>
      <w:r w:rsidRPr="00240730" w:rsidR="0077695E">
        <w:t>, as well as those of</w:t>
      </w:r>
      <w:r w:rsidRPr="00240730" w:rsidR="002B6040">
        <w:t xml:space="preserve"> the owner of property of the debtor incorporated as </w:t>
      </w:r>
      <w:r w:rsidRPr="00240730" w:rsidR="00045627">
        <w:t xml:space="preserve">a </w:t>
      </w:r>
      <w:r w:rsidRPr="00240730" w:rsidR="002B6040">
        <w:t>unitary enterprise</w:t>
      </w:r>
      <w:r w:rsidRPr="00240730" w:rsidR="0077695E">
        <w:t>,</w:t>
      </w:r>
      <w:r w:rsidRPr="00240730" w:rsidR="002B6040">
        <w:t xml:space="preserve"> had to be terminated, and the powers of the head of the debtor and other managerial bodies</w:t>
      </w:r>
      <w:r w:rsidRPr="00240730" w:rsidR="0006371F">
        <w:t xml:space="preserve"> of the debtor</w:t>
      </w:r>
      <w:r w:rsidRPr="00240730" w:rsidR="002B6040">
        <w:t xml:space="preserve"> </w:t>
      </w:r>
      <w:r w:rsidRPr="00240730" w:rsidR="00045627">
        <w:t>were</w:t>
      </w:r>
      <w:r w:rsidRPr="00240730" w:rsidR="007B14B8">
        <w:t xml:space="preserve"> transferred to the </w:t>
      </w:r>
      <w:r w:rsidRPr="00240730" w:rsidR="00045627">
        <w:t>administrator</w:t>
      </w:r>
      <w:r w:rsidRPr="00240730" w:rsidR="007B14B8">
        <w:t>. However, th</w:t>
      </w:r>
      <w:r w:rsidRPr="00240730" w:rsidR="0077695E">
        <w:t>at</w:t>
      </w:r>
      <w:r w:rsidRPr="00240730" w:rsidR="007B14B8">
        <w:t xml:space="preserve"> rule was subject to </w:t>
      </w:r>
      <w:r w:rsidRPr="00240730" w:rsidR="00045627">
        <w:t xml:space="preserve">the </w:t>
      </w:r>
      <w:r w:rsidRPr="00240730" w:rsidR="007B14B8">
        <w:t xml:space="preserve">exceptions set out in </w:t>
      </w:r>
      <w:r w:rsidRPr="00240730" w:rsidR="002D6505">
        <w:t>s</w:t>
      </w:r>
      <w:r w:rsidRPr="00240730" w:rsidR="007B14B8">
        <w:t>ection 94</w:t>
      </w:r>
      <w:r w:rsidRPr="00240730" w:rsidR="00513D02">
        <w:t>(</w:t>
      </w:r>
      <w:r w:rsidRPr="00240730" w:rsidR="007B14B8">
        <w:t>2</w:t>
      </w:r>
      <w:r w:rsidRPr="00240730" w:rsidR="00513D02">
        <w:t>)</w:t>
      </w:r>
      <w:r w:rsidRPr="00240730" w:rsidR="002D6505">
        <w:t xml:space="preserve"> of the Insolvency Act</w:t>
      </w:r>
      <w:r w:rsidRPr="00240730" w:rsidR="006964B9">
        <w:t xml:space="preserve"> (see paragraph </w:t>
      </w:r>
      <w:r w:rsidRPr="00240730" w:rsidR="006964B9">
        <w:fldChar w:fldCharType="begin"/>
      </w:r>
      <w:r w:rsidRPr="00240730" w:rsidR="006964B9">
        <w:instrText xml:space="preserve"> REF IAsection94p2 \h </w:instrText>
      </w:r>
      <w:r w:rsidRPr="00240730" w:rsidR="006964B9">
        <w:fldChar w:fldCharType="separate"/>
      </w:r>
      <w:r w:rsidRPr="00240730" w:rsidR="00240730">
        <w:rPr>
          <w:noProof/>
        </w:rPr>
        <w:t>71</w:t>
      </w:r>
      <w:r w:rsidRPr="00240730" w:rsidR="006964B9">
        <w:fldChar w:fldCharType="end"/>
      </w:r>
      <w:r w:rsidRPr="00240730" w:rsidR="006964B9">
        <w:t xml:space="preserve"> below)</w:t>
      </w:r>
      <w:r w:rsidRPr="00240730" w:rsidR="002D6505">
        <w:t xml:space="preserve">. In particular, </w:t>
      </w:r>
      <w:r w:rsidRPr="00240730" w:rsidR="007B14B8">
        <w:t xml:space="preserve">within the </w:t>
      </w:r>
      <w:r w:rsidRPr="00240730" w:rsidR="00A02A18">
        <w:t xml:space="preserve">limits of the </w:t>
      </w:r>
      <w:r w:rsidRPr="00240730" w:rsidR="007B14B8">
        <w:t>competence</w:t>
      </w:r>
      <w:r w:rsidRPr="00240730" w:rsidR="009F0A54">
        <w:t>s</w:t>
      </w:r>
      <w:r w:rsidRPr="00240730" w:rsidR="007B14B8">
        <w:t xml:space="preserve"> </w:t>
      </w:r>
      <w:r w:rsidRPr="00240730" w:rsidR="009F0A54">
        <w:t xml:space="preserve">provided for </w:t>
      </w:r>
      <w:r w:rsidRPr="00240730" w:rsidR="007B14B8">
        <w:t xml:space="preserve">by federal law, the managerial bodies of the debtor </w:t>
      </w:r>
      <w:r w:rsidRPr="00240730" w:rsidR="00452611">
        <w:t>were</w:t>
      </w:r>
      <w:r w:rsidRPr="00240730" w:rsidR="002D6505">
        <w:t xml:space="preserve"> entitled to t</w:t>
      </w:r>
      <w:r w:rsidRPr="00240730" w:rsidR="007B14B8">
        <w:t>ake decisions</w:t>
      </w:r>
      <w:r w:rsidRPr="00240730" w:rsidR="002D6505">
        <w:t xml:space="preserve"> </w:t>
      </w:r>
      <w:r w:rsidRPr="00240730" w:rsidR="007B14B8">
        <w:t xml:space="preserve">on </w:t>
      </w:r>
      <w:r w:rsidRPr="00240730" w:rsidR="000D401F">
        <w:t>substitution of the</w:t>
      </w:r>
      <w:r w:rsidRPr="00240730" w:rsidR="007B14B8">
        <w:t xml:space="preserve"> debtor</w:t>
      </w:r>
      <w:r w:rsidRPr="00240730" w:rsidR="00240730">
        <w:t>’</w:t>
      </w:r>
      <w:r w:rsidRPr="00240730" w:rsidR="007B14B8">
        <w:t>s assets.</w:t>
      </w:r>
      <w:r w:rsidRPr="00240730" w:rsidR="00452611">
        <w:t xml:space="preserve"> </w:t>
      </w:r>
      <w:r w:rsidRPr="00240730" w:rsidR="00151BC3">
        <w:t xml:space="preserve">Even though the rights of the owner of the assets of the unitary enterprise were not set </w:t>
      </w:r>
      <w:r w:rsidRPr="00240730" w:rsidR="00045627">
        <w:t xml:space="preserve">out </w:t>
      </w:r>
      <w:r w:rsidRPr="00240730" w:rsidR="00151BC3">
        <w:t>directly in the Insolvency Act, section 94</w:t>
      </w:r>
      <w:r w:rsidRPr="00240730" w:rsidR="00513D02">
        <w:t>(</w:t>
      </w:r>
      <w:r w:rsidRPr="00240730" w:rsidR="00151BC3">
        <w:t>2</w:t>
      </w:r>
      <w:r w:rsidRPr="00240730" w:rsidR="00513D02">
        <w:t>)</w:t>
      </w:r>
      <w:r w:rsidRPr="00240730" w:rsidR="00151BC3">
        <w:t xml:space="preserve"> </w:t>
      </w:r>
      <w:r w:rsidRPr="00240730" w:rsidR="00CC76F3">
        <w:t xml:space="preserve">thereof </w:t>
      </w:r>
      <w:r w:rsidRPr="00240730" w:rsidR="00151BC3">
        <w:t xml:space="preserve">was to be applied by analogy. </w:t>
      </w:r>
      <w:r w:rsidRPr="00240730" w:rsidR="00C856A6">
        <w:t xml:space="preserve">The court concluded that </w:t>
      </w:r>
      <w:r w:rsidRPr="00240730" w:rsidR="00151BC3">
        <w:t>in the absence</w:t>
      </w:r>
      <w:r w:rsidRPr="00240730" w:rsidR="00C856A6">
        <w:t xml:space="preserve"> of </w:t>
      </w:r>
      <w:r w:rsidRPr="00240730" w:rsidR="00045627">
        <w:t>a</w:t>
      </w:r>
      <w:r w:rsidRPr="00240730" w:rsidR="00FD3E5F">
        <w:t>ny</w:t>
      </w:r>
      <w:r w:rsidRPr="00240730" w:rsidR="00045627">
        <w:t xml:space="preserve"> </w:t>
      </w:r>
      <w:r w:rsidRPr="00240730" w:rsidR="00C856A6">
        <w:t>decision</w:t>
      </w:r>
      <w:r w:rsidRPr="00240730" w:rsidR="00151BC3">
        <w:t xml:space="preserve"> by the owner</w:t>
      </w:r>
      <w:r w:rsidRPr="00240730" w:rsidR="0077695E">
        <w:t xml:space="preserve"> of the FGUP</w:t>
      </w:r>
      <w:r w:rsidRPr="00240730" w:rsidR="00240730">
        <w:t>’</w:t>
      </w:r>
      <w:r w:rsidRPr="00240730" w:rsidR="0077695E">
        <w:t>s assets</w:t>
      </w:r>
      <w:r w:rsidRPr="00240730" w:rsidR="00151BC3">
        <w:t xml:space="preserve">, </w:t>
      </w:r>
      <w:r w:rsidRPr="00240730" w:rsidR="00045627">
        <w:t xml:space="preserve">a </w:t>
      </w:r>
      <w:r w:rsidRPr="00240730" w:rsidR="00CF2B22">
        <w:t>substitution</w:t>
      </w:r>
      <w:r w:rsidRPr="00240730" w:rsidR="00045627">
        <w:t xml:space="preserve"> of assets</w:t>
      </w:r>
      <w:r w:rsidRPr="00240730" w:rsidR="00CF2B22">
        <w:t xml:space="preserve"> </w:t>
      </w:r>
      <w:r w:rsidRPr="00240730" w:rsidR="00151BC3">
        <w:t xml:space="preserve">could not be </w:t>
      </w:r>
      <w:r w:rsidRPr="00240730" w:rsidR="0077695E">
        <w:t>in</w:t>
      </w:r>
      <w:r w:rsidRPr="00240730" w:rsidR="00151BC3">
        <w:t xml:space="preserve">cluded </w:t>
      </w:r>
      <w:r w:rsidRPr="00240730" w:rsidR="00C856A6">
        <w:t>in</w:t>
      </w:r>
      <w:r w:rsidRPr="00240730" w:rsidR="00151BC3">
        <w:t xml:space="preserve"> </w:t>
      </w:r>
      <w:r w:rsidRPr="00240730" w:rsidR="00C856A6">
        <w:t xml:space="preserve">the external </w:t>
      </w:r>
      <w:r w:rsidRPr="00240730" w:rsidR="00045627">
        <w:t xml:space="preserve">administration </w:t>
      </w:r>
      <w:r w:rsidRPr="00240730" w:rsidR="00C856A6">
        <w:t xml:space="preserve">plan. </w:t>
      </w:r>
      <w:r w:rsidRPr="00240730" w:rsidR="00151BC3">
        <w:t xml:space="preserve">The court, however, found no evidence that such </w:t>
      </w:r>
      <w:r w:rsidRPr="00240730" w:rsidR="00CC76F3">
        <w:t xml:space="preserve">a </w:t>
      </w:r>
      <w:r w:rsidRPr="00240730" w:rsidR="00151BC3">
        <w:t xml:space="preserve">decision had </w:t>
      </w:r>
      <w:r w:rsidRPr="00240730" w:rsidR="0077695E">
        <w:t xml:space="preserve">ever </w:t>
      </w:r>
      <w:r w:rsidRPr="00240730" w:rsidR="00151BC3">
        <w:t xml:space="preserve">been taken by the </w:t>
      </w:r>
      <w:r w:rsidRPr="00240730" w:rsidR="00045627">
        <w:t xml:space="preserve">owner of the </w:t>
      </w:r>
      <w:r w:rsidRPr="00240730" w:rsidR="00151BC3">
        <w:t>assets. Accordingly, the external manager</w:t>
      </w:r>
      <w:r w:rsidRPr="00240730" w:rsidR="00240730">
        <w:t>’</w:t>
      </w:r>
      <w:r w:rsidRPr="00240730" w:rsidR="00151BC3">
        <w:t>s decision to create the OAO was invalid</w:t>
      </w:r>
      <w:r w:rsidRPr="00240730" w:rsidR="00045627">
        <w:t>,</w:t>
      </w:r>
      <w:r w:rsidRPr="00240730" w:rsidR="00151BC3">
        <w:t xml:space="preserve"> as </w:t>
      </w:r>
      <w:r w:rsidRPr="00240730" w:rsidR="00045627">
        <w:t xml:space="preserve">it had been </w:t>
      </w:r>
      <w:r w:rsidRPr="00240730" w:rsidR="00151BC3">
        <w:t>taken in violation of the Insolvency Act.</w:t>
      </w:r>
      <w:r w:rsidRPr="00240730" w:rsidR="00A5434F">
        <w:t xml:space="preserve"> The </w:t>
      </w:r>
      <w:r w:rsidRPr="00240730" w:rsidR="00CC76F3">
        <w:t xml:space="preserve">appellate court </w:t>
      </w:r>
      <w:r w:rsidRPr="00240730" w:rsidR="0077695E">
        <w:t xml:space="preserve">further </w:t>
      </w:r>
      <w:r w:rsidRPr="00240730" w:rsidR="009273CB">
        <w:t>con</w:t>
      </w:r>
      <w:r w:rsidRPr="00240730" w:rsidR="0077695E">
        <w:t>firmed</w:t>
      </w:r>
      <w:r w:rsidRPr="00240730" w:rsidR="009273CB">
        <w:t xml:space="preserve"> that the first-instance court </w:t>
      </w:r>
      <w:r w:rsidRPr="00240730" w:rsidR="0077695E">
        <w:t xml:space="preserve">had </w:t>
      </w:r>
      <w:r w:rsidRPr="00240730" w:rsidR="009273CB">
        <w:t xml:space="preserve">correctly applied the </w:t>
      </w:r>
      <w:r w:rsidRPr="00240730" w:rsidR="00A5434F">
        <w:t xml:space="preserve">consequences of the </w:t>
      </w:r>
      <w:r w:rsidRPr="00240730" w:rsidR="00A5434F">
        <w:rPr>
          <w:rFonts w:ascii="Times New Roman" w:hAnsi="Times New Roman" w:eastAsia="Times New Roman" w:cs="Times New Roman"/>
          <w:szCs w:val="24"/>
        </w:rPr>
        <w:t xml:space="preserve">invalid transaction and </w:t>
      </w:r>
      <w:r w:rsidRPr="00240730" w:rsidR="0077695E">
        <w:rPr>
          <w:rFonts w:ascii="Times New Roman" w:hAnsi="Times New Roman" w:eastAsia="Times New Roman" w:cs="Times New Roman"/>
          <w:szCs w:val="24"/>
        </w:rPr>
        <w:t xml:space="preserve">had </w:t>
      </w:r>
      <w:r w:rsidRPr="00240730" w:rsidR="002D6505">
        <w:rPr>
          <w:rFonts w:ascii="Times New Roman" w:hAnsi="Times New Roman" w:eastAsia="Times New Roman" w:cs="Times New Roman"/>
          <w:szCs w:val="24"/>
        </w:rPr>
        <w:t xml:space="preserve">rightly </w:t>
      </w:r>
      <w:r w:rsidRPr="00240730" w:rsidR="00A5434F">
        <w:rPr>
          <w:rFonts w:ascii="Times New Roman" w:hAnsi="Times New Roman" w:eastAsia="Times New Roman" w:cs="Times New Roman"/>
          <w:szCs w:val="24"/>
        </w:rPr>
        <w:t xml:space="preserve">ordered the OAO to return </w:t>
      </w:r>
      <w:r w:rsidRPr="00240730" w:rsidR="009273CB">
        <w:rPr>
          <w:rFonts w:ascii="Times New Roman" w:hAnsi="Times New Roman" w:eastAsia="Times New Roman" w:cs="Times New Roman"/>
          <w:szCs w:val="24"/>
        </w:rPr>
        <w:t xml:space="preserve">the assets to </w:t>
      </w:r>
      <w:r w:rsidRPr="00240730" w:rsidR="00A5434F">
        <w:rPr>
          <w:rFonts w:ascii="Times New Roman" w:hAnsi="Times New Roman" w:eastAsia="Times New Roman" w:cs="Times New Roman"/>
          <w:szCs w:val="24"/>
        </w:rPr>
        <w:t>the</w:t>
      </w:r>
      <w:r w:rsidRPr="00240730" w:rsidR="009273CB">
        <w:rPr>
          <w:rFonts w:ascii="Times New Roman" w:hAnsi="Times New Roman" w:eastAsia="Times New Roman" w:cs="Times New Roman"/>
          <w:szCs w:val="24"/>
        </w:rPr>
        <w:t xml:space="preserve"> FGUP</w:t>
      </w:r>
      <w:r w:rsidRPr="00240730" w:rsidR="00A5434F">
        <w:rPr>
          <w:rFonts w:ascii="Times New Roman" w:hAnsi="Times New Roman" w:eastAsia="Times New Roman" w:cs="Times New Roman"/>
          <w:szCs w:val="24"/>
        </w:rPr>
        <w:t>.</w:t>
      </w:r>
    </w:p>
    <w:bookmarkStart w:name="DismissalDate" w:id="11"/>
    <w:p w:rsidRPr="00240730" w:rsidR="000B07BC" w:rsidP="00240730" w:rsidRDefault="000B07BC">
      <w:pPr>
        <w:pStyle w:val="ECHRPara"/>
      </w:pPr>
      <w:r w:rsidRPr="00240730">
        <w:fldChar w:fldCharType="begin"/>
      </w:r>
      <w:r w:rsidRPr="00240730">
        <w:instrText xml:space="preserve"> SEQ level0 \*arabic </w:instrText>
      </w:r>
      <w:r w:rsidRPr="00240730">
        <w:fldChar w:fldCharType="separate"/>
      </w:r>
      <w:r w:rsidRPr="00240730" w:rsidR="00240730">
        <w:rPr>
          <w:noProof/>
        </w:rPr>
        <w:t>24</w:t>
      </w:r>
      <w:r w:rsidRPr="00240730">
        <w:fldChar w:fldCharType="end"/>
      </w:r>
      <w:bookmarkEnd w:id="11"/>
      <w:r w:rsidRPr="00240730">
        <w:t>.  In May 2008 the OAO advised the applicants of their potential dismissal and on 21 August 2008 dismissed them from their jobs.</w:t>
      </w:r>
    </w:p>
    <w:bookmarkStart w:name="FGUP_Aug_nOV2008_no_access_to_workplaces" w:id="12"/>
    <w:p w:rsidRPr="00240730" w:rsidR="000B07BC" w:rsidP="00240730" w:rsidRDefault="000B07BC">
      <w:pPr>
        <w:pStyle w:val="ECHRPara"/>
      </w:pPr>
      <w:r w:rsidRPr="00240730">
        <w:fldChar w:fldCharType="begin"/>
      </w:r>
      <w:r w:rsidRPr="00240730">
        <w:instrText xml:space="preserve"> SEQ level0 \*arabic </w:instrText>
      </w:r>
      <w:r w:rsidRPr="00240730">
        <w:fldChar w:fldCharType="separate"/>
      </w:r>
      <w:r w:rsidRPr="00240730" w:rsidR="00240730">
        <w:rPr>
          <w:noProof/>
        </w:rPr>
        <w:t>25</w:t>
      </w:r>
      <w:r w:rsidRPr="00240730">
        <w:fldChar w:fldCharType="end"/>
      </w:r>
      <w:bookmarkEnd w:id="12"/>
      <w:r w:rsidRPr="00240730">
        <w:t>.  </w:t>
      </w:r>
      <w:r w:rsidRPr="00240730" w:rsidR="00CC76F3">
        <w:t>According to t</w:t>
      </w:r>
      <w:r w:rsidRPr="00240730">
        <w:t>he applicants</w:t>
      </w:r>
      <w:r w:rsidRPr="00240730" w:rsidR="00CC76F3">
        <w:t>,</w:t>
      </w:r>
      <w:r w:rsidRPr="00240730">
        <w:t xml:space="preserve"> between August and November 2008 the FGUP refused to reinstate them in their jobs and allow them access to their workplace.</w:t>
      </w:r>
    </w:p>
    <w:p w:rsidRPr="00240730" w:rsidR="000B07BC" w:rsidP="00240730" w:rsidRDefault="005C2039">
      <w:pPr>
        <w:pStyle w:val="ECHRHeading2"/>
      </w:pPr>
      <w:r w:rsidRPr="00240730">
        <w:t>B</w:t>
      </w:r>
      <w:r w:rsidRPr="00240730" w:rsidR="000B07BC">
        <w:t>.  Proceedings against the OAO</w:t>
      </w:r>
      <w:r w:rsidRPr="00240730" w:rsidR="00A560A2">
        <w:t xml:space="preserve"> and its insolvency</w:t>
      </w:r>
    </w:p>
    <w:p w:rsidRPr="00240730" w:rsidR="0015377F" w:rsidP="00240730" w:rsidRDefault="0015377F">
      <w:pPr>
        <w:pStyle w:val="ECHRHeading3"/>
      </w:pPr>
      <w:r w:rsidRPr="00240730">
        <w:t>1.  The prosecutor</w:t>
      </w:r>
      <w:r w:rsidRPr="00240730" w:rsidR="00240730">
        <w:t>’</w:t>
      </w:r>
      <w:r w:rsidRPr="00240730">
        <w:t>s claims against the OAO on the applicants</w:t>
      </w:r>
      <w:r w:rsidRPr="00240730" w:rsidR="00240730">
        <w:t>’</w:t>
      </w:r>
      <w:r w:rsidRPr="00240730">
        <w:t xml:space="preserve"> behalf and subsequent proceedings</w:t>
      </w:r>
    </w:p>
    <w:p w:rsidRPr="00240730" w:rsidR="00377D0B" w:rsidP="00240730" w:rsidRDefault="0015377F">
      <w:pPr>
        <w:pStyle w:val="ECHRPara"/>
        <w:rPr>
          <w:bCs/>
        </w:rPr>
      </w:pPr>
      <w:r w:rsidRPr="00240730">
        <w:rPr>
          <w:noProof/>
        </w:rPr>
        <w:fldChar w:fldCharType="begin"/>
      </w:r>
      <w:r w:rsidRPr="00240730">
        <w:rPr>
          <w:noProof/>
        </w:rPr>
        <w:instrText xml:space="preserve"> SEQ level0 \*arabic </w:instrText>
      </w:r>
      <w:r w:rsidRPr="00240730">
        <w:rPr>
          <w:noProof/>
        </w:rPr>
        <w:fldChar w:fldCharType="separate"/>
      </w:r>
      <w:r w:rsidRPr="00240730" w:rsidR="00240730">
        <w:rPr>
          <w:noProof/>
        </w:rPr>
        <w:t>26</w:t>
      </w:r>
      <w:r w:rsidRPr="00240730">
        <w:rPr>
          <w:noProof/>
        </w:rPr>
        <w:fldChar w:fldCharType="end"/>
      </w:r>
      <w:r w:rsidRPr="00240730">
        <w:rPr>
          <w:noProof/>
        </w:rPr>
        <w:t>.  </w:t>
      </w:r>
      <w:r w:rsidRPr="00240730" w:rsidR="00882488">
        <w:rPr>
          <w:bCs/>
        </w:rPr>
        <w:t>Shortly after the annulment of the above-mentioned transaction, a local prosecutor brought proceedings against the OAO on behalf of the applicants.</w:t>
      </w:r>
    </w:p>
    <w:p w:rsidRPr="00240730" w:rsidR="0015377F" w:rsidP="00240730" w:rsidRDefault="0015377F">
      <w:pPr>
        <w:pStyle w:val="ECHRHeading4"/>
      </w:pPr>
      <w:r w:rsidRPr="00240730">
        <w:t>(a)  Case of Mr Smirnov</w:t>
      </w:r>
    </w:p>
    <w:bookmarkStart w:name="Smirnov23092008" w:id="13"/>
    <w:p w:rsidRPr="00240730" w:rsidR="0015377F" w:rsidP="00240730" w:rsidRDefault="0015377F">
      <w:pPr>
        <w:pStyle w:val="ECHRPara"/>
        <w:rPr>
          <w:bCs/>
        </w:rPr>
      </w:pPr>
      <w:r w:rsidRPr="00240730">
        <w:fldChar w:fldCharType="begin"/>
      </w:r>
      <w:r w:rsidRPr="00240730">
        <w:instrText xml:space="preserve"> SEQ level0 \*arabic </w:instrText>
      </w:r>
      <w:r w:rsidRPr="00240730">
        <w:fldChar w:fldCharType="separate"/>
      </w:r>
      <w:r w:rsidRPr="00240730" w:rsidR="00240730">
        <w:rPr>
          <w:noProof/>
        </w:rPr>
        <w:t>27</w:t>
      </w:r>
      <w:r w:rsidRPr="00240730">
        <w:fldChar w:fldCharType="end"/>
      </w:r>
      <w:bookmarkEnd w:id="13"/>
      <w:r w:rsidRPr="00240730">
        <w:t>.  </w:t>
      </w:r>
      <w:r w:rsidRPr="00240730" w:rsidR="0077695E">
        <w:rPr>
          <w:bCs/>
        </w:rPr>
        <w:t xml:space="preserve">In </w:t>
      </w:r>
      <w:r w:rsidRPr="00240730" w:rsidR="00045627">
        <w:rPr>
          <w:bCs/>
        </w:rPr>
        <w:t xml:space="preserve">the </w:t>
      </w:r>
      <w:r w:rsidRPr="00240730" w:rsidR="0077695E">
        <w:rPr>
          <w:bCs/>
        </w:rPr>
        <w:t xml:space="preserve">case of Mr Smirnov, </w:t>
      </w:r>
      <w:r w:rsidRPr="00240730">
        <w:rPr>
          <w:bCs/>
        </w:rPr>
        <w:t xml:space="preserve">the prosecutor </w:t>
      </w:r>
      <w:r w:rsidRPr="00240730" w:rsidR="00882488">
        <w:rPr>
          <w:bCs/>
        </w:rPr>
        <w:t xml:space="preserve">claimed unpaid salary for April 2008 and compensation for delayed payment of salary. He further </w:t>
      </w:r>
      <w:r w:rsidRPr="00240730">
        <w:rPr>
          <w:bCs/>
        </w:rPr>
        <w:t>amended the claim</w:t>
      </w:r>
      <w:r w:rsidRPr="00240730" w:rsidR="00045627">
        <w:rPr>
          <w:bCs/>
        </w:rPr>
        <w:t>,</w:t>
      </w:r>
      <w:r w:rsidRPr="00240730">
        <w:rPr>
          <w:bCs/>
        </w:rPr>
        <w:t xml:space="preserve"> dropping the part </w:t>
      </w:r>
      <w:r w:rsidRPr="00240730" w:rsidR="0077695E">
        <w:rPr>
          <w:bCs/>
        </w:rPr>
        <w:t>concerning unpaid</w:t>
      </w:r>
      <w:r w:rsidRPr="00240730" w:rsidR="00882488">
        <w:rPr>
          <w:bCs/>
        </w:rPr>
        <w:t xml:space="preserve"> wages</w:t>
      </w:r>
      <w:r w:rsidRPr="00240730" w:rsidR="0077695E">
        <w:rPr>
          <w:bCs/>
        </w:rPr>
        <w:t xml:space="preserve">. By </w:t>
      </w:r>
      <w:r w:rsidRPr="00240730" w:rsidR="00045627">
        <w:rPr>
          <w:bCs/>
        </w:rPr>
        <w:t xml:space="preserve">a </w:t>
      </w:r>
      <w:r w:rsidRPr="00240730" w:rsidR="0077695E">
        <w:rPr>
          <w:bCs/>
        </w:rPr>
        <w:t xml:space="preserve">judgment of 23 September 2008 the </w:t>
      </w:r>
      <w:r w:rsidRPr="00240730" w:rsidR="0035230E">
        <w:rPr>
          <w:bCs/>
        </w:rPr>
        <w:t>j</w:t>
      </w:r>
      <w:r w:rsidRPr="00240730" w:rsidR="0077695E">
        <w:t xml:space="preserve">ustice of the </w:t>
      </w:r>
      <w:r w:rsidRPr="00240730" w:rsidR="0035230E">
        <w:t>p</w:t>
      </w:r>
      <w:r w:rsidRPr="00240730" w:rsidR="0077695E">
        <w:t>eace of the 110</w:t>
      </w:r>
      <w:r w:rsidRPr="00240730" w:rsidR="0077695E">
        <w:rPr>
          <w:vertAlign w:val="superscript"/>
        </w:rPr>
        <w:t>th </w:t>
      </w:r>
      <w:r w:rsidRPr="00240730" w:rsidR="0077695E">
        <w:t xml:space="preserve">Court Circuit of St Petersburg </w:t>
      </w:r>
      <w:r w:rsidRPr="00240730" w:rsidR="00045627">
        <w:t xml:space="preserve">allowed </w:t>
      </w:r>
      <w:r w:rsidRPr="00240730" w:rsidR="0077695E">
        <w:t>the remaining claim in part and ordered the OAO to pay Mr Smirnov</w:t>
      </w:r>
      <w:r w:rsidRPr="00240730" w:rsidR="001807C6">
        <w:t xml:space="preserve"> </w:t>
      </w:r>
      <w:r w:rsidRPr="00240730" w:rsidR="0077695E">
        <w:t xml:space="preserve">445 </w:t>
      </w:r>
      <w:r w:rsidRPr="00240730" w:rsidR="001807C6">
        <w:t xml:space="preserve">Russian roubles ((RUB) </w:t>
      </w:r>
      <w:r w:rsidRPr="00240730" w:rsidR="001807C6">
        <w:rPr>
          <w:lang w:val="en"/>
        </w:rPr>
        <w:t xml:space="preserve">– approximately </w:t>
      </w:r>
      <w:r w:rsidRPr="00240730" w:rsidR="001807C6">
        <w:t xml:space="preserve">11 euros </w:t>
      </w:r>
      <w:r w:rsidRPr="00240730" w:rsidR="0077695E">
        <w:t>(EUR)</w:t>
      </w:r>
      <w:r w:rsidRPr="00240730" w:rsidR="001807C6">
        <w:t>)</w:t>
      </w:r>
      <w:r w:rsidRPr="00240730" w:rsidR="0077695E">
        <w:t xml:space="preserve"> in compensation for delayed payment of salary in early 2008 (see Appendix II). </w:t>
      </w:r>
      <w:r w:rsidRPr="00240730" w:rsidR="0077695E">
        <w:rPr>
          <w:bCs/>
        </w:rPr>
        <w:t>The judgment entered into force ten days later</w:t>
      </w:r>
      <w:r w:rsidRPr="00240730" w:rsidR="00103E84">
        <w:rPr>
          <w:bCs/>
        </w:rPr>
        <w:t>.</w:t>
      </w:r>
      <w:r w:rsidRPr="00240730" w:rsidR="0077695E">
        <w:rPr>
          <w:bCs/>
        </w:rPr>
        <w:t xml:space="preserve"> </w:t>
      </w:r>
      <w:r w:rsidRPr="00240730" w:rsidR="00103E84">
        <w:rPr>
          <w:bCs/>
        </w:rPr>
        <w:t>A writ of execution was issued. On 16 March 2009 the applicant forwarded it to the OAO</w:t>
      </w:r>
      <w:r w:rsidRPr="00240730" w:rsidR="00240730">
        <w:rPr>
          <w:bCs/>
        </w:rPr>
        <w:t>’</w:t>
      </w:r>
      <w:r w:rsidRPr="00240730" w:rsidR="00103E84">
        <w:rPr>
          <w:bCs/>
        </w:rPr>
        <w:t>s insolvency manager. The judgment</w:t>
      </w:r>
      <w:r w:rsidRPr="00240730" w:rsidR="0077695E">
        <w:rPr>
          <w:bCs/>
        </w:rPr>
        <w:t xml:space="preserve"> has not been enforced.</w:t>
      </w:r>
    </w:p>
    <w:p w:rsidRPr="00240730" w:rsidR="0015377F" w:rsidP="00240730" w:rsidRDefault="0015377F">
      <w:pPr>
        <w:pStyle w:val="ECHRHeading4"/>
      </w:pPr>
      <w:r w:rsidRPr="00240730">
        <w:t>(b)</w:t>
      </w:r>
      <w:r w:rsidRPr="00240730" w:rsidR="000B07BC">
        <w:t>  </w:t>
      </w:r>
      <w:r w:rsidRPr="00240730">
        <w:t>Cases of</w:t>
      </w:r>
      <w:r w:rsidRPr="00240730" w:rsidR="00BD57B2">
        <w:t xml:space="preserve"> the</w:t>
      </w:r>
      <w:r w:rsidRPr="00240730">
        <w:t xml:space="preserve"> six other applicants</w:t>
      </w:r>
    </w:p>
    <w:p w:rsidRPr="00240730" w:rsidR="000B07BC" w:rsidP="00240730" w:rsidRDefault="00DE3141">
      <w:pPr>
        <w:pStyle w:val="ECHRHeading5"/>
      </w:pPr>
      <w:r w:rsidRPr="00240730">
        <w:t>(</w:t>
      </w:r>
      <w:proofErr w:type="spellStart"/>
      <w:r w:rsidRPr="00240730" w:rsidR="0015377F">
        <w:t>i</w:t>
      </w:r>
      <w:proofErr w:type="spellEnd"/>
      <w:r w:rsidRPr="00240730">
        <w:t>)</w:t>
      </w:r>
      <w:r w:rsidRPr="00240730" w:rsidR="0015377F">
        <w:t>  </w:t>
      </w:r>
      <w:r w:rsidRPr="00240730" w:rsidR="000B07BC">
        <w:t xml:space="preserve">Court </w:t>
      </w:r>
      <w:r w:rsidRPr="00240730" w:rsidR="00BD57B2">
        <w:t>orders</w:t>
      </w:r>
      <w:r w:rsidRPr="00240730" w:rsidR="000B07BC">
        <w:t xml:space="preserve"> in the applicants</w:t>
      </w:r>
      <w:r w:rsidRPr="00240730" w:rsidR="00240730">
        <w:t>’</w:t>
      </w:r>
      <w:r w:rsidRPr="00240730" w:rsidR="000B07BC">
        <w:t xml:space="preserve"> favour against the OAO</w:t>
      </w:r>
    </w:p>
    <w:bookmarkStart w:name="SixApplicantsWritsAgainstOAO" w:id="14"/>
    <w:p w:rsidRPr="00240730" w:rsidR="00377D0B" w:rsidP="00240730" w:rsidRDefault="000B07BC">
      <w:pPr>
        <w:pStyle w:val="ECHRPara"/>
        <w:rPr>
          <w:bCs/>
        </w:rPr>
      </w:pPr>
      <w:r w:rsidRPr="00240730">
        <w:rPr>
          <w:bCs/>
        </w:rPr>
        <w:fldChar w:fldCharType="begin"/>
      </w:r>
      <w:r w:rsidRPr="00240730">
        <w:rPr>
          <w:bCs/>
        </w:rPr>
        <w:instrText xml:space="preserve"> SEQ level0 \*arabic </w:instrText>
      </w:r>
      <w:r w:rsidRPr="00240730">
        <w:rPr>
          <w:bCs/>
        </w:rPr>
        <w:fldChar w:fldCharType="separate"/>
      </w:r>
      <w:r w:rsidRPr="00240730" w:rsidR="00240730">
        <w:rPr>
          <w:bCs/>
          <w:noProof/>
        </w:rPr>
        <w:t>28</w:t>
      </w:r>
      <w:r w:rsidRPr="00240730">
        <w:rPr>
          <w:bCs/>
        </w:rPr>
        <w:fldChar w:fldCharType="end"/>
      </w:r>
      <w:bookmarkEnd w:id="14"/>
      <w:r w:rsidRPr="00240730">
        <w:rPr>
          <w:bCs/>
        </w:rPr>
        <w:t>.  </w:t>
      </w:r>
      <w:r w:rsidRPr="00240730" w:rsidR="00A32AF8">
        <w:rPr>
          <w:bCs/>
        </w:rPr>
        <w:t>In</w:t>
      </w:r>
      <w:r w:rsidRPr="00240730" w:rsidR="00045627">
        <w:rPr>
          <w:bCs/>
        </w:rPr>
        <w:t xml:space="preserve"> the</w:t>
      </w:r>
      <w:r w:rsidRPr="00240730" w:rsidR="00A32AF8">
        <w:rPr>
          <w:bCs/>
        </w:rPr>
        <w:t xml:space="preserve"> case</w:t>
      </w:r>
      <w:r w:rsidRPr="00240730" w:rsidR="00324701">
        <w:rPr>
          <w:bCs/>
        </w:rPr>
        <w:t>s</w:t>
      </w:r>
      <w:r w:rsidRPr="00240730" w:rsidR="00A32AF8">
        <w:rPr>
          <w:bCs/>
        </w:rPr>
        <w:t xml:space="preserve"> of</w:t>
      </w:r>
      <w:r w:rsidRPr="00240730" w:rsidR="00045627">
        <w:rPr>
          <w:bCs/>
        </w:rPr>
        <w:t xml:space="preserve"> the</w:t>
      </w:r>
      <w:r w:rsidRPr="00240730" w:rsidR="00A32AF8">
        <w:rPr>
          <w:bCs/>
        </w:rPr>
        <w:t xml:space="preserve"> six other applicants, the</w:t>
      </w:r>
      <w:r w:rsidRPr="00240730">
        <w:rPr>
          <w:bCs/>
        </w:rPr>
        <w:t xml:space="preserve"> prosecutor brought proceedings against the OAO on </w:t>
      </w:r>
      <w:r w:rsidRPr="00240730" w:rsidR="00A32AF8">
        <w:rPr>
          <w:bCs/>
        </w:rPr>
        <w:t>their behalf</w:t>
      </w:r>
      <w:r w:rsidRPr="00240730">
        <w:rPr>
          <w:bCs/>
        </w:rPr>
        <w:t xml:space="preserve"> seeking unpaid wages for June </w:t>
      </w:r>
      <w:r w:rsidRPr="00240730" w:rsidR="00045627">
        <w:rPr>
          <w:bCs/>
        </w:rPr>
        <w:t xml:space="preserve">to </w:t>
      </w:r>
      <w:r w:rsidRPr="00240730">
        <w:rPr>
          <w:bCs/>
        </w:rPr>
        <w:t xml:space="preserve">August 2008 and in some cases, severance pay. </w:t>
      </w:r>
      <w:r w:rsidRPr="00240730">
        <w:t>On the dates listed in Appendix I</w:t>
      </w:r>
      <w:r w:rsidRPr="00240730" w:rsidR="0077695E">
        <w:t>I</w:t>
      </w:r>
      <w:r w:rsidRPr="00240730">
        <w:t xml:space="preserve"> the </w:t>
      </w:r>
      <w:r w:rsidRPr="00240730" w:rsidR="0035230E">
        <w:t>j</w:t>
      </w:r>
      <w:r w:rsidRPr="00240730">
        <w:t xml:space="preserve">ustice of the </w:t>
      </w:r>
      <w:r w:rsidRPr="00240730" w:rsidR="0035230E">
        <w:t>p</w:t>
      </w:r>
      <w:r w:rsidRPr="00240730">
        <w:t>eace of the 110</w:t>
      </w:r>
      <w:r w:rsidRPr="00240730">
        <w:rPr>
          <w:vertAlign w:val="superscript"/>
        </w:rPr>
        <w:t>th </w:t>
      </w:r>
      <w:r w:rsidRPr="00240730">
        <w:t>Court Circuit of S</w:t>
      </w:r>
      <w:r w:rsidRPr="00240730" w:rsidR="00DE3141">
        <w:t>t </w:t>
      </w:r>
      <w:r w:rsidRPr="00240730">
        <w:t xml:space="preserve">Petersburg </w:t>
      </w:r>
      <w:r w:rsidRPr="00240730">
        <w:rPr>
          <w:bCs/>
        </w:rPr>
        <w:t xml:space="preserve">awarded the applicants the amounts claimed in separate court </w:t>
      </w:r>
      <w:r w:rsidRPr="00240730" w:rsidR="00045627">
        <w:rPr>
          <w:bCs/>
        </w:rPr>
        <w:t xml:space="preserve">orders </w:t>
      </w:r>
      <w:r w:rsidRPr="00240730">
        <w:rPr>
          <w:bCs/>
        </w:rPr>
        <w:t>(</w:t>
      </w:r>
      <w:proofErr w:type="spellStart"/>
      <w:r w:rsidRPr="00240730">
        <w:rPr>
          <w:bCs/>
          <w:i/>
        </w:rPr>
        <w:t>судебные</w:t>
      </w:r>
      <w:proofErr w:type="spellEnd"/>
      <w:r w:rsidRPr="00240730">
        <w:rPr>
          <w:bCs/>
          <w:i/>
        </w:rPr>
        <w:t xml:space="preserve"> </w:t>
      </w:r>
      <w:proofErr w:type="spellStart"/>
      <w:r w:rsidRPr="00240730">
        <w:rPr>
          <w:bCs/>
          <w:i/>
        </w:rPr>
        <w:t>приказы</w:t>
      </w:r>
      <w:proofErr w:type="spellEnd"/>
      <w:r w:rsidRPr="00240730">
        <w:rPr>
          <w:bCs/>
        </w:rPr>
        <w:t>).</w:t>
      </w:r>
    </w:p>
    <w:bookmarkStart w:name="AWARDS_v_OAO_never_enforced" w:id="15"/>
    <w:p w:rsidRPr="00240730" w:rsidR="000B07BC" w:rsidP="00240730" w:rsidRDefault="00FD3D8C">
      <w:pPr>
        <w:pStyle w:val="ECHRPara"/>
        <w:rPr>
          <w:bCs/>
        </w:rPr>
      </w:pPr>
      <w:r w:rsidRPr="00240730">
        <w:rPr>
          <w:bCs/>
        </w:rPr>
        <w:fldChar w:fldCharType="begin"/>
      </w:r>
      <w:r w:rsidRPr="00240730">
        <w:rPr>
          <w:bCs/>
        </w:rPr>
        <w:instrText xml:space="preserve"> SEQ level0 \*arabic </w:instrText>
      </w:r>
      <w:r w:rsidRPr="00240730">
        <w:rPr>
          <w:bCs/>
        </w:rPr>
        <w:fldChar w:fldCharType="separate"/>
      </w:r>
      <w:r w:rsidRPr="00240730" w:rsidR="00240730">
        <w:rPr>
          <w:bCs/>
          <w:noProof/>
        </w:rPr>
        <w:t>29</w:t>
      </w:r>
      <w:r w:rsidRPr="00240730">
        <w:rPr>
          <w:bCs/>
        </w:rPr>
        <w:fldChar w:fldCharType="end"/>
      </w:r>
      <w:bookmarkEnd w:id="15"/>
      <w:r w:rsidRPr="00240730">
        <w:rPr>
          <w:bCs/>
        </w:rPr>
        <w:t>.  </w:t>
      </w:r>
      <w:r w:rsidRPr="00240730" w:rsidR="000B07BC">
        <w:rPr>
          <w:bCs/>
        </w:rPr>
        <w:t xml:space="preserve">They took effect </w:t>
      </w:r>
      <w:r w:rsidRPr="00240730" w:rsidR="0017260B">
        <w:rPr>
          <w:bCs/>
        </w:rPr>
        <w:t>immediately</w:t>
      </w:r>
      <w:r w:rsidRPr="00240730" w:rsidR="000B07BC">
        <w:rPr>
          <w:bCs/>
        </w:rPr>
        <w:t xml:space="preserve"> but have never been enforced.</w:t>
      </w:r>
    </w:p>
    <w:p w:rsidRPr="00240730" w:rsidR="000B07BC" w:rsidP="00240730" w:rsidRDefault="00DE3141">
      <w:pPr>
        <w:pStyle w:val="ECHRHeading5"/>
      </w:pPr>
      <w:r w:rsidRPr="00240730">
        <w:t>(</w:t>
      </w:r>
      <w:r w:rsidRPr="00240730" w:rsidR="0015377F">
        <w:t>ii</w:t>
      </w:r>
      <w:r w:rsidRPr="00240730">
        <w:t>)</w:t>
      </w:r>
      <w:r w:rsidRPr="00240730" w:rsidR="000B07BC">
        <w:t>  Application for the FGUP to substitute the debtor</w:t>
      </w:r>
    </w:p>
    <w:p w:rsidRPr="00240730" w:rsidR="000B07BC" w:rsidP="00240730" w:rsidRDefault="00061CA0">
      <w:pPr>
        <w:pStyle w:val="ECHRPara"/>
        <w:rPr>
          <w:bCs/>
        </w:rPr>
      </w:pPr>
      <w:r w:rsidRPr="00240730">
        <w:rPr>
          <w:bCs/>
        </w:rPr>
        <w:fldChar w:fldCharType="begin"/>
      </w:r>
      <w:r w:rsidRPr="00240730">
        <w:rPr>
          <w:bCs/>
        </w:rPr>
        <w:instrText xml:space="preserve"> SEQ level0 \*arabic </w:instrText>
      </w:r>
      <w:r w:rsidRPr="00240730">
        <w:rPr>
          <w:bCs/>
        </w:rPr>
        <w:fldChar w:fldCharType="separate"/>
      </w:r>
      <w:r w:rsidRPr="00240730" w:rsidR="00240730">
        <w:rPr>
          <w:bCs/>
          <w:noProof/>
        </w:rPr>
        <w:t>30</w:t>
      </w:r>
      <w:r w:rsidRPr="00240730">
        <w:rPr>
          <w:bCs/>
        </w:rPr>
        <w:fldChar w:fldCharType="end"/>
      </w:r>
      <w:r w:rsidRPr="00240730">
        <w:rPr>
          <w:bCs/>
        </w:rPr>
        <w:t>.  </w:t>
      </w:r>
      <w:r w:rsidRPr="00240730" w:rsidR="000B07BC">
        <w:rPr>
          <w:bCs/>
        </w:rPr>
        <w:t xml:space="preserve">In 2008 the applicants applied to have the debtor in the domestic proceedings (the OAO) substituted. They argued that, since the creation of the OAO had been declared </w:t>
      </w:r>
      <w:r w:rsidRPr="00240730" w:rsidR="003D0BFA">
        <w:rPr>
          <w:bCs/>
        </w:rPr>
        <w:t>invalid</w:t>
      </w:r>
      <w:r w:rsidRPr="00240730" w:rsidR="000B07BC">
        <w:rPr>
          <w:bCs/>
        </w:rPr>
        <w:t xml:space="preserve"> and all the assets were to be returned to the FGUP, the latter was liable to pay the judgment debts made against the OAO.</w:t>
      </w:r>
    </w:p>
    <w:bookmarkStart w:name="SubstituteDebtor1InstGranted" w:id="16"/>
    <w:p w:rsidRPr="00240730" w:rsidR="00377D0B" w:rsidP="00240730" w:rsidRDefault="000B07BC">
      <w:pPr>
        <w:pStyle w:val="ECHRPara"/>
        <w:rPr>
          <w:bCs/>
        </w:rPr>
      </w:pPr>
      <w:r w:rsidRPr="00240730">
        <w:rPr>
          <w:bCs/>
        </w:rPr>
        <w:fldChar w:fldCharType="begin"/>
      </w:r>
      <w:r w:rsidRPr="00240730">
        <w:rPr>
          <w:bCs/>
        </w:rPr>
        <w:instrText xml:space="preserve"> SEQ level0 \*arabic </w:instrText>
      </w:r>
      <w:r w:rsidRPr="00240730">
        <w:rPr>
          <w:bCs/>
        </w:rPr>
        <w:fldChar w:fldCharType="separate"/>
      </w:r>
      <w:r w:rsidRPr="00240730" w:rsidR="00240730">
        <w:rPr>
          <w:bCs/>
          <w:noProof/>
        </w:rPr>
        <w:t>31</w:t>
      </w:r>
      <w:r w:rsidRPr="00240730">
        <w:rPr>
          <w:bCs/>
        </w:rPr>
        <w:fldChar w:fldCharType="end"/>
      </w:r>
      <w:bookmarkEnd w:id="16"/>
      <w:r w:rsidRPr="00240730">
        <w:rPr>
          <w:bCs/>
        </w:rPr>
        <w:t xml:space="preserve">.  On the dates specified in </w:t>
      </w:r>
      <w:r w:rsidRPr="00240730">
        <w:t>Appendix I the</w:t>
      </w:r>
      <w:r w:rsidRPr="00240730">
        <w:rPr>
          <w:bCs/>
        </w:rPr>
        <w:t xml:space="preserve"> </w:t>
      </w:r>
      <w:r w:rsidRPr="00240730" w:rsidR="0035230E">
        <w:rPr>
          <w:bCs/>
        </w:rPr>
        <w:t>j</w:t>
      </w:r>
      <w:r w:rsidRPr="00240730">
        <w:rPr>
          <w:bCs/>
        </w:rPr>
        <w:t xml:space="preserve">ustice of the </w:t>
      </w:r>
      <w:r w:rsidRPr="00240730" w:rsidR="0035230E">
        <w:rPr>
          <w:bCs/>
        </w:rPr>
        <w:t>p</w:t>
      </w:r>
      <w:r w:rsidRPr="00240730">
        <w:rPr>
          <w:bCs/>
        </w:rPr>
        <w:t>eace of the 110</w:t>
      </w:r>
      <w:r w:rsidRPr="00240730">
        <w:rPr>
          <w:bCs/>
          <w:vertAlign w:val="superscript"/>
        </w:rPr>
        <w:t>th</w:t>
      </w:r>
      <w:r w:rsidRPr="00240730">
        <w:rPr>
          <w:bCs/>
        </w:rPr>
        <w:t xml:space="preserve"> Court Circuit of St Petersburg allowed the application at first instance. She held that as the transaction had been voided, no transfer of rights or obligations to the OAO had taken place, and therefore the transfer of the employer</w:t>
      </w:r>
      <w:r w:rsidRPr="00240730" w:rsidR="00240730">
        <w:rPr>
          <w:bCs/>
        </w:rPr>
        <w:t>’</w:t>
      </w:r>
      <w:r w:rsidRPr="00240730">
        <w:rPr>
          <w:bCs/>
        </w:rPr>
        <w:t xml:space="preserve">s rights and obligations to the OAO had also been unlawful. </w:t>
      </w:r>
      <w:r w:rsidRPr="00240730" w:rsidR="00891CB6">
        <w:rPr>
          <w:bCs/>
        </w:rPr>
        <w:t xml:space="preserve">The </w:t>
      </w:r>
      <w:r w:rsidRPr="00240730" w:rsidR="0035230E">
        <w:rPr>
          <w:bCs/>
        </w:rPr>
        <w:t>j</w:t>
      </w:r>
      <w:r w:rsidRPr="00240730" w:rsidR="00891CB6">
        <w:rPr>
          <w:bCs/>
        </w:rPr>
        <w:t xml:space="preserve">ustice of the </w:t>
      </w:r>
      <w:r w:rsidRPr="00240730" w:rsidR="0035230E">
        <w:rPr>
          <w:bCs/>
        </w:rPr>
        <w:t>p</w:t>
      </w:r>
      <w:r w:rsidRPr="00240730" w:rsidR="00891CB6">
        <w:rPr>
          <w:bCs/>
        </w:rPr>
        <w:t>eace further cited, w</w:t>
      </w:r>
      <w:r w:rsidRPr="00240730" w:rsidR="00902373">
        <w:rPr>
          <w:bCs/>
        </w:rPr>
        <w:t>ithout</w:t>
      </w:r>
      <w:r w:rsidRPr="00240730" w:rsidR="00045627">
        <w:rPr>
          <w:bCs/>
        </w:rPr>
        <w:t xml:space="preserve"> giving</w:t>
      </w:r>
      <w:r w:rsidRPr="00240730" w:rsidR="00902373">
        <w:rPr>
          <w:bCs/>
        </w:rPr>
        <w:t xml:space="preserve"> further details, Article </w:t>
      </w:r>
      <w:r w:rsidRPr="00240730" w:rsidR="00891CB6">
        <w:rPr>
          <w:bCs/>
        </w:rPr>
        <w:t xml:space="preserve">44 of the Code of the Civil </w:t>
      </w:r>
      <w:r w:rsidRPr="00240730" w:rsidR="00CD35C5">
        <w:rPr>
          <w:bCs/>
        </w:rPr>
        <w:t xml:space="preserve">Procedure </w:t>
      </w:r>
      <w:r w:rsidRPr="00240730">
        <w:rPr>
          <w:bCs/>
        </w:rPr>
        <w:t xml:space="preserve">on legal succession </w:t>
      </w:r>
      <w:r w:rsidRPr="00240730" w:rsidR="00891CB6">
        <w:rPr>
          <w:bCs/>
        </w:rPr>
        <w:t>(see paragraph </w:t>
      </w:r>
      <w:r w:rsidRPr="00240730" w:rsidR="00891CB6">
        <w:rPr>
          <w:bCs/>
        </w:rPr>
        <w:fldChar w:fldCharType="begin"/>
      </w:r>
      <w:r w:rsidRPr="00240730" w:rsidR="00891CB6">
        <w:rPr>
          <w:bCs/>
        </w:rPr>
        <w:instrText xml:space="preserve"> REF A44CCPsuccession \h </w:instrText>
      </w:r>
      <w:r w:rsidRPr="00240730" w:rsidR="00D279D2">
        <w:rPr>
          <w:bCs/>
        </w:rPr>
        <w:instrText xml:space="preserve"> \* MERGEFORMAT </w:instrText>
      </w:r>
      <w:r w:rsidRPr="00240730" w:rsidR="00891CB6">
        <w:rPr>
          <w:bCs/>
        </w:rPr>
      </w:r>
      <w:r w:rsidRPr="00240730" w:rsidR="00891CB6">
        <w:rPr>
          <w:bCs/>
        </w:rPr>
        <w:fldChar w:fldCharType="separate"/>
      </w:r>
      <w:r w:rsidRPr="00240730" w:rsidR="00240730">
        <w:rPr>
          <w:noProof/>
        </w:rPr>
        <w:t>67. </w:t>
      </w:r>
      <w:r w:rsidRPr="00240730" w:rsidR="00891CB6">
        <w:rPr>
          <w:bCs/>
        </w:rPr>
        <w:fldChar w:fldCharType="end"/>
      </w:r>
      <w:r w:rsidRPr="00240730" w:rsidR="00E16A13">
        <w:rPr>
          <w:bCs/>
        </w:rPr>
        <w:t xml:space="preserve"> </w:t>
      </w:r>
      <w:r w:rsidRPr="00240730" w:rsidR="00891CB6">
        <w:rPr>
          <w:bCs/>
        </w:rPr>
        <w:t xml:space="preserve">below) and </w:t>
      </w:r>
      <w:r w:rsidRPr="00240730">
        <w:rPr>
          <w:bCs/>
        </w:rPr>
        <w:t xml:space="preserve">ordered </w:t>
      </w:r>
      <w:r w:rsidRPr="00240730" w:rsidR="00891CB6">
        <w:rPr>
          <w:bCs/>
        </w:rPr>
        <w:t xml:space="preserve">that the OAO, the debtor under the court </w:t>
      </w:r>
      <w:r w:rsidRPr="00240730" w:rsidR="00045627">
        <w:rPr>
          <w:bCs/>
        </w:rPr>
        <w:t>orders</w:t>
      </w:r>
      <w:r w:rsidRPr="00240730" w:rsidR="00891CB6">
        <w:rPr>
          <w:bCs/>
        </w:rPr>
        <w:t xml:space="preserve">, be replaced by </w:t>
      </w:r>
      <w:r w:rsidRPr="00240730" w:rsidR="00902373">
        <w:rPr>
          <w:bCs/>
        </w:rPr>
        <w:t xml:space="preserve">the </w:t>
      </w:r>
      <w:r w:rsidRPr="00240730" w:rsidR="00891CB6">
        <w:rPr>
          <w:bCs/>
        </w:rPr>
        <w:t>FGUP.</w:t>
      </w:r>
    </w:p>
    <w:bookmarkStart w:name="SubstituteDebtor2instRefused" w:id="17"/>
    <w:p w:rsidRPr="00240730" w:rsidR="00377D0B" w:rsidP="00240730" w:rsidRDefault="000B07BC">
      <w:pPr>
        <w:pStyle w:val="ECHRPara"/>
        <w:rPr>
          <w:bCs/>
        </w:rPr>
      </w:pPr>
      <w:r w:rsidRPr="00240730">
        <w:rPr>
          <w:bCs/>
        </w:rPr>
        <w:fldChar w:fldCharType="begin"/>
      </w:r>
      <w:r w:rsidRPr="00240730">
        <w:rPr>
          <w:bCs/>
        </w:rPr>
        <w:instrText xml:space="preserve"> SEQ level0 \*arabic </w:instrText>
      </w:r>
      <w:r w:rsidRPr="00240730">
        <w:rPr>
          <w:bCs/>
        </w:rPr>
        <w:fldChar w:fldCharType="separate"/>
      </w:r>
      <w:r w:rsidRPr="00240730" w:rsidR="00240730">
        <w:rPr>
          <w:bCs/>
          <w:noProof/>
        </w:rPr>
        <w:t>32</w:t>
      </w:r>
      <w:r w:rsidRPr="00240730">
        <w:rPr>
          <w:bCs/>
        </w:rPr>
        <w:fldChar w:fldCharType="end"/>
      </w:r>
      <w:bookmarkEnd w:id="17"/>
      <w:r w:rsidRPr="00240730">
        <w:rPr>
          <w:bCs/>
        </w:rPr>
        <w:t xml:space="preserve">.  On </w:t>
      </w:r>
      <w:r w:rsidRPr="00240730" w:rsidR="00974F5B">
        <w:rPr>
          <w:bCs/>
        </w:rPr>
        <w:t xml:space="preserve">the </w:t>
      </w:r>
      <w:r w:rsidRPr="00240730">
        <w:rPr>
          <w:bCs/>
        </w:rPr>
        <w:t xml:space="preserve">various dates in 2009 listed in Appendix I the </w:t>
      </w:r>
      <w:proofErr w:type="spellStart"/>
      <w:r w:rsidRPr="00240730">
        <w:rPr>
          <w:bCs/>
        </w:rPr>
        <w:t>Kronstadt</w:t>
      </w:r>
      <w:proofErr w:type="spellEnd"/>
      <w:r w:rsidRPr="00240730">
        <w:rPr>
          <w:bCs/>
        </w:rPr>
        <w:t xml:space="preserve"> District Court of St Petersburg quashed the above-mentioned decisions.</w:t>
      </w:r>
      <w:r w:rsidRPr="00240730" w:rsidR="00B22B14">
        <w:rPr>
          <w:bCs/>
        </w:rPr>
        <w:t xml:space="preserve"> First</w:t>
      </w:r>
      <w:r w:rsidRPr="00240730" w:rsidR="00974F5B">
        <w:rPr>
          <w:bCs/>
        </w:rPr>
        <w:t>ly</w:t>
      </w:r>
      <w:r w:rsidRPr="00240730" w:rsidR="00B22B14">
        <w:rPr>
          <w:bCs/>
        </w:rPr>
        <w:t>, it</w:t>
      </w:r>
      <w:r w:rsidRPr="00240730">
        <w:rPr>
          <w:bCs/>
        </w:rPr>
        <w:t xml:space="preserve"> found that the annulment of the </w:t>
      </w:r>
      <w:r w:rsidRPr="00240730" w:rsidR="00B22B14">
        <w:rPr>
          <w:bCs/>
        </w:rPr>
        <w:t xml:space="preserve">unlawful </w:t>
      </w:r>
      <w:r w:rsidRPr="00240730">
        <w:rPr>
          <w:bCs/>
        </w:rPr>
        <w:t xml:space="preserve">decisions to create the OAO and transfer assets had not given rise to legal succession. The court </w:t>
      </w:r>
      <w:r w:rsidRPr="00240730" w:rsidR="0047530E">
        <w:rPr>
          <w:bCs/>
        </w:rPr>
        <w:t xml:space="preserve">considered </w:t>
      </w:r>
      <w:r w:rsidRPr="00240730">
        <w:rPr>
          <w:bCs/>
        </w:rPr>
        <w:t xml:space="preserve">that the transfer of assets from the OAO to the FGUP had not automatically resulted in the </w:t>
      </w:r>
      <w:r w:rsidRPr="00240730" w:rsidR="00891CB6">
        <w:rPr>
          <w:bCs/>
        </w:rPr>
        <w:t xml:space="preserve">obligations </w:t>
      </w:r>
      <w:r w:rsidRPr="00240730">
        <w:rPr>
          <w:bCs/>
        </w:rPr>
        <w:t xml:space="preserve">being transferred. </w:t>
      </w:r>
      <w:r w:rsidRPr="00240730" w:rsidR="00902373">
        <w:rPr>
          <w:bCs/>
        </w:rPr>
        <w:t xml:space="preserve">Indeed, the judgment of </w:t>
      </w:r>
      <w:r w:rsidRPr="00240730" w:rsidR="00B22B14">
        <w:rPr>
          <w:bCs/>
        </w:rPr>
        <w:t>19 October 2007</w:t>
      </w:r>
      <w:r w:rsidRPr="00240730" w:rsidR="00902373">
        <w:rPr>
          <w:bCs/>
        </w:rPr>
        <w:t xml:space="preserve"> </w:t>
      </w:r>
      <w:r w:rsidRPr="00240730" w:rsidR="00CD35C5">
        <w:rPr>
          <w:bCs/>
        </w:rPr>
        <w:t>had</w:t>
      </w:r>
      <w:r w:rsidRPr="00240730" w:rsidR="00902373">
        <w:rPr>
          <w:bCs/>
        </w:rPr>
        <w:t xml:space="preserve"> not contain</w:t>
      </w:r>
      <w:r w:rsidRPr="00240730" w:rsidR="00CD35C5">
        <w:rPr>
          <w:bCs/>
        </w:rPr>
        <w:t>ed</w:t>
      </w:r>
      <w:r w:rsidRPr="00240730" w:rsidR="00902373">
        <w:rPr>
          <w:bCs/>
        </w:rPr>
        <w:t xml:space="preserve"> an order to that effect</w:t>
      </w:r>
      <w:r w:rsidRPr="00240730" w:rsidR="00B22B14">
        <w:rPr>
          <w:bCs/>
        </w:rPr>
        <w:t xml:space="preserve"> (see paragraph </w:t>
      </w:r>
      <w:r w:rsidRPr="00240730" w:rsidR="00B22B14">
        <w:rPr>
          <w:bCs/>
        </w:rPr>
        <w:fldChar w:fldCharType="begin"/>
      </w:r>
      <w:r w:rsidRPr="00240730" w:rsidR="00B22B14">
        <w:rPr>
          <w:bCs/>
        </w:rPr>
        <w:instrText xml:space="preserve"> REF Judgment19102007 \h </w:instrText>
      </w:r>
      <w:r w:rsidRPr="00240730" w:rsidR="00B22B14">
        <w:rPr>
          <w:bCs/>
        </w:rPr>
      </w:r>
      <w:r w:rsidRPr="00240730" w:rsidR="00B22B14">
        <w:rPr>
          <w:bCs/>
        </w:rPr>
        <w:fldChar w:fldCharType="separate"/>
      </w:r>
      <w:r w:rsidRPr="00240730" w:rsidR="00240730">
        <w:rPr>
          <w:noProof/>
        </w:rPr>
        <w:t>21</w:t>
      </w:r>
      <w:r w:rsidRPr="00240730" w:rsidR="00B22B14">
        <w:rPr>
          <w:bCs/>
        </w:rPr>
        <w:fldChar w:fldCharType="end"/>
      </w:r>
      <w:r w:rsidRPr="00240730" w:rsidR="00B22B14">
        <w:rPr>
          <w:bCs/>
        </w:rPr>
        <w:t xml:space="preserve"> above). Otherwise, there </w:t>
      </w:r>
      <w:r w:rsidRPr="00240730" w:rsidR="00974F5B">
        <w:rPr>
          <w:bCs/>
        </w:rPr>
        <w:t xml:space="preserve">were </w:t>
      </w:r>
      <w:r w:rsidRPr="00240730" w:rsidR="00902373">
        <w:rPr>
          <w:bCs/>
        </w:rPr>
        <w:t>no ground</w:t>
      </w:r>
      <w:r w:rsidRPr="00240730" w:rsidR="00974F5B">
        <w:rPr>
          <w:bCs/>
        </w:rPr>
        <w:t>s</w:t>
      </w:r>
      <w:r w:rsidRPr="00240730" w:rsidR="00902373">
        <w:rPr>
          <w:bCs/>
        </w:rPr>
        <w:t xml:space="preserve"> for such</w:t>
      </w:r>
      <w:r w:rsidRPr="00240730" w:rsidR="00974F5B">
        <w:rPr>
          <w:bCs/>
        </w:rPr>
        <w:t xml:space="preserve"> a</w:t>
      </w:r>
      <w:r w:rsidRPr="00240730" w:rsidR="00902373">
        <w:rPr>
          <w:bCs/>
        </w:rPr>
        <w:t xml:space="preserve"> transfer, as a result of either the OAO</w:t>
      </w:r>
      <w:r w:rsidRPr="00240730" w:rsidR="00240730">
        <w:rPr>
          <w:bCs/>
        </w:rPr>
        <w:t>’</w:t>
      </w:r>
      <w:r w:rsidRPr="00240730" w:rsidR="00902373">
        <w:rPr>
          <w:bCs/>
        </w:rPr>
        <w:t>s reorganisation, or a “singular succession”, as</w:t>
      </w:r>
      <w:r w:rsidRPr="00240730" w:rsidR="0047530E">
        <w:rPr>
          <w:bCs/>
        </w:rPr>
        <w:t>, for instance,</w:t>
      </w:r>
      <w:r w:rsidRPr="00240730" w:rsidR="00902373">
        <w:rPr>
          <w:bCs/>
        </w:rPr>
        <w:t xml:space="preserve"> in</w:t>
      </w:r>
      <w:r w:rsidRPr="00240730" w:rsidR="00974F5B">
        <w:rPr>
          <w:bCs/>
        </w:rPr>
        <w:t xml:space="preserve"> the</w:t>
      </w:r>
      <w:r w:rsidRPr="00240730" w:rsidR="00902373">
        <w:rPr>
          <w:bCs/>
        </w:rPr>
        <w:t xml:space="preserve"> </w:t>
      </w:r>
      <w:r w:rsidRPr="00240730" w:rsidR="00974F5B">
        <w:rPr>
          <w:bCs/>
        </w:rPr>
        <w:t xml:space="preserve">event </w:t>
      </w:r>
      <w:r w:rsidRPr="00240730" w:rsidR="00902373">
        <w:rPr>
          <w:bCs/>
        </w:rPr>
        <w:t xml:space="preserve">of assignment </w:t>
      </w:r>
      <w:r w:rsidRPr="00240730" w:rsidR="006D624D">
        <w:rPr>
          <w:bCs/>
        </w:rPr>
        <w:t xml:space="preserve">or transfer of the </w:t>
      </w:r>
      <w:r w:rsidRPr="00240730" w:rsidR="00902373">
        <w:rPr>
          <w:bCs/>
        </w:rPr>
        <w:t xml:space="preserve">debt. </w:t>
      </w:r>
      <w:r w:rsidRPr="00240730" w:rsidR="00B22B14">
        <w:rPr>
          <w:bCs/>
        </w:rPr>
        <w:t>Secondly, the court</w:t>
      </w:r>
      <w:r w:rsidRPr="00240730">
        <w:rPr>
          <w:bCs/>
        </w:rPr>
        <w:t xml:space="preserve"> </w:t>
      </w:r>
      <w:r w:rsidRPr="00240730" w:rsidR="00B22B14">
        <w:rPr>
          <w:bCs/>
        </w:rPr>
        <w:t>found</w:t>
      </w:r>
      <w:r w:rsidRPr="00240730">
        <w:rPr>
          <w:bCs/>
        </w:rPr>
        <w:t xml:space="preserve"> that the decision on legal succession had been issued in the absence of the respondent</w:t>
      </w:r>
      <w:r w:rsidRPr="00240730" w:rsidR="00240730">
        <w:rPr>
          <w:bCs/>
        </w:rPr>
        <w:t>’</w:t>
      </w:r>
      <w:r w:rsidRPr="00240730">
        <w:rPr>
          <w:bCs/>
        </w:rPr>
        <w:t>s representatives, in violation of its procedural rights.</w:t>
      </w:r>
    </w:p>
    <w:p w:rsidRPr="00240730" w:rsidR="000B07BC" w:rsidP="00240730" w:rsidRDefault="00DE3141">
      <w:pPr>
        <w:pStyle w:val="ECHRHeading5"/>
      </w:pPr>
      <w:r w:rsidRPr="00240730">
        <w:t>(</w:t>
      </w:r>
      <w:r w:rsidRPr="00240730" w:rsidR="0015377F">
        <w:t>iii</w:t>
      </w:r>
      <w:r w:rsidRPr="00240730">
        <w:t>)</w:t>
      </w:r>
      <w:r w:rsidRPr="00240730" w:rsidR="000B07BC">
        <w:t>  Adjustment proceedings</w:t>
      </w:r>
    </w:p>
    <w:bookmarkStart w:name="OAO_adjustment_proceedings2010" w:id="18"/>
    <w:p w:rsidRPr="00240730" w:rsidR="00377D0B" w:rsidP="00240730" w:rsidRDefault="000B07BC">
      <w:pPr>
        <w:pStyle w:val="ECHRPara"/>
      </w:pPr>
      <w:r w:rsidRPr="00240730">
        <w:fldChar w:fldCharType="begin"/>
      </w:r>
      <w:r w:rsidRPr="00240730">
        <w:instrText xml:space="preserve"> SEQ level0 \*arabic </w:instrText>
      </w:r>
      <w:r w:rsidRPr="00240730">
        <w:fldChar w:fldCharType="separate"/>
      </w:r>
      <w:r w:rsidRPr="00240730" w:rsidR="00240730">
        <w:rPr>
          <w:noProof/>
        </w:rPr>
        <w:t>33</w:t>
      </w:r>
      <w:r w:rsidRPr="00240730">
        <w:fldChar w:fldCharType="end"/>
      </w:r>
      <w:bookmarkEnd w:id="18"/>
      <w:r w:rsidRPr="00240730">
        <w:t>.  It is apparent from the parties</w:t>
      </w:r>
      <w:r w:rsidRPr="00240730" w:rsidR="00240730">
        <w:t>’</w:t>
      </w:r>
      <w:r w:rsidRPr="00240730">
        <w:t xml:space="preserve"> observations received in 2011 that on various dates in 2010 the same </w:t>
      </w:r>
      <w:r w:rsidRPr="00240730" w:rsidR="0035230E">
        <w:t>j</w:t>
      </w:r>
      <w:r w:rsidRPr="00240730">
        <w:t xml:space="preserve">ustice of the </w:t>
      </w:r>
      <w:r w:rsidRPr="00240730" w:rsidR="0035230E">
        <w:t>p</w:t>
      </w:r>
      <w:r w:rsidRPr="00240730">
        <w:t xml:space="preserve">eace adjusted the compensation by applying the consumer price index. The amounts are specified in </w:t>
      </w:r>
      <w:r w:rsidRPr="00240730" w:rsidR="00A75D30">
        <w:t>Column </w:t>
      </w:r>
      <w:r w:rsidRPr="00240730" w:rsidR="00A440BD">
        <w:t>5</w:t>
      </w:r>
      <w:r w:rsidRPr="00240730" w:rsidR="00A75D30">
        <w:t xml:space="preserve"> of </w:t>
      </w:r>
      <w:r w:rsidRPr="00240730">
        <w:t>Appendix I</w:t>
      </w:r>
      <w:r w:rsidRPr="00240730" w:rsidR="000D395A">
        <w:t>I</w:t>
      </w:r>
      <w:r w:rsidRPr="00240730">
        <w:t>. The relevant judgments have not been enforced.</w:t>
      </w:r>
      <w:r w:rsidRPr="00240730" w:rsidR="000D395A">
        <w:t xml:space="preserve"> </w:t>
      </w:r>
      <w:r w:rsidRPr="00240730" w:rsidR="00CC76F3">
        <w:t>According to t</w:t>
      </w:r>
      <w:r w:rsidRPr="00240730" w:rsidR="000D395A">
        <w:t>he Government</w:t>
      </w:r>
      <w:r w:rsidRPr="00240730" w:rsidR="00CC76F3">
        <w:t>,</w:t>
      </w:r>
      <w:r w:rsidRPr="00240730" w:rsidR="000D395A">
        <w:t xml:space="preserve"> </w:t>
      </w:r>
      <w:r w:rsidRPr="00240730" w:rsidR="00E47ECE">
        <w:t xml:space="preserve">Mr </w:t>
      </w:r>
      <w:proofErr w:type="spellStart"/>
      <w:r w:rsidRPr="00240730" w:rsidR="00E47ECE">
        <w:t>Kuzhelev</w:t>
      </w:r>
      <w:proofErr w:type="spellEnd"/>
      <w:r w:rsidRPr="00240730" w:rsidR="00E47ECE">
        <w:t xml:space="preserve"> and Ms Pavlova</w:t>
      </w:r>
      <w:r w:rsidRPr="00240730" w:rsidR="000D395A">
        <w:t xml:space="preserve"> have never requested the original </w:t>
      </w:r>
      <w:r w:rsidRPr="00240730" w:rsidR="00CC76F3">
        <w:t xml:space="preserve">orders </w:t>
      </w:r>
      <w:r w:rsidRPr="00240730" w:rsidR="000D395A">
        <w:t xml:space="preserve">from the </w:t>
      </w:r>
      <w:r w:rsidRPr="00240730" w:rsidR="00D93DC7">
        <w:t>judicial authority and they remain in their respective case</w:t>
      </w:r>
      <w:r w:rsidRPr="00240730" w:rsidR="00974F5B">
        <w:t xml:space="preserve"> </w:t>
      </w:r>
      <w:r w:rsidRPr="00240730" w:rsidR="00D93DC7">
        <w:t>files.</w:t>
      </w:r>
    </w:p>
    <w:p w:rsidRPr="00240730" w:rsidR="000B07BC" w:rsidP="00240730" w:rsidRDefault="0015377F">
      <w:pPr>
        <w:pStyle w:val="ECHRHeading3"/>
      </w:pPr>
      <w:r w:rsidRPr="00240730">
        <w:t>2</w:t>
      </w:r>
      <w:r w:rsidRPr="00240730" w:rsidR="005C2039">
        <w:t>.</w:t>
      </w:r>
      <w:r w:rsidRPr="00240730" w:rsidR="000B07BC">
        <w:t>  Insolvency proceedings in respect of the open joint-stock company</w:t>
      </w:r>
    </w:p>
    <w:bookmarkStart w:name="DecisionToLiquidateOAO" w:id="19"/>
    <w:p w:rsidRPr="00240730" w:rsidR="00B22B14" w:rsidP="00240730" w:rsidRDefault="000B07BC">
      <w:pPr>
        <w:pStyle w:val="ECHRPara"/>
      </w:pPr>
      <w:r w:rsidRPr="00240730">
        <w:fldChar w:fldCharType="begin"/>
      </w:r>
      <w:r w:rsidRPr="00240730">
        <w:instrText xml:space="preserve"> SEQ level0 \*arabic </w:instrText>
      </w:r>
      <w:r w:rsidRPr="00240730">
        <w:fldChar w:fldCharType="separate"/>
      </w:r>
      <w:r w:rsidRPr="00240730" w:rsidR="00240730">
        <w:rPr>
          <w:noProof/>
        </w:rPr>
        <w:t>34</w:t>
      </w:r>
      <w:r w:rsidRPr="00240730">
        <w:fldChar w:fldCharType="end"/>
      </w:r>
      <w:bookmarkEnd w:id="19"/>
      <w:r w:rsidRPr="00240730">
        <w:t>.  </w:t>
      </w:r>
      <w:r w:rsidRPr="00240730" w:rsidR="00B22B14">
        <w:rPr>
          <w:bCs/>
        </w:rPr>
        <w:t>On 6 October 2008 the</w:t>
      </w:r>
      <w:r w:rsidRPr="00240730" w:rsidR="00120C9D">
        <w:rPr>
          <w:bCs/>
        </w:rPr>
        <w:t xml:space="preserve"> FGUP</w:t>
      </w:r>
      <w:r w:rsidRPr="00240730" w:rsidR="00283636">
        <w:rPr>
          <w:bCs/>
        </w:rPr>
        <w:t>,</w:t>
      </w:r>
      <w:r w:rsidRPr="00240730" w:rsidR="00120C9D">
        <w:rPr>
          <w:bCs/>
        </w:rPr>
        <w:t xml:space="preserve"> as the </w:t>
      </w:r>
      <w:r w:rsidRPr="00240730" w:rsidR="00A84930">
        <w:rPr>
          <w:bCs/>
        </w:rPr>
        <w:t>only</w:t>
      </w:r>
      <w:r w:rsidRPr="00240730" w:rsidR="00A84930">
        <w:rPr>
          <w:bCs/>
          <w:color w:val="0072BC" w:themeColor="background1"/>
        </w:rPr>
        <w:t xml:space="preserve"> </w:t>
      </w:r>
      <w:r w:rsidRPr="00240730" w:rsidR="00120C9D">
        <w:rPr>
          <w:bCs/>
        </w:rPr>
        <w:t xml:space="preserve">founder </w:t>
      </w:r>
      <w:r w:rsidRPr="00240730" w:rsidR="00B22B14">
        <w:rPr>
          <w:bCs/>
        </w:rPr>
        <w:t>of the OAO</w:t>
      </w:r>
      <w:r w:rsidRPr="00240730" w:rsidR="00283636">
        <w:rPr>
          <w:bCs/>
        </w:rPr>
        <w:t>,</w:t>
      </w:r>
      <w:r w:rsidRPr="00240730" w:rsidR="00B22B14">
        <w:rPr>
          <w:bCs/>
        </w:rPr>
        <w:t xml:space="preserve"> decided to liquidate the company.</w:t>
      </w:r>
    </w:p>
    <w:bookmarkStart w:name="OAOinsolvency13022009CommCourt" w:id="20"/>
    <w:p w:rsidRPr="00240730" w:rsidR="00B22B14" w:rsidP="00240730" w:rsidRDefault="00547B63">
      <w:pPr>
        <w:pStyle w:val="ECHRPara"/>
        <w:rPr>
          <w:bCs/>
        </w:rPr>
      </w:pPr>
      <w:r w:rsidRPr="00240730">
        <w:fldChar w:fldCharType="begin"/>
      </w:r>
      <w:r w:rsidRPr="00240730">
        <w:instrText xml:space="preserve"> SEQ level0 \*arabic </w:instrText>
      </w:r>
      <w:r w:rsidRPr="00240730">
        <w:fldChar w:fldCharType="separate"/>
      </w:r>
      <w:r w:rsidRPr="00240730" w:rsidR="00240730">
        <w:rPr>
          <w:noProof/>
        </w:rPr>
        <w:t>35</w:t>
      </w:r>
      <w:r w:rsidRPr="00240730">
        <w:fldChar w:fldCharType="end"/>
      </w:r>
      <w:bookmarkEnd w:id="20"/>
      <w:r w:rsidRPr="00240730">
        <w:t>.  </w:t>
      </w:r>
      <w:r w:rsidRPr="00240730" w:rsidR="000B07BC">
        <w:t xml:space="preserve">On 13 February 2009 the St Petersburg Commercial Court </w:t>
      </w:r>
      <w:r w:rsidRPr="00240730">
        <w:rPr>
          <w:bCs/>
        </w:rPr>
        <w:t xml:space="preserve">observed that the OAO had been created by a decision of the FGUP. By </w:t>
      </w:r>
      <w:r w:rsidRPr="00240730" w:rsidR="00974F5B">
        <w:rPr>
          <w:bCs/>
        </w:rPr>
        <w:t xml:space="preserve">a </w:t>
      </w:r>
      <w:r w:rsidRPr="00240730">
        <w:rPr>
          <w:bCs/>
        </w:rPr>
        <w:t>final judgment of 29 April 2008 th</w:t>
      </w:r>
      <w:r w:rsidRPr="00240730" w:rsidR="009458FC">
        <w:rPr>
          <w:bCs/>
        </w:rPr>
        <w:t>at</w:t>
      </w:r>
      <w:r w:rsidRPr="00240730">
        <w:rPr>
          <w:bCs/>
        </w:rPr>
        <w:t xml:space="preserve"> decision had been declared </w:t>
      </w:r>
      <w:r w:rsidRPr="00240730" w:rsidR="00A84930">
        <w:rPr>
          <w:bCs/>
        </w:rPr>
        <w:t>invalid</w:t>
      </w:r>
      <w:r w:rsidRPr="00240730">
        <w:rPr>
          <w:bCs/>
        </w:rPr>
        <w:t xml:space="preserve">, and the OAO had been ordered to </w:t>
      </w:r>
      <w:r w:rsidRPr="00240730" w:rsidR="002B0AF3">
        <w:rPr>
          <w:bCs/>
        </w:rPr>
        <w:t xml:space="preserve">return </w:t>
      </w:r>
      <w:r w:rsidRPr="00240730">
        <w:rPr>
          <w:bCs/>
        </w:rPr>
        <w:t xml:space="preserve">the assets to the FGUP. </w:t>
      </w:r>
      <w:r w:rsidRPr="00240730" w:rsidR="00573DC4">
        <w:rPr>
          <w:bCs/>
        </w:rPr>
        <w:t>On</w:t>
      </w:r>
      <w:r w:rsidRPr="00240730" w:rsidR="00AC12A9">
        <w:rPr>
          <w:bCs/>
        </w:rPr>
        <w:t xml:space="preserve"> </w:t>
      </w:r>
      <w:r w:rsidRPr="00240730" w:rsidR="00573DC4">
        <w:rPr>
          <w:bCs/>
        </w:rPr>
        <w:t xml:space="preserve">the </w:t>
      </w:r>
      <w:r w:rsidRPr="00240730" w:rsidR="00AC12A9">
        <w:rPr>
          <w:bCs/>
        </w:rPr>
        <w:t>date of the insolvency</w:t>
      </w:r>
      <w:r w:rsidRPr="00240730" w:rsidR="007F235D">
        <w:rPr>
          <w:bCs/>
        </w:rPr>
        <w:t xml:space="preserve"> petition</w:t>
      </w:r>
      <w:r w:rsidRPr="00240730" w:rsidR="00AC12A9">
        <w:rPr>
          <w:bCs/>
        </w:rPr>
        <w:t xml:space="preserve"> the OAO </w:t>
      </w:r>
      <w:r w:rsidRPr="00240730" w:rsidR="00CD35C5">
        <w:rPr>
          <w:bCs/>
        </w:rPr>
        <w:t xml:space="preserve">had been </w:t>
      </w:r>
      <w:r w:rsidRPr="00240730" w:rsidR="00AC12A9">
        <w:rPr>
          <w:bCs/>
        </w:rPr>
        <w:t>transferring assets to the FGUP and had discontinued production activit</w:t>
      </w:r>
      <w:r w:rsidRPr="00240730" w:rsidR="00974F5B">
        <w:rPr>
          <w:bCs/>
        </w:rPr>
        <w:t>ies</w:t>
      </w:r>
      <w:r w:rsidRPr="00240730" w:rsidR="00AC12A9">
        <w:rPr>
          <w:bCs/>
        </w:rPr>
        <w:t>.</w:t>
      </w:r>
      <w:r w:rsidRPr="00240730" w:rsidR="00573DC4">
        <w:rPr>
          <w:bCs/>
        </w:rPr>
        <w:t xml:space="preserve"> According to the liquidation </w:t>
      </w:r>
      <w:r w:rsidRPr="00240730" w:rsidR="00974F5B">
        <w:rPr>
          <w:bCs/>
        </w:rPr>
        <w:t>committee</w:t>
      </w:r>
      <w:r w:rsidRPr="00240730" w:rsidR="00573DC4">
        <w:rPr>
          <w:bCs/>
        </w:rPr>
        <w:t>, the OAO</w:t>
      </w:r>
      <w:r w:rsidRPr="00240730" w:rsidR="00240730">
        <w:rPr>
          <w:bCs/>
        </w:rPr>
        <w:t>’</w:t>
      </w:r>
      <w:r w:rsidRPr="00240730" w:rsidR="00573DC4">
        <w:rPr>
          <w:bCs/>
        </w:rPr>
        <w:t>s debts not challenged by the company exceeded RUB 305 million, whilst the aggregate value of the company</w:t>
      </w:r>
      <w:r w:rsidRPr="00240730" w:rsidR="00240730">
        <w:rPr>
          <w:bCs/>
        </w:rPr>
        <w:t>’</w:t>
      </w:r>
      <w:r w:rsidRPr="00240730" w:rsidR="00573DC4">
        <w:rPr>
          <w:bCs/>
        </w:rPr>
        <w:t>s assets</w:t>
      </w:r>
      <w:r w:rsidRPr="00240730" w:rsidR="000E38CC">
        <w:rPr>
          <w:bCs/>
        </w:rPr>
        <w:t xml:space="preserve"> was RUB 25.</w:t>
      </w:r>
      <w:r w:rsidRPr="00240730" w:rsidR="00573DC4">
        <w:rPr>
          <w:bCs/>
        </w:rPr>
        <w:t xml:space="preserve">2 million, including RUB 53,564 in recoverable accounts receivable. The court declared </w:t>
      </w:r>
      <w:r w:rsidRPr="00240730" w:rsidR="00573DC4">
        <w:t>the OAO</w:t>
      </w:r>
      <w:r w:rsidRPr="00240730" w:rsidR="00573DC4">
        <w:rPr>
          <w:bCs/>
        </w:rPr>
        <w:t xml:space="preserve"> insolvent, and the</w:t>
      </w:r>
      <w:r w:rsidRPr="00240730">
        <w:rPr>
          <w:bCs/>
        </w:rPr>
        <w:t xml:space="preserve"> liquidation process began.</w:t>
      </w:r>
    </w:p>
    <w:bookmarkStart w:name="NNEF_OAO_bailiffsDiscontinueENF" w:id="21"/>
    <w:p w:rsidRPr="00240730" w:rsidR="00B87554" w:rsidP="00240730" w:rsidRDefault="00B87554">
      <w:pPr>
        <w:pStyle w:val="ECHRPara"/>
        <w:rPr>
          <w:bCs/>
        </w:rPr>
      </w:pPr>
      <w:r w:rsidRPr="00240730">
        <w:rPr>
          <w:bCs/>
        </w:rPr>
        <w:fldChar w:fldCharType="begin"/>
      </w:r>
      <w:r w:rsidRPr="00240730">
        <w:rPr>
          <w:bCs/>
        </w:rPr>
        <w:instrText xml:space="preserve"> SEQ level0 \*arabic </w:instrText>
      </w:r>
      <w:r w:rsidRPr="00240730">
        <w:rPr>
          <w:bCs/>
        </w:rPr>
        <w:fldChar w:fldCharType="separate"/>
      </w:r>
      <w:r w:rsidRPr="00240730" w:rsidR="00240730">
        <w:rPr>
          <w:bCs/>
          <w:noProof/>
        </w:rPr>
        <w:t>36</w:t>
      </w:r>
      <w:r w:rsidRPr="00240730">
        <w:rPr>
          <w:bCs/>
        </w:rPr>
        <w:fldChar w:fldCharType="end"/>
      </w:r>
      <w:bookmarkEnd w:id="21"/>
      <w:r w:rsidRPr="00240730">
        <w:rPr>
          <w:bCs/>
        </w:rPr>
        <w:t xml:space="preserve">.  On 13 October 2009 the </w:t>
      </w:r>
      <w:proofErr w:type="gramStart"/>
      <w:r w:rsidRPr="00240730">
        <w:rPr>
          <w:bCs/>
        </w:rPr>
        <w:t>bailiffs</w:t>
      </w:r>
      <w:proofErr w:type="gramEnd"/>
      <w:r w:rsidRPr="00240730">
        <w:rPr>
          <w:bCs/>
        </w:rPr>
        <w:t xml:space="preserve"> service discontinued the enforcement proceedings and forwarded the</w:t>
      </w:r>
      <w:r w:rsidRPr="00240730" w:rsidR="00CD35C5">
        <w:rPr>
          <w:bCs/>
        </w:rPr>
        <w:t xml:space="preserve"> relevant</w:t>
      </w:r>
      <w:r w:rsidRPr="00240730">
        <w:rPr>
          <w:bCs/>
        </w:rPr>
        <w:t xml:space="preserve"> writs to the insolvency manager.</w:t>
      </w:r>
    </w:p>
    <w:p w:rsidRPr="00240730" w:rsidR="00061CA0" w:rsidP="00240730" w:rsidRDefault="00061CA0">
      <w:pPr>
        <w:pStyle w:val="ECHRPara"/>
        <w:rPr>
          <w:bCs/>
        </w:rPr>
      </w:pPr>
      <w:r w:rsidRPr="00240730">
        <w:rPr>
          <w:bCs/>
        </w:rPr>
        <w:fldChar w:fldCharType="begin"/>
      </w:r>
      <w:r w:rsidRPr="00240730">
        <w:rPr>
          <w:bCs/>
        </w:rPr>
        <w:instrText xml:space="preserve"> SEQ level0 \*arabic </w:instrText>
      </w:r>
      <w:r w:rsidRPr="00240730">
        <w:rPr>
          <w:bCs/>
        </w:rPr>
        <w:fldChar w:fldCharType="separate"/>
      </w:r>
      <w:r w:rsidRPr="00240730" w:rsidR="00240730">
        <w:rPr>
          <w:bCs/>
          <w:noProof/>
        </w:rPr>
        <w:t>37</w:t>
      </w:r>
      <w:r w:rsidRPr="00240730">
        <w:rPr>
          <w:bCs/>
        </w:rPr>
        <w:fldChar w:fldCharType="end"/>
      </w:r>
      <w:r w:rsidRPr="00240730">
        <w:rPr>
          <w:bCs/>
        </w:rPr>
        <w:t>.  Some applicants</w:t>
      </w:r>
      <w:r w:rsidRPr="00240730" w:rsidR="00240730">
        <w:rPr>
          <w:bCs/>
        </w:rPr>
        <w:t>’</w:t>
      </w:r>
      <w:r w:rsidRPr="00240730">
        <w:rPr>
          <w:bCs/>
        </w:rPr>
        <w:t xml:space="preserve"> attempts to challenge the court orders against the OAO in their favour (see paragraph </w:t>
      </w:r>
      <w:r w:rsidRPr="00240730">
        <w:rPr>
          <w:bCs/>
        </w:rPr>
        <w:fldChar w:fldCharType="begin"/>
      </w:r>
      <w:r w:rsidRPr="00240730">
        <w:rPr>
          <w:bCs/>
        </w:rPr>
        <w:instrText xml:space="preserve"> REF SixApplicantsWritsAgainstOAO \h </w:instrText>
      </w:r>
      <w:r w:rsidRPr="00240730" w:rsidR="00CB3D0E">
        <w:rPr>
          <w:bCs/>
        </w:rPr>
        <w:instrText xml:space="preserve"> \* MERGEFORMAT </w:instrText>
      </w:r>
      <w:r w:rsidRPr="00240730">
        <w:rPr>
          <w:bCs/>
        </w:rPr>
      </w:r>
      <w:r w:rsidRPr="00240730">
        <w:rPr>
          <w:bCs/>
        </w:rPr>
        <w:fldChar w:fldCharType="separate"/>
      </w:r>
      <w:r w:rsidRPr="00240730" w:rsidR="00240730">
        <w:rPr>
          <w:bCs/>
          <w:noProof/>
        </w:rPr>
        <w:t>28</w:t>
      </w:r>
      <w:r w:rsidRPr="00240730">
        <w:rPr>
          <w:bCs/>
        </w:rPr>
        <w:fldChar w:fldCharType="end"/>
      </w:r>
      <w:r w:rsidRPr="00240730">
        <w:rPr>
          <w:bCs/>
        </w:rPr>
        <w:t xml:space="preserve"> above) on account of newly discovered circumstances, namely the decision to discontinue the enforcement proceedings and the insolvency procedure opened in respect of the OAO, proved unsuccessful. In partic</w:t>
      </w:r>
      <w:r w:rsidRPr="00240730" w:rsidR="00E16A13">
        <w:rPr>
          <w:bCs/>
        </w:rPr>
        <w:t>ular, such request lodged by Mr </w:t>
      </w:r>
      <w:proofErr w:type="spellStart"/>
      <w:r w:rsidRPr="00240730">
        <w:rPr>
          <w:bCs/>
        </w:rPr>
        <w:t>Kuzhelev</w:t>
      </w:r>
      <w:proofErr w:type="spellEnd"/>
      <w:r w:rsidRPr="00240730">
        <w:rPr>
          <w:bCs/>
        </w:rPr>
        <w:t xml:space="preserve"> was rejected in the final instance by the St Petersburg City Court on 7 April 2010.</w:t>
      </w:r>
    </w:p>
    <w:p w:rsidRPr="00240730" w:rsidR="00E2289C" w:rsidP="00240730" w:rsidRDefault="00F40C73">
      <w:pPr>
        <w:pStyle w:val="ECHRPara"/>
        <w:rPr>
          <w:bCs/>
        </w:rPr>
      </w:pPr>
      <w:r w:rsidRPr="00240730">
        <w:rPr>
          <w:bCs/>
        </w:rPr>
        <w:fldChar w:fldCharType="begin"/>
      </w:r>
      <w:r w:rsidRPr="00240730">
        <w:rPr>
          <w:bCs/>
        </w:rPr>
        <w:instrText xml:space="preserve"> SEQ level0 \*arabic </w:instrText>
      </w:r>
      <w:r w:rsidRPr="00240730">
        <w:rPr>
          <w:bCs/>
        </w:rPr>
        <w:fldChar w:fldCharType="separate"/>
      </w:r>
      <w:r w:rsidRPr="00240730" w:rsidR="00240730">
        <w:rPr>
          <w:bCs/>
          <w:noProof/>
        </w:rPr>
        <w:t>38</w:t>
      </w:r>
      <w:r w:rsidRPr="00240730">
        <w:rPr>
          <w:bCs/>
        </w:rPr>
        <w:fldChar w:fldCharType="end"/>
      </w:r>
      <w:r w:rsidRPr="00240730">
        <w:rPr>
          <w:bCs/>
        </w:rPr>
        <w:t xml:space="preserve">.  According to the stock inventory by the liquidator, as of 1 June 2009 the company </w:t>
      </w:r>
      <w:r w:rsidRPr="00240730" w:rsidR="005B09E3">
        <w:rPr>
          <w:bCs/>
        </w:rPr>
        <w:t>had</w:t>
      </w:r>
      <w:r w:rsidRPr="00240730">
        <w:rPr>
          <w:bCs/>
        </w:rPr>
        <w:t xml:space="preserve"> fixed assets </w:t>
      </w:r>
      <w:r w:rsidRPr="00240730" w:rsidR="005B09E3">
        <w:rPr>
          <w:bCs/>
        </w:rPr>
        <w:t>of</w:t>
      </w:r>
      <w:r w:rsidRPr="00240730">
        <w:rPr>
          <w:bCs/>
        </w:rPr>
        <w:t xml:space="preserve"> RUB 16,000</w:t>
      </w:r>
      <w:r w:rsidRPr="00240730" w:rsidR="004558FB">
        <w:rPr>
          <w:bCs/>
        </w:rPr>
        <w:t xml:space="preserve">, </w:t>
      </w:r>
      <w:r w:rsidRPr="00240730">
        <w:rPr>
          <w:bCs/>
        </w:rPr>
        <w:t xml:space="preserve">resources </w:t>
      </w:r>
      <w:r w:rsidRPr="00240730" w:rsidR="005B09E3">
        <w:rPr>
          <w:bCs/>
        </w:rPr>
        <w:t xml:space="preserve">of </w:t>
      </w:r>
      <w:r w:rsidRPr="00240730">
        <w:rPr>
          <w:bCs/>
        </w:rPr>
        <w:t>RUB 369,000</w:t>
      </w:r>
      <w:r w:rsidRPr="00240730" w:rsidR="004558FB">
        <w:rPr>
          <w:bCs/>
        </w:rPr>
        <w:t xml:space="preserve"> and</w:t>
      </w:r>
      <w:r w:rsidRPr="00240730">
        <w:rPr>
          <w:bCs/>
        </w:rPr>
        <w:t xml:space="preserve"> a total of accounts receivable </w:t>
      </w:r>
      <w:r w:rsidRPr="00240730" w:rsidR="005B09E3">
        <w:rPr>
          <w:bCs/>
        </w:rPr>
        <w:t>of</w:t>
      </w:r>
      <w:r w:rsidRPr="00240730">
        <w:rPr>
          <w:bCs/>
        </w:rPr>
        <w:t xml:space="preserve"> RUB 727,657,000. On an unspecified date the market value of the assets was assessed by an independent expert as follows: no fixed assets determined; resources </w:t>
      </w:r>
      <w:r w:rsidRPr="00240730" w:rsidR="005B09E3">
        <w:rPr>
          <w:bCs/>
        </w:rPr>
        <w:t>of</w:t>
      </w:r>
      <w:r w:rsidRPr="00240730">
        <w:rPr>
          <w:bCs/>
        </w:rPr>
        <w:t xml:space="preserve"> RUB 369,000; and accounts receivable of RUB 10,600,000</w:t>
      </w:r>
      <w:r w:rsidRPr="00240730">
        <w:rPr>
          <w:rStyle w:val="FootnoteReference"/>
          <w:bCs/>
        </w:rPr>
        <w:footnoteReference w:id="2"/>
      </w:r>
      <w:r w:rsidRPr="00240730">
        <w:rPr>
          <w:bCs/>
        </w:rPr>
        <w:t>.</w:t>
      </w:r>
    </w:p>
    <w:p w:rsidRPr="00240730" w:rsidR="00F40C73" w:rsidP="00240730" w:rsidRDefault="00F40C73">
      <w:pPr>
        <w:pStyle w:val="ECHRPara"/>
        <w:rPr>
          <w:bCs/>
        </w:rPr>
      </w:pPr>
      <w:r w:rsidRPr="00240730">
        <w:rPr>
          <w:bCs/>
        </w:rPr>
        <w:fldChar w:fldCharType="begin"/>
      </w:r>
      <w:r w:rsidRPr="00240730">
        <w:rPr>
          <w:bCs/>
        </w:rPr>
        <w:instrText xml:space="preserve"> SEQ level0 \*arabic </w:instrText>
      </w:r>
      <w:r w:rsidRPr="00240730">
        <w:rPr>
          <w:bCs/>
        </w:rPr>
        <w:fldChar w:fldCharType="separate"/>
      </w:r>
      <w:r w:rsidRPr="00240730" w:rsidR="00240730">
        <w:rPr>
          <w:bCs/>
          <w:noProof/>
        </w:rPr>
        <w:t>39</w:t>
      </w:r>
      <w:r w:rsidRPr="00240730">
        <w:rPr>
          <w:bCs/>
        </w:rPr>
        <w:fldChar w:fldCharType="end"/>
      </w:r>
      <w:r w:rsidRPr="00240730">
        <w:rPr>
          <w:bCs/>
        </w:rPr>
        <w:t>.  According to the Government, at some point the OAO</w:t>
      </w:r>
      <w:r w:rsidRPr="00240730" w:rsidR="00240730">
        <w:rPr>
          <w:bCs/>
        </w:rPr>
        <w:t>’</w:t>
      </w:r>
      <w:r w:rsidRPr="00240730">
        <w:rPr>
          <w:bCs/>
        </w:rPr>
        <w:t>s assets were offered for</w:t>
      </w:r>
      <w:r w:rsidRPr="00240730" w:rsidR="005B09E3">
        <w:rPr>
          <w:bCs/>
        </w:rPr>
        <w:t xml:space="preserve"> sale at auction</w:t>
      </w:r>
      <w:r w:rsidRPr="00240730">
        <w:rPr>
          <w:bCs/>
        </w:rPr>
        <w:t xml:space="preserve"> </w:t>
      </w:r>
      <w:r w:rsidRPr="00240730" w:rsidR="005B09E3">
        <w:rPr>
          <w:bCs/>
        </w:rPr>
        <w:t>but</w:t>
      </w:r>
      <w:r w:rsidRPr="00240730" w:rsidR="00913486">
        <w:rPr>
          <w:bCs/>
        </w:rPr>
        <w:t xml:space="preserve"> were</w:t>
      </w:r>
      <w:r w:rsidRPr="00240730">
        <w:rPr>
          <w:bCs/>
        </w:rPr>
        <w:t xml:space="preserve"> not sold, </w:t>
      </w:r>
      <w:r w:rsidRPr="00240730" w:rsidR="00913486">
        <w:rPr>
          <w:bCs/>
        </w:rPr>
        <w:t xml:space="preserve">whereupon the </w:t>
      </w:r>
      <w:r w:rsidRPr="00240730">
        <w:rPr>
          <w:bCs/>
        </w:rPr>
        <w:t xml:space="preserve">relevant </w:t>
      </w:r>
      <w:r w:rsidRPr="00240730" w:rsidR="00913486">
        <w:rPr>
          <w:bCs/>
        </w:rPr>
        <w:t xml:space="preserve">documents </w:t>
      </w:r>
      <w:r w:rsidRPr="00240730">
        <w:rPr>
          <w:bCs/>
        </w:rPr>
        <w:t>were compiled.</w:t>
      </w:r>
    </w:p>
    <w:bookmarkStart w:name="ClaimToInclude_CreditrorsClaims2Line" w:id="22"/>
    <w:p w:rsidRPr="00240730" w:rsidR="00D93DC7" w:rsidP="00240730" w:rsidRDefault="00D93DC7">
      <w:pPr>
        <w:pStyle w:val="ECHRPara"/>
        <w:rPr>
          <w:bCs/>
        </w:rPr>
      </w:pPr>
      <w:r w:rsidRPr="00240730">
        <w:rPr>
          <w:bCs/>
        </w:rPr>
        <w:fldChar w:fldCharType="begin"/>
      </w:r>
      <w:r w:rsidRPr="00240730">
        <w:rPr>
          <w:bCs/>
        </w:rPr>
        <w:instrText xml:space="preserve"> SEQ level0 \*arabic </w:instrText>
      </w:r>
      <w:r w:rsidRPr="00240730">
        <w:rPr>
          <w:bCs/>
        </w:rPr>
        <w:fldChar w:fldCharType="separate"/>
      </w:r>
      <w:r w:rsidRPr="00240730" w:rsidR="00240730">
        <w:rPr>
          <w:bCs/>
          <w:noProof/>
        </w:rPr>
        <w:t>40</w:t>
      </w:r>
      <w:r w:rsidRPr="00240730">
        <w:rPr>
          <w:bCs/>
        </w:rPr>
        <w:fldChar w:fldCharType="end"/>
      </w:r>
      <w:bookmarkEnd w:id="22"/>
      <w:r w:rsidRPr="00240730">
        <w:rPr>
          <w:bCs/>
        </w:rPr>
        <w:t xml:space="preserve">.  On </w:t>
      </w:r>
      <w:r w:rsidRPr="00240730" w:rsidR="00B87554">
        <w:rPr>
          <w:bCs/>
        </w:rPr>
        <w:t xml:space="preserve">various dates between 9 and 15 December </w:t>
      </w:r>
      <w:r w:rsidRPr="00240730">
        <w:rPr>
          <w:bCs/>
        </w:rPr>
        <w:t xml:space="preserve">2009 Mr </w:t>
      </w:r>
      <w:proofErr w:type="spellStart"/>
      <w:r w:rsidRPr="00240730">
        <w:rPr>
          <w:bCs/>
        </w:rPr>
        <w:t>Khuzhelev</w:t>
      </w:r>
      <w:proofErr w:type="spellEnd"/>
      <w:r w:rsidRPr="00240730" w:rsidR="00B87554">
        <w:rPr>
          <w:bCs/>
        </w:rPr>
        <w:t xml:space="preserve">, Ms </w:t>
      </w:r>
      <w:proofErr w:type="spellStart"/>
      <w:r w:rsidRPr="00240730" w:rsidR="00B87554">
        <w:rPr>
          <w:bCs/>
        </w:rPr>
        <w:t>Kudryashova</w:t>
      </w:r>
      <w:proofErr w:type="spellEnd"/>
      <w:r w:rsidRPr="00240730" w:rsidR="00B87554">
        <w:rPr>
          <w:bCs/>
        </w:rPr>
        <w:t xml:space="preserve">, Ms </w:t>
      </w:r>
      <w:proofErr w:type="spellStart"/>
      <w:r w:rsidRPr="00240730" w:rsidR="00B87554">
        <w:rPr>
          <w:bCs/>
        </w:rPr>
        <w:t>Petrova</w:t>
      </w:r>
      <w:proofErr w:type="spellEnd"/>
      <w:r w:rsidRPr="00240730" w:rsidR="00B87554">
        <w:rPr>
          <w:bCs/>
        </w:rPr>
        <w:t xml:space="preserve">, Ms Pavlova, Ms </w:t>
      </w:r>
      <w:proofErr w:type="spellStart"/>
      <w:r w:rsidRPr="00240730" w:rsidR="00B87554">
        <w:rPr>
          <w:bCs/>
        </w:rPr>
        <w:t>Lebedeva</w:t>
      </w:r>
      <w:proofErr w:type="spellEnd"/>
      <w:r w:rsidRPr="00240730" w:rsidR="00B87554">
        <w:rPr>
          <w:bCs/>
        </w:rPr>
        <w:t xml:space="preserve"> and Mr </w:t>
      </w:r>
      <w:proofErr w:type="spellStart"/>
      <w:r w:rsidRPr="00240730" w:rsidR="00B87554">
        <w:rPr>
          <w:bCs/>
        </w:rPr>
        <w:t>Tomilin</w:t>
      </w:r>
      <w:proofErr w:type="spellEnd"/>
      <w:r w:rsidRPr="00240730" w:rsidR="00B87554">
        <w:rPr>
          <w:bCs/>
        </w:rPr>
        <w:t xml:space="preserve"> </w:t>
      </w:r>
      <w:r w:rsidRPr="00240730">
        <w:rPr>
          <w:bCs/>
        </w:rPr>
        <w:t xml:space="preserve">requested the insolvency manager representing the OAO to inform </w:t>
      </w:r>
      <w:r w:rsidRPr="00240730" w:rsidR="00B87554">
        <w:rPr>
          <w:bCs/>
        </w:rPr>
        <w:t>them</w:t>
      </w:r>
      <w:r w:rsidRPr="00240730">
        <w:rPr>
          <w:bCs/>
        </w:rPr>
        <w:t xml:space="preserve"> whether </w:t>
      </w:r>
      <w:r w:rsidRPr="00240730" w:rsidR="00B87554">
        <w:rPr>
          <w:bCs/>
        </w:rPr>
        <w:t>their</w:t>
      </w:r>
      <w:r w:rsidRPr="00240730">
        <w:rPr>
          <w:bCs/>
        </w:rPr>
        <w:t xml:space="preserve"> claims were included in the second line of the creditors</w:t>
      </w:r>
      <w:r w:rsidRPr="00240730" w:rsidR="00240730">
        <w:rPr>
          <w:bCs/>
        </w:rPr>
        <w:t>’</w:t>
      </w:r>
      <w:r w:rsidRPr="00240730">
        <w:rPr>
          <w:bCs/>
        </w:rPr>
        <w:t xml:space="preserve"> claims. </w:t>
      </w:r>
      <w:r w:rsidRPr="00240730" w:rsidR="00B87554">
        <w:rPr>
          <w:bCs/>
        </w:rPr>
        <w:t xml:space="preserve">On 28 January 2010 a group of OAO creditors under the court </w:t>
      </w:r>
      <w:r w:rsidRPr="00240730" w:rsidR="00974F5B">
        <w:rPr>
          <w:bCs/>
        </w:rPr>
        <w:t>orders</w:t>
      </w:r>
      <w:r w:rsidRPr="00240730" w:rsidR="00B87554">
        <w:rPr>
          <w:bCs/>
        </w:rPr>
        <w:t>, including the six applicants, complained to the prosecutor</w:t>
      </w:r>
      <w:r w:rsidRPr="00240730" w:rsidR="00240730">
        <w:rPr>
          <w:bCs/>
        </w:rPr>
        <w:t>’</w:t>
      </w:r>
      <w:r w:rsidRPr="00240730" w:rsidR="00B87554">
        <w:rPr>
          <w:bCs/>
        </w:rPr>
        <w:t xml:space="preserve">s office </w:t>
      </w:r>
      <w:r w:rsidRPr="00240730" w:rsidR="00974F5B">
        <w:rPr>
          <w:bCs/>
        </w:rPr>
        <w:t xml:space="preserve">that </w:t>
      </w:r>
      <w:r w:rsidRPr="00240730" w:rsidR="00B87554">
        <w:rPr>
          <w:bCs/>
        </w:rPr>
        <w:t xml:space="preserve">the insolvency </w:t>
      </w:r>
      <w:r w:rsidRPr="00240730" w:rsidR="00974F5B">
        <w:rPr>
          <w:bCs/>
        </w:rPr>
        <w:t xml:space="preserve">manager had failed </w:t>
      </w:r>
      <w:r w:rsidRPr="00240730" w:rsidR="00B87554">
        <w:rPr>
          <w:bCs/>
        </w:rPr>
        <w:t>to reply.</w:t>
      </w:r>
    </w:p>
    <w:bookmarkStart w:name="ClaimsIncluded_CreditrorsClaims2Line" w:id="23"/>
    <w:p w:rsidRPr="00240730" w:rsidR="00377D0B" w:rsidP="00240730" w:rsidRDefault="00D93DC7">
      <w:pPr>
        <w:pStyle w:val="ECHRPara"/>
        <w:rPr>
          <w:bCs/>
        </w:rPr>
      </w:pPr>
      <w:r w:rsidRPr="00240730">
        <w:rPr>
          <w:bCs/>
        </w:rPr>
        <w:fldChar w:fldCharType="begin"/>
      </w:r>
      <w:r w:rsidRPr="00240730">
        <w:rPr>
          <w:bCs/>
        </w:rPr>
        <w:instrText xml:space="preserve"> SEQ level0 \*arabic </w:instrText>
      </w:r>
      <w:r w:rsidRPr="00240730">
        <w:rPr>
          <w:bCs/>
        </w:rPr>
        <w:fldChar w:fldCharType="separate"/>
      </w:r>
      <w:r w:rsidRPr="00240730" w:rsidR="00240730">
        <w:rPr>
          <w:bCs/>
          <w:noProof/>
        </w:rPr>
        <w:t>41</w:t>
      </w:r>
      <w:r w:rsidRPr="00240730">
        <w:rPr>
          <w:bCs/>
        </w:rPr>
        <w:fldChar w:fldCharType="end"/>
      </w:r>
      <w:bookmarkEnd w:id="23"/>
      <w:r w:rsidRPr="00240730">
        <w:rPr>
          <w:bCs/>
        </w:rPr>
        <w:t>.  On 25 February 2010 the prosecutor</w:t>
      </w:r>
      <w:r w:rsidRPr="00240730" w:rsidR="00240730">
        <w:rPr>
          <w:bCs/>
        </w:rPr>
        <w:t>’</w:t>
      </w:r>
      <w:r w:rsidRPr="00240730">
        <w:rPr>
          <w:bCs/>
        </w:rPr>
        <w:t xml:space="preserve">s office of the </w:t>
      </w:r>
      <w:proofErr w:type="spellStart"/>
      <w:r w:rsidRPr="00240730">
        <w:rPr>
          <w:bCs/>
        </w:rPr>
        <w:t>Kronstadt</w:t>
      </w:r>
      <w:proofErr w:type="spellEnd"/>
      <w:r w:rsidRPr="00240730">
        <w:rPr>
          <w:bCs/>
        </w:rPr>
        <w:t xml:space="preserve"> District of St </w:t>
      </w:r>
      <w:r w:rsidRPr="00240730" w:rsidR="002928E1">
        <w:rPr>
          <w:bCs/>
        </w:rPr>
        <w:t>Petersburg</w:t>
      </w:r>
      <w:r w:rsidRPr="00240730">
        <w:rPr>
          <w:bCs/>
        </w:rPr>
        <w:t xml:space="preserve"> advised Ms </w:t>
      </w:r>
      <w:proofErr w:type="spellStart"/>
      <w:r w:rsidRPr="00240730">
        <w:rPr>
          <w:bCs/>
        </w:rPr>
        <w:t>Kudryashova</w:t>
      </w:r>
      <w:proofErr w:type="spellEnd"/>
      <w:r w:rsidRPr="00240730">
        <w:rPr>
          <w:bCs/>
        </w:rPr>
        <w:t xml:space="preserve"> that all </w:t>
      </w:r>
      <w:r w:rsidRPr="00240730" w:rsidR="00974F5B">
        <w:rPr>
          <w:bCs/>
        </w:rPr>
        <w:t xml:space="preserve">employees </w:t>
      </w:r>
      <w:r w:rsidRPr="00240730">
        <w:rPr>
          <w:bCs/>
        </w:rPr>
        <w:t xml:space="preserve">who had lodged a request with the insolvency manager of the OAO were included in the second priority line </w:t>
      </w:r>
      <w:r w:rsidRPr="00240730" w:rsidR="007F235D">
        <w:rPr>
          <w:bCs/>
        </w:rPr>
        <w:t xml:space="preserve">to be </w:t>
      </w:r>
      <w:r w:rsidRPr="00240730" w:rsidR="00920789">
        <w:rPr>
          <w:bCs/>
        </w:rPr>
        <w:t>re</w:t>
      </w:r>
      <w:r w:rsidRPr="00240730" w:rsidR="007F235D">
        <w:rPr>
          <w:bCs/>
        </w:rPr>
        <w:t>paid</w:t>
      </w:r>
      <w:r w:rsidRPr="00240730">
        <w:rPr>
          <w:bCs/>
        </w:rPr>
        <w:t xml:space="preserve">. </w:t>
      </w:r>
      <w:r w:rsidRPr="00240730" w:rsidR="002928E1">
        <w:rPr>
          <w:bCs/>
        </w:rPr>
        <w:t>The prosecutor</w:t>
      </w:r>
      <w:r w:rsidRPr="00240730" w:rsidR="00240730">
        <w:rPr>
          <w:bCs/>
        </w:rPr>
        <w:t>’</w:t>
      </w:r>
      <w:r w:rsidRPr="00240730" w:rsidR="002928E1">
        <w:rPr>
          <w:bCs/>
        </w:rPr>
        <w:t xml:space="preserve">s office </w:t>
      </w:r>
      <w:r w:rsidRPr="00240730" w:rsidR="00CF1006">
        <w:rPr>
          <w:bCs/>
        </w:rPr>
        <w:t xml:space="preserve">informed </w:t>
      </w:r>
      <w:r w:rsidRPr="00240730" w:rsidR="002928E1">
        <w:rPr>
          <w:bCs/>
        </w:rPr>
        <w:t xml:space="preserve">the applicants that the claims were to be satisfied in accordance with the Insolvency Act. As the insolvency proceedings were </w:t>
      </w:r>
      <w:r w:rsidRPr="00240730" w:rsidR="00974F5B">
        <w:rPr>
          <w:bCs/>
        </w:rPr>
        <w:t>ongoing</w:t>
      </w:r>
      <w:r w:rsidRPr="00240730" w:rsidR="002928E1">
        <w:rPr>
          <w:bCs/>
        </w:rPr>
        <w:t>, the prosecutor</w:t>
      </w:r>
      <w:r w:rsidRPr="00240730" w:rsidR="00240730">
        <w:rPr>
          <w:bCs/>
        </w:rPr>
        <w:t>’</w:t>
      </w:r>
      <w:r w:rsidRPr="00240730" w:rsidR="002928E1">
        <w:rPr>
          <w:bCs/>
        </w:rPr>
        <w:t>s office did not see a</w:t>
      </w:r>
      <w:r w:rsidRPr="00240730" w:rsidR="00C37FF3">
        <w:rPr>
          <w:bCs/>
        </w:rPr>
        <w:t>ny</w:t>
      </w:r>
      <w:r w:rsidRPr="00240730" w:rsidR="002928E1">
        <w:rPr>
          <w:bCs/>
        </w:rPr>
        <w:t xml:space="preserve"> reason to intervene.</w:t>
      </w:r>
    </w:p>
    <w:bookmarkStart w:name="NNEX_Proc_v_bailiffs_Tomilin" w:id="24"/>
    <w:p w:rsidRPr="00240730" w:rsidR="00E2289C" w:rsidP="00240730" w:rsidRDefault="001567AA">
      <w:pPr>
        <w:pStyle w:val="ECHRPara"/>
        <w:rPr>
          <w:bCs/>
        </w:rPr>
      </w:pPr>
      <w:r w:rsidRPr="00240730">
        <w:rPr>
          <w:bCs/>
        </w:rPr>
        <w:fldChar w:fldCharType="begin"/>
      </w:r>
      <w:r w:rsidRPr="00240730">
        <w:rPr>
          <w:bCs/>
        </w:rPr>
        <w:instrText xml:space="preserve"> SEQ level0 \*arabic </w:instrText>
      </w:r>
      <w:r w:rsidRPr="00240730">
        <w:rPr>
          <w:bCs/>
        </w:rPr>
        <w:fldChar w:fldCharType="separate"/>
      </w:r>
      <w:r w:rsidRPr="00240730" w:rsidR="00240730">
        <w:rPr>
          <w:bCs/>
          <w:noProof/>
        </w:rPr>
        <w:t>42</w:t>
      </w:r>
      <w:r w:rsidRPr="00240730">
        <w:rPr>
          <w:bCs/>
        </w:rPr>
        <w:fldChar w:fldCharType="end"/>
      </w:r>
      <w:bookmarkEnd w:id="24"/>
      <w:r w:rsidRPr="00240730">
        <w:rPr>
          <w:bCs/>
        </w:rPr>
        <w:t xml:space="preserve">.  On 12 April 2010 the </w:t>
      </w:r>
      <w:proofErr w:type="spellStart"/>
      <w:r w:rsidRPr="00240730">
        <w:rPr>
          <w:bCs/>
        </w:rPr>
        <w:t>O</w:t>
      </w:r>
      <w:r w:rsidRPr="00240730" w:rsidR="00E16A13">
        <w:rPr>
          <w:bCs/>
        </w:rPr>
        <w:t>ktyabrskiy</w:t>
      </w:r>
      <w:proofErr w:type="spellEnd"/>
      <w:r w:rsidRPr="00240730" w:rsidR="00E16A13">
        <w:rPr>
          <w:bCs/>
        </w:rPr>
        <w:t xml:space="preserve"> District Court of St </w:t>
      </w:r>
      <w:r w:rsidRPr="00240730">
        <w:rPr>
          <w:bCs/>
        </w:rPr>
        <w:t xml:space="preserve">Petersburg rejected Mr </w:t>
      </w:r>
      <w:proofErr w:type="spellStart"/>
      <w:r w:rsidRPr="00240730">
        <w:rPr>
          <w:bCs/>
        </w:rPr>
        <w:t>Tomilin</w:t>
      </w:r>
      <w:r w:rsidRPr="00240730" w:rsidR="00240730">
        <w:rPr>
          <w:bCs/>
        </w:rPr>
        <w:t>’</w:t>
      </w:r>
      <w:r w:rsidRPr="00240730">
        <w:rPr>
          <w:bCs/>
        </w:rPr>
        <w:t>s</w:t>
      </w:r>
      <w:proofErr w:type="spellEnd"/>
      <w:r w:rsidRPr="00240730">
        <w:rPr>
          <w:bCs/>
        </w:rPr>
        <w:t xml:space="preserve"> challenge of the bailiffs</w:t>
      </w:r>
      <w:r w:rsidRPr="00240730" w:rsidR="00240730">
        <w:rPr>
          <w:bCs/>
        </w:rPr>
        <w:t>’</w:t>
      </w:r>
      <w:r w:rsidRPr="00240730">
        <w:rPr>
          <w:bCs/>
        </w:rPr>
        <w:t xml:space="preserve"> decision to discontinue the enforcement proceedings (see paragraph </w:t>
      </w:r>
      <w:r w:rsidRPr="00240730">
        <w:rPr>
          <w:bCs/>
        </w:rPr>
        <w:fldChar w:fldCharType="begin"/>
      </w:r>
      <w:r w:rsidRPr="00240730">
        <w:rPr>
          <w:bCs/>
        </w:rPr>
        <w:instrText xml:space="preserve"> REF NNEF_OAO_bailiffsDiscontinueENF \h  \* MERGEFORMAT </w:instrText>
      </w:r>
      <w:r w:rsidRPr="00240730">
        <w:rPr>
          <w:bCs/>
        </w:rPr>
      </w:r>
      <w:r w:rsidRPr="00240730">
        <w:rPr>
          <w:bCs/>
        </w:rPr>
        <w:fldChar w:fldCharType="separate"/>
      </w:r>
      <w:r w:rsidRPr="00240730" w:rsidR="00240730">
        <w:rPr>
          <w:bCs/>
          <w:noProof/>
        </w:rPr>
        <w:t>36</w:t>
      </w:r>
      <w:r w:rsidRPr="00240730">
        <w:rPr>
          <w:bCs/>
        </w:rPr>
        <w:fldChar w:fldCharType="end"/>
      </w:r>
      <w:r w:rsidRPr="00240730">
        <w:rPr>
          <w:bCs/>
        </w:rPr>
        <w:t xml:space="preserve"> above). The court found that the </w:t>
      </w:r>
      <w:proofErr w:type="gramStart"/>
      <w:r w:rsidRPr="00240730">
        <w:rPr>
          <w:bCs/>
        </w:rPr>
        <w:t>bailiffs</w:t>
      </w:r>
      <w:proofErr w:type="gramEnd"/>
      <w:r w:rsidRPr="00240730">
        <w:rPr>
          <w:bCs/>
        </w:rPr>
        <w:t xml:space="preserve"> service </w:t>
      </w:r>
      <w:r w:rsidRPr="00240730" w:rsidR="00B53351">
        <w:rPr>
          <w:bCs/>
        </w:rPr>
        <w:t xml:space="preserve">had </w:t>
      </w:r>
      <w:r w:rsidRPr="00240730">
        <w:rPr>
          <w:bCs/>
        </w:rPr>
        <w:t xml:space="preserve">lawfully discontinued the proceedings and </w:t>
      </w:r>
      <w:r w:rsidRPr="00240730" w:rsidR="00B53351">
        <w:rPr>
          <w:bCs/>
        </w:rPr>
        <w:t xml:space="preserve">had </w:t>
      </w:r>
      <w:r w:rsidRPr="00240730">
        <w:rPr>
          <w:bCs/>
        </w:rPr>
        <w:t>forwarded the writs to the insolvency manager, as the debtor OAO was undergoing insolvency</w:t>
      </w:r>
      <w:r w:rsidRPr="00240730" w:rsidR="00913486">
        <w:rPr>
          <w:bCs/>
        </w:rPr>
        <w:t xml:space="preserve"> proceedings</w:t>
      </w:r>
      <w:r w:rsidRPr="00240730">
        <w:rPr>
          <w:bCs/>
        </w:rPr>
        <w:t>. The applicant</w:t>
      </w:r>
      <w:r w:rsidRPr="00240730" w:rsidR="00240730">
        <w:rPr>
          <w:bCs/>
        </w:rPr>
        <w:t>’</w:t>
      </w:r>
      <w:r w:rsidRPr="00240730">
        <w:rPr>
          <w:bCs/>
        </w:rPr>
        <w:t xml:space="preserve">s appeal was disallowed by the St Petersburg City Court on 18 August 2010 for </w:t>
      </w:r>
      <w:r w:rsidRPr="00240730" w:rsidR="00913486">
        <w:rPr>
          <w:bCs/>
        </w:rPr>
        <w:t>non-compliance</w:t>
      </w:r>
      <w:r w:rsidRPr="00240730">
        <w:rPr>
          <w:bCs/>
        </w:rPr>
        <w:t xml:space="preserve"> with</w:t>
      </w:r>
      <w:r w:rsidRPr="00240730" w:rsidR="009743FB">
        <w:rPr>
          <w:bCs/>
        </w:rPr>
        <w:t xml:space="preserve"> the necessary</w:t>
      </w:r>
      <w:r w:rsidRPr="00240730">
        <w:rPr>
          <w:bCs/>
        </w:rPr>
        <w:t xml:space="preserve"> formal requirements, namely </w:t>
      </w:r>
      <w:r w:rsidRPr="00240730" w:rsidR="00913486">
        <w:rPr>
          <w:bCs/>
        </w:rPr>
        <w:t xml:space="preserve">failure to </w:t>
      </w:r>
      <w:r w:rsidRPr="00240730">
        <w:rPr>
          <w:bCs/>
        </w:rPr>
        <w:t>specify the claim and pay the court fee.</w:t>
      </w:r>
    </w:p>
    <w:p w:rsidRPr="00240730" w:rsidR="00E2289C" w:rsidP="00240730" w:rsidRDefault="00F40C73">
      <w:pPr>
        <w:pStyle w:val="ECHRPara"/>
        <w:rPr>
          <w:bCs/>
        </w:rPr>
      </w:pPr>
      <w:r w:rsidRPr="00240730">
        <w:rPr>
          <w:bCs/>
        </w:rPr>
        <w:fldChar w:fldCharType="begin"/>
      </w:r>
      <w:r w:rsidRPr="00240730">
        <w:rPr>
          <w:bCs/>
        </w:rPr>
        <w:instrText xml:space="preserve"> SEQ level0 \*arabic </w:instrText>
      </w:r>
      <w:r w:rsidRPr="00240730">
        <w:rPr>
          <w:bCs/>
        </w:rPr>
        <w:fldChar w:fldCharType="separate"/>
      </w:r>
      <w:r w:rsidRPr="00240730" w:rsidR="00240730">
        <w:rPr>
          <w:bCs/>
          <w:noProof/>
        </w:rPr>
        <w:t>43</w:t>
      </w:r>
      <w:r w:rsidRPr="00240730">
        <w:rPr>
          <w:bCs/>
        </w:rPr>
        <w:fldChar w:fldCharType="end"/>
      </w:r>
      <w:r w:rsidRPr="00240730">
        <w:rPr>
          <w:bCs/>
        </w:rPr>
        <w:t xml:space="preserve">.  At some point </w:t>
      </w:r>
      <w:r w:rsidRPr="00240730" w:rsidR="009743FB">
        <w:rPr>
          <w:bCs/>
        </w:rPr>
        <w:t xml:space="preserve">the </w:t>
      </w:r>
      <w:r w:rsidRPr="00240730">
        <w:rPr>
          <w:bCs/>
        </w:rPr>
        <w:t>claims of 648 second priority line creditors were included in the registry of the creditors</w:t>
      </w:r>
      <w:r w:rsidRPr="00240730" w:rsidR="00240730">
        <w:rPr>
          <w:bCs/>
        </w:rPr>
        <w:t>’</w:t>
      </w:r>
      <w:r w:rsidRPr="00240730">
        <w:rPr>
          <w:bCs/>
        </w:rPr>
        <w:t xml:space="preserve"> claims.</w:t>
      </w:r>
    </w:p>
    <w:bookmarkStart w:name="OAOInsolvency29032012" w:id="25"/>
    <w:p w:rsidRPr="00240730" w:rsidR="000B07BC" w:rsidP="00240730" w:rsidRDefault="00B22B14">
      <w:pPr>
        <w:pStyle w:val="ECHRPara"/>
      </w:pPr>
      <w:r w:rsidRPr="00240730">
        <w:fldChar w:fldCharType="begin"/>
      </w:r>
      <w:r w:rsidRPr="00240730">
        <w:instrText xml:space="preserve"> SEQ level0 \*arabic </w:instrText>
      </w:r>
      <w:r w:rsidRPr="00240730">
        <w:fldChar w:fldCharType="separate"/>
      </w:r>
      <w:r w:rsidRPr="00240730" w:rsidR="00240730">
        <w:rPr>
          <w:noProof/>
        </w:rPr>
        <w:t>44</w:t>
      </w:r>
      <w:r w:rsidRPr="00240730">
        <w:fldChar w:fldCharType="end"/>
      </w:r>
      <w:bookmarkEnd w:id="25"/>
      <w:r w:rsidRPr="00240730">
        <w:t>.  </w:t>
      </w:r>
      <w:r w:rsidRPr="00240730" w:rsidR="000B07BC">
        <w:t xml:space="preserve">On 29 March 2012 the </w:t>
      </w:r>
      <w:r w:rsidRPr="00240730" w:rsidR="00B87554">
        <w:t xml:space="preserve">St Petersburg Commercial Court </w:t>
      </w:r>
      <w:r w:rsidRPr="00240730" w:rsidR="000B07BC">
        <w:t>discontinued the insolvency proceedings and ordered the OAO</w:t>
      </w:r>
      <w:r w:rsidRPr="00240730" w:rsidR="00240730">
        <w:t>’</w:t>
      </w:r>
      <w:r w:rsidRPr="00240730" w:rsidR="000B07BC">
        <w:t>s liquidation. The claims which had not been satisfied during the liquidation process, including the applicants</w:t>
      </w:r>
      <w:r w:rsidRPr="00240730" w:rsidR="00240730">
        <w:t>’</w:t>
      </w:r>
      <w:r w:rsidRPr="00240730" w:rsidR="000B07BC">
        <w:t xml:space="preserve"> claims, were considered settled.</w:t>
      </w:r>
    </w:p>
    <w:p w:rsidRPr="00240730" w:rsidR="000B07BC" w:rsidP="00240730" w:rsidRDefault="000B07BC">
      <w:pPr>
        <w:pStyle w:val="ECHRPara"/>
      </w:pPr>
      <w:r w:rsidRPr="00240730">
        <w:fldChar w:fldCharType="begin"/>
      </w:r>
      <w:r w:rsidRPr="00240730">
        <w:instrText xml:space="preserve"> SEQ level0 \*arabic </w:instrText>
      </w:r>
      <w:r w:rsidRPr="00240730">
        <w:fldChar w:fldCharType="separate"/>
      </w:r>
      <w:r w:rsidRPr="00240730" w:rsidR="00240730">
        <w:rPr>
          <w:noProof/>
        </w:rPr>
        <w:t>45</w:t>
      </w:r>
      <w:r w:rsidRPr="00240730">
        <w:fldChar w:fldCharType="end"/>
      </w:r>
      <w:r w:rsidRPr="00240730">
        <w:t>.  On 31 May 2012 the OAO</w:t>
      </w:r>
      <w:r w:rsidRPr="00240730" w:rsidR="00240730">
        <w:t>’</w:t>
      </w:r>
      <w:r w:rsidRPr="00240730">
        <w:t>s liquidation was recorded in the Register of Legal Entities, and it ceased to exist.</w:t>
      </w:r>
    </w:p>
    <w:p w:rsidRPr="00240730" w:rsidR="000B07BC" w:rsidP="00240730" w:rsidRDefault="005C2039">
      <w:pPr>
        <w:pStyle w:val="ECHRHeading2"/>
      </w:pPr>
      <w:r w:rsidRPr="00240730">
        <w:t>C</w:t>
      </w:r>
      <w:r w:rsidRPr="00240730" w:rsidR="000B07BC">
        <w:t>.  Judgments in the applicants</w:t>
      </w:r>
      <w:r w:rsidRPr="00240730" w:rsidR="00240730">
        <w:t>’</w:t>
      </w:r>
      <w:r w:rsidRPr="00240730" w:rsidR="000B07BC">
        <w:t xml:space="preserve"> favour against the FGUP and their enforcement</w:t>
      </w:r>
    </w:p>
    <w:p w:rsidRPr="00240730" w:rsidR="009C7AF0" w:rsidP="00240730" w:rsidRDefault="005050D2">
      <w:pPr>
        <w:pStyle w:val="ECHRHeading3"/>
      </w:pPr>
      <w:r w:rsidRPr="00240730">
        <w:t xml:space="preserve">1.  Proceedings concerning </w:t>
      </w:r>
      <w:r w:rsidRPr="00240730" w:rsidR="00EE1402">
        <w:t>reinstatement</w:t>
      </w:r>
      <w:r w:rsidRPr="00240730">
        <w:t xml:space="preserve"> and unpaid wages</w:t>
      </w:r>
    </w:p>
    <w:p w:rsidRPr="00240730" w:rsidR="000B07BC" w:rsidP="00240730" w:rsidRDefault="000B07BC">
      <w:pPr>
        <w:pStyle w:val="ECHRPara"/>
        <w:rPr>
          <w:bCs/>
        </w:rPr>
      </w:pPr>
      <w:r w:rsidRPr="00240730">
        <w:rPr>
          <w:bCs/>
        </w:rPr>
        <w:fldChar w:fldCharType="begin"/>
      </w:r>
      <w:r w:rsidRPr="00240730">
        <w:rPr>
          <w:bCs/>
        </w:rPr>
        <w:instrText xml:space="preserve"> SEQ level0 \*arabic </w:instrText>
      </w:r>
      <w:r w:rsidRPr="00240730">
        <w:rPr>
          <w:bCs/>
        </w:rPr>
        <w:fldChar w:fldCharType="separate"/>
      </w:r>
      <w:r w:rsidRPr="00240730" w:rsidR="00240730">
        <w:rPr>
          <w:bCs/>
          <w:noProof/>
        </w:rPr>
        <w:t>46</w:t>
      </w:r>
      <w:r w:rsidRPr="00240730">
        <w:rPr>
          <w:bCs/>
        </w:rPr>
        <w:fldChar w:fldCharType="end"/>
      </w:r>
      <w:r w:rsidRPr="00240730">
        <w:rPr>
          <w:bCs/>
        </w:rPr>
        <w:t xml:space="preserve">.  In 2008 the applicants brought proceedings against the FGUP challenging their dismissal, requesting to be allowed to work </w:t>
      </w:r>
      <w:r w:rsidRPr="00240730" w:rsidR="001F2F0C">
        <w:rPr>
          <w:bCs/>
        </w:rPr>
        <w:t xml:space="preserve">as of </w:t>
      </w:r>
      <w:r w:rsidRPr="00240730">
        <w:rPr>
          <w:bCs/>
        </w:rPr>
        <w:t xml:space="preserve">21 August 2008, the date of their actual </w:t>
      </w:r>
      <w:r w:rsidRPr="00240730" w:rsidR="00444621">
        <w:rPr>
          <w:bCs/>
        </w:rPr>
        <w:t>dismissal</w:t>
      </w:r>
      <w:r w:rsidRPr="00240730" w:rsidR="00194A92">
        <w:rPr>
          <w:bCs/>
        </w:rPr>
        <w:t xml:space="preserve"> (see paragraph </w:t>
      </w:r>
      <w:r w:rsidRPr="00240730" w:rsidR="00194A92">
        <w:rPr>
          <w:bCs/>
        </w:rPr>
        <w:fldChar w:fldCharType="begin"/>
      </w:r>
      <w:r w:rsidRPr="00240730" w:rsidR="00194A92">
        <w:rPr>
          <w:bCs/>
        </w:rPr>
        <w:instrText xml:space="preserve"> REF DismissalDate \h </w:instrText>
      </w:r>
      <w:r w:rsidRPr="00240730" w:rsidR="00194A92">
        <w:rPr>
          <w:bCs/>
        </w:rPr>
      </w:r>
      <w:r w:rsidRPr="00240730" w:rsidR="00194A92">
        <w:rPr>
          <w:bCs/>
        </w:rPr>
        <w:fldChar w:fldCharType="separate"/>
      </w:r>
      <w:r w:rsidRPr="00240730" w:rsidR="00240730">
        <w:rPr>
          <w:noProof/>
        </w:rPr>
        <w:t>24</w:t>
      </w:r>
      <w:r w:rsidRPr="00240730" w:rsidR="00194A92">
        <w:rPr>
          <w:bCs/>
        </w:rPr>
        <w:fldChar w:fldCharType="end"/>
      </w:r>
      <w:r w:rsidRPr="00240730" w:rsidR="00194A92">
        <w:rPr>
          <w:bCs/>
        </w:rPr>
        <w:t xml:space="preserve"> above)</w:t>
      </w:r>
      <w:r w:rsidRPr="00240730">
        <w:rPr>
          <w:bCs/>
        </w:rPr>
        <w:t>. They also claimed unpaid wages and other work-related payments from 1 March 2007.</w:t>
      </w:r>
    </w:p>
    <w:p w:rsidRPr="00240730" w:rsidR="009C7AF0" w:rsidP="00240730" w:rsidRDefault="009C7AF0">
      <w:pPr>
        <w:pStyle w:val="ECHRHeading4"/>
      </w:pPr>
      <w:r w:rsidRPr="00240730">
        <w:t>(a)  C</w:t>
      </w:r>
      <w:r w:rsidRPr="00240730" w:rsidR="002369EB">
        <w:t>ase of Mr Smirnov (application n</w:t>
      </w:r>
      <w:r w:rsidRPr="00240730">
        <w:t>o.</w:t>
      </w:r>
      <w:r w:rsidRPr="00240730" w:rsidR="002369EB">
        <w:t xml:space="preserve"> </w:t>
      </w:r>
      <w:r w:rsidRPr="00240730">
        <w:t>65418/09</w:t>
      </w:r>
      <w:r w:rsidRPr="00240730" w:rsidR="002369EB">
        <w:t>)</w:t>
      </w:r>
    </w:p>
    <w:p w:rsidRPr="00240730" w:rsidR="00377D0B" w:rsidP="00240730" w:rsidRDefault="00EE1402">
      <w:pPr>
        <w:pStyle w:val="ECHRPara"/>
      </w:pPr>
      <w:r w:rsidRPr="00240730">
        <w:fldChar w:fldCharType="begin"/>
      </w:r>
      <w:r w:rsidRPr="00240730">
        <w:instrText xml:space="preserve"> SEQ level0 \*arabic </w:instrText>
      </w:r>
      <w:r w:rsidRPr="00240730">
        <w:fldChar w:fldCharType="separate"/>
      </w:r>
      <w:r w:rsidRPr="00240730" w:rsidR="00240730">
        <w:rPr>
          <w:noProof/>
        </w:rPr>
        <w:t>47</w:t>
      </w:r>
      <w:r w:rsidRPr="00240730">
        <w:fldChar w:fldCharType="end"/>
      </w:r>
      <w:r w:rsidRPr="00240730">
        <w:t xml:space="preserve">.  The applicant sued both the OAO and the FGUP for reinstatement </w:t>
      </w:r>
      <w:r w:rsidRPr="00240730" w:rsidR="003527B3">
        <w:t>in his</w:t>
      </w:r>
      <w:r w:rsidRPr="00240730">
        <w:t xml:space="preserve"> </w:t>
      </w:r>
      <w:r w:rsidRPr="00240730" w:rsidR="003527B3">
        <w:t xml:space="preserve">job </w:t>
      </w:r>
      <w:r w:rsidRPr="00240730">
        <w:t xml:space="preserve">and unpaid wages as of 21 August 2008. He further supplemented his claims by challenging the </w:t>
      </w:r>
      <w:r w:rsidRPr="00240730" w:rsidR="00CD35C5">
        <w:t xml:space="preserve">orders of the </w:t>
      </w:r>
      <w:r w:rsidRPr="00240730">
        <w:t xml:space="preserve">external </w:t>
      </w:r>
      <w:r w:rsidRPr="00240730" w:rsidR="003527B3">
        <w:t xml:space="preserve">manager </w:t>
      </w:r>
      <w:r w:rsidRPr="00240730">
        <w:t xml:space="preserve">and the OAO director for his transfer from the FGUP to the OAO, </w:t>
      </w:r>
      <w:r w:rsidRPr="00240730" w:rsidR="003527B3">
        <w:t>requesting reinstatement in</w:t>
      </w:r>
      <w:r w:rsidRPr="00240730">
        <w:t xml:space="preserve"> his job at the FGUP as of 21 August 2008 and </w:t>
      </w:r>
      <w:r w:rsidRPr="00240730" w:rsidR="003527B3">
        <w:t xml:space="preserve">asking for </w:t>
      </w:r>
      <w:r w:rsidRPr="00240730">
        <w:t xml:space="preserve">his </w:t>
      </w:r>
      <w:r w:rsidRPr="00240730" w:rsidR="003527B3">
        <w:t xml:space="preserve">employment </w:t>
      </w:r>
      <w:r w:rsidRPr="00240730">
        <w:t>record</w:t>
      </w:r>
      <w:r w:rsidRPr="00240730" w:rsidR="003527B3">
        <w:t xml:space="preserve"> to be updated</w:t>
      </w:r>
      <w:r w:rsidRPr="00240730">
        <w:t xml:space="preserve"> accordingly. He further dropped his claims against the OAO. The </w:t>
      </w:r>
      <w:proofErr w:type="spellStart"/>
      <w:r w:rsidRPr="00240730">
        <w:t>Kronstadt</w:t>
      </w:r>
      <w:proofErr w:type="spellEnd"/>
      <w:r w:rsidRPr="00240730">
        <w:t xml:space="preserve"> District Court </w:t>
      </w:r>
      <w:r w:rsidRPr="00240730" w:rsidR="003527B3">
        <w:t xml:space="preserve">decided that </w:t>
      </w:r>
      <w:r w:rsidRPr="00240730">
        <w:t xml:space="preserve">the claim for unpaid wages </w:t>
      </w:r>
      <w:r w:rsidRPr="00240730" w:rsidR="003527B3">
        <w:t>would be dealt with in a</w:t>
      </w:r>
      <w:r w:rsidRPr="00240730" w:rsidR="001F2F0C">
        <w:t xml:space="preserve"> separate set of </w:t>
      </w:r>
      <w:r w:rsidRPr="00240730">
        <w:t>proceedings.</w:t>
      </w:r>
    </w:p>
    <w:p w:rsidRPr="00240730" w:rsidR="005050D2" w:rsidP="00240730" w:rsidRDefault="00DE3141">
      <w:pPr>
        <w:pStyle w:val="ECHRHeading5"/>
      </w:pPr>
      <w:r w:rsidRPr="00240730">
        <w:t>(</w:t>
      </w:r>
      <w:proofErr w:type="spellStart"/>
      <w:r w:rsidRPr="00240730" w:rsidR="005050D2">
        <w:t>i</w:t>
      </w:r>
      <w:proofErr w:type="spellEnd"/>
      <w:r w:rsidRPr="00240730">
        <w:t>)</w:t>
      </w:r>
      <w:r w:rsidRPr="00240730" w:rsidR="005050D2">
        <w:t>  Proceedings for reinstatement of employment</w:t>
      </w:r>
    </w:p>
    <w:bookmarkStart w:name="SmirnovJudgmentFGUPliable20112008" w:id="26"/>
    <w:p w:rsidRPr="00240730" w:rsidR="00377D0B" w:rsidP="00240730" w:rsidRDefault="005050D2">
      <w:pPr>
        <w:pStyle w:val="ECHRPara"/>
        <w:rPr>
          <w:bCs/>
        </w:rPr>
      </w:pPr>
      <w:r w:rsidRPr="00240730">
        <w:fldChar w:fldCharType="begin"/>
      </w:r>
      <w:r w:rsidRPr="00240730">
        <w:instrText xml:space="preserve"> SEQ level0 \*arabic </w:instrText>
      </w:r>
      <w:r w:rsidRPr="00240730">
        <w:fldChar w:fldCharType="separate"/>
      </w:r>
      <w:r w:rsidRPr="00240730" w:rsidR="00240730">
        <w:rPr>
          <w:noProof/>
        </w:rPr>
        <w:t>48</w:t>
      </w:r>
      <w:r w:rsidRPr="00240730">
        <w:fldChar w:fldCharType="end"/>
      </w:r>
      <w:bookmarkEnd w:id="26"/>
      <w:r w:rsidRPr="00240730">
        <w:t>.  </w:t>
      </w:r>
      <w:r w:rsidRPr="00240730" w:rsidR="009C7AF0">
        <w:t xml:space="preserve">On 20 November 2008 the </w:t>
      </w:r>
      <w:proofErr w:type="spellStart"/>
      <w:r w:rsidRPr="00240730" w:rsidR="009C7AF0">
        <w:rPr>
          <w:bCs/>
        </w:rPr>
        <w:t>Kronstadt</w:t>
      </w:r>
      <w:proofErr w:type="spellEnd"/>
      <w:r w:rsidRPr="00240730" w:rsidR="009C7AF0">
        <w:rPr>
          <w:bCs/>
        </w:rPr>
        <w:t xml:space="preserve"> District Court</w:t>
      </w:r>
      <w:r w:rsidRPr="00240730" w:rsidR="0015377F">
        <w:rPr>
          <w:bCs/>
        </w:rPr>
        <w:t xml:space="preserve"> </w:t>
      </w:r>
      <w:r w:rsidRPr="00240730" w:rsidR="003527B3">
        <w:rPr>
          <w:bCs/>
        </w:rPr>
        <w:t xml:space="preserve">allowed </w:t>
      </w:r>
      <w:r w:rsidRPr="00240730" w:rsidR="00EE1402">
        <w:rPr>
          <w:bCs/>
        </w:rPr>
        <w:t xml:space="preserve">his claim in part. The court found that, in </w:t>
      </w:r>
      <w:r w:rsidRPr="00240730" w:rsidR="004D6DC9">
        <w:rPr>
          <w:bCs/>
        </w:rPr>
        <w:t>accordance</w:t>
      </w:r>
      <w:r w:rsidRPr="00240730" w:rsidR="00EE1402">
        <w:rPr>
          <w:bCs/>
        </w:rPr>
        <w:t xml:space="preserve"> with section 115</w:t>
      </w:r>
      <w:r w:rsidRPr="00240730" w:rsidR="00513D02">
        <w:rPr>
          <w:bCs/>
        </w:rPr>
        <w:t>(</w:t>
      </w:r>
      <w:r w:rsidRPr="00240730" w:rsidR="00EE1402">
        <w:rPr>
          <w:bCs/>
        </w:rPr>
        <w:t>4</w:t>
      </w:r>
      <w:r w:rsidRPr="00240730" w:rsidR="00513D02">
        <w:rPr>
          <w:bCs/>
        </w:rPr>
        <w:t>)</w:t>
      </w:r>
      <w:r w:rsidRPr="00240730" w:rsidR="00EE1402">
        <w:rPr>
          <w:bCs/>
        </w:rPr>
        <w:t xml:space="preserve"> of the Insolvency Act and Article 75 of the Labour Code</w:t>
      </w:r>
      <w:r w:rsidRPr="00240730" w:rsidR="003F37D6">
        <w:rPr>
          <w:bCs/>
        </w:rPr>
        <w:t xml:space="preserve"> (see paragraphs</w:t>
      </w:r>
      <w:r w:rsidRPr="00240730" w:rsidR="00E62AA8">
        <w:rPr>
          <w:bCs/>
        </w:rPr>
        <w:t> </w:t>
      </w:r>
      <w:r w:rsidRPr="00240730" w:rsidR="00E62AA8">
        <w:rPr>
          <w:bCs/>
        </w:rPr>
        <w:fldChar w:fldCharType="begin"/>
      </w:r>
      <w:r w:rsidRPr="00240730" w:rsidR="00E62AA8">
        <w:rPr>
          <w:bCs/>
        </w:rPr>
        <w:instrText xml:space="preserve"> REF LabourCodeA75 \h  \* MERGEFORMAT </w:instrText>
      </w:r>
      <w:r w:rsidRPr="00240730" w:rsidR="00E62AA8">
        <w:rPr>
          <w:bCs/>
        </w:rPr>
      </w:r>
      <w:r w:rsidRPr="00240730" w:rsidR="00E62AA8">
        <w:rPr>
          <w:bCs/>
        </w:rPr>
        <w:fldChar w:fldCharType="separate"/>
      </w:r>
      <w:r w:rsidRPr="00240730" w:rsidR="00240730">
        <w:rPr>
          <w:noProof/>
          <w:lang w:val="en-US"/>
        </w:rPr>
        <w:t>68</w:t>
      </w:r>
      <w:r w:rsidRPr="00240730" w:rsidR="00E62AA8">
        <w:rPr>
          <w:bCs/>
        </w:rPr>
        <w:fldChar w:fldCharType="end"/>
      </w:r>
      <w:r w:rsidRPr="00240730" w:rsidR="00E62AA8">
        <w:rPr>
          <w:bCs/>
        </w:rPr>
        <w:t xml:space="preserve"> and </w:t>
      </w:r>
      <w:r w:rsidRPr="00240730" w:rsidR="00E62AA8">
        <w:rPr>
          <w:bCs/>
        </w:rPr>
        <w:fldChar w:fldCharType="begin"/>
      </w:r>
      <w:r w:rsidRPr="00240730" w:rsidR="00E62AA8">
        <w:rPr>
          <w:bCs/>
        </w:rPr>
        <w:instrText xml:space="preserve"> REF IAsection115p4labourContracts \h </w:instrText>
      </w:r>
      <w:r w:rsidRPr="00240730" w:rsidR="00E62AA8">
        <w:rPr>
          <w:bCs/>
        </w:rPr>
      </w:r>
      <w:r w:rsidRPr="00240730" w:rsidR="00E62AA8">
        <w:rPr>
          <w:bCs/>
        </w:rPr>
        <w:fldChar w:fldCharType="separate"/>
      </w:r>
      <w:r w:rsidRPr="00240730" w:rsidR="00240730">
        <w:rPr>
          <w:noProof/>
        </w:rPr>
        <w:t>77</w:t>
      </w:r>
      <w:r w:rsidRPr="00240730" w:rsidR="00E62AA8">
        <w:rPr>
          <w:bCs/>
        </w:rPr>
        <w:fldChar w:fldCharType="end"/>
      </w:r>
      <w:r w:rsidRPr="00240730" w:rsidR="003F37D6">
        <w:rPr>
          <w:bCs/>
        </w:rPr>
        <w:t xml:space="preserve"> below)</w:t>
      </w:r>
      <w:r w:rsidRPr="00240730" w:rsidR="00EE1402">
        <w:rPr>
          <w:bCs/>
        </w:rPr>
        <w:t xml:space="preserve">, the transfer of </w:t>
      </w:r>
      <w:r w:rsidRPr="00240730" w:rsidR="007F235D">
        <w:rPr>
          <w:bCs/>
        </w:rPr>
        <w:t xml:space="preserve">an </w:t>
      </w:r>
      <w:r w:rsidRPr="00240730" w:rsidR="00EE1402">
        <w:rPr>
          <w:bCs/>
        </w:rPr>
        <w:t>employer</w:t>
      </w:r>
      <w:r w:rsidRPr="00240730" w:rsidR="00240730">
        <w:rPr>
          <w:bCs/>
        </w:rPr>
        <w:t>’</w:t>
      </w:r>
      <w:r w:rsidRPr="00240730" w:rsidR="00EE1402">
        <w:rPr>
          <w:bCs/>
        </w:rPr>
        <w:t>s rights and obligations to a newly</w:t>
      </w:r>
      <w:r w:rsidRPr="00240730" w:rsidR="00A10F6A">
        <w:rPr>
          <w:bCs/>
        </w:rPr>
        <w:t xml:space="preserve"> </w:t>
      </w:r>
      <w:r w:rsidRPr="00240730" w:rsidR="00EE1402">
        <w:rPr>
          <w:bCs/>
        </w:rPr>
        <w:t>created joint</w:t>
      </w:r>
      <w:r w:rsidRPr="00240730" w:rsidR="00FE20E9">
        <w:rPr>
          <w:bCs/>
        </w:rPr>
        <w:t>-</w:t>
      </w:r>
      <w:r w:rsidRPr="00240730" w:rsidR="00EE1402">
        <w:rPr>
          <w:bCs/>
        </w:rPr>
        <w:t xml:space="preserve">stock company was conditioned only </w:t>
      </w:r>
      <w:r w:rsidRPr="00240730" w:rsidR="004D6DC9">
        <w:rPr>
          <w:bCs/>
        </w:rPr>
        <w:t>by</w:t>
      </w:r>
      <w:r w:rsidRPr="00240730" w:rsidR="00EE1402">
        <w:rPr>
          <w:bCs/>
        </w:rPr>
        <w:t xml:space="preserve"> </w:t>
      </w:r>
      <w:r w:rsidRPr="00240730" w:rsidR="003527B3">
        <w:rPr>
          <w:bCs/>
        </w:rPr>
        <w:t xml:space="preserve">a </w:t>
      </w:r>
      <w:r w:rsidRPr="00240730" w:rsidR="00EE1402">
        <w:rPr>
          <w:bCs/>
        </w:rPr>
        <w:t xml:space="preserve">change </w:t>
      </w:r>
      <w:r w:rsidRPr="00240730" w:rsidR="002575A0">
        <w:rPr>
          <w:bCs/>
        </w:rPr>
        <w:t xml:space="preserve">in </w:t>
      </w:r>
      <w:r w:rsidRPr="00240730" w:rsidR="003527B3">
        <w:rPr>
          <w:bCs/>
        </w:rPr>
        <w:t xml:space="preserve">ownership of </w:t>
      </w:r>
      <w:r w:rsidRPr="00240730" w:rsidR="00EE1402">
        <w:rPr>
          <w:bCs/>
        </w:rPr>
        <w:t>the company</w:t>
      </w:r>
      <w:r w:rsidRPr="00240730" w:rsidR="00240730">
        <w:rPr>
          <w:bCs/>
        </w:rPr>
        <w:t>’</w:t>
      </w:r>
      <w:r w:rsidRPr="00240730" w:rsidR="00EE1402">
        <w:rPr>
          <w:bCs/>
        </w:rPr>
        <w:t xml:space="preserve">s assets, which meant, by </w:t>
      </w:r>
      <w:r w:rsidRPr="00240730" w:rsidR="00925505">
        <w:rPr>
          <w:bCs/>
        </w:rPr>
        <w:t>operation</w:t>
      </w:r>
      <w:r w:rsidRPr="00240730" w:rsidR="00EE1402">
        <w:rPr>
          <w:bCs/>
        </w:rPr>
        <w:t xml:space="preserve"> of law, </w:t>
      </w:r>
      <w:r w:rsidRPr="00240730" w:rsidR="003527B3">
        <w:rPr>
          <w:bCs/>
        </w:rPr>
        <w:t xml:space="preserve">a </w:t>
      </w:r>
      <w:r w:rsidRPr="00240730" w:rsidR="00EE1402">
        <w:rPr>
          <w:bCs/>
        </w:rPr>
        <w:t xml:space="preserve">transfer of title to the assets. </w:t>
      </w:r>
      <w:proofErr w:type="gramStart"/>
      <w:r w:rsidRPr="00240730" w:rsidR="00EE1402">
        <w:rPr>
          <w:bCs/>
        </w:rPr>
        <w:t xml:space="preserve">As </w:t>
      </w:r>
      <w:r w:rsidRPr="00240730" w:rsidR="003527B3">
        <w:rPr>
          <w:bCs/>
        </w:rPr>
        <w:t xml:space="preserve">the </w:t>
      </w:r>
      <w:r w:rsidRPr="00240730" w:rsidR="00EE1402">
        <w:rPr>
          <w:bCs/>
        </w:rPr>
        <w:t xml:space="preserve">transfer in the present case had been declared invalid and </w:t>
      </w:r>
      <w:r w:rsidRPr="00240730" w:rsidR="00F152AC">
        <w:rPr>
          <w:bCs/>
        </w:rPr>
        <w:t>without</w:t>
      </w:r>
      <w:r w:rsidRPr="00240730" w:rsidR="00EE1402">
        <w:rPr>
          <w:rFonts w:ascii="Times New Roman" w:hAnsi="Times New Roman" w:eastAsia="Times New Roman" w:cs="Times New Roman"/>
          <w:szCs w:val="24"/>
        </w:rPr>
        <w:t xml:space="preserve"> legal </w:t>
      </w:r>
      <w:r w:rsidRPr="00240730" w:rsidR="00F152AC">
        <w:rPr>
          <w:rFonts w:ascii="Times New Roman" w:hAnsi="Times New Roman" w:eastAsia="Times New Roman" w:cs="Times New Roman"/>
          <w:szCs w:val="24"/>
        </w:rPr>
        <w:t>effect</w:t>
      </w:r>
      <w:r w:rsidRPr="00240730" w:rsidR="00EE1402">
        <w:rPr>
          <w:rFonts w:ascii="Times New Roman" w:hAnsi="Times New Roman" w:eastAsia="Times New Roman" w:cs="Times New Roman"/>
          <w:szCs w:val="24"/>
        </w:rPr>
        <w:t xml:space="preserve">, </w:t>
      </w:r>
      <w:r w:rsidRPr="00240730" w:rsidR="003527B3">
        <w:rPr>
          <w:rFonts w:ascii="Times New Roman" w:hAnsi="Times New Roman" w:eastAsia="Times New Roman" w:cs="Times New Roman"/>
          <w:szCs w:val="24"/>
        </w:rPr>
        <w:t xml:space="preserve">a </w:t>
      </w:r>
      <w:r w:rsidRPr="00240730" w:rsidR="004D6DC9">
        <w:rPr>
          <w:bCs/>
        </w:rPr>
        <w:t xml:space="preserve">change </w:t>
      </w:r>
      <w:r w:rsidRPr="00240730" w:rsidR="002575A0">
        <w:rPr>
          <w:bCs/>
        </w:rPr>
        <w:t xml:space="preserve">in </w:t>
      </w:r>
      <w:r w:rsidRPr="00240730" w:rsidR="003527B3">
        <w:rPr>
          <w:bCs/>
        </w:rPr>
        <w:t xml:space="preserve">ownership of the </w:t>
      </w:r>
      <w:r w:rsidRPr="00240730" w:rsidR="004D6DC9">
        <w:rPr>
          <w:bCs/>
        </w:rPr>
        <w:t>assets had not taken place.</w:t>
      </w:r>
      <w:proofErr w:type="gramEnd"/>
      <w:r w:rsidRPr="00240730" w:rsidR="004D6DC9">
        <w:rPr>
          <w:bCs/>
        </w:rPr>
        <w:t xml:space="preserve"> Accordingly, the court declared the transfer of the employer</w:t>
      </w:r>
      <w:r w:rsidRPr="00240730" w:rsidR="00240730">
        <w:rPr>
          <w:bCs/>
        </w:rPr>
        <w:t>’</w:t>
      </w:r>
      <w:r w:rsidRPr="00240730" w:rsidR="004D6DC9">
        <w:rPr>
          <w:bCs/>
        </w:rPr>
        <w:t xml:space="preserve">s rights and obligations to the OAO unlawful, and the respective </w:t>
      </w:r>
      <w:r w:rsidRPr="00240730" w:rsidR="003527B3">
        <w:rPr>
          <w:bCs/>
        </w:rPr>
        <w:t xml:space="preserve">orders </w:t>
      </w:r>
      <w:r w:rsidRPr="00240730" w:rsidR="004D6DC9">
        <w:rPr>
          <w:bCs/>
        </w:rPr>
        <w:t xml:space="preserve">of the external </w:t>
      </w:r>
      <w:r w:rsidRPr="00240730" w:rsidR="003527B3">
        <w:rPr>
          <w:bCs/>
        </w:rPr>
        <w:t xml:space="preserve">manager </w:t>
      </w:r>
      <w:r w:rsidRPr="00240730" w:rsidR="004D6DC9">
        <w:rPr>
          <w:bCs/>
        </w:rPr>
        <w:t>and OAO director invalid. The court concluded that the applicant</w:t>
      </w:r>
      <w:r w:rsidRPr="00240730" w:rsidR="00240730">
        <w:rPr>
          <w:bCs/>
        </w:rPr>
        <w:t>’</w:t>
      </w:r>
      <w:r w:rsidRPr="00240730" w:rsidR="004D6DC9">
        <w:rPr>
          <w:bCs/>
        </w:rPr>
        <w:t xml:space="preserve">s employment with the FGUP had not been </w:t>
      </w:r>
      <w:r w:rsidRPr="00240730" w:rsidR="003527B3">
        <w:rPr>
          <w:bCs/>
        </w:rPr>
        <w:t>terminated lawfully</w:t>
      </w:r>
      <w:r w:rsidRPr="00240730" w:rsidR="00497C7B">
        <w:rPr>
          <w:bCs/>
        </w:rPr>
        <w:t xml:space="preserve"> </w:t>
      </w:r>
      <w:r w:rsidRPr="00240730" w:rsidR="004D6DC9">
        <w:rPr>
          <w:bCs/>
        </w:rPr>
        <w:t xml:space="preserve">and ordered </w:t>
      </w:r>
      <w:r w:rsidRPr="00240730" w:rsidR="003527B3">
        <w:rPr>
          <w:bCs/>
        </w:rPr>
        <w:t xml:space="preserve">his reinstatement </w:t>
      </w:r>
      <w:r w:rsidRPr="00240730" w:rsidR="004D6DC9">
        <w:rPr>
          <w:bCs/>
        </w:rPr>
        <w:t xml:space="preserve">as of 1 March 2007 and his </w:t>
      </w:r>
      <w:r w:rsidRPr="00240730" w:rsidR="003527B3">
        <w:rPr>
          <w:bCs/>
        </w:rPr>
        <w:t xml:space="preserve">employment </w:t>
      </w:r>
      <w:r w:rsidRPr="00240730" w:rsidR="004D6DC9">
        <w:rPr>
          <w:bCs/>
        </w:rPr>
        <w:t>record</w:t>
      </w:r>
      <w:r w:rsidRPr="00240730" w:rsidR="003527B3">
        <w:rPr>
          <w:bCs/>
        </w:rPr>
        <w:t xml:space="preserve"> to be updated</w:t>
      </w:r>
      <w:r w:rsidRPr="00240730" w:rsidR="004D6DC9">
        <w:rPr>
          <w:bCs/>
        </w:rPr>
        <w:t xml:space="preserve"> accordingly.</w:t>
      </w:r>
    </w:p>
    <w:bookmarkStart w:name="Smirnov_ReinstatementAppeal" w:id="27"/>
    <w:p w:rsidRPr="00240730" w:rsidR="00377D0B" w:rsidP="00240730" w:rsidRDefault="009C7AF0">
      <w:pPr>
        <w:pStyle w:val="ECHRPara"/>
        <w:rPr>
          <w:bCs/>
        </w:rPr>
      </w:pPr>
      <w:r w:rsidRPr="00240730">
        <w:rPr>
          <w:bCs/>
        </w:rPr>
        <w:fldChar w:fldCharType="begin"/>
      </w:r>
      <w:r w:rsidRPr="00240730">
        <w:rPr>
          <w:bCs/>
        </w:rPr>
        <w:instrText xml:space="preserve"> SEQ level0 \*arabic </w:instrText>
      </w:r>
      <w:r w:rsidRPr="00240730">
        <w:rPr>
          <w:bCs/>
        </w:rPr>
        <w:fldChar w:fldCharType="separate"/>
      </w:r>
      <w:r w:rsidRPr="00240730" w:rsidR="00240730">
        <w:rPr>
          <w:bCs/>
          <w:noProof/>
        </w:rPr>
        <w:t>49</w:t>
      </w:r>
      <w:r w:rsidRPr="00240730">
        <w:rPr>
          <w:bCs/>
        </w:rPr>
        <w:fldChar w:fldCharType="end"/>
      </w:r>
      <w:bookmarkEnd w:id="27"/>
      <w:r w:rsidRPr="00240730">
        <w:rPr>
          <w:bCs/>
        </w:rPr>
        <w:t xml:space="preserve">.  On 24 December 2008 the </w:t>
      </w:r>
      <w:r w:rsidRPr="00240730" w:rsidR="0015377F">
        <w:rPr>
          <w:bCs/>
        </w:rPr>
        <w:t xml:space="preserve">St Petersburg Regional Court </w:t>
      </w:r>
      <w:r w:rsidRPr="00240730" w:rsidR="004635B5">
        <w:rPr>
          <w:bCs/>
        </w:rPr>
        <w:t>upheld</w:t>
      </w:r>
      <w:r w:rsidRPr="00240730" w:rsidR="004D6DC9">
        <w:rPr>
          <w:bCs/>
        </w:rPr>
        <w:t xml:space="preserve"> the lower court</w:t>
      </w:r>
      <w:r w:rsidRPr="00240730" w:rsidR="00240730">
        <w:rPr>
          <w:bCs/>
        </w:rPr>
        <w:t>’</w:t>
      </w:r>
      <w:r w:rsidRPr="00240730" w:rsidR="004D6DC9">
        <w:rPr>
          <w:bCs/>
        </w:rPr>
        <w:t xml:space="preserve">s findings on </w:t>
      </w:r>
      <w:r w:rsidRPr="00240730" w:rsidR="0015377F">
        <w:rPr>
          <w:bCs/>
        </w:rPr>
        <w:t xml:space="preserve">appeal. </w:t>
      </w:r>
      <w:r w:rsidRPr="00240730" w:rsidR="003F37D6">
        <w:rPr>
          <w:bCs/>
        </w:rPr>
        <w:t>It noted in addition, in reply to the FGUP</w:t>
      </w:r>
      <w:r w:rsidRPr="00240730" w:rsidR="00240730">
        <w:rPr>
          <w:bCs/>
        </w:rPr>
        <w:t>’</w:t>
      </w:r>
      <w:r w:rsidRPr="00240730" w:rsidR="003F37D6">
        <w:rPr>
          <w:bCs/>
        </w:rPr>
        <w:t>s appeal, that the applicant</w:t>
      </w:r>
      <w:r w:rsidRPr="00240730" w:rsidR="00240730">
        <w:rPr>
          <w:bCs/>
        </w:rPr>
        <w:t>’</w:t>
      </w:r>
      <w:r w:rsidRPr="00240730" w:rsidR="003F37D6">
        <w:rPr>
          <w:bCs/>
        </w:rPr>
        <w:t xml:space="preserve">s </w:t>
      </w:r>
      <w:r w:rsidRPr="00240730" w:rsidR="00E532F7">
        <w:rPr>
          <w:bCs/>
        </w:rPr>
        <w:t xml:space="preserve">reinstatement </w:t>
      </w:r>
      <w:r w:rsidRPr="00240730" w:rsidR="003F37D6">
        <w:rPr>
          <w:bCs/>
        </w:rPr>
        <w:t xml:space="preserve">to work </w:t>
      </w:r>
      <w:r w:rsidRPr="00240730" w:rsidR="00E532F7">
        <w:rPr>
          <w:bCs/>
        </w:rPr>
        <w:t xml:space="preserve">for the </w:t>
      </w:r>
      <w:r w:rsidRPr="00240730" w:rsidR="003F37D6">
        <w:rPr>
          <w:bCs/>
        </w:rPr>
        <w:t xml:space="preserve">OAO in March 2007 was not </w:t>
      </w:r>
      <w:r w:rsidRPr="00240730" w:rsidR="003F37D6">
        <w:rPr>
          <w:bCs/>
          <w:i/>
        </w:rPr>
        <w:t>per se</w:t>
      </w:r>
      <w:r w:rsidRPr="00240730" w:rsidR="003F37D6">
        <w:rPr>
          <w:bCs/>
        </w:rPr>
        <w:t xml:space="preserve"> </w:t>
      </w:r>
      <w:r w:rsidRPr="00240730" w:rsidR="0047262E">
        <w:rPr>
          <w:bCs/>
        </w:rPr>
        <w:t xml:space="preserve">a </w:t>
      </w:r>
      <w:r w:rsidRPr="00240730" w:rsidR="003F37D6">
        <w:rPr>
          <w:bCs/>
        </w:rPr>
        <w:t xml:space="preserve">ground </w:t>
      </w:r>
      <w:r w:rsidRPr="00240730" w:rsidR="00497C7B">
        <w:rPr>
          <w:bCs/>
        </w:rPr>
        <w:t>to discontinue</w:t>
      </w:r>
      <w:r w:rsidRPr="00240730" w:rsidR="003F37D6">
        <w:rPr>
          <w:bCs/>
        </w:rPr>
        <w:t xml:space="preserve"> his </w:t>
      </w:r>
      <w:r w:rsidRPr="00240730" w:rsidR="00D83615">
        <w:rPr>
          <w:bCs/>
        </w:rPr>
        <w:t xml:space="preserve">employment </w:t>
      </w:r>
      <w:r w:rsidRPr="00240730" w:rsidR="003F37D6">
        <w:rPr>
          <w:bCs/>
        </w:rPr>
        <w:t xml:space="preserve">relationship with the FGUP, as </w:t>
      </w:r>
      <w:r w:rsidRPr="00240730" w:rsidR="00F152AC">
        <w:rPr>
          <w:bCs/>
        </w:rPr>
        <w:t>this</w:t>
      </w:r>
      <w:r w:rsidRPr="00240730" w:rsidR="003F37D6">
        <w:rPr>
          <w:bCs/>
        </w:rPr>
        <w:t xml:space="preserve"> was not </w:t>
      </w:r>
      <w:r w:rsidRPr="00240730" w:rsidR="00D83615">
        <w:rPr>
          <w:bCs/>
        </w:rPr>
        <w:t xml:space="preserve">one of </w:t>
      </w:r>
      <w:r w:rsidRPr="00240730" w:rsidR="003F37D6">
        <w:rPr>
          <w:bCs/>
        </w:rPr>
        <w:t xml:space="preserve">the grounds for termination of a contract </w:t>
      </w:r>
      <w:r w:rsidRPr="00240730" w:rsidR="00C55781">
        <w:rPr>
          <w:bCs/>
        </w:rPr>
        <w:t xml:space="preserve">of employment </w:t>
      </w:r>
      <w:r w:rsidRPr="00240730" w:rsidR="003F37D6">
        <w:rPr>
          <w:bCs/>
        </w:rPr>
        <w:t>set out in the Labour Code.</w:t>
      </w:r>
    </w:p>
    <w:p w:rsidRPr="00240730" w:rsidR="005050D2" w:rsidP="00240730" w:rsidRDefault="00DE3141">
      <w:pPr>
        <w:pStyle w:val="ECHRHeading5"/>
      </w:pPr>
      <w:r w:rsidRPr="00240730">
        <w:t>(</w:t>
      </w:r>
      <w:r w:rsidRPr="00240730" w:rsidR="005050D2">
        <w:t>ii</w:t>
      </w:r>
      <w:r w:rsidRPr="00240730">
        <w:t>)</w:t>
      </w:r>
      <w:r w:rsidRPr="00240730" w:rsidR="005050D2">
        <w:t>  Proceedings for unpaid wages for August to November 2008</w:t>
      </w:r>
    </w:p>
    <w:bookmarkStart w:name="SmirnovWagesReasoning28112008" w:id="28"/>
    <w:p w:rsidRPr="00240730" w:rsidR="005050D2" w:rsidP="00240730" w:rsidRDefault="005050D2">
      <w:pPr>
        <w:pStyle w:val="ECHRPara"/>
        <w:rPr>
          <w:bCs/>
        </w:rPr>
      </w:pPr>
      <w:r w:rsidRPr="00240730">
        <w:rPr>
          <w:bCs/>
        </w:rPr>
        <w:fldChar w:fldCharType="begin"/>
      </w:r>
      <w:r w:rsidRPr="00240730">
        <w:rPr>
          <w:bCs/>
        </w:rPr>
        <w:instrText xml:space="preserve"> SEQ level0 \*arabic </w:instrText>
      </w:r>
      <w:r w:rsidRPr="00240730">
        <w:rPr>
          <w:bCs/>
        </w:rPr>
        <w:fldChar w:fldCharType="separate"/>
      </w:r>
      <w:r w:rsidRPr="00240730" w:rsidR="00240730">
        <w:rPr>
          <w:bCs/>
          <w:noProof/>
        </w:rPr>
        <w:t>50</w:t>
      </w:r>
      <w:r w:rsidRPr="00240730">
        <w:rPr>
          <w:bCs/>
        </w:rPr>
        <w:fldChar w:fldCharType="end"/>
      </w:r>
      <w:bookmarkEnd w:id="28"/>
      <w:r w:rsidRPr="00240730">
        <w:rPr>
          <w:bCs/>
        </w:rPr>
        <w:t xml:space="preserve">.  On 28 November 2008 the </w:t>
      </w:r>
      <w:proofErr w:type="spellStart"/>
      <w:r w:rsidRPr="00240730">
        <w:rPr>
          <w:bCs/>
        </w:rPr>
        <w:t>Kronstadt</w:t>
      </w:r>
      <w:proofErr w:type="spellEnd"/>
      <w:r w:rsidRPr="00240730">
        <w:rPr>
          <w:bCs/>
        </w:rPr>
        <w:t xml:space="preserve"> District Court </w:t>
      </w:r>
      <w:r w:rsidRPr="00240730" w:rsidR="00D83615">
        <w:rPr>
          <w:bCs/>
        </w:rPr>
        <w:t xml:space="preserve">allowed </w:t>
      </w:r>
      <w:r w:rsidRPr="00240730" w:rsidR="003F37D6">
        <w:rPr>
          <w:bCs/>
        </w:rPr>
        <w:t>the applicant</w:t>
      </w:r>
      <w:r w:rsidRPr="00240730" w:rsidR="00240730">
        <w:rPr>
          <w:bCs/>
        </w:rPr>
        <w:t>’</w:t>
      </w:r>
      <w:r w:rsidRPr="00240730" w:rsidR="003F37D6">
        <w:rPr>
          <w:bCs/>
        </w:rPr>
        <w:t>s claims for unpaid wages for July</w:t>
      </w:r>
      <w:r w:rsidRPr="00240730" w:rsidR="00D83615">
        <w:rPr>
          <w:bCs/>
        </w:rPr>
        <w:t xml:space="preserve"> to </w:t>
      </w:r>
      <w:r w:rsidRPr="00240730" w:rsidR="003F37D6">
        <w:rPr>
          <w:bCs/>
        </w:rPr>
        <w:t xml:space="preserve">November 2008. </w:t>
      </w:r>
      <w:r w:rsidRPr="00240730" w:rsidR="006808FD">
        <w:rPr>
          <w:bCs/>
        </w:rPr>
        <w:t>As in the earlier set of proceedings</w:t>
      </w:r>
      <w:r w:rsidRPr="00240730" w:rsidR="003F37D6">
        <w:rPr>
          <w:bCs/>
        </w:rPr>
        <w:t xml:space="preserve"> </w:t>
      </w:r>
      <w:r w:rsidRPr="00240730" w:rsidR="006808FD">
        <w:rPr>
          <w:bCs/>
        </w:rPr>
        <w:t>(see paragraph </w:t>
      </w:r>
      <w:r w:rsidRPr="00240730" w:rsidR="006808FD">
        <w:rPr>
          <w:bCs/>
        </w:rPr>
        <w:fldChar w:fldCharType="begin"/>
      </w:r>
      <w:r w:rsidRPr="00240730" w:rsidR="006808FD">
        <w:rPr>
          <w:bCs/>
        </w:rPr>
        <w:instrText xml:space="preserve"> REF SmirnovJudgmentFGUPliable20112008 \h </w:instrText>
      </w:r>
      <w:r w:rsidRPr="00240730" w:rsidR="006808FD">
        <w:rPr>
          <w:bCs/>
        </w:rPr>
      </w:r>
      <w:r w:rsidRPr="00240730" w:rsidR="006808FD">
        <w:rPr>
          <w:bCs/>
        </w:rPr>
        <w:fldChar w:fldCharType="separate"/>
      </w:r>
      <w:r w:rsidRPr="00240730" w:rsidR="00240730">
        <w:rPr>
          <w:noProof/>
        </w:rPr>
        <w:t>48</w:t>
      </w:r>
      <w:r w:rsidRPr="00240730" w:rsidR="006808FD">
        <w:rPr>
          <w:bCs/>
        </w:rPr>
        <w:fldChar w:fldCharType="end"/>
      </w:r>
      <w:r w:rsidRPr="00240730" w:rsidR="006808FD">
        <w:rPr>
          <w:bCs/>
        </w:rPr>
        <w:t xml:space="preserve"> above), it found that, a</w:t>
      </w:r>
      <w:r w:rsidRPr="00240730" w:rsidR="003F37D6">
        <w:rPr>
          <w:bCs/>
        </w:rPr>
        <w:t>s the transfer of title to the FGUP</w:t>
      </w:r>
      <w:r w:rsidRPr="00240730" w:rsidR="00240730">
        <w:rPr>
          <w:bCs/>
        </w:rPr>
        <w:t>’</w:t>
      </w:r>
      <w:r w:rsidRPr="00240730" w:rsidR="003F37D6">
        <w:rPr>
          <w:bCs/>
        </w:rPr>
        <w:t>s assets had not taken place as a result of the invalid</w:t>
      </w:r>
      <w:r w:rsidRPr="00240730" w:rsidR="0047262E">
        <w:rPr>
          <w:bCs/>
        </w:rPr>
        <w:t>ity of the</w:t>
      </w:r>
      <w:r w:rsidRPr="00240730" w:rsidR="003F37D6">
        <w:rPr>
          <w:bCs/>
        </w:rPr>
        <w:t xml:space="preserve"> </w:t>
      </w:r>
      <w:r w:rsidRPr="00240730" w:rsidR="00F9550F">
        <w:rPr>
          <w:bCs/>
        </w:rPr>
        <w:t>transaction</w:t>
      </w:r>
      <w:r w:rsidRPr="00240730" w:rsidR="003F37D6">
        <w:rPr>
          <w:bCs/>
        </w:rPr>
        <w:t xml:space="preserve">, the </w:t>
      </w:r>
      <w:r w:rsidRPr="00240730" w:rsidR="00174BF0">
        <w:rPr>
          <w:bCs/>
        </w:rPr>
        <w:t xml:space="preserve">OAO had not acquired </w:t>
      </w:r>
      <w:r w:rsidRPr="00240730" w:rsidR="00C55781">
        <w:rPr>
          <w:bCs/>
        </w:rPr>
        <w:t xml:space="preserve">the </w:t>
      </w:r>
      <w:r w:rsidRPr="00240730" w:rsidR="00174BF0">
        <w:rPr>
          <w:bCs/>
        </w:rPr>
        <w:t>employer</w:t>
      </w:r>
      <w:r w:rsidRPr="00240730" w:rsidR="00240730">
        <w:rPr>
          <w:bCs/>
        </w:rPr>
        <w:t>’</w:t>
      </w:r>
      <w:r w:rsidRPr="00240730" w:rsidR="00174BF0">
        <w:rPr>
          <w:bCs/>
        </w:rPr>
        <w:t>s rights and obligations</w:t>
      </w:r>
      <w:r w:rsidRPr="00240730" w:rsidR="006808FD">
        <w:rPr>
          <w:bCs/>
        </w:rPr>
        <w:t xml:space="preserve"> </w:t>
      </w:r>
      <w:r w:rsidRPr="00240730" w:rsidR="00D83615">
        <w:rPr>
          <w:bCs/>
        </w:rPr>
        <w:t xml:space="preserve">under </w:t>
      </w:r>
      <w:r w:rsidRPr="00240730" w:rsidR="006808FD">
        <w:rPr>
          <w:bCs/>
        </w:rPr>
        <w:t>the applicant</w:t>
      </w:r>
      <w:r w:rsidRPr="00240730" w:rsidR="00240730">
        <w:rPr>
          <w:bCs/>
        </w:rPr>
        <w:t>’</w:t>
      </w:r>
      <w:r w:rsidRPr="00240730" w:rsidR="00D83615">
        <w:rPr>
          <w:bCs/>
        </w:rPr>
        <w:t>s contract</w:t>
      </w:r>
      <w:r w:rsidRPr="00240730" w:rsidR="00C55781">
        <w:rPr>
          <w:bCs/>
        </w:rPr>
        <w:t xml:space="preserve"> of employment</w:t>
      </w:r>
      <w:r w:rsidRPr="00240730" w:rsidR="00174BF0">
        <w:rPr>
          <w:bCs/>
        </w:rPr>
        <w:t>. Accordingl</w:t>
      </w:r>
      <w:r w:rsidRPr="00240730" w:rsidR="00497C7B">
        <w:rPr>
          <w:bCs/>
        </w:rPr>
        <w:t xml:space="preserve">y, his </w:t>
      </w:r>
      <w:r w:rsidRPr="00240730" w:rsidR="003F37D6">
        <w:rPr>
          <w:bCs/>
        </w:rPr>
        <w:t xml:space="preserve">employment with the FGUP </w:t>
      </w:r>
      <w:r w:rsidRPr="00240730" w:rsidR="00174BF0">
        <w:rPr>
          <w:bCs/>
        </w:rPr>
        <w:t>had not been discontinued</w:t>
      </w:r>
      <w:r w:rsidRPr="00240730" w:rsidR="00497C7B">
        <w:rPr>
          <w:bCs/>
        </w:rPr>
        <w:t>, and</w:t>
      </w:r>
      <w:r w:rsidRPr="00240730" w:rsidR="00174BF0">
        <w:rPr>
          <w:bCs/>
        </w:rPr>
        <w:t xml:space="preserve"> the FGUP was liable to pay him wages. </w:t>
      </w:r>
      <w:r w:rsidRPr="00240730">
        <w:rPr>
          <w:bCs/>
        </w:rPr>
        <w:t>The court further held as follows:</w:t>
      </w:r>
    </w:p>
    <w:p w:rsidRPr="00240730" w:rsidR="00377D0B" w:rsidP="00240730" w:rsidRDefault="005050D2">
      <w:pPr>
        <w:pStyle w:val="ECHRParaQuote"/>
      </w:pPr>
      <w:r w:rsidRPr="00240730">
        <w:t xml:space="preserve">“The court </w:t>
      </w:r>
      <w:r w:rsidRPr="00240730" w:rsidR="00580D73">
        <w:t xml:space="preserve">further </w:t>
      </w:r>
      <w:r w:rsidRPr="00240730">
        <w:t xml:space="preserve">rejects the </w:t>
      </w:r>
      <w:r w:rsidRPr="00240730" w:rsidR="00977428">
        <w:t>[respondent FGUP</w:t>
      </w:r>
      <w:r w:rsidRPr="00240730" w:rsidR="00240730">
        <w:t>’</w:t>
      </w:r>
      <w:r w:rsidRPr="00240730">
        <w:t>s</w:t>
      </w:r>
      <w:r w:rsidRPr="00240730" w:rsidR="00977428">
        <w:t>]</w:t>
      </w:r>
      <w:r w:rsidRPr="00240730">
        <w:t xml:space="preserve"> argument about the </w:t>
      </w:r>
      <w:r w:rsidRPr="00240730" w:rsidR="00580D73">
        <w:t>[</w:t>
      </w:r>
      <w:r w:rsidRPr="00240730">
        <w:t>OAO</w:t>
      </w:r>
      <w:r w:rsidRPr="00240730" w:rsidR="00240730">
        <w:t>’</w:t>
      </w:r>
      <w:r w:rsidRPr="00240730">
        <w:t>s</w:t>
      </w:r>
      <w:r w:rsidRPr="00240730" w:rsidR="00580D73">
        <w:t>]</w:t>
      </w:r>
      <w:r w:rsidRPr="00240730">
        <w:t xml:space="preserve"> responsibility </w:t>
      </w:r>
      <w:r w:rsidRPr="00240730" w:rsidR="00580D73">
        <w:t xml:space="preserve">to pay [the applicant] wages and allowances, as, </w:t>
      </w:r>
      <w:r w:rsidRPr="00240730" w:rsidR="00174BF0">
        <w:t xml:space="preserve">[given] the </w:t>
      </w:r>
      <w:r w:rsidRPr="00240730" w:rsidR="00580D73">
        <w:t xml:space="preserve">unlawfulness of the transfer of duties and obligations from the FGUP to the OAO, there </w:t>
      </w:r>
      <w:r w:rsidRPr="00240730" w:rsidR="00E532F7">
        <w:t>are</w:t>
      </w:r>
      <w:r w:rsidRPr="00240730" w:rsidR="00580D73">
        <w:t xml:space="preserve"> no ground</w:t>
      </w:r>
      <w:r w:rsidRPr="00240730" w:rsidR="00E532F7">
        <w:t>s</w:t>
      </w:r>
      <w:r w:rsidRPr="00240730" w:rsidR="00580D73">
        <w:t xml:space="preserve"> for the latter to calculate </w:t>
      </w:r>
      <w:r w:rsidRPr="00240730" w:rsidR="00174BF0">
        <w:t xml:space="preserve">and </w:t>
      </w:r>
      <w:r w:rsidRPr="00240730" w:rsidR="00580D73">
        <w:t>pay the above amounts to [the applicant]</w:t>
      </w:r>
      <w:r w:rsidRPr="00240730" w:rsidR="00977428">
        <w:t>”</w:t>
      </w:r>
      <w:r w:rsidRPr="00240730" w:rsidR="00580D73">
        <w:t>.</w:t>
      </w:r>
    </w:p>
    <w:bookmarkStart w:name="SmirnovWagesReasoning28112008_NoOrder" w:id="29"/>
    <w:p w:rsidRPr="00240730" w:rsidR="00D92C2A" w:rsidP="00240730" w:rsidRDefault="00D92C2A">
      <w:pPr>
        <w:pStyle w:val="ECHRPara"/>
        <w:rPr>
          <w:bCs/>
        </w:rPr>
      </w:pPr>
      <w:r w:rsidRPr="00240730">
        <w:rPr>
          <w:bCs/>
        </w:rPr>
        <w:fldChar w:fldCharType="begin"/>
      </w:r>
      <w:r w:rsidRPr="00240730">
        <w:rPr>
          <w:bCs/>
        </w:rPr>
        <w:instrText xml:space="preserve"> SEQ level0 \*arabic </w:instrText>
      </w:r>
      <w:r w:rsidRPr="00240730">
        <w:rPr>
          <w:bCs/>
        </w:rPr>
        <w:fldChar w:fldCharType="separate"/>
      </w:r>
      <w:r w:rsidRPr="00240730" w:rsidR="00240730">
        <w:rPr>
          <w:bCs/>
          <w:noProof/>
        </w:rPr>
        <w:t>51</w:t>
      </w:r>
      <w:r w:rsidRPr="00240730">
        <w:rPr>
          <w:bCs/>
        </w:rPr>
        <w:fldChar w:fldCharType="end"/>
      </w:r>
      <w:bookmarkEnd w:id="29"/>
      <w:r w:rsidRPr="00240730">
        <w:rPr>
          <w:bCs/>
        </w:rPr>
        <w:t>.  </w:t>
      </w:r>
      <w:r w:rsidRPr="00240730" w:rsidR="00382A06">
        <w:rPr>
          <w:bCs/>
        </w:rPr>
        <w:t xml:space="preserve">The court also noted that the </w:t>
      </w:r>
      <w:r w:rsidRPr="00240730" w:rsidR="0035230E">
        <w:rPr>
          <w:bCs/>
        </w:rPr>
        <w:t>j</w:t>
      </w:r>
      <w:r w:rsidRPr="00240730" w:rsidR="00382A06">
        <w:rPr>
          <w:bCs/>
        </w:rPr>
        <w:t xml:space="preserve">ustice of the </w:t>
      </w:r>
      <w:r w:rsidRPr="00240730" w:rsidR="0035230E">
        <w:rPr>
          <w:bCs/>
        </w:rPr>
        <w:t>p</w:t>
      </w:r>
      <w:r w:rsidRPr="00240730" w:rsidR="00382A06">
        <w:rPr>
          <w:bCs/>
        </w:rPr>
        <w:t>eace of the 110</w:t>
      </w:r>
      <w:r w:rsidRPr="00240730" w:rsidR="00382A06">
        <w:rPr>
          <w:bCs/>
          <w:vertAlign w:val="superscript"/>
        </w:rPr>
        <w:t>th</w:t>
      </w:r>
      <w:r w:rsidRPr="00240730" w:rsidR="00382A06">
        <w:rPr>
          <w:bCs/>
        </w:rPr>
        <w:t xml:space="preserve"> Court Circuit </w:t>
      </w:r>
      <w:r w:rsidRPr="00240730" w:rsidR="007F235D">
        <w:rPr>
          <w:bCs/>
        </w:rPr>
        <w:t>had</w:t>
      </w:r>
      <w:r w:rsidRPr="00240730" w:rsidR="00F42FBF">
        <w:rPr>
          <w:bCs/>
        </w:rPr>
        <w:t xml:space="preserve"> </w:t>
      </w:r>
      <w:r w:rsidRPr="00240730" w:rsidR="00382A06">
        <w:rPr>
          <w:bCs/>
        </w:rPr>
        <w:t>not issue</w:t>
      </w:r>
      <w:r w:rsidRPr="00240730" w:rsidR="007F235D">
        <w:rPr>
          <w:bCs/>
        </w:rPr>
        <w:t>d</w:t>
      </w:r>
      <w:r w:rsidRPr="00240730" w:rsidR="00382A06">
        <w:rPr>
          <w:bCs/>
        </w:rPr>
        <w:t xml:space="preserve"> a court </w:t>
      </w:r>
      <w:r w:rsidRPr="00240730" w:rsidR="00E532F7">
        <w:rPr>
          <w:bCs/>
        </w:rPr>
        <w:t xml:space="preserve">order </w:t>
      </w:r>
      <w:r w:rsidRPr="00240730" w:rsidR="00382A06">
        <w:rPr>
          <w:bCs/>
        </w:rPr>
        <w:t>in the applicant</w:t>
      </w:r>
      <w:r w:rsidRPr="00240730" w:rsidR="00240730">
        <w:rPr>
          <w:bCs/>
        </w:rPr>
        <w:t>’</w:t>
      </w:r>
      <w:r w:rsidRPr="00240730" w:rsidR="00382A06">
        <w:rPr>
          <w:bCs/>
        </w:rPr>
        <w:t>s favour against the FGUP</w:t>
      </w:r>
      <w:r w:rsidRPr="00240730" w:rsidR="00497C7B">
        <w:rPr>
          <w:rStyle w:val="FootnoteReference"/>
          <w:bCs/>
        </w:rPr>
        <w:footnoteReference w:id="3"/>
      </w:r>
      <w:r w:rsidRPr="00240730" w:rsidR="00382A06">
        <w:rPr>
          <w:bCs/>
        </w:rPr>
        <w:t xml:space="preserve">. </w:t>
      </w:r>
      <w:r w:rsidRPr="00240730">
        <w:rPr>
          <w:bCs/>
        </w:rPr>
        <w:t xml:space="preserve">The court ordered </w:t>
      </w:r>
      <w:r w:rsidRPr="00240730" w:rsidR="00174BF0">
        <w:rPr>
          <w:bCs/>
        </w:rPr>
        <w:t xml:space="preserve">the FGUP </w:t>
      </w:r>
      <w:r w:rsidRPr="00240730">
        <w:rPr>
          <w:bCs/>
        </w:rPr>
        <w:t xml:space="preserve">to pay the applicant RUB 82,583.45 in respect of salary for “July and August 2008 and the period between 21 August and 28 November 2008” and </w:t>
      </w:r>
      <w:r w:rsidRPr="00240730" w:rsidR="005F39C5">
        <w:rPr>
          <w:bCs/>
        </w:rPr>
        <w:t xml:space="preserve">dismissed </w:t>
      </w:r>
      <w:r w:rsidRPr="00240730">
        <w:rPr>
          <w:bCs/>
        </w:rPr>
        <w:t>the remainder of his claims.</w:t>
      </w:r>
    </w:p>
    <w:bookmarkStart w:name="SmirnovAppealWages21012009" w:id="30"/>
    <w:p w:rsidRPr="00240730" w:rsidR="00377D0B" w:rsidP="00240730" w:rsidRDefault="00D92C2A">
      <w:pPr>
        <w:pStyle w:val="ECHRPara"/>
        <w:rPr>
          <w:bCs/>
        </w:rPr>
      </w:pPr>
      <w:r w:rsidRPr="00240730">
        <w:rPr>
          <w:bCs/>
        </w:rPr>
        <w:fldChar w:fldCharType="begin"/>
      </w:r>
      <w:r w:rsidRPr="00240730">
        <w:rPr>
          <w:bCs/>
        </w:rPr>
        <w:instrText xml:space="preserve"> SEQ level0 \*arabic </w:instrText>
      </w:r>
      <w:r w:rsidRPr="00240730">
        <w:rPr>
          <w:bCs/>
        </w:rPr>
        <w:fldChar w:fldCharType="separate"/>
      </w:r>
      <w:r w:rsidRPr="00240730" w:rsidR="00240730">
        <w:rPr>
          <w:bCs/>
          <w:noProof/>
        </w:rPr>
        <w:t>52</w:t>
      </w:r>
      <w:r w:rsidRPr="00240730">
        <w:rPr>
          <w:bCs/>
        </w:rPr>
        <w:fldChar w:fldCharType="end"/>
      </w:r>
      <w:bookmarkEnd w:id="30"/>
      <w:r w:rsidRPr="00240730">
        <w:rPr>
          <w:bCs/>
        </w:rPr>
        <w:t>.  On 21 January 2009 the St Petersburg Regional Court upheld the ju</w:t>
      </w:r>
      <w:r w:rsidRPr="00240730" w:rsidR="00964416">
        <w:rPr>
          <w:bCs/>
        </w:rPr>
        <w:t>dgment on appeal for the same reasons as in the first</w:t>
      </w:r>
      <w:r w:rsidRPr="00240730" w:rsidR="00E532F7">
        <w:rPr>
          <w:bCs/>
        </w:rPr>
        <w:t>-</w:t>
      </w:r>
      <w:r w:rsidRPr="00240730" w:rsidR="00964416">
        <w:rPr>
          <w:bCs/>
        </w:rPr>
        <w:t xml:space="preserve">instance judgment. The court </w:t>
      </w:r>
      <w:r w:rsidRPr="00240730" w:rsidR="00925505">
        <w:rPr>
          <w:bCs/>
        </w:rPr>
        <w:t>stressed</w:t>
      </w:r>
      <w:r w:rsidRPr="00240730" w:rsidR="00964416">
        <w:rPr>
          <w:bCs/>
        </w:rPr>
        <w:t>, in particular, that under Article 77 §§ 1, 2 and 3 of the Labour Code</w:t>
      </w:r>
      <w:r w:rsidRPr="00240730" w:rsidR="007F235D">
        <w:rPr>
          <w:bCs/>
        </w:rPr>
        <w:t>,</w:t>
      </w:r>
      <w:r w:rsidRPr="00240730" w:rsidR="00964416">
        <w:rPr>
          <w:bCs/>
        </w:rPr>
        <w:t xml:space="preserve"> </w:t>
      </w:r>
      <w:r w:rsidRPr="00240730" w:rsidR="002575A0">
        <w:rPr>
          <w:bCs/>
        </w:rPr>
        <w:t xml:space="preserve">a </w:t>
      </w:r>
      <w:r w:rsidRPr="00240730" w:rsidR="00964416">
        <w:rPr>
          <w:bCs/>
        </w:rPr>
        <w:t xml:space="preserve">change </w:t>
      </w:r>
      <w:r w:rsidRPr="00240730" w:rsidR="002575A0">
        <w:rPr>
          <w:bCs/>
        </w:rPr>
        <w:t xml:space="preserve">in ownership of </w:t>
      </w:r>
      <w:r w:rsidRPr="00240730" w:rsidR="00964416">
        <w:rPr>
          <w:bCs/>
        </w:rPr>
        <w:t xml:space="preserve">assets was not </w:t>
      </w:r>
      <w:r w:rsidRPr="00240730" w:rsidR="00CD35C5">
        <w:rPr>
          <w:bCs/>
        </w:rPr>
        <w:t xml:space="preserve">grounds </w:t>
      </w:r>
      <w:r w:rsidRPr="00240730" w:rsidR="00964416">
        <w:rPr>
          <w:bCs/>
        </w:rPr>
        <w:t>to discontinue</w:t>
      </w:r>
      <w:r w:rsidRPr="00240730" w:rsidR="007F235D">
        <w:rPr>
          <w:bCs/>
        </w:rPr>
        <w:t xml:space="preserve"> an</w:t>
      </w:r>
      <w:r w:rsidRPr="00240730" w:rsidR="00964416">
        <w:rPr>
          <w:bCs/>
        </w:rPr>
        <w:t xml:space="preserve"> </w:t>
      </w:r>
      <w:r w:rsidRPr="00240730" w:rsidR="002575A0">
        <w:rPr>
          <w:bCs/>
        </w:rPr>
        <w:t xml:space="preserve">employment </w:t>
      </w:r>
      <w:r w:rsidRPr="00240730" w:rsidR="00964416">
        <w:rPr>
          <w:bCs/>
        </w:rPr>
        <w:t xml:space="preserve">relationship. Domestic law </w:t>
      </w:r>
      <w:r w:rsidRPr="00240730" w:rsidR="00925505">
        <w:rPr>
          <w:bCs/>
        </w:rPr>
        <w:t xml:space="preserve">attached importance </w:t>
      </w:r>
      <w:r w:rsidRPr="00240730" w:rsidR="00964416">
        <w:rPr>
          <w:bCs/>
        </w:rPr>
        <w:t xml:space="preserve">to </w:t>
      </w:r>
      <w:r w:rsidRPr="00240730" w:rsidR="00E532F7">
        <w:rPr>
          <w:bCs/>
        </w:rPr>
        <w:t xml:space="preserve">an </w:t>
      </w:r>
      <w:r w:rsidRPr="00240730" w:rsidR="00964416">
        <w:rPr>
          <w:bCs/>
        </w:rPr>
        <w:t>employer</w:t>
      </w:r>
      <w:r w:rsidRPr="00240730" w:rsidR="00240730">
        <w:rPr>
          <w:bCs/>
        </w:rPr>
        <w:t>’</w:t>
      </w:r>
      <w:r w:rsidRPr="00240730" w:rsidR="00964416">
        <w:rPr>
          <w:bCs/>
        </w:rPr>
        <w:t xml:space="preserve">s link with </w:t>
      </w:r>
      <w:r w:rsidRPr="00240730" w:rsidR="00E532F7">
        <w:rPr>
          <w:bCs/>
        </w:rPr>
        <w:t xml:space="preserve">an </w:t>
      </w:r>
      <w:r w:rsidRPr="00240730" w:rsidR="00964416">
        <w:rPr>
          <w:bCs/>
        </w:rPr>
        <w:t xml:space="preserve">enterprise as </w:t>
      </w:r>
      <w:r w:rsidRPr="00240730" w:rsidR="00E532F7">
        <w:rPr>
          <w:bCs/>
        </w:rPr>
        <w:t xml:space="preserve">an </w:t>
      </w:r>
      <w:r w:rsidRPr="00240730" w:rsidR="00964416">
        <w:rPr>
          <w:bCs/>
        </w:rPr>
        <w:t>asset complex, irrespective of owner</w:t>
      </w:r>
      <w:r w:rsidRPr="00240730" w:rsidR="00460CD5">
        <w:rPr>
          <w:bCs/>
        </w:rPr>
        <w:t>ship</w:t>
      </w:r>
      <w:r w:rsidRPr="00240730" w:rsidR="00964416">
        <w:rPr>
          <w:bCs/>
        </w:rPr>
        <w:t>. Therefore, in the absence of an employee</w:t>
      </w:r>
      <w:r w:rsidRPr="00240730" w:rsidR="00240730">
        <w:rPr>
          <w:bCs/>
        </w:rPr>
        <w:t>’</w:t>
      </w:r>
      <w:r w:rsidRPr="00240730" w:rsidR="00964416">
        <w:rPr>
          <w:bCs/>
        </w:rPr>
        <w:t xml:space="preserve">s intention, </w:t>
      </w:r>
      <w:r w:rsidRPr="00240730" w:rsidR="002575A0">
        <w:rPr>
          <w:bCs/>
        </w:rPr>
        <w:t xml:space="preserve">a </w:t>
      </w:r>
      <w:r w:rsidRPr="00240730" w:rsidR="00964416">
        <w:rPr>
          <w:bCs/>
        </w:rPr>
        <w:t xml:space="preserve">change </w:t>
      </w:r>
      <w:r w:rsidRPr="00240730" w:rsidR="002575A0">
        <w:rPr>
          <w:bCs/>
        </w:rPr>
        <w:t xml:space="preserve">in ownership of </w:t>
      </w:r>
      <w:r w:rsidRPr="00240730" w:rsidR="00964416">
        <w:rPr>
          <w:bCs/>
        </w:rPr>
        <w:t xml:space="preserve">assets was not a reason to </w:t>
      </w:r>
      <w:r w:rsidRPr="00240730" w:rsidR="00925505">
        <w:rPr>
          <w:bCs/>
        </w:rPr>
        <w:t>discontinue</w:t>
      </w:r>
      <w:r w:rsidRPr="00240730" w:rsidR="00964416">
        <w:rPr>
          <w:bCs/>
        </w:rPr>
        <w:t xml:space="preserve"> </w:t>
      </w:r>
      <w:r w:rsidRPr="00240730" w:rsidR="00A10F6A">
        <w:rPr>
          <w:bCs/>
        </w:rPr>
        <w:t xml:space="preserve">an </w:t>
      </w:r>
      <w:r w:rsidRPr="00240730" w:rsidR="002575A0">
        <w:rPr>
          <w:bCs/>
        </w:rPr>
        <w:t>employment</w:t>
      </w:r>
      <w:r w:rsidRPr="00240730" w:rsidR="00964416">
        <w:rPr>
          <w:bCs/>
        </w:rPr>
        <w:t xml:space="preserve"> relationship at the employer</w:t>
      </w:r>
      <w:r w:rsidRPr="00240730" w:rsidR="00240730">
        <w:rPr>
          <w:bCs/>
        </w:rPr>
        <w:t>’</w:t>
      </w:r>
      <w:r w:rsidRPr="00240730" w:rsidR="00964416">
        <w:rPr>
          <w:bCs/>
        </w:rPr>
        <w:t xml:space="preserve">s initiative. </w:t>
      </w:r>
      <w:r w:rsidRPr="00240730" w:rsidR="00925505">
        <w:rPr>
          <w:bCs/>
        </w:rPr>
        <w:t>T</w:t>
      </w:r>
      <w:r w:rsidRPr="00240730" w:rsidR="00964416">
        <w:rPr>
          <w:bCs/>
        </w:rPr>
        <w:t xml:space="preserve">he </w:t>
      </w:r>
      <w:r w:rsidRPr="00240730" w:rsidR="00E532F7">
        <w:rPr>
          <w:bCs/>
        </w:rPr>
        <w:t xml:space="preserve">appellate </w:t>
      </w:r>
      <w:r w:rsidRPr="00240730" w:rsidR="00964416">
        <w:rPr>
          <w:bCs/>
        </w:rPr>
        <w:t>court concluded that the transfer</w:t>
      </w:r>
      <w:r w:rsidRPr="00240730" w:rsidR="002575A0">
        <w:rPr>
          <w:bCs/>
        </w:rPr>
        <w:t xml:space="preserve"> of assets</w:t>
      </w:r>
      <w:r w:rsidRPr="00240730" w:rsidR="00964416">
        <w:rPr>
          <w:bCs/>
        </w:rPr>
        <w:t xml:space="preserve"> from the FGUP to the OAO and, subsequently, back to the </w:t>
      </w:r>
      <w:r w:rsidRPr="00240730" w:rsidR="002575A0">
        <w:rPr>
          <w:bCs/>
        </w:rPr>
        <w:t>S</w:t>
      </w:r>
      <w:r w:rsidRPr="00240730" w:rsidR="00964416">
        <w:rPr>
          <w:bCs/>
        </w:rPr>
        <w:t>tate enterprise, was not ground</w:t>
      </w:r>
      <w:r w:rsidRPr="00240730" w:rsidR="002575A0">
        <w:rPr>
          <w:bCs/>
        </w:rPr>
        <w:t>s</w:t>
      </w:r>
      <w:r w:rsidRPr="00240730" w:rsidR="00964416">
        <w:rPr>
          <w:bCs/>
        </w:rPr>
        <w:t xml:space="preserve"> for the applicant</w:t>
      </w:r>
      <w:r w:rsidRPr="00240730" w:rsidR="00240730">
        <w:rPr>
          <w:bCs/>
        </w:rPr>
        <w:t>’</w:t>
      </w:r>
      <w:r w:rsidRPr="00240730" w:rsidR="00964416">
        <w:rPr>
          <w:bCs/>
        </w:rPr>
        <w:t>s dismissal within the meaning of the Labour Code.</w:t>
      </w:r>
    </w:p>
    <w:p w:rsidRPr="00240730" w:rsidR="009C7AF0" w:rsidP="00240730" w:rsidRDefault="009C7AF0">
      <w:pPr>
        <w:pStyle w:val="ECHRHeading4"/>
      </w:pPr>
      <w:r w:rsidRPr="00240730">
        <w:t xml:space="preserve">(b)  Cases of </w:t>
      </w:r>
      <w:r w:rsidRPr="00240730" w:rsidR="0026580F">
        <w:t xml:space="preserve">the </w:t>
      </w:r>
      <w:r w:rsidRPr="00240730">
        <w:t>six other applicants</w:t>
      </w:r>
    </w:p>
    <w:p w:rsidRPr="00240730" w:rsidR="000B07BC" w:rsidP="00240730" w:rsidRDefault="00DE3141">
      <w:pPr>
        <w:pStyle w:val="ECHRHeading5"/>
      </w:pPr>
      <w:r w:rsidRPr="00240730">
        <w:t>(</w:t>
      </w:r>
      <w:proofErr w:type="spellStart"/>
      <w:r w:rsidRPr="00240730" w:rsidR="009C7AF0">
        <w:t>i</w:t>
      </w:r>
      <w:proofErr w:type="spellEnd"/>
      <w:r w:rsidRPr="00240730">
        <w:t>)</w:t>
      </w:r>
      <w:r w:rsidRPr="00240730" w:rsidR="000B07BC">
        <w:t>  Proceedings for reinstatement of employment</w:t>
      </w:r>
    </w:p>
    <w:p w:rsidRPr="00240730" w:rsidR="000B07BC" w:rsidP="00240730" w:rsidRDefault="00E2169C">
      <w:pPr>
        <w:pStyle w:val="ECHRPara"/>
        <w:rPr>
          <w:bCs/>
        </w:rPr>
      </w:pPr>
      <w:r w:rsidRPr="00240730">
        <w:rPr>
          <w:bCs/>
        </w:rPr>
        <w:fldChar w:fldCharType="begin"/>
      </w:r>
      <w:r w:rsidRPr="00240730">
        <w:rPr>
          <w:bCs/>
        </w:rPr>
        <w:instrText xml:space="preserve"> SEQ level0 \*arabic </w:instrText>
      </w:r>
      <w:r w:rsidRPr="00240730">
        <w:rPr>
          <w:bCs/>
        </w:rPr>
        <w:fldChar w:fldCharType="separate"/>
      </w:r>
      <w:r w:rsidRPr="00240730" w:rsidR="00240730">
        <w:rPr>
          <w:bCs/>
          <w:noProof/>
        </w:rPr>
        <w:t>53</w:t>
      </w:r>
      <w:r w:rsidRPr="00240730">
        <w:rPr>
          <w:bCs/>
        </w:rPr>
        <w:fldChar w:fldCharType="end"/>
      </w:r>
      <w:r w:rsidRPr="00240730">
        <w:rPr>
          <w:bCs/>
        </w:rPr>
        <w:t>.  </w:t>
      </w:r>
      <w:r w:rsidRPr="00240730" w:rsidR="000B07BC">
        <w:rPr>
          <w:bCs/>
        </w:rPr>
        <w:t>In November 2008, pursuant to the annulment of the decisions to create the OAO and transfer the FGUP</w:t>
      </w:r>
      <w:r w:rsidRPr="00240730" w:rsidR="00240730">
        <w:rPr>
          <w:bCs/>
        </w:rPr>
        <w:t>’</w:t>
      </w:r>
      <w:r w:rsidRPr="00240730" w:rsidR="000B07BC">
        <w:rPr>
          <w:bCs/>
        </w:rPr>
        <w:t xml:space="preserve">s assets, the applicants obtained separate judgments reinstating them in their jobs with the FGUP from 21 August 2008, the date </w:t>
      </w:r>
      <w:r w:rsidRPr="00240730" w:rsidR="00E532F7">
        <w:rPr>
          <w:bCs/>
        </w:rPr>
        <w:t xml:space="preserve">of </w:t>
      </w:r>
      <w:r w:rsidRPr="00240730" w:rsidR="000B07BC">
        <w:rPr>
          <w:bCs/>
        </w:rPr>
        <w:t>their dismissal from the OAO.</w:t>
      </w:r>
    </w:p>
    <w:p w:rsidRPr="00240730" w:rsidR="000B07BC" w:rsidP="00240730" w:rsidRDefault="00DE3141">
      <w:pPr>
        <w:pStyle w:val="ECHRHeading5"/>
      </w:pPr>
      <w:r w:rsidRPr="00240730">
        <w:t>(</w:t>
      </w:r>
      <w:r w:rsidRPr="00240730" w:rsidR="009C7AF0">
        <w:t>ii</w:t>
      </w:r>
      <w:r w:rsidRPr="00240730">
        <w:t>)</w:t>
      </w:r>
      <w:r w:rsidRPr="00240730" w:rsidR="000B07BC">
        <w:t>  Proceedings for unpaid wages for August to November 2008</w:t>
      </w:r>
    </w:p>
    <w:bookmarkStart w:name="SixApplicantsWagesReasoningNov2008" w:id="31"/>
    <w:p w:rsidRPr="00240730" w:rsidR="000B07BC" w:rsidP="00240730" w:rsidRDefault="000B07BC">
      <w:pPr>
        <w:pStyle w:val="ECHRPara"/>
        <w:rPr>
          <w:bCs/>
        </w:rPr>
      </w:pPr>
      <w:r w:rsidRPr="00240730">
        <w:fldChar w:fldCharType="begin"/>
      </w:r>
      <w:r w:rsidRPr="00240730">
        <w:instrText xml:space="preserve"> SEQ level0 \*arabic </w:instrText>
      </w:r>
      <w:r w:rsidRPr="00240730">
        <w:fldChar w:fldCharType="separate"/>
      </w:r>
      <w:r w:rsidRPr="00240730" w:rsidR="00240730">
        <w:rPr>
          <w:noProof/>
        </w:rPr>
        <w:t>54</w:t>
      </w:r>
      <w:r w:rsidRPr="00240730">
        <w:fldChar w:fldCharType="end"/>
      </w:r>
      <w:bookmarkEnd w:id="31"/>
      <w:r w:rsidRPr="00240730">
        <w:t xml:space="preserve">.  On the dates specified in Appendix I </w:t>
      </w:r>
      <w:r w:rsidRPr="00240730">
        <w:rPr>
          <w:bCs/>
        </w:rPr>
        <w:t xml:space="preserve">the </w:t>
      </w:r>
      <w:proofErr w:type="spellStart"/>
      <w:r w:rsidRPr="00240730">
        <w:rPr>
          <w:bCs/>
        </w:rPr>
        <w:t>Kronstadt</w:t>
      </w:r>
      <w:proofErr w:type="spellEnd"/>
      <w:r w:rsidRPr="00240730">
        <w:rPr>
          <w:bCs/>
        </w:rPr>
        <w:t xml:space="preserve"> District Court examined the claims </w:t>
      </w:r>
      <w:r w:rsidRPr="00240730" w:rsidR="0015377F">
        <w:rPr>
          <w:bCs/>
        </w:rPr>
        <w:t xml:space="preserve">of </w:t>
      </w:r>
      <w:r w:rsidRPr="00240730" w:rsidR="0026580F">
        <w:rPr>
          <w:bCs/>
        </w:rPr>
        <w:t xml:space="preserve">the </w:t>
      </w:r>
      <w:r w:rsidRPr="00240730" w:rsidR="0015377F">
        <w:rPr>
          <w:bCs/>
        </w:rPr>
        <w:t xml:space="preserve">six applicants </w:t>
      </w:r>
      <w:r w:rsidRPr="00240730">
        <w:rPr>
          <w:bCs/>
        </w:rPr>
        <w:t>for unpaid wages and in separate judgments allowed them in part</w:t>
      </w:r>
      <w:r w:rsidRPr="00240730" w:rsidR="00382A06">
        <w:rPr>
          <w:bCs/>
        </w:rPr>
        <w:t xml:space="preserve"> for the sa</w:t>
      </w:r>
      <w:r w:rsidRPr="00240730" w:rsidR="002369EB">
        <w:rPr>
          <w:bCs/>
        </w:rPr>
        <w:t>me reasons as in the case of Mr </w:t>
      </w:r>
      <w:r w:rsidRPr="00240730" w:rsidR="00382A06">
        <w:rPr>
          <w:bCs/>
        </w:rPr>
        <w:t>Smirnov (see paragraph </w:t>
      </w:r>
      <w:r w:rsidRPr="00240730" w:rsidR="00382A06">
        <w:rPr>
          <w:bCs/>
        </w:rPr>
        <w:fldChar w:fldCharType="begin"/>
      </w:r>
      <w:r w:rsidRPr="00240730" w:rsidR="00382A06">
        <w:rPr>
          <w:bCs/>
        </w:rPr>
        <w:instrText xml:space="preserve"> REF SmirnovWagesReasoning28112008 \h </w:instrText>
      </w:r>
      <w:r w:rsidRPr="00240730" w:rsidR="00382A06">
        <w:rPr>
          <w:bCs/>
        </w:rPr>
      </w:r>
      <w:r w:rsidRPr="00240730" w:rsidR="00382A06">
        <w:rPr>
          <w:bCs/>
        </w:rPr>
        <w:fldChar w:fldCharType="separate"/>
      </w:r>
      <w:r w:rsidRPr="00240730" w:rsidR="00240730">
        <w:rPr>
          <w:bCs/>
          <w:noProof/>
        </w:rPr>
        <w:t>50</w:t>
      </w:r>
      <w:r w:rsidRPr="00240730" w:rsidR="00382A06">
        <w:rPr>
          <w:bCs/>
        </w:rPr>
        <w:fldChar w:fldCharType="end"/>
      </w:r>
      <w:r w:rsidRPr="00240730" w:rsidR="00382A06">
        <w:rPr>
          <w:bCs/>
        </w:rPr>
        <w:t xml:space="preserve"> above)</w:t>
      </w:r>
      <w:r w:rsidRPr="00240730">
        <w:rPr>
          <w:bCs/>
        </w:rPr>
        <w:t xml:space="preserve">. The court awarded them their unpaid wages from 21 August 2008 to the dates of the relevant judgments, and </w:t>
      </w:r>
      <w:r w:rsidRPr="00240730" w:rsidR="00E532F7">
        <w:rPr>
          <w:bCs/>
        </w:rPr>
        <w:t xml:space="preserve">dismissed </w:t>
      </w:r>
      <w:r w:rsidRPr="00240730">
        <w:rPr>
          <w:bCs/>
        </w:rPr>
        <w:t xml:space="preserve">the remainder of the claims. </w:t>
      </w:r>
      <w:r w:rsidRPr="00240730" w:rsidR="000918A7">
        <w:rPr>
          <w:bCs/>
        </w:rPr>
        <w:t>In particular, it</w:t>
      </w:r>
      <w:r w:rsidRPr="00240730">
        <w:rPr>
          <w:bCs/>
        </w:rPr>
        <w:t xml:space="preserve"> refused to order the FGUP to pay severance pay and unpaid wages for June to August 2008, as those claims had already been allowed </w:t>
      </w:r>
      <w:r w:rsidRPr="00240730" w:rsidR="00320D77">
        <w:rPr>
          <w:bCs/>
        </w:rPr>
        <w:t xml:space="preserve">by the </w:t>
      </w:r>
      <w:r w:rsidRPr="00240730" w:rsidR="0035230E">
        <w:rPr>
          <w:bCs/>
        </w:rPr>
        <w:t>j</w:t>
      </w:r>
      <w:r w:rsidRPr="00240730" w:rsidR="00320D77">
        <w:rPr>
          <w:bCs/>
        </w:rPr>
        <w:t xml:space="preserve">ustice of the </w:t>
      </w:r>
      <w:r w:rsidRPr="00240730" w:rsidR="0035230E">
        <w:rPr>
          <w:bCs/>
        </w:rPr>
        <w:t>p</w:t>
      </w:r>
      <w:r w:rsidRPr="00240730" w:rsidR="00320D77">
        <w:rPr>
          <w:bCs/>
        </w:rPr>
        <w:t>eace of the 110</w:t>
      </w:r>
      <w:r w:rsidRPr="00240730" w:rsidR="00320D77">
        <w:rPr>
          <w:bCs/>
          <w:vertAlign w:val="superscript"/>
        </w:rPr>
        <w:t>th</w:t>
      </w:r>
      <w:r w:rsidRPr="00240730" w:rsidR="00320D77">
        <w:rPr>
          <w:bCs/>
        </w:rPr>
        <w:t xml:space="preserve"> Court Circuit </w:t>
      </w:r>
      <w:r w:rsidRPr="00240730">
        <w:rPr>
          <w:bCs/>
        </w:rPr>
        <w:t xml:space="preserve">in the proceedings against the OAO (see </w:t>
      </w:r>
      <w:r w:rsidRPr="00240730" w:rsidR="00320D77">
        <w:rPr>
          <w:bCs/>
        </w:rPr>
        <w:t>paragraph </w:t>
      </w:r>
      <w:r w:rsidRPr="00240730" w:rsidR="00E62AA8">
        <w:rPr>
          <w:bCs/>
        </w:rPr>
        <w:fldChar w:fldCharType="begin"/>
      </w:r>
      <w:r w:rsidRPr="00240730" w:rsidR="00E62AA8">
        <w:rPr>
          <w:bCs/>
        </w:rPr>
        <w:instrText xml:space="preserve"> REF SixApplicantsWritsAgainstOAO \h </w:instrText>
      </w:r>
      <w:r w:rsidRPr="00240730" w:rsidR="00E62AA8">
        <w:rPr>
          <w:bCs/>
        </w:rPr>
      </w:r>
      <w:r w:rsidRPr="00240730" w:rsidR="00E62AA8">
        <w:rPr>
          <w:bCs/>
        </w:rPr>
        <w:fldChar w:fldCharType="separate"/>
      </w:r>
      <w:r w:rsidRPr="00240730" w:rsidR="00240730">
        <w:rPr>
          <w:bCs/>
          <w:noProof/>
        </w:rPr>
        <w:t>28</w:t>
      </w:r>
      <w:r w:rsidRPr="00240730" w:rsidR="00E62AA8">
        <w:rPr>
          <w:bCs/>
        </w:rPr>
        <w:fldChar w:fldCharType="end"/>
      </w:r>
      <w:r w:rsidRPr="00240730" w:rsidR="00977428">
        <w:rPr>
          <w:bCs/>
        </w:rPr>
        <w:t xml:space="preserve"> </w:t>
      </w:r>
      <w:r w:rsidRPr="00240730">
        <w:rPr>
          <w:bCs/>
        </w:rPr>
        <w:t>above).</w:t>
      </w:r>
      <w:r w:rsidRPr="00240730" w:rsidR="005B2CBB">
        <w:rPr>
          <w:bCs/>
        </w:rPr>
        <w:t xml:space="preserve"> The judgments were subsequently upheld on appeal and entered into force on the dates specified in Appendix I.</w:t>
      </w:r>
    </w:p>
    <w:p w:rsidRPr="00240730" w:rsidR="00D92C2A" w:rsidP="00240730" w:rsidRDefault="00E249BA">
      <w:pPr>
        <w:pStyle w:val="ECHRHeading4"/>
      </w:pPr>
      <w:r w:rsidRPr="00240730">
        <w:t>(c)  Index-linking</w:t>
      </w:r>
      <w:r w:rsidRPr="00240730" w:rsidR="00E2169C">
        <w:t xml:space="preserve"> proceedings in all cases</w:t>
      </w:r>
    </w:p>
    <w:p w:rsidRPr="00240730" w:rsidR="00E249BA" w:rsidP="00240730" w:rsidRDefault="00D92C2A">
      <w:pPr>
        <w:pStyle w:val="ECHRPara"/>
        <w:rPr>
          <w:bCs/>
        </w:rPr>
      </w:pPr>
      <w:r w:rsidRPr="00240730">
        <w:rPr>
          <w:bCs/>
        </w:rPr>
        <w:fldChar w:fldCharType="begin"/>
      </w:r>
      <w:r w:rsidRPr="00240730">
        <w:rPr>
          <w:bCs/>
        </w:rPr>
        <w:instrText xml:space="preserve"> SEQ level0 \*arabic </w:instrText>
      </w:r>
      <w:r w:rsidRPr="00240730">
        <w:rPr>
          <w:bCs/>
        </w:rPr>
        <w:fldChar w:fldCharType="separate"/>
      </w:r>
      <w:r w:rsidRPr="00240730" w:rsidR="00240730">
        <w:rPr>
          <w:bCs/>
          <w:noProof/>
        </w:rPr>
        <w:t>55</w:t>
      </w:r>
      <w:r w:rsidRPr="00240730">
        <w:rPr>
          <w:bCs/>
        </w:rPr>
        <w:fldChar w:fldCharType="end"/>
      </w:r>
      <w:r w:rsidRPr="00240730">
        <w:rPr>
          <w:bCs/>
        </w:rPr>
        <w:t>.  </w:t>
      </w:r>
      <w:r w:rsidRPr="00240730" w:rsidR="00A44A0E">
        <w:rPr>
          <w:bCs/>
        </w:rPr>
        <w:t xml:space="preserve">On 7 April 2009 the </w:t>
      </w:r>
      <w:proofErr w:type="spellStart"/>
      <w:r w:rsidRPr="00240730" w:rsidR="00CD31AB">
        <w:rPr>
          <w:bCs/>
        </w:rPr>
        <w:t>Kronstadt</w:t>
      </w:r>
      <w:proofErr w:type="spellEnd"/>
      <w:r w:rsidRPr="00240730" w:rsidR="00CD31AB">
        <w:rPr>
          <w:bCs/>
        </w:rPr>
        <w:t xml:space="preserve"> District Court</w:t>
      </w:r>
      <w:r w:rsidRPr="00240730" w:rsidR="00E249BA">
        <w:rPr>
          <w:bCs/>
        </w:rPr>
        <w:t xml:space="preserve"> </w:t>
      </w:r>
      <w:r w:rsidRPr="00240730" w:rsidR="000918A7">
        <w:rPr>
          <w:bCs/>
        </w:rPr>
        <w:t>found</w:t>
      </w:r>
      <w:r w:rsidRPr="00240730" w:rsidR="00E249BA">
        <w:rPr>
          <w:bCs/>
        </w:rPr>
        <w:t xml:space="preserve"> that the FGUP </w:t>
      </w:r>
      <w:r w:rsidRPr="00240730" w:rsidR="00E532F7">
        <w:rPr>
          <w:bCs/>
        </w:rPr>
        <w:t xml:space="preserve">had failed </w:t>
      </w:r>
      <w:r w:rsidRPr="00240730" w:rsidR="00E249BA">
        <w:rPr>
          <w:bCs/>
        </w:rPr>
        <w:t>to comply with the j</w:t>
      </w:r>
      <w:r w:rsidRPr="00240730" w:rsidR="000918A7">
        <w:rPr>
          <w:bCs/>
        </w:rPr>
        <w:t>udgment in favour of Mr Smirnov a</w:t>
      </w:r>
      <w:r w:rsidRPr="00240730" w:rsidR="00E249BA">
        <w:rPr>
          <w:bCs/>
        </w:rPr>
        <w:t xml:space="preserve">nd awarded </w:t>
      </w:r>
      <w:r w:rsidRPr="00240730" w:rsidR="000918A7">
        <w:rPr>
          <w:bCs/>
        </w:rPr>
        <w:t xml:space="preserve">him </w:t>
      </w:r>
      <w:r w:rsidRPr="00240730" w:rsidR="00E249BA">
        <w:rPr>
          <w:bCs/>
        </w:rPr>
        <w:t>a total of RUB 8,056 (EUR 183). That amount represented the index-</w:t>
      </w:r>
      <w:r w:rsidRPr="00240730" w:rsidR="000918A7">
        <w:rPr>
          <w:bCs/>
        </w:rPr>
        <w:t>linking</w:t>
      </w:r>
      <w:r w:rsidRPr="00240730" w:rsidR="00E249BA">
        <w:rPr>
          <w:bCs/>
        </w:rPr>
        <w:t xml:space="preserve"> of the award, compensation for delayed payment of the amounts awarded by the court and compensation </w:t>
      </w:r>
      <w:r w:rsidRPr="00240730" w:rsidR="00E532F7">
        <w:rPr>
          <w:bCs/>
        </w:rPr>
        <w:t xml:space="preserve">in respect </w:t>
      </w:r>
      <w:r w:rsidRPr="00240730" w:rsidR="002369EB">
        <w:rPr>
          <w:bCs/>
        </w:rPr>
        <w:t>of non</w:t>
      </w:r>
      <w:r w:rsidRPr="00240730" w:rsidR="002369EB">
        <w:rPr>
          <w:bCs/>
        </w:rPr>
        <w:noBreakHyphen/>
      </w:r>
      <w:r w:rsidRPr="00240730" w:rsidR="00E249BA">
        <w:rPr>
          <w:bCs/>
        </w:rPr>
        <w:t>pecuniary damage for the non-enf</w:t>
      </w:r>
      <w:r w:rsidRPr="00240730" w:rsidR="002369EB">
        <w:rPr>
          <w:bCs/>
        </w:rPr>
        <w:t>orcement. On 13 May 2009 the St </w:t>
      </w:r>
      <w:r w:rsidRPr="00240730" w:rsidR="00E249BA">
        <w:rPr>
          <w:bCs/>
        </w:rPr>
        <w:t>Petersburg Regional Court upheld the decision.</w:t>
      </w:r>
    </w:p>
    <w:p w:rsidRPr="00240730" w:rsidR="00E249BA" w:rsidP="00240730" w:rsidRDefault="00E249BA">
      <w:pPr>
        <w:pStyle w:val="ECHRPara"/>
        <w:rPr>
          <w:bCs/>
        </w:rPr>
      </w:pPr>
      <w:r w:rsidRPr="00240730">
        <w:rPr>
          <w:bCs/>
        </w:rPr>
        <w:fldChar w:fldCharType="begin"/>
      </w:r>
      <w:r w:rsidRPr="00240730">
        <w:rPr>
          <w:bCs/>
        </w:rPr>
        <w:instrText xml:space="preserve"> SEQ level0 \*arabic </w:instrText>
      </w:r>
      <w:r w:rsidRPr="00240730">
        <w:rPr>
          <w:bCs/>
        </w:rPr>
        <w:fldChar w:fldCharType="separate"/>
      </w:r>
      <w:r w:rsidRPr="00240730" w:rsidR="00240730">
        <w:rPr>
          <w:bCs/>
          <w:noProof/>
        </w:rPr>
        <w:t>56</w:t>
      </w:r>
      <w:r w:rsidRPr="00240730">
        <w:rPr>
          <w:bCs/>
        </w:rPr>
        <w:fldChar w:fldCharType="end"/>
      </w:r>
      <w:r w:rsidRPr="00240730">
        <w:rPr>
          <w:bCs/>
        </w:rPr>
        <w:t>.  The Government submitted in their observations that at some point the unpaid wages had been index-linked and the applicants had received compensation for non-pecuniary damage. The</w:t>
      </w:r>
      <w:r w:rsidRPr="00240730" w:rsidR="000918A7">
        <w:rPr>
          <w:bCs/>
        </w:rPr>
        <w:t xml:space="preserve"> parties</w:t>
      </w:r>
      <w:r w:rsidRPr="00240730">
        <w:rPr>
          <w:bCs/>
        </w:rPr>
        <w:t xml:space="preserve"> did not submit any further details or documents in that </w:t>
      </w:r>
      <w:r w:rsidRPr="00240730" w:rsidR="00E532F7">
        <w:rPr>
          <w:bCs/>
        </w:rPr>
        <w:t>regard</w:t>
      </w:r>
      <w:r w:rsidRPr="00240730">
        <w:rPr>
          <w:bCs/>
        </w:rPr>
        <w:t>.</w:t>
      </w:r>
    </w:p>
    <w:p w:rsidRPr="00240730" w:rsidR="000B07BC" w:rsidP="00240730" w:rsidRDefault="009C7AF0">
      <w:pPr>
        <w:pStyle w:val="ECHRHeading3"/>
      </w:pPr>
      <w:r w:rsidRPr="00240730">
        <w:t>2</w:t>
      </w:r>
      <w:r w:rsidRPr="00240730" w:rsidR="005C2039">
        <w:t>.  </w:t>
      </w:r>
      <w:r w:rsidRPr="00240730" w:rsidR="000B07BC">
        <w:t>The applicants</w:t>
      </w:r>
      <w:r w:rsidRPr="00240730" w:rsidR="00240730">
        <w:t>’</w:t>
      </w:r>
      <w:r w:rsidRPr="00240730" w:rsidR="000B07BC">
        <w:t xml:space="preserve"> dismissal in March 2009 and subsequent proceedings for damages</w:t>
      </w:r>
    </w:p>
    <w:bookmarkStart w:name="JudgmentsFGUPMarch2009severancePay" w:id="32"/>
    <w:p w:rsidRPr="00240730" w:rsidR="000B07BC" w:rsidP="00240730" w:rsidRDefault="000B07BC">
      <w:pPr>
        <w:pStyle w:val="ECHRPara"/>
        <w:rPr>
          <w:bCs/>
        </w:rPr>
      </w:pPr>
      <w:r w:rsidRPr="00240730">
        <w:fldChar w:fldCharType="begin"/>
      </w:r>
      <w:r w:rsidRPr="00240730">
        <w:instrText xml:space="preserve"> SEQ level0 \*arabic </w:instrText>
      </w:r>
      <w:r w:rsidRPr="00240730">
        <w:fldChar w:fldCharType="separate"/>
      </w:r>
      <w:r w:rsidRPr="00240730" w:rsidR="00240730">
        <w:rPr>
          <w:noProof/>
        </w:rPr>
        <w:t>57</w:t>
      </w:r>
      <w:r w:rsidRPr="00240730">
        <w:fldChar w:fldCharType="end"/>
      </w:r>
      <w:bookmarkEnd w:id="32"/>
      <w:r w:rsidRPr="00240730">
        <w:t xml:space="preserve">.  In early March 2009 the applicants were dismissed from the FGUP. After three to four weeks they received severance pay and various other payments related to their previous employment. </w:t>
      </w:r>
      <w:r w:rsidRPr="00240730" w:rsidR="000918A7">
        <w:rPr>
          <w:bCs/>
        </w:rPr>
        <w:t>Six</w:t>
      </w:r>
      <w:r w:rsidRPr="00240730" w:rsidR="00E532F7">
        <w:rPr>
          <w:bCs/>
        </w:rPr>
        <w:t xml:space="preserve"> of the</w:t>
      </w:r>
      <w:r w:rsidRPr="00240730" w:rsidR="000918A7">
        <w:rPr>
          <w:bCs/>
        </w:rPr>
        <w:t xml:space="preserve"> applicants</w:t>
      </w:r>
      <w:r w:rsidRPr="00240730">
        <w:rPr>
          <w:bCs/>
        </w:rPr>
        <w:t xml:space="preserve"> brought separate sets of proceedings claiming unpaid wages, severance pay and index-linking on those amounts. On various dates their claims were allowed in so far as they concerned the delay in payment of their severance package. They were awarded default interest and compensation for non</w:t>
      </w:r>
      <w:r w:rsidRPr="00240730" w:rsidR="00CD62F9">
        <w:rPr>
          <w:bCs/>
        </w:rPr>
        <w:noBreakHyphen/>
      </w:r>
      <w:r w:rsidRPr="00240730">
        <w:rPr>
          <w:bCs/>
        </w:rPr>
        <w:t xml:space="preserve">pecuniary damage for that period, in the amounts specified in Appendix I. The court </w:t>
      </w:r>
      <w:r w:rsidRPr="00240730" w:rsidR="00E532F7">
        <w:rPr>
          <w:bCs/>
        </w:rPr>
        <w:t xml:space="preserve">dismissed </w:t>
      </w:r>
      <w:r w:rsidRPr="00240730">
        <w:rPr>
          <w:bCs/>
        </w:rPr>
        <w:t>the remainder of their claims.</w:t>
      </w:r>
    </w:p>
    <w:p w:rsidRPr="00240730" w:rsidR="000B07BC" w:rsidP="00240730" w:rsidRDefault="00773CBB">
      <w:pPr>
        <w:pStyle w:val="ECHRHeading3"/>
      </w:pPr>
      <w:r w:rsidRPr="00240730">
        <w:t>3</w:t>
      </w:r>
      <w:r w:rsidRPr="00240730" w:rsidR="005C2039">
        <w:t>.  </w:t>
      </w:r>
      <w:r w:rsidRPr="00240730" w:rsidR="000B07BC">
        <w:t>Enforcement of the above-mentioned judgments</w:t>
      </w:r>
    </w:p>
    <w:bookmarkStart w:name="EnforcementFGUP2010" w:id="33"/>
    <w:p w:rsidRPr="00240730" w:rsidR="000B07BC" w:rsidP="00240730" w:rsidRDefault="00773CBB">
      <w:pPr>
        <w:pStyle w:val="ECHRPara"/>
        <w:rPr>
          <w:bCs/>
        </w:rPr>
      </w:pPr>
      <w:r w:rsidRPr="00240730">
        <w:rPr>
          <w:bCs/>
        </w:rPr>
        <w:fldChar w:fldCharType="begin"/>
      </w:r>
      <w:r w:rsidRPr="00240730">
        <w:rPr>
          <w:bCs/>
        </w:rPr>
        <w:instrText xml:space="preserve"> SEQ level0 \*arabic </w:instrText>
      </w:r>
      <w:r w:rsidRPr="00240730">
        <w:rPr>
          <w:bCs/>
        </w:rPr>
        <w:fldChar w:fldCharType="separate"/>
      </w:r>
      <w:r w:rsidRPr="00240730" w:rsidR="00240730">
        <w:rPr>
          <w:bCs/>
          <w:noProof/>
        </w:rPr>
        <w:t>58</w:t>
      </w:r>
      <w:r w:rsidRPr="00240730">
        <w:rPr>
          <w:bCs/>
        </w:rPr>
        <w:fldChar w:fldCharType="end"/>
      </w:r>
      <w:bookmarkEnd w:id="33"/>
      <w:r w:rsidRPr="00240730">
        <w:rPr>
          <w:bCs/>
        </w:rPr>
        <w:t>.  </w:t>
      </w:r>
      <w:r w:rsidRPr="00240730" w:rsidR="000B07BC">
        <w:rPr>
          <w:bCs/>
        </w:rPr>
        <w:t>In December 2009 the FGUP started paying the amounts awarded in both sets of proceedings, in several instalments. By 24 November 2010 they were paid in full. On 30 November 2010 the enforcement proceedings in respect of the judgments were discontinued because they had all been enforced.</w:t>
      </w:r>
    </w:p>
    <w:p w:rsidRPr="00240730" w:rsidR="00773CBB" w:rsidP="00240730" w:rsidRDefault="00773CBB">
      <w:pPr>
        <w:pStyle w:val="ECHRHeading3"/>
      </w:pPr>
      <w:r w:rsidRPr="00240730">
        <w:t>4.  Index-lin</w:t>
      </w:r>
      <w:r w:rsidRPr="00240730" w:rsidR="00FC5854">
        <w:t>k</w:t>
      </w:r>
      <w:r w:rsidRPr="00240730" w:rsidR="00DB306D">
        <w:t>ing of the awards against the FGUP</w:t>
      </w:r>
    </w:p>
    <w:p w:rsidRPr="00240730" w:rsidR="00DB306D" w:rsidP="00240730" w:rsidRDefault="00DB306D">
      <w:pPr>
        <w:pStyle w:val="ECHRHeading4"/>
      </w:pPr>
      <w:r w:rsidRPr="00240730">
        <w:t>(a)  Case of Mr Smirnov</w:t>
      </w:r>
    </w:p>
    <w:bookmarkStart w:name="IndexLinkingSmirnovFGUP11042011" w:id="34"/>
    <w:p w:rsidRPr="00240730" w:rsidR="00773CBB" w:rsidP="00240730" w:rsidRDefault="00773CBB">
      <w:pPr>
        <w:pStyle w:val="ECHRPara"/>
      </w:pPr>
      <w:r w:rsidRPr="00240730">
        <w:fldChar w:fldCharType="begin"/>
      </w:r>
      <w:r w:rsidRPr="00240730">
        <w:instrText xml:space="preserve"> SEQ level0 \*arabic </w:instrText>
      </w:r>
      <w:r w:rsidRPr="00240730">
        <w:fldChar w:fldCharType="separate"/>
      </w:r>
      <w:r w:rsidRPr="00240730" w:rsidR="00240730">
        <w:rPr>
          <w:noProof/>
        </w:rPr>
        <w:t>59</w:t>
      </w:r>
      <w:r w:rsidRPr="00240730">
        <w:fldChar w:fldCharType="end"/>
      </w:r>
      <w:bookmarkEnd w:id="34"/>
      <w:r w:rsidRPr="00240730">
        <w:t>.  According to the applicant</w:t>
      </w:r>
      <w:r w:rsidRPr="00240730" w:rsidR="00240730">
        <w:t>’</w:t>
      </w:r>
      <w:r w:rsidRPr="00240730">
        <w:t xml:space="preserve">s observations, on 11 April 2011 the </w:t>
      </w:r>
      <w:proofErr w:type="spellStart"/>
      <w:r w:rsidRPr="00240730">
        <w:rPr>
          <w:bCs/>
        </w:rPr>
        <w:t>Kronstadt</w:t>
      </w:r>
      <w:proofErr w:type="spellEnd"/>
      <w:r w:rsidRPr="00240730">
        <w:rPr>
          <w:bCs/>
        </w:rPr>
        <w:t xml:space="preserve"> District Court </w:t>
      </w:r>
      <w:r w:rsidRPr="00240730">
        <w:t xml:space="preserve">ordered </w:t>
      </w:r>
      <w:r w:rsidRPr="00240730" w:rsidR="00E532F7">
        <w:t>that</w:t>
      </w:r>
      <w:r w:rsidRPr="00240730">
        <w:t xml:space="preserve"> the award in favour of Mr Smirnov for the period of non-enforcement </w:t>
      </w:r>
      <w:r w:rsidRPr="00240730" w:rsidR="00E532F7">
        <w:t xml:space="preserve">be index-linked </w:t>
      </w:r>
      <w:r w:rsidRPr="00240730" w:rsidR="00A84AD2">
        <w:t>and obliged the FGUP to pay him RUB 12,825 under that head. The decision became final ten days later.</w:t>
      </w:r>
    </w:p>
    <w:bookmarkStart w:name="IndexLinkingFGUPSmirnovWritNotSubmitted" w:id="35"/>
    <w:p w:rsidRPr="00240730" w:rsidR="00377D0B" w:rsidP="00240730" w:rsidRDefault="00773CBB">
      <w:pPr>
        <w:pStyle w:val="ECHRPara"/>
      </w:pPr>
      <w:r w:rsidRPr="00240730">
        <w:fldChar w:fldCharType="begin"/>
      </w:r>
      <w:r w:rsidRPr="00240730">
        <w:instrText xml:space="preserve"> SEQ level0 \*arabic </w:instrText>
      </w:r>
      <w:r w:rsidRPr="00240730">
        <w:fldChar w:fldCharType="separate"/>
      </w:r>
      <w:r w:rsidRPr="00240730" w:rsidR="00240730">
        <w:rPr>
          <w:noProof/>
        </w:rPr>
        <w:t>60</w:t>
      </w:r>
      <w:r w:rsidRPr="00240730">
        <w:fldChar w:fldCharType="end"/>
      </w:r>
      <w:bookmarkEnd w:id="35"/>
      <w:r w:rsidRPr="00240730">
        <w:t>.  According to the Government</w:t>
      </w:r>
      <w:r w:rsidRPr="00240730" w:rsidR="00240730">
        <w:t>’</w:t>
      </w:r>
      <w:r w:rsidRPr="00240730" w:rsidR="00A84AD2">
        <w:t>s observations of 19 October 2011</w:t>
      </w:r>
      <w:r w:rsidRPr="00240730">
        <w:t xml:space="preserve">, the applicant received the writ of execution in respect of that judgment but </w:t>
      </w:r>
      <w:r w:rsidRPr="00240730" w:rsidR="00E532F7">
        <w:t xml:space="preserve">did </w:t>
      </w:r>
      <w:r w:rsidRPr="00240730">
        <w:t>not submit it to the bailiffs.</w:t>
      </w:r>
    </w:p>
    <w:p w:rsidRPr="00240730" w:rsidR="00773CBB" w:rsidP="00240730" w:rsidRDefault="00773CBB">
      <w:pPr>
        <w:pStyle w:val="ECHRPara"/>
      </w:pPr>
      <w:r w:rsidRPr="00240730">
        <w:fldChar w:fldCharType="begin"/>
      </w:r>
      <w:r w:rsidRPr="00240730">
        <w:instrText xml:space="preserve"> SEQ level0 \*arabic </w:instrText>
      </w:r>
      <w:r w:rsidRPr="00240730">
        <w:fldChar w:fldCharType="separate"/>
      </w:r>
      <w:r w:rsidRPr="00240730" w:rsidR="00240730">
        <w:rPr>
          <w:noProof/>
        </w:rPr>
        <w:t>61</w:t>
      </w:r>
      <w:r w:rsidRPr="00240730">
        <w:fldChar w:fldCharType="end"/>
      </w:r>
      <w:r w:rsidRPr="00240730">
        <w:t>.  It is unclear whether the decision was enforced.</w:t>
      </w:r>
    </w:p>
    <w:p w:rsidRPr="00240730" w:rsidR="00DB306D" w:rsidP="00240730" w:rsidRDefault="00DB306D">
      <w:pPr>
        <w:pStyle w:val="ECHRHeading4"/>
      </w:pPr>
      <w:r w:rsidRPr="00240730">
        <w:t xml:space="preserve">(b)  Cases of Ms </w:t>
      </w:r>
      <w:proofErr w:type="spellStart"/>
      <w:r w:rsidRPr="00240730">
        <w:t>Kudryashova</w:t>
      </w:r>
      <w:proofErr w:type="spellEnd"/>
      <w:r w:rsidRPr="00240730">
        <w:t xml:space="preserve"> and Mr </w:t>
      </w:r>
      <w:proofErr w:type="spellStart"/>
      <w:r w:rsidRPr="00240730">
        <w:t>Tomilin</w:t>
      </w:r>
      <w:proofErr w:type="spellEnd"/>
    </w:p>
    <w:bookmarkStart w:name="IndexLinking_Kudryashova_Tomilin" w:id="36"/>
    <w:p w:rsidRPr="00240730" w:rsidR="00DB306D" w:rsidP="00240730" w:rsidRDefault="00DB306D">
      <w:pPr>
        <w:pStyle w:val="ECHRPara"/>
      </w:pPr>
      <w:r w:rsidRPr="00240730">
        <w:fldChar w:fldCharType="begin"/>
      </w:r>
      <w:r w:rsidRPr="00240730">
        <w:instrText xml:space="preserve"> SEQ level0 \*arabic </w:instrText>
      </w:r>
      <w:r w:rsidRPr="00240730">
        <w:fldChar w:fldCharType="separate"/>
      </w:r>
      <w:r w:rsidRPr="00240730" w:rsidR="00240730">
        <w:rPr>
          <w:noProof/>
        </w:rPr>
        <w:t>62</w:t>
      </w:r>
      <w:r w:rsidRPr="00240730">
        <w:fldChar w:fldCharType="end"/>
      </w:r>
      <w:bookmarkEnd w:id="36"/>
      <w:r w:rsidRPr="00240730">
        <w:t xml:space="preserve">.  The Government submitted copies of claims </w:t>
      </w:r>
      <w:r w:rsidRPr="00240730" w:rsidR="009743FB">
        <w:t xml:space="preserve">by Ms </w:t>
      </w:r>
      <w:proofErr w:type="spellStart"/>
      <w:r w:rsidRPr="00240730" w:rsidR="009743FB">
        <w:t>Kudryashova</w:t>
      </w:r>
      <w:proofErr w:type="spellEnd"/>
      <w:r w:rsidRPr="00240730" w:rsidR="009743FB">
        <w:t xml:space="preserve"> and Mr </w:t>
      </w:r>
      <w:proofErr w:type="spellStart"/>
      <w:r w:rsidRPr="00240730" w:rsidR="009743FB">
        <w:t>Tomilin</w:t>
      </w:r>
      <w:proofErr w:type="spellEnd"/>
      <w:r w:rsidRPr="00240730" w:rsidR="009743FB">
        <w:t xml:space="preserve"> </w:t>
      </w:r>
      <w:r w:rsidRPr="00240730">
        <w:t xml:space="preserve">for </w:t>
      </w:r>
      <w:r w:rsidRPr="00240730" w:rsidR="009743FB">
        <w:t xml:space="preserve">the </w:t>
      </w:r>
      <w:r w:rsidRPr="00240730">
        <w:t xml:space="preserve">index-linking of the </w:t>
      </w:r>
      <w:r w:rsidRPr="00240730" w:rsidR="00A102DF">
        <w:t xml:space="preserve">initial </w:t>
      </w:r>
      <w:r w:rsidRPr="00240730">
        <w:t xml:space="preserve">awards against the FGUP, </w:t>
      </w:r>
      <w:r w:rsidRPr="00240730" w:rsidR="009743FB">
        <w:t>which appear to have been</w:t>
      </w:r>
      <w:r w:rsidRPr="00240730">
        <w:t xml:space="preserve"> lodged with the domestic court in January 2011 and late December 2010 respectively.</w:t>
      </w:r>
      <w:r w:rsidRPr="00240730" w:rsidR="009454E9">
        <w:t xml:space="preserve"> The parties did not </w:t>
      </w:r>
      <w:r w:rsidRPr="00240730" w:rsidR="00A4623F">
        <w:t xml:space="preserve">provide </w:t>
      </w:r>
      <w:r w:rsidRPr="00240730" w:rsidR="009454E9">
        <w:t xml:space="preserve">copies of the </w:t>
      </w:r>
      <w:r w:rsidRPr="00240730" w:rsidR="009743FB">
        <w:t xml:space="preserve">subsequent </w:t>
      </w:r>
      <w:r w:rsidRPr="00240730" w:rsidR="009454E9">
        <w:t>court decisions or information o</w:t>
      </w:r>
      <w:r w:rsidRPr="00240730" w:rsidR="00A102DF">
        <w:t>n</w:t>
      </w:r>
      <w:r w:rsidRPr="00240730" w:rsidR="009454E9">
        <w:t xml:space="preserve"> </w:t>
      </w:r>
      <w:r w:rsidRPr="00240730" w:rsidR="009743FB">
        <w:t xml:space="preserve">enforcement </w:t>
      </w:r>
      <w:r w:rsidRPr="00240730" w:rsidR="009454E9">
        <w:t xml:space="preserve">of </w:t>
      </w:r>
      <w:r w:rsidRPr="00240730" w:rsidR="009743FB">
        <w:t xml:space="preserve">the </w:t>
      </w:r>
      <w:r w:rsidRPr="00240730" w:rsidR="009454E9">
        <w:t>relevant court awards, if any.</w:t>
      </w:r>
    </w:p>
    <w:p w:rsidRPr="00240730" w:rsidR="000B07BC" w:rsidP="00240730" w:rsidRDefault="005C2039">
      <w:pPr>
        <w:pStyle w:val="ECHRHeading3"/>
      </w:pPr>
      <w:r w:rsidRPr="00240730">
        <w:t>5.</w:t>
      </w:r>
      <w:r w:rsidRPr="00240730" w:rsidR="000B07BC">
        <w:t xml:space="preserve">  Decision to discontinue insolvency proceedings </w:t>
      </w:r>
      <w:r w:rsidRPr="00240730" w:rsidR="006964B9">
        <w:t xml:space="preserve">in respect of the FGUP </w:t>
      </w:r>
      <w:r w:rsidRPr="00240730" w:rsidR="000B07BC">
        <w:t>and subsequent developments</w:t>
      </w:r>
    </w:p>
    <w:bookmarkStart w:name="Let16072009CommanderInChiefMeasures" w:id="37"/>
    <w:p w:rsidRPr="00240730" w:rsidR="00377D0B" w:rsidP="00240730" w:rsidRDefault="00265BFC">
      <w:pPr>
        <w:pStyle w:val="ECHRPara"/>
      </w:pPr>
      <w:r w:rsidRPr="00240730">
        <w:fldChar w:fldCharType="begin"/>
      </w:r>
      <w:r w:rsidRPr="00240730">
        <w:instrText xml:space="preserve"> SEQ level0 \*arabic </w:instrText>
      </w:r>
      <w:r w:rsidRPr="00240730">
        <w:fldChar w:fldCharType="separate"/>
      </w:r>
      <w:r w:rsidRPr="00240730" w:rsidR="00240730">
        <w:rPr>
          <w:noProof/>
        </w:rPr>
        <w:t>63</w:t>
      </w:r>
      <w:r w:rsidRPr="00240730">
        <w:fldChar w:fldCharType="end"/>
      </w:r>
      <w:bookmarkEnd w:id="37"/>
      <w:r w:rsidRPr="00240730">
        <w:t>.  </w:t>
      </w:r>
      <w:r w:rsidRPr="00240730" w:rsidR="00C91143">
        <w:t>By</w:t>
      </w:r>
      <w:r w:rsidRPr="00240730" w:rsidR="00D430B1">
        <w:t xml:space="preserve"> a</w:t>
      </w:r>
      <w:r w:rsidRPr="00240730" w:rsidR="00C91143">
        <w:t xml:space="preserve"> letter of 16 July 2009 the</w:t>
      </w:r>
      <w:r w:rsidRPr="00240730" w:rsidR="000B07BC">
        <w:t xml:space="preserve"> Commander-in-Chief of the Russian Navy advised the FGUP</w:t>
      </w:r>
      <w:r w:rsidRPr="00240730" w:rsidR="00240730">
        <w:t>’</w:t>
      </w:r>
      <w:r w:rsidRPr="00240730" w:rsidR="000B07BC">
        <w:t>s employees</w:t>
      </w:r>
      <w:r w:rsidRPr="00240730" w:rsidR="00240730">
        <w:t>’</w:t>
      </w:r>
      <w:r w:rsidRPr="00240730" w:rsidR="000B07BC">
        <w:t xml:space="preserve"> representatives that the Marine Plant was included in a list of organisations of strategic importance entitled to receive a subsidy from the federal budget between 2008 and 2010 in order to resolve the FGUP</w:t>
      </w:r>
      <w:r w:rsidRPr="00240730" w:rsidR="00240730">
        <w:t>’</w:t>
      </w:r>
      <w:r w:rsidRPr="00240730" w:rsidR="000B07BC">
        <w:t xml:space="preserve">s financial difficulties. </w:t>
      </w:r>
      <w:r w:rsidRPr="00240730" w:rsidR="00C91143">
        <w:t xml:space="preserve">The Ministry of </w:t>
      </w:r>
      <w:r w:rsidRPr="00240730" w:rsidR="00977428">
        <w:t>Defence</w:t>
      </w:r>
      <w:r w:rsidRPr="00240730" w:rsidR="00C91143">
        <w:t xml:space="preserve"> was taking all possible measures to discontinue the insolvency proceedings in respect of the FGUP, </w:t>
      </w:r>
      <w:r w:rsidRPr="00240730" w:rsidR="00977428">
        <w:t>including those aimed at payment of the enterprise</w:t>
      </w:r>
      <w:r w:rsidRPr="00240730" w:rsidR="00240730">
        <w:t>’</w:t>
      </w:r>
      <w:r w:rsidRPr="00240730" w:rsidR="00977428">
        <w:t xml:space="preserve">s debts and </w:t>
      </w:r>
      <w:r w:rsidRPr="00240730" w:rsidR="00F42FBF">
        <w:t>restoring</w:t>
      </w:r>
      <w:r w:rsidRPr="00240730" w:rsidR="00977428">
        <w:t xml:space="preserve"> </w:t>
      </w:r>
      <w:r w:rsidRPr="00240730" w:rsidR="00D430B1">
        <w:t>its</w:t>
      </w:r>
      <w:r w:rsidRPr="00240730" w:rsidR="00977428">
        <w:t xml:space="preserve"> solvability.</w:t>
      </w:r>
    </w:p>
    <w:bookmarkStart w:name="FS_FGUP_and_Creditors_25102010" w:id="38"/>
    <w:p w:rsidRPr="00240730" w:rsidR="00377D0B" w:rsidP="00240730" w:rsidRDefault="00C91143">
      <w:pPr>
        <w:pStyle w:val="ECHRPara"/>
      </w:pPr>
      <w:r w:rsidRPr="00240730">
        <w:fldChar w:fldCharType="begin"/>
      </w:r>
      <w:r w:rsidRPr="00240730">
        <w:instrText xml:space="preserve"> SEQ level0 \*arabic </w:instrText>
      </w:r>
      <w:r w:rsidRPr="00240730">
        <w:fldChar w:fldCharType="separate"/>
      </w:r>
      <w:r w:rsidRPr="00240730" w:rsidR="00240730">
        <w:rPr>
          <w:noProof/>
        </w:rPr>
        <w:t>64</w:t>
      </w:r>
      <w:r w:rsidRPr="00240730">
        <w:fldChar w:fldCharType="end"/>
      </w:r>
      <w:bookmarkEnd w:id="38"/>
      <w:r w:rsidRPr="00240730">
        <w:t>.  </w:t>
      </w:r>
      <w:r w:rsidRPr="00240730" w:rsidR="000B07BC">
        <w:t xml:space="preserve">In 2010 the insolvency proceedings in respect of the </w:t>
      </w:r>
      <w:r w:rsidRPr="00240730" w:rsidR="008C2A89">
        <w:t xml:space="preserve">FGUP </w:t>
      </w:r>
      <w:r w:rsidRPr="00240730" w:rsidR="000B07BC">
        <w:t>were discontinued owing to a settlement bet</w:t>
      </w:r>
      <w:r w:rsidRPr="00240730" w:rsidR="00652E95">
        <w:t>ween the FGUP and its creditors. The owner of the debtor</w:t>
      </w:r>
      <w:r w:rsidRPr="00240730" w:rsidR="00240730">
        <w:t>’</w:t>
      </w:r>
      <w:r w:rsidRPr="00240730" w:rsidR="00652E95">
        <w:t xml:space="preserve">s assets approved of the settlement. On 25 February 2010 </w:t>
      </w:r>
      <w:r w:rsidRPr="00240730" w:rsidR="000B07BC">
        <w:t xml:space="preserve">the Commercial Court of St Petersburg and the Leningrad Region </w:t>
      </w:r>
      <w:r w:rsidRPr="00240730" w:rsidR="00652E95">
        <w:t>approved the friendly settlement</w:t>
      </w:r>
      <w:r w:rsidRPr="00240730" w:rsidR="000B07BC">
        <w:t>.</w:t>
      </w:r>
    </w:p>
    <w:p w:rsidRPr="00240730" w:rsidR="00E2289C" w:rsidP="00240730" w:rsidRDefault="00336CA8">
      <w:pPr>
        <w:pStyle w:val="ECHRPara"/>
      </w:pPr>
      <w:r w:rsidRPr="00240730">
        <w:fldChar w:fldCharType="begin"/>
      </w:r>
      <w:r w:rsidRPr="00240730">
        <w:instrText xml:space="preserve"> SEQ level0 \*arabic </w:instrText>
      </w:r>
      <w:r w:rsidRPr="00240730">
        <w:fldChar w:fldCharType="separate"/>
      </w:r>
      <w:r w:rsidRPr="00240730" w:rsidR="00240730">
        <w:rPr>
          <w:noProof/>
        </w:rPr>
        <w:t>65</w:t>
      </w:r>
      <w:r w:rsidRPr="00240730">
        <w:fldChar w:fldCharType="end"/>
      </w:r>
      <w:r w:rsidRPr="00240730">
        <w:t>.  </w:t>
      </w:r>
      <w:r w:rsidRPr="00240730" w:rsidR="000B07BC">
        <w:t xml:space="preserve">It </w:t>
      </w:r>
      <w:r w:rsidRPr="00240730" w:rsidR="005658A4">
        <w:t>further</w:t>
      </w:r>
      <w:r w:rsidRPr="00240730" w:rsidR="000B07BC">
        <w:t xml:space="preserve"> appears that the Marine Plant was in operation until 2015, when it was restructured and transformed into a different legal entity (a newly created joint-stock company). On 20 April 2015 the restructuring of the company was recorded in the Register of Legal Entities, and the FGUP ceased to exist.</w:t>
      </w:r>
    </w:p>
    <w:p w:rsidRPr="00240730" w:rsidR="000B07BC" w:rsidP="00240730" w:rsidRDefault="00014566">
      <w:pPr>
        <w:pStyle w:val="ECHRHeading1"/>
      </w:pPr>
      <w:r w:rsidRPr="00240730">
        <w:t>II.</w:t>
      </w:r>
      <w:proofErr w:type="gramStart"/>
      <w:r w:rsidRPr="00240730">
        <w:t>  RELEVANT</w:t>
      </w:r>
      <w:proofErr w:type="gramEnd"/>
      <w:r w:rsidRPr="00240730">
        <w:t xml:space="preserve"> DOMESTIC LAW</w:t>
      </w:r>
    </w:p>
    <w:p w:rsidRPr="00240730" w:rsidR="00B50619" w:rsidP="00240730" w:rsidRDefault="00B50619">
      <w:pPr>
        <w:pStyle w:val="ECHRHeading2"/>
      </w:pPr>
      <w:r w:rsidRPr="00240730">
        <w:t>A.  </w:t>
      </w:r>
      <w:r w:rsidRPr="00240730" w:rsidR="002F2CAE">
        <w:t>Invalid</w:t>
      </w:r>
      <w:r w:rsidRPr="00240730">
        <w:t xml:space="preserve"> transactions</w:t>
      </w:r>
    </w:p>
    <w:bookmarkStart w:name="A167CCodeVoidedTransaction" w:id="39"/>
    <w:p w:rsidRPr="00240730" w:rsidR="00A771A2" w:rsidP="00240730" w:rsidRDefault="0089770A">
      <w:pPr>
        <w:pStyle w:val="ECHRPara"/>
        <w:rPr>
          <w:rFonts w:ascii="Times New Roman" w:hAnsi="Times New Roman" w:eastAsia="Times New Roman" w:cs="Times New Roman"/>
          <w:szCs w:val="24"/>
        </w:rPr>
      </w:pPr>
      <w:r w:rsidRPr="00240730">
        <w:fldChar w:fldCharType="begin"/>
      </w:r>
      <w:r w:rsidRPr="00240730">
        <w:instrText xml:space="preserve"> SEQ level0 \*arabic </w:instrText>
      </w:r>
      <w:r w:rsidRPr="00240730">
        <w:fldChar w:fldCharType="separate"/>
      </w:r>
      <w:r w:rsidRPr="00240730" w:rsidR="00240730">
        <w:rPr>
          <w:noProof/>
        </w:rPr>
        <w:t>66</w:t>
      </w:r>
      <w:r w:rsidRPr="00240730">
        <w:fldChar w:fldCharType="end"/>
      </w:r>
      <w:bookmarkEnd w:id="39"/>
      <w:r w:rsidRPr="00240730" w:rsidR="00336CA8">
        <w:t>.</w:t>
      </w:r>
      <w:r w:rsidRPr="00240730" w:rsidR="00C2206A">
        <w:t>  </w:t>
      </w:r>
      <w:r w:rsidRPr="00240730" w:rsidR="00EE00E4">
        <w:t>Article 167 of the Civil Code</w:t>
      </w:r>
      <w:r w:rsidRPr="00240730" w:rsidR="002F2CAE">
        <w:t xml:space="preserve"> (General</w:t>
      </w:r>
      <w:r w:rsidRPr="00240730" w:rsidR="002F2CAE">
        <w:rPr>
          <w:rFonts w:ascii="Times New Roman" w:hAnsi="Times New Roman" w:eastAsia="Times New Roman" w:cs="Times New Roman"/>
          <w:szCs w:val="24"/>
        </w:rPr>
        <w:t xml:space="preserve"> Provisions on</w:t>
      </w:r>
      <w:r w:rsidRPr="00240730" w:rsidR="00A30EAC">
        <w:rPr>
          <w:rFonts w:ascii="Times New Roman" w:hAnsi="Times New Roman" w:eastAsia="Times New Roman" w:cs="Times New Roman"/>
          <w:szCs w:val="24"/>
        </w:rPr>
        <w:t xml:space="preserve"> the</w:t>
      </w:r>
      <w:r w:rsidRPr="00240730" w:rsidR="002F2CAE">
        <w:rPr>
          <w:rFonts w:ascii="Times New Roman" w:hAnsi="Times New Roman" w:eastAsia="Times New Roman" w:cs="Times New Roman"/>
          <w:szCs w:val="24"/>
        </w:rPr>
        <w:t xml:space="preserve"> Consequences of</w:t>
      </w:r>
      <w:r w:rsidRPr="00240730" w:rsidR="00A30EAC">
        <w:rPr>
          <w:rFonts w:ascii="Times New Roman" w:hAnsi="Times New Roman" w:eastAsia="Times New Roman" w:cs="Times New Roman"/>
          <w:szCs w:val="24"/>
        </w:rPr>
        <w:t xml:space="preserve"> the</w:t>
      </w:r>
      <w:r w:rsidRPr="00240730" w:rsidR="002F2CAE">
        <w:rPr>
          <w:rFonts w:ascii="Times New Roman" w:hAnsi="Times New Roman" w:eastAsia="Times New Roman" w:cs="Times New Roman"/>
          <w:szCs w:val="24"/>
        </w:rPr>
        <w:t xml:space="preserve"> Invalidity of a Transaction)</w:t>
      </w:r>
      <w:r w:rsidRPr="00240730" w:rsidR="00A771A2">
        <w:rPr>
          <w:rFonts w:ascii="Times New Roman" w:hAnsi="Times New Roman" w:eastAsia="Times New Roman" w:cs="Times New Roman"/>
          <w:szCs w:val="24"/>
        </w:rPr>
        <w:t xml:space="preserve"> provides as follows:</w:t>
      </w:r>
    </w:p>
    <w:p w:rsidRPr="00240730" w:rsidR="00377D0B" w:rsidP="00240730" w:rsidRDefault="00A771A2">
      <w:pPr>
        <w:pStyle w:val="ECHRParaQuote"/>
        <w:rPr>
          <w:rFonts w:eastAsia="Times New Roman"/>
        </w:rPr>
      </w:pPr>
      <w:r w:rsidRPr="00240730">
        <w:rPr>
          <w:rFonts w:eastAsia="Times New Roman"/>
        </w:rPr>
        <w:t>“1.</w:t>
      </w:r>
      <w:proofErr w:type="gramStart"/>
      <w:r w:rsidRPr="00240730">
        <w:rPr>
          <w:rFonts w:eastAsia="Times New Roman"/>
        </w:rPr>
        <w:t>  A</w:t>
      </w:r>
      <w:r w:rsidRPr="00240730" w:rsidR="002F2CAE">
        <w:rPr>
          <w:rFonts w:eastAsia="Times New Roman"/>
        </w:rPr>
        <w:t>n</w:t>
      </w:r>
      <w:proofErr w:type="gramEnd"/>
      <w:r w:rsidRPr="00240730" w:rsidR="002F2CAE">
        <w:rPr>
          <w:rFonts w:eastAsia="Times New Roman"/>
        </w:rPr>
        <w:t xml:space="preserve"> invalid transaction shall not entail legal consequences, with the exception of those connected with its invalidity, and shall be invalid from the moment of its conclusion.</w:t>
      </w:r>
    </w:p>
    <w:p w:rsidRPr="00240730" w:rsidR="00377D0B" w:rsidP="00240730" w:rsidRDefault="00A771A2">
      <w:pPr>
        <w:pStyle w:val="ECHRParaQuote"/>
        <w:rPr>
          <w:rFonts w:eastAsia="Times New Roman"/>
        </w:rPr>
      </w:pPr>
      <w:r w:rsidRPr="00240730">
        <w:rPr>
          <w:rFonts w:eastAsia="Times New Roman"/>
        </w:rPr>
        <w:t>2.  </w:t>
      </w:r>
      <w:r w:rsidRPr="00240730" w:rsidR="002F2CAE">
        <w:rPr>
          <w:rFonts w:eastAsia="Times New Roman"/>
        </w:rPr>
        <w:t xml:space="preserve">If a transaction has been recognised as invalid, each of the parties shall be obliged to return to the other party all it has received as part of the transaction, and if return is impossible in kind (including where the transaction concerns the use of property, work performed or services rendered), its cost shall be reimbursed in money </w:t>
      </w:r>
      <w:r w:rsidRPr="00240730">
        <w:rPr>
          <w:rFonts w:eastAsia="Times New Roman"/>
        </w:rPr>
        <w:sym w:font="Symbol" w:char="F02D"/>
      </w:r>
      <w:r w:rsidRPr="00240730" w:rsidR="002F2CAE">
        <w:rPr>
          <w:rFonts w:eastAsia="Times New Roman"/>
        </w:rPr>
        <w:t xml:space="preserve"> unless other consequences of the invalidity of the transactions have been stipulated by law.</w:t>
      </w:r>
    </w:p>
    <w:p w:rsidRPr="00240730" w:rsidR="002F2CAE" w:rsidP="00240730" w:rsidRDefault="00A771A2">
      <w:pPr>
        <w:pStyle w:val="ECHRParaQuote"/>
        <w:rPr>
          <w:rFonts w:eastAsia="Times New Roman"/>
        </w:rPr>
      </w:pPr>
      <w:r w:rsidRPr="00240730">
        <w:rPr>
          <w:rFonts w:eastAsia="Times New Roman"/>
        </w:rPr>
        <w:t>3.</w:t>
      </w:r>
      <w:proofErr w:type="gramStart"/>
      <w:r w:rsidRPr="00240730" w:rsidR="00EB066D">
        <w:rPr>
          <w:rFonts w:eastAsia="Times New Roman"/>
        </w:rPr>
        <w:t> </w:t>
      </w:r>
      <w:r w:rsidRPr="00240730">
        <w:rPr>
          <w:rFonts w:eastAsia="Times New Roman"/>
        </w:rPr>
        <w:t> </w:t>
      </w:r>
      <w:r w:rsidRPr="00240730" w:rsidR="002F2CAE">
        <w:rPr>
          <w:rFonts w:eastAsia="Times New Roman"/>
        </w:rPr>
        <w:t>If</w:t>
      </w:r>
      <w:proofErr w:type="gramEnd"/>
      <w:r w:rsidRPr="00240730" w:rsidR="002F2CAE">
        <w:rPr>
          <w:rFonts w:eastAsia="Times New Roman"/>
        </w:rPr>
        <w:t xml:space="preserve"> it follows from the content of the disputed transaction that it may only be terminated for the future, the court, while recognising the transaction as invalid, shall terminate its operation for the future.</w:t>
      </w:r>
      <w:r w:rsidRPr="00240730">
        <w:rPr>
          <w:rFonts w:eastAsia="Times New Roman"/>
        </w:rPr>
        <w:t>”</w:t>
      </w:r>
    </w:p>
    <w:p w:rsidRPr="00240730" w:rsidR="00B50619" w:rsidP="00240730" w:rsidRDefault="000B4AA9">
      <w:pPr>
        <w:pStyle w:val="ECHRHeading2"/>
      </w:pPr>
      <w:r w:rsidRPr="00240730">
        <w:t>B</w:t>
      </w:r>
      <w:r w:rsidRPr="00240730" w:rsidR="00B50619">
        <w:t>.  </w:t>
      </w:r>
      <w:r w:rsidRPr="00240730" w:rsidR="0005434D">
        <w:t>Provisions on procedural succession applied by the domestic courts</w:t>
      </w:r>
    </w:p>
    <w:bookmarkStart w:name="A44CCPsuccession" w:id="40"/>
    <w:p w:rsidRPr="00240730" w:rsidR="00377D0B" w:rsidP="00240730" w:rsidRDefault="006B5ED0">
      <w:pPr>
        <w:pStyle w:val="ECHRPara"/>
      </w:pPr>
      <w:r w:rsidRPr="00240730">
        <w:fldChar w:fldCharType="begin"/>
      </w:r>
      <w:r w:rsidRPr="00240730">
        <w:instrText xml:space="preserve"> SEQ level0 \*arabic </w:instrText>
      </w:r>
      <w:r w:rsidRPr="00240730">
        <w:fldChar w:fldCharType="separate"/>
      </w:r>
      <w:r w:rsidRPr="00240730" w:rsidR="00240730">
        <w:rPr>
          <w:noProof/>
        </w:rPr>
        <w:t>67</w:t>
      </w:r>
      <w:r w:rsidRPr="00240730">
        <w:fldChar w:fldCharType="end"/>
      </w:r>
      <w:r w:rsidRPr="00240730">
        <w:t>. </w:t>
      </w:r>
      <w:bookmarkEnd w:id="40"/>
      <w:r w:rsidRPr="00240730" w:rsidR="00E16A13">
        <w:t> </w:t>
      </w:r>
      <w:r w:rsidRPr="00240730" w:rsidR="00A771A2">
        <w:t xml:space="preserve">Under </w:t>
      </w:r>
      <w:r w:rsidRPr="00240730" w:rsidR="0005434D">
        <w:t xml:space="preserve">Article 44 § 1 of the Code of Civil Procedure, </w:t>
      </w:r>
      <w:r w:rsidRPr="00240730" w:rsidR="00B04279">
        <w:t xml:space="preserve">in </w:t>
      </w:r>
      <w:r w:rsidRPr="00240730" w:rsidR="00087863">
        <w:t xml:space="preserve">the event </w:t>
      </w:r>
      <w:r w:rsidRPr="00240730" w:rsidR="00B04279">
        <w:t>of withdrawal (</w:t>
      </w:r>
      <w:r w:rsidRPr="00240730" w:rsidR="00B04279">
        <w:rPr>
          <w:i/>
          <w:lang w:val="ru-RU"/>
        </w:rPr>
        <w:t>выбытие</w:t>
      </w:r>
      <w:r w:rsidRPr="00240730" w:rsidR="00B04279">
        <w:t>) of one of the parties in a disputed legal relationship or that established by a court (</w:t>
      </w:r>
      <w:r w:rsidRPr="00240730" w:rsidR="00B04279">
        <w:rPr>
          <w:i/>
        </w:rPr>
        <w:t xml:space="preserve">в </w:t>
      </w:r>
      <w:proofErr w:type="spellStart"/>
      <w:r w:rsidRPr="00240730" w:rsidR="00B04279">
        <w:rPr>
          <w:i/>
        </w:rPr>
        <w:t>спорном</w:t>
      </w:r>
      <w:proofErr w:type="spellEnd"/>
      <w:r w:rsidRPr="00240730" w:rsidR="00B04279">
        <w:rPr>
          <w:i/>
        </w:rPr>
        <w:t xml:space="preserve"> </w:t>
      </w:r>
      <w:proofErr w:type="spellStart"/>
      <w:r w:rsidRPr="00240730" w:rsidR="00B04279">
        <w:rPr>
          <w:i/>
        </w:rPr>
        <w:t>или</w:t>
      </w:r>
      <w:proofErr w:type="spellEnd"/>
      <w:r w:rsidRPr="00240730" w:rsidR="00B04279">
        <w:rPr>
          <w:i/>
        </w:rPr>
        <w:t xml:space="preserve"> </w:t>
      </w:r>
      <w:proofErr w:type="spellStart"/>
      <w:r w:rsidRPr="00240730" w:rsidR="00B04279">
        <w:rPr>
          <w:i/>
        </w:rPr>
        <w:t>установленном</w:t>
      </w:r>
      <w:proofErr w:type="spellEnd"/>
      <w:r w:rsidRPr="00240730" w:rsidR="00B04279">
        <w:rPr>
          <w:i/>
        </w:rPr>
        <w:t xml:space="preserve"> </w:t>
      </w:r>
      <w:proofErr w:type="spellStart"/>
      <w:r w:rsidRPr="00240730" w:rsidR="00B04279">
        <w:rPr>
          <w:i/>
        </w:rPr>
        <w:t>решением</w:t>
      </w:r>
      <w:proofErr w:type="spellEnd"/>
      <w:r w:rsidRPr="00240730" w:rsidR="00B04279">
        <w:rPr>
          <w:i/>
        </w:rPr>
        <w:t xml:space="preserve"> </w:t>
      </w:r>
      <w:proofErr w:type="spellStart"/>
      <w:r w:rsidRPr="00240730" w:rsidR="00B04279">
        <w:rPr>
          <w:i/>
        </w:rPr>
        <w:t>суда</w:t>
      </w:r>
      <w:proofErr w:type="spellEnd"/>
      <w:r w:rsidRPr="00240730" w:rsidR="00B04279">
        <w:rPr>
          <w:i/>
        </w:rPr>
        <w:t xml:space="preserve"> </w:t>
      </w:r>
      <w:proofErr w:type="spellStart"/>
      <w:r w:rsidRPr="00240730" w:rsidR="00B04279">
        <w:rPr>
          <w:i/>
        </w:rPr>
        <w:t>правоотношении</w:t>
      </w:r>
      <w:proofErr w:type="spellEnd"/>
      <w:r w:rsidRPr="00240730" w:rsidR="00B04279">
        <w:t>)</w:t>
      </w:r>
      <w:r w:rsidRPr="00240730" w:rsidR="0005434D">
        <w:t xml:space="preserve"> (</w:t>
      </w:r>
      <w:r w:rsidRPr="00240730" w:rsidR="00B04279">
        <w:t xml:space="preserve">in </w:t>
      </w:r>
      <w:r w:rsidRPr="00240730" w:rsidR="00857DCE">
        <w:t xml:space="preserve">the event </w:t>
      </w:r>
      <w:r w:rsidRPr="00240730" w:rsidR="00B04279">
        <w:t xml:space="preserve">of death, restructuring of </w:t>
      </w:r>
      <w:r w:rsidRPr="00240730" w:rsidR="00087863">
        <w:t xml:space="preserve">the </w:t>
      </w:r>
      <w:r w:rsidRPr="00240730" w:rsidR="00B04279">
        <w:t>legal entity, assignment</w:t>
      </w:r>
      <w:r w:rsidRPr="00240730" w:rsidR="00087863">
        <w:t xml:space="preserve"> of the debt</w:t>
      </w:r>
      <w:r w:rsidRPr="00240730" w:rsidR="0005434D">
        <w:t xml:space="preserve">, </w:t>
      </w:r>
      <w:r w:rsidRPr="00240730" w:rsidR="00B04279">
        <w:t xml:space="preserve">cession </w:t>
      </w:r>
      <w:r w:rsidRPr="00240730" w:rsidR="0005434D">
        <w:t xml:space="preserve">and in other cases of </w:t>
      </w:r>
      <w:r w:rsidRPr="00240730" w:rsidR="00087863">
        <w:t>a</w:t>
      </w:r>
      <w:r w:rsidRPr="00240730" w:rsidR="0005434D">
        <w:t xml:space="preserve"> change of the person in the obligations), the court</w:t>
      </w:r>
      <w:r w:rsidRPr="00240730" w:rsidR="00857DCE">
        <w:t xml:space="preserve"> </w:t>
      </w:r>
      <w:r w:rsidRPr="00240730" w:rsidR="00B04279">
        <w:t>allows (</w:t>
      </w:r>
      <w:r w:rsidRPr="00240730" w:rsidR="00B04279">
        <w:rPr>
          <w:i/>
          <w:lang w:val="ru-RU"/>
        </w:rPr>
        <w:t>допускает</w:t>
      </w:r>
      <w:r w:rsidRPr="00240730" w:rsidR="00B04279">
        <w:t>)</w:t>
      </w:r>
      <w:r w:rsidRPr="00240730" w:rsidR="0005434D">
        <w:t xml:space="preserve"> the replacement of this party by its legal successor. Procedural succession is possible at any stage of the civil proceedings. All actions </w:t>
      </w:r>
      <w:r w:rsidRPr="00240730" w:rsidR="009B044A">
        <w:t>taken before the legal successor</w:t>
      </w:r>
      <w:r w:rsidRPr="00240730" w:rsidR="00240730">
        <w:t>’</w:t>
      </w:r>
      <w:r w:rsidRPr="00240730" w:rsidR="009B044A">
        <w:t xml:space="preserve">s entry into </w:t>
      </w:r>
      <w:r w:rsidRPr="00240730" w:rsidR="0005434D">
        <w:t xml:space="preserve">the proceedings </w:t>
      </w:r>
      <w:r w:rsidRPr="00240730" w:rsidR="009B044A">
        <w:t>are</w:t>
      </w:r>
      <w:r w:rsidRPr="00240730" w:rsidR="0005434D">
        <w:t xml:space="preserve"> obligatory for him </w:t>
      </w:r>
      <w:r w:rsidRPr="00240730" w:rsidR="009B044A">
        <w:t xml:space="preserve">to the extent </w:t>
      </w:r>
      <w:r w:rsidRPr="00240730" w:rsidR="0005434D">
        <w:t xml:space="preserve">they would have been obligatory for the person whom the legal successor has </w:t>
      </w:r>
      <w:r w:rsidRPr="00240730" w:rsidR="003476E5">
        <w:t>replaced</w:t>
      </w:r>
      <w:r w:rsidRPr="00240730" w:rsidR="0005434D">
        <w:t xml:space="preserve"> (Article 44 § 2).</w:t>
      </w:r>
    </w:p>
    <w:p w:rsidRPr="00240730" w:rsidR="00377D0B" w:rsidP="00240730" w:rsidRDefault="00B07B6C">
      <w:pPr>
        <w:pStyle w:val="ECHRHeading2"/>
      </w:pPr>
      <w:r w:rsidRPr="00240730">
        <w:t xml:space="preserve">C.  Relevant </w:t>
      </w:r>
      <w:r w:rsidRPr="00240730" w:rsidR="003476E5">
        <w:t xml:space="preserve">provisions of the </w:t>
      </w:r>
      <w:r w:rsidRPr="00240730">
        <w:t>Labour Code</w:t>
      </w:r>
    </w:p>
    <w:bookmarkStart w:name="LabourCodeA75" w:id="41"/>
    <w:p w:rsidRPr="00240730" w:rsidR="00377D0B" w:rsidP="00240730" w:rsidRDefault="00B07B6C">
      <w:pPr>
        <w:pStyle w:val="ECHRPara"/>
      </w:pPr>
      <w:r w:rsidRPr="00240730">
        <w:fldChar w:fldCharType="begin"/>
      </w:r>
      <w:r w:rsidRPr="00240730">
        <w:instrText xml:space="preserve"> SEQ level0 \*arabic </w:instrText>
      </w:r>
      <w:r w:rsidRPr="00240730">
        <w:fldChar w:fldCharType="separate"/>
      </w:r>
      <w:r w:rsidRPr="00240730" w:rsidR="00240730">
        <w:rPr>
          <w:noProof/>
        </w:rPr>
        <w:t>68</w:t>
      </w:r>
      <w:r w:rsidRPr="00240730">
        <w:fldChar w:fldCharType="end"/>
      </w:r>
      <w:bookmarkEnd w:id="41"/>
      <w:r w:rsidRPr="00240730">
        <w:t xml:space="preserve">.  Article 75 of the Labour Code of the Russian Federation provides that </w:t>
      </w:r>
      <w:r w:rsidRPr="00240730" w:rsidR="005F39C5">
        <w:t xml:space="preserve">a </w:t>
      </w:r>
      <w:r w:rsidRPr="00240730">
        <w:t xml:space="preserve">change </w:t>
      </w:r>
      <w:r w:rsidRPr="00240730" w:rsidR="005F39C5">
        <w:t>in</w:t>
      </w:r>
      <w:r w:rsidRPr="00240730">
        <w:t xml:space="preserve"> owner</w:t>
      </w:r>
      <w:r w:rsidRPr="00240730" w:rsidR="005F39C5">
        <w:t>ship</w:t>
      </w:r>
      <w:r w:rsidRPr="00240730">
        <w:t xml:space="preserve"> of </w:t>
      </w:r>
      <w:r w:rsidRPr="00240730" w:rsidR="003476E5">
        <w:t>an</w:t>
      </w:r>
      <w:r w:rsidRPr="00240730" w:rsidR="008E56DA">
        <w:t xml:space="preserve"> </w:t>
      </w:r>
      <w:r w:rsidRPr="00240730">
        <w:t>organi</w:t>
      </w:r>
      <w:r w:rsidRPr="00240730" w:rsidR="005F39C5">
        <w:t>s</w:t>
      </w:r>
      <w:r w:rsidRPr="00240730">
        <w:t xml:space="preserve">ation may not serve as grounds to discontinue </w:t>
      </w:r>
      <w:r w:rsidRPr="00240730" w:rsidR="005F39C5">
        <w:t>employment</w:t>
      </w:r>
      <w:r w:rsidRPr="00240730">
        <w:t xml:space="preserve"> contracts with other employees of the organisation. If an employee refuses to continue to work because of </w:t>
      </w:r>
      <w:r w:rsidRPr="00240730" w:rsidR="005F39C5">
        <w:t xml:space="preserve">a </w:t>
      </w:r>
      <w:r w:rsidRPr="00240730">
        <w:t xml:space="preserve">change </w:t>
      </w:r>
      <w:r w:rsidRPr="00240730" w:rsidR="005F39C5">
        <w:t xml:space="preserve">in </w:t>
      </w:r>
      <w:r w:rsidRPr="00240730" w:rsidR="003476E5">
        <w:t xml:space="preserve">ownership </w:t>
      </w:r>
      <w:r w:rsidRPr="00240730">
        <w:t xml:space="preserve">of </w:t>
      </w:r>
      <w:r w:rsidRPr="00240730" w:rsidR="003476E5">
        <w:t xml:space="preserve">an </w:t>
      </w:r>
      <w:r w:rsidRPr="00240730">
        <w:t xml:space="preserve">organisation, the </w:t>
      </w:r>
      <w:r w:rsidRPr="00240730" w:rsidR="005F39C5">
        <w:t xml:space="preserve">employment </w:t>
      </w:r>
      <w:r w:rsidRPr="00240730">
        <w:t xml:space="preserve">contract is discontinued in compliance with the Code. A change in jurisdiction (subordination) of an organisation or restructuring (merger, accession, division, separation or transformation) of an organisation </w:t>
      </w:r>
      <w:r w:rsidRPr="00240730" w:rsidR="00031E64">
        <w:t>is</w:t>
      </w:r>
      <w:r w:rsidRPr="00240730" w:rsidR="005F39C5">
        <w:t xml:space="preserve"> </w:t>
      </w:r>
      <w:r w:rsidRPr="00240730">
        <w:t xml:space="preserve">not deemed grounds for rescission of the </w:t>
      </w:r>
      <w:r w:rsidRPr="00240730" w:rsidR="005F39C5">
        <w:t xml:space="preserve">employment </w:t>
      </w:r>
      <w:r w:rsidRPr="00240730">
        <w:t>contracts concluded with the organisation</w:t>
      </w:r>
      <w:r w:rsidRPr="00240730" w:rsidR="00240730">
        <w:t>’</w:t>
      </w:r>
      <w:r w:rsidRPr="00240730">
        <w:t>s employees.</w:t>
      </w:r>
    </w:p>
    <w:p w:rsidRPr="00240730" w:rsidR="00377D0B" w:rsidP="00240730" w:rsidRDefault="00B07B6C">
      <w:pPr>
        <w:pStyle w:val="ECHRHeading2"/>
      </w:pPr>
      <w:r w:rsidRPr="00240730">
        <w:t>D</w:t>
      </w:r>
      <w:r w:rsidRPr="00240730" w:rsidR="00B50619">
        <w:t>.  Relevant provisions of the Insolvency Act</w:t>
      </w:r>
    </w:p>
    <w:p w:rsidRPr="00240730" w:rsidR="00EC780B" w:rsidP="00240730" w:rsidRDefault="00EC780B">
      <w:pPr>
        <w:pStyle w:val="ECHRHeading3"/>
      </w:pPr>
      <w:r w:rsidRPr="00240730">
        <w:t>1.  External administration</w:t>
      </w:r>
    </w:p>
    <w:bookmarkStart w:name="IAsection2and93NotionExternalAdminist" w:id="42"/>
    <w:p w:rsidRPr="00240730" w:rsidR="00EC780B" w:rsidP="00240730" w:rsidRDefault="00EC780B">
      <w:pPr>
        <w:pStyle w:val="ECHRPara"/>
      </w:pPr>
      <w:r w:rsidRPr="00240730">
        <w:fldChar w:fldCharType="begin"/>
      </w:r>
      <w:r w:rsidRPr="00240730">
        <w:instrText xml:space="preserve"> SEQ level0 \*arabic </w:instrText>
      </w:r>
      <w:r w:rsidRPr="00240730">
        <w:fldChar w:fldCharType="separate"/>
      </w:r>
      <w:r w:rsidRPr="00240730" w:rsidR="00240730">
        <w:rPr>
          <w:noProof/>
        </w:rPr>
        <w:t>69</w:t>
      </w:r>
      <w:r w:rsidRPr="00240730">
        <w:fldChar w:fldCharType="end"/>
      </w:r>
      <w:bookmarkEnd w:id="42"/>
      <w:r w:rsidRPr="00240730">
        <w:t>.  “</w:t>
      </w:r>
      <w:r w:rsidRPr="00240730" w:rsidR="005F39C5">
        <w:t>E</w:t>
      </w:r>
      <w:r w:rsidRPr="00240730">
        <w:t>xternal administration” is a procedure applied in a bankruptcy case to the debtor for the purpose of restoring its solvency (</w:t>
      </w:r>
      <w:r w:rsidRPr="00240730" w:rsidR="00513D02">
        <w:t>section </w:t>
      </w:r>
      <w:r w:rsidRPr="00240730">
        <w:t xml:space="preserve">2 of the Act). </w:t>
      </w:r>
      <w:r w:rsidRPr="00240730" w:rsidR="009A399F">
        <w:t>S</w:t>
      </w:r>
      <w:r w:rsidRPr="00240730">
        <w:t>ection 93 of the Insolvency Act</w:t>
      </w:r>
      <w:r w:rsidRPr="00240730" w:rsidR="009A399F">
        <w:t xml:space="preserve"> provides that</w:t>
      </w:r>
      <w:r w:rsidRPr="00240730">
        <w:t xml:space="preserve"> external administration is instituted by a</w:t>
      </w:r>
      <w:r w:rsidRPr="00240730" w:rsidR="001259D6">
        <w:t xml:space="preserve"> commercial</w:t>
      </w:r>
      <w:r w:rsidRPr="00240730">
        <w:t xml:space="preserve"> court on the basis of a decision of a creditors</w:t>
      </w:r>
      <w:r w:rsidRPr="00240730" w:rsidR="00240730">
        <w:t>’</w:t>
      </w:r>
      <w:r w:rsidRPr="00240730">
        <w:t xml:space="preserve"> meeting, except </w:t>
      </w:r>
      <w:r w:rsidRPr="00240730" w:rsidR="00013B0C">
        <w:t xml:space="preserve">in </w:t>
      </w:r>
      <w:r w:rsidRPr="00240730">
        <w:t xml:space="preserve">the cases specified by the </w:t>
      </w:r>
      <w:r w:rsidRPr="00240730" w:rsidR="009A399F">
        <w:t>Act</w:t>
      </w:r>
      <w:r w:rsidRPr="00240730">
        <w:t xml:space="preserve">. It is put in place for </w:t>
      </w:r>
      <w:r w:rsidRPr="00240730" w:rsidR="009A399F">
        <w:t xml:space="preserve">a </w:t>
      </w:r>
      <w:r w:rsidRPr="00240730">
        <w:t xml:space="preserve">period not exceeding </w:t>
      </w:r>
      <w:r w:rsidRPr="00240730" w:rsidR="009A399F">
        <w:t xml:space="preserve">eighteen </w:t>
      </w:r>
      <w:r w:rsidRPr="00240730">
        <w:t xml:space="preserve">months. This period can be extended in the manner specified by the Act for </w:t>
      </w:r>
      <w:r w:rsidRPr="00240730" w:rsidR="009A399F">
        <w:t xml:space="preserve">up to </w:t>
      </w:r>
      <w:r w:rsidRPr="00240730">
        <w:t xml:space="preserve">a </w:t>
      </w:r>
      <w:r w:rsidRPr="00240730" w:rsidR="009A399F">
        <w:t xml:space="preserve">further </w:t>
      </w:r>
      <w:r w:rsidRPr="00240730">
        <w:t xml:space="preserve">six months, </w:t>
      </w:r>
      <w:r w:rsidRPr="00240730" w:rsidR="009A399F">
        <w:t>unless</w:t>
      </w:r>
      <w:r w:rsidRPr="00240730">
        <w:t xml:space="preserve"> otherwise </w:t>
      </w:r>
      <w:r w:rsidRPr="00240730" w:rsidR="00013B0C">
        <w:t>provided for by</w:t>
      </w:r>
      <w:r w:rsidRPr="00240730">
        <w:t xml:space="preserve"> the Act. The external administration term can be reduced at the request of the creditors</w:t>
      </w:r>
      <w:r w:rsidRPr="00240730" w:rsidR="00240730">
        <w:t>’</w:t>
      </w:r>
      <w:r w:rsidRPr="00240730">
        <w:t xml:space="preserve"> meeting or the </w:t>
      </w:r>
      <w:r w:rsidRPr="00240730" w:rsidR="00013B0C">
        <w:t>external manager</w:t>
      </w:r>
      <w:r w:rsidRPr="00240730">
        <w:t xml:space="preserve">. The decision to put the external administration procedure in place takes effect immediately. It </w:t>
      </w:r>
      <w:r w:rsidRPr="00240730" w:rsidR="009A399F">
        <w:t xml:space="preserve">may </w:t>
      </w:r>
      <w:r w:rsidRPr="00240730">
        <w:t>be appealed against.</w:t>
      </w:r>
    </w:p>
    <w:bookmarkStart w:name="IAsection94ExternalAdministration" w:id="43"/>
    <w:p w:rsidRPr="00240730" w:rsidR="00377D0B" w:rsidP="00240730" w:rsidRDefault="00EC780B">
      <w:pPr>
        <w:pStyle w:val="ECHRPara"/>
      </w:pPr>
      <w:r w:rsidRPr="00240730">
        <w:fldChar w:fldCharType="begin"/>
      </w:r>
      <w:r w:rsidRPr="00240730">
        <w:instrText xml:space="preserve"> SEQ level0 \*arabic </w:instrText>
      </w:r>
      <w:r w:rsidRPr="00240730">
        <w:fldChar w:fldCharType="separate"/>
      </w:r>
      <w:r w:rsidRPr="00240730" w:rsidR="00240730">
        <w:rPr>
          <w:noProof/>
        </w:rPr>
        <w:t>70</w:t>
      </w:r>
      <w:r w:rsidRPr="00240730">
        <w:fldChar w:fldCharType="end"/>
      </w:r>
      <w:bookmarkEnd w:id="43"/>
      <w:r w:rsidRPr="00240730">
        <w:t>.  </w:t>
      </w:r>
      <w:r w:rsidRPr="00240730" w:rsidR="009A399F">
        <w:rPr>
          <w:bCs/>
        </w:rPr>
        <w:t>S</w:t>
      </w:r>
      <w:r w:rsidRPr="00240730">
        <w:rPr>
          <w:bCs/>
        </w:rPr>
        <w:t>ection 94</w:t>
      </w:r>
      <w:r w:rsidRPr="00240730" w:rsidR="00513D02">
        <w:rPr>
          <w:bCs/>
        </w:rPr>
        <w:t>(</w:t>
      </w:r>
      <w:r w:rsidRPr="00240730">
        <w:rPr>
          <w:bCs/>
        </w:rPr>
        <w:t>1</w:t>
      </w:r>
      <w:r w:rsidRPr="00240730" w:rsidR="00513D02">
        <w:rPr>
          <w:bCs/>
        </w:rPr>
        <w:t>)</w:t>
      </w:r>
      <w:r w:rsidRPr="00240730">
        <w:rPr>
          <w:bCs/>
        </w:rPr>
        <w:t xml:space="preserve"> of the Insolvency Act (“</w:t>
      </w:r>
      <w:r w:rsidRPr="00240730">
        <w:t>Consequences of</w:t>
      </w:r>
      <w:r w:rsidRPr="00240730" w:rsidR="00013B0C">
        <w:t xml:space="preserve"> the</w:t>
      </w:r>
      <w:r w:rsidRPr="00240730">
        <w:t xml:space="preserve"> Institution of External Administration”)</w:t>
      </w:r>
      <w:r w:rsidRPr="00240730" w:rsidR="009A399F">
        <w:t xml:space="preserve"> provides that</w:t>
      </w:r>
      <w:r w:rsidRPr="00240730">
        <w:t xml:space="preserve"> once external administration is instituted</w:t>
      </w:r>
      <w:r w:rsidRPr="00240730" w:rsidR="009A399F">
        <w:t>:</w:t>
      </w:r>
    </w:p>
    <w:p w:rsidRPr="00240730" w:rsidR="00EC780B" w:rsidP="00240730" w:rsidRDefault="00EC780B">
      <w:pPr>
        <w:pStyle w:val="ECHRPara"/>
      </w:pPr>
      <w:r w:rsidRPr="00240730">
        <w:t>-  </w:t>
      </w:r>
      <w:proofErr w:type="gramStart"/>
      <w:r w:rsidRPr="00240730">
        <w:t>the</w:t>
      </w:r>
      <w:proofErr w:type="gramEnd"/>
      <w:r w:rsidRPr="00240730">
        <w:t xml:space="preserve"> powers of the head of the debtor are terminated, and the duty to manage the affairs of the debtor is vested in the external manager;</w:t>
      </w:r>
    </w:p>
    <w:p w:rsidRPr="00240730" w:rsidR="00EC780B" w:rsidP="00240730" w:rsidRDefault="00EC780B">
      <w:pPr>
        <w:pStyle w:val="ECHRPara"/>
      </w:pPr>
      <w:r w:rsidRPr="00240730">
        <w:t xml:space="preserve">-  the external manager is entitled to issue an order of dismissal of the head of the debtor or </w:t>
      </w:r>
      <w:r w:rsidRPr="00240730" w:rsidR="008F146D">
        <w:t>ask him or her to</w:t>
      </w:r>
      <w:r w:rsidRPr="00240730">
        <w:t xml:space="preserve"> leave his</w:t>
      </w:r>
      <w:r w:rsidRPr="00240730" w:rsidR="00826CD1">
        <w:t xml:space="preserve"> or </w:t>
      </w:r>
      <w:r w:rsidRPr="00240730">
        <w:t xml:space="preserve">her office for another position in the manner and on the terms </w:t>
      </w:r>
      <w:r w:rsidRPr="00240730" w:rsidR="00013B0C">
        <w:t xml:space="preserve">provided for </w:t>
      </w:r>
      <w:r w:rsidRPr="00240730">
        <w:t xml:space="preserve">by </w:t>
      </w:r>
      <w:r w:rsidRPr="00240730" w:rsidR="00826CD1">
        <w:t>employment</w:t>
      </w:r>
      <w:r w:rsidRPr="00240730">
        <w:t xml:space="preserve"> legislation;</w:t>
      </w:r>
    </w:p>
    <w:p w:rsidRPr="00240730" w:rsidR="00EC780B" w:rsidP="00240730" w:rsidRDefault="00EC780B">
      <w:pPr>
        <w:pStyle w:val="ECHRPara"/>
      </w:pPr>
      <w:r w:rsidRPr="00240730">
        <w:t xml:space="preserve">-  the powers of the managerial bodies of the debtor and owner of property of the debtor unitary enterprise are terminated, and the powers of the head of the debtor and other managerial bodies </w:t>
      </w:r>
      <w:r w:rsidRPr="00240730" w:rsidR="00826CD1">
        <w:t xml:space="preserve">of the debtor </w:t>
      </w:r>
      <w:r w:rsidRPr="00240730">
        <w:t xml:space="preserve">are transferred to the </w:t>
      </w:r>
      <w:r w:rsidRPr="00240730" w:rsidR="008F146D">
        <w:t>external manager</w:t>
      </w:r>
      <w:r w:rsidRPr="00240730">
        <w:t>, except for the powers of the debtor</w:t>
      </w:r>
      <w:r w:rsidRPr="00240730" w:rsidR="00240730">
        <w:t>’</w:t>
      </w:r>
      <w:r w:rsidRPr="00240730">
        <w:t>s managerial bodies and owner of the property of the debtor unitary enterprise specified in section 94</w:t>
      </w:r>
      <w:r w:rsidRPr="00240730" w:rsidR="00513D02">
        <w:t>(</w:t>
      </w:r>
      <w:r w:rsidRPr="00240730">
        <w:t>2</w:t>
      </w:r>
      <w:r w:rsidRPr="00240730" w:rsidR="00513D02">
        <w:t>)</w:t>
      </w:r>
      <w:r w:rsidRPr="00240730">
        <w:t xml:space="preserve">. The managerial bodies of the debtor, interim receiver and administrative receiver </w:t>
      </w:r>
      <w:r w:rsidRPr="00240730" w:rsidR="00826CD1">
        <w:t xml:space="preserve">must, </w:t>
      </w:r>
      <w:r w:rsidRPr="00240730">
        <w:t xml:space="preserve">within three days </w:t>
      </w:r>
      <w:r w:rsidRPr="00240730" w:rsidR="008F146D">
        <w:t xml:space="preserve">of </w:t>
      </w:r>
      <w:r w:rsidRPr="00240730">
        <w:t xml:space="preserve">the approval of the </w:t>
      </w:r>
      <w:r w:rsidRPr="00240730" w:rsidR="008F146D">
        <w:t>external manager</w:t>
      </w:r>
      <w:r w:rsidRPr="00240730" w:rsidR="00826CD1">
        <w:t>,</w:t>
      </w:r>
      <w:r w:rsidRPr="00240730">
        <w:t xml:space="preserve"> ensure </w:t>
      </w:r>
      <w:r w:rsidRPr="00240730" w:rsidR="00826CD1">
        <w:t>that</w:t>
      </w:r>
      <w:r w:rsidRPr="00240730">
        <w:t xml:space="preserve"> the debtor</w:t>
      </w:r>
      <w:r w:rsidRPr="00240730" w:rsidR="00240730">
        <w:t>’</w:t>
      </w:r>
      <w:r w:rsidRPr="00240730">
        <w:t>s accounting and other documentation, seals and rubber stamps, material and other valuables</w:t>
      </w:r>
      <w:r w:rsidRPr="00240730" w:rsidR="00826CD1">
        <w:t xml:space="preserve"> are transferred</w:t>
      </w:r>
      <w:r w:rsidRPr="00240730">
        <w:t xml:space="preserve"> to the </w:t>
      </w:r>
      <w:r w:rsidRPr="00240730" w:rsidR="008F146D">
        <w:t>external manager</w:t>
      </w:r>
      <w:r w:rsidRPr="00240730">
        <w:t>;</w:t>
      </w:r>
    </w:p>
    <w:p w:rsidRPr="00240730" w:rsidR="00EC780B" w:rsidP="00240730" w:rsidRDefault="00EC780B">
      <w:pPr>
        <w:pStyle w:val="ECHRPara"/>
      </w:pPr>
      <w:r w:rsidRPr="00240730">
        <w:t>-  a moratorium on meeting creditors</w:t>
      </w:r>
      <w:r w:rsidRPr="00240730" w:rsidR="00240730">
        <w:t>’</w:t>
      </w:r>
      <w:r w:rsidRPr="00240730">
        <w:t xml:space="preserve"> claims relating to monetary obligations and mandatory payments </w:t>
      </w:r>
      <w:r w:rsidRPr="00240730" w:rsidR="008F146D">
        <w:t xml:space="preserve">may </w:t>
      </w:r>
      <w:r w:rsidRPr="00240730">
        <w:t xml:space="preserve">be imposed, except </w:t>
      </w:r>
      <w:r w:rsidRPr="00240730" w:rsidR="008F146D">
        <w:t xml:space="preserve">in </w:t>
      </w:r>
      <w:r w:rsidRPr="00240730">
        <w:t>the cases specified by the Act</w:t>
      </w:r>
      <w:r w:rsidRPr="00240730" w:rsidR="00826CD1">
        <w:t xml:space="preserve">, </w:t>
      </w:r>
      <w:r w:rsidRPr="00240730">
        <w:t>and creditors</w:t>
      </w:r>
      <w:r w:rsidRPr="00240730" w:rsidR="00240730">
        <w:t>’</w:t>
      </w:r>
      <w:r w:rsidRPr="00240730">
        <w:t xml:space="preserve"> claims for monetary obligations and compulsory payments, except for the current payments that may be presented to the debtor only in the observance of the procedure for presenting claims to a debtor </w:t>
      </w:r>
      <w:r w:rsidRPr="00240730" w:rsidR="008F146D">
        <w:t xml:space="preserve">provided for </w:t>
      </w:r>
      <w:r w:rsidRPr="00240730">
        <w:t>by the Act.</w:t>
      </w:r>
    </w:p>
    <w:bookmarkStart w:name="IAsection94p2" w:id="44"/>
    <w:p w:rsidRPr="00240730" w:rsidR="00EC780B" w:rsidP="00240730" w:rsidRDefault="00EC780B">
      <w:pPr>
        <w:pStyle w:val="ECHRPara"/>
      </w:pPr>
      <w:r w:rsidRPr="00240730">
        <w:fldChar w:fldCharType="begin"/>
      </w:r>
      <w:r w:rsidRPr="00240730">
        <w:instrText xml:space="preserve"> SEQ level0 \*arabic </w:instrText>
      </w:r>
      <w:r w:rsidRPr="00240730">
        <w:fldChar w:fldCharType="separate"/>
      </w:r>
      <w:r w:rsidRPr="00240730" w:rsidR="00240730">
        <w:rPr>
          <w:noProof/>
        </w:rPr>
        <w:t>71</w:t>
      </w:r>
      <w:r w:rsidRPr="00240730">
        <w:fldChar w:fldCharType="end"/>
      </w:r>
      <w:bookmarkEnd w:id="44"/>
      <w:r w:rsidRPr="00240730">
        <w:t>.  </w:t>
      </w:r>
      <w:r w:rsidRPr="00240730" w:rsidR="00895293">
        <w:t>S</w:t>
      </w:r>
      <w:r w:rsidRPr="00240730">
        <w:t>ection 94</w:t>
      </w:r>
      <w:r w:rsidRPr="00240730" w:rsidR="00513D02">
        <w:t>(</w:t>
      </w:r>
      <w:r w:rsidRPr="00240730">
        <w:t>2</w:t>
      </w:r>
      <w:r w:rsidRPr="00240730" w:rsidR="00513D02">
        <w:t>)</w:t>
      </w:r>
      <w:r w:rsidRPr="00240730">
        <w:t xml:space="preserve"> of the Insolvency Act stipulates that the managerial bodies of the debtor, within the </w:t>
      </w:r>
      <w:r w:rsidRPr="00240730" w:rsidR="00A02A18">
        <w:t xml:space="preserve">limits of </w:t>
      </w:r>
      <w:r w:rsidRPr="00240730" w:rsidR="008F146D">
        <w:t xml:space="preserve">the </w:t>
      </w:r>
      <w:r w:rsidRPr="00240730">
        <w:t>competence</w:t>
      </w:r>
      <w:r w:rsidRPr="00240730" w:rsidR="008F146D">
        <w:t>s</w:t>
      </w:r>
      <w:r w:rsidRPr="00240730">
        <w:t xml:space="preserve"> </w:t>
      </w:r>
      <w:r w:rsidRPr="00240730" w:rsidR="009F0A54">
        <w:t xml:space="preserve">provided for </w:t>
      </w:r>
      <w:r w:rsidRPr="00240730">
        <w:t>by federal law, are entitled to make decisions:</w:t>
      </w:r>
    </w:p>
    <w:p w:rsidRPr="00240730" w:rsidR="00EC780B" w:rsidP="00240730" w:rsidRDefault="00EC780B">
      <w:pPr>
        <w:pStyle w:val="ECHRPara"/>
      </w:pPr>
      <w:r w:rsidRPr="00240730">
        <w:t>-  </w:t>
      </w:r>
      <w:proofErr w:type="gramStart"/>
      <w:r w:rsidRPr="00240730">
        <w:t>on</w:t>
      </w:r>
      <w:proofErr w:type="gramEnd"/>
      <w:r w:rsidRPr="00240730">
        <w:t xml:space="preserve"> designating the number and face value of shares;</w:t>
      </w:r>
    </w:p>
    <w:p w:rsidRPr="00240730" w:rsidR="00EC780B" w:rsidP="00240730" w:rsidRDefault="00EC780B">
      <w:pPr>
        <w:pStyle w:val="ECHRPara"/>
      </w:pPr>
      <w:r w:rsidRPr="00240730">
        <w:t>-  on increas</w:t>
      </w:r>
      <w:r w:rsidRPr="00240730" w:rsidR="009F0A54">
        <w:t>ing</w:t>
      </w:r>
      <w:r w:rsidRPr="00240730">
        <w:t xml:space="preserve"> the joint</w:t>
      </w:r>
      <w:r w:rsidRPr="00240730" w:rsidR="009F0A54">
        <w:t>-</w:t>
      </w:r>
      <w:r w:rsidRPr="00240730">
        <w:t>stock company</w:t>
      </w:r>
      <w:r w:rsidRPr="00240730" w:rsidR="00240730">
        <w:t>’</w:t>
      </w:r>
      <w:r w:rsidRPr="00240730">
        <w:t xml:space="preserve">s authorised capital by means of </w:t>
      </w:r>
      <w:r w:rsidRPr="00240730" w:rsidR="009F0A54">
        <w:t xml:space="preserve">issuing </w:t>
      </w:r>
      <w:r w:rsidRPr="00240730">
        <w:t>additional ordinary shares;</w:t>
      </w:r>
    </w:p>
    <w:p w:rsidRPr="00240730" w:rsidR="00EC780B" w:rsidP="00240730" w:rsidRDefault="00EC780B">
      <w:pPr>
        <w:pStyle w:val="ECHRPara"/>
      </w:pPr>
      <w:r w:rsidRPr="00240730">
        <w:t>-  </w:t>
      </w:r>
      <w:proofErr w:type="gramStart"/>
      <w:r w:rsidRPr="00240730">
        <w:t>on</w:t>
      </w:r>
      <w:proofErr w:type="gramEnd"/>
      <w:r w:rsidRPr="00240730">
        <w:t xml:space="preserve"> addressing a petition to a creditors</w:t>
      </w:r>
      <w:r w:rsidRPr="00240730" w:rsidR="00240730">
        <w:t>’</w:t>
      </w:r>
      <w:r w:rsidRPr="00240730">
        <w:t xml:space="preserve"> meeting </w:t>
      </w:r>
      <w:r w:rsidRPr="00240730" w:rsidR="0085534F">
        <w:t xml:space="preserve">to include </w:t>
      </w:r>
      <w:r w:rsidRPr="00240730">
        <w:t>the possibility of an additional issue of shares in the external administration plan;</w:t>
      </w:r>
    </w:p>
    <w:p w:rsidRPr="00240730" w:rsidR="00EC780B" w:rsidP="00240730" w:rsidRDefault="00EC780B">
      <w:pPr>
        <w:pStyle w:val="ECHRPara"/>
      </w:pPr>
      <w:r w:rsidRPr="00240730">
        <w:t>-  </w:t>
      </w:r>
      <w:proofErr w:type="gramStart"/>
      <w:r w:rsidRPr="00240730">
        <w:t>on</w:t>
      </w:r>
      <w:proofErr w:type="gramEnd"/>
      <w:r w:rsidRPr="00240730">
        <w:t xml:space="preserve"> </w:t>
      </w:r>
      <w:r w:rsidRPr="00240730" w:rsidR="0085534F">
        <w:t>establishing the</w:t>
      </w:r>
      <w:r w:rsidRPr="00240730">
        <w:t xml:space="preserve"> procedure for conducting a general meeting of shareholders;</w:t>
      </w:r>
    </w:p>
    <w:p w:rsidRPr="00240730" w:rsidR="00EC780B" w:rsidP="00240730" w:rsidRDefault="00EC780B">
      <w:pPr>
        <w:pStyle w:val="ECHRPara"/>
      </w:pPr>
      <w:r w:rsidRPr="00240730">
        <w:t>-  </w:t>
      </w:r>
      <w:proofErr w:type="gramStart"/>
      <w:r w:rsidRPr="00240730">
        <w:t>on</w:t>
      </w:r>
      <w:proofErr w:type="gramEnd"/>
      <w:r w:rsidRPr="00240730">
        <w:t xml:space="preserve"> filing a petition for the sale of the debtor</w:t>
      </w:r>
      <w:r w:rsidRPr="00240730" w:rsidR="00240730">
        <w:t>’</w:t>
      </w:r>
      <w:r w:rsidRPr="00240730">
        <w:t>s enterprise;</w:t>
      </w:r>
    </w:p>
    <w:p w:rsidRPr="00240730" w:rsidR="00377D0B" w:rsidP="00240730" w:rsidRDefault="00EC780B">
      <w:pPr>
        <w:pStyle w:val="ECHRPara"/>
      </w:pPr>
      <w:r w:rsidRPr="00240730">
        <w:t>-  </w:t>
      </w:r>
      <w:proofErr w:type="gramStart"/>
      <w:r w:rsidRPr="00240730">
        <w:t>on</w:t>
      </w:r>
      <w:proofErr w:type="gramEnd"/>
      <w:r w:rsidRPr="00240730">
        <w:t xml:space="preserve"> replacing the debtor</w:t>
      </w:r>
      <w:r w:rsidRPr="00240730" w:rsidR="00240730">
        <w:t>’</w:t>
      </w:r>
      <w:r w:rsidRPr="00240730">
        <w:t>s assets;</w:t>
      </w:r>
    </w:p>
    <w:p w:rsidRPr="00240730" w:rsidR="00377D0B" w:rsidP="00240730" w:rsidRDefault="00EC780B">
      <w:pPr>
        <w:pStyle w:val="ECHRPara"/>
      </w:pPr>
      <w:r w:rsidRPr="00240730">
        <w:t>- </w:t>
      </w:r>
      <w:r w:rsidRPr="00240730" w:rsidR="00DE3141">
        <w:t> </w:t>
      </w:r>
      <w:proofErr w:type="gramStart"/>
      <w:r w:rsidRPr="00240730">
        <w:t>on</w:t>
      </w:r>
      <w:proofErr w:type="gramEnd"/>
      <w:r w:rsidRPr="00240730">
        <w:t xml:space="preserve"> electing a representative of the debtor</w:t>
      </w:r>
      <w:r w:rsidRPr="00240730" w:rsidR="00240730">
        <w:t>’</w:t>
      </w:r>
      <w:r w:rsidRPr="00240730">
        <w:t>s</w:t>
      </w:r>
      <w:r w:rsidRPr="00240730" w:rsidR="00194A92">
        <w:t xml:space="preserve"> founders</w:t>
      </w:r>
      <w:r w:rsidRPr="00240730">
        <w:t xml:space="preserve"> (stockholders);</w:t>
      </w:r>
    </w:p>
    <w:p w:rsidRPr="00240730" w:rsidR="00EC780B" w:rsidP="00240730" w:rsidRDefault="00EC780B">
      <w:pPr>
        <w:pStyle w:val="ECHRPara"/>
      </w:pPr>
      <w:r w:rsidRPr="00240730">
        <w:t>- </w:t>
      </w:r>
      <w:r w:rsidRPr="00240730" w:rsidR="00DE3141">
        <w:t> </w:t>
      </w:r>
      <w:r w:rsidRPr="00240730">
        <w:t>on concluding an agreement on the terms for the provision of funds for discharging the debtor</w:t>
      </w:r>
      <w:r w:rsidRPr="00240730" w:rsidR="00240730">
        <w:t>’</w:t>
      </w:r>
      <w:r w:rsidRPr="00240730">
        <w:t xml:space="preserve">s obligations between a third </w:t>
      </w:r>
      <w:r w:rsidRPr="00240730" w:rsidR="0085534F">
        <w:t xml:space="preserve">party </w:t>
      </w:r>
      <w:r w:rsidRPr="00240730">
        <w:t xml:space="preserve">or third </w:t>
      </w:r>
      <w:r w:rsidRPr="00240730" w:rsidR="0085534F">
        <w:t xml:space="preserve">parties </w:t>
      </w:r>
      <w:r w:rsidRPr="00240730">
        <w:t xml:space="preserve">and the managerial bodies of the debtor authorised </w:t>
      </w:r>
      <w:r w:rsidRPr="00240730" w:rsidR="001313E2">
        <w:t xml:space="preserve">by </w:t>
      </w:r>
      <w:r w:rsidRPr="00240730">
        <w:t xml:space="preserve">the </w:t>
      </w:r>
      <w:r w:rsidRPr="00240730" w:rsidR="00417BAB">
        <w:t>constituent</w:t>
      </w:r>
      <w:r w:rsidRPr="00240730" w:rsidR="00377D0B">
        <w:t xml:space="preserve"> </w:t>
      </w:r>
      <w:r w:rsidRPr="00240730">
        <w:t>documents to adopt decision</w:t>
      </w:r>
      <w:r w:rsidRPr="00240730" w:rsidR="001313E2">
        <w:t>s</w:t>
      </w:r>
      <w:r w:rsidRPr="00240730">
        <w:t xml:space="preserve"> </w:t>
      </w:r>
      <w:r w:rsidRPr="00240730" w:rsidR="001313E2">
        <w:t xml:space="preserve">on </w:t>
      </w:r>
      <w:r w:rsidRPr="00240730">
        <w:t>conclud</w:t>
      </w:r>
      <w:r w:rsidRPr="00240730" w:rsidR="001313E2">
        <w:t>ing</w:t>
      </w:r>
      <w:r w:rsidRPr="00240730">
        <w:t xml:space="preserve"> large </w:t>
      </w:r>
      <w:r w:rsidRPr="00240730" w:rsidR="0085534F">
        <w:t>transactions</w:t>
      </w:r>
      <w:r w:rsidRPr="00240730">
        <w:t>.</w:t>
      </w:r>
    </w:p>
    <w:bookmarkStart w:name="IAsection94p3" w:id="45"/>
    <w:p w:rsidRPr="00240730" w:rsidR="00EC780B" w:rsidP="00240730" w:rsidRDefault="00EC780B">
      <w:pPr>
        <w:pStyle w:val="ECHRPara"/>
      </w:pPr>
      <w:r w:rsidRPr="00240730">
        <w:fldChar w:fldCharType="begin"/>
      </w:r>
      <w:r w:rsidRPr="00240730">
        <w:instrText xml:space="preserve"> SEQ level0 \*arabic </w:instrText>
      </w:r>
      <w:r w:rsidRPr="00240730">
        <w:fldChar w:fldCharType="separate"/>
      </w:r>
      <w:r w:rsidRPr="00240730" w:rsidR="00240730">
        <w:rPr>
          <w:noProof/>
        </w:rPr>
        <w:t>72</w:t>
      </w:r>
      <w:r w:rsidRPr="00240730">
        <w:fldChar w:fldCharType="end"/>
      </w:r>
      <w:bookmarkEnd w:id="45"/>
      <w:r w:rsidRPr="00240730">
        <w:t>.  Section 94</w:t>
      </w:r>
      <w:r w:rsidRPr="00240730" w:rsidR="0085534F">
        <w:t>(</w:t>
      </w:r>
      <w:r w:rsidRPr="00240730">
        <w:t>3</w:t>
      </w:r>
      <w:r w:rsidRPr="00240730" w:rsidR="0085534F">
        <w:t>)</w:t>
      </w:r>
      <w:r w:rsidRPr="00240730">
        <w:t xml:space="preserve"> of the Insolvency Act</w:t>
      </w:r>
      <w:r w:rsidRPr="00240730" w:rsidR="004D6ABD">
        <w:t xml:space="preserve">, </w:t>
      </w:r>
      <w:r w:rsidRPr="00240730" w:rsidR="00B6005E">
        <w:t>introduced on</w:t>
      </w:r>
      <w:r w:rsidRPr="00240730" w:rsidR="004D6ABD">
        <w:t xml:space="preserve"> 30 December 2008,</w:t>
      </w:r>
      <w:r w:rsidRPr="00240730">
        <w:t xml:space="preserve"> </w:t>
      </w:r>
      <w:r w:rsidRPr="00240730" w:rsidR="00B6005E">
        <w:t xml:space="preserve">deals specifically with the rights of the owner of the property of a debtor unitary enterprise. In particular, it </w:t>
      </w:r>
      <w:r w:rsidRPr="00240730">
        <w:t>stipulates that</w:t>
      </w:r>
      <w:r w:rsidRPr="00240730" w:rsidR="0085534F">
        <w:t>,</w:t>
      </w:r>
      <w:r w:rsidRPr="00240730">
        <w:t xml:space="preserve"> within the </w:t>
      </w:r>
      <w:r w:rsidRPr="00240730" w:rsidR="0085534F">
        <w:t xml:space="preserve">limits </w:t>
      </w:r>
      <w:r w:rsidRPr="00240730">
        <w:t xml:space="preserve">of </w:t>
      </w:r>
      <w:r w:rsidRPr="00240730" w:rsidR="0085534F">
        <w:t xml:space="preserve">the competences provided for </w:t>
      </w:r>
      <w:r w:rsidRPr="00240730">
        <w:t>by federal law</w:t>
      </w:r>
      <w:r w:rsidRPr="00240730" w:rsidR="0085534F">
        <w:t>,</w:t>
      </w:r>
      <w:r w:rsidRPr="00240730">
        <w:t xml:space="preserve"> the owner of the property of a debtor unitary enterprise is entitled to decide</w:t>
      </w:r>
      <w:r w:rsidRPr="00240730" w:rsidR="004D6ABD">
        <w:t xml:space="preserve"> </w:t>
      </w:r>
      <w:r w:rsidRPr="00240730">
        <w:t xml:space="preserve">on </w:t>
      </w:r>
      <w:r w:rsidRPr="00240730" w:rsidR="0085534F">
        <w:t xml:space="preserve">replacing (substituting) </w:t>
      </w:r>
      <w:r w:rsidRPr="00240730">
        <w:t>the debtor</w:t>
      </w:r>
      <w:r w:rsidRPr="00240730" w:rsidR="00240730">
        <w:t>’</w:t>
      </w:r>
      <w:r w:rsidRPr="00240730" w:rsidR="004D6ABD">
        <w:t>s assets.</w:t>
      </w:r>
    </w:p>
    <w:p w:rsidRPr="00240730" w:rsidR="00EC780B" w:rsidP="00240730" w:rsidRDefault="00B6005E">
      <w:pPr>
        <w:pStyle w:val="ECHRPara"/>
      </w:pPr>
      <w:r w:rsidRPr="00240730">
        <w:fldChar w:fldCharType="begin"/>
      </w:r>
      <w:r w:rsidRPr="00240730">
        <w:instrText xml:space="preserve"> SEQ level0 \*arabic </w:instrText>
      </w:r>
      <w:r w:rsidRPr="00240730">
        <w:fldChar w:fldCharType="separate"/>
      </w:r>
      <w:r w:rsidRPr="00240730" w:rsidR="00240730">
        <w:rPr>
          <w:noProof/>
        </w:rPr>
        <w:t>73</w:t>
      </w:r>
      <w:r w:rsidRPr="00240730">
        <w:fldChar w:fldCharType="end"/>
      </w:r>
      <w:r w:rsidRPr="00240730">
        <w:t>.  </w:t>
      </w:r>
      <w:r w:rsidRPr="00240730" w:rsidR="00A22ACD">
        <w:t xml:space="preserve">The </w:t>
      </w:r>
      <w:r w:rsidRPr="00240730" w:rsidR="00EC780B">
        <w:t xml:space="preserve">external manager is approved by </w:t>
      </w:r>
      <w:r w:rsidRPr="00240730" w:rsidR="00A22ACD">
        <w:t xml:space="preserve">the </w:t>
      </w:r>
      <w:r w:rsidRPr="00240730" w:rsidR="00EC780B">
        <w:t>commercial court</w:t>
      </w:r>
      <w:r w:rsidRPr="00240730" w:rsidR="001259D6">
        <w:t xml:space="preserve"> </w:t>
      </w:r>
      <w:r w:rsidRPr="00240730" w:rsidR="00A22ACD">
        <w:t>at the same time as</w:t>
      </w:r>
      <w:r w:rsidRPr="00240730" w:rsidR="00EC780B">
        <w:t xml:space="preserve"> the institution of external administration, except </w:t>
      </w:r>
      <w:r w:rsidRPr="00240730" w:rsidR="00A22ACD">
        <w:t xml:space="preserve">in </w:t>
      </w:r>
      <w:r w:rsidRPr="00240730" w:rsidR="00EC780B">
        <w:t xml:space="preserve">the cases </w:t>
      </w:r>
      <w:r w:rsidRPr="00240730" w:rsidR="00D01F50">
        <w:t xml:space="preserve">specified </w:t>
      </w:r>
      <w:r w:rsidRPr="00240730" w:rsidR="00EC780B">
        <w:t>by the Act (section 96</w:t>
      </w:r>
      <w:r w:rsidRPr="00240730" w:rsidR="00513D02">
        <w:t>(</w:t>
      </w:r>
      <w:r w:rsidRPr="00240730" w:rsidR="00EC780B">
        <w:t>1</w:t>
      </w:r>
      <w:r w:rsidRPr="00240730" w:rsidR="00513D02">
        <w:t>)</w:t>
      </w:r>
      <w:r w:rsidRPr="00240730" w:rsidR="00EC780B">
        <w:t xml:space="preserve">). Before the date of approval of an external manager the commercial court vests the duties and rights of an external manager </w:t>
      </w:r>
      <w:r w:rsidRPr="00240730" w:rsidR="001259D6">
        <w:t xml:space="preserve">stipulated </w:t>
      </w:r>
      <w:r w:rsidRPr="00240730" w:rsidR="00EC780B">
        <w:t>by the Act in the person who executed the duties of the interim receiver, administrative receiver or winding-up receiver of the debtor, except for the drawing up of an external administration plan (section 96</w:t>
      </w:r>
      <w:r w:rsidRPr="00240730" w:rsidR="00513D02">
        <w:t>(</w:t>
      </w:r>
      <w:r w:rsidRPr="00240730" w:rsidR="00EC780B">
        <w:t>2</w:t>
      </w:r>
      <w:r w:rsidRPr="00240730" w:rsidR="00513D02">
        <w:t>)</w:t>
      </w:r>
      <w:r w:rsidRPr="00240730" w:rsidR="00EC780B">
        <w:t xml:space="preserve">). The commercial court issues a ruling on the approval of the </w:t>
      </w:r>
      <w:r w:rsidRPr="00240730" w:rsidR="001259D6">
        <w:t>external manager</w:t>
      </w:r>
      <w:r w:rsidRPr="00240730" w:rsidR="00EC780B">
        <w:t xml:space="preserve">. The ruling takes effect immediately and is </w:t>
      </w:r>
      <w:r w:rsidRPr="00240730" w:rsidR="001259D6">
        <w:t xml:space="preserve">amenable </w:t>
      </w:r>
      <w:r w:rsidRPr="00240730" w:rsidR="00EC780B">
        <w:t>to appeal (section 96</w:t>
      </w:r>
      <w:r w:rsidRPr="00240730" w:rsidR="00513D02">
        <w:t>(</w:t>
      </w:r>
      <w:r w:rsidRPr="00240730" w:rsidR="00EC780B">
        <w:t>2</w:t>
      </w:r>
      <w:r w:rsidRPr="00240730" w:rsidR="00513D02">
        <w:t>) to (</w:t>
      </w:r>
      <w:r w:rsidRPr="00240730" w:rsidR="00EC780B">
        <w:t>4</w:t>
      </w:r>
      <w:r w:rsidRPr="00240730" w:rsidR="00513D02">
        <w:t>)</w:t>
      </w:r>
      <w:r w:rsidRPr="00240730" w:rsidR="00EC780B">
        <w:t>).</w:t>
      </w:r>
    </w:p>
    <w:p w:rsidRPr="00240730" w:rsidR="00EC780B" w:rsidP="00240730" w:rsidRDefault="00EC780B">
      <w:pPr>
        <w:pStyle w:val="ECHRHeading3"/>
      </w:pPr>
      <w:r w:rsidRPr="00240730">
        <w:t>2.  Substitution (replacement) of the debtor</w:t>
      </w:r>
      <w:r w:rsidRPr="00240730" w:rsidR="00240730">
        <w:t>’</w:t>
      </w:r>
      <w:r w:rsidRPr="00240730">
        <w:t>s assets</w:t>
      </w:r>
    </w:p>
    <w:bookmarkStart w:name="Section115IASubstitutionAssets" w:id="46"/>
    <w:p w:rsidRPr="00240730" w:rsidR="00377D0B" w:rsidP="00240730" w:rsidRDefault="00EC780B">
      <w:pPr>
        <w:pStyle w:val="ECHRPara"/>
      </w:pPr>
      <w:r w:rsidRPr="00240730">
        <w:fldChar w:fldCharType="begin"/>
      </w:r>
      <w:r w:rsidRPr="00240730">
        <w:instrText xml:space="preserve"> SEQ level0 \*arabic </w:instrText>
      </w:r>
      <w:r w:rsidRPr="00240730">
        <w:fldChar w:fldCharType="separate"/>
      </w:r>
      <w:r w:rsidRPr="00240730" w:rsidR="00240730">
        <w:rPr>
          <w:noProof/>
        </w:rPr>
        <w:t>74</w:t>
      </w:r>
      <w:r w:rsidRPr="00240730">
        <w:fldChar w:fldCharType="end"/>
      </w:r>
      <w:bookmarkEnd w:id="46"/>
      <w:r w:rsidRPr="00240730">
        <w:t>.  </w:t>
      </w:r>
      <w:r w:rsidRPr="00240730" w:rsidR="00226435">
        <w:t>S</w:t>
      </w:r>
      <w:r w:rsidRPr="00240730">
        <w:t>ection 115 of the Insolvency Act</w:t>
      </w:r>
      <w:r w:rsidRPr="00240730" w:rsidR="00226435">
        <w:t xml:space="preserve"> provides that</w:t>
      </w:r>
      <w:r w:rsidRPr="00240730" w:rsidR="002C389C">
        <w:t xml:space="preserve"> </w:t>
      </w:r>
      <w:r w:rsidRPr="00240730">
        <w:t xml:space="preserve">substitution of </w:t>
      </w:r>
      <w:r w:rsidRPr="00240730" w:rsidR="001313E2">
        <w:t>a debtor</w:t>
      </w:r>
      <w:r w:rsidRPr="00240730" w:rsidR="00240730">
        <w:t>’</w:t>
      </w:r>
      <w:r w:rsidRPr="00240730" w:rsidR="001313E2">
        <w:t xml:space="preserve">s </w:t>
      </w:r>
      <w:r w:rsidRPr="00240730">
        <w:t xml:space="preserve">assets </w:t>
      </w:r>
      <w:r w:rsidRPr="00240730">
        <w:rPr>
          <w:i/>
        </w:rPr>
        <w:t>(</w:t>
      </w:r>
      <w:r w:rsidRPr="00240730">
        <w:rPr>
          <w:i/>
          <w:lang w:val="ru-RU"/>
        </w:rPr>
        <w:t>замещение</w:t>
      </w:r>
      <w:r w:rsidRPr="00240730">
        <w:rPr>
          <w:i/>
        </w:rPr>
        <w:t xml:space="preserve"> </w:t>
      </w:r>
      <w:r w:rsidRPr="00240730">
        <w:rPr>
          <w:i/>
          <w:lang w:val="ru-RU"/>
        </w:rPr>
        <w:t>активов</w:t>
      </w:r>
      <w:r w:rsidRPr="00240730">
        <w:rPr>
          <w:i/>
        </w:rPr>
        <w:t xml:space="preserve"> </w:t>
      </w:r>
      <w:r w:rsidRPr="00240730">
        <w:rPr>
          <w:i/>
          <w:lang w:val="ru-RU"/>
        </w:rPr>
        <w:t>должника</w:t>
      </w:r>
      <w:r w:rsidRPr="00240730">
        <w:t>) is effected by means of forming one public joint</w:t>
      </w:r>
      <w:r w:rsidRPr="00240730" w:rsidR="001B7E4F">
        <w:t>-</w:t>
      </w:r>
      <w:r w:rsidRPr="00240730">
        <w:t>stock company or several public joint</w:t>
      </w:r>
      <w:r w:rsidRPr="00240730" w:rsidR="001B7E4F">
        <w:t>-</w:t>
      </w:r>
      <w:r w:rsidRPr="00240730">
        <w:t>stock companies on the basis of the debtor</w:t>
      </w:r>
      <w:r w:rsidRPr="00240730" w:rsidR="00240730">
        <w:t>’</w:t>
      </w:r>
      <w:r w:rsidRPr="00240730">
        <w:t xml:space="preserve">s property. </w:t>
      </w:r>
      <w:r w:rsidRPr="00240730" w:rsidR="00FB7468">
        <w:t>If</w:t>
      </w:r>
      <w:r w:rsidRPr="00240730">
        <w:t xml:space="preserve"> one public joint</w:t>
      </w:r>
      <w:r w:rsidRPr="00240730" w:rsidR="001B7E4F">
        <w:t>-</w:t>
      </w:r>
      <w:r w:rsidRPr="00240730">
        <w:t>stock company</w:t>
      </w:r>
      <w:r w:rsidRPr="00240730" w:rsidR="00FB7468">
        <w:t xml:space="preserve"> is formed</w:t>
      </w:r>
      <w:r w:rsidRPr="00240730" w:rsidR="00226435">
        <w:t>,</w:t>
      </w:r>
      <w:r w:rsidRPr="00240730">
        <w:t xml:space="preserve"> its authorised capital </w:t>
      </w:r>
      <w:r w:rsidRPr="00240730" w:rsidR="00226435">
        <w:t xml:space="preserve">must </w:t>
      </w:r>
      <w:r w:rsidRPr="00240730">
        <w:t>incorporate the property (including property rights) included in the enterprise and intended for the pursuit of entrepreneurial activity.</w:t>
      </w:r>
    </w:p>
    <w:p w:rsidRPr="00240730" w:rsidR="00EC780B" w:rsidP="00240730" w:rsidRDefault="00FF0582">
      <w:pPr>
        <w:pStyle w:val="ECHRPara"/>
      </w:pPr>
      <w:r w:rsidRPr="00240730">
        <w:fldChar w:fldCharType="begin"/>
      </w:r>
      <w:r w:rsidRPr="00240730">
        <w:instrText xml:space="preserve"> SEQ level0 \*arabic </w:instrText>
      </w:r>
      <w:r w:rsidRPr="00240730">
        <w:fldChar w:fldCharType="separate"/>
      </w:r>
      <w:r w:rsidRPr="00240730" w:rsidR="00240730">
        <w:rPr>
          <w:noProof/>
        </w:rPr>
        <w:t>75</w:t>
      </w:r>
      <w:r w:rsidRPr="00240730">
        <w:fldChar w:fldCharType="end"/>
      </w:r>
      <w:r w:rsidRPr="00240730">
        <w:t>.  </w:t>
      </w:r>
      <w:r w:rsidRPr="00240730" w:rsidR="001313E2">
        <w:t>S</w:t>
      </w:r>
      <w:r w:rsidRPr="00240730" w:rsidR="00EC780B">
        <w:t>ubstitution of</w:t>
      </w:r>
      <w:r w:rsidRPr="00240730" w:rsidR="001313E2">
        <w:t xml:space="preserve"> a debtor</w:t>
      </w:r>
      <w:r w:rsidRPr="00240730" w:rsidR="00240730">
        <w:t>’</w:t>
      </w:r>
      <w:r w:rsidRPr="00240730" w:rsidR="001313E2">
        <w:t>s</w:t>
      </w:r>
      <w:r w:rsidRPr="00240730" w:rsidR="00EC780B">
        <w:t xml:space="preserve"> assets by means of forming one public joint</w:t>
      </w:r>
      <w:r w:rsidRPr="00240730" w:rsidR="001313E2">
        <w:t>-</w:t>
      </w:r>
      <w:r w:rsidRPr="00240730" w:rsidR="00EC780B">
        <w:t>stock company on the basis of the debtor</w:t>
      </w:r>
      <w:r w:rsidRPr="00240730" w:rsidR="00240730">
        <w:t>’</w:t>
      </w:r>
      <w:r w:rsidRPr="00240730" w:rsidR="00EC780B">
        <w:t xml:space="preserve">s property may be included in the external administration plan </w:t>
      </w:r>
      <w:r w:rsidRPr="00240730" w:rsidR="007D289C">
        <w:t xml:space="preserve">based on </w:t>
      </w:r>
      <w:r w:rsidRPr="00240730" w:rsidR="00EC780B">
        <w:t xml:space="preserve">a decision </w:t>
      </w:r>
      <w:r w:rsidRPr="00240730" w:rsidR="001313E2">
        <w:t>by</w:t>
      </w:r>
      <w:r w:rsidRPr="00240730" w:rsidR="00EC780B">
        <w:t xml:space="preserve"> the debtor</w:t>
      </w:r>
      <w:r w:rsidRPr="00240730" w:rsidR="00240730">
        <w:t>’</w:t>
      </w:r>
      <w:r w:rsidRPr="00240730" w:rsidR="00EC780B">
        <w:t xml:space="preserve">s managerial body authorised </w:t>
      </w:r>
      <w:r w:rsidRPr="00240730" w:rsidR="001313E2">
        <w:t xml:space="preserve">by </w:t>
      </w:r>
      <w:r w:rsidRPr="00240730" w:rsidR="00EC780B">
        <w:t xml:space="preserve">the </w:t>
      </w:r>
      <w:r w:rsidRPr="00240730" w:rsidR="00417BAB">
        <w:t xml:space="preserve">constituent </w:t>
      </w:r>
      <w:r w:rsidRPr="00240730" w:rsidR="00EC780B">
        <w:t>documents to adopt decisions on conclu</w:t>
      </w:r>
      <w:r w:rsidRPr="00240730" w:rsidR="001313E2">
        <w:t>ding</w:t>
      </w:r>
      <w:r w:rsidRPr="00240730" w:rsidR="00EC780B">
        <w:t xml:space="preserve"> </w:t>
      </w:r>
      <w:r w:rsidRPr="00240730" w:rsidR="001313E2">
        <w:t xml:space="preserve">the </w:t>
      </w:r>
      <w:r w:rsidRPr="00240730" w:rsidR="00EC780B">
        <w:t>relevant transactions of the debtor (section 115</w:t>
      </w:r>
      <w:r w:rsidRPr="00240730" w:rsidR="00513D02">
        <w:t>(2)</w:t>
      </w:r>
      <w:r w:rsidRPr="00240730" w:rsidR="00EC780B">
        <w:t>).</w:t>
      </w:r>
      <w:r w:rsidRPr="00240730">
        <w:t xml:space="preserve"> </w:t>
      </w:r>
      <w:r w:rsidRPr="00240730" w:rsidR="00EC780B">
        <w:t xml:space="preserve">The </w:t>
      </w:r>
      <w:r w:rsidRPr="00240730" w:rsidR="007D289C">
        <w:t>ability to substitute a</w:t>
      </w:r>
      <w:r w:rsidRPr="00240730" w:rsidR="00EC780B">
        <w:t xml:space="preserve"> debtor</w:t>
      </w:r>
      <w:r w:rsidRPr="00240730" w:rsidR="00240730">
        <w:t>’</w:t>
      </w:r>
      <w:r w:rsidRPr="00240730" w:rsidR="00EC780B">
        <w:t>s assets may be included in the external administration plan</w:t>
      </w:r>
      <w:r w:rsidRPr="00240730" w:rsidR="007D289C">
        <w:t>,</w:t>
      </w:r>
      <w:r w:rsidRPr="00240730" w:rsidR="00EC780B">
        <w:t xml:space="preserve"> on the condition that all creditors whose obligations are secured by a pledge/mortgage of the debtor</w:t>
      </w:r>
      <w:r w:rsidRPr="00240730" w:rsidR="00240730">
        <w:t>’</w:t>
      </w:r>
      <w:r w:rsidRPr="00240730" w:rsidR="00EC780B">
        <w:t>s property</w:t>
      </w:r>
      <w:r w:rsidRPr="00240730" w:rsidR="007D289C">
        <w:t xml:space="preserve"> have voted </w:t>
      </w:r>
      <w:r w:rsidRPr="00240730" w:rsidR="002C389C">
        <w:t>in favour of</w:t>
      </w:r>
      <w:r w:rsidRPr="00240730" w:rsidR="007D289C">
        <w:t xml:space="preserve"> the decision</w:t>
      </w:r>
      <w:r w:rsidRPr="00240730" w:rsidR="00EC780B">
        <w:t>.</w:t>
      </w:r>
    </w:p>
    <w:bookmarkStart w:name="IAsection115owner" w:id="47"/>
    <w:p w:rsidRPr="00240730" w:rsidR="00EC780B" w:rsidP="00240730" w:rsidRDefault="00EC780B">
      <w:pPr>
        <w:pStyle w:val="ECHRPara"/>
        <w:rPr>
          <w:rFonts w:ascii="Times New Roman" w:hAnsi="Times New Roman" w:cs="Times New Roman"/>
          <w:szCs w:val="24"/>
        </w:rPr>
      </w:pPr>
      <w:r w:rsidRPr="00240730">
        <w:fldChar w:fldCharType="begin"/>
      </w:r>
      <w:r w:rsidRPr="00240730">
        <w:instrText xml:space="preserve"> SEQ level0 \*arabic </w:instrText>
      </w:r>
      <w:r w:rsidRPr="00240730">
        <w:fldChar w:fldCharType="separate"/>
      </w:r>
      <w:r w:rsidRPr="00240730" w:rsidR="00240730">
        <w:rPr>
          <w:noProof/>
        </w:rPr>
        <w:t>76</w:t>
      </w:r>
      <w:r w:rsidRPr="00240730">
        <w:fldChar w:fldCharType="end"/>
      </w:r>
      <w:bookmarkEnd w:id="47"/>
      <w:r w:rsidRPr="00240730">
        <w:t>.  When the debtor</w:t>
      </w:r>
      <w:r w:rsidRPr="00240730" w:rsidR="00240730">
        <w:t>’</w:t>
      </w:r>
      <w:r w:rsidRPr="00240730">
        <w:t>s assets are substituted</w:t>
      </w:r>
      <w:r w:rsidRPr="00240730" w:rsidR="00FF0582">
        <w:t>,</w:t>
      </w:r>
      <w:r w:rsidRPr="00240730">
        <w:t xml:space="preserve"> the debtor is the sole founder of </w:t>
      </w:r>
      <w:r w:rsidRPr="00240730" w:rsidR="00FB7468">
        <w:t xml:space="preserve">the </w:t>
      </w:r>
      <w:r w:rsidRPr="00240730">
        <w:t>joint</w:t>
      </w:r>
      <w:r w:rsidRPr="00240730" w:rsidR="00FB7468">
        <w:t>-</w:t>
      </w:r>
      <w:r w:rsidRPr="00240730">
        <w:t>stock company or several public joint</w:t>
      </w:r>
      <w:r w:rsidRPr="00240730" w:rsidR="00FB7468">
        <w:t>-</w:t>
      </w:r>
      <w:r w:rsidRPr="00240730">
        <w:t>stock companies. The participation of other founders in the formation of a public joint</w:t>
      </w:r>
      <w:r w:rsidRPr="00240730" w:rsidR="00FE20E9">
        <w:t>-</w:t>
      </w:r>
      <w:r w:rsidRPr="00240730">
        <w:t>stock company or several public joint</w:t>
      </w:r>
      <w:r w:rsidRPr="00240730" w:rsidR="00FE20E9">
        <w:t>-</w:t>
      </w:r>
      <w:r w:rsidRPr="00240730">
        <w:t xml:space="preserve">stock companies is </w:t>
      </w:r>
      <w:r w:rsidRPr="00240730" w:rsidR="00FE20E9">
        <w:t xml:space="preserve">not permitted </w:t>
      </w:r>
      <w:r w:rsidRPr="00240730">
        <w:t>(section 115</w:t>
      </w:r>
      <w:r w:rsidRPr="00240730" w:rsidR="00513D02">
        <w:t>(</w:t>
      </w:r>
      <w:r w:rsidRPr="00240730">
        <w:t>3</w:t>
      </w:r>
      <w:proofErr w:type="gramStart"/>
      <w:r w:rsidRPr="00240730" w:rsidR="00513D02">
        <w:t>)(</w:t>
      </w:r>
      <w:proofErr w:type="gramEnd"/>
      <w:r w:rsidRPr="00240730">
        <w:t>1</w:t>
      </w:r>
      <w:r w:rsidRPr="00240730" w:rsidR="00513D02">
        <w:t>)</w:t>
      </w:r>
      <w:r w:rsidRPr="00240730">
        <w:t>). The amount of authorised capital</w:t>
      </w:r>
      <w:r w:rsidRPr="00240730" w:rsidR="004D3ACD">
        <w:t xml:space="preserve"> of</w:t>
      </w:r>
      <w:r w:rsidRPr="00240730">
        <w:t xml:space="preserve"> the</w:t>
      </w:r>
      <w:r w:rsidRPr="00240730" w:rsidR="004D3ACD">
        <w:t xml:space="preserve"> newly </w:t>
      </w:r>
      <w:r w:rsidRPr="00240730" w:rsidR="008742FD">
        <w:t>formed</w:t>
      </w:r>
      <w:r w:rsidRPr="00240730">
        <w:t xml:space="preserve"> public joint</w:t>
      </w:r>
      <w:r w:rsidRPr="00240730" w:rsidR="00FE20E9">
        <w:t>-</w:t>
      </w:r>
      <w:r w:rsidRPr="00240730">
        <w:t xml:space="preserve">stock companies </w:t>
      </w:r>
      <w:r w:rsidRPr="00240730" w:rsidR="004D3ACD">
        <w:t>is</w:t>
      </w:r>
      <w:r w:rsidRPr="00240730">
        <w:t xml:space="preserve"> determined by a decision of </w:t>
      </w:r>
      <w:r w:rsidRPr="00240730" w:rsidR="00AA2578">
        <w:t xml:space="preserve">the </w:t>
      </w:r>
      <w:r w:rsidRPr="00240730">
        <w:t>meeting of creditors or creditors</w:t>
      </w:r>
      <w:r w:rsidRPr="00240730" w:rsidR="00240730">
        <w:t>’</w:t>
      </w:r>
      <w:r w:rsidRPr="00240730">
        <w:t xml:space="preserve"> committee and </w:t>
      </w:r>
      <w:r w:rsidRPr="00240730" w:rsidR="004D3ACD">
        <w:t xml:space="preserve">set at the </w:t>
      </w:r>
      <w:r w:rsidRPr="00240730">
        <w:t xml:space="preserve">amount </w:t>
      </w:r>
      <w:r w:rsidRPr="00240730" w:rsidR="004D3ACD">
        <w:t>defined in the report on</w:t>
      </w:r>
      <w:r w:rsidRPr="00240730">
        <w:t xml:space="preserve"> the market value of the property contributed </w:t>
      </w:r>
      <w:r w:rsidRPr="00240730" w:rsidR="004D3ACD">
        <w:t xml:space="preserve">as </w:t>
      </w:r>
      <w:r w:rsidRPr="00240730">
        <w:t xml:space="preserve">payment for the authorised capital of the </w:t>
      </w:r>
      <w:r w:rsidRPr="00240730" w:rsidR="004D3ACD">
        <w:t xml:space="preserve">newly </w:t>
      </w:r>
      <w:r w:rsidRPr="00240730" w:rsidR="008742FD">
        <w:t>formed</w:t>
      </w:r>
      <w:r w:rsidRPr="00240730" w:rsidR="004D3ACD">
        <w:t xml:space="preserve"> </w:t>
      </w:r>
      <w:r w:rsidRPr="00240730">
        <w:t>public joint</w:t>
      </w:r>
      <w:r w:rsidRPr="00240730" w:rsidR="00FE20E9">
        <w:t>-</w:t>
      </w:r>
      <w:r w:rsidRPr="00240730">
        <w:t>stock companies (section 115</w:t>
      </w:r>
      <w:r w:rsidRPr="00240730" w:rsidR="00513D02">
        <w:t>(</w:t>
      </w:r>
      <w:r w:rsidRPr="00240730">
        <w:t>3</w:t>
      </w:r>
      <w:r w:rsidRPr="00240730" w:rsidR="00513D02">
        <w:t>)(</w:t>
      </w:r>
      <w:r w:rsidRPr="00240730">
        <w:t>2</w:t>
      </w:r>
      <w:r w:rsidRPr="00240730" w:rsidR="00513D02">
        <w:t>)</w:t>
      </w:r>
      <w:r w:rsidRPr="00240730">
        <w:t xml:space="preserve">). </w:t>
      </w:r>
      <w:r w:rsidRPr="00240730">
        <w:rPr>
          <w:rFonts w:ascii="Times New Roman" w:hAnsi="Times New Roman" w:cs="Times New Roman"/>
          <w:szCs w:val="24"/>
        </w:rPr>
        <w:t>The</w:t>
      </w:r>
      <w:r w:rsidRPr="00240730" w:rsidR="004D3ACD">
        <w:rPr>
          <w:rFonts w:ascii="Times New Roman" w:hAnsi="Times New Roman" w:cs="Times New Roman"/>
          <w:szCs w:val="24"/>
        </w:rPr>
        <w:t xml:space="preserve"> </w:t>
      </w:r>
      <w:r w:rsidRPr="00240730" w:rsidR="007F588D">
        <w:rPr>
          <w:rFonts w:ascii="Times New Roman" w:hAnsi="Times New Roman" w:cs="Times New Roman"/>
          <w:szCs w:val="24"/>
        </w:rPr>
        <w:t>valuation</w:t>
      </w:r>
      <w:r w:rsidRPr="00240730" w:rsidR="004D3ACD">
        <w:rPr>
          <w:rFonts w:ascii="Times New Roman" w:hAnsi="Times New Roman" w:cs="Times New Roman"/>
          <w:szCs w:val="24"/>
        </w:rPr>
        <w:t xml:space="preserve"> of the</w:t>
      </w:r>
      <w:r w:rsidRPr="00240730">
        <w:rPr>
          <w:rFonts w:ascii="Times New Roman" w:hAnsi="Times New Roman" w:cs="Times New Roman"/>
          <w:szCs w:val="24"/>
        </w:rPr>
        <w:t xml:space="preserve"> property contributed as payment for the authorised capital of the newly</w:t>
      </w:r>
      <w:r w:rsidRPr="00240730" w:rsidR="00A10F6A">
        <w:rPr>
          <w:rFonts w:ascii="Times New Roman" w:hAnsi="Times New Roman" w:cs="Times New Roman"/>
          <w:szCs w:val="24"/>
        </w:rPr>
        <w:t xml:space="preserve"> </w:t>
      </w:r>
      <w:r w:rsidRPr="00240730" w:rsidR="008742FD">
        <w:rPr>
          <w:rFonts w:ascii="Times New Roman" w:hAnsi="Times New Roman" w:cs="Times New Roman"/>
          <w:szCs w:val="24"/>
        </w:rPr>
        <w:t>formed</w:t>
      </w:r>
      <w:r w:rsidRPr="00240730">
        <w:rPr>
          <w:rFonts w:ascii="Times New Roman" w:hAnsi="Times New Roman" w:cs="Times New Roman"/>
          <w:szCs w:val="24"/>
        </w:rPr>
        <w:t xml:space="preserve"> public joint</w:t>
      </w:r>
      <w:r w:rsidRPr="00240730" w:rsidR="00FE20E9">
        <w:rPr>
          <w:rFonts w:ascii="Times New Roman" w:hAnsi="Times New Roman" w:cs="Times New Roman"/>
          <w:szCs w:val="24"/>
        </w:rPr>
        <w:t>-</w:t>
      </w:r>
      <w:r w:rsidRPr="00240730">
        <w:rPr>
          <w:rFonts w:ascii="Times New Roman" w:hAnsi="Times New Roman" w:cs="Times New Roman"/>
          <w:szCs w:val="24"/>
        </w:rPr>
        <w:t xml:space="preserve">stock companies </w:t>
      </w:r>
      <w:r w:rsidRPr="00240730" w:rsidR="004D3ACD">
        <w:rPr>
          <w:rFonts w:ascii="Times New Roman" w:hAnsi="Times New Roman" w:cs="Times New Roman"/>
          <w:szCs w:val="24"/>
        </w:rPr>
        <w:t>must be carried out</w:t>
      </w:r>
      <w:r w:rsidRPr="00240730">
        <w:rPr>
          <w:rFonts w:ascii="Times New Roman" w:hAnsi="Times New Roman" w:cs="Times New Roman"/>
          <w:szCs w:val="24"/>
        </w:rPr>
        <w:t xml:space="preserve"> in</w:t>
      </w:r>
      <w:r w:rsidRPr="00240730" w:rsidR="008742FD">
        <w:rPr>
          <w:rFonts w:ascii="Times New Roman" w:hAnsi="Times New Roman" w:cs="Times New Roman"/>
          <w:szCs w:val="24"/>
        </w:rPr>
        <w:t xml:space="preserve"> accordance with</w:t>
      </w:r>
      <w:r w:rsidRPr="00240730">
        <w:rPr>
          <w:rFonts w:ascii="Times New Roman" w:hAnsi="Times New Roman" w:cs="Times New Roman"/>
          <w:szCs w:val="24"/>
        </w:rPr>
        <w:t xml:space="preserve"> the procedure </w:t>
      </w:r>
      <w:r w:rsidRPr="00240730" w:rsidR="008742FD">
        <w:rPr>
          <w:rFonts w:ascii="Times New Roman" w:hAnsi="Times New Roman" w:cs="Times New Roman"/>
          <w:szCs w:val="24"/>
        </w:rPr>
        <w:t xml:space="preserve">provided for </w:t>
      </w:r>
      <w:r w:rsidRPr="00240730">
        <w:rPr>
          <w:rFonts w:ascii="Times New Roman" w:hAnsi="Times New Roman" w:cs="Times New Roman"/>
          <w:szCs w:val="24"/>
        </w:rPr>
        <w:t>by</w:t>
      </w:r>
      <w:r w:rsidRPr="00240730" w:rsidR="00520693">
        <w:rPr>
          <w:rFonts w:ascii="Times New Roman" w:hAnsi="Times New Roman" w:cs="Times New Roman"/>
          <w:szCs w:val="24"/>
        </w:rPr>
        <w:t xml:space="preserve"> </w:t>
      </w:r>
      <w:r w:rsidRPr="00240730">
        <w:rPr>
          <w:rFonts w:ascii="Times New Roman" w:hAnsi="Times New Roman" w:cs="Times New Roman"/>
          <w:szCs w:val="24"/>
        </w:rPr>
        <w:t>the Act (</w:t>
      </w:r>
      <w:r w:rsidRPr="00240730" w:rsidR="00520693">
        <w:rPr>
          <w:rFonts w:ascii="Times New Roman" w:hAnsi="Times New Roman" w:cs="Times New Roman"/>
          <w:szCs w:val="24"/>
        </w:rPr>
        <w:t>ibid</w:t>
      </w:r>
      <w:r w:rsidRPr="00240730">
        <w:rPr>
          <w:rFonts w:ascii="Times New Roman" w:hAnsi="Times New Roman" w:cs="Times New Roman"/>
          <w:szCs w:val="24"/>
        </w:rPr>
        <w:t>)</w:t>
      </w:r>
      <w:r w:rsidRPr="00240730" w:rsidR="00520693">
        <w:rPr>
          <w:rFonts w:ascii="Times New Roman" w:hAnsi="Times New Roman" w:cs="Times New Roman"/>
          <w:szCs w:val="24"/>
        </w:rPr>
        <w:t>.</w:t>
      </w:r>
    </w:p>
    <w:bookmarkStart w:name="IAsection115p4labourContracts" w:id="48"/>
    <w:p w:rsidRPr="00240730" w:rsidR="00377D0B" w:rsidP="00240730" w:rsidRDefault="00EC780B">
      <w:pPr>
        <w:pStyle w:val="ECHRPara"/>
      </w:pPr>
      <w:r w:rsidRPr="00240730">
        <w:fldChar w:fldCharType="begin"/>
      </w:r>
      <w:r w:rsidRPr="00240730">
        <w:instrText xml:space="preserve"> SEQ level0 \*arabic </w:instrText>
      </w:r>
      <w:r w:rsidRPr="00240730">
        <w:fldChar w:fldCharType="separate"/>
      </w:r>
      <w:r w:rsidRPr="00240730" w:rsidR="00240730">
        <w:rPr>
          <w:noProof/>
        </w:rPr>
        <w:t>77</w:t>
      </w:r>
      <w:r w:rsidRPr="00240730">
        <w:fldChar w:fldCharType="end"/>
      </w:r>
      <w:bookmarkEnd w:id="48"/>
      <w:r w:rsidRPr="00240730">
        <w:t xml:space="preserve">.  In the </w:t>
      </w:r>
      <w:r w:rsidRPr="00240730" w:rsidR="001313E2">
        <w:t xml:space="preserve">event </w:t>
      </w:r>
      <w:r w:rsidRPr="00240730">
        <w:t>of substitution of</w:t>
      </w:r>
      <w:r w:rsidRPr="00240730" w:rsidR="001313E2">
        <w:t xml:space="preserve"> a debtor</w:t>
      </w:r>
      <w:r w:rsidRPr="00240730" w:rsidR="00240730">
        <w:t>’</w:t>
      </w:r>
      <w:r w:rsidRPr="00240730" w:rsidR="001313E2">
        <w:t>s</w:t>
      </w:r>
      <w:r w:rsidRPr="00240730">
        <w:t xml:space="preserve"> assets</w:t>
      </w:r>
      <w:r w:rsidRPr="00240730" w:rsidR="008742FD">
        <w:t>,</w:t>
      </w:r>
      <w:r w:rsidRPr="00240730">
        <w:t xml:space="preserve"> all the </w:t>
      </w:r>
      <w:r w:rsidRPr="00240730" w:rsidR="008742FD">
        <w:t xml:space="preserve">employment </w:t>
      </w:r>
      <w:r w:rsidRPr="00240730">
        <w:t>contracts effective when the decision was made to substitute the debtor</w:t>
      </w:r>
      <w:r w:rsidRPr="00240730" w:rsidR="00240730">
        <w:t>’</w:t>
      </w:r>
      <w:r w:rsidRPr="00240730">
        <w:t>s assets remain</w:t>
      </w:r>
      <w:r w:rsidRPr="00240730" w:rsidR="008742FD">
        <w:t xml:space="preserve"> in</w:t>
      </w:r>
      <w:r w:rsidRPr="00240730">
        <w:t xml:space="preserve"> effect, with the employer</w:t>
      </w:r>
      <w:r w:rsidRPr="00240730" w:rsidR="00240730">
        <w:t>’</w:t>
      </w:r>
      <w:r w:rsidRPr="00240730">
        <w:t>s rights and duties being transferred to the newly formed public joint</w:t>
      </w:r>
      <w:r w:rsidRPr="00240730" w:rsidR="00FE20E9">
        <w:t>-</w:t>
      </w:r>
      <w:r w:rsidRPr="00240730">
        <w:t>stock company (companies) (section 115</w:t>
      </w:r>
      <w:r w:rsidRPr="00240730" w:rsidR="00513D02">
        <w:t>(</w:t>
      </w:r>
      <w:r w:rsidRPr="00240730">
        <w:t>4</w:t>
      </w:r>
      <w:r w:rsidRPr="00240730" w:rsidR="00513D02">
        <w:t>)</w:t>
      </w:r>
      <w:r w:rsidRPr="00240730">
        <w:t>).</w:t>
      </w:r>
    </w:p>
    <w:p w:rsidRPr="00240730" w:rsidR="00EC780B" w:rsidP="00240730" w:rsidRDefault="00EC780B">
      <w:pPr>
        <w:pStyle w:val="ECHRPara"/>
      </w:pPr>
      <w:r w:rsidRPr="00240730">
        <w:fldChar w:fldCharType="begin"/>
      </w:r>
      <w:r w:rsidRPr="00240730">
        <w:instrText xml:space="preserve"> SEQ level0 \*arabic </w:instrText>
      </w:r>
      <w:r w:rsidRPr="00240730">
        <w:fldChar w:fldCharType="separate"/>
      </w:r>
      <w:r w:rsidRPr="00240730" w:rsidR="00240730">
        <w:rPr>
          <w:noProof/>
        </w:rPr>
        <w:t>78</w:t>
      </w:r>
      <w:r w:rsidRPr="00240730">
        <w:fldChar w:fldCharType="end"/>
      </w:r>
      <w:r w:rsidRPr="00240730">
        <w:t xml:space="preserve">.  The document confirming the availability of a licence </w:t>
      </w:r>
      <w:r w:rsidRPr="00240730" w:rsidR="00145188">
        <w:t>to carry out</w:t>
      </w:r>
      <w:r w:rsidRPr="00240730">
        <w:t xml:space="preserve"> specific types of </w:t>
      </w:r>
      <w:r w:rsidRPr="00240730" w:rsidR="00145188">
        <w:t>activities is</w:t>
      </w:r>
      <w:r w:rsidRPr="00240730">
        <w:t xml:space="preserve"> subject to </w:t>
      </w:r>
      <w:r w:rsidRPr="00240730" w:rsidR="00145188">
        <w:t xml:space="preserve">the </w:t>
      </w:r>
      <w:r w:rsidRPr="00240730">
        <w:t xml:space="preserve">issuing </w:t>
      </w:r>
      <w:r w:rsidRPr="00240730" w:rsidR="00145188">
        <w:t xml:space="preserve">of </w:t>
      </w:r>
      <w:r w:rsidRPr="00240730">
        <w:t>a document confirming the fact that the newly formed public joint</w:t>
      </w:r>
      <w:r w:rsidRPr="00240730" w:rsidR="00FE20E9">
        <w:t>-</w:t>
      </w:r>
      <w:r w:rsidRPr="00240730">
        <w:t xml:space="preserve">stock company (companies) holds (hold) </w:t>
      </w:r>
      <w:r w:rsidRPr="00240730" w:rsidR="000E4FC6">
        <w:t xml:space="preserve">the </w:t>
      </w:r>
      <w:r w:rsidRPr="00240730">
        <w:t xml:space="preserve">relevant licence in accordance with the procedure </w:t>
      </w:r>
      <w:r w:rsidRPr="00240730" w:rsidR="000E4FC6">
        <w:t xml:space="preserve">provided for </w:t>
      </w:r>
      <w:r w:rsidRPr="00240730">
        <w:t>by federal law (ibid.)</w:t>
      </w:r>
    </w:p>
    <w:p w:rsidRPr="00240730" w:rsidR="00EC780B" w:rsidP="00240730" w:rsidRDefault="00EC780B">
      <w:pPr>
        <w:pStyle w:val="ECHRPara"/>
      </w:pPr>
      <w:r w:rsidRPr="00240730">
        <w:fldChar w:fldCharType="begin"/>
      </w:r>
      <w:r w:rsidRPr="00240730">
        <w:instrText xml:space="preserve"> SEQ level0 \*arabic </w:instrText>
      </w:r>
      <w:r w:rsidRPr="00240730">
        <w:fldChar w:fldCharType="separate"/>
      </w:r>
      <w:r w:rsidRPr="00240730" w:rsidR="00240730">
        <w:rPr>
          <w:noProof/>
        </w:rPr>
        <w:t>79</w:t>
      </w:r>
      <w:r w:rsidRPr="00240730">
        <w:fldChar w:fldCharType="end"/>
      </w:r>
      <w:r w:rsidRPr="00240730">
        <w:t>.  The shares of the public joint</w:t>
      </w:r>
      <w:r w:rsidRPr="00240730" w:rsidR="00FE20E9">
        <w:t>-</w:t>
      </w:r>
      <w:r w:rsidRPr="00240730">
        <w:t>stock company or public joint</w:t>
      </w:r>
      <w:r w:rsidRPr="00240730" w:rsidR="00FE20E9">
        <w:t>-</w:t>
      </w:r>
      <w:r w:rsidRPr="00240730">
        <w:t>stock companies formed on the basis of the debtor</w:t>
      </w:r>
      <w:r w:rsidRPr="00240730" w:rsidR="00240730">
        <w:t>’</w:t>
      </w:r>
      <w:r w:rsidRPr="00240730">
        <w:t>s property are included in the debtor</w:t>
      </w:r>
      <w:r w:rsidRPr="00240730" w:rsidR="00240730">
        <w:t>’</w:t>
      </w:r>
      <w:r w:rsidRPr="00240730">
        <w:t xml:space="preserve">s estate and </w:t>
      </w:r>
      <w:r w:rsidRPr="00240730" w:rsidR="00145188">
        <w:t xml:space="preserve">may </w:t>
      </w:r>
      <w:r w:rsidRPr="00240730">
        <w:t xml:space="preserve">be sold at public </w:t>
      </w:r>
      <w:r w:rsidRPr="00240730" w:rsidR="00145188">
        <w:t>auction</w:t>
      </w:r>
      <w:r w:rsidRPr="00240730">
        <w:t xml:space="preserve"> (section 115</w:t>
      </w:r>
      <w:r w:rsidRPr="00240730" w:rsidR="00513D02">
        <w:t>(</w:t>
      </w:r>
      <w:r w:rsidRPr="00240730" w:rsidR="00F609C4">
        <w:t>5</w:t>
      </w:r>
      <w:r w:rsidRPr="00240730" w:rsidR="00513D02">
        <w:t>)</w:t>
      </w:r>
      <w:r w:rsidRPr="00240730">
        <w:t>).</w:t>
      </w:r>
      <w:r w:rsidRPr="00240730">
        <w:rPr>
          <w:rFonts w:ascii="Times New Roman" w:hAnsi="Times New Roman" w:cs="Times New Roman" w:eastAsiaTheme="minorHAnsi"/>
          <w:szCs w:val="24"/>
        </w:rPr>
        <w:t xml:space="preserve"> </w:t>
      </w:r>
      <w:r w:rsidRPr="00240730">
        <w:t>The sale of shares of the public joint</w:t>
      </w:r>
      <w:r w:rsidRPr="00240730" w:rsidR="00721638">
        <w:noBreakHyphen/>
      </w:r>
      <w:r w:rsidRPr="00240730">
        <w:t>stock company or the public joint</w:t>
      </w:r>
      <w:r w:rsidRPr="00240730" w:rsidR="00FE20E9">
        <w:t>-</w:t>
      </w:r>
      <w:r w:rsidRPr="00240730">
        <w:t>stock companies formed on the basis of the debtor</w:t>
      </w:r>
      <w:r w:rsidRPr="00240730" w:rsidR="00240730">
        <w:t>’</w:t>
      </w:r>
      <w:r w:rsidRPr="00240730">
        <w:t xml:space="preserve">s property </w:t>
      </w:r>
      <w:r w:rsidRPr="00240730" w:rsidR="00F609C4">
        <w:t xml:space="preserve">must </w:t>
      </w:r>
      <w:r w:rsidRPr="00240730">
        <w:t>ensure an accumulation of funds for restoration of the debtor</w:t>
      </w:r>
      <w:r w:rsidRPr="00240730" w:rsidR="00240730">
        <w:t>’</w:t>
      </w:r>
      <w:r w:rsidRPr="00240730">
        <w:t>s solvency (ibid.)</w:t>
      </w:r>
    </w:p>
    <w:bookmarkStart w:name="RulingSCC15122004DebtorOnlyShareholder" w:id="49"/>
    <w:p w:rsidRPr="00240730" w:rsidR="00E2289C" w:rsidP="00240730" w:rsidRDefault="005E1F10">
      <w:pPr>
        <w:pStyle w:val="ECHRPara"/>
      </w:pPr>
      <w:r w:rsidRPr="00240730">
        <w:fldChar w:fldCharType="begin"/>
      </w:r>
      <w:r w:rsidRPr="00240730">
        <w:instrText xml:space="preserve"> SEQ level0 \*arabic </w:instrText>
      </w:r>
      <w:r w:rsidRPr="00240730">
        <w:fldChar w:fldCharType="separate"/>
      </w:r>
      <w:r w:rsidRPr="00240730" w:rsidR="00240730">
        <w:rPr>
          <w:noProof/>
        </w:rPr>
        <w:t>80</w:t>
      </w:r>
      <w:r w:rsidRPr="00240730">
        <w:fldChar w:fldCharType="end"/>
      </w:r>
      <w:bookmarkEnd w:id="49"/>
      <w:r w:rsidRPr="00240730">
        <w:t>.  </w:t>
      </w:r>
      <w:r w:rsidRPr="00240730" w:rsidR="00C83A5C">
        <w:t>By</w:t>
      </w:r>
      <w:r w:rsidRPr="00240730" w:rsidR="002E4CF0">
        <w:t xml:space="preserve"> a</w:t>
      </w:r>
      <w:r w:rsidRPr="00240730" w:rsidR="00C83A5C">
        <w:t xml:space="preserve"> Ruling of 15 December 2004 No. 29 the Presidium of the Supreme Commercial Court of Russia clarified that, as the authorised capital of a company created by substitution of assets is paid with the debtor</w:t>
      </w:r>
      <w:r w:rsidRPr="00240730" w:rsidR="00240730">
        <w:t>’</w:t>
      </w:r>
      <w:r w:rsidRPr="00240730" w:rsidR="00C83A5C">
        <w:t xml:space="preserve">s property, the debtor is the only shareholder of </w:t>
      </w:r>
      <w:r w:rsidRPr="00240730" w:rsidR="002E4CF0">
        <w:t xml:space="preserve">that </w:t>
      </w:r>
      <w:r w:rsidRPr="00240730" w:rsidR="00C83A5C">
        <w:t>company when the latter is established (§ 44 of the Ruling).</w:t>
      </w:r>
    </w:p>
    <w:p w:rsidRPr="00240730" w:rsidR="000D1D57" w:rsidP="00240730" w:rsidRDefault="00341C49">
      <w:pPr>
        <w:pStyle w:val="ECHRHeading2"/>
      </w:pPr>
      <w:r w:rsidRPr="00240730">
        <w:t>E</w:t>
      </w:r>
      <w:r w:rsidRPr="00240730" w:rsidR="00B50619">
        <w:t>.  </w:t>
      </w:r>
      <w:r w:rsidRPr="00240730" w:rsidR="00A322A5">
        <w:rPr>
          <w:lang w:val="en-US"/>
        </w:rPr>
        <w:t>Provisions on joint-stock companies</w:t>
      </w:r>
      <w:r w:rsidRPr="00240730" w:rsidR="00A27B9C">
        <w:rPr>
          <w:lang w:val="en-US"/>
        </w:rPr>
        <w:t xml:space="preserve"> referred to by the Government</w:t>
      </w:r>
    </w:p>
    <w:bookmarkStart w:name="OAOdomesticLawBeginning" w:id="50"/>
    <w:p w:rsidRPr="00240730" w:rsidR="00E2289C" w:rsidP="00240730" w:rsidRDefault="0053758F">
      <w:pPr>
        <w:pStyle w:val="ECHRPara"/>
      </w:pPr>
      <w:r w:rsidRPr="00240730">
        <w:fldChar w:fldCharType="begin"/>
      </w:r>
      <w:r w:rsidRPr="00240730">
        <w:instrText xml:space="preserve"> SEQ level0 \*arabic </w:instrText>
      </w:r>
      <w:r w:rsidRPr="00240730">
        <w:fldChar w:fldCharType="separate"/>
      </w:r>
      <w:r w:rsidRPr="00240730" w:rsidR="00240730">
        <w:rPr>
          <w:noProof/>
        </w:rPr>
        <w:t>81</w:t>
      </w:r>
      <w:r w:rsidRPr="00240730">
        <w:fldChar w:fldCharType="end"/>
      </w:r>
      <w:bookmarkEnd w:id="50"/>
      <w:r w:rsidRPr="00240730">
        <w:t>.  </w:t>
      </w:r>
      <w:r w:rsidRPr="00240730" w:rsidR="000D1D57">
        <w:t xml:space="preserve">In accordance with </w:t>
      </w:r>
      <w:r w:rsidRPr="00240730" w:rsidR="00673A25">
        <w:t xml:space="preserve">Article 96 § 1 of the Civil Code, as in force at the material time, and </w:t>
      </w:r>
      <w:r w:rsidRPr="00240730" w:rsidR="002E4CF0">
        <w:t>s</w:t>
      </w:r>
      <w:r w:rsidRPr="00240730" w:rsidR="000D1D57">
        <w:t>ection 2 of the Joint-Stock Comp</w:t>
      </w:r>
      <w:r w:rsidRPr="00240730" w:rsidR="008040C4">
        <w:t>anies Act (Law no. </w:t>
      </w:r>
      <w:r w:rsidRPr="00240730" w:rsidR="007D5900">
        <w:t>208-FZ of 26 </w:t>
      </w:r>
      <w:r w:rsidRPr="00240730" w:rsidR="000D1D57">
        <w:t>December 1995)</w:t>
      </w:r>
      <w:r w:rsidRPr="00240730" w:rsidR="000304FE">
        <w:t>,</w:t>
      </w:r>
      <w:r w:rsidRPr="00240730" w:rsidR="000D1D57">
        <w:t xml:space="preserve"> as in forc</w:t>
      </w:r>
      <w:r w:rsidRPr="00240730" w:rsidR="004C17A9">
        <w:t>e at the material time, a joint</w:t>
      </w:r>
      <w:r w:rsidRPr="00240730" w:rsidR="004C17A9">
        <w:noBreakHyphen/>
      </w:r>
      <w:r w:rsidRPr="00240730" w:rsidR="000D1D57">
        <w:t xml:space="preserve">stock company is a commercial organisation whose </w:t>
      </w:r>
      <w:r w:rsidRPr="00240730" w:rsidR="00673A25">
        <w:t xml:space="preserve">authorised </w:t>
      </w:r>
      <w:r w:rsidRPr="00240730" w:rsidR="000D1D57">
        <w:t xml:space="preserve">capital is divided into a definite number of shares of stock certifying the rights and obligations of the members (shareholders) vis-à-vis the company. Shareholders are not liable for </w:t>
      </w:r>
      <w:r w:rsidRPr="00240730" w:rsidR="002E4CF0">
        <w:t xml:space="preserve">the </w:t>
      </w:r>
      <w:r w:rsidRPr="00240730" w:rsidR="000D1D57">
        <w:t>obligations of the company and bear the risk of losses associated with its activity only to the extent of the value of the shares owned by them.</w:t>
      </w:r>
    </w:p>
    <w:p w:rsidRPr="00240730" w:rsidR="00E2289C" w:rsidP="00240730" w:rsidRDefault="00A27B9C">
      <w:pPr>
        <w:pStyle w:val="ECHRPara"/>
      </w:pPr>
      <w:r w:rsidRPr="00240730">
        <w:fldChar w:fldCharType="begin"/>
      </w:r>
      <w:r w:rsidRPr="00240730">
        <w:instrText xml:space="preserve"> SEQ level0 \*arabic </w:instrText>
      </w:r>
      <w:r w:rsidRPr="00240730">
        <w:fldChar w:fldCharType="separate"/>
      </w:r>
      <w:r w:rsidRPr="00240730" w:rsidR="00240730">
        <w:rPr>
          <w:noProof/>
        </w:rPr>
        <w:t>82</w:t>
      </w:r>
      <w:r w:rsidRPr="00240730">
        <w:fldChar w:fldCharType="end"/>
      </w:r>
      <w:r w:rsidRPr="00240730">
        <w:t>.  The authorised capital of a joint-stock company is comprised of the face value of the company</w:t>
      </w:r>
      <w:r w:rsidRPr="00240730" w:rsidR="00240730">
        <w:t>’</w:t>
      </w:r>
      <w:r w:rsidRPr="00240730">
        <w:t>s shares acquired by the shareholders. The company</w:t>
      </w:r>
      <w:r w:rsidRPr="00240730" w:rsidR="00240730">
        <w:t>’</w:t>
      </w:r>
      <w:r w:rsidRPr="00240730">
        <w:t>s authorised capital defines the minimum amount of the company</w:t>
      </w:r>
      <w:r w:rsidRPr="00240730" w:rsidR="00240730">
        <w:t>’</w:t>
      </w:r>
      <w:r w:rsidRPr="00240730">
        <w:t>s property guaranteeing the interests of its creditors (Article 99 of the Civil Code).</w:t>
      </w:r>
    </w:p>
    <w:p w:rsidRPr="00240730" w:rsidR="00A27B9C" w:rsidP="00240730" w:rsidRDefault="00A27B9C">
      <w:pPr>
        <w:pStyle w:val="ECHRPara"/>
      </w:pPr>
      <w:r w:rsidRPr="00240730">
        <w:fldChar w:fldCharType="begin"/>
      </w:r>
      <w:r w:rsidRPr="00240730">
        <w:instrText xml:space="preserve"> SEQ level0 \*arabic </w:instrText>
      </w:r>
      <w:r w:rsidRPr="00240730">
        <w:fldChar w:fldCharType="separate"/>
      </w:r>
      <w:r w:rsidRPr="00240730" w:rsidR="00240730">
        <w:rPr>
          <w:noProof/>
        </w:rPr>
        <w:t>83</w:t>
      </w:r>
      <w:r w:rsidRPr="00240730">
        <w:fldChar w:fldCharType="end"/>
      </w:r>
      <w:r w:rsidRPr="00240730">
        <w:t>.  A company is liable to the extent of its assets. It is not liable for the obligations of its shareholders. If the insolvency (bankruptcy) of a company is caused by</w:t>
      </w:r>
      <w:r w:rsidRPr="00240730" w:rsidR="002E4CF0">
        <w:t xml:space="preserve"> the</w:t>
      </w:r>
      <w:r w:rsidRPr="00240730">
        <w:t xml:space="preserve"> actions (omissions) of its shareholders or other persons vested with the right to issue instructions binding upon the company or otherwise having the power to determine its actions, then such shareholders or other persons may, if the company lacks sufficient assets, be held vicariously liable for its obligations. The insolvency (or bankruptcy) of a company is considered to be caused by the actions (or failure to act) of its shareholders or other persons vested with the right to issue instructions binding upon the company or otherwise having the power to determine its actions, only where they have exercised such right and/or power in the furtherance of the company</w:t>
      </w:r>
      <w:r w:rsidRPr="00240730" w:rsidR="00240730">
        <w:t>’</w:t>
      </w:r>
      <w:r w:rsidRPr="00240730">
        <w:t>s carrying out of</w:t>
      </w:r>
      <w:r w:rsidRPr="00240730" w:rsidR="002E4CF0">
        <w:t xml:space="preserve"> its</w:t>
      </w:r>
      <w:r w:rsidRPr="00240730">
        <w:t xml:space="preserve"> actions, knowing in advance that the consequence</w:t>
      </w:r>
      <w:r w:rsidRPr="00240730" w:rsidR="002E4CF0">
        <w:t>s</w:t>
      </w:r>
      <w:r w:rsidRPr="00240730">
        <w:t xml:space="preserve"> of carrying out </w:t>
      </w:r>
      <w:r w:rsidRPr="00240730" w:rsidR="002E4CF0">
        <w:t xml:space="preserve">those </w:t>
      </w:r>
      <w:r w:rsidRPr="00240730">
        <w:t>action</w:t>
      </w:r>
      <w:r w:rsidRPr="00240730" w:rsidR="002E4CF0">
        <w:t>s</w:t>
      </w:r>
      <w:r w:rsidRPr="00240730">
        <w:t xml:space="preserve"> would </w:t>
      </w:r>
      <w:r w:rsidRPr="00240730" w:rsidR="002E4CF0">
        <w:t xml:space="preserve">be </w:t>
      </w:r>
      <w:r w:rsidRPr="00240730">
        <w:t>insolvency (bankruptcy) of the</w:t>
      </w:r>
      <w:r w:rsidRPr="00240730" w:rsidR="008C587F">
        <w:t xml:space="preserve"> company </w:t>
      </w:r>
      <w:r w:rsidRPr="00240730">
        <w:t>(</w:t>
      </w:r>
      <w:r w:rsidRPr="00240730" w:rsidR="002E4CF0">
        <w:t>s</w:t>
      </w:r>
      <w:r w:rsidRPr="00240730">
        <w:t>ection 3</w:t>
      </w:r>
      <w:r w:rsidRPr="00240730" w:rsidR="008C587F">
        <w:t>(1</w:t>
      </w:r>
      <w:r w:rsidRPr="00240730" w:rsidR="002E4CF0">
        <w:t>) to (</w:t>
      </w:r>
      <w:r w:rsidRPr="00240730" w:rsidR="008C587F">
        <w:t>3)</w:t>
      </w:r>
      <w:r w:rsidRPr="00240730" w:rsidR="00151227">
        <w:t xml:space="preserve"> of the Joint</w:t>
      </w:r>
      <w:r w:rsidRPr="00240730" w:rsidR="00151227">
        <w:noBreakHyphen/>
      </w:r>
      <w:r w:rsidRPr="00240730">
        <w:t>Stock Companies Act).</w:t>
      </w:r>
    </w:p>
    <w:p w:rsidRPr="00240730" w:rsidR="008C587F" w:rsidP="00240730" w:rsidRDefault="008C587F">
      <w:pPr>
        <w:pStyle w:val="ECHRPara"/>
      </w:pPr>
      <w:r w:rsidRPr="00240730">
        <w:fldChar w:fldCharType="begin"/>
      </w:r>
      <w:r w:rsidRPr="00240730">
        <w:instrText xml:space="preserve"> SEQ level0 \*arabic </w:instrText>
      </w:r>
      <w:r w:rsidRPr="00240730">
        <w:fldChar w:fldCharType="separate"/>
      </w:r>
      <w:r w:rsidRPr="00240730" w:rsidR="00240730">
        <w:rPr>
          <w:noProof/>
        </w:rPr>
        <w:t>84</w:t>
      </w:r>
      <w:r w:rsidRPr="00240730">
        <w:fldChar w:fldCharType="end"/>
      </w:r>
      <w:r w:rsidRPr="00240730">
        <w:t>.  </w:t>
      </w:r>
      <w:r w:rsidRPr="00240730" w:rsidR="004748E7">
        <w:t xml:space="preserve">The </w:t>
      </w:r>
      <w:r w:rsidRPr="00240730">
        <w:t>State is not liable for the debts of the company, and the company is not liable for the obligations of the State and its bodies (</w:t>
      </w:r>
      <w:r w:rsidRPr="00240730" w:rsidR="004748E7">
        <w:t>section </w:t>
      </w:r>
      <w:r w:rsidRPr="00240730">
        <w:t>3</w:t>
      </w:r>
      <w:r w:rsidRPr="00240730" w:rsidR="004748E7">
        <w:t>(</w:t>
      </w:r>
      <w:r w:rsidRPr="00240730">
        <w:t>4</w:t>
      </w:r>
      <w:r w:rsidRPr="00240730" w:rsidR="004748E7">
        <w:t>)</w:t>
      </w:r>
      <w:r w:rsidRPr="00240730">
        <w:t xml:space="preserve"> of the Joint-Stock Companies Act).</w:t>
      </w:r>
    </w:p>
    <w:bookmarkStart w:name="OAOdomesticLawEnd" w:id="51"/>
    <w:p w:rsidRPr="00240730" w:rsidR="00E2289C" w:rsidP="00240730" w:rsidRDefault="00A27B9C">
      <w:pPr>
        <w:pStyle w:val="ECHRPara"/>
      </w:pPr>
      <w:r w:rsidRPr="00240730">
        <w:fldChar w:fldCharType="begin"/>
      </w:r>
      <w:r w:rsidRPr="00240730">
        <w:instrText xml:space="preserve"> SEQ level0 \*arabic </w:instrText>
      </w:r>
      <w:r w:rsidRPr="00240730">
        <w:fldChar w:fldCharType="separate"/>
      </w:r>
      <w:r w:rsidRPr="00240730" w:rsidR="00240730">
        <w:rPr>
          <w:noProof/>
        </w:rPr>
        <w:t>85</w:t>
      </w:r>
      <w:r w:rsidRPr="00240730">
        <w:fldChar w:fldCharType="end"/>
      </w:r>
      <w:bookmarkEnd w:id="51"/>
      <w:r w:rsidRPr="00240730">
        <w:t>.  </w:t>
      </w:r>
      <w:r w:rsidRPr="00240730" w:rsidR="004748E7">
        <w:t>The f</w:t>
      </w:r>
      <w:r w:rsidRPr="00240730">
        <w:t xml:space="preserve">ounders of the company are citizens or and (or) legal entities which have taken the decision to found it. </w:t>
      </w:r>
      <w:r w:rsidRPr="00240730" w:rsidR="0053758F">
        <w:t>Public and local authorities cannot act as the founders of the company, unless otherwise provided for by federal law</w:t>
      </w:r>
      <w:r w:rsidRPr="00240730" w:rsidR="00F01ABE">
        <w:t xml:space="preserve"> (</w:t>
      </w:r>
      <w:r w:rsidRPr="00240730" w:rsidR="004748E7">
        <w:t>s</w:t>
      </w:r>
      <w:r w:rsidRPr="00240730">
        <w:t>ection 10(1) of the Joint-Stock Companies Act</w:t>
      </w:r>
      <w:r w:rsidRPr="00240730" w:rsidR="00F01ABE">
        <w:t>).</w:t>
      </w:r>
    </w:p>
    <w:p w:rsidRPr="00240730" w:rsidR="00377D0B" w:rsidP="00240730" w:rsidRDefault="00F21046">
      <w:pPr>
        <w:pStyle w:val="ECHRHeading2"/>
      </w:pPr>
      <w:r w:rsidRPr="00240730">
        <w:t>F.  </w:t>
      </w:r>
      <w:r w:rsidRPr="00240730" w:rsidR="00B50619">
        <w:t xml:space="preserve">Legal status of unitary </w:t>
      </w:r>
      <w:r w:rsidRPr="00240730" w:rsidR="00B50619">
        <w:rPr>
          <w:lang w:val="en-US"/>
        </w:rPr>
        <w:t>enterprises</w:t>
      </w:r>
    </w:p>
    <w:bookmarkStart w:name="Article113CivilCodeUnitaryEnterprisesGEN" w:id="52"/>
    <w:p w:rsidRPr="00240730" w:rsidR="00832D62" w:rsidP="00240730" w:rsidRDefault="00832D62">
      <w:pPr>
        <w:pStyle w:val="ECHRPara"/>
      </w:pPr>
      <w:r w:rsidRPr="00240730">
        <w:fldChar w:fldCharType="begin"/>
      </w:r>
      <w:r w:rsidRPr="00240730">
        <w:instrText xml:space="preserve"> SEQ level0 \*arabic </w:instrText>
      </w:r>
      <w:proofErr w:type="gramStart"/>
      <w:r w:rsidRPr="00240730">
        <w:fldChar w:fldCharType="separate"/>
      </w:r>
      <w:r w:rsidRPr="00240730" w:rsidR="00240730">
        <w:rPr>
          <w:noProof/>
        </w:rPr>
        <w:t>86</w:t>
      </w:r>
      <w:r w:rsidRPr="00240730">
        <w:fldChar w:fldCharType="end"/>
      </w:r>
      <w:bookmarkEnd w:id="52"/>
      <w:r w:rsidRPr="00240730">
        <w:t>.</w:t>
      </w:r>
      <w:proofErr w:type="gramEnd"/>
      <w:r w:rsidRPr="00240730">
        <w:t>  The Civil Code of the Russian Federation defines State and municipal unitary enterprises as commercial organisations that do not exercise a right of ownership in respect of the property allocated to them by their owners. The property of the unitary enterprise is indivisible. Only State-run and municipal enterprises can be set up in the form of unitary enterprises (Article 113 § 1 of the Civil Code). The State or municipal authority retains ownership of the property but the unitary enterprise may exercise the right of economic control (</w:t>
      </w:r>
      <w:proofErr w:type="spellStart"/>
      <w:r w:rsidRPr="00240730">
        <w:rPr>
          <w:i/>
        </w:rPr>
        <w:t>право</w:t>
      </w:r>
      <w:proofErr w:type="spellEnd"/>
      <w:r w:rsidRPr="00240730">
        <w:rPr>
          <w:i/>
        </w:rPr>
        <w:t xml:space="preserve"> </w:t>
      </w:r>
      <w:proofErr w:type="spellStart"/>
      <w:r w:rsidRPr="00240730">
        <w:rPr>
          <w:i/>
        </w:rPr>
        <w:t>хозяйственного</w:t>
      </w:r>
      <w:proofErr w:type="spellEnd"/>
      <w:r w:rsidRPr="00240730">
        <w:rPr>
          <w:i/>
        </w:rPr>
        <w:t xml:space="preserve"> </w:t>
      </w:r>
      <w:proofErr w:type="spellStart"/>
      <w:r w:rsidRPr="00240730">
        <w:rPr>
          <w:i/>
        </w:rPr>
        <w:t>ведения</w:t>
      </w:r>
      <w:proofErr w:type="spellEnd"/>
      <w:r w:rsidRPr="00240730">
        <w:t>) or operational management (</w:t>
      </w:r>
      <w:proofErr w:type="spellStart"/>
      <w:r w:rsidRPr="00240730">
        <w:rPr>
          <w:i/>
        </w:rPr>
        <w:t>право</w:t>
      </w:r>
      <w:proofErr w:type="spellEnd"/>
      <w:r w:rsidRPr="00240730">
        <w:rPr>
          <w:i/>
        </w:rPr>
        <w:t xml:space="preserve"> </w:t>
      </w:r>
      <w:proofErr w:type="spellStart"/>
      <w:r w:rsidRPr="00240730">
        <w:rPr>
          <w:i/>
        </w:rPr>
        <w:t>оперативного</w:t>
      </w:r>
      <w:proofErr w:type="spellEnd"/>
      <w:r w:rsidRPr="00240730">
        <w:rPr>
          <w:i/>
        </w:rPr>
        <w:t xml:space="preserve"> </w:t>
      </w:r>
      <w:proofErr w:type="spellStart"/>
      <w:r w:rsidRPr="00240730">
        <w:rPr>
          <w:i/>
        </w:rPr>
        <w:t>управления</w:t>
      </w:r>
      <w:proofErr w:type="spellEnd"/>
      <w:r w:rsidRPr="00240730">
        <w:t>) over it (Article 113 § </w:t>
      </w:r>
      <w:r w:rsidRPr="00240730" w:rsidR="004E7EB2">
        <w:t>2 of the Civil Code</w:t>
      </w:r>
      <w:r w:rsidRPr="00240730">
        <w:t>). The director of a unitary enterprise is appointed by, and reports to, the property owner (Article 113 § 4 of the Civil Code</w:t>
      </w:r>
      <w:r w:rsidRPr="00240730" w:rsidR="000304FE">
        <w:t>,</w:t>
      </w:r>
      <w:r w:rsidRPr="00240730">
        <w:t xml:space="preserve"> as in force at the material time).</w:t>
      </w:r>
    </w:p>
    <w:p w:rsidRPr="00240730" w:rsidR="00014566" w:rsidP="00240730" w:rsidRDefault="00DD53B8">
      <w:pPr>
        <w:pStyle w:val="ECHRPara"/>
      </w:pPr>
      <w:r w:rsidRPr="00240730">
        <w:fldChar w:fldCharType="begin"/>
      </w:r>
      <w:r w:rsidRPr="00240730">
        <w:instrText xml:space="preserve"> SEQ level0 \*arabic </w:instrText>
      </w:r>
      <w:r w:rsidRPr="00240730">
        <w:fldChar w:fldCharType="separate"/>
      </w:r>
      <w:r w:rsidRPr="00240730" w:rsidR="00240730">
        <w:rPr>
          <w:noProof/>
        </w:rPr>
        <w:t>87</w:t>
      </w:r>
      <w:r w:rsidRPr="00240730">
        <w:fldChar w:fldCharType="end"/>
      </w:r>
      <w:r w:rsidRPr="00240730">
        <w:t>.  </w:t>
      </w:r>
      <w:r w:rsidRPr="00240730" w:rsidR="004E7EB2">
        <w:t xml:space="preserve">Other </w:t>
      </w:r>
      <w:r w:rsidRPr="00240730" w:rsidR="005C2039">
        <w:t xml:space="preserve">domestic provisions relevant to cases on the legal status of State and municipal unitary enterprises with the right of economic control are summarised in </w:t>
      </w:r>
      <w:proofErr w:type="spellStart"/>
      <w:r w:rsidRPr="00240730" w:rsidR="005C2039">
        <w:rPr>
          <w:i/>
        </w:rPr>
        <w:t>Liseytseva</w:t>
      </w:r>
      <w:proofErr w:type="spellEnd"/>
      <w:r w:rsidRPr="00240730" w:rsidR="005C2039">
        <w:rPr>
          <w:i/>
        </w:rPr>
        <w:t xml:space="preserve"> and </w:t>
      </w:r>
      <w:proofErr w:type="spellStart"/>
      <w:r w:rsidRPr="00240730" w:rsidR="005C2039">
        <w:rPr>
          <w:i/>
        </w:rPr>
        <w:t>Maslov</w:t>
      </w:r>
      <w:proofErr w:type="spellEnd"/>
      <w:r w:rsidRPr="00240730" w:rsidR="005C2039">
        <w:rPr>
          <w:i/>
        </w:rPr>
        <w:t xml:space="preserve"> </w:t>
      </w:r>
      <w:r w:rsidRPr="00240730" w:rsidR="005C2039">
        <w:t>(</w:t>
      </w:r>
      <w:r w:rsidRPr="00240730" w:rsidR="0004317E">
        <w:t>cited above</w:t>
      </w:r>
      <w:r w:rsidRPr="00240730" w:rsidR="005C2039">
        <w:t>, §§ 54-127).</w:t>
      </w:r>
    </w:p>
    <w:p w:rsidRPr="00240730" w:rsidR="00A762ED" w:rsidP="00240730" w:rsidRDefault="00477D61">
      <w:pPr>
        <w:pStyle w:val="ECHRPara"/>
      </w:pPr>
      <w:r w:rsidRPr="00240730">
        <w:fldChar w:fldCharType="begin"/>
      </w:r>
      <w:r w:rsidRPr="00240730">
        <w:instrText xml:space="preserve"> SEQ level0 \*arabic </w:instrText>
      </w:r>
      <w:r w:rsidRPr="00240730">
        <w:fldChar w:fldCharType="separate"/>
      </w:r>
      <w:r w:rsidRPr="00240730" w:rsidR="00240730">
        <w:rPr>
          <w:noProof/>
        </w:rPr>
        <w:t>88</w:t>
      </w:r>
      <w:r w:rsidRPr="00240730">
        <w:rPr>
          <w:noProof/>
        </w:rPr>
        <w:fldChar w:fldCharType="end"/>
      </w:r>
      <w:r w:rsidRPr="00240730" w:rsidR="0090182B">
        <w:t>.  </w:t>
      </w:r>
      <w:r w:rsidRPr="00240730" w:rsidR="008E136E">
        <w:t>S</w:t>
      </w:r>
      <w:r w:rsidRPr="00240730" w:rsidR="00A762ED">
        <w:t>ection 2 of the Insolvency Act</w:t>
      </w:r>
      <w:r w:rsidRPr="00240730" w:rsidR="008E136E">
        <w:t xml:space="preserve"> provides that </w:t>
      </w:r>
      <w:r w:rsidRPr="00240730" w:rsidR="00920789">
        <w:t xml:space="preserve">a </w:t>
      </w:r>
      <w:r w:rsidRPr="00240730" w:rsidR="00A762ED">
        <w:t xml:space="preserve">“representative of the owner of the assets of a debtor unitary enterprise” is a person empowered by the owner of the assets of the debtor unitary enterprise to represent its lawful interests when the </w:t>
      </w:r>
      <w:r w:rsidRPr="00240730" w:rsidR="008E136E">
        <w:t xml:space="preserve">procedures applied </w:t>
      </w:r>
      <w:r w:rsidRPr="00240730" w:rsidR="00A762ED">
        <w:t>in a bankruptcy case are being implemented.</w:t>
      </w:r>
    </w:p>
    <w:p w:rsidRPr="00240730" w:rsidR="00014566" w:rsidP="00240730" w:rsidRDefault="00014566">
      <w:pPr>
        <w:pStyle w:val="ECHRTitle1"/>
      </w:pPr>
      <w:r w:rsidRPr="00240730">
        <w:t>THE LAW</w:t>
      </w:r>
    </w:p>
    <w:p w:rsidRPr="00240730" w:rsidR="00E57DA5" w:rsidP="00240730" w:rsidRDefault="00E57DA5">
      <w:pPr>
        <w:pStyle w:val="ECHRHeading1"/>
      </w:pPr>
      <w:r w:rsidRPr="00240730">
        <w:t>I.  JOINDER OF THE APPLICATIONS</w:t>
      </w:r>
    </w:p>
    <w:p w:rsidRPr="00240730" w:rsidR="00E57DA5" w:rsidP="00240730" w:rsidRDefault="00384DD8">
      <w:pPr>
        <w:pStyle w:val="ECHRPara"/>
      </w:pPr>
      <w:r w:rsidRPr="00240730">
        <w:fldChar w:fldCharType="begin"/>
      </w:r>
      <w:r w:rsidRPr="00240730">
        <w:instrText xml:space="preserve"> SEQ level0 \*arabic </w:instrText>
      </w:r>
      <w:r w:rsidRPr="00240730">
        <w:fldChar w:fldCharType="separate"/>
      </w:r>
      <w:r w:rsidRPr="00240730" w:rsidR="00240730">
        <w:rPr>
          <w:noProof/>
        </w:rPr>
        <w:t>89</w:t>
      </w:r>
      <w:r w:rsidRPr="00240730">
        <w:fldChar w:fldCharType="end"/>
      </w:r>
      <w:r w:rsidRPr="00240730">
        <w:t>.  </w:t>
      </w:r>
      <w:r w:rsidRPr="00240730" w:rsidR="006D5284">
        <w:t>The Court considers that, in accordance with Rule 42 § 1 of the Rules of Court, the applications should be joined, given their similar factual and legal background.</w:t>
      </w:r>
    </w:p>
    <w:p w:rsidRPr="00240730" w:rsidR="00014566" w:rsidP="00240730" w:rsidRDefault="00014566">
      <w:pPr>
        <w:pStyle w:val="ECHRHeading1"/>
      </w:pPr>
      <w:r w:rsidRPr="00240730">
        <w:t>I</w:t>
      </w:r>
      <w:r w:rsidRPr="00240730" w:rsidR="00E57DA5">
        <w:t>I</w:t>
      </w:r>
      <w:r w:rsidRPr="00240730">
        <w:t>.</w:t>
      </w:r>
      <w:proofErr w:type="gramStart"/>
      <w:r w:rsidRPr="00240730">
        <w:t>  ALLEGED</w:t>
      </w:r>
      <w:proofErr w:type="gramEnd"/>
      <w:r w:rsidRPr="00240730">
        <w:t xml:space="preserve"> VIOLATION OF AR</w:t>
      </w:r>
      <w:r w:rsidRPr="00240730" w:rsidR="00FD3D8C">
        <w:t>TICLE 6</w:t>
      </w:r>
      <w:r w:rsidRPr="00240730" w:rsidR="005E5FC8">
        <w:t> </w:t>
      </w:r>
      <w:r w:rsidRPr="00240730" w:rsidR="006C482C">
        <w:t>§ 1</w:t>
      </w:r>
      <w:r w:rsidRPr="00240730">
        <w:t xml:space="preserve"> OF THE CONVENTION</w:t>
      </w:r>
      <w:r w:rsidRPr="00240730" w:rsidR="002C056D">
        <w:t xml:space="preserve"> AND ARTICLE </w:t>
      </w:r>
      <w:r w:rsidRPr="00240730" w:rsidR="00FD3D8C">
        <w:t>1 OF PROTOCOL N</w:t>
      </w:r>
      <w:r w:rsidRPr="00240730" w:rsidR="0004317E">
        <w:t>o</w:t>
      </w:r>
      <w:r w:rsidRPr="00240730" w:rsidR="00FD3D8C">
        <w:t>.</w:t>
      </w:r>
      <w:r w:rsidRPr="00240730" w:rsidR="002C056D">
        <w:t> </w:t>
      </w:r>
      <w:r w:rsidRPr="00240730" w:rsidR="00FD3D8C">
        <w:t xml:space="preserve">1 </w:t>
      </w:r>
      <w:r w:rsidRPr="00240730" w:rsidR="002369EB">
        <w:t>ON ACCOUNT OF NON</w:t>
      </w:r>
      <w:r w:rsidRPr="00240730" w:rsidR="002369EB">
        <w:noBreakHyphen/>
      </w:r>
      <w:r w:rsidRPr="00240730" w:rsidR="00FD3D8C">
        <w:t>ENFORCEMENT AGAINST THE UNITARY ENTERPRISE</w:t>
      </w:r>
    </w:p>
    <w:p w:rsidRPr="00240730" w:rsidR="001500B9" w:rsidP="00240730" w:rsidRDefault="000B07BC">
      <w:pPr>
        <w:pStyle w:val="ECHRPara"/>
      </w:pPr>
      <w:r w:rsidRPr="00240730">
        <w:fldChar w:fldCharType="begin"/>
      </w:r>
      <w:r w:rsidRPr="00240730">
        <w:instrText xml:space="preserve"> SEQ level0 \*arabic </w:instrText>
      </w:r>
      <w:r w:rsidRPr="00240730">
        <w:fldChar w:fldCharType="separate"/>
      </w:r>
      <w:r w:rsidRPr="00240730" w:rsidR="00240730">
        <w:rPr>
          <w:noProof/>
        </w:rPr>
        <w:t>90</w:t>
      </w:r>
      <w:r w:rsidRPr="00240730">
        <w:fldChar w:fldCharType="end"/>
      </w:r>
      <w:r w:rsidRPr="00240730" w:rsidR="00014566">
        <w:t>.  </w:t>
      </w:r>
      <w:r w:rsidRPr="00240730" w:rsidR="001500B9">
        <w:t>The applicants complained about the non-enforcement of the judgment</w:t>
      </w:r>
      <w:r w:rsidRPr="00240730" w:rsidR="00BF5035">
        <w:t>s</w:t>
      </w:r>
      <w:r w:rsidRPr="00240730" w:rsidR="001500B9">
        <w:t xml:space="preserve"> against the FGUP. They referred to Article 6</w:t>
      </w:r>
      <w:r w:rsidRPr="00240730" w:rsidR="00867D21">
        <w:t> </w:t>
      </w:r>
      <w:r w:rsidRPr="00240730" w:rsidR="00A55E75">
        <w:t>§</w:t>
      </w:r>
      <w:r w:rsidRPr="00240730" w:rsidR="00867D21">
        <w:t> </w:t>
      </w:r>
      <w:r w:rsidRPr="00240730" w:rsidR="00A55E75">
        <w:t xml:space="preserve">1 </w:t>
      </w:r>
      <w:r w:rsidRPr="00240730" w:rsidR="001500B9">
        <w:t>of the Convention and Article 1 of Protocol No.</w:t>
      </w:r>
      <w:r w:rsidRPr="00240730" w:rsidR="00DC0A5F">
        <w:t xml:space="preserve"> </w:t>
      </w:r>
      <w:r w:rsidRPr="00240730" w:rsidR="001500B9">
        <w:t>1, which read as follows:</w:t>
      </w:r>
    </w:p>
    <w:p w:rsidRPr="00240730" w:rsidR="001500B9" w:rsidP="00240730" w:rsidRDefault="001500B9">
      <w:pPr>
        <w:pStyle w:val="ECHRTitleCentre3"/>
      </w:pPr>
      <w:r w:rsidRPr="00240730">
        <w:t>Article 6</w:t>
      </w:r>
      <w:r w:rsidRPr="00240730" w:rsidR="005E5FC8">
        <w:t> § 1</w:t>
      </w:r>
    </w:p>
    <w:p w:rsidRPr="00240730" w:rsidR="001500B9" w:rsidP="00240730" w:rsidRDefault="001500B9">
      <w:pPr>
        <w:pStyle w:val="ECHRParaQuote"/>
      </w:pPr>
      <w:r w:rsidRPr="00240730">
        <w:t>“In the determination of his civil rights and obligations ... everyone is entitled to a fair ... hearing ... by [a] ... tribunal ...”</w:t>
      </w:r>
    </w:p>
    <w:p w:rsidRPr="00240730" w:rsidR="001500B9" w:rsidP="00240730" w:rsidRDefault="001500B9">
      <w:pPr>
        <w:pStyle w:val="ECHRTitleCentre3"/>
      </w:pPr>
      <w:r w:rsidRPr="00240730">
        <w:t>Article 1 of Protocol No. 1</w:t>
      </w:r>
    </w:p>
    <w:p w:rsidRPr="00240730" w:rsidR="001500B9" w:rsidP="00240730" w:rsidRDefault="001500B9">
      <w:pPr>
        <w:pStyle w:val="ECHRParaQuote"/>
      </w:pPr>
      <w:r w:rsidRPr="00240730">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Pr="00240730" w:rsidR="001500B9" w:rsidP="00240730" w:rsidRDefault="001500B9">
      <w:pPr>
        <w:pStyle w:val="ECHRParaQuote"/>
      </w:pPr>
      <w:r w:rsidRPr="00240730">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Pr="00240730" w:rsidR="00377D0B" w:rsidP="00240730" w:rsidRDefault="000B07BC">
      <w:pPr>
        <w:pStyle w:val="ECHRPara"/>
      </w:pPr>
      <w:r w:rsidRPr="00240730">
        <w:fldChar w:fldCharType="begin"/>
      </w:r>
      <w:r w:rsidRPr="00240730">
        <w:instrText xml:space="preserve"> SEQ level0 \*arabic </w:instrText>
      </w:r>
      <w:r w:rsidRPr="00240730">
        <w:fldChar w:fldCharType="separate"/>
      </w:r>
      <w:r w:rsidRPr="00240730" w:rsidR="00240730">
        <w:rPr>
          <w:noProof/>
        </w:rPr>
        <w:t>91</w:t>
      </w:r>
      <w:r w:rsidRPr="00240730">
        <w:fldChar w:fldCharType="end"/>
      </w:r>
      <w:r w:rsidRPr="00240730" w:rsidR="006D70F4">
        <w:t xml:space="preserve">.  The Government contested the complaint on the same grounds as those set out in </w:t>
      </w:r>
      <w:proofErr w:type="spellStart"/>
      <w:r w:rsidRPr="00240730" w:rsidR="006D70F4">
        <w:rPr>
          <w:i/>
        </w:rPr>
        <w:t>Liseytseva</w:t>
      </w:r>
      <w:proofErr w:type="spellEnd"/>
      <w:r w:rsidRPr="00240730" w:rsidR="006D70F4">
        <w:rPr>
          <w:i/>
        </w:rPr>
        <w:t xml:space="preserve"> and </w:t>
      </w:r>
      <w:proofErr w:type="spellStart"/>
      <w:r w:rsidRPr="00240730" w:rsidR="006D70F4">
        <w:rPr>
          <w:i/>
        </w:rPr>
        <w:t>Maslov</w:t>
      </w:r>
      <w:proofErr w:type="spellEnd"/>
      <w:r w:rsidRPr="00240730" w:rsidR="006D70F4">
        <w:t xml:space="preserve"> (cited above, §§ 137-41)</w:t>
      </w:r>
      <w:r w:rsidRPr="00240730" w:rsidR="00A44E8F">
        <w:t>. In particular, they submitted that the applicants had failed to exhaust the domestic remedies available to them, such as compensation for damage under Articles 1069 and 1070 of the Civil Code, as well as non-pecuniary damage under Article 151 of the Civil Code.</w:t>
      </w:r>
      <w:r w:rsidRPr="00240730" w:rsidR="006D70F4">
        <w:t xml:space="preserve"> They argued that the debts of </w:t>
      </w:r>
      <w:r w:rsidRPr="00240730" w:rsidR="00FF705F">
        <w:t>the State</w:t>
      </w:r>
      <w:r w:rsidRPr="00240730" w:rsidR="006D70F4">
        <w:t xml:space="preserve"> unitary enterprise – a separate legal entity under domestic law – could not be attributed to the State, for exactly the same reasons as those summarised in </w:t>
      </w:r>
      <w:proofErr w:type="spellStart"/>
      <w:r w:rsidRPr="00240730" w:rsidR="006D70F4">
        <w:rPr>
          <w:i/>
        </w:rPr>
        <w:t>Liseytseva</w:t>
      </w:r>
      <w:proofErr w:type="spellEnd"/>
      <w:r w:rsidRPr="00240730" w:rsidR="006D70F4">
        <w:rPr>
          <w:i/>
        </w:rPr>
        <w:t xml:space="preserve"> and </w:t>
      </w:r>
      <w:proofErr w:type="spellStart"/>
      <w:r w:rsidRPr="00240730" w:rsidR="006D70F4">
        <w:rPr>
          <w:i/>
        </w:rPr>
        <w:t>Maslov</w:t>
      </w:r>
      <w:proofErr w:type="spellEnd"/>
      <w:r w:rsidRPr="00240730" w:rsidR="006D70F4">
        <w:t xml:space="preserve"> (cited above, §§ 136-42). The company had not performed any public functions</w:t>
      </w:r>
      <w:r w:rsidRPr="00240730" w:rsidR="00FC035C">
        <w:t>. I</w:t>
      </w:r>
      <w:r w:rsidRPr="00240730" w:rsidR="006D70F4">
        <w:t xml:space="preserve">ts activities </w:t>
      </w:r>
      <w:r w:rsidRPr="00240730" w:rsidR="00920789">
        <w:t>had been</w:t>
      </w:r>
      <w:r w:rsidRPr="00240730" w:rsidR="006D70F4">
        <w:t xml:space="preserve"> commercial</w:t>
      </w:r>
      <w:r w:rsidRPr="00240730" w:rsidR="00FC035C">
        <w:t xml:space="preserve">, performed at </w:t>
      </w:r>
      <w:r w:rsidRPr="00240730" w:rsidR="00E032AD">
        <w:t>the FGUP</w:t>
      </w:r>
      <w:r w:rsidRPr="00240730" w:rsidR="00240730">
        <w:t>’</w:t>
      </w:r>
      <w:r w:rsidRPr="00240730" w:rsidR="00E032AD">
        <w:t>s</w:t>
      </w:r>
      <w:r w:rsidRPr="00240730" w:rsidR="00FC035C">
        <w:t xml:space="preserve"> own risk</w:t>
      </w:r>
      <w:r w:rsidRPr="00240730" w:rsidR="006D70F4">
        <w:t>. The subsidiary liability</w:t>
      </w:r>
      <w:r w:rsidRPr="00240730" w:rsidR="002E5E63">
        <w:t xml:space="preserve"> of the State</w:t>
      </w:r>
      <w:r w:rsidRPr="00240730" w:rsidR="006D70F4">
        <w:t xml:space="preserve"> could not be engaged since the owner had not caused the company</w:t>
      </w:r>
      <w:r w:rsidRPr="00240730" w:rsidR="00240730">
        <w:t>’</w:t>
      </w:r>
      <w:r w:rsidRPr="00240730" w:rsidR="006D70F4">
        <w:t>s insolvency. It had not given any binding instructions or otherwise defined the company</w:t>
      </w:r>
      <w:r w:rsidRPr="00240730" w:rsidR="00240730">
        <w:t>’</w:t>
      </w:r>
      <w:r w:rsidRPr="00240730" w:rsidR="006D70F4">
        <w:t xml:space="preserve">s actions. The authorities had provided </w:t>
      </w:r>
      <w:r w:rsidRPr="00240730" w:rsidR="00C0023B">
        <w:t xml:space="preserve">the </w:t>
      </w:r>
      <w:r w:rsidRPr="00240730" w:rsidR="006D70F4">
        <w:t>requisite assistance to the applicants in their efforts to have the court</w:t>
      </w:r>
      <w:r w:rsidRPr="00240730" w:rsidR="000065BB">
        <w:t xml:space="preserve"> orders</w:t>
      </w:r>
      <w:r w:rsidRPr="00240730" w:rsidR="006D70F4">
        <w:t xml:space="preserve"> enforced</w:t>
      </w:r>
      <w:r w:rsidRPr="00240730" w:rsidR="00D2419A">
        <w:t xml:space="preserve">. </w:t>
      </w:r>
      <w:r w:rsidRPr="00240730" w:rsidR="00BE07B9">
        <w:t>Further</w:t>
      </w:r>
      <w:r w:rsidRPr="00240730" w:rsidR="004748E7">
        <w:t>more</w:t>
      </w:r>
      <w:r w:rsidRPr="00240730" w:rsidR="00BE07B9">
        <w:t xml:space="preserve">, the State </w:t>
      </w:r>
      <w:r w:rsidRPr="00240730" w:rsidR="004D354B">
        <w:t xml:space="preserve">had </w:t>
      </w:r>
      <w:r w:rsidRPr="00240730" w:rsidR="00BE07B9">
        <w:t>not</w:t>
      </w:r>
      <w:r w:rsidRPr="00240730" w:rsidR="004D354B">
        <w:t xml:space="preserve"> been</w:t>
      </w:r>
      <w:r w:rsidRPr="00240730" w:rsidR="00BE07B9">
        <w:t xml:space="preserve"> responsible for the FGUP</w:t>
      </w:r>
      <w:r w:rsidRPr="00240730" w:rsidR="00240730">
        <w:t>’</w:t>
      </w:r>
      <w:r w:rsidRPr="00240730" w:rsidR="00BE07B9">
        <w:t>s debts as since 2005 it had been placed in “external administration</w:t>
      </w:r>
      <w:r w:rsidRPr="00240730" w:rsidR="004D354B">
        <w:t xml:space="preserve">”; </w:t>
      </w:r>
      <w:r w:rsidRPr="00240730" w:rsidR="00BE07B9">
        <w:t>the owner</w:t>
      </w:r>
      <w:r w:rsidRPr="00240730" w:rsidR="00240730">
        <w:t>’</w:t>
      </w:r>
      <w:r w:rsidRPr="00240730" w:rsidR="00BE07B9">
        <w:t>s powers had accordingly terminated</w:t>
      </w:r>
      <w:r w:rsidRPr="00240730" w:rsidR="00832D62">
        <w:t xml:space="preserve"> in accordance with the Insolvency Act as in force at the material time (see paragraphs </w:t>
      </w:r>
      <w:r w:rsidRPr="00240730" w:rsidR="00832D62">
        <w:fldChar w:fldCharType="begin"/>
      </w:r>
      <w:r w:rsidRPr="00240730" w:rsidR="00832D62">
        <w:instrText xml:space="preserve"> REF IAsection94ExternalAdministration \h </w:instrText>
      </w:r>
      <w:r w:rsidRPr="00240730" w:rsidR="00CB3D0E">
        <w:instrText xml:space="preserve"> \* MERGEFORMAT </w:instrText>
      </w:r>
      <w:r w:rsidRPr="00240730" w:rsidR="00832D62">
        <w:fldChar w:fldCharType="separate"/>
      </w:r>
      <w:r w:rsidRPr="00240730" w:rsidR="00240730">
        <w:t>70</w:t>
      </w:r>
      <w:r w:rsidRPr="00240730" w:rsidR="00832D62">
        <w:fldChar w:fldCharType="end"/>
      </w:r>
      <w:r w:rsidRPr="00240730" w:rsidR="00832D62">
        <w:t>-</w:t>
      </w:r>
      <w:r w:rsidRPr="00240730" w:rsidR="00832D62">
        <w:fldChar w:fldCharType="begin"/>
      </w:r>
      <w:r w:rsidRPr="00240730" w:rsidR="00832D62">
        <w:instrText xml:space="preserve"> REF IAsection94p2 \h </w:instrText>
      </w:r>
      <w:r w:rsidRPr="00240730" w:rsidR="00CB3D0E">
        <w:instrText xml:space="preserve"> \* MERGEFORMAT </w:instrText>
      </w:r>
      <w:r w:rsidRPr="00240730" w:rsidR="00832D62">
        <w:fldChar w:fldCharType="separate"/>
      </w:r>
      <w:r w:rsidRPr="00240730" w:rsidR="00240730">
        <w:t>71</w:t>
      </w:r>
      <w:r w:rsidRPr="00240730" w:rsidR="00832D62">
        <w:fldChar w:fldCharType="end"/>
      </w:r>
      <w:r w:rsidRPr="00240730" w:rsidR="00832D62">
        <w:t>)</w:t>
      </w:r>
      <w:r w:rsidRPr="00240730" w:rsidR="00BE07B9">
        <w:t xml:space="preserve">, </w:t>
      </w:r>
      <w:r w:rsidRPr="00240730" w:rsidR="004E7EB2">
        <w:t>and the owners</w:t>
      </w:r>
      <w:r w:rsidRPr="00240730" w:rsidR="00240730">
        <w:t>’</w:t>
      </w:r>
      <w:r w:rsidRPr="00240730" w:rsidR="004E7EB2">
        <w:t xml:space="preserve"> rights defined in Article 113 §§ 1,</w:t>
      </w:r>
      <w:r w:rsidRPr="00240730" w:rsidR="004748E7">
        <w:t xml:space="preserve"> </w:t>
      </w:r>
      <w:r w:rsidRPr="00240730" w:rsidR="004E7EB2">
        <w:t>2 and 4 of the Civil Code (see paragraph </w:t>
      </w:r>
      <w:r w:rsidRPr="00240730" w:rsidR="004E7EB2">
        <w:fldChar w:fldCharType="begin"/>
      </w:r>
      <w:r w:rsidRPr="00240730" w:rsidR="004E7EB2">
        <w:instrText xml:space="preserve"> REF Article113CivilCodeUnitaryEnterprisesGEN \h </w:instrText>
      </w:r>
      <w:r w:rsidRPr="00240730" w:rsidR="00CB3D0E">
        <w:instrText xml:space="preserve"> \* MERGEFORMAT </w:instrText>
      </w:r>
      <w:r w:rsidRPr="00240730" w:rsidR="004E7EB2">
        <w:fldChar w:fldCharType="separate"/>
      </w:r>
      <w:r w:rsidRPr="00240730" w:rsidR="00240730">
        <w:t>86</w:t>
      </w:r>
      <w:r w:rsidRPr="00240730" w:rsidR="004E7EB2">
        <w:fldChar w:fldCharType="end"/>
      </w:r>
      <w:r w:rsidRPr="00240730" w:rsidR="004E7EB2">
        <w:t xml:space="preserve"> above) </w:t>
      </w:r>
      <w:r w:rsidRPr="00240730" w:rsidR="004748E7">
        <w:t xml:space="preserve">had been </w:t>
      </w:r>
      <w:r w:rsidRPr="00240730" w:rsidR="004E7EB2">
        <w:t>discontinued. They argued that</w:t>
      </w:r>
      <w:r w:rsidRPr="00240730" w:rsidR="00BE07B9">
        <w:t xml:space="preserve"> </w:t>
      </w:r>
      <w:r w:rsidRPr="00240730" w:rsidR="004D354B">
        <w:t xml:space="preserve">since </w:t>
      </w:r>
      <w:r w:rsidRPr="00240730" w:rsidR="00BE07B9">
        <w:t>the external manager was not a “public official”</w:t>
      </w:r>
      <w:r w:rsidRPr="00240730" w:rsidR="004D354B">
        <w:t>,</w:t>
      </w:r>
      <w:r w:rsidRPr="00240730" w:rsidR="00BE07B9">
        <w:t xml:space="preserve"> his actions could not be directly attributed to the State (see </w:t>
      </w:r>
      <w:proofErr w:type="spellStart"/>
      <w:r w:rsidRPr="00240730" w:rsidR="00FC035C">
        <w:rPr>
          <w:i/>
        </w:rPr>
        <w:t>Katsyuk</w:t>
      </w:r>
      <w:proofErr w:type="spellEnd"/>
      <w:r w:rsidRPr="00240730" w:rsidR="00FC035C">
        <w:rPr>
          <w:i/>
        </w:rPr>
        <w:t xml:space="preserve"> v. Ukraine</w:t>
      </w:r>
      <w:r w:rsidRPr="00240730" w:rsidR="00FC035C">
        <w:t>, no. 58928/00, § 39, 5 April 2005)</w:t>
      </w:r>
      <w:r w:rsidRPr="00240730" w:rsidR="00BE07B9">
        <w:t xml:space="preserve">. </w:t>
      </w:r>
      <w:r w:rsidRPr="00240730" w:rsidR="00FC035C">
        <w:t>Furthermore, the</w:t>
      </w:r>
      <w:r w:rsidRPr="00240730" w:rsidR="00D2419A">
        <w:t xml:space="preserve"> awards in the applicants</w:t>
      </w:r>
      <w:r w:rsidRPr="00240730" w:rsidR="00240730">
        <w:t>’</w:t>
      </w:r>
      <w:r w:rsidRPr="00240730" w:rsidR="00D2419A">
        <w:t xml:space="preserve"> favour against the FGUP </w:t>
      </w:r>
      <w:r w:rsidRPr="00240730" w:rsidR="00C0023B">
        <w:t xml:space="preserve">had been </w:t>
      </w:r>
      <w:r w:rsidRPr="00240730" w:rsidR="00D2419A">
        <w:t xml:space="preserve">fully recovered and </w:t>
      </w:r>
      <w:r w:rsidRPr="00240730" w:rsidR="002E5E63">
        <w:t xml:space="preserve">the </w:t>
      </w:r>
      <w:r w:rsidRPr="00240730" w:rsidR="00D2419A">
        <w:t>delay in enforcement</w:t>
      </w:r>
      <w:r w:rsidRPr="00240730" w:rsidR="00A526C4">
        <w:t xml:space="preserve"> of one year and ten months</w:t>
      </w:r>
      <w:r w:rsidRPr="00240730" w:rsidR="00D2419A">
        <w:t xml:space="preserve"> </w:t>
      </w:r>
      <w:r w:rsidRPr="00240730" w:rsidR="00920789">
        <w:t xml:space="preserve">had been </w:t>
      </w:r>
      <w:r w:rsidRPr="00240730" w:rsidR="00D2419A">
        <w:t>justified by the complex</w:t>
      </w:r>
      <w:r w:rsidRPr="00240730" w:rsidR="00A526C4">
        <w:t>ity of the</w:t>
      </w:r>
      <w:r w:rsidRPr="00240730" w:rsidR="00D2419A">
        <w:t xml:space="preserve"> insolvency procedure</w:t>
      </w:r>
      <w:r w:rsidRPr="00240730" w:rsidR="00A526C4">
        <w:t xml:space="preserve"> involving numerous creditors</w:t>
      </w:r>
      <w:r w:rsidRPr="00240730" w:rsidR="00D2419A">
        <w:t>.</w:t>
      </w:r>
      <w:r w:rsidRPr="00240730" w:rsidR="00092D98">
        <w:t xml:space="preserve"> </w:t>
      </w:r>
      <w:r w:rsidRPr="00240730" w:rsidR="0096218A">
        <w:t>Lastly</w:t>
      </w:r>
      <w:r w:rsidRPr="00240730" w:rsidR="00092D98">
        <w:t xml:space="preserve">, </w:t>
      </w:r>
      <w:r w:rsidRPr="00240730" w:rsidR="0096218A">
        <w:t xml:space="preserve">as regards Mr </w:t>
      </w:r>
      <w:proofErr w:type="spellStart"/>
      <w:r w:rsidRPr="00240730" w:rsidR="00092D98">
        <w:t>Tomilin</w:t>
      </w:r>
      <w:proofErr w:type="spellEnd"/>
      <w:r w:rsidRPr="00240730" w:rsidR="00092D98">
        <w:t xml:space="preserve"> and </w:t>
      </w:r>
      <w:r w:rsidRPr="00240730" w:rsidR="00E16A13">
        <w:t>Ms </w:t>
      </w:r>
      <w:proofErr w:type="spellStart"/>
      <w:r w:rsidRPr="00240730" w:rsidR="00092D98">
        <w:t>Kudryashova</w:t>
      </w:r>
      <w:proofErr w:type="spellEnd"/>
      <w:r w:rsidRPr="00240730" w:rsidR="00BF114E">
        <w:t>,</w:t>
      </w:r>
      <w:r w:rsidRPr="00240730" w:rsidR="00092D98">
        <w:t xml:space="preserve"> they argued that the applicants</w:t>
      </w:r>
      <w:r w:rsidRPr="00240730" w:rsidR="00240730">
        <w:t>’</w:t>
      </w:r>
      <w:r w:rsidRPr="00240730" w:rsidR="00092D98">
        <w:t xml:space="preserve"> rights </w:t>
      </w:r>
      <w:r w:rsidRPr="00240730" w:rsidR="007F588D">
        <w:t xml:space="preserve">had been </w:t>
      </w:r>
      <w:r w:rsidRPr="00240730" w:rsidR="00092D98">
        <w:t>restored at the domestic level as the awards in the applicants</w:t>
      </w:r>
      <w:r w:rsidRPr="00240730" w:rsidR="00240730">
        <w:t>’</w:t>
      </w:r>
      <w:r w:rsidRPr="00240730" w:rsidR="00151227">
        <w:t xml:space="preserve"> favour had been index</w:t>
      </w:r>
      <w:r w:rsidRPr="00240730" w:rsidR="00151227">
        <w:noBreakHyphen/>
      </w:r>
      <w:r w:rsidRPr="00240730" w:rsidR="00092D98">
        <w:t>linked and each applicant</w:t>
      </w:r>
      <w:r w:rsidRPr="00240730" w:rsidR="003227B0">
        <w:t xml:space="preserve"> had</w:t>
      </w:r>
      <w:r w:rsidRPr="00240730" w:rsidR="00092D98">
        <w:t xml:space="preserve"> received RUB 1</w:t>
      </w:r>
      <w:r w:rsidRPr="00240730" w:rsidR="00E17FFE">
        <w:t>,</w:t>
      </w:r>
      <w:r w:rsidRPr="00240730" w:rsidR="00092D98">
        <w:t xml:space="preserve">000 (EUR 22) </w:t>
      </w:r>
      <w:r w:rsidRPr="00240730" w:rsidR="007F588D">
        <w:t xml:space="preserve">in respect </w:t>
      </w:r>
      <w:r w:rsidRPr="00240730" w:rsidR="00092D98">
        <w:t>of non-pecuniary damage.</w:t>
      </w:r>
    </w:p>
    <w:p w:rsidRPr="00240730" w:rsidR="00377D0B" w:rsidP="00240730" w:rsidRDefault="006D70F4">
      <w:pPr>
        <w:pStyle w:val="ECHRPara"/>
        <w:rPr>
          <w:strike/>
        </w:rPr>
      </w:pPr>
      <w:r w:rsidRPr="00240730">
        <w:fldChar w:fldCharType="begin"/>
      </w:r>
      <w:r w:rsidRPr="00240730">
        <w:instrText xml:space="preserve"> SEQ level0 \*arabic </w:instrText>
      </w:r>
      <w:r w:rsidRPr="00240730">
        <w:fldChar w:fldCharType="separate"/>
      </w:r>
      <w:r w:rsidRPr="00240730" w:rsidR="00240730">
        <w:rPr>
          <w:noProof/>
        </w:rPr>
        <w:t>92</w:t>
      </w:r>
      <w:r w:rsidRPr="00240730">
        <w:fldChar w:fldCharType="end"/>
      </w:r>
      <w:r w:rsidRPr="00240730">
        <w:t xml:space="preserve">.  The applicants maintained their claims. </w:t>
      </w:r>
      <w:r w:rsidRPr="00240730" w:rsidR="002E5E63">
        <w:t xml:space="preserve">They argued that the Marine Plant </w:t>
      </w:r>
      <w:r w:rsidRPr="00240730" w:rsidR="00FD3E5F">
        <w:t xml:space="preserve">had been </w:t>
      </w:r>
      <w:r w:rsidRPr="00240730" w:rsidR="002E5E63">
        <w:t xml:space="preserve">a </w:t>
      </w:r>
      <w:r w:rsidRPr="00240730" w:rsidR="007219CA">
        <w:t xml:space="preserve">State enterprise of strategic importance, </w:t>
      </w:r>
      <w:r w:rsidRPr="00240730" w:rsidR="00A104A4">
        <w:t>both in terms of the tasks it performed and employment in the town</w:t>
      </w:r>
      <w:r w:rsidRPr="00240730" w:rsidR="007219CA">
        <w:t xml:space="preserve">, and </w:t>
      </w:r>
      <w:r w:rsidRPr="00240730" w:rsidR="00C54251">
        <w:t xml:space="preserve">that </w:t>
      </w:r>
      <w:r w:rsidRPr="00240730" w:rsidR="007219CA">
        <w:t xml:space="preserve">the authorities </w:t>
      </w:r>
      <w:r w:rsidRPr="00240730" w:rsidR="00C0023B">
        <w:t xml:space="preserve">had been </w:t>
      </w:r>
      <w:r w:rsidRPr="00240730" w:rsidR="007219CA">
        <w:t>heavily involved in its management at the time of the events, by way</w:t>
      </w:r>
      <w:r w:rsidRPr="00240730" w:rsidR="00C0023B">
        <w:t xml:space="preserve"> of</w:t>
      </w:r>
      <w:r w:rsidRPr="00240730" w:rsidR="007219CA">
        <w:t xml:space="preserve">, </w:t>
      </w:r>
      <w:r w:rsidRPr="00240730" w:rsidR="007219CA">
        <w:rPr>
          <w:i/>
        </w:rPr>
        <w:t>inter alia</w:t>
      </w:r>
      <w:r w:rsidRPr="00240730" w:rsidR="007219CA">
        <w:t>, the provision</w:t>
      </w:r>
      <w:r w:rsidRPr="00240730" w:rsidR="00C0023B">
        <w:t xml:space="preserve"> of subsidies</w:t>
      </w:r>
      <w:r w:rsidRPr="00240730" w:rsidR="007219CA">
        <w:t>.</w:t>
      </w:r>
    </w:p>
    <w:p w:rsidRPr="00240730" w:rsidR="00014566" w:rsidP="00240730" w:rsidRDefault="00014566">
      <w:pPr>
        <w:pStyle w:val="ECHRHeading2"/>
      </w:pPr>
      <w:r w:rsidRPr="00240730">
        <w:t>A.  Admissibility</w:t>
      </w:r>
    </w:p>
    <w:p w:rsidRPr="00240730" w:rsidR="00B96649" w:rsidP="00240730" w:rsidRDefault="002E5E63">
      <w:pPr>
        <w:pStyle w:val="ECHRHeading3"/>
      </w:pPr>
      <w:r w:rsidRPr="00240730">
        <w:t>1</w:t>
      </w:r>
      <w:r w:rsidRPr="00240730" w:rsidR="00B96649">
        <w:t xml:space="preserve">.  Compatibility </w:t>
      </w:r>
      <w:proofErr w:type="spellStart"/>
      <w:r w:rsidRPr="00240730" w:rsidR="00B96649">
        <w:t>ratione</w:t>
      </w:r>
      <w:proofErr w:type="spellEnd"/>
      <w:r w:rsidRPr="00240730" w:rsidR="00B96649">
        <w:t xml:space="preserve"> </w:t>
      </w:r>
      <w:r w:rsidRPr="00240730" w:rsidR="007A5856">
        <w:t>personae</w:t>
      </w:r>
      <w:r w:rsidRPr="00240730" w:rsidR="00B96649">
        <w:t xml:space="preserve"> – </w:t>
      </w:r>
      <w:r w:rsidRPr="00240730" w:rsidR="007A5856">
        <w:t xml:space="preserve">the </w:t>
      </w:r>
      <w:r w:rsidRPr="00240730">
        <w:t>State</w:t>
      </w:r>
      <w:r w:rsidRPr="00240730" w:rsidR="00240730">
        <w:t>’</w:t>
      </w:r>
      <w:r w:rsidRPr="00240730">
        <w:t xml:space="preserve">s </w:t>
      </w:r>
      <w:r w:rsidRPr="00240730" w:rsidR="00B96649">
        <w:t>responsibility for the FGUP</w:t>
      </w:r>
      <w:r w:rsidRPr="00240730" w:rsidR="00240730">
        <w:t>’</w:t>
      </w:r>
      <w:r w:rsidRPr="00240730" w:rsidR="00B96649">
        <w:t>s debts</w:t>
      </w:r>
    </w:p>
    <w:p w:rsidRPr="00240730" w:rsidR="00302CC1" w:rsidP="00240730" w:rsidRDefault="00477D61">
      <w:pPr>
        <w:pStyle w:val="ECHRPara"/>
      </w:pPr>
      <w:r w:rsidRPr="00240730">
        <w:fldChar w:fldCharType="begin"/>
      </w:r>
      <w:r w:rsidRPr="00240730">
        <w:instrText xml:space="preserve"> SEQ level0 \*arabic </w:instrText>
      </w:r>
      <w:r w:rsidRPr="00240730">
        <w:fldChar w:fldCharType="separate"/>
      </w:r>
      <w:r w:rsidRPr="00240730" w:rsidR="00240730">
        <w:rPr>
          <w:noProof/>
        </w:rPr>
        <w:t>93</w:t>
      </w:r>
      <w:r w:rsidRPr="00240730">
        <w:rPr>
          <w:noProof/>
        </w:rPr>
        <w:fldChar w:fldCharType="end"/>
      </w:r>
      <w:r w:rsidRPr="00240730" w:rsidR="00302CC1">
        <w:t>.  </w:t>
      </w:r>
      <w:r w:rsidRPr="00240730" w:rsidR="005F0490">
        <w:t xml:space="preserve">The debtor was incorporated as a State unitary enterprise under </w:t>
      </w:r>
      <w:r w:rsidRPr="00240730" w:rsidR="00C0023B">
        <w:t xml:space="preserve">the </w:t>
      </w:r>
      <w:r w:rsidRPr="00240730" w:rsidR="005F0490">
        <w:t xml:space="preserve">domestic law </w:t>
      </w:r>
      <w:r w:rsidRPr="00240730" w:rsidR="00C0023B">
        <w:t xml:space="preserve">in force </w:t>
      </w:r>
      <w:r w:rsidRPr="00240730" w:rsidR="005F0490">
        <w:t xml:space="preserve">at the material time. </w:t>
      </w:r>
      <w:r w:rsidRPr="00240730" w:rsidR="00302CC1">
        <w:t>The Court has already dealt with the Government</w:t>
      </w:r>
      <w:r w:rsidRPr="00240730" w:rsidR="00240730">
        <w:t>’</w:t>
      </w:r>
      <w:r w:rsidRPr="00240730" w:rsidR="00302CC1">
        <w:t>s argument concerning the company</w:t>
      </w:r>
      <w:r w:rsidRPr="00240730" w:rsidR="00240730">
        <w:t>’</w:t>
      </w:r>
      <w:r w:rsidRPr="00240730" w:rsidR="00302CC1">
        <w:t xml:space="preserve">s legal status </w:t>
      </w:r>
      <w:r w:rsidRPr="00240730" w:rsidR="00C0023B">
        <w:t xml:space="preserve">under </w:t>
      </w:r>
      <w:r w:rsidRPr="00240730" w:rsidR="00302CC1">
        <w:t>domestic law in the above</w:t>
      </w:r>
      <w:r w:rsidRPr="00240730" w:rsidR="00302CC1">
        <w:noBreakHyphen/>
        <w:t xml:space="preserve">mentioned </w:t>
      </w:r>
      <w:r w:rsidRPr="00240730" w:rsidR="00C0023B">
        <w:t xml:space="preserve">case of </w:t>
      </w:r>
      <w:proofErr w:type="spellStart"/>
      <w:r w:rsidRPr="00240730" w:rsidR="00302CC1">
        <w:rPr>
          <w:i/>
        </w:rPr>
        <w:t>Liseytseva</w:t>
      </w:r>
      <w:proofErr w:type="spellEnd"/>
      <w:r w:rsidRPr="00240730" w:rsidR="00302CC1">
        <w:rPr>
          <w:i/>
        </w:rPr>
        <w:t xml:space="preserve"> and </w:t>
      </w:r>
      <w:proofErr w:type="spellStart"/>
      <w:r w:rsidRPr="00240730" w:rsidR="00302CC1">
        <w:rPr>
          <w:i/>
        </w:rPr>
        <w:t>Maslov</w:t>
      </w:r>
      <w:proofErr w:type="spellEnd"/>
      <w:r w:rsidRPr="00240730" w:rsidR="00302CC1">
        <w:t>. Having examined the Government</w:t>
      </w:r>
      <w:r w:rsidRPr="00240730" w:rsidR="00240730">
        <w:t>’</w:t>
      </w:r>
      <w:r w:rsidRPr="00240730" w:rsidR="00302CC1">
        <w:t>s respective objection in detail, the Court held that the existing legal framework in Russia did not provide unitary enterprises with the degree of institutional and operational independence that would absolve the State from any responsibility under the Convention for any such companies</w:t>
      </w:r>
      <w:r w:rsidRPr="00240730" w:rsidR="00240730">
        <w:t>’</w:t>
      </w:r>
      <w:r w:rsidRPr="00240730" w:rsidR="00302CC1">
        <w:t xml:space="preserve"> </w:t>
      </w:r>
      <w:r w:rsidRPr="00240730" w:rsidR="00302CC1">
        <w:rPr>
          <w:rFonts w:hint="eastAsia"/>
        </w:rPr>
        <w:t>debts (</w:t>
      </w:r>
      <w:r w:rsidRPr="00240730" w:rsidR="00302CC1">
        <w:t xml:space="preserve">see </w:t>
      </w:r>
      <w:proofErr w:type="spellStart"/>
      <w:r w:rsidRPr="00240730" w:rsidR="00302CC1">
        <w:rPr>
          <w:i/>
        </w:rPr>
        <w:t>Liseytseva</w:t>
      </w:r>
      <w:proofErr w:type="spellEnd"/>
      <w:r w:rsidRPr="00240730" w:rsidR="00302CC1">
        <w:rPr>
          <w:i/>
        </w:rPr>
        <w:t xml:space="preserve"> and </w:t>
      </w:r>
      <w:proofErr w:type="spellStart"/>
      <w:r w:rsidRPr="00240730" w:rsidR="00302CC1">
        <w:rPr>
          <w:i/>
        </w:rPr>
        <w:t>Maslov</w:t>
      </w:r>
      <w:proofErr w:type="spellEnd"/>
      <w:r w:rsidRPr="00240730" w:rsidR="00302CC1">
        <w:t xml:space="preserve">, cited above, §§ 193-204). </w:t>
      </w:r>
      <w:r w:rsidRPr="00240730" w:rsidR="00A526C4">
        <w:t>T</w:t>
      </w:r>
      <w:r w:rsidRPr="00240730" w:rsidR="005F0490">
        <w:t>he Court held that</w:t>
      </w:r>
      <w:r w:rsidRPr="00240730" w:rsidR="00C0023B">
        <w:t>,</w:t>
      </w:r>
      <w:r w:rsidRPr="00240730" w:rsidR="005F0490">
        <w:t xml:space="preserve"> in order to decide on the operational and institutional independence of a given unitary enterprise having the right of economic control</w:t>
      </w:r>
      <w:r w:rsidRPr="00240730" w:rsidR="00C0023B">
        <w:t>,</w:t>
      </w:r>
      <w:r w:rsidRPr="00240730" w:rsidR="005F0490">
        <w:t xml:space="preserve"> </w:t>
      </w:r>
      <w:r w:rsidRPr="00240730" w:rsidR="00C0023B">
        <w:t>it</w:t>
      </w:r>
      <w:r w:rsidRPr="00240730" w:rsidR="005F0490">
        <w:t xml:space="preserve"> had to assess the nature of the enterprise</w:t>
      </w:r>
      <w:r w:rsidRPr="00240730" w:rsidR="00240730">
        <w:t>’</w:t>
      </w:r>
      <w:r w:rsidRPr="00240730" w:rsidR="005F0490">
        <w:t>s functions and the degree of the State authorities</w:t>
      </w:r>
      <w:r w:rsidRPr="00240730" w:rsidR="00240730">
        <w:t>’</w:t>
      </w:r>
      <w:r w:rsidRPr="00240730" w:rsidR="005F0490">
        <w:t xml:space="preserve"> actual involvement in the management of the enterprise</w:t>
      </w:r>
      <w:r w:rsidRPr="00240730" w:rsidR="00240730">
        <w:t>’</w:t>
      </w:r>
      <w:r w:rsidRPr="00240730" w:rsidR="005F0490">
        <w:t xml:space="preserve">s assets. </w:t>
      </w:r>
      <w:r w:rsidRPr="00240730" w:rsidR="00302CC1">
        <w:t xml:space="preserve">In order to determine the issue of State responsibility for the debts of unitary enterprises, the Court must examine whether and how the extensive powers of control provided for </w:t>
      </w:r>
      <w:r w:rsidRPr="00240730" w:rsidR="006176AA">
        <w:t xml:space="preserve">by </w:t>
      </w:r>
      <w:r w:rsidRPr="00240730" w:rsidR="00302CC1">
        <w:t xml:space="preserve">domestic law were actually exercised by the authorities in a given case (ibid., </w:t>
      </w:r>
      <w:r w:rsidRPr="00240730" w:rsidR="00A526C4">
        <w:t>§§ 183</w:t>
      </w:r>
      <w:r w:rsidRPr="00240730" w:rsidR="00A526C4">
        <w:noBreakHyphen/>
        <w:t xml:space="preserve">92 and </w:t>
      </w:r>
      <w:r w:rsidRPr="00240730" w:rsidR="00302CC1">
        <w:t>204-06).</w:t>
      </w:r>
    </w:p>
    <w:p w:rsidRPr="00240730" w:rsidR="00DE6995" w:rsidP="00240730" w:rsidRDefault="00477D61">
      <w:pPr>
        <w:pStyle w:val="ECHRPara"/>
      </w:pPr>
      <w:r w:rsidRPr="00240730">
        <w:fldChar w:fldCharType="begin"/>
      </w:r>
      <w:r w:rsidRPr="00240730">
        <w:instrText xml:space="preserve"> SEQ level0 \*arabic </w:instrText>
      </w:r>
      <w:r w:rsidRPr="00240730">
        <w:fldChar w:fldCharType="separate"/>
      </w:r>
      <w:r w:rsidRPr="00240730" w:rsidR="00240730">
        <w:rPr>
          <w:noProof/>
        </w:rPr>
        <w:t>94</w:t>
      </w:r>
      <w:r w:rsidRPr="00240730">
        <w:rPr>
          <w:noProof/>
        </w:rPr>
        <w:fldChar w:fldCharType="end"/>
      </w:r>
      <w:r w:rsidRPr="00240730" w:rsidR="00302CC1">
        <w:t xml:space="preserve">.  The Court </w:t>
      </w:r>
      <w:r w:rsidRPr="00240730" w:rsidR="004C09FF">
        <w:t xml:space="preserve">has </w:t>
      </w:r>
      <w:r w:rsidRPr="00240730" w:rsidR="00001ACF">
        <w:t>no</w:t>
      </w:r>
      <w:r w:rsidRPr="00240730" w:rsidR="004C09FF">
        <w:t xml:space="preserve"> </w:t>
      </w:r>
      <w:r w:rsidRPr="00240730" w:rsidR="00524DC2">
        <w:t xml:space="preserve">reason to </w:t>
      </w:r>
      <w:r w:rsidRPr="00240730" w:rsidR="004C09FF">
        <w:t xml:space="preserve">doubt that </w:t>
      </w:r>
      <w:r w:rsidRPr="00240730" w:rsidR="00524DC2">
        <w:t xml:space="preserve">the </w:t>
      </w:r>
      <w:r w:rsidRPr="00240730" w:rsidR="00DA6508">
        <w:t xml:space="preserve">core activities of </w:t>
      </w:r>
      <w:r w:rsidRPr="00240730" w:rsidR="004C09FF">
        <w:t xml:space="preserve">the </w:t>
      </w:r>
      <w:r w:rsidRPr="00240730" w:rsidR="008040C4">
        <w:t>enterprise</w:t>
      </w:r>
      <w:r w:rsidRPr="00240730" w:rsidR="004C09FF">
        <w:t xml:space="preserve"> – one of the leading shipyards in Russia which maintained and repaired military ships and their weaponry, as well as built ships for the Russian Navy </w:t>
      </w:r>
      <w:r w:rsidRPr="00240730" w:rsidR="005F0490">
        <w:t xml:space="preserve">(see, for a list of the </w:t>
      </w:r>
      <w:r w:rsidRPr="00240730" w:rsidR="008040C4">
        <w:t>FGUP</w:t>
      </w:r>
      <w:r w:rsidRPr="00240730" w:rsidR="00240730">
        <w:t>’</w:t>
      </w:r>
      <w:r w:rsidRPr="00240730" w:rsidR="005F0490">
        <w:t>s main tasks, paragraph </w:t>
      </w:r>
      <w:r w:rsidRPr="00240730" w:rsidR="007A5856">
        <w:fldChar w:fldCharType="begin"/>
      </w:r>
      <w:r w:rsidRPr="00240730" w:rsidR="007A5856">
        <w:instrText xml:space="preserve"> REF FGUPStatutoryAimsAndTasks \h </w:instrText>
      </w:r>
      <w:r w:rsidRPr="00240730" w:rsidR="007A5856">
        <w:fldChar w:fldCharType="separate"/>
      </w:r>
      <w:r w:rsidRPr="00240730" w:rsidR="00240730">
        <w:rPr>
          <w:rFonts w:ascii="Times New Roman" w:hAnsi="Times New Roman" w:cs="Times New Roman"/>
          <w:noProof/>
        </w:rPr>
        <w:t>7</w:t>
      </w:r>
      <w:r w:rsidRPr="00240730" w:rsidR="007A5856">
        <w:fldChar w:fldCharType="end"/>
      </w:r>
      <w:r w:rsidRPr="00240730" w:rsidR="005F0490">
        <w:t xml:space="preserve"> above)</w:t>
      </w:r>
      <w:r w:rsidRPr="00240730" w:rsidR="00C54251">
        <w:t xml:space="preserve"> </w:t>
      </w:r>
      <w:r w:rsidRPr="00240730" w:rsidR="004C09FF">
        <w:t>–</w:t>
      </w:r>
      <w:r w:rsidRPr="00240730" w:rsidR="00C54251">
        <w:t xml:space="preserve"> </w:t>
      </w:r>
      <w:r w:rsidRPr="00240730" w:rsidR="00E354D2">
        <w:t xml:space="preserve">constituted </w:t>
      </w:r>
      <w:r w:rsidRPr="00240730" w:rsidR="00DA6508">
        <w:t>public duties</w:t>
      </w:r>
      <w:r w:rsidRPr="00240730" w:rsidR="007A5856">
        <w:t>, and</w:t>
      </w:r>
      <w:r w:rsidRPr="00240730" w:rsidR="006A4437">
        <w:t xml:space="preserve"> that</w:t>
      </w:r>
      <w:r w:rsidRPr="00240730" w:rsidR="007A5856">
        <w:t xml:space="preserve"> the</w:t>
      </w:r>
      <w:r w:rsidRPr="00240730" w:rsidR="00001ACF">
        <w:t xml:space="preserve"> </w:t>
      </w:r>
      <w:r w:rsidRPr="00240730" w:rsidR="008040C4">
        <w:t>FGUP</w:t>
      </w:r>
      <w:r w:rsidRPr="00240730" w:rsidR="00001ACF">
        <w:t xml:space="preserve"> had strategic importance for the Russian Navy (see, for instance, paragraph </w:t>
      </w:r>
      <w:r w:rsidRPr="00240730" w:rsidR="00001ACF">
        <w:fldChar w:fldCharType="begin"/>
      </w:r>
      <w:r w:rsidRPr="00240730" w:rsidR="00001ACF">
        <w:instrText xml:space="preserve"> REF Let16072009CommanderInChiefMeasures \h </w:instrText>
      </w:r>
      <w:r w:rsidRPr="00240730" w:rsidR="00001ACF">
        <w:fldChar w:fldCharType="separate"/>
      </w:r>
      <w:r w:rsidRPr="00240730" w:rsidR="00240730">
        <w:rPr>
          <w:noProof/>
        </w:rPr>
        <w:t>63</w:t>
      </w:r>
      <w:r w:rsidRPr="00240730" w:rsidR="00001ACF">
        <w:fldChar w:fldCharType="end"/>
      </w:r>
      <w:r w:rsidRPr="00240730" w:rsidR="00001ACF">
        <w:t xml:space="preserve"> above). </w:t>
      </w:r>
      <w:r w:rsidRPr="00240730" w:rsidR="005F0490">
        <w:t>It</w:t>
      </w:r>
      <w:r w:rsidRPr="00240730" w:rsidR="00001ACF">
        <w:t xml:space="preserve"> </w:t>
      </w:r>
      <w:r w:rsidRPr="00240730" w:rsidR="00323666">
        <w:t>operated in a heavily regulated area of State defence</w:t>
      </w:r>
      <w:r w:rsidRPr="00240730" w:rsidR="00323666">
        <w:rPr>
          <w:b/>
        </w:rPr>
        <w:t xml:space="preserve"> </w:t>
      </w:r>
      <w:r w:rsidRPr="00240730" w:rsidR="00323666">
        <w:t xml:space="preserve">and </w:t>
      </w:r>
      <w:r w:rsidRPr="00240730" w:rsidR="00001ACF">
        <w:t xml:space="preserve">was </w:t>
      </w:r>
      <w:r w:rsidRPr="00240730" w:rsidR="00A526C4">
        <w:t xml:space="preserve">clearly </w:t>
      </w:r>
      <w:r w:rsidRPr="00240730" w:rsidR="00001ACF">
        <w:t>placed, by virtue of its functions</w:t>
      </w:r>
      <w:r w:rsidRPr="00240730" w:rsidR="00524DC2">
        <w:t xml:space="preserve"> and the</w:t>
      </w:r>
      <w:r w:rsidRPr="00240730" w:rsidR="004C039F">
        <w:t xml:space="preserve"> aims </w:t>
      </w:r>
      <w:r w:rsidRPr="00240730" w:rsidR="00001ACF">
        <w:t xml:space="preserve">and </w:t>
      </w:r>
      <w:r w:rsidRPr="00240730" w:rsidR="004C039F">
        <w:t>specific</w:t>
      </w:r>
      <w:r w:rsidRPr="00240730" w:rsidR="00001ACF">
        <w:t xml:space="preserve"> tasks it performed, under </w:t>
      </w:r>
      <w:r w:rsidRPr="00240730" w:rsidR="00524DC2">
        <w:t xml:space="preserve">the </w:t>
      </w:r>
      <w:r w:rsidRPr="00240730" w:rsidR="00001ACF">
        <w:t xml:space="preserve">strict </w:t>
      </w:r>
      <w:r w:rsidRPr="00240730" w:rsidR="00DA6508">
        <w:t>control of the authorities</w:t>
      </w:r>
      <w:r w:rsidRPr="00240730" w:rsidR="004C09FF">
        <w:t xml:space="preserve">, namely the Ministry of </w:t>
      </w:r>
      <w:r w:rsidRPr="00240730" w:rsidR="00524DC2">
        <w:t>Defence</w:t>
      </w:r>
      <w:r w:rsidRPr="00240730" w:rsidR="00CE5E46">
        <w:t xml:space="preserve"> </w:t>
      </w:r>
      <w:r w:rsidRPr="00240730" w:rsidR="00302CC1">
        <w:t xml:space="preserve">(see </w:t>
      </w:r>
      <w:proofErr w:type="spellStart"/>
      <w:r w:rsidRPr="00240730" w:rsidR="00302CC1">
        <w:rPr>
          <w:i/>
        </w:rPr>
        <w:t>Liseytseva</w:t>
      </w:r>
      <w:proofErr w:type="spellEnd"/>
      <w:r w:rsidRPr="00240730" w:rsidR="00302CC1">
        <w:rPr>
          <w:i/>
        </w:rPr>
        <w:t xml:space="preserve"> and </w:t>
      </w:r>
      <w:proofErr w:type="spellStart"/>
      <w:r w:rsidRPr="00240730" w:rsidR="00302CC1">
        <w:rPr>
          <w:i/>
        </w:rPr>
        <w:t>Maslov</w:t>
      </w:r>
      <w:proofErr w:type="spellEnd"/>
      <w:r w:rsidRPr="00240730" w:rsidR="00302CC1">
        <w:rPr>
          <w:i/>
        </w:rPr>
        <w:t xml:space="preserve">, </w:t>
      </w:r>
      <w:r w:rsidRPr="00240730" w:rsidR="00302CC1">
        <w:t>cited above,</w:t>
      </w:r>
      <w:r w:rsidRPr="00240730" w:rsidR="00302CC1">
        <w:rPr>
          <w:i/>
        </w:rPr>
        <w:t xml:space="preserve"> </w:t>
      </w:r>
      <w:r w:rsidRPr="00240730" w:rsidR="00302CC1">
        <w:t>§§ 208-10</w:t>
      </w:r>
      <w:r w:rsidRPr="00240730" w:rsidR="00524DC2">
        <w:t xml:space="preserve">, </w:t>
      </w:r>
      <w:r w:rsidRPr="00240730" w:rsidR="00302CC1">
        <w:t xml:space="preserve">and </w:t>
      </w:r>
      <w:proofErr w:type="spellStart"/>
      <w:r w:rsidRPr="00240730" w:rsidR="00302CC1">
        <w:rPr>
          <w:i/>
          <w:iCs/>
        </w:rPr>
        <w:t>Yershova</w:t>
      </w:r>
      <w:proofErr w:type="spellEnd"/>
      <w:r w:rsidRPr="00240730" w:rsidR="00302CC1">
        <w:rPr>
          <w:i/>
          <w:iCs/>
        </w:rPr>
        <w:t xml:space="preserve"> v. Russia</w:t>
      </w:r>
      <w:r w:rsidRPr="00240730" w:rsidR="00302CC1">
        <w:t xml:space="preserve">, no. 1387/04, § 58, 8 April 2010). </w:t>
      </w:r>
      <w:r w:rsidRPr="00240730" w:rsidR="00CE5E46">
        <w:t xml:space="preserve">The assets allocated to the enterprise accordingly enjoyed special treatment under domestic law, as evidenced, </w:t>
      </w:r>
      <w:r w:rsidRPr="00240730" w:rsidR="00CE5E46">
        <w:rPr>
          <w:i/>
        </w:rPr>
        <w:t>inter alia</w:t>
      </w:r>
      <w:r w:rsidRPr="00240730" w:rsidR="00CE5E46">
        <w:t>, by the FGUP</w:t>
      </w:r>
      <w:r w:rsidRPr="00240730" w:rsidR="00240730">
        <w:t>’</w:t>
      </w:r>
      <w:r w:rsidRPr="00240730" w:rsidR="00CE5E46">
        <w:t>s rules (see paragraph </w:t>
      </w:r>
      <w:r w:rsidRPr="00240730" w:rsidR="00CE5E46">
        <w:fldChar w:fldCharType="begin"/>
      </w:r>
      <w:r w:rsidRPr="00240730" w:rsidR="00CE5E46">
        <w:instrText xml:space="preserve"> REF Rules_AssetsManagement_AndMore \h </w:instrText>
      </w:r>
      <w:r w:rsidRPr="00240730" w:rsidR="00CB3D0E">
        <w:instrText xml:space="preserve"> \* MERGEFORMAT </w:instrText>
      </w:r>
      <w:r w:rsidRPr="00240730" w:rsidR="00CE5E46">
        <w:fldChar w:fldCharType="separate"/>
      </w:r>
      <w:r w:rsidRPr="00240730" w:rsidR="00240730">
        <w:rPr>
          <w:rFonts w:ascii="Times New Roman" w:hAnsi="Times New Roman" w:cs="Times New Roman"/>
          <w:noProof/>
        </w:rPr>
        <w:t>8</w:t>
      </w:r>
      <w:r w:rsidRPr="00240730" w:rsidR="00CE5E46">
        <w:fldChar w:fldCharType="end"/>
      </w:r>
      <w:r w:rsidRPr="00240730" w:rsidR="00CE5E46">
        <w:t xml:space="preserve"> above</w:t>
      </w:r>
      <w:r w:rsidRPr="00240730" w:rsidR="00072017">
        <w:t xml:space="preserve">, and compare </w:t>
      </w:r>
      <w:proofErr w:type="spellStart"/>
      <w:r w:rsidRPr="00240730" w:rsidR="00072017">
        <w:rPr>
          <w:i/>
        </w:rPr>
        <w:t>Liseytseva</w:t>
      </w:r>
      <w:proofErr w:type="spellEnd"/>
      <w:r w:rsidRPr="00240730" w:rsidR="00072017">
        <w:rPr>
          <w:i/>
        </w:rPr>
        <w:t xml:space="preserve"> and </w:t>
      </w:r>
      <w:proofErr w:type="spellStart"/>
      <w:r w:rsidRPr="00240730" w:rsidR="00072017">
        <w:rPr>
          <w:i/>
        </w:rPr>
        <w:t>Maslov</w:t>
      </w:r>
      <w:proofErr w:type="spellEnd"/>
      <w:r w:rsidRPr="00240730" w:rsidR="00072017">
        <w:rPr>
          <w:i/>
        </w:rPr>
        <w:t xml:space="preserve">, </w:t>
      </w:r>
      <w:r w:rsidRPr="00240730" w:rsidR="00072017">
        <w:t>cited above,</w:t>
      </w:r>
      <w:r w:rsidRPr="00240730" w:rsidR="00072017">
        <w:rPr>
          <w:i/>
        </w:rPr>
        <w:t xml:space="preserve"> </w:t>
      </w:r>
      <w:r w:rsidRPr="00240730" w:rsidR="00072017">
        <w:t>§ 209</w:t>
      </w:r>
      <w:r w:rsidRPr="00240730" w:rsidR="00CE5E46">
        <w:t>).</w:t>
      </w:r>
    </w:p>
    <w:p w:rsidRPr="00240730" w:rsidR="00823077" w:rsidP="00240730" w:rsidRDefault="00127D53">
      <w:pPr>
        <w:pStyle w:val="ECHRPara"/>
      </w:pPr>
      <w:r w:rsidRPr="00240730">
        <w:fldChar w:fldCharType="begin"/>
      </w:r>
      <w:r w:rsidRPr="00240730">
        <w:instrText xml:space="preserve"> SEQ level0 \*arabic </w:instrText>
      </w:r>
      <w:r w:rsidRPr="00240730">
        <w:fldChar w:fldCharType="separate"/>
      </w:r>
      <w:r w:rsidRPr="00240730" w:rsidR="00240730">
        <w:rPr>
          <w:noProof/>
        </w:rPr>
        <w:t>95</w:t>
      </w:r>
      <w:r w:rsidRPr="00240730">
        <w:fldChar w:fldCharType="end"/>
      </w:r>
      <w:r w:rsidRPr="00240730">
        <w:t>.  </w:t>
      </w:r>
      <w:r w:rsidRPr="00240730" w:rsidR="00C00E7D">
        <w:t xml:space="preserve">As regards the </w:t>
      </w:r>
      <w:r w:rsidRPr="00240730" w:rsidR="00B6367C">
        <w:t xml:space="preserve">actual </w:t>
      </w:r>
      <w:r w:rsidRPr="00240730" w:rsidR="00C00E7D">
        <w:t>control exercised by the authorities, the</w:t>
      </w:r>
      <w:r w:rsidRPr="00240730" w:rsidR="00823077">
        <w:t xml:space="preserve"> Court notes the Government</w:t>
      </w:r>
      <w:r w:rsidRPr="00240730" w:rsidR="00240730">
        <w:t>’</w:t>
      </w:r>
      <w:r w:rsidRPr="00240730" w:rsidR="00823077">
        <w:t>s submissions concerning the scope of the owner</w:t>
      </w:r>
      <w:r w:rsidRPr="00240730" w:rsidR="00240730">
        <w:t>’</w:t>
      </w:r>
      <w:r w:rsidRPr="00240730" w:rsidR="00823077">
        <w:t xml:space="preserve">s powers in the context of the external administration </w:t>
      </w:r>
      <w:r w:rsidRPr="00240730" w:rsidR="00B6367C">
        <w:t xml:space="preserve">put in place between 2005 and February 2010 </w:t>
      </w:r>
      <w:r w:rsidRPr="00240730" w:rsidR="00823077">
        <w:t xml:space="preserve">in respect of the FGUP. However, </w:t>
      </w:r>
      <w:r w:rsidRPr="00240730" w:rsidR="00C00E7D">
        <w:t>in the Court</w:t>
      </w:r>
      <w:r w:rsidRPr="00240730" w:rsidR="00240730">
        <w:t>’</w:t>
      </w:r>
      <w:r w:rsidRPr="00240730" w:rsidR="00C00E7D">
        <w:t>s view, it cannot be said that the State</w:t>
      </w:r>
      <w:r w:rsidRPr="00240730" w:rsidR="00240730">
        <w:t>’</w:t>
      </w:r>
      <w:r w:rsidRPr="00240730" w:rsidR="00C00E7D">
        <w:t xml:space="preserve">s involvement in the external administration procedure in this </w:t>
      </w:r>
      <w:r w:rsidRPr="00240730" w:rsidR="00B6367C">
        <w:t xml:space="preserve">particular </w:t>
      </w:r>
      <w:r w:rsidRPr="00240730" w:rsidR="00C00E7D">
        <w:t>case “resulted only from its role in establishing the legislative framework for [such] procedures</w:t>
      </w:r>
      <w:r w:rsidRPr="00240730" w:rsidR="00AB3BBB">
        <w:t xml:space="preserve">” </w:t>
      </w:r>
      <w:r w:rsidRPr="00240730" w:rsidR="00C00E7D">
        <w:t xml:space="preserve">and “in overseeing observance of the rules” (contrast </w:t>
      </w:r>
      <w:proofErr w:type="spellStart"/>
      <w:r w:rsidRPr="00240730" w:rsidR="00C00E7D">
        <w:rPr>
          <w:i/>
        </w:rPr>
        <w:t>Kotov</w:t>
      </w:r>
      <w:proofErr w:type="spellEnd"/>
      <w:r w:rsidRPr="00240730" w:rsidR="00C00E7D">
        <w:rPr>
          <w:i/>
        </w:rPr>
        <w:t xml:space="preserve"> v. Russia </w:t>
      </w:r>
      <w:r w:rsidRPr="00240730" w:rsidR="00D33A86">
        <w:t>[GC], no. </w:t>
      </w:r>
      <w:r w:rsidRPr="00240730" w:rsidR="00CB3D0E">
        <w:t>54522/00, § 107, 3 </w:t>
      </w:r>
      <w:r w:rsidRPr="00240730" w:rsidR="00C00E7D">
        <w:t>April 2012). On the contrary, in the Court</w:t>
      </w:r>
      <w:r w:rsidRPr="00240730" w:rsidR="00240730">
        <w:t>’</w:t>
      </w:r>
      <w:r w:rsidRPr="00240730" w:rsidR="00C00E7D">
        <w:t xml:space="preserve">s view, </w:t>
      </w:r>
      <w:r w:rsidRPr="00240730" w:rsidR="00823077">
        <w:t xml:space="preserve">the </w:t>
      </w:r>
      <w:r w:rsidRPr="00240730" w:rsidR="00DE6995">
        <w:t xml:space="preserve">State, as </w:t>
      </w:r>
      <w:r w:rsidRPr="00240730" w:rsidR="00823077">
        <w:t>the</w:t>
      </w:r>
      <w:r w:rsidRPr="00240730" w:rsidR="00DE6995">
        <w:t xml:space="preserve"> owner of its assets placed under the FGUP</w:t>
      </w:r>
      <w:r w:rsidRPr="00240730" w:rsidR="00240730">
        <w:t>’</w:t>
      </w:r>
      <w:r w:rsidRPr="00240730" w:rsidR="00DE6995">
        <w:t>s economic control, took decisions of paramount importance for the future of the unitary enterprise</w:t>
      </w:r>
      <w:r w:rsidRPr="00240730" w:rsidR="00823077">
        <w:t>, as follows.</w:t>
      </w:r>
    </w:p>
    <w:p w:rsidRPr="00240730" w:rsidR="00E2289C" w:rsidP="00240730" w:rsidRDefault="00823077">
      <w:pPr>
        <w:pStyle w:val="ECHRPara"/>
      </w:pPr>
      <w:r w:rsidRPr="00240730">
        <w:fldChar w:fldCharType="begin"/>
      </w:r>
      <w:r w:rsidRPr="00240730">
        <w:instrText xml:space="preserve"> SEQ level0 \*arabic </w:instrText>
      </w:r>
      <w:r w:rsidRPr="00240730">
        <w:fldChar w:fldCharType="separate"/>
      </w:r>
      <w:r w:rsidRPr="00240730" w:rsidR="00240730">
        <w:rPr>
          <w:noProof/>
        </w:rPr>
        <w:t>96</w:t>
      </w:r>
      <w:r w:rsidRPr="00240730">
        <w:fldChar w:fldCharType="end"/>
      </w:r>
      <w:r w:rsidRPr="00240730">
        <w:t>.  </w:t>
      </w:r>
      <w:r w:rsidRPr="00240730" w:rsidR="00C00E7D">
        <w:t>First</w:t>
      </w:r>
      <w:r w:rsidRPr="00240730" w:rsidR="00AB3BBB">
        <w:t>ly</w:t>
      </w:r>
      <w:r w:rsidRPr="00240730" w:rsidR="00C00E7D">
        <w:t>, the</w:t>
      </w:r>
      <w:r w:rsidRPr="00240730">
        <w:t xml:space="preserve"> authorities decided on</w:t>
      </w:r>
      <w:r w:rsidRPr="00240730" w:rsidR="00DE6995">
        <w:t xml:space="preserve"> </w:t>
      </w:r>
      <w:r w:rsidRPr="00240730">
        <w:t>the FGUP</w:t>
      </w:r>
      <w:r w:rsidRPr="00240730" w:rsidR="00240730">
        <w:t>’</w:t>
      </w:r>
      <w:r w:rsidRPr="00240730">
        <w:t>s</w:t>
      </w:r>
      <w:r w:rsidRPr="00240730" w:rsidR="00DE6995">
        <w:t xml:space="preserve"> inclusion into the United Shipbuilding Corporation (see paragraph </w:t>
      </w:r>
      <w:r w:rsidRPr="00240730" w:rsidR="00DE6995">
        <w:fldChar w:fldCharType="begin"/>
      </w:r>
      <w:r w:rsidRPr="00240730" w:rsidR="00DE6995">
        <w:instrText xml:space="preserve"> REF UnitedShipBuildingCo \h </w:instrText>
      </w:r>
      <w:r w:rsidRPr="00240730" w:rsidR="00CB3D0E">
        <w:instrText xml:space="preserve"> \* MERGEFORMAT </w:instrText>
      </w:r>
      <w:r w:rsidRPr="00240730" w:rsidR="00DE6995">
        <w:fldChar w:fldCharType="separate"/>
      </w:r>
      <w:r w:rsidRPr="00240730" w:rsidR="00240730">
        <w:rPr>
          <w:noProof/>
        </w:rPr>
        <w:t>19</w:t>
      </w:r>
      <w:r w:rsidRPr="00240730" w:rsidR="00DE6995">
        <w:fldChar w:fldCharType="end"/>
      </w:r>
      <w:r w:rsidRPr="00240730" w:rsidR="00DE6995">
        <w:t xml:space="preserve"> above).</w:t>
      </w:r>
    </w:p>
    <w:bookmarkStart w:name="FGUP_Subst_of_assets" w:id="53"/>
    <w:p w:rsidRPr="00240730" w:rsidR="00E2289C" w:rsidP="00240730" w:rsidRDefault="00C00E7D">
      <w:pPr>
        <w:pStyle w:val="ECHRPara"/>
      </w:pPr>
      <w:r w:rsidRPr="00240730">
        <w:fldChar w:fldCharType="begin"/>
      </w:r>
      <w:r w:rsidRPr="00240730">
        <w:instrText xml:space="preserve"> SEQ level0 \*arabic </w:instrText>
      </w:r>
      <w:r w:rsidRPr="00240730">
        <w:fldChar w:fldCharType="separate"/>
      </w:r>
      <w:r w:rsidRPr="00240730" w:rsidR="00240730">
        <w:rPr>
          <w:noProof/>
        </w:rPr>
        <w:t>97</w:t>
      </w:r>
      <w:r w:rsidRPr="00240730">
        <w:fldChar w:fldCharType="end"/>
      </w:r>
      <w:bookmarkEnd w:id="53"/>
      <w:r w:rsidRPr="00240730">
        <w:t xml:space="preserve">.  Secondly, the </w:t>
      </w:r>
      <w:r w:rsidRPr="00240730" w:rsidR="00DE6995">
        <w:t>authorities a</w:t>
      </w:r>
      <w:r w:rsidRPr="00240730" w:rsidR="005E1F10">
        <w:t>pproved of</w:t>
      </w:r>
      <w:r w:rsidRPr="00240730" w:rsidR="00DE6995">
        <w:t xml:space="preserve"> </w:t>
      </w:r>
      <w:r w:rsidRPr="00240730" w:rsidR="000162B4">
        <w:t>the substitution of assets involving a transfer of the debtor</w:t>
      </w:r>
      <w:r w:rsidRPr="00240730" w:rsidR="00240730">
        <w:t>’</w:t>
      </w:r>
      <w:r w:rsidRPr="00240730" w:rsidR="000162B4">
        <w:t>s as</w:t>
      </w:r>
      <w:r w:rsidRPr="00240730" w:rsidR="00E16A13">
        <w:t>sets to the newly created joint</w:t>
      </w:r>
      <w:r w:rsidRPr="00240730" w:rsidR="00E16A13">
        <w:noBreakHyphen/>
      </w:r>
      <w:r w:rsidRPr="00240730" w:rsidR="000162B4">
        <w:t>stock company</w:t>
      </w:r>
      <w:r w:rsidRPr="00240730" w:rsidDel="002A5B6B" w:rsidR="000162B4">
        <w:t xml:space="preserve"> </w:t>
      </w:r>
      <w:r w:rsidRPr="00240730" w:rsidR="000162B4">
        <w:t>as a capital contribution, as a part of the external administration plan</w:t>
      </w:r>
      <w:r w:rsidRPr="00240730" w:rsidR="00644424">
        <w:t xml:space="preserve"> </w:t>
      </w:r>
      <w:r w:rsidRPr="00240730" w:rsidR="00DE6995">
        <w:t>(see</w:t>
      </w:r>
      <w:r w:rsidRPr="00240730" w:rsidR="000162B4">
        <w:t xml:space="preserve">, for the contents of the </w:t>
      </w:r>
      <w:r w:rsidRPr="00240730" w:rsidR="00AB3BBB">
        <w:t xml:space="preserve">relevant </w:t>
      </w:r>
      <w:r w:rsidRPr="00240730" w:rsidR="000162B4">
        <w:t xml:space="preserve">letter, </w:t>
      </w:r>
      <w:r w:rsidRPr="00240730" w:rsidR="00DE6995">
        <w:t>paragraph </w:t>
      </w:r>
      <w:r w:rsidRPr="00240730" w:rsidR="000162B4">
        <w:fldChar w:fldCharType="begin"/>
      </w:r>
      <w:r w:rsidRPr="00240730" w:rsidR="000162B4">
        <w:instrText xml:space="preserve"> REF Letter28062005FederalAgencyGenlApproval \h </w:instrText>
      </w:r>
      <w:r w:rsidRPr="00240730" w:rsidR="00CB3D0E">
        <w:instrText xml:space="preserve"> \* MERGEFORMAT </w:instrText>
      </w:r>
      <w:r w:rsidRPr="00240730" w:rsidR="000162B4">
        <w:fldChar w:fldCharType="separate"/>
      </w:r>
      <w:r w:rsidRPr="00240730" w:rsidR="00240730">
        <w:rPr>
          <w:noProof/>
        </w:rPr>
        <w:t>13</w:t>
      </w:r>
      <w:r w:rsidRPr="00240730" w:rsidR="000162B4">
        <w:fldChar w:fldCharType="end"/>
      </w:r>
      <w:r w:rsidRPr="00240730" w:rsidR="00DE6995">
        <w:t xml:space="preserve"> above). </w:t>
      </w:r>
      <w:r w:rsidRPr="00240730" w:rsidR="00AB3BBB">
        <w:t xml:space="preserve">With </w:t>
      </w:r>
      <w:r w:rsidRPr="00240730" w:rsidR="00823077">
        <w:t xml:space="preserve">respect </w:t>
      </w:r>
      <w:r w:rsidRPr="00240730" w:rsidR="00AB3BBB">
        <w:t xml:space="preserve">to </w:t>
      </w:r>
      <w:r w:rsidRPr="00240730">
        <w:t>the external administration procedure,</w:t>
      </w:r>
      <w:r w:rsidRPr="00240730" w:rsidR="00823077">
        <w:t xml:space="preserve"> the </w:t>
      </w:r>
      <w:r w:rsidRPr="00240730" w:rsidR="007F4E3C">
        <w:t>Court cannot but agree with the Government that, in accordance with section 94(1) of the Insolvency Act, as of the date of the institution of external administration, the powers of the managerial bodies of the debtor, as well as those of the owner of property of the debtor incorporated as a unitary enterprise, had to be terminated, and the powers of the head of the debtor and other managerial bodies of the debtor were transferred to the administrator (see paragraph </w:t>
      </w:r>
      <w:r w:rsidRPr="00240730" w:rsidR="007F4E3C">
        <w:fldChar w:fldCharType="begin"/>
      </w:r>
      <w:r w:rsidRPr="00240730" w:rsidR="007F4E3C">
        <w:instrText xml:space="preserve"> REF IAsection94ExternalAdministration \h </w:instrText>
      </w:r>
      <w:r w:rsidRPr="00240730" w:rsidR="00CB3D0E">
        <w:instrText xml:space="preserve"> \* MERGEFORMAT </w:instrText>
      </w:r>
      <w:r w:rsidRPr="00240730" w:rsidR="007F4E3C">
        <w:fldChar w:fldCharType="separate"/>
      </w:r>
      <w:r w:rsidRPr="00240730" w:rsidR="00240730">
        <w:rPr>
          <w:noProof/>
        </w:rPr>
        <w:t>70</w:t>
      </w:r>
      <w:r w:rsidRPr="00240730" w:rsidR="007F4E3C">
        <w:fldChar w:fldCharType="end"/>
      </w:r>
      <w:r w:rsidRPr="00240730" w:rsidR="007F4E3C">
        <w:t xml:space="preserve"> above). However, as it follows from the relevant </w:t>
      </w:r>
      <w:r w:rsidRPr="00240730" w:rsidR="00AB3BBB">
        <w:t xml:space="preserve">provisions of </w:t>
      </w:r>
      <w:r w:rsidRPr="00240730" w:rsidR="007F4E3C">
        <w:t>domestic law – and as specifically established by the domestic courts in the proceedings concerning the validity of the OAO</w:t>
      </w:r>
      <w:r w:rsidRPr="00240730" w:rsidR="00240730">
        <w:t>’</w:t>
      </w:r>
      <w:r w:rsidRPr="00240730" w:rsidR="007F4E3C">
        <w:t>s creation</w:t>
      </w:r>
      <w:r w:rsidRPr="00240730" w:rsidR="00B6367C">
        <w:t xml:space="preserve"> in the present case</w:t>
      </w:r>
      <w:r w:rsidRPr="00240730" w:rsidR="007F4E3C">
        <w:t xml:space="preserve"> – that rule was subject to the exceptions set out in section 94(2) of the Insolvency Act</w:t>
      </w:r>
      <w:r w:rsidRPr="00240730" w:rsidR="00823077">
        <w:t xml:space="preserve"> – </w:t>
      </w:r>
      <w:r w:rsidRPr="00240730">
        <w:t>notably</w:t>
      </w:r>
      <w:r w:rsidRPr="00240730" w:rsidR="00823077">
        <w:t xml:space="preserve">, in so far as the </w:t>
      </w:r>
      <w:r w:rsidRPr="00240730" w:rsidR="00B6367C">
        <w:t xml:space="preserve">approval of the </w:t>
      </w:r>
      <w:r w:rsidRPr="00240730" w:rsidR="00823077">
        <w:t>substitution of assets was concerned</w:t>
      </w:r>
      <w:r w:rsidRPr="00240730" w:rsidR="007F4E3C">
        <w:t xml:space="preserve"> (see paragraph </w:t>
      </w:r>
      <w:r w:rsidRPr="00240730" w:rsidR="007F4E3C">
        <w:fldChar w:fldCharType="begin"/>
      </w:r>
      <w:r w:rsidRPr="00240730" w:rsidR="007F4E3C">
        <w:instrText xml:space="preserve"> REF IAsection94p2 \h  \* MERGEFORMAT </w:instrText>
      </w:r>
      <w:r w:rsidRPr="00240730" w:rsidR="007F4E3C">
        <w:fldChar w:fldCharType="separate"/>
      </w:r>
      <w:r w:rsidRPr="00240730" w:rsidR="00240730">
        <w:rPr>
          <w:noProof/>
        </w:rPr>
        <w:t>71</w:t>
      </w:r>
      <w:r w:rsidRPr="00240730" w:rsidR="007F4E3C">
        <w:fldChar w:fldCharType="end"/>
      </w:r>
      <w:r w:rsidRPr="00240730" w:rsidR="007F4E3C">
        <w:t xml:space="preserve"> </w:t>
      </w:r>
      <w:r w:rsidRPr="00240730" w:rsidR="00823077">
        <w:t xml:space="preserve">for the </w:t>
      </w:r>
      <w:r w:rsidRPr="00240730" w:rsidR="00FF7435">
        <w:t xml:space="preserve">relevant </w:t>
      </w:r>
      <w:r w:rsidRPr="00240730" w:rsidR="00823077">
        <w:t>domestic law and</w:t>
      </w:r>
      <w:r w:rsidRPr="00240730" w:rsidR="007F4E3C">
        <w:t xml:space="preserve"> paragraph </w:t>
      </w:r>
      <w:r w:rsidRPr="00240730" w:rsidR="007F4E3C">
        <w:fldChar w:fldCharType="begin"/>
      </w:r>
      <w:r w:rsidRPr="00240730" w:rsidR="007F4E3C">
        <w:instrText xml:space="preserve"> REF Judgment29042008AnnullmentOAOfinal \h </w:instrText>
      </w:r>
      <w:r w:rsidRPr="00240730" w:rsidR="00CB3D0E">
        <w:instrText xml:space="preserve"> \* MERGEFORMAT </w:instrText>
      </w:r>
      <w:r w:rsidRPr="00240730" w:rsidR="007F4E3C">
        <w:fldChar w:fldCharType="separate"/>
      </w:r>
      <w:r w:rsidRPr="00240730" w:rsidR="00240730">
        <w:rPr>
          <w:noProof/>
        </w:rPr>
        <w:t>23</w:t>
      </w:r>
      <w:r w:rsidRPr="00240730" w:rsidR="007F4E3C">
        <w:fldChar w:fldCharType="end"/>
      </w:r>
      <w:r w:rsidRPr="00240730" w:rsidR="007F4E3C">
        <w:t xml:space="preserve"> above</w:t>
      </w:r>
      <w:r w:rsidRPr="00240730" w:rsidR="00823077">
        <w:t xml:space="preserve"> for the courts</w:t>
      </w:r>
      <w:r w:rsidRPr="00240730" w:rsidR="00240730">
        <w:t>’</w:t>
      </w:r>
      <w:r w:rsidRPr="00240730" w:rsidR="00823077">
        <w:t xml:space="preserve"> reasoning</w:t>
      </w:r>
      <w:r w:rsidRPr="00240730" w:rsidR="007F4E3C">
        <w:t>)</w:t>
      </w:r>
      <w:r w:rsidRPr="00240730" w:rsidR="00823077">
        <w:t xml:space="preserve">. </w:t>
      </w:r>
      <w:r w:rsidRPr="00240730">
        <w:t>Further</w:t>
      </w:r>
      <w:r w:rsidRPr="00240730" w:rsidR="00AB3BBB">
        <w:t>more</w:t>
      </w:r>
      <w:r w:rsidRPr="00240730">
        <w:t>, the newly created company</w:t>
      </w:r>
      <w:r w:rsidRPr="00240730" w:rsidR="00240730">
        <w:t>’</w:t>
      </w:r>
      <w:r w:rsidRPr="00240730">
        <w:t>s transactions remained subject to the authorities</w:t>
      </w:r>
      <w:r w:rsidRPr="00240730" w:rsidR="00240730">
        <w:t>’</w:t>
      </w:r>
      <w:r w:rsidRPr="00240730">
        <w:t xml:space="preserve"> mandatory approval (see paragraph </w:t>
      </w:r>
      <w:r w:rsidRPr="00240730">
        <w:fldChar w:fldCharType="begin"/>
      </w:r>
      <w:r w:rsidRPr="00240730">
        <w:instrText xml:space="preserve"> REF Judgment29042008AnnullmentOAOfinal \h </w:instrText>
      </w:r>
      <w:r w:rsidRPr="00240730" w:rsidR="00CB3D0E">
        <w:instrText xml:space="preserve"> \* MERGEFORMAT </w:instrText>
      </w:r>
      <w:r w:rsidRPr="00240730">
        <w:fldChar w:fldCharType="separate"/>
      </w:r>
      <w:r w:rsidRPr="00240730" w:rsidR="00240730">
        <w:rPr>
          <w:noProof/>
        </w:rPr>
        <w:t>23</w:t>
      </w:r>
      <w:r w:rsidRPr="00240730">
        <w:fldChar w:fldCharType="end"/>
      </w:r>
      <w:r w:rsidRPr="00240730">
        <w:t xml:space="preserve"> above). </w:t>
      </w:r>
      <w:r w:rsidRPr="00240730" w:rsidR="00AB3BBB">
        <w:t>T</w:t>
      </w:r>
      <w:r w:rsidRPr="00240730" w:rsidR="00127D53">
        <w:t>h</w:t>
      </w:r>
      <w:r w:rsidRPr="00240730" w:rsidR="004D354B">
        <w:t>is</w:t>
      </w:r>
      <w:r w:rsidRPr="00240730" w:rsidR="00127D53">
        <w:t xml:space="preserve"> </w:t>
      </w:r>
      <w:r w:rsidRPr="00240730" w:rsidR="00AB3BBB">
        <w:t>lack of</w:t>
      </w:r>
      <w:r w:rsidRPr="00240730" w:rsidR="00127D53">
        <w:t xml:space="preserve"> approval was precisely the crux of the </w:t>
      </w:r>
      <w:r w:rsidRPr="00240730" w:rsidR="00823077">
        <w:t xml:space="preserve">court </w:t>
      </w:r>
      <w:r w:rsidRPr="00240730" w:rsidR="00127D53">
        <w:t xml:space="preserve">action </w:t>
      </w:r>
      <w:r w:rsidRPr="00240730" w:rsidR="00823077">
        <w:t xml:space="preserve">which the prosecutor brought </w:t>
      </w:r>
      <w:r w:rsidRPr="00240730" w:rsidR="00DE6995">
        <w:t>in the interest</w:t>
      </w:r>
      <w:r w:rsidRPr="00240730" w:rsidR="00AB3BBB">
        <w:t>s</w:t>
      </w:r>
      <w:r w:rsidRPr="00240730" w:rsidR="00DE6995">
        <w:t xml:space="preserve"> of the Ministry of Defence and the Federal</w:t>
      </w:r>
      <w:r w:rsidRPr="00240730" w:rsidR="00AB3BBB">
        <w:t xml:space="preserve"> State</w:t>
      </w:r>
      <w:r w:rsidRPr="00240730" w:rsidR="00DE6995">
        <w:t xml:space="preserve"> Assets Management </w:t>
      </w:r>
      <w:r w:rsidRPr="00240730" w:rsidR="00AB3BBB">
        <w:t>Agency</w:t>
      </w:r>
      <w:r w:rsidRPr="00240730" w:rsidR="00DE6995">
        <w:t xml:space="preserve">, </w:t>
      </w:r>
      <w:r w:rsidRPr="00240730" w:rsidR="008E3C53">
        <w:t xml:space="preserve">claiming </w:t>
      </w:r>
      <w:r w:rsidRPr="00240730" w:rsidR="00EA5465">
        <w:t>to declare the substitution</w:t>
      </w:r>
      <w:r w:rsidRPr="00240730" w:rsidR="00AB3BBB">
        <w:t xml:space="preserve"> of assets</w:t>
      </w:r>
      <w:r w:rsidRPr="00240730" w:rsidR="00EA5465">
        <w:t xml:space="preserve"> invalid </w:t>
      </w:r>
      <w:r w:rsidRPr="00240730" w:rsidR="00DE6995">
        <w:t>(see paragraph </w:t>
      </w:r>
      <w:r w:rsidRPr="00240730" w:rsidR="000162B4">
        <w:fldChar w:fldCharType="begin"/>
      </w:r>
      <w:r w:rsidRPr="00240730" w:rsidR="000162B4">
        <w:instrText xml:space="preserve"> REF ProsecutorBringsClaimAnnulOAOcreation \h </w:instrText>
      </w:r>
      <w:r w:rsidRPr="00240730" w:rsidR="00CB3D0E">
        <w:instrText xml:space="preserve"> \* MERGEFORMAT </w:instrText>
      </w:r>
      <w:r w:rsidRPr="00240730" w:rsidR="000162B4">
        <w:fldChar w:fldCharType="separate"/>
      </w:r>
      <w:r w:rsidRPr="00240730" w:rsidR="00240730">
        <w:rPr>
          <w:noProof/>
        </w:rPr>
        <w:t>20</w:t>
      </w:r>
      <w:r w:rsidRPr="00240730" w:rsidR="000162B4">
        <w:fldChar w:fldCharType="end"/>
      </w:r>
      <w:r w:rsidRPr="00240730" w:rsidR="00DE6995">
        <w:t xml:space="preserve"> above)</w:t>
      </w:r>
      <w:r w:rsidRPr="00240730" w:rsidR="007F4E3C">
        <w:t xml:space="preserve">. Having applied section 94(2) of the Insolvency Act by analogy, the courts </w:t>
      </w:r>
      <w:r w:rsidRPr="00240730" w:rsidR="00714112">
        <w:t xml:space="preserve">confirmed </w:t>
      </w:r>
      <w:r w:rsidRPr="00240730" w:rsidR="007F4E3C">
        <w:t xml:space="preserve">that </w:t>
      </w:r>
      <w:r w:rsidRPr="00240730" w:rsidR="007F588D">
        <w:t xml:space="preserve">the </w:t>
      </w:r>
      <w:r w:rsidRPr="00240730" w:rsidR="007F4E3C">
        <w:t>debtor had</w:t>
      </w:r>
      <w:r w:rsidRPr="00240730" w:rsidR="00127D53">
        <w:t xml:space="preserve"> </w:t>
      </w:r>
      <w:r w:rsidRPr="00240730" w:rsidR="007F4E3C">
        <w:t>been entitled to decide on</w:t>
      </w:r>
      <w:r w:rsidRPr="00240730" w:rsidR="004D354B">
        <w:t xml:space="preserve"> the</w:t>
      </w:r>
      <w:r w:rsidRPr="00240730" w:rsidR="007F4E3C">
        <w:t xml:space="preserve"> substitution of the debtor</w:t>
      </w:r>
      <w:r w:rsidRPr="00240730" w:rsidR="00240730">
        <w:t>’</w:t>
      </w:r>
      <w:r w:rsidRPr="00240730" w:rsidR="007F4E3C">
        <w:t xml:space="preserve">s assets (ibid.) – a crucial element of the case at hand. The courts concluded that in the absence of a </w:t>
      </w:r>
      <w:r w:rsidRPr="00240730">
        <w:t xml:space="preserve">relevant </w:t>
      </w:r>
      <w:r w:rsidRPr="00240730" w:rsidR="007F4E3C">
        <w:t>decision by the owner of the FGUP</w:t>
      </w:r>
      <w:r w:rsidRPr="00240730" w:rsidR="00240730">
        <w:t>’</w:t>
      </w:r>
      <w:r w:rsidRPr="00240730" w:rsidR="007F4E3C">
        <w:t xml:space="preserve">s </w:t>
      </w:r>
      <w:r w:rsidRPr="00240730" w:rsidR="00CA5A8C">
        <w:t>property</w:t>
      </w:r>
      <w:r w:rsidRPr="00240730" w:rsidR="007F4E3C">
        <w:t xml:space="preserve">, a substitution of assets could </w:t>
      </w:r>
      <w:r w:rsidRPr="00240730" w:rsidR="00B6367C">
        <w:t xml:space="preserve">not </w:t>
      </w:r>
      <w:r w:rsidRPr="00240730" w:rsidR="00714112">
        <w:t xml:space="preserve">have been </w:t>
      </w:r>
      <w:r w:rsidRPr="00240730" w:rsidR="007F4E3C">
        <w:t>included in the external administration plan (paragraph </w:t>
      </w:r>
      <w:r w:rsidRPr="00240730" w:rsidR="007F4E3C">
        <w:fldChar w:fldCharType="begin"/>
      </w:r>
      <w:r w:rsidRPr="00240730" w:rsidR="007F4E3C">
        <w:instrText xml:space="preserve"> REF Judgment29042008AnnullmentOAOfinal \h </w:instrText>
      </w:r>
      <w:r w:rsidRPr="00240730">
        <w:instrText xml:space="preserve"> \* MERGEFORMAT </w:instrText>
      </w:r>
      <w:r w:rsidRPr="00240730" w:rsidR="007F4E3C">
        <w:fldChar w:fldCharType="separate"/>
      </w:r>
      <w:r w:rsidRPr="00240730" w:rsidR="00240730">
        <w:rPr>
          <w:noProof/>
        </w:rPr>
        <w:t>23</w:t>
      </w:r>
      <w:r w:rsidRPr="00240730" w:rsidR="007F4E3C">
        <w:fldChar w:fldCharType="end"/>
      </w:r>
      <w:r w:rsidRPr="00240730" w:rsidR="007F4E3C">
        <w:t xml:space="preserve"> above)</w:t>
      </w:r>
      <w:r w:rsidRPr="00240730" w:rsidR="00714112">
        <w:t xml:space="preserve">. As a result, the creation of the OAO was declared invalid, and </w:t>
      </w:r>
      <w:r w:rsidRPr="00240730" w:rsidR="0002592A">
        <w:t xml:space="preserve">at </w:t>
      </w:r>
      <w:r w:rsidRPr="00240730" w:rsidR="00714112">
        <w:t>the time of the judgments in the applicants</w:t>
      </w:r>
      <w:r w:rsidRPr="00240730" w:rsidR="00240730">
        <w:t>’</w:t>
      </w:r>
      <w:r w:rsidRPr="00240730" w:rsidR="00714112">
        <w:t xml:space="preserve"> favour (late 2008</w:t>
      </w:r>
      <w:r w:rsidRPr="00240730" w:rsidR="007F588D">
        <w:t xml:space="preserve"> to </w:t>
      </w:r>
      <w:r w:rsidRPr="00240730" w:rsidR="00714112">
        <w:t xml:space="preserve">early 2009, see Column 3 of Appendix I) </w:t>
      </w:r>
      <w:r w:rsidRPr="00240730" w:rsidR="00823077">
        <w:t xml:space="preserve">the assets were </w:t>
      </w:r>
      <w:r w:rsidRPr="00240730" w:rsidR="00714112">
        <w:t xml:space="preserve">being </w:t>
      </w:r>
      <w:r w:rsidRPr="00240730" w:rsidR="00823077">
        <w:t xml:space="preserve">returned </w:t>
      </w:r>
      <w:r w:rsidRPr="00240730">
        <w:t>under the FGUP</w:t>
      </w:r>
      <w:r w:rsidRPr="00240730" w:rsidR="00240730">
        <w:t>’</w:t>
      </w:r>
      <w:r w:rsidRPr="00240730">
        <w:t>s economic control.</w:t>
      </w:r>
    </w:p>
    <w:p w:rsidRPr="00240730" w:rsidR="00377D0B" w:rsidP="00240730" w:rsidRDefault="00714112">
      <w:pPr>
        <w:pStyle w:val="ECHRPara"/>
      </w:pPr>
      <w:r w:rsidRPr="00240730">
        <w:fldChar w:fldCharType="begin"/>
      </w:r>
      <w:r w:rsidRPr="00240730">
        <w:instrText xml:space="preserve"> SEQ level0 \*arabic </w:instrText>
      </w:r>
      <w:r w:rsidRPr="00240730">
        <w:fldChar w:fldCharType="separate"/>
      </w:r>
      <w:r w:rsidRPr="00240730" w:rsidR="00240730">
        <w:rPr>
          <w:noProof/>
        </w:rPr>
        <w:t>98</w:t>
      </w:r>
      <w:r w:rsidRPr="00240730">
        <w:fldChar w:fldCharType="end"/>
      </w:r>
      <w:r w:rsidRPr="00240730">
        <w:t>.  </w:t>
      </w:r>
      <w:r w:rsidRPr="00240730" w:rsidR="00CE0890">
        <w:t>F</w:t>
      </w:r>
      <w:r w:rsidRPr="00240730" w:rsidR="00C00E7D">
        <w:t>inally</w:t>
      </w:r>
      <w:r w:rsidRPr="00240730" w:rsidR="00CE0890">
        <w:t xml:space="preserve">, in 2009 the FGUP was included in a list of organisations of strategic importance entitled to State subsidies in order to resolve </w:t>
      </w:r>
      <w:r w:rsidRPr="00240730" w:rsidR="00524DC2">
        <w:t xml:space="preserve">its </w:t>
      </w:r>
      <w:r w:rsidRPr="00240730" w:rsidR="00CE0890">
        <w:t xml:space="preserve">financial difficulties, and the authorities actively took measures to discontinue the insolvency proceedings in respect of </w:t>
      </w:r>
      <w:r w:rsidRPr="00240730" w:rsidR="00524DC2">
        <w:t>it</w:t>
      </w:r>
      <w:r w:rsidRPr="00240730" w:rsidR="00CE0890">
        <w:t>, including those aimed at payment of the enterprise</w:t>
      </w:r>
      <w:r w:rsidRPr="00240730" w:rsidR="00240730">
        <w:t>’</w:t>
      </w:r>
      <w:r w:rsidRPr="00240730" w:rsidR="00CE0890">
        <w:t>s debts and restor</w:t>
      </w:r>
      <w:r w:rsidRPr="00240730" w:rsidR="00F42FBF">
        <w:t>ing</w:t>
      </w:r>
      <w:r w:rsidRPr="00240730" w:rsidR="00CE0890">
        <w:t xml:space="preserve"> </w:t>
      </w:r>
      <w:r w:rsidRPr="00240730" w:rsidR="00F42FBF">
        <w:t>its</w:t>
      </w:r>
      <w:r w:rsidRPr="00240730" w:rsidR="00CE0890">
        <w:t xml:space="preserve"> solvability (see paragraph </w:t>
      </w:r>
      <w:r w:rsidRPr="00240730" w:rsidR="00CE0890">
        <w:fldChar w:fldCharType="begin"/>
      </w:r>
      <w:r w:rsidRPr="00240730" w:rsidR="00CE0890">
        <w:instrText xml:space="preserve"> REF Let16072009CommanderInChiefMeasures \h </w:instrText>
      </w:r>
      <w:r w:rsidRPr="00240730" w:rsidR="00CE0890">
        <w:fldChar w:fldCharType="separate"/>
      </w:r>
      <w:r w:rsidRPr="00240730" w:rsidR="00240730">
        <w:rPr>
          <w:noProof/>
        </w:rPr>
        <w:t>63</w:t>
      </w:r>
      <w:r w:rsidRPr="00240730" w:rsidR="00CE0890">
        <w:fldChar w:fldCharType="end"/>
      </w:r>
      <w:r w:rsidRPr="00240730" w:rsidR="00CE0890">
        <w:t xml:space="preserve"> above). Therefore, the</w:t>
      </w:r>
      <w:r w:rsidRPr="00240730" w:rsidR="00312665">
        <w:t xml:space="preserve"> State can be assumed to have accepted </w:t>
      </w:r>
      <w:r w:rsidRPr="00240730" w:rsidR="00CE0890">
        <w:t>a certain degree of responsibility for the debts of</w:t>
      </w:r>
      <w:r w:rsidRPr="00240730" w:rsidR="00312665">
        <w:t xml:space="preserve"> the</w:t>
      </w:r>
      <w:r w:rsidRPr="00240730" w:rsidR="008040C4">
        <w:t xml:space="preserve"> FGUP </w:t>
      </w:r>
      <w:r w:rsidRPr="00240730" w:rsidR="00312665">
        <w:t xml:space="preserve">(see, </w:t>
      </w:r>
      <w:r w:rsidRPr="00240730" w:rsidR="00312665">
        <w:rPr>
          <w:i/>
        </w:rPr>
        <w:t>mutatis mutandis</w:t>
      </w:r>
      <w:r w:rsidRPr="00240730" w:rsidR="00312665">
        <w:t xml:space="preserve">, </w:t>
      </w:r>
      <w:r w:rsidRPr="00240730" w:rsidR="005D4B2F">
        <w:rPr>
          <w:i/>
        </w:rPr>
        <w:t>Khachatryan v. Armenia</w:t>
      </w:r>
      <w:r w:rsidRPr="00240730" w:rsidR="005D4B2F">
        <w:t>, no. 31761/04, § 53, 1 December 2009</w:t>
      </w:r>
      <w:r w:rsidRPr="00240730" w:rsidR="00BF6F5E">
        <w:t>)</w:t>
      </w:r>
      <w:r w:rsidRPr="00240730" w:rsidR="00312665">
        <w:t>.</w:t>
      </w:r>
    </w:p>
    <w:p w:rsidRPr="00240730" w:rsidR="00377D0B" w:rsidP="00240730" w:rsidRDefault="008168FD">
      <w:pPr>
        <w:pStyle w:val="ECHRPara"/>
      </w:pPr>
      <w:r w:rsidRPr="00240730">
        <w:fldChar w:fldCharType="begin"/>
      </w:r>
      <w:r w:rsidRPr="00240730">
        <w:instrText xml:space="preserve"> SEQ level0 \*arabic </w:instrText>
      </w:r>
      <w:r w:rsidRPr="00240730">
        <w:fldChar w:fldCharType="separate"/>
      </w:r>
      <w:r w:rsidRPr="00240730" w:rsidR="00240730">
        <w:rPr>
          <w:noProof/>
        </w:rPr>
        <w:t>99</w:t>
      </w:r>
      <w:r w:rsidRPr="00240730">
        <w:fldChar w:fldCharType="end"/>
      </w:r>
      <w:r w:rsidRPr="00240730">
        <w:t>.  </w:t>
      </w:r>
      <w:r w:rsidRPr="00240730" w:rsidR="00302CC1">
        <w:t>In the Court</w:t>
      </w:r>
      <w:r w:rsidRPr="00240730" w:rsidR="00240730">
        <w:t>’</w:t>
      </w:r>
      <w:r w:rsidRPr="00240730" w:rsidR="00302CC1">
        <w:t>s view, these fact</w:t>
      </w:r>
      <w:r w:rsidRPr="00240730" w:rsidR="00A526C4">
        <w:t>ors</w:t>
      </w:r>
      <w:r w:rsidRPr="00240730" w:rsidR="00302CC1">
        <w:t xml:space="preserve"> </w:t>
      </w:r>
      <w:r w:rsidRPr="00240730" w:rsidR="00CE0890">
        <w:t xml:space="preserve">are sufficient for a finding </w:t>
      </w:r>
      <w:r w:rsidRPr="00240730" w:rsidR="00302CC1">
        <w:t xml:space="preserve">that a strong degree of State control was actually exercised by the </w:t>
      </w:r>
      <w:r w:rsidRPr="00240730" w:rsidR="002E5E63">
        <w:t>authorities</w:t>
      </w:r>
      <w:r w:rsidRPr="00240730" w:rsidR="00302CC1">
        <w:t xml:space="preserve"> over the </w:t>
      </w:r>
      <w:r w:rsidRPr="00240730" w:rsidR="008040C4">
        <w:t>debtor unitary enterprise</w:t>
      </w:r>
      <w:r w:rsidRPr="00240730" w:rsidR="00B90013">
        <w:t xml:space="preserve"> at the time of the events</w:t>
      </w:r>
      <w:r w:rsidRPr="00240730" w:rsidR="00124783">
        <w:t>, that is, during the non-enforcement period</w:t>
      </w:r>
      <w:r w:rsidRPr="00240730" w:rsidR="00302CC1">
        <w:t>.</w:t>
      </w:r>
    </w:p>
    <w:bookmarkStart w:name="StateResponsibilityFGUP_conclusion" w:id="54"/>
    <w:p w:rsidRPr="00240730" w:rsidR="00302CC1" w:rsidP="00240730" w:rsidRDefault="00565ABD">
      <w:pPr>
        <w:pStyle w:val="ECHRPara"/>
      </w:pPr>
      <w:r w:rsidRPr="00240730">
        <w:fldChar w:fldCharType="begin"/>
      </w:r>
      <w:r w:rsidRPr="00240730">
        <w:instrText xml:space="preserve"> SEQ level0 \*arabic </w:instrText>
      </w:r>
      <w:r w:rsidRPr="00240730">
        <w:fldChar w:fldCharType="separate"/>
      </w:r>
      <w:r w:rsidRPr="00240730" w:rsidR="00240730">
        <w:rPr>
          <w:noProof/>
        </w:rPr>
        <w:t>100</w:t>
      </w:r>
      <w:r w:rsidRPr="00240730">
        <w:rPr>
          <w:noProof/>
        </w:rPr>
        <w:fldChar w:fldCharType="end"/>
      </w:r>
      <w:bookmarkEnd w:id="54"/>
      <w:r w:rsidRPr="00240730" w:rsidR="00302CC1">
        <w:t xml:space="preserve">.  The Court concludes that the </w:t>
      </w:r>
      <w:r w:rsidRPr="00240730" w:rsidR="003B416C">
        <w:t>FGUP</w:t>
      </w:r>
      <w:r w:rsidRPr="00240730" w:rsidR="00302CC1">
        <w:t xml:space="preserve"> did not enjoy sufficient institutional and operational independence from the </w:t>
      </w:r>
      <w:r w:rsidRPr="00240730" w:rsidR="003B416C">
        <w:t>State</w:t>
      </w:r>
      <w:r w:rsidRPr="00240730" w:rsidR="00302CC1">
        <w:t xml:space="preserve"> </w:t>
      </w:r>
      <w:r w:rsidRPr="00240730" w:rsidR="00CE0890">
        <w:t xml:space="preserve">at the time of the events </w:t>
      </w:r>
      <w:r w:rsidRPr="00240730" w:rsidR="00302CC1">
        <w:t>and rejects the Government</w:t>
      </w:r>
      <w:r w:rsidRPr="00240730" w:rsidR="00240730">
        <w:t>’</w:t>
      </w:r>
      <w:r w:rsidRPr="00240730" w:rsidR="00302CC1">
        <w:t xml:space="preserve">s </w:t>
      </w:r>
      <w:proofErr w:type="spellStart"/>
      <w:r w:rsidRPr="00240730" w:rsidR="00302CC1">
        <w:rPr>
          <w:i/>
          <w:iCs/>
        </w:rPr>
        <w:t>ratione</w:t>
      </w:r>
      <w:proofErr w:type="spellEnd"/>
      <w:r w:rsidRPr="00240730" w:rsidR="00302CC1">
        <w:rPr>
          <w:i/>
          <w:iCs/>
        </w:rPr>
        <w:t xml:space="preserve"> personae</w:t>
      </w:r>
      <w:r w:rsidRPr="00240730" w:rsidR="00302CC1">
        <w:t xml:space="preserve"> ob</w:t>
      </w:r>
      <w:r w:rsidRPr="00240730" w:rsidR="00B5146F">
        <w:t>jection. Accordingly, the State</w:t>
      </w:r>
      <w:r w:rsidRPr="00240730" w:rsidR="00302CC1">
        <w:t xml:space="preserve"> is to be held responsible under the Convention for the judgment debts in the applicants</w:t>
      </w:r>
      <w:r w:rsidRPr="00240730" w:rsidR="00240730">
        <w:t>’</w:t>
      </w:r>
      <w:r w:rsidRPr="00240730" w:rsidR="00302CC1">
        <w:t xml:space="preserve"> favour (see </w:t>
      </w:r>
      <w:proofErr w:type="spellStart"/>
      <w:r w:rsidRPr="00240730" w:rsidR="00302CC1">
        <w:rPr>
          <w:i/>
          <w:iCs/>
        </w:rPr>
        <w:t>Liseytseva</w:t>
      </w:r>
      <w:proofErr w:type="spellEnd"/>
      <w:r w:rsidRPr="00240730" w:rsidR="00302CC1">
        <w:rPr>
          <w:i/>
          <w:iCs/>
        </w:rPr>
        <w:t xml:space="preserve"> and </w:t>
      </w:r>
      <w:proofErr w:type="spellStart"/>
      <w:r w:rsidRPr="00240730" w:rsidR="00302CC1">
        <w:rPr>
          <w:i/>
          <w:iCs/>
        </w:rPr>
        <w:t>Maslov</w:t>
      </w:r>
      <w:proofErr w:type="spellEnd"/>
      <w:r w:rsidRPr="00240730" w:rsidR="00302CC1">
        <w:rPr>
          <w:iCs/>
        </w:rPr>
        <w:t>,</w:t>
      </w:r>
      <w:r w:rsidRPr="00240730" w:rsidR="00302CC1">
        <w:rPr>
          <w:i/>
          <w:iCs/>
        </w:rPr>
        <w:t xml:space="preserve"> </w:t>
      </w:r>
      <w:r w:rsidRPr="00240730" w:rsidR="00302CC1">
        <w:rPr>
          <w:iCs/>
        </w:rPr>
        <w:t>cited above,</w:t>
      </w:r>
      <w:r w:rsidRPr="00240730" w:rsidR="00302CC1">
        <w:rPr>
          <w:i/>
          <w:iCs/>
        </w:rPr>
        <w:t xml:space="preserve"> </w:t>
      </w:r>
      <w:r w:rsidRPr="00240730" w:rsidR="00302CC1">
        <w:rPr>
          <w:iCs/>
        </w:rPr>
        <w:t>§</w:t>
      </w:r>
      <w:r w:rsidRPr="00240730" w:rsidR="00302CC1">
        <w:rPr>
          <w:i/>
          <w:iCs/>
        </w:rPr>
        <w:t> </w:t>
      </w:r>
      <w:r w:rsidRPr="00240730" w:rsidR="00302CC1">
        <w:rPr>
          <w:iCs/>
        </w:rPr>
        <w:t>214</w:t>
      </w:r>
      <w:r w:rsidRPr="00240730" w:rsidR="00302CC1">
        <w:t>).</w:t>
      </w:r>
    </w:p>
    <w:p w:rsidRPr="00240730" w:rsidR="002E5E63" w:rsidP="00240730" w:rsidRDefault="002E5E63">
      <w:pPr>
        <w:pStyle w:val="ECHRHeading3"/>
      </w:pPr>
      <w:r w:rsidRPr="00240730">
        <w:t>2.  Exhaustion</w:t>
      </w:r>
    </w:p>
    <w:bookmarkStart w:name="ExhaustionFGUP" w:id="55"/>
    <w:p w:rsidRPr="00240730" w:rsidR="00332C04" w:rsidP="00240730" w:rsidRDefault="00565ABD">
      <w:pPr>
        <w:pStyle w:val="ECHRPara"/>
      </w:pPr>
      <w:r w:rsidRPr="00240730">
        <w:fldChar w:fldCharType="begin"/>
      </w:r>
      <w:r w:rsidRPr="00240730">
        <w:instrText xml:space="preserve"> SEQ level0 \*arabic </w:instrText>
      </w:r>
      <w:r w:rsidRPr="00240730">
        <w:fldChar w:fldCharType="separate"/>
      </w:r>
      <w:r w:rsidRPr="00240730" w:rsidR="00240730">
        <w:rPr>
          <w:noProof/>
        </w:rPr>
        <w:t>101</w:t>
      </w:r>
      <w:r w:rsidRPr="00240730">
        <w:rPr>
          <w:noProof/>
        </w:rPr>
        <w:fldChar w:fldCharType="end"/>
      </w:r>
      <w:bookmarkEnd w:id="55"/>
      <w:r w:rsidRPr="00240730" w:rsidR="00424E54">
        <w:t>.  </w:t>
      </w:r>
      <w:r w:rsidRPr="00240730" w:rsidR="00332C04">
        <w:t xml:space="preserve">The Court has already examined the exhaustion issue in detail in </w:t>
      </w:r>
      <w:proofErr w:type="spellStart"/>
      <w:r w:rsidRPr="00240730" w:rsidR="00332C04">
        <w:rPr>
          <w:i/>
        </w:rPr>
        <w:t>Liseytseva</w:t>
      </w:r>
      <w:proofErr w:type="spellEnd"/>
      <w:r w:rsidRPr="00240730" w:rsidR="00332C04">
        <w:rPr>
          <w:i/>
        </w:rPr>
        <w:t xml:space="preserve"> and </w:t>
      </w:r>
      <w:proofErr w:type="spellStart"/>
      <w:r w:rsidRPr="00240730" w:rsidR="00332C04">
        <w:rPr>
          <w:i/>
        </w:rPr>
        <w:t>Maslov</w:t>
      </w:r>
      <w:proofErr w:type="spellEnd"/>
      <w:r w:rsidRPr="00240730" w:rsidR="00332C04">
        <w:t xml:space="preserve"> (cited above, §</w:t>
      </w:r>
      <w:r w:rsidRPr="00240730" w:rsidR="00496F4B">
        <w:t>§</w:t>
      </w:r>
      <w:r w:rsidRPr="00240730" w:rsidR="00332C04">
        <w:t xml:space="preserve"> 156-82</w:t>
      </w:r>
      <w:r w:rsidRPr="00240730" w:rsidR="00424E54">
        <w:t xml:space="preserve"> and, in particular, § 165</w:t>
      </w:r>
      <w:r w:rsidRPr="00240730" w:rsidR="00332C04">
        <w:t>), and does not see a reason to depart from those c</w:t>
      </w:r>
      <w:r w:rsidRPr="00240730" w:rsidR="00424E54">
        <w:t xml:space="preserve">onclusions in the present case. </w:t>
      </w:r>
      <w:r w:rsidRPr="00240730" w:rsidR="00332C04">
        <w:t>Accordingly, the Court rejects the Government</w:t>
      </w:r>
      <w:r w:rsidRPr="00240730" w:rsidR="00240730">
        <w:t>’</w:t>
      </w:r>
      <w:r w:rsidRPr="00240730" w:rsidR="00332C04">
        <w:t>s plea as to non</w:t>
      </w:r>
      <w:r w:rsidRPr="00240730" w:rsidR="00332C04">
        <w:noBreakHyphen/>
        <w:t>exhaustion.</w:t>
      </w:r>
    </w:p>
    <w:p w:rsidRPr="00240730" w:rsidR="00F06228" w:rsidP="00240730" w:rsidRDefault="002E5E63">
      <w:pPr>
        <w:pStyle w:val="ECHRHeading3"/>
        <w:rPr>
          <w:b/>
        </w:rPr>
      </w:pPr>
      <w:r w:rsidRPr="00240730">
        <w:t>3.  </w:t>
      </w:r>
      <w:r w:rsidRPr="00240730" w:rsidR="00F06228">
        <w:t>Victim status of two applicants</w:t>
      </w:r>
    </w:p>
    <w:p w:rsidRPr="00240730" w:rsidR="00E2289C" w:rsidP="00240730" w:rsidRDefault="007928EA">
      <w:pPr>
        <w:pStyle w:val="ECHRPara"/>
      </w:pPr>
      <w:r w:rsidRPr="00240730">
        <w:fldChar w:fldCharType="begin"/>
      </w:r>
      <w:r w:rsidRPr="00240730">
        <w:instrText xml:space="preserve"> SEQ level0 \*arabic </w:instrText>
      </w:r>
      <w:r w:rsidRPr="00240730">
        <w:fldChar w:fldCharType="separate"/>
      </w:r>
      <w:r w:rsidRPr="00240730" w:rsidR="00240730">
        <w:rPr>
          <w:noProof/>
        </w:rPr>
        <w:t>102</w:t>
      </w:r>
      <w:r w:rsidRPr="00240730">
        <w:fldChar w:fldCharType="end"/>
      </w:r>
      <w:r w:rsidRPr="00240730">
        <w:t>.  </w:t>
      </w:r>
      <w:r w:rsidRPr="00240730" w:rsidR="0096218A">
        <w:t xml:space="preserve">With respect to Mr </w:t>
      </w:r>
      <w:proofErr w:type="spellStart"/>
      <w:r w:rsidRPr="00240730" w:rsidR="00F06228">
        <w:t>Tomilin</w:t>
      </w:r>
      <w:proofErr w:type="spellEnd"/>
      <w:r w:rsidRPr="00240730" w:rsidR="00F06228">
        <w:t xml:space="preserve"> and </w:t>
      </w:r>
      <w:r w:rsidRPr="00240730" w:rsidR="0096218A">
        <w:t xml:space="preserve">Ms </w:t>
      </w:r>
      <w:proofErr w:type="spellStart"/>
      <w:r w:rsidRPr="00240730" w:rsidR="00F06228">
        <w:t>Kudryashova</w:t>
      </w:r>
      <w:proofErr w:type="spellEnd"/>
      <w:r w:rsidRPr="00240730" w:rsidR="00BF114E">
        <w:t>,</w:t>
      </w:r>
      <w:r w:rsidRPr="00240730" w:rsidR="00F06228">
        <w:t xml:space="preserve"> the Government argued that the </w:t>
      </w:r>
      <w:r w:rsidRPr="00240730" w:rsidR="00092D98">
        <w:t>applicants</w:t>
      </w:r>
      <w:r w:rsidRPr="00240730" w:rsidR="00240730">
        <w:t>’</w:t>
      </w:r>
      <w:r w:rsidRPr="00240730" w:rsidR="00092D98">
        <w:t xml:space="preserve"> rights </w:t>
      </w:r>
      <w:r w:rsidRPr="00240730" w:rsidR="007F588D">
        <w:t xml:space="preserve">had been </w:t>
      </w:r>
      <w:r w:rsidRPr="00240730" w:rsidR="00092D98">
        <w:t>restored at</w:t>
      </w:r>
      <w:r w:rsidRPr="00240730" w:rsidR="00F06228">
        <w:t xml:space="preserve"> the domestic level as the awards </w:t>
      </w:r>
      <w:r w:rsidRPr="00240730" w:rsidR="00092D98">
        <w:t>in the</w:t>
      </w:r>
      <w:r w:rsidRPr="00240730" w:rsidR="00446C25">
        <w:t>ir</w:t>
      </w:r>
      <w:r w:rsidRPr="00240730" w:rsidR="00092D98">
        <w:t xml:space="preserve"> favour </w:t>
      </w:r>
      <w:r w:rsidRPr="00240730" w:rsidR="00446C25">
        <w:t xml:space="preserve">had been </w:t>
      </w:r>
      <w:r w:rsidRPr="00240730" w:rsidR="00F06228">
        <w:t xml:space="preserve">index-linked and each applicant </w:t>
      </w:r>
      <w:r w:rsidRPr="00240730" w:rsidR="003227B0">
        <w:t xml:space="preserve">had </w:t>
      </w:r>
      <w:r w:rsidRPr="00240730" w:rsidR="00F06228">
        <w:t>received RUB 1</w:t>
      </w:r>
      <w:r w:rsidRPr="00240730" w:rsidR="00E17FFE">
        <w:t>,</w:t>
      </w:r>
      <w:r w:rsidRPr="00240730" w:rsidR="00F06228">
        <w:t xml:space="preserve">000 (EUR 22) </w:t>
      </w:r>
      <w:r w:rsidRPr="00240730" w:rsidR="003227B0">
        <w:t xml:space="preserve">in respect </w:t>
      </w:r>
      <w:r w:rsidRPr="00240730" w:rsidR="00620618">
        <w:t>of non</w:t>
      </w:r>
      <w:r w:rsidRPr="00240730" w:rsidR="00620618">
        <w:noBreakHyphen/>
      </w:r>
      <w:r w:rsidRPr="00240730" w:rsidR="00092D98">
        <w:t>pecuniary</w:t>
      </w:r>
      <w:r w:rsidRPr="00240730" w:rsidR="00F06228">
        <w:t xml:space="preserve"> damage. However,</w:t>
      </w:r>
      <w:r w:rsidRPr="00240730" w:rsidR="00092D98">
        <w:t xml:space="preserve"> </w:t>
      </w:r>
      <w:r w:rsidRPr="00240730" w:rsidR="00F06228">
        <w:t xml:space="preserve">it is sufficient for the Court to note that no details about the </w:t>
      </w:r>
      <w:r w:rsidRPr="00240730" w:rsidR="00FC3620">
        <w:t xml:space="preserve">final awards in the </w:t>
      </w:r>
      <w:r w:rsidRPr="00240730" w:rsidR="00F06228">
        <w:t xml:space="preserve">index-linking </w:t>
      </w:r>
      <w:r w:rsidRPr="00240730" w:rsidR="00FC3620">
        <w:t>proceedings</w:t>
      </w:r>
      <w:r w:rsidRPr="00240730" w:rsidR="00F06228">
        <w:t xml:space="preserve"> against the FGUP</w:t>
      </w:r>
      <w:r w:rsidRPr="00240730" w:rsidR="003C42A6">
        <w:t xml:space="preserve"> and their eventual enforcement</w:t>
      </w:r>
      <w:r w:rsidRPr="00240730" w:rsidR="00F06228">
        <w:t xml:space="preserve"> </w:t>
      </w:r>
      <w:r w:rsidRPr="00240730" w:rsidR="003227B0">
        <w:t xml:space="preserve">were </w:t>
      </w:r>
      <w:r w:rsidRPr="00240730" w:rsidR="00F06228">
        <w:t>provided by the parties</w:t>
      </w:r>
      <w:r w:rsidRPr="00240730" w:rsidR="009454E9">
        <w:t xml:space="preserve"> (see paragraph </w:t>
      </w:r>
      <w:r w:rsidRPr="00240730" w:rsidR="009454E9">
        <w:fldChar w:fldCharType="begin"/>
      </w:r>
      <w:r w:rsidRPr="00240730" w:rsidR="009454E9">
        <w:instrText xml:space="preserve"> REF IndexLinking_Kudryashova_Tomilin \h </w:instrText>
      </w:r>
      <w:r w:rsidRPr="00240730" w:rsidR="00CB3D0E">
        <w:instrText xml:space="preserve"> \* MERGEFORMAT </w:instrText>
      </w:r>
      <w:r w:rsidRPr="00240730" w:rsidR="009454E9">
        <w:fldChar w:fldCharType="separate"/>
      </w:r>
      <w:r w:rsidRPr="00240730" w:rsidR="00240730">
        <w:rPr>
          <w:noProof/>
        </w:rPr>
        <w:t>62</w:t>
      </w:r>
      <w:r w:rsidRPr="00240730" w:rsidR="009454E9">
        <w:fldChar w:fldCharType="end"/>
      </w:r>
      <w:r w:rsidRPr="00240730" w:rsidR="009454E9">
        <w:t xml:space="preserve"> above)</w:t>
      </w:r>
      <w:r w:rsidRPr="00240730" w:rsidR="00F06228">
        <w:t xml:space="preserve">. </w:t>
      </w:r>
      <w:r w:rsidRPr="00240730" w:rsidR="009454E9">
        <w:t>In any event, the Court reiterates that</w:t>
      </w:r>
      <w:r w:rsidRPr="00240730" w:rsidR="005A2A33">
        <w:t xml:space="preserve"> </w:t>
      </w:r>
      <w:r w:rsidRPr="00240730" w:rsidR="009454E9">
        <w:t>this remedy alone would not provide sufficient redress as it can only compensate damage resulting from monetary depreciation</w:t>
      </w:r>
      <w:r w:rsidRPr="00240730" w:rsidR="005A2A33">
        <w:t xml:space="preserve"> (see</w:t>
      </w:r>
      <w:r w:rsidRPr="00240730" w:rsidR="00B55327">
        <w:t xml:space="preserve">, </w:t>
      </w:r>
      <w:r w:rsidRPr="00240730" w:rsidR="00B55327">
        <w:rPr>
          <w:i/>
        </w:rPr>
        <w:t>mutatis mutandis</w:t>
      </w:r>
      <w:r w:rsidRPr="00240730" w:rsidR="00B55327">
        <w:t>,</w:t>
      </w:r>
      <w:r w:rsidRPr="00240730" w:rsidR="005A2A33">
        <w:t xml:space="preserve"> </w:t>
      </w:r>
      <w:proofErr w:type="spellStart"/>
      <w:r w:rsidRPr="00240730" w:rsidR="00B55327">
        <w:rPr>
          <w:i/>
        </w:rPr>
        <w:t>Burdov</w:t>
      </w:r>
      <w:proofErr w:type="spellEnd"/>
      <w:r w:rsidRPr="00240730" w:rsidR="00B55327">
        <w:rPr>
          <w:i/>
        </w:rPr>
        <w:t xml:space="preserve"> v. Russia (no. 2)</w:t>
      </w:r>
      <w:r w:rsidRPr="00240730" w:rsidR="00B55327">
        <w:t>, no. 33509/04, § 108, ECHR 2009). A</w:t>
      </w:r>
      <w:r w:rsidRPr="00240730" w:rsidR="00DC7939">
        <w:t>s</w:t>
      </w:r>
      <w:r w:rsidRPr="00240730" w:rsidR="00EE40E1">
        <w:t xml:space="preserve"> regards the award in respect of non-pecuniary damage, and even assuming that the reference to the delayed payment of salary </w:t>
      </w:r>
      <w:r w:rsidRPr="00240730" w:rsidR="00446C25">
        <w:t xml:space="preserve">by the FGUP </w:t>
      </w:r>
      <w:r w:rsidRPr="00240730" w:rsidR="00EE40E1">
        <w:t xml:space="preserve">could be regarded as acknowledgment of a violation, the </w:t>
      </w:r>
      <w:r w:rsidRPr="00240730" w:rsidR="00446C25">
        <w:t>award</w:t>
      </w:r>
      <w:r w:rsidRPr="00240730" w:rsidR="00926BC6">
        <w:t xml:space="preserve"> of EUR 22 </w:t>
      </w:r>
      <w:r w:rsidRPr="00240730" w:rsidR="00B00A4E">
        <w:t xml:space="preserve">was </w:t>
      </w:r>
      <w:r w:rsidRPr="00240730" w:rsidR="00731787">
        <w:t>manifestly unreasonable in comparison with the awards made by the Court in similar cases</w:t>
      </w:r>
      <w:r w:rsidRPr="00240730" w:rsidR="00B00A4E">
        <w:t xml:space="preserve"> (see, for </w:t>
      </w:r>
      <w:r w:rsidRPr="00240730" w:rsidR="00731787">
        <w:t>example</w:t>
      </w:r>
      <w:r w:rsidRPr="00240730" w:rsidR="00B00A4E">
        <w:t xml:space="preserve">, </w:t>
      </w:r>
      <w:proofErr w:type="spellStart"/>
      <w:r w:rsidRPr="00240730" w:rsidR="007D0724">
        <w:rPr>
          <w:i/>
        </w:rPr>
        <w:t>Voronkov</w:t>
      </w:r>
      <w:proofErr w:type="spellEnd"/>
      <w:r w:rsidRPr="00240730" w:rsidR="007D0724">
        <w:rPr>
          <w:i/>
        </w:rPr>
        <w:t xml:space="preserve"> v. </w:t>
      </w:r>
      <w:r w:rsidRPr="00240730" w:rsidR="00CD7D51">
        <w:rPr>
          <w:i/>
        </w:rPr>
        <w:t>Russia</w:t>
      </w:r>
      <w:r w:rsidRPr="00240730" w:rsidR="00CD7D51">
        <w:t>, no. 39678/03</w:t>
      </w:r>
      <w:r w:rsidRPr="00240730" w:rsidR="00CD7D51">
        <w:rPr>
          <w:snapToGrid w:val="0"/>
        </w:rPr>
        <w:t xml:space="preserve">, §§ 68-69, </w:t>
      </w:r>
      <w:r w:rsidRPr="00240730" w:rsidR="00CD7D51">
        <w:t>30</w:t>
      </w:r>
      <w:r w:rsidRPr="00240730" w:rsidR="00CD7D51">
        <w:rPr>
          <w:snapToGrid w:val="0"/>
        </w:rPr>
        <w:t> July 2015</w:t>
      </w:r>
      <w:r w:rsidRPr="00240730" w:rsidR="00CD7D51">
        <w:t>)</w:t>
      </w:r>
      <w:r w:rsidRPr="00240730" w:rsidR="00731787">
        <w:t xml:space="preserve">. </w:t>
      </w:r>
      <w:r w:rsidRPr="00240730" w:rsidR="00092D98">
        <w:t xml:space="preserve">Accordingly, the Court finds nothing in the case material to suggest that the authorities </w:t>
      </w:r>
      <w:r w:rsidRPr="00240730" w:rsidR="00926BC6">
        <w:t xml:space="preserve">granted the applicants </w:t>
      </w:r>
      <w:r w:rsidRPr="00240730" w:rsidR="00092D98">
        <w:t>a</w:t>
      </w:r>
      <w:r w:rsidRPr="00240730" w:rsidR="0089395F">
        <w:t>ppropriate</w:t>
      </w:r>
      <w:r w:rsidRPr="00240730" w:rsidR="00092D98">
        <w:t xml:space="preserve"> and sufficient redress </w:t>
      </w:r>
      <w:r w:rsidRPr="00240730" w:rsidR="00F06228">
        <w:t xml:space="preserve">(see </w:t>
      </w:r>
      <w:proofErr w:type="spellStart"/>
      <w:r w:rsidRPr="00240730" w:rsidR="00E16A13">
        <w:rPr>
          <w:i/>
          <w:iCs/>
        </w:rPr>
        <w:t>Cocchiarella</w:t>
      </w:r>
      <w:proofErr w:type="spellEnd"/>
      <w:r w:rsidRPr="00240730" w:rsidR="00E16A13">
        <w:rPr>
          <w:i/>
          <w:iCs/>
        </w:rPr>
        <w:t xml:space="preserve"> v. </w:t>
      </w:r>
      <w:r w:rsidRPr="00240730" w:rsidR="00F06228">
        <w:rPr>
          <w:i/>
          <w:iCs/>
        </w:rPr>
        <w:t>Italy</w:t>
      </w:r>
      <w:r w:rsidRPr="00240730" w:rsidR="008168FD">
        <w:t>, no. 64886/01, §§ </w:t>
      </w:r>
      <w:r w:rsidRPr="00240730" w:rsidR="00F06228">
        <w:t>70-72, 10 November 2004 with further references)</w:t>
      </w:r>
      <w:r w:rsidRPr="00240730" w:rsidR="00926BC6">
        <w:t>, and rejects the respective objection.</w:t>
      </w:r>
    </w:p>
    <w:p w:rsidRPr="00240730" w:rsidR="00377D0B" w:rsidP="00240730" w:rsidRDefault="00F06228">
      <w:pPr>
        <w:pStyle w:val="ECHRHeading3"/>
      </w:pPr>
      <w:r w:rsidRPr="00240730">
        <w:t>4.  </w:t>
      </w:r>
      <w:r w:rsidRPr="00240730" w:rsidR="002E5E63">
        <w:t xml:space="preserve">Existence of a significant disadvantage in the proceedings concerning </w:t>
      </w:r>
      <w:r w:rsidRPr="00240730" w:rsidR="00B5132D">
        <w:t xml:space="preserve">compensation for </w:t>
      </w:r>
      <w:r w:rsidRPr="00240730" w:rsidR="002E5E63">
        <w:t>delayed severance pay</w:t>
      </w:r>
    </w:p>
    <w:bookmarkStart w:name="InsDisadvFGUP" w:id="56"/>
    <w:p w:rsidRPr="00240730" w:rsidR="00B5132D" w:rsidP="00240730" w:rsidRDefault="002E5E63">
      <w:pPr>
        <w:pStyle w:val="ECHRPara"/>
      </w:pPr>
      <w:r w:rsidRPr="00240730">
        <w:fldChar w:fldCharType="begin"/>
      </w:r>
      <w:r w:rsidRPr="00240730">
        <w:instrText xml:space="preserve"> SEQ level0 \*arabic </w:instrText>
      </w:r>
      <w:r w:rsidRPr="00240730">
        <w:fldChar w:fldCharType="separate"/>
      </w:r>
      <w:r w:rsidRPr="00240730" w:rsidR="00240730">
        <w:rPr>
          <w:noProof/>
        </w:rPr>
        <w:t>103</w:t>
      </w:r>
      <w:r w:rsidRPr="00240730">
        <w:fldChar w:fldCharType="end"/>
      </w:r>
      <w:bookmarkEnd w:id="56"/>
      <w:r w:rsidRPr="00240730">
        <w:t xml:space="preserve">.  As regards the </w:t>
      </w:r>
      <w:r w:rsidRPr="00240730" w:rsidR="00B5132D">
        <w:t xml:space="preserve">complaint about the delayed enforcement of the domestic awards given </w:t>
      </w:r>
      <w:r w:rsidRPr="00240730" w:rsidR="00496F4B">
        <w:t xml:space="preserve">in the </w:t>
      </w:r>
      <w:r w:rsidRPr="00240730">
        <w:t>second set of court</w:t>
      </w:r>
      <w:r w:rsidRPr="00240730" w:rsidR="00CA51C6">
        <w:t xml:space="preserve"> proceedings </w:t>
      </w:r>
      <w:r w:rsidRPr="00240730" w:rsidR="00B5132D">
        <w:t xml:space="preserve">against the FGUP </w:t>
      </w:r>
      <w:r w:rsidRPr="00240730" w:rsidR="00CA51C6">
        <w:t>concerning damages for</w:t>
      </w:r>
      <w:r w:rsidRPr="00240730" w:rsidR="00496F4B">
        <w:t xml:space="preserve"> the</w:t>
      </w:r>
      <w:r w:rsidRPr="00240730" w:rsidR="00CA51C6">
        <w:t xml:space="preserve"> delay in payment of severance package</w:t>
      </w:r>
      <w:r w:rsidRPr="00240730" w:rsidR="00496F4B">
        <w:t>s</w:t>
      </w:r>
      <w:r w:rsidRPr="00240730" w:rsidR="00CA51C6">
        <w:t xml:space="preserve"> in</w:t>
      </w:r>
      <w:r w:rsidRPr="00240730" w:rsidR="00496F4B">
        <w:t xml:space="preserve"> the</w:t>
      </w:r>
      <w:r w:rsidRPr="00240730" w:rsidR="00CA51C6">
        <w:t xml:space="preserve"> case of four</w:t>
      </w:r>
      <w:r w:rsidRPr="00240730" w:rsidR="00CB0313">
        <w:t xml:space="preserve"> </w:t>
      </w:r>
      <w:r w:rsidRPr="00240730" w:rsidR="00496F4B">
        <w:t xml:space="preserve">of the </w:t>
      </w:r>
      <w:r w:rsidRPr="00240730" w:rsidR="00CB0313">
        <w:t>applicants</w:t>
      </w:r>
      <w:r w:rsidRPr="00240730" w:rsidR="00CA51C6">
        <w:t xml:space="preserve"> (see </w:t>
      </w:r>
      <w:r w:rsidRPr="00240730" w:rsidR="00C82E22">
        <w:t xml:space="preserve">Column no. 4 of </w:t>
      </w:r>
      <w:r w:rsidRPr="00240730" w:rsidR="00CA51C6">
        <w:t>Appendix</w:t>
      </w:r>
      <w:r w:rsidRPr="00240730" w:rsidR="00B5132D">
        <w:t> </w:t>
      </w:r>
      <w:r w:rsidRPr="00240730" w:rsidR="00CA51C6">
        <w:t>I</w:t>
      </w:r>
      <w:r w:rsidRPr="00240730" w:rsidR="00B5132D">
        <w:t>)</w:t>
      </w:r>
      <w:r w:rsidRPr="00240730" w:rsidR="006C482C">
        <w:rPr>
          <w:rStyle w:val="FootnoteReference"/>
        </w:rPr>
        <w:footnoteReference w:id="4"/>
      </w:r>
      <w:r w:rsidRPr="00240730" w:rsidR="00CB0313">
        <w:t>,</w:t>
      </w:r>
      <w:r w:rsidRPr="00240730" w:rsidR="00B5132D">
        <w:t xml:space="preserve"> the Court notes that the awards ranged from </w:t>
      </w:r>
      <w:r w:rsidRPr="00240730" w:rsidR="00BD1CE0">
        <w:t xml:space="preserve">EUR </w:t>
      </w:r>
      <w:r w:rsidRPr="00240730" w:rsidR="00B5132D">
        <w:t xml:space="preserve">3 to </w:t>
      </w:r>
      <w:r w:rsidRPr="00240730" w:rsidR="00BD1CE0">
        <w:t xml:space="preserve">EUR </w:t>
      </w:r>
      <w:r w:rsidRPr="00240730" w:rsidR="00B5132D">
        <w:t xml:space="preserve">29 and were enforced with a maximum delay of one year and four months. </w:t>
      </w:r>
      <w:r w:rsidRPr="00240730" w:rsidR="00332C04">
        <w:t>Considering the minor nature of the award</w:t>
      </w:r>
      <w:r w:rsidRPr="00240730" w:rsidR="00B5132D">
        <w:t xml:space="preserve">s, </w:t>
      </w:r>
      <w:r w:rsidRPr="00240730" w:rsidR="00332C04">
        <w:t>the Court arrives at the conclusion that the applicant</w:t>
      </w:r>
      <w:r w:rsidRPr="00240730" w:rsidR="00B5132D">
        <w:t>s</w:t>
      </w:r>
      <w:r w:rsidRPr="00240730" w:rsidR="00332C04">
        <w:t xml:space="preserve"> did not suffer</w:t>
      </w:r>
      <w:r w:rsidRPr="00240730" w:rsidR="00496F4B">
        <w:t xml:space="preserve"> a</w:t>
      </w:r>
      <w:r w:rsidRPr="00240730" w:rsidR="00332C04">
        <w:t xml:space="preserve"> significant disadvantage</w:t>
      </w:r>
      <w:r w:rsidRPr="00240730" w:rsidR="00B5132D">
        <w:t xml:space="preserve"> as a result of the authorities</w:t>
      </w:r>
      <w:r w:rsidRPr="00240730" w:rsidR="00240730">
        <w:t>’</w:t>
      </w:r>
      <w:r w:rsidRPr="00240730" w:rsidR="00332C04">
        <w:t xml:space="preserve"> failure to enforce the award</w:t>
      </w:r>
      <w:r w:rsidRPr="00240730" w:rsidR="00B5132D">
        <w:t>s in good time</w:t>
      </w:r>
      <w:r w:rsidRPr="00240730" w:rsidR="00332C04">
        <w:t>.</w:t>
      </w:r>
      <w:r w:rsidRPr="00240730" w:rsidR="00B5132D">
        <w:t xml:space="preserve"> </w:t>
      </w:r>
      <w:r w:rsidRPr="00240730" w:rsidR="00332C04">
        <w:t xml:space="preserve">The Court further observes </w:t>
      </w:r>
      <w:r w:rsidRPr="00240730" w:rsidR="00B5132D">
        <w:t xml:space="preserve">that it has already dealt with the issue of the non-enforcement of judgments against unitary enterprises on several occasions (see </w:t>
      </w:r>
      <w:proofErr w:type="spellStart"/>
      <w:r w:rsidRPr="00240730" w:rsidR="00B5132D">
        <w:rPr>
          <w:i/>
        </w:rPr>
        <w:t>Liseytseva</w:t>
      </w:r>
      <w:proofErr w:type="spellEnd"/>
      <w:r w:rsidRPr="00240730" w:rsidR="00B5132D">
        <w:rPr>
          <w:i/>
        </w:rPr>
        <w:t xml:space="preserve"> and </w:t>
      </w:r>
      <w:proofErr w:type="spellStart"/>
      <w:r w:rsidRPr="00240730" w:rsidR="00B5132D">
        <w:rPr>
          <w:i/>
        </w:rPr>
        <w:t>Maslov</w:t>
      </w:r>
      <w:proofErr w:type="spellEnd"/>
      <w:r w:rsidRPr="00240730" w:rsidR="00B5132D">
        <w:t xml:space="preserve">, cited above, and numerous follow-ups) </w:t>
      </w:r>
      <w:r w:rsidRPr="00240730" w:rsidR="00332C04">
        <w:t xml:space="preserve">and concludes that respect for human rights, as defined in the Convention and the Protocols thereto, does not require examination of the present complaint on its merits. </w:t>
      </w:r>
      <w:r w:rsidRPr="00240730" w:rsidR="00496F4B">
        <w:t>Lastly</w:t>
      </w:r>
      <w:r w:rsidRPr="00240730" w:rsidR="00B5132D">
        <w:t>,</w:t>
      </w:r>
      <w:r w:rsidRPr="00240730" w:rsidR="00A526C4">
        <w:t xml:space="preserve"> it observes that the applicant</w:t>
      </w:r>
      <w:r w:rsidRPr="00240730" w:rsidR="00B5132D">
        <w:t>s</w:t>
      </w:r>
      <w:r w:rsidRPr="00240730" w:rsidR="00240730">
        <w:t>’</w:t>
      </w:r>
      <w:r w:rsidRPr="00240730" w:rsidR="00B5132D">
        <w:t xml:space="preserve"> case was duly considered by a domestic tribunal within the meaning of Article 35 § 3 (b)</w:t>
      </w:r>
      <w:r w:rsidRPr="00240730" w:rsidR="00496F4B">
        <w:t>,</w:t>
      </w:r>
      <w:r w:rsidRPr="00240730" w:rsidR="00B5132D">
        <w:t xml:space="preserve"> as evidenced by the judgments referred to in the relevant part of Appendix I (see </w:t>
      </w:r>
      <w:proofErr w:type="spellStart"/>
      <w:r w:rsidRPr="00240730" w:rsidR="00B5132D">
        <w:rPr>
          <w:i/>
        </w:rPr>
        <w:t>Vasilchenko</w:t>
      </w:r>
      <w:proofErr w:type="spellEnd"/>
      <w:r w:rsidRPr="00240730" w:rsidR="00B5132D">
        <w:rPr>
          <w:i/>
        </w:rPr>
        <w:t xml:space="preserve"> v. Russia</w:t>
      </w:r>
      <w:r w:rsidRPr="00240730" w:rsidR="00124783">
        <w:t>, no. 34784/02, § </w:t>
      </w:r>
      <w:r w:rsidRPr="00240730" w:rsidR="00B5132D">
        <w:t>49, 23 September 2010).</w:t>
      </w:r>
    </w:p>
    <w:p w:rsidRPr="00240730" w:rsidR="00B5132D" w:rsidP="00240730" w:rsidRDefault="00B5132D">
      <w:pPr>
        <w:pStyle w:val="ECHRPara"/>
        <w:rPr>
          <w:strike/>
        </w:rPr>
      </w:pPr>
      <w:r w:rsidRPr="00240730">
        <w:fldChar w:fldCharType="begin"/>
      </w:r>
      <w:r w:rsidRPr="00240730">
        <w:instrText xml:space="preserve"> SEQ level0 \*arabic </w:instrText>
      </w:r>
      <w:r w:rsidRPr="00240730">
        <w:fldChar w:fldCharType="separate"/>
      </w:r>
      <w:r w:rsidRPr="00240730" w:rsidR="00240730">
        <w:rPr>
          <w:noProof/>
        </w:rPr>
        <w:t>104</w:t>
      </w:r>
      <w:r w:rsidRPr="00240730">
        <w:fldChar w:fldCharType="end"/>
      </w:r>
      <w:r w:rsidRPr="00240730">
        <w:t>.  </w:t>
      </w:r>
      <w:r w:rsidRPr="00240730" w:rsidR="00332C04">
        <w:t xml:space="preserve">In view of the foregoing, </w:t>
      </w:r>
      <w:r w:rsidRPr="00240730">
        <w:t>the Court finds that the applications in this part must be declared inadmissible under Article 35 §§ 3 (b) and 4 of the Convention.</w:t>
      </w:r>
    </w:p>
    <w:p w:rsidRPr="00240730" w:rsidR="00773CBB" w:rsidP="00240730" w:rsidRDefault="00F06228">
      <w:pPr>
        <w:pStyle w:val="ECHRHeading3"/>
      </w:pPr>
      <w:r w:rsidRPr="00240730">
        <w:t>5</w:t>
      </w:r>
      <w:r w:rsidRPr="00240730" w:rsidR="002E5E63">
        <w:t>.  </w:t>
      </w:r>
      <w:r w:rsidRPr="00240730" w:rsidR="00A84AD2">
        <w:t xml:space="preserve">Complaint concerning the award in favour of Mr Smirnov in the </w:t>
      </w:r>
      <w:r w:rsidRPr="00240730" w:rsidR="00773CBB">
        <w:t>index-linking proceedings of 11 April 2011</w:t>
      </w:r>
    </w:p>
    <w:p w:rsidRPr="00240730" w:rsidR="00377D0B" w:rsidP="00240730" w:rsidRDefault="00477D61">
      <w:pPr>
        <w:pStyle w:val="ECHRPara"/>
      </w:pPr>
      <w:r w:rsidRPr="00240730">
        <w:fldChar w:fldCharType="begin"/>
      </w:r>
      <w:r w:rsidRPr="00240730">
        <w:instrText xml:space="preserve"> SEQ level0 \*arabic </w:instrText>
      </w:r>
      <w:r w:rsidRPr="00240730">
        <w:fldChar w:fldCharType="separate"/>
      </w:r>
      <w:r w:rsidRPr="00240730" w:rsidR="00240730">
        <w:rPr>
          <w:noProof/>
        </w:rPr>
        <w:t>105</w:t>
      </w:r>
      <w:r w:rsidRPr="00240730">
        <w:rPr>
          <w:noProof/>
        </w:rPr>
        <w:fldChar w:fldCharType="end"/>
      </w:r>
      <w:r w:rsidRPr="00240730" w:rsidR="00773CBB">
        <w:t>.  </w:t>
      </w:r>
      <w:r w:rsidRPr="00240730" w:rsidR="006448EC">
        <w:t>In his observations the applicant mentioned, for the first time, that the judgment of 11 April 2011</w:t>
      </w:r>
      <w:r w:rsidRPr="00240730" w:rsidR="00496F4B">
        <w:t xml:space="preserve"> </w:t>
      </w:r>
      <w:r w:rsidRPr="00240730" w:rsidR="006448EC">
        <w:t>awar</w:t>
      </w:r>
      <w:r w:rsidRPr="00240730" w:rsidR="00496F4B">
        <w:t>d</w:t>
      </w:r>
      <w:r w:rsidRPr="00240730" w:rsidR="006448EC">
        <w:t>ing him the index-linking of the initial award against the FGUP remained unenforced.</w:t>
      </w:r>
    </w:p>
    <w:p w:rsidRPr="00240730" w:rsidR="00377D0B" w:rsidP="00240730" w:rsidRDefault="00477D61">
      <w:pPr>
        <w:pStyle w:val="ECHRPara"/>
      </w:pPr>
      <w:r w:rsidRPr="00240730">
        <w:fldChar w:fldCharType="begin"/>
      </w:r>
      <w:r w:rsidRPr="00240730">
        <w:instrText xml:space="preserve"> SEQ level0 \*arabic </w:instrText>
      </w:r>
      <w:r w:rsidRPr="00240730">
        <w:fldChar w:fldCharType="separate"/>
      </w:r>
      <w:r w:rsidRPr="00240730" w:rsidR="00240730">
        <w:rPr>
          <w:noProof/>
        </w:rPr>
        <w:t>106</w:t>
      </w:r>
      <w:r w:rsidRPr="00240730">
        <w:rPr>
          <w:noProof/>
        </w:rPr>
        <w:fldChar w:fldCharType="end"/>
      </w:r>
      <w:r w:rsidRPr="00240730" w:rsidR="00A84AD2">
        <w:t>.  </w:t>
      </w:r>
      <w:r w:rsidRPr="00240730" w:rsidR="006448EC">
        <w:t xml:space="preserve">This complaint falls outside the scope of his initial complaint </w:t>
      </w:r>
      <w:r w:rsidRPr="00240730" w:rsidR="004A4BB9">
        <w:t>of which</w:t>
      </w:r>
      <w:r w:rsidRPr="00240730" w:rsidR="006448EC">
        <w:t xml:space="preserve"> the Government</w:t>
      </w:r>
      <w:r w:rsidRPr="00240730" w:rsidR="004A4BB9">
        <w:rPr>
          <w:rFonts w:ascii="Times New Roman" w:hAnsi="Times New Roman"/>
          <w:szCs w:val="24"/>
        </w:rPr>
        <w:t xml:space="preserve"> were given notice</w:t>
      </w:r>
      <w:r w:rsidRPr="00240730" w:rsidR="006448EC">
        <w:t xml:space="preserve">. Even assuming that it may be understood as a development of the initial grievance, the Court notes </w:t>
      </w:r>
      <w:r w:rsidRPr="00240730" w:rsidR="00496F4B">
        <w:t xml:space="preserve">from </w:t>
      </w:r>
      <w:r w:rsidRPr="00240730" w:rsidR="006448EC">
        <w:t>the Government</w:t>
      </w:r>
      <w:r w:rsidRPr="00240730" w:rsidR="00240730">
        <w:t>’</w:t>
      </w:r>
      <w:r w:rsidRPr="00240730" w:rsidR="006448EC">
        <w:t xml:space="preserve">s submissions that the applicant received the writ of </w:t>
      </w:r>
      <w:r w:rsidRPr="00240730" w:rsidR="00496F4B">
        <w:t xml:space="preserve">enforcement </w:t>
      </w:r>
      <w:r w:rsidRPr="00240730" w:rsidR="006448EC">
        <w:t xml:space="preserve">in respect of the award from the court but did not forward it to the </w:t>
      </w:r>
      <w:proofErr w:type="gramStart"/>
      <w:r w:rsidRPr="00240730" w:rsidR="006448EC">
        <w:t>bailiffs</w:t>
      </w:r>
      <w:proofErr w:type="gramEnd"/>
      <w:r w:rsidRPr="00240730" w:rsidR="006448EC">
        <w:t xml:space="preserve"> service (see paragraph </w:t>
      </w:r>
      <w:r w:rsidRPr="00240730" w:rsidR="006448EC">
        <w:fldChar w:fldCharType="begin"/>
      </w:r>
      <w:r w:rsidRPr="00240730" w:rsidR="006448EC">
        <w:instrText xml:space="preserve"> REF IndexLinkingFGUPSmirnovWritNotSubmitted \h </w:instrText>
      </w:r>
      <w:r w:rsidRPr="00240730" w:rsidR="006448EC">
        <w:fldChar w:fldCharType="separate"/>
      </w:r>
      <w:r w:rsidRPr="00240730" w:rsidR="00240730">
        <w:rPr>
          <w:noProof/>
        </w:rPr>
        <w:t>60</w:t>
      </w:r>
      <w:r w:rsidRPr="00240730" w:rsidR="006448EC">
        <w:fldChar w:fldCharType="end"/>
      </w:r>
      <w:r w:rsidRPr="00240730" w:rsidR="006448EC">
        <w:t xml:space="preserve"> above). The Court has already found that if </w:t>
      </w:r>
      <w:r w:rsidRPr="00240730" w:rsidR="00BE08C9">
        <w:t xml:space="preserve">an </w:t>
      </w:r>
      <w:r w:rsidRPr="00240730" w:rsidR="006448EC">
        <w:t xml:space="preserve">applicant for any reason obtains the writ of </w:t>
      </w:r>
      <w:r w:rsidRPr="00240730" w:rsidR="00496F4B">
        <w:t xml:space="preserve">enforcement </w:t>
      </w:r>
      <w:r w:rsidRPr="00240730" w:rsidR="006448EC">
        <w:t>from the trial court</w:t>
      </w:r>
      <w:r w:rsidRPr="00240730" w:rsidR="00496F4B">
        <w:t xml:space="preserve"> himself</w:t>
      </w:r>
      <w:r w:rsidRPr="00240730" w:rsidR="006448EC">
        <w:t xml:space="preserve">, it would appear logical to require that he submits it to the competent authority with a view to enforcement of the judgment (see, </w:t>
      </w:r>
      <w:r w:rsidRPr="00240730" w:rsidR="006448EC">
        <w:rPr>
          <w:i/>
        </w:rPr>
        <w:t>mutatis mutandis</w:t>
      </w:r>
      <w:r w:rsidRPr="00240730" w:rsidR="006448EC">
        <w:t xml:space="preserve">, </w:t>
      </w:r>
      <w:proofErr w:type="spellStart"/>
      <w:r w:rsidRPr="00240730" w:rsidR="006448EC">
        <w:rPr>
          <w:i/>
        </w:rPr>
        <w:t>Gadzhikhanov</w:t>
      </w:r>
      <w:proofErr w:type="spellEnd"/>
      <w:r w:rsidRPr="00240730" w:rsidR="006448EC">
        <w:rPr>
          <w:i/>
        </w:rPr>
        <w:t xml:space="preserve"> and </w:t>
      </w:r>
      <w:proofErr w:type="spellStart"/>
      <w:r w:rsidRPr="00240730" w:rsidR="006448EC">
        <w:rPr>
          <w:i/>
        </w:rPr>
        <w:t>Saukov</w:t>
      </w:r>
      <w:proofErr w:type="spellEnd"/>
      <w:r w:rsidRPr="00240730" w:rsidR="006448EC">
        <w:rPr>
          <w:i/>
        </w:rPr>
        <w:t xml:space="preserve"> v. Russia</w:t>
      </w:r>
      <w:r w:rsidRPr="00240730" w:rsidR="006448EC">
        <w:t>, nos. 10511/08 and 5866/09, § 26, 31 January 2012). In the absence of any explanation from the parties, the authorities cannot to be held responsible for the applicant</w:t>
      </w:r>
      <w:r w:rsidRPr="00240730" w:rsidR="00240730">
        <w:t>’</w:t>
      </w:r>
      <w:r w:rsidRPr="00240730" w:rsidR="006448EC">
        <w:t xml:space="preserve">s unexplained failure to follow the domestic enforcement procedure and, notably, for his deliberate refusal to provide the writ of enforcement (see, </w:t>
      </w:r>
      <w:r w:rsidRPr="00240730" w:rsidR="006448EC">
        <w:rPr>
          <w:i/>
        </w:rPr>
        <w:t>mutatis mutandis</w:t>
      </w:r>
      <w:r w:rsidRPr="00240730" w:rsidR="006448EC">
        <w:t xml:space="preserve">, </w:t>
      </w:r>
      <w:proofErr w:type="spellStart"/>
      <w:r w:rsidRPr="00240730" w:rsidR="006448EC">
        <w:rPr>
          <w:i/>
        </w:rPr>
        <w:t>Gadzhikhanov</w:t>
      </w:r>
      <w:proofErr w:type="spellEnd"/>
      <w:r w:rsidRPr="00240730" w:rsidR="006448EC">
        <w:rPr>
          <w:i/>
        </w:rPr>
        <w:t xml:space="preserve"> and </w:t>
      </w:r>
      <w:proofErr w:type="spellStart"/>
      <w:r w:rsidRPr="00240730" w:rsidR="006448EC">
        <w:rPr>
          <w:i/>
        </w:rPr>
        <w:t>Saukov</w:t>
      </w:r>
      <w:proofErr w:type="spellEnd"/>
      <w:r w:rsidRPr="00240730" w:rsidR="001C0128">
        <w:t>, cited above, §§ </w:t>
      </w:r>
      <w:r w:rsidRPr="00240730" w:rsidR="006448EC">
        <w:t>27-31). Accordingly, the delay up to 19 October 2011, which in itself was not unreasonable, is not attributable to the authorities. The Court further notes that it is not in possession of any information as to either the enforcement status of that award or further developments, such as the applicant</w:t>
      </w:r>
      <w:r w:rsidRPr="00240730" w:rsidR="00240730">
        <w:t>’</w:t>
      </w:r>
      <w:r w:rsidRPr="00240730" w:rsidR="006448EC">
        <w:t>s having forwarded the writ to the competent authorities.</w:t>
      </w:r>
    </w:p>
    <w:p w:rsidRPr="00240730" w:rsidR="00A84AD2" w:rsidP="00240730" w:rsidRDefault="00477D61">
      <w:pPr>
        <w:pStyle w:val="ECHRPara"/>
      </w:pPr>
      <w:r w:rsidRPr="00240730">
        <w:fldChar w:fldCharType="begin"/>
      </w:r>
      <w:r w:rsidRPr="00240730">
        <w:instrText xml:space="preserve"> SEQ level0 \*arabic </w:instrText>
      </w:r>
      <w:r w:rsidRPr="00240730">
        <w:fldChar w:fldCharType="separate"/>
      </w:r>
      <w:r w:rsidRPr="00240730" w:rsidR="00240730">
        <w:rPr>
          <w:noProof/>
        </w:rPr>
        <w:t>107</w:t>
      </w:r>
      <w:r w:rsidRPr="00240730">
        <w:rPr>
          <w:noProof/>
        </w:rPr>
        <w:fldChar w:fldCharType="end"/>
      </w:r>
      <w:r w:rsidRPr="00240730" w:rsidR="00A84AD2">
        <w:t>.  It follows that this part of the complaint is manifestly ill-founded and must be rejected under Article 35 §§ 1 and 3 (a) of the Convention</w:t>
      </w:r>
      <w:r w:rsidRPr="00240730" w:rsidR="00A526C4">
        <w:t>.</w:t>
      </w:r>
    </w:p>
    <w:p w:rsidRPr="00240730" w:rsidR="002E5E63" w:rsidP="00240730" w:rsidRDefault="00F06228">
      <w:pPr>
        <w:pStyle w:val="ECHRHeading3"/>
      </w:pPr>
      <w:r w:rsidRPr="00240730">
        <w:t>6</w:t>
      </w:r>
      <w:r w:rsidRPr="00240730" w:rsidR="00773CBB">
        <w:t>.</w:t>
      </w:r>
      <w:r w:rsidRPr="00240730" w:rsidR="0090407F">
        <w:t>  </w:t>
      </w:r>
      <w:r w:rsidRPr="00240730" w:rsidR="002E5E63">
        <w:t>Conclusion regarding other judicial awards against the FGUP</w:t>
      </w:r>
    </w:p>
    <w:p w:rsidRPr="00240730" w:rsidR="002E5E63" w:rsidP="00240730" w:rsidRDefault="002E5E63">
      <w:pPr>
        <w:pStyle w:val="ECHRPara"/>
      </w:pPr>
      <w:r w:rsidRPr="00240730">
        <w:fldChar w:fldCharType="begin"/>
      </w:r>
      <w:r w:rsidRPr="00240730">
        <w:instrText xml:space="preserve"> SEQ level0 \*arabic </w:instrText>
      </w:r>
      <w:r w:rsidRPr="00240730">
        <w:fldChar w:fldCharType="separate"/>
      </w:r>
      <w:r w:rsidRPr="00240730" w:rsidR="00240730">
        <w:rPr>
          <w:noProof/>
        </w:rPr>
        <w:t>108</w:t>
      </w:r>
      <w:r w:rsidRPr="00240730">
        <w:fldChar w:fldCharType="end"/>
      </w:r>
      <w:r w:rsidRPr="00240730">
        <w:t>.  </w:t>
      </w:r>
      <w:r w:rsidRPr="00240730" w:rsidR="00B5132D">
        <w:t>On the other hand, the Court notes that the applicants</w:t>
      </w:r>
      <w:r w:rsidRPr="00240730" w:rsidR="00240730">
        <w:t>’</w:t>
      </w:r>
      <w:r w:rsidRPr="00240730" w:rsidR="00B5132D">
        <w:t xml:space="preserve"> complaint about the FGUP</w:t>
      </w:r>
      <w:r w:rsidRPr="00240730" w:rsidR="00240730">
        <w:t>’</w:t>
      </w:r>
      <w:r w:rsidRPr="00240730" w:rsidR="00B5132D">
        <w:t xml:space="preserve">s failure to </w:t>
      </w:r>
      <w:r w:rsidRPr="00240730" w:rsidR="00BE08C9">
        <w:t xml:space="preserve">comply with </w:t>
      </w:r>
      <w:r w:rsidRPr="00240730" w:rsidR="00B5132D">
        <w:t xml:space="preserve">the </w:t>
      </w:r>
      <w:r w:rsidRPr="00240730" w:rsidR="00BE08C9">
        <w:t xml:space="preserve">decisions </w:t>
      </w:r>
      <w:r w:rsidRPr="00240730" w:rsidR="00B5132D">
        <w:t>given in the proceedings concerning unpaid wages (see Appendix I) is not manifestly ill</w:t>
      </w:r>
      <w:r w:rsidRPr="00240730" w:rsidR="00B5132D">
        <w:noBreakHyphen/>
        <w:t>founded within the meaning of Article 35 § 3 (a) of the Convention. It further notes that it is not inadmissible on any other grounds. It must therefore be declared admissible.</w:t>
      </w:r>
    </w:p>
    <w:p w:rsidRPr="00240730" w:rsidR="00377D0B" w:rsidP="00240730" w:rsidRDefault="002E5E63">
      <w:pPr>
        <w:pStyle w:val="ECHRHeading2"/>
      </w:pPr>
      <w:r w:rsidRPr="00240730">
        <w:t>B.  Merits</w:t>
      </w:r>
    </w:p>
    <w:p w:rsidRPr="00240730" w:rsidR="00014566" w:rsidP="00240730" w:rsidRDefault="000B07BC">
      <w:pPr>
        <w:pStyle w:val="ECHRPara"/>
      </w:pPr>
      <w:r w:rsidRPr="00240730">
        <w:fldChar w:fldCharType="begin"/>
      </w:r>
      <w:r w:rsidRPr="00240730">
        <w:instrText xml:space="preserve"> SEQ level0 \*arabic </w:instrText>
      </w:r>
      <w:r w:rsidRPr="00240730">
        <w:fldChar w:fldCharType="separate"/>
      </w:r>
      <w:r w:rsidRPr="00240730" w:rsidR="00240730">
        <w:rPr>
          <w:noProof/>
        </w:rPr>
        <w:t>109</w:t>
      </w:r>
      <w:r w:rsidRPr="00240730">
        <w:fldChar w:fldCharType="end"/>
      </w:r>
      <w:r w:rsidRPr="00240730" w:rsidR="00014566">
        <w:t xml:space="preserve">.  The Court </w:t>
      </w:r>
      <w:r w:rsidRPr="00240730" w:rsidR="00D01F14">
        <w:t>notes that the judgments given in the applicants</w:t>
      </w:r>
      <w:r w:rsidRPr="00240730" w:rsidR="00240730">
        <w:t>’</w:t>
      </w:r>
      <w:r w:rsidRPr="00240730" w:rsidR="00D01F14">
        <w:t xml:space="preserve"> favour were enforced with a delay</w:t>
      </w:r>
      <w:r w:rsidRPr="00240730" w:rsidR="00214F9E">
        <w:t xml:space="preserve"> of one year and ten months</w:t>
      </w:r>
      <w:r w:rsidRPr="00240730" w:rsidR="00D01F14">
        <w:t>.</w:t>
      </w:r>
    </w:p>
    <w:p w:rsidRPr="00240730" w:rsidR="00377D0B" w:rsidP="00240730" w:rsidRDefault="000B07BC">
      <w:pPr>
        <w:pStyle w:val="ECHRPara"/>
      </w:pPr>
      <w:r w:rsidRPr="00240730">
        <w:fldChar w:fldCharType="begin"/>
      </w:r>
      <w:r w:rsidRPr="00240730">
        <w:instrText xml:space="preserve"> SEQ level0 \*arabic </w:instrText>
      </w:r>
      <w:r w:rsidRPr="00240730">
        <w:fldChar w:fldCharType="separate"/>
      </w:r>
      <w:r w:rsidRPr="00240730" w:rsidR="00240730">
        <w:rPr>
          <w:noProof/>
        </w:rPr>
        <w:t>110</w:t>
      </w:r>
      <w:r w:rsidRPr="00240730">
        <w:fldChar w:fldCharType="end"/>
      </w:r>
      <w:r w:rsidRPr="00240730" w:rsidR="00EB066D">
        <w:t>.  </w:t>
      </w:r>
      <w:r w:rsidRPr="00240730" w:rsidR="00333488">
        <w:t xml:space="preserve">The Court reiterates that a delay of less than one year in payment of a monetary judicial award was in principle compatible with the Convention, while any longer delay is </w:t>
      </w:r>
      <w:r w:rsidRPr="00240730" w:rsidR="00333488">
        <w:rPr>
          <w:i/>
        </w:rPr>
        <w:t>prima facie</w:t>
      </w:r>
      <w:r w:rsidRPr="00240730" w:rsidR="00333488">
        <w:t xml:space="preserve"> unreasonable (see, among many others, </w:t>
      </w:r>
      <w:r w:rsidRPr="00240730" w:rsidR="00333488">
        <w:rPr>
          <w:i/>
        </w:rPr>
        <w:t>Gerasimov and Others v. Russia</w:t>
      </w:r>
      <w:r w:rsidRPr="00240730" w:rsidR="00333488">
        <w:t>, nos.</w:t>
      </w:r>
      <w:r w:rsidRPr="00240730" w:rsidR="00604AF8">
        <w:t> </w:t>
      </w:r>
      <w:r w:rsidRPr="00240730" w:rsidR="00333488">
        <w:t>29920/05 and 10</w:t>
      </w:r>
      <w:r w:rsidRPr="00240730" w:rsidR="00604AF8">
        <w:t> </w:t>
      </w:r>
      <w:r w:rsidRPr="00240730" w:rsidR="00333488">
        <w:t>others, § 169, 1 July 2014).</w:t>
      </w:r>
      <w:r w:rsidRPr="00240730" w:rsidR="00D01F14">
        <w:t xml:space="preserve">While </w:t>
      </w:r>
      <w:r w:rsidRPr="00240730" w:rsidR="006448EC">
        <w:t xml:space="preserve">the complex </w:t>
      </w:r>
      <w:r w:rsidRPr="00240730" w:rsidR="009B3B6B">
        <w:t>insolvency</w:t>
      </w:r>
      <w:r w:rsidRPr="00240730" w:rsidR="00D01F14">
        <w:t xml:space="preserve"> proceedings </w:t>
      </w:r>
      <w:r w:rsidRPr="00240730" w:rsidR="006448EC">
        <w:t xml:space="preserve">involving several creditors </w:t>
      </w:r>
      <w:r w:rsidRPr="00240730" w:rsidR="00D01F14">
        <w:t>may objectively justify some limited delays in enforcement,</w:t>
      </w:r>
      <w:r w:rsidRPr="00240730" w:rsidR="0005534E">
        <w:t xml:space="preserve"> the overall delay is, in the Court</w:t>
      </w:r>
      <w:r w:rsidRPr="00240730" w:rsidR="00240730">
        <w:t>’</w:t>
      </w:r>
      <w:r w:rsidRPr="00240730" w:rsidR="0005534E">
        <w:t xml:space="preserve">s view, </w:t>
      </w:r>
      <w:r w:rsidRPr="00240730" w:rsidR="009B3B6B">
        <w:t>incompatible</w:t>
      </w:r>
      <w:r w:rsidRPr="00240730" w:rsidR="0005534E">
        <w:t xml:space="preserve"> with the Convention requirements</w:t>
      </w:r>
      <w:r w:rsidRPr="00240730" w:rsidR="00CE0890">
        <w:t xml:space="preserve">, especially given the nature of the awards – salary arrears accrued </w:t>
      </w:r>
      <w:r w:rsidRPr="00240730" w:rsidR="00324279">
        <w:t>as a result</w:t>
      </w:r>
      <w:r w:rsidRPr="00240730" w:rsidR="00CE0890">
        <w:t xml:space="preserve"> of the </w:t>
      </w:r>
      <w:r w:rsidRPr="00240730" w:rsidR="00C005E8">
        <w:t xml:space="preserve">transfer of the </w:t>
      </w:r>
      <w:r w:rsidRPr="00240730" w:rsidR="00CE0890">
        <w:t>company</w:t>
      </w:r>
      <w:r w:rsidRPr="00240730" w:rsidR="00240730">
        <w:t>’</w:t>
      </w:r>
      <w:r w:rsidRPr="00240730" w:rsidR="00C005E8">
        <w:t>s</w:t>
      </w:r>
      <w:r w:rsidRPr="00240730" w:rsidR="00CE0890">
        <w:t xml:space="preserve"> assets to the OAO and back </w:t>
      </w:r>
      <w:r w:rsidRPr="00240730" w:rsidR="00AF0570">
        <w:t xml:space="preserve">to </w:t>
      </w:r>
      <w:r w:rsidRPr="00240730" w:rsidR="00CE0890">
        <w:t>the FGUP</w:t>
      </w:r>
      <w:r w:rsidRPr="00240730" w:rsidR="0005534E">
        <w:t xml:space="preserve">. </w:t>
      </w:r>
      <w:r w:rsidRPr="00240730" w:rsidR="00D01F14">
        <w:t>By failing for a considerable period of time to take the necessary measures to comply with the final judgments in the instant case, the authorities deprived the provisions of Article 6 § 1 of useful effect and also prevented the applicants from receiving the money to which they were entitled</w:t>
      </w:r>
      <w:r w:rsidRPr="00240730" w:rsidR="006448EC">
        <w:t xml:space="preserve"> in good time</w:t>
      </w:r>
      <w:r w:rsidRPr="00240730" w:rsidR="00D01F14">
        <w:t>, which</w:t>
      </w:r>
      <w:r w:rsidRPr="00240730" w:rsidR="00096F06">
        <w:t xml:space="preserve"> </w:t>
      </w:r>
      <w:r w:rsidRPr="00240730" w:rsidR="00D01F14">
        <w:t>amounted to a disproportionate interference with their peaceful enjoyment of possessions (see, among other</w:t>
      </w:r>
      <w:r w:rsidRPr="00240730" w:rsidR="003F74F2">
        <w:t xml:space="preserve"> authoritie</w:t>
      </w:r>
      <w:r w:rsidRPr="00240730" w:rsidR="00D01F14">
        <w:t xml:space="preserve">s, </w:t>
      </w:r>
      <w:r w:rsidRPr="00240730" w:rsidR="00D01F14">
        <w:rPr>
          <w:i/>
        </w:rPr>
        <w:t>Khachatryan</w:t>
      </w:r>
      <w:r w:rsidRPr="00240730" w:rsidR="00D01F14">
        <w:t>,</w:t>
      </w:r>
      <w:r w:rsidRPr="00240730" w:rsidR="005D4B2F">
        <w:t xml:space="preserve"> cited above, § 69</w:t>
      </w:r>
      <w:r w:rsidRPr="00240730" w:rsidR="00333488">
        <w:t xml:space="preserve">; </w:t>
      </w:r>
      <w:proofErr w:type="spellStart"/>
      <w:r w:rsidRPr="00240730" w:rsidR="00333488">
        <w:rPr>
          <w:i/>
        </w:rPr>
        <w:t>Liseytseva</w:t>
      </w:r>
      <w:proofErr w:type="spellEnd"/>
      <w:r w:rsidRPr="00240730" w:rsidR="00333488">
        <w:rPr>
          <w:i/>
        </w:rPr>
        <w:t xml:space="preserve"> and </w:t>
      </w:r>
      <w:proofErr w:type="spellStart"/>
      <w:r w:rsidRPr="00240730" w:rsidR="00333488">
        <w:rPr>
          <w:i/>
        </w:rPr>
        <w:t>Maslov</w:t>
      </w:r>
      <w:proofErr w:type="spellEnd"/>
      <w:r w:rsidRPr="00240730" w:rsidR="00333488">
        <w:rPr>
          <w:i/>
        </w:rPr>
        <w:t>,</w:t>
      </w:r>
      <w:r w:rsidRPr="00240730" w:rsidR="00333488">
        <w:t xml:space="preserve"> cited above, § 224</w:t>
      </w:r>
      <w:r w:rsidRPr="00240730" w:rsidR="002D5E6C">
        <w:t>,</w:t>
      </w:r>
      <w:r w:rsidRPr="00240730" w:rsidR="00333488">
        <w:t xml:space="preserve"> with references contained therein; and </w:t>
      </w:r>
      <w:proofErr w:type="spellStart"/>
      <w:r w:rsidRPr="00240730" w:rsidR="00333488">
        <w:rPr>
          <w:i/>
          <w:iCs/>
        </w:rPr>
        <w:t>Vladimirova</w:t>
      </w:r>
      <w:proofErr w:type="spellEnd"/>
      <w:r w:rsidRPr="00240730" w:rsidR="00333488">
        <w:rPr>
          <w:i/>
          <w:iCs/>
        </w:rPr>
        <w:t xml:space="preserve"> v. Russia</w:t>
      </w:r>
      <w:r w:rsidRPr="00240730" w:rsidR="00333488">
        <w:t>, no. 21863/05, §§ 56-57, 10</w:t>
      </w:r>
      <w:r w:rsidRPr="00240730" w:rsidR="002D5E6C">
        <w:t> </w:t>
      </w:r>
      <w:r w:rsidRPr="00240730" w:rsidR="00333488">
        <w:t>April 2018</w:t>
      </w:r>
      <w:r w:rsidRPr="00240730" w:rsidR="00D01F14">
        <w:t>).</w:t>
      </w:r>
    </w:p>
    <w:p w:rsidRPr="00240730" w:rsidR="00014566" w:rsidP="00240730" w:rsidRDefault="00477D61">
      <w:pPr>
        <w:pStyle w:val="ECHRPara"/>
      </w:pPr>
      <w:r w:rsidRPr="00240730">
        <w:fldChar w:fldCharType="begin"/>
      </w:r>
      <w:r w:rsidRPr="00240730">
        <w:instrText xml:space="preserve"> SEQ level0 \*arabic </w:instrText>
      </w:r>
      <w:r w:rsidRPr="00240730">
        <w:fldChar w:fldCharType="separate"/>
      </w:r>
      <w:r w:rsidRPr="00240730" w:rsidR="00240730">
        <w:rPr>
          <w:noProof/>
        </w:rPr>
        <w:t>111</w:t>
      </w:r>
      <w:r w:rsidRPr="00240730">
        <w:rPr>
          <w:noProof/>
        </w:rPr>
        <w:fldChar w:fldCharType="end"/>
      </w:r>
      <w:r w:rsidRPr="00240730" w:rsidR="0005534E">
        <w:t>.  </w:t>
      </w:r>
      <w:r w:rsidRPr="00240730" w:rsidR="00D01F14">
        <w:t>Therefore, there has been a violation of Article 6 § 1 of the Convention and Article 1 of Protocol No. 1 thereto on account of the non</w:t>
      </w:r>
      <w:r w:rsidRPr="00240730" w:rsidR="00D01F14">
        <w:noBreakHyphen/>
        <w:t>enforcement of the final and binding judgments</w:t>
      </w:r>
      <w:r w:rsidRPr="00240730" w:rsidR="00214F9E">
        <w:t xml:space="preserve"> against the FGUP</w:t>
      </w:r>
      <w:r w:rsidRPr="00240730" w:rsidR="00D01F14">
        <w:t xml:space="preserve"> in the applicants</w:t>
      </w:r>
      <w:r w:rsidRPr="00240730" w:rsidR="00240730">
        <w:t>’</w:t>
      </w:r>
      <w:r w:rsidRPr="00240730" w:rsidR="00D01F14">
        <w:t xml:space="preserve"> favour in the present seven cases.</w:t>
      </w:r>
    </w:p>
    <w:p w:rsidRPr="00240730" w:rsidR="00014566" w:rsidP="00240730" w:rsidRDefault="00E57DA5">
      <w:pPr>
        <w:pStyle w:val="ECHRHeading1"/>
      </w:pPr>
      <w:r w:rsidRPr="00240730">
        <w:t>I</w:t>
      </w:r>
      <w:r w:rsidRPr="00240730" w:rsidR="00FD3D8C">
        <w:t>II</w:t>
      </w:r>
      <w:r w:rsidRPr="00240730" w:rsidR="00014566">
        <w:t>.</w:t>
      </w:r>
      <w:proofErr w:type="gramStart"/>
      <w:r w:rsidRPr="00240730" w:rsidR="00014566">
        <w:t>  </w:t>
      </w:r>
      <w:r w:rsidRPr="00240730" w:rsidR="004C17A9">
        <w:t>ALLEGED</w:t>
      </w:r>
      <w:proofErr w:type="gramEnd"/>
      <w:r w:rsidRPr="00240730" w:rsidR="004C17A9">
        <w:t xml:space="preserve"> VIOLATION OF ARTICLE </w:t>
      </w:r>
      <w:r w:rsidRPr="00240730" w:rsidR="00FD3D8C">
        <w:t>6</w:t>
      </w:r>
      <w:r w:rsidRPr="00240730" w:rsidR="00867D21">
        <w:t> </w:t>
      </w:r>
      <w:r w:rsidRPr="00240730" w:rsidR="004D4A7E">
        <w:t>§</w:t>
      </w:r>
      <w:r w:rsidRPr="00240730" w:rsidR="00867D21">
        <w:t> </w:t>
      </w:r>
      <w:r w:rsidRPr="00240730" w:rsidR="004D4A7E">
        <w:t>1</w:t>
      </w:r>
      <w:r w:rsidRPr="00240730" w:rsidR="00867D21">
        <w:t xml:space="preserve"> </w:t>
      </w:r>
      <w:r w:rsidRPr="00240730" w:rsidR="00FD3D8C">
        <w:t>OF THE CONVENTION</w:t>
      </w:r>
      <w:r w:rsidRPr="00240730" w:rsidR="002369EB">
        <w:t xml:space="preserve"> AND ARTICLE 1 OF PROTOCOL No</w:t>
      </w:r>
      <w:r w:rsidRPr="00240730" w:rsidR="00FD3D8C">
        <w:t>.</w:t>
      </w:r>
      <w:r w:rsidRPr="00240730" w:rsidR="002369EB">
        <w:t xml:space="preserve"> </w:t>
      </w:r>
      <w:r w:rsidRPr="00240730" w:rsidR="00FD3D8C">
        <w:t xml:space="preserve">1 </w:t>
      </w:r>
      <w:r w:rsidRPr="00240730" w:rsidR="002369EB">
        <w:t>ON ACCOUNT OF NON</w:t>
      </w:r>
      <w:r w:rsidRPr="00240730" w:rsidR="002369EB">
        <w:noBreakHyphen/>
      </w:r>
      <w:r w:rsidRPr="00240730" w:rsidR="00FD3D8C">
        <w:t>ENFORCEMENT AGAINST THE OPEN JOINT-STOCK COMPANY</w:t>
      </w:r>
    </w:p>
    <w:p w:rsidRPr="00240730" w:rsidR="001500B9" w:rsidP="00240730" w:rsidRDefault="000B07BC">
      <w:pPr>
        <w:pStyle w:val="ECHRPara"/>
      </w:pPr>
      <w:r w:rsidRPr="00240730">
        <w:fldChar w:fldCharType="begin"/>
      </w:r>
      <w:r w:rsidRPr="00240730">
        <w:instrText xml:space="preserve"> SEQ level0 \*arabic </w:instrText>
      </w:r>
      <w:r w:rsidRPr="00240730">
        <w:fldChar w:fldCharType="separate"/>
      </w:r>
      <w:r w:rsidRPr="00240730" w:rsidR="00240730">
        <w:rPr>
          <w:noProof/>
        </w:rPr>
        <w:t>112</w:t>
      </w:r>
      <w:r w:rsidRPr="00240730">
        <w:fldChar w:fldCharType="end"/>
      </w:r>
      <w:r w:rsidRPr="00240730" w:rsidR="00014566">
        <w:t>.  </w:t>
      </w:r>
      <w:r w:rsidRPr="00240730" w:rsidR="00B5146F">
        <w:t xml:space="preserve">The applicants complained about the non-enforcement of the </w:t>
      </w:r>
      <w:r w:rsidRPr="00240730" w:rsidR="0063521A">
        <w:t>court orders</w:t>
      </w:r>
      <w:r w:rsidRPr="00240730" w:rsidR="00B5146F">
        <w:t xml:space="preserve"> against the OAO</w:t>
      </w:r>
      <w:r w:rsidRPr="00240730" w:rsidR="0063521A">
        <w:t xml:space="preserve"> in respect of salaries f</w:t>
      </w:r>
      <w:r w:rsidRPr="00240730" w:rsidR="004D4A7E">
        <w:t>rom</w:t>
      </w:r>
      <w:r w:rsidRPr="00240730" w:rsidR="0063521A">
        <w:t xml:space="preserve"> June to July 2008 (see paragraph </w:t>
      </w:r>
      <w:r w:rsidRPr="00240730" w:rsidR="0063521A">
        <w:fldChar w:fldCharType="begin"/>
      </w:r>
      <w:r w:rsidRPr="00240730" w:rsidR="0063521A">
        <w:instrText xml:space="preserve"> REF SixApplicantsWritsAgainstOAO \h </w:instrText>
      </w:r>
      <w:r w:rsidRPr="00240730" w:rsidR="0063521A">
        <w:fldChar w:fldCharType="separate"/>
      </w:r>
      <w:r w:rsidRPr="00240730" w:rsidR="00240730">
        <w:rPr>
          <w:bCs/>
          <w:noProof/>
        </w:rPr>
        <w:t>28</w:t>
      </w:r>
      <w:r w:rsidRPr="00240730" w:rsidR="0063521A">
        <w:fldChar w:fldCharType="end"/>
      </w:r>
      <w:r w:rsidRPr="00240730" w:rsidR="0063521A">
        <w:t xml:space="preserve"> and Appendix II), as subsequently index-linked (see paragraph </w:t>
      </w:r>
      <w:r w:rsidRPr="00240730" w:rsidR="0063521A">
        <w:fldChar w:fldCharType="begin"/>
      </w:r>
      <w:r w:rsidRPr="00240730" w:rsidR="0063521A">
        <w:instrText xml:space="preserve"> REF OAO_adjustment_proceedings2010 \h </w:instrText>
      </w:r>
      <w:r w:rsidRPr="00240730" w:rsidR="0063521A">
        <w:fldChar w:fldCharType="separate"/>
      </w:r>
      <w:r w:rsidRPr="00240730" w:rsidR="00240730">
        <w:rPr>
          <w:noProof/>
        </w:rPr>
        <w:t>33</w:t>
      </w:r>
      <w:r w:rsidRPr="00240730" w:rsidR="0063521A">
        <w:fldChar w:fldCharType="end"/>
      </w:r>
      <w:r w:rsidRPr="00240730" w:rsidR="0063521A">
        <w:t xml:space="preserve"> above)</w:t>
      </w:r>
      <w:r w:rsidRPr="00240730" w:rsidR="00B5146F">
        <w:t xml:space="preserve">. They </w:t>
      </w:r>
      <w:r w:rsidRPr="00240730" w:rsidR="005F03AF">
        <w:t>relied on</w:t>
      </w:r>
      <w:r w:rsidRPr="00240730" w:rsidR="00B5146F">
        <w:t xml:space="preserve"> Article 6</w:t>
      </w:r>
      <w:r w:rsidRPr="00240730" w:rsidR="00867D21">
        <w:t> </w:t>
      </w:r>
      <w:r w:rsidRPr="00240730" w:rsidR="004D4A7E">
        <w:t>§</w:t>
      </w:r>
      <w:r w:rsidRPr="00240730" w:rsidR="00867D21">
        <w:t> </w:t>
      </w:r>
      <w:r w:rsidRPr="00240730" w:rsidR="004D4A7E">
        <w:t>1</w:t>
      </w:r>
      <w:r w:rsidRPr="00240730" w:rsidR="00B5146F">
        <w:t xml:space="preserve"> of the Convention and Article 1 of Protocol No.</w:t>
      </w:r>
      <w:r w:rsidRPr="00240730" w:rsidR="00DC0A5F">
        <w:t xml:space="preserve"> </w:t>
      </w:r>
      <w:r w:rsidRPr="00240730" w:rsidR="00B5146F">
        <w:t>1</w:t>
      </w:r>
      <w:r w:rsidRPr="00240730" w:rsidR="005E5FC8">
        <w:t xml:space="preserve"> to the Convention</w:t>
      </w:r>
      <w:r w:rsidRPr="00240730" w:rsidR="002F3BBD">
        <w:t>, both cited above</w:t>
      </w:r>
      <w:r w:rsidRPr="00240730" w:rsidR="00B5146F">
        <w:t>.</w:t>
      </w:r>
    </w:p>
    <w:p w:rsidRPr="00240730" w:rsidR="00377D0B" w:rsidP="00240730" w:rsidRDefault="000B07BC">
      <w:pPr>
        <w:pStyle w:val="ECHRPara"/>
      </w:pPr>
      <w:r w:rsidRPr="00240730">
        <w:fldChar w:fldCharType="begin"/>
      </w:r>
      <w:r w:rsidRPr="00240730">
        <w:instrText xml:space="preserve"> SEQ level0 \*arabic </w:instrText>
      </w:r>
      <w:r w:rsidRPr="00240730">
        <w:fldChar w:fldCharType="separate"/>
      </w:r>
      <w:r w:rsidRPr="00240730" w:rsidR="00240730">
        <w:rPr>
          <w:noProof/>
        </w:rPr>
        <w:t>113</w:t>
      </w:r>
      <w:r w:rsidRPr="00240730">
        <w:fldChar w:fldCharType="end"/>
      </w:r>
      <w:r w:rsidRPr="00240730" w:rsidR="00014566">
        <w:t xml:space="preserve">.  The Government </w:t>
      </w:r>
      <w:r w:rsidRPr="00240730" w:rsidR="001500B9">
        <w:t>argued that the pro</w:t>
      </w:r>
      <w:r w:rsidRPr="00240730" w:rsidR="00FA5179">
        <w:t>ceedings against the open joint</w:t>
      </w:r>
      <w:r w:rsidRPr="00240730" w:rsidR="00FA5179">
        <w:noBreakHyphen/>
      </w:r>
      <w:r w:rsidRPr="00240730" w:rsidR="001500B9">
        <w:t xml:space="preserve">stock company, </w:t>
      </w:r>
      <w:r w:rsidRPr="00240730" w:rsidR="005F03AF">
        <w:t xml:space="preserve">which had </w:t>
      </w:r>
      <w:r w:rsidRPr="00240730" w:rsidR="001500B9">
        <w:t>result</w:t>
      </w:r>
      <w:r w:rsidRPr="00240730" w:rsidR="005F03AF">
        <w:t xml:space="preserve">ed </w:t>
      </w:r>
      <w:r w:rsidRPr="00240730" w:rsidR="001500B9">
        <w:t>in various sums</w:t>
      </w:r>
      <w:r w:rsidRPr="00240730" w:rsidR="005F03AF">
        <w:t xml:space="preserve"> being awarded</w:t>
      </w:r>
      <w:r w:rsidRPr="00240730" w:rsidR="001500B9">
        <w:t xml:space="preserve"> to </w:t>
      </w:r>
      <w:r w:rsidRPr="00240730" w:rsidR="00B5146F">
        <w:rPr>
          <w:bCs/>
        </w:rPr>
        <w:t>the applicants</w:t>
      </w:r>
      <w:r w:rsidRPr="00240730" w:rsidR="001500B9">
        <w:rPr>
          <w:bCs/>
        </w:rPr>
        <w:t xml:space="preserve">, </w:t>
      </w:r>
      <w:r w:rsidRPr="00240730" w:rsidR="001500B9">
        <w:t xml:space="preserve">were irrelevant for the present case as they </w:t>
      </w:r>
      <w:r w:rsidRPr="00240730" w:rsidR="004A753C">
        <w:t xml:space="preserve">had </w:t>
      </w:r>
      <w:r w:rsidRPr="00240730" w:rsidR="001500B9">
        <w:t>not concern</w:t>
      </w:r>
      <w:r w:rsidRPr="00240730" w:rsidR="004A753C">
        <w:t>ed</w:t>
      </w:r>
      <w:r w:rsidRPr="00240730" w:rsidR="001500B9">
        <w:t xml:space="preserve"> the State unitary enterprise. In </w:t>
      </w:r>
      <w:r w:rsidRPr="00240730" w:rsidR="00B5146F">
        <w:t xml:space="preserve">their initial observations in 2011 they submitted that </w:t>
      </w:r>
      <w:r w:rsidRPr="00240730" w:rsidR="001500B9">
        <w:t>the insolvency proceeding</w:t>
      </w:r>
      <w:r w:rsidRPr="00240730" w:rsidR="00FA5179">
        <w:t>s in relation to the open joint</w:t>
      </w:r>
      <w:r w:rsidRPr="00240730" w:rsidR="00FA5179">
        <w:noBreakHyphen/>
      </w:r>
      <w:r w:rsidRPr="00240730" w:rsidR="001500B9">
        <w:t xml:space="preserve">stock company were </w:t>
      </w:r>
      <w:r w:rsidRPr="00240730" w:rsidR="005F03AF">
        <w:t xml:space="preserve">ongoing </w:t>
      </w:r>
      <w:r w:rsidRPr="00240730" w:rsidR="001500B9">
        <w:t xml:space="preserve">and </w:t>
      </w:r>
      <w:r w:rsidRPr="00240730" w:rsidR="005F03AF">
        <w:t xml:space="preserve">that </w:t>
      </w:r>
      <w:r w:rsidRPr="00240730" w:rsidR="001500B9">
        <w:t>the debts c</w:t>
      </w:r>
      <w:r w:rsidRPr="00240730" w:rsidR="00B5146F">
        <w:t>ould</w:t>
      </w:r>
      <w:r w:rsidRPr="00240730" w:rsidR="001500B9">
        <w:t xml:space="preserve"> still be recovered.</w:t>
      </w:r>
      <w:r w:rsidRPr="00240730" w:rsidR="00BD0FEC">
        <w:t xml:space="preserve"> The</w:t>
      </w:r>
      <w:r w:rsidRPr="00240730" w:rsidR="000C2B13">
        <w:t>y</w:t>
      </w:r>
      <w:r w:rsidRPr="00240730" w:rsidR="00BD0FEC">
        <w:t xml:space="preserve"> further argued that the applicants </w:t>
      </w:r>
      <w:r w:rsidRPr="00240730" w:rsidR="005F03AF">
        <w:t xml:space="preserve">had </w:t>
      </w:r>
      <w:r w:rsidRPr="00240730" w:rsidR="00BD0FEC">
        <w:t>not exhaust</w:t>
      </w:r>
      <w:r w:rsidRPr="00240730" w:rsidR="005F03AF">
        <w:t>ed</w:t>
      </w:r>
      <w:r w:rsidRPr="00240730" w:rsidR="00BD0FEC">
        <w:t xml:space="preserve"> domestic remedies</w:t>
      </w:r>
      <w:r w:rsidRPr="00240730" w:rsidR="001D2399">
        <w:t>, namely, court action under Article 1070 of the Civil Code, complaint against the bailiffs or the l</w:t>
      </w:r>
      <w:r w:rsidRPr="00240730" w:rsidR="00FA5179">
        <w:t>iquidator and a claim for index</w:t>
      </w:r>
      <w:r w:rsidRPr="00240730" w:rsidR="00FA5179">
        <w:noBreakHyphen/>
      </w:r>
      <w:r w:rsidRPr="00240730" w:rsidR="001D2399">
        <w:t>linking.</w:t>
      </w:r>
      <w:r w:rsidRPr="00240730" w:rsidR="00DE6995">
        <w:t xml:space="preserve"> In their additional observations after the recommunication of the case they argued</w:t>
      </w:r>
      <w:r w:rsidRPr="00240730" w:rsidR="003227B0">
        <w:t xml:space="preserve"> (</w:t>
      </w:r>
      <w:r w:rsidRPr="00240730" w:rsidR="004A6F9D">
        <w:t xml:space="preserve">with reference to </w:t>
      </w:r>
      <w:r w:rsidRPr="00240730" w:rsidR="003227B0">
        <w:t xml:space="preserve">the </w:t>
      </w:r>
      <w:r w:rsidRPr="00240730" w:rsidR="00FF7435">
        <w:t xml:space="preserve">provisions of </w:t>
      </w:r>
      <w:r w:rsidRPr="00240730" w:rsidR="004A6F9D">
        <w:t>domestic law cited in paragraphs </w:t>
      </w:r>
      <w:r w:rsidRPr="00240730" w:rsidR="00666FC2">
        <w:fldChar w:fldCharType="begin"/>
      </w:r>
      <w:r w:rsidRPr="00240730" w:rsidR="00666FC2">
        <w:instrText xml:space="preserve"> REF OAOdomesticLawBeginning \h </w:instrText>
      </w:r>
      <w:r w:rsidRPr="00240730" w:rsidR="00A860A9">
        <w:instrText xml:space="preserve"> \* MERGEFORMAT </w:instrText>
      </w:r>
      <w:r w:rsidRPr="00240730" w:rsidR="00666FC2">
        <w:fldChar w:fldCharType="separate"/>
      </w:r>
      <w:r w:rsidRPr="00240730" w:rsidR="00240730">
        <w:rPr>
          <w:noProof/>
          <w:lang w:val="en-US"/>
        </w:rPr>
        <w:t>81</w:t>
      </w:r>
      <w:r w:rsidRPr="00240730" w:rsidR="00666FC2">
        <w:fldChar w:fldCharType="end"/>
      </w:r>
      <w:r w:rsidRPr="00240730" w:rsidR="00666FC2">
        <w:t xml:space="preserve"> </w:t>
      </w:r>
      <w:r w:rsidRPr="00240730" w:rsidR="003227B0">
        <w:t xml:space="preserve">to </w:t>
      </w:r>
      <w:r w:rsidRPr="00240730" w:rsidR="00666FC2">
        <w:fldChar w:fldCharType="begin"/>
      </w:r>
      <w:r w:rsidRPr="00240730" w:rsidR="00666FC2">
        <w:instrText xml:space="preserve"> REF OAOdomesticLawEnd \h </w:instrText>
      </w:r>
      <w:r w:rsidRPr="00240730" w:rsidR="00A860A9">
        <w:instrText xml:space="preserve"> \* MERGEFORMAT </w:instrText>
      </w:r>
      <w:r w:rsidRPr="00240730" w:rsidR="00666FC2">
        <w:fldChar w:fldCharType="separate"/>
      </w:r>
      <w:r w:rsidRPr="00240730" w:rsidR="00240730">
        <w:rPr>
          <w:noProof/>
          <w:lang w:val="en-US"/>
        </w:rPr>
        <w:t>85</w:t>
      </w:r>
      <w:r w:rsidRPr="00240730" w:rsidR="00666FC2">
        <w:fldChar w:fldCharType="end"/>
      </w:r>
      <w:r w:rsidRPr="00240730" w:rsidR="004A6F9D">
        <w:t xml:space="preserve"> above</w:t>
      </w:r>
      <w:r w:rsidRPr="00240730" w:rsidR="003227B0">
        <w:t>)</w:t>
      </w:r>
      <w:r w:rsidRPr="00240730" w:rsidR="004A6F9D">
        <w:t xml:space="preserve"> </w:t>
      </w:r>
      <w:r w:rsidRPr="00240730" w:rsidR="00DE6995">
        <w:t xml:space="preserve">that the State was not </w:t>
      </w:r>
      <w:r w:rsidRPr="00240730" w:rsidR="004A6F9D">
        <w:t xml:space="preserve">liable for the debts of the OAO. </w:t>
      </w:r>
      <w:r w:rsidRPr="00240730" w:rsidR="004B72B1">
        <w:t>Lastly</w:t>
      </w:r>
      <w:r w:rsidRPr="00240730" w:rsidR="00DE6995">
        <w:t xml:space="preserve">, they </w:t>
      </w:r>
      <w:r w:rsidRPr="00240730" w:rsidR="004A6F9D">
        <w:t xml:space="preserve">submitted that the applicants </w:t>
      </w:r>
      <w:r w:rsidRPr="00240730" w:rsidR="00DE6995">
        <w:t xml:space="preserve">had failed to request </w:t>
      </w:r>
      <w:r w:rsidRPr="00240730" w:rsidR="003227B0">
        <w:t>that</w:t>
      </w:r>
      <w:r w:rsidRPr="00240730" w:rsidR="00DE6995">
        <w:t xml:space="preserve"> their claims </w:t>
      </w:r>
      <w:r w:rsidRPr="00240730" w:rsidR="003227B0">
        <w:t xml:space="preserve">be included </w:t>
      </w:r>
      <w:r w:rsidRPr="00240730" w:rsidR="00DE6995">
        <w:t xml:space="preserve">in the </w:t>
      </w:r>
      <w:r w:rsidRPr="00240730" w:rsidR="009812CE">
        <w:t xml:space="preserve">register of the </w:t>
      </w:r>
      <w:r w:rsidRPr="00240730" w:rsidR="00DE6995">
        <w:t>creditors</w:t>
      </w:r>
      <w:r w:rsidRPr="00240730" w:rsidR="00240730">
        <w:t>’</w:t>
      </w:r>
      <w:r w:rsidRPr="00240730" w:rsidR="00DE6995">
        <w:t xml:space="preserve"> claims</w:t>
      </w:r>
      <w:r w:rsidRPr="00240730" w:rsidR="009812CE">
        <w:t xml:space="preserve"> and given second priority</w:t>
      </w:r>
      <w:r w:rsidRPr="00240730" w:rsidR="00DE6995">
        <w:t>.</w:t>
      </w:r>
    </w:p>
    <w:p w:rsidRPr="00240730" w:rsidR="00377D0B" w:rsidP="00240730" w:rsidRDefault="00B5146F">
      <w:pPr>
        <w:pStyle w:val="ECHRPara"/>
      </w:pPr>
      <w:r w:rsidRPr="00240730">
        <w:fldChar w:fldCharType="begin"/>
      </w:r>
      <w:r w:rsidRPr="00240730">
        <w:instrText xml:space="preserve"> SEQ level0 \*arabic </w:instrText>
      </w:r>
      <w:r w:rsidRPr="00240730">
        <w:fldChar w:fldCharType="separate"/>
      </w:r>
      <w:r w:rsidRPr="00240730" w:rsidR="00240730">
        <w:rPr>
          <w:noProof/>
        </w:rPr>
        <w:t>114</w:t>
      </w:r>
      <w:r w:rsidRPr="00240730">
        <w:fldChar w:fldCharType="end"/>
      </w:r>
      <w:r w:rsidRPr="00240730">
        <w:t xml:space="preserve">.  The applicants maintained their claims. </w:t>
      </w:r>
      <w:r w:rsidRPr="00240730" w:rsidR="00BD0FEC">
        <w:t xml:space="preserve">They stressed that the OAO had been declared non-existent </w:t>
      </w:r>
      <w:r w:rsidRPr="00240730" w:rsidR="00BD0FEC">
        <w:rPr>
          <w:i/>
        </w:rPr>
        <w:t>de jure</w:t>
      </w:r>
      <w:r w:rsidRPr="00240730" w:rsidR="00BD0FEC">
        <w:t xml:space="preserve"> in terms of domestic law. While the State </w:t>
      </w:r>
      <w:r w:rsidRPr="00240730" w:rsidR="00BE08C9">
        <w:t>had taken</w:t>
      </w:r>
      <w:r w:rsidRPr="00240730" w:rsidR="00BD0FEC">
        <w:t xml:space="preserve"> effective measures to return the assets to the FGUP, the debt in respect of the salaries</w:t>
      </w:r>
      <w:r w:rsidRPr="00240730" w:rsidR="008F0C4D">
        <w:t xml:space="preserve"> had</w:t>
      </w:r>
      <w:r w:rsidRPr="00240730" w:rsidR="00BD0FEC">
        <w:t xml:space="preserve"> remained </w:t>
      </w:r>
      <w:r w:rsidRPr="00240730" w:rsidR="00732719">
        <w:t xml:space="preserve">in </w:t>
      </w:r>
      <w:r w:rsidRPr="00240730" w:rsidR="00BD0FEC">
        <w:t xml:space="preserve">the “empty” </w:t>
      </w:r>
      <w:r w:rsidRPr="00240730" w:rsidR="00DC4406">
        <w:t>OAO</w:t>
      </w:r>
      <w:r w:rsidRPr="00240730" w:rsidR="00BD0FEC">
        <w:t>, without any prospect of recovery prior to its formal liquidation.</w:t>
      </w:r>
    </w:p>
    <w:p w:rsidRPr="00240730" w:rsidR="009B3B6B" w:rsidP="00240730" w:rsidRDefault="009B3B6B">
      <w:pPr>
        <w:pStyle w:val="ECHRHeading2"/>
      </w:pPr>
      <w:r w:rsidRPr="00240730">
        <w:t>A.  </w:t>
      </w:r>
      <w:r w:rsidRPr="00240730" w:rsidR="000958B8">
        <w:t>Admissibility</w:t>
      </w:r>
    </w:p>
    <w:p w:rsidRPr="00240730" w:rsidR="00E2289C" w:rsidP="00240730" w:rsidRDefault="009B3B6B">
      <w:pPr>
        <w:pStyle w:val="ECHRHeading3"/>
      </w:pPr>
      <w:r w:rsidRPr="00240730">
        <w:t>1</w:t>
      </w:r>
      <w:r w:rsidRPr="00240730" w:rsidR="001500B9">
        <w:t>.  </w:t>
      </w:r>
      <w:r w:rsidRPr="00240730" w:rsidR="000958B8">
        <w:t>Complaints by six of the applicants</w:t>
      </w:r>
    </w:p>
    <w:p w:rsidRPr="00240730" w:rsidR="00D279D2" w:rsidP="00240730" w:rsidRDefault="009274DD">
      <w:pPr>
        <w:pStyle w:val="ECHRHeading4"/>
        <w:rPr>
          <w:i/>
        </w:rPr>
      </w:pPr>
      <w:r w:rsidRPr="00240730">
        <w:t xml:space="preserve">(a)  Compatibility </w:t>
      </w:r>
      <w:proofErr w:type="spellStart"/>
      <w:r w:rsidRPr="00240730">
        <w:rPr>
          <w:i/>
        </w:rPr>
        <w:t>ratione</w:t>
      </w:r>
      <w:proofErr w:type="spellEnd"/>
      <w:r w:rsidRPr="00240730">
        <w:rPr>
          <w:i/>
        </w:rPr>
        <w:t xml:space="preserve"> personae</w:t>
      </w:r>
      <w:r w:rsidRPr="00240730" w:rsidR="00D279D2">
        <w:rPr>
          <w:i/>
        </w:rPr>
        <w:t>-</w:t>
      </w:r>
      <w:r w:rsidRPr="00240730" w:rsidR="00D279D2">
        <w:t xml:space="preserve"> the State</w:t>
      </w:r>
      <w:r w:rsidRPr="00240730" w:rsidR="00240730">
        <w:t>’</w:t>
      </w:r>
      <w:r w:rsidRPr="00240730" w:rsidR="00D279D2">
        <w:t>s responsibility for the OAO</w:t>
      </w:r>
      <w:r w:rsidRPr="00240730" w:rsidR="00240730">
        <w:t>’</w:t>
      </w:r>
      <w:r w:rsidRPr="00240730" w:rsidR="00D279D2">
        <w:t>s debts</w:t>
      </w:r>
    </w:p>
    <w:p w:rsidRPr="00240730" w:rsidR="00E2289C" w:rsidP="00240730" w:rsidRDefault="0005534E">
      <w:pPr>
        <w:pStyle w:val="ECHRPara"/>
      </w:pPr>
      <w:r w:rsidRPr="00240730">
        <w:fldChar w:fldCharType="begin"/>
      </w:r>
      <w:r w:rsidRPr="00240730">
        <w:instrText xml:space="preserve"> SEQ level0 \*arabic </w:instrText>
      </w:r>
      <w:r w:rsidRPr="00240730">
        <w:fldChar w:fldCharType="separate"/>
      </w:r>
      <w:r w:rsidRPr="00240730" w:rsidR="00240730">
        <w:rPr>
          <w:noProof/>
        </w:rPr>
        <w:t>115</w:t>
      </w:r>
      <w:r w:rsidRPr="00240730">
        <w:fldChar w:fldCharType="end"/>
      </w:r>
      <w:r w:rsidRPr="00240730">
        <w:t>.  </w:t>
      </w:r>
      <w:r w:rsidRPr="00240730" w:rsidR="003B6BD1">
        <w:t xml:space="preserve">The Court notes </w:t>
      </w:r>
      <w:r w:rsidRPr="00240730" w:rsidR="003F35FE">
        <w:t xml:space="preserve">at the outset </w:t>
      </w:r>
      <w:r w:rsidRPr="00240730" w:rsidR="003B6BD1">
        <w:t>that the insolvency procee</w:t>
      </w:r>
      <w:r w:rsidRPr="00240730" w:rsidR="00124783">
        <w:t>dings</w:t>
      </w:r>
      <w:r w:rsidRPr="00240730" w:rsidR="001D2399">
        <w:t xml:space="preserve"> in respect of the OAO</w:t>
      </w:r>
      <w:r w:rsidRPr="00240730" w:rsidR="00124783">
        <w:t xml:space="preserve"> </w:t>
      </w:r>
      <w:r w:rsidRPr="00240730" w:rsidR="005F03AF">
        <w:t>were</w:t>
      </w:r>
      <w:r w:rsidRPr="00240730" w:rsidR="00124783">
        <w:t xml:space="preserve"> terminated on 29 </w:t>
      </w:r>
      <w:r w:rsidRPr="00240730" w:rsidR="003B6BD1">
        <w:t xml:space="preserve">March 2012 and </w:t>
      </w:r>
      <w:r w:rsidRPr="00240730" w:rsidR="005F03AF">
        <w:t xml:space="preserve">that </w:t>
      </w:r>
      <w:r w:rsidRPr="00240730" w:rsidR="003B6BD1">
        <w:t xml:space="preserve">the claims which </w:t>
      </w:r>
      <w:r w:rsidRPr="00240730" w:rsidR="005F03AF">
        <w:t xml:space="preserve">were </w:t>
      </w:r>
      <w:r w:rsidRPr="00240730" w:rsidR="003B6BD1">
        <w:t xml:space="preserve">not satisfied during the liquidation </w:t>
      </w:r>
      <w:r w:rsidRPr="00240730" w:rsidR="009A575D">
        <w:t xml:space="preserve">process </w:t>
      </w:r>
      <w:r w:rsidRPr="00240730" w:rsidR="003B6BD1">
        <w:t>were considered settled</w:t>
      </w:r>
      <w:r w:rsidRPr="00240730" w:rsidR="00A055C7">
        <w:t xml:space="preserve"> (see paragraph </w:t>
      </w:r>
      <w:r w:rsidRPr="00240730" w:rsidR="00EE7BC7">
        <w:fldChar w:fldCharType="begin"/>
      </w:r>
      <w:r w:rsidRPr="00240730" w:rsidR="00EE7BC7">
        <w:instrText xml:space="preserve"> REF OAOInsolvency29032012 \h </w:instrText>
      </w:r>
      <w:r w:rsidRPr="00240730" w:rsidR="00EE7BC7">
        <w:fldChar w:fldCharType="separate"/>
      </w:r>
      <w:r w:rsidRPr="00240730" w:rsidR="00240730">
        <w:rPr>
          <w:noProof/>
        </w:rPr>
        <w:t>44</w:t>
      </w:r>
      <w:r w:rsidRPr="00240730" w:rsidR="00EE7BC7">
        <w:fldChar w:fldCharType="end"/>
      </w:r>
      <w:r w:rsidRPr="00240730" w:rsidR="00A055C7">
        <w:t xml:space="preserve"> above)</w:t>
      </w:r>
      <w:r w:rsidRPr="00240730" w:rsidR="003B6BD1">
        <w:t>.</w:t>
      </w:r>
      <w:r w:rsidRPr="00240730" w:rsidR="003F35FE">
        <w:t xml:space="preserve"> Accordingly, it appears that, contrary</w:t>
      </w:r>
      <w:r w:rsidRPr="00240730" w:rsidR="00666FC2">
        <w:t xml:space="preserve"> to the Government</w:t>
      </w:r>
      <w:r w:rsidRPr="00240730" w:rsidR="00240730">
        <w:t>’</w:t>
      </w:r>
      <w:r w:rsidRPr="00240730" w:rsidR="00666FC2">
        <w:t>s initial submissions</w:t>
      </w:r>
      <w:r w:rsidRPr="00240730" w:rsidR="003F35FE">
        <w:t>, the debts could no longer be recovered from the OAO.</w:t>
      </w:r>
    </w:p>
    <w:p w:rsidRPr="00240730" w:rsidR="00DE6995" w:rsidP="00240730" w:rsidRDefault="00DE6995">
      <w:pPr>
        <w:pStyle w:val="ECHRPara"/>
      </w:pPr>
      <w:r w:rsidRPr="00240730">
        <w:fldChar w:fldCharType="begin"/>
      </w:r>
      <w:r w:rsidRPr="00240730">
        <w:instrText xml:space="preserve"> SEQ level0 \*arabic </w:instrText>
      </w:r>
      <w:r w:rsidRPr="00240730">
        <w:fldChar w:fldCharType="separate"/>
      </w:r>
      <w:r w:rsidRPr="00240730" w:rsidR="00240730">
        <w:rPr>
          <w:noProof/>
        </w:rPr>
        <w:t>116</w:t>
      </w:r>
      <w:r w:rsidRPr="00240730">
        <w:fldChar w:fldCharType="end"/>
      </w:r>
      <w:r w:rsidRPr="00240730">
        <w:t>.  The Court further notes the Government</w:t>
      </w:r>
      <w:r w:rsidRPr="00240730" w:rsidR="00240730">
        <w:t>’</w:t>
      </w:r>
      <w:r w:rsidRPr="00240730">
        <w:t>s argument that the applicants failed to request to include their claims in the list of the creditors</w:t>
      </w:r>
      <w:r w:rsidRPr="00240730" w:rsidR="00240730">
        <w:t>’</w:t>
      </w:r>
      <w:r w:rsidRPr="00240730">
        <w:t xml:space="preserve"> claims. However, it transpires from </w:t>
      </w:r>
      <w:r w:rsidRPr="00240730" w:rsidR="002B6500">
        <w:t xml:space="preserve">both </w:t>
      </w:r>
      <w:r w:rsidRPr="00240730">
        <w:t>the applicants</w:t>
      </w:r>
      <w:r w:rsidRPr="00240730" w:rsidR="00240730">
        <w:t>’</w:t>
      </w:r>
      <w:r w:rsidRPr="00240730">
        <w:t xml:space="preserve"> </w:t>
      </w:r>
      <w:r w:rsidRPr="00240730" w:rsidR="002B6500">
        <w:t>inquiry lodged with the</w:t>
      </w:r>
      <w:r w:rsidRPr="00240730">
        <w:t xml:space="preserve"> prosecutor</w:t>
      </w:r>
      <w:r w:rsidRPr="00240730" w:rsidR="00240730">
        <w:t>’</w:t>
      </w:r>
      <w:r w:rsidRPr="00240730">
        <w:t>s office and th</w:t>
      </w:r>
      <w:r w:rsidRPr="00240730" w:rsidR="002B6500">
        <w:t>e prosecutor</w:t>
      </w:r>
      <w:r w:rsidRPr="00240730" w:rsidR="00240730">
        <w:t>’</w:t>
      </w:r>
      <w:r w:rsidRPr="00240730" w:rsidR="002B6500">
        <w:t>s respective reply that</w:t>
      </w:r>
      <w:r w:rsidRPr="00240730">
        <w:t xml:space="preserve"> their claims </w:t>
      </w:r>
      <w:r w:rsidRPr="00240730">
        <w:rPr>
          <w:bCs/>
        </w:rPr>
        <w:t>were included in the second priority line to be repaid (see paragraphs </w:t>
      </w:r>
      <w:r w:rsidRPr="00240730">
        <w:rPr>
          <w:bCs/>
        </w:rPr>
        <w:fldChar w:fldCharType="begin"/>
      </w:r>
      <w:r w:rsidRPr="00240730">
        <w:rPr>
          <w:bCs/>
        </w:rPr>
        <w:instrText xml:space="preserve"> REF ClaimToInclude_CreditrorsClaims2Line \h </w:instrText>
      </w:r>
      <w:r w:rsidRPr="00240730" w:rsidR="009A014D">
        <w:rPr>
          <w:bCs/>
        </w:rPr>
        <w:instrText xml:space="preserve"> \* MERGEFORMAT </w:instrText>
      </w:r>
      <w:r w:rsidRPr="00240730">
        <w:rPr>
          <w:bCs/>
        </w:rPr>
      </w:r>
      <w:r w:rsidRPr="00240730">
        <w:rPr>
          <w:bCs/>
        </w:rPr>
        <w:fldChar w:fldCharType="separate"/>
      </w:r>
      <w:r w:rsidRPr="00240730" w:rsidR="00240730">
        <w:rPr>
          <w:bCs/>
          <w:noProof/>
        </w:rPr>
        <w:t>40</w:t>
      </w:r>
      <w:r w:rsidRPr="00240730">
        <w:rPr>
          <w:bCs/>
        </w:rPr>
        <w:fldChar w:fldCharType="end"/>
      </w:r>
      <w:r w:rsidRPr="00240730">
        <w:rPr>
          <w:bCs/>
        </w:rPr>
        <w:t xml:space="preserve"> and </w:t>
      </w:r>
      <w:r w:rsidRPr="00240730">
        <w:rPr>
          <w:bCs/>
        </w:rPr>
        <w:fldChar w:fldCharType="begin"/>
      </w:r>
      <w:r w:rsidRPr="00240730">
        <w:rPr>
          <w:bCs/>
        </w:rPr>
        <w:instrText xml:space="preserve"> REF ClaimsIncluded_CreditrorsClaims2Line \h </w:instrText>
      </w:r>
      <w:r w:rsidRPr="00240730" w:rsidR="009A014D">
        <w:rPr>
          <w:bCs/>
        </w:rPr>
        <w:instrText xml:space="preserve"> \* MERGEFORMAT </w:instrText>
      </w:r>
      <w:r w:rsidRPr="00240730">
        <w:rPr>
          <w:bCs/>
        </w:rPr>
      </w:r>
      <w:r w:rsidRPr="00240730">
        <w:rPr>
          <w:bCs/>
        </w:rPr>
        <w:fldChar w:fldCharType="separate"/>
      </w:r>
      <w:r w:rsidRPr="00240730" w:rsidR="00240730">
        <w:rPr>
          <w:bCs/>
          <w:noProof/>
        </w:rPr>
        <w:t>41</w:t>
      </w:r>
      <w:r w:rsidRPr="00240730">
        <w:rPr>
          <w:bCs/>
        </w:rPr>
        <w:fldChar w:fldCharType="end"/>
      </w:r>
      <w:r w:rsidRPr="00240730">
        <w:rPr>
          <w:bCs/>
        </w:rPr>
        <w:t xml:space="preserve"> above). Accordingly, this argument is to be rejected.</w:t>
      </w:r>
    </w:p>
    <w:p w:rsidRPr="00240730" w:rsidR="00E2289C" w:rsidP="00240730" w:rsidRDefault="000958B8">
      <w:pPr>
        <w:pStyle w:val="ECHRPara"/>
        <w:rPr>
          <w:rFonts w:eastAsia="Times New Roman"/>
          <w:lang w:val="en-US"/>
        </w:rPr>
      </w:pPr>
      <w:r w:rsidRPr="00240730">
        <w:rPr>
          <w:rFonts w:eastAsia="Times New Roman"/>
          <w:lang w:val="en-US"/>
        </w:rPr>
        <w:fldChar w:fldCharType="begin"/>
      </w:r>
      <w:r w:rsidRPr="00240730">
        <w:rPr>
          <w:rFonts w:eastAsia="Times New Roman"/>
          <w:lang w:val="en-US"/>
        </w:rPr>
        <w:instrText xml:space="preserve"> SEQ level0 \*arabic </w:instrText>
      </w:r>
      <w:r w:rsidRPr="00240730">
        <w:rPr>
          <w:rFonts w:eastAsia="Times New Roman"/>
          <w:lang w:val="en-US"/>
        </w:rPr>
        <w:fldChar w:fldCharType="separate"/>
      </w:r>
      <w:r w:rsidRPr="00240730" w:rsidR="00240730">
        <w:rPr>
          <w:rFonts w:eastAsia="Times New Roman"/>
          <w:noProof/>
          <w:lang w:val="en-US"/>
        </w:rPr>
        <w:t>117</w:t>
      </w:r>
      <w:r w:rsidRPr="00240730">
        <w:rPr>
          <w:rFonts w:eastAsia="Times New Roman"/>
          <w:lang w:val="en-US"/>
        </w:rPr>
        <w:fldChar w:fldCharType="end"/>
      </w:r>
      <w:r w:rsidRPr="00240730">
        <w:rPr>
          <w:rFonts w:eastAsia="Times New Roman"/>
          <w:lang w:val="en-US"/>
        </w:rPr>
        <w:t xml:space="preserve">.  The Court </w:t>
      </w:r>
      <w:r w:rsidRPr="00240730" w:rsidR="008E3C53">
        <w:rPr>
          <w:rFonts w:eastAsia="Times New Roman"/>
          <w:lang w:val="en-US"/>
        </w:rPr>
        <w:t xml:space="preserve">further </w:t>
      </w:r>
      <w:r w:rsidRPr="00240730">
        <w:rPr>
          <w:rFonts w:eastAsia="Times New Roman"/>
          <w:lang w:val="en-US"/>
        </w:rPr>
        <w:t xml:space="preserve">reiterates that a State may be responsible for debts of a State-owned company, even if the company is a separate legal entity, provided that it does not enjoy sufficient institutional and operational independence from the State to absolve the latter from its responsibility under the Convention (see, among many other authorities, </w:t>
      </w:r>
      <w:proofErr w:type="spellStart"/>
      <w:r w:rsidRPr="00240730">
        <w:rPr>
          <w:i/>
        </w:rPr>
        <w:t>Mykhaylenky</w:t>
      </w:r>
      <w:proofErr w:type="spellEnd"/>
      <w:r w:rsidRPr="00240730">
        <w:rPr>
          <w:i/>
        </w:rPr>
        <w:t xml:space="preserve"> and Others v. Ukraine</w:t>
      </w:r>
      <w:r w:rsidRPr="00240730" w:rsidR="00E16A13">
        <w:t>, nos. 35091/02 and 9 </w:t>
      </w:r>
      <w:r w:rsidRPr="00240730" w:rsidR="00E17FFE">
        <w:t>others, §§ 43-46</w:t>
      </w:r>
      <w:r w:rsidRPr="00240730">
        <w:t>, ECHR 2004</w:t>
      </w:r>
      <w:r w:rsidRPr="00240730">
        <w:noBreakHyphen/>
        <w:t xml:space="preserve">XII; </w:t>
      </w:r>
      <w:proofErr w:type="spellStart"/>
      <w:r w:rsidRPr="00240730" w:rsidR="00E16A13">
        <w:rPr>
          <w:rFonts w:eastAsia="Times New Roman"/>
          <w:i/>
          <w:lang w:val="en-US"/>
        </w:rPr>
        <w:t>Cooperativa</w:t>
      </w:r>
      <w:proofErr w:type="spellEnd"/>
      <w:r w:rsidRPr="00240730" w:rsidR="00E16A13">
        <w:rPr>
          <w:rFonts w:eastAsia="Times New Roman"/>
          <w:i/>
          <w:lang w:val="en-US"/>
        </w:rPr>
        <w:t xml:space="preserve"> Agricola </w:t>
      </w:r>
      <w:proofErr w:type="spellStart"/>
      <w:r w:rsidRPr="00240730" w:rsidR="00E16A13">
        <w:rPr>
          <w:rFonts w:eastAsia="Times New Roman"/>
          <w:i/>
          <w:lang w:val="en-US"/>
        </w:rPr>
        <w:t>Slobozia</w:t>
      </w:r>
      <w:r w:rsidRPr="00240730" w:rsidR="00E16A13">
        <w:rPr>
          <w:rFonts w:eastAsia="Times New Roman"/>
          <w:i/>
          <w:lang w:val="en-US"/>
        </w:rPr>
        <w:noBreakHyphen/>
      </w:r>
      <w:r w:rsidRPr="00240730">
        <w:rPr>
          <w:rFonts w:eastAsia="Times New Roman"/>
          <w:i/>
          <w:lang w:val="en-US"/>
        </w:rPr>
        <w:t>Hanesei</w:t>
      </w:r>
      <w:proofErr w:type="spellEnd"/>
      <w:r w:rsidRPr="00240730">
        <w:rPr>
          <w:rFonts w:eastAsia="Times New Roman"/>
          <w:i/>
          <w:lang w:val="en-US"/>
        </w:rPr>
        <w:t xml:space="preserve"> v. Moldova</w:t>
      </w:r>
      <w:r w:rsidRPr="00240730">
        <w:rPr>
          <w:rFonts w:eastAsia="Times New Roman"/>
          <w:lang w:val="en-US"/>
        </w:rPr>
        <w:t>, no. 39745/0</w:t>
      </w:r>
      <w:r w:rsidRPr="00240730" w:rsidR="00D33A86">
        <w:rPr>
          <w:rFonts w:eastAsia="Times New Roman"/>
          <w:lang w:val="en-US"/>
        </w:rPr>
        <w:t>2, §§ 17</w:t>
      </w:r>
      <w:r w:rsidRPr="00240730" w:rsidR="00D33A86">
        <w:rPr>
          <w:rFonts w:eastAsia="Times New Roman"/>
          <w:lang w:val="en-US"/>
        </w:rPr>
        <w:noBreakHyphen/>
      </w:r>
      <w:r w:rsidRPr="00240730">
        <w:rPr>
          <w:rFonts w:eastAsia="Times New Roman"/>
          <w:lang w:val="en-US"/>
        </w:rPr>
        <w:t xml:space="preserve">19, 3 April 2007; </w:t>
      </w:r>
      <w:proofErr w:type="spellStart"/>
      <w:r w:rsidRPr="00240730">
        <w:rPr>
          <w:rFonts w:eastAsia="Times New Roman"/>
          <w:i/>
          <w:lang w:val="en-US"/>
        </w:rPr>
        <w:t>Yershova</w:t>
      </w:r>
      <w:proofErr w:type="spellEnd"/>
      <w:r w:rsidRPr="00240730">
        <w:rPr>
          <w:rFonts w:eastAsia="Times New Roman"/>
          <w:lang w:val="en-US"/>
        </w:rPr>
        <w:t xml:space="preserve">, </w:t>
      </w:r>
      <w:r w:rsidRPr="00240730" w:rsidR="00E17FFE">
        <w:rPr>
          <w:rFonts w:eastAsia="Times New Roman"/>
          <w:lang w:val="en-US"/>
        </w:rPr>
        <w:t>cited above</w:t>
      </w:r>
      <w:r w:rsidRPr="00240730">
        <w:rPr>
          <w:rFonts w:eastAsia="Times New Roman"/>
          <w:lang w:val="en-US"/>
        </w:rPr>
        <w:t>, §§ </w:t>
      </w:r>
      <w:r w:rsidRPr="00240730">
        <w:rPr>
          <w:lang w:val="en-US"/>
        </w:rPr>
        <w:t>54-63</w:t>
      </w:r>
      <w:r w:rsidRPr="00240730">
        <w:rPr>
          <w:rFonts w:eastAsia="Times New Roman"/>
          <w:lang w:val="en-US"/>
        </w:rPr>
        <w:t xml:space="preserve">; and </w:t>
      </w:r>
      <w:proofErr w:type="spellStart"/>
      <w:r w:rsidRPr="00240730">
        <w:rPr>
          <w:i/>
        </w:rPr>
        <w:t>Kotov</w:t>
      </w:r>
      <w:proofErr w:type="spellEnd"/>
      <w:r w:rsidRPr="00240730">
        <w:rPr>
          <w:i/>
        </w:rPr>
        <w:t xml:space="preserve"> </w:t>
      </w:r>
      <w:r w:rsidRPr="00240730">
        <w:t xml:space="preserve">[GC], </w:t>
      </w:r>
      <w:r w:rsidRPr="00240730" w:rsidR="00FF7435">
        <w:t>cited above</w:t>
      </w:r>
      <w:r w:rsidRPr="00240730" w:rsidR="00E17FFE">
        <w:rPr>
          <w:snapToGrid w:val="0"/>
          <w:szCs w:val="24"/>
        </w:rPr>
        <w:t>, §§ 92</w:t>
      </w:r>
      <w:r w:rsidRPr="00240730" w:rsidR="00E17FFE">
        <w:rPr>
          <w:snapToGrid w:val="0"/>
          <w:szCs w:val="24"/>
        </w:rPr>
        <w:noBreakHyphen/>
      </w:r>
      <w:r w:rsidRPr="00240730">
        <w:rPr>
          <w:snapToGrid w:val="0"/>
          <w:szCs w:val="24"/>
        </w:rPr>
        <w:t>107</w:t>
      </w:r>
      <w:r w:rsidRPr="00240730">
        <w:rPr>
          <w:rFonts w:eastAsia="Times New Roman"/>
          <w:lang w:val="en-US"/>
        </w:rPr>
        <w:t>). The key criteria used in the above-mentioned cases to determine whether the State was indeed responsible for such debts were as follows: the company</w:t>
      </w:r>
      <w:r w:rsidRPr="00240730" w:rsidR="00240730">
        <w:rPr>
          <w:rFonts w:eastAsia="Times New Roman"/>
          <w:lang w:val="en-US"/>
        </w:rPr>
        <w:t>’</w:t>
      </w:r>
      <w:r w:rsidRPr="00240730">
        <w:rPr>
          <w:rFonts w:eastAsia="Times New Roman"/>
          <w:lang w:val="en-US"/>
        </w:rPr>
        <w:t>s legal status (under public or private law); the nature of its activity (a public function or an ordinary commercial business); the context of its operation (such as a monopoly or heavily regulated business); its institutional independence (the extent of State ownership); and its operational independence (the extent of State supervis</w:t>
      </w:r>
      <w:r w:rsidRPr="00240730">
        <w:rPr>
          <w:lang w:val="en-US"/>
        </w:rPr>
        <w:t xml:space="preserve">ion and control) (see </w:t>
      </w:r>
      <w:proofErr w:type="spellStart"/>
      <w:r w:rsidRPr="00240730">
        <w:rPr>
          <w:i/>
        </w:rPr>
        <w:t>Ališić</w:t>
      </w:r>
      <w:proofErr w:type="spellEnd"/>
      <w:r w:rsidRPr="00240730">
        <w:rPr>
          <w:i/>
        </w:rPr>
        <w:t xml:space="preserve"> and Others v. Bosnia and Herzegovina, Croatia, Serbia, Slovenia and the former Yugoslav Republic of Macedonia</w:t>
      </w:r>
      <w:r w:rsidRPr="00240730">
        <w:t xml:space="preserve"> [GC], </w:t>
      </w:r>
      <w:r w:rsidRPr="00240730">
        <w:rPr>
          <w:snapToGrid w:val="0"/>
        </w:rPr>
        <w:t>no.</w:t>
      </w:r>
      <w:r w:rsidRPr="00240730">
        <w:t xml:space="preserve"> 60642/08, § 114, ECHR 2014). </w:t>
      </w:r>
      <w:r w:rsidRPr="00240730">
        <w:rPr>
          <w:rFonts w:eastAsia="Times New Roman"/>
          <w:lang w:val="en-US"/>
        </w:rPr>
        <w:t>Additional factors to be taken into consideration are whether the State was directly responsible for the company</w:t>
      </w:r>
      <w:r w:rsidRPr="00240730" w:rsidR="00240730">
        <w:rPr>
          <w:rFonts w:eastAsia="Times New Roman"/>
          <w:lang w:val="en-US"/>
        </w:rPr>
        <w:t>’</w:t>
      </w:r>
      <w:r w:rsidRPr="00240730">
        <w:rPr>
          <w:rFonts w:eastAsia="Times New Roman"/>
          <w:lang w:val="en-US"/>
        </w:rPr>
        <w:t>s financial difficulties, siphoned the corporate funds to the detriment of the company and its stakeholders, failed to keep an arm</w:t>
      </w:r>
      <w:r w:rsidRPr="00240730" w:rsidR="00240730">
        <w:rPr>
          <w:rFonts w:eastAsia="Times New Roman"/>
          <w:lang w:val="en-US"/>
        </w:rPr>
        <w:t>’</w:t>
      </w:r>
      <w:r w:rsidRPr="00240730">
        <w:rPr>
          <w:rFonts w:eastAsia="Times New Roman"/>
          <w:lang w:val="en-US"/>
        </w:rPr>
        <w:t xml:space="preserve">s-length relationship with the company or otherwise acted in abuse of the corporate form (see </w:t>
      </w:r>
      <w:proofErr w:type="spellStart"/>
      <w:r w:rsidRPr="00240730">
        <w:rPr>
          <w:i/>
        </w:rPr>
        <w:t>Ališić</w:t>
      </w:r>
      <w:proofErr w:type="spellEnd"/>
      <w:r w:rsidRPr="00240730">
        <w:rPr>
          <w:i/>
        </w:rPr>
        <w:t xml:space="preserve"> and Others, </w:t>
      </w:r>
      <w:r w:rsidRPr="00240730">
        <w:t>cited above</w:t>
      </w:r>
      <w:r w:rsidRPr="00240730">
        <w:rPr>
          <w:i/>
        </w:rPr>
        <w:t xml:space="preserve">, </w:t>
      </w:r>
      <w:r w:rsidRPr="00240730">
        <w:t>§ 115</w:t>
      </w:r>
      <w:r w:rsidRPr="00240730">
        <w:rPr>
          <w:i/>
        </w:rPr>
        <w:t xml:space="preserve">, </w:t>
      </w:r>
      <w:r w:rsidRPr="00240730">
        <w:t>and</w:t>
      </w:r>
      <w:r w:rsidRPr="00240730" w:rsidR="00FF7435">
        <w:t xml:space="preserve"> the</w:t>
      </w:r>
      <w:r w:rsidRPr="00240730">
        <w:t xml:space="preserve"> references to</w:t>
      </w:r>
      <w:r w:rsidRPr="00240730">
        <w:rPr>
          <w:rFonts w:eastAsia="Times New Roman"/>
          <w:lang w:val="en-US"/>
        </w:rPr>
        <w:t xml:space="preserve"> </w:t>
      </w:r>
      <w:proofErr w:type="spellStart"/>
      <w:r w:rsidRPr="00240730">
        <w:rPr>
          <w:rFonts w:eastAsia="Times New Roman"/>
          <w:i/>
          <w:lang w:val="en-US"/>
        </w:rPr>
        <w:t>Anokhin</w:t>
      </w:r>
      <w:proofErr w:type="spellEnd"/>
      <w:r w:rsidRPr="00240730">
        <w:rPr>
          <w:rFonts w:eastAsia="Times New Roman"/>
          <w:i/>
          <w:lang w:val="en-US"/>
        </w:rPr>
        <w:t xml:space="preserve"> v. Russia</w:t>
      </w:r>
      <w:r w:rsidRPr="00240730">
        <w:rPr>
          <w:rFonts w:eastAsia="Times New Roman"/>
          <w:lang w:val="en-US"/>
        </w:rPr>
        <w:t xml:space="preserve"> (</w:t>
      </w:r>
      <w:proofErr w:type="spellStart"/>
      <w:r w:rsidRPr="00240730">
        <w:rPr>
          <w:rFonts w:eastAsia="Times New Roman"/>
          <w:lang w:val="en-US"/>
        </w:rPr>
        <w:t>d</w:t>
      </w:r>
      <w:r w:rsidRPr="00240730" w:rsidR="00F62D6B">
        <w:rPr>
          <w:rFonts w:eastAsia="Times New Roman"/>
          <w:lang w:val="en-US"/>
        </w:rPr>
        <w:t>ec.</w:t>
      </w:r>
      <w:proofErr w:type="spellEnd"/>
      <w:r w:rsidRPr="00240730" w:rsidR="00F62D6B">
        <w:rPr>
          <w:rFonts w:eastAsia="Times New Roman"/>
          <w:lang w:val="en-US"/>
        </w:rPr>
        <w:t xml:space="preserve">), no. 25867/02, 31 May 2007, </w:t>
      </w:r>
      <w:r w:rsidRPr="00240730">
        <w:rPr>
          <w:rFonts w:eastAsia="Times New Roman"/>
          <w:lang w:val="en-US"/>
        </w:rPr>
        <w:t xml:space="preserve">and </w:t>
      </w:r>
      <w:r w:rsidRPr="00240730">
        <w:rPr>
          <w:rFonts w:eastAsia="Times New Roman"/>
          <w:i/>
          <w:lang w:val="en-US"/>
        </w:rPr>
        <w:t>Khachatryan</w:t>
      </w:r>
      <w:r w:rsidRPr="00240730">
        <w:rPr>
          <w:rFonts w:eastAsia="Times New Roman"/>
          <w:lang w:val="en-US"/>
        </w:rPr>
        <w:t xml:space="preserve">, </w:t>
      </w:r>
      <w:r w:rsidRPr="00240730" w:rsidR="00F62D6B">
        <w:rPr>
          <w:rFonts w:eastAsia="Times New Roman"/>
          <w:lang w:val="en-US"/>
        </w:rPr>
        <w:t>cited above</w:t>
      </w:r>
      <w:r w:rsidRPr="00240730">
        <w:rPr>
          <w:rFonts w:eastAsia="Times New Roman"/>
          <w:lang w:val="en-US"/>
        </w:rPr>
        <w:t>, §§ 51-55, contained therein).</w:t>
      </w:r>
    </w:p>
    <w:p w:rsidRPr="00240730" w:rsidR="00E2289C" w:rsidP="00240730" w:rsidRDefault="000958B8">
      <w:pPr>
        <w:pStyle w:val="ECHRPara"/>
      </w:pPr>
      <w:r w:rsidRPr="00240730">
        <w:rPr>
          <w:rFonts w:eastAsia="Times New Roman"/>
          <w:lang w:val="en-US"/>
        </w:rPr>
        <w:fldChar w:fldCharType="begin"/>
      </w:r>
      <w:r w:rsidRPr="00240730">
        <w:rPr>
          <w:rFonts w:eastAsia="Times New Roman"/>
          <w:lang w:val="en-US"/>
        </w:rPr>
        <w:instrText xml:space="preserve"> SEQ level0 \*arabic </w:instrText>
      </w:r>
      <w:r w:rsidRPr="00240730">
        <w:rPr>
          <w:rFonts w:eastAsia="Times New Roman"/>
          <w:lang w:val="en-US"/>
        </w:rPr>
        <w:fldChar w:fldCharType="separate"/>
      </w:r>
      <w:r w:rsidRPr="00240730" w:rsidR="00240730">
        <w:rPr>
          <w:rFonts w:eastAsia="Times New Roman"/>
          <w:noProof/>
          <w:lang w:val="en-US"/>
        </w:rPr>
        <w:t>118</w:t>
      </w:r>
      <w:r w:rsidRPr="00240730">
        <w:rPr>
          <w:rFonts w:eastAsia="Times New Roman"/>
          <w:lang w:val="en-US"/>
        </w:rPr>
        <w:fldChar w:fldCharType="end"/>
      </w:r>
      <w:r w:rsidRPr="00240730">
        <w:rPr>
          <w:rFonts w:eastAsia="Times New Roman"/>
          <w:lang w:val="en-US"/>
        </w:rPr>
        <w:t xml:space="preserve">.  It is true that the debtor OAO was incorporated </w:t>
      </w:r>
      <w:r w:rsidRPr="00240730">
        <w:t>under domestic law as a joint-stock entity with separate legal personality, which had the ability to own assets distinct from the property of its shareholders and ha</w:t>
      </w:r>
      <w:r w:rsidRPr="00240730" w:rsidR="0005656E">
        <w:t xml:space="preserve">d </w:t>
      </w:r>
      <w:r w:rsidRPr="00240730">
        <w:t xml:space="preserve">delegated management. While </w:t>
      </w:r>
      <w:r w:rsidRPr="00240730" w:rsidR="00666FC2">
        <w:t>such legal entities</w:t>
      </w:r>
      <w:r w:rsidRPr="00240730">
        <w:t xml:space="preserve"> enjoyed under domestic law a certain degree of legal and economic independence from the State, the Court considers that the OAO</w:t>
      </w:r>
      <w:r w:rsidRPr="00240730" w:rsidR="00240730">
        <w:t>’</w:t>
      </w:r>
      <w:r w:rsidRPr="00240730">
        <w:t xml:space="preserve">s assets in the present case were to a </w:t>
      </w:r>
      <w:r w:rsidRPr="00240730" w:rsidR="00666FC2">
        <w:t>decisive</w:t>
      </w:r>
      <w:r w:rsidRPr="00240730">
        <w:t xml:space="preserve"> extent controlled and managed by the State </w:t>
      </w:r>
      <w:r w:rsidRPr="00240730" w:rsidR="00666FC2">
        <w:t xml:space="preserve">at the material time </w:t>
      </w:r>
      <w:r w:rsidRPr="00240730">
        <w:t xml:space="preserve">(see </w:t>
      </w:r>
      <w:r w:rsidRPr="00240730">
        <w:rPr>
          <w:i/>
        </w:rPr>
        <w:t>Khachatryan</w:t>
      </w:r>
      <w:r w:rsidRPr="00240730">
        <w:t xml:space="preserve">, </w:t>
      </w:r>
      <w:r w:rsidRPr="00240730" w:rsidR="00FF7435">
        <w:t xml:space="preserve">cited above, </w:t>
      </w:r>
      <w:r w:rsidRPr="00240730">
        <w:t>§ 51).</w:t>
      </w:r>
    </w:p>
    <w:p w:rsidRPr="00240730" w:rsidR="00E2289C" w:rsidP="00240730" w:rsidRDefault="000958B8">
      <w:pPr>
        <w:pStyle w:val="ECHRPara"/>
      </w:pPr>
      <w:r w:rsidRPr="00240730">
        <w:fldChar w:fldCharType="begin"/>
      </w:r>
      <w:r w:rsidRPr="00240730">
        <w:instrText xml:space="preserve"> SEQ level0 \*arabic </w:instrText>
      </w:r>
      <w:r w:rsidRPr="00240730">
        <w:fldChar w:fldCharType="separate"/>
      </w:r>
      <w:r w:rsidRPr="00240730" w:rsidR="00240730">
        <w:rPr>
          <w:noProof/>
        </w:rPr>
        <w:t>119</w:t>
      </w:r>
      <w:r w:rsidRPr="00240730">
        <w:fldChar w:fldCharType="end"/>
      </w:r>
      <w:r w:rsidRPr="00240730">
        <w:t>.  </w:t>
      </w:r>
      <w:r w:rsidRPr="00240730" w:rsidR="0005656E">
        <w:t>The Court notes at the outset that</w:t>
      </w:r>
      <w:r w:rsidRPr="00240730">
        <w:t xml:space="preserve"> the OAO was formed in a specific procedure of replacing (substitution of</w:t>
      </w:r>
      <w:r w:rsidRPr="00240730" w:rsidR="00587584">
        <w:t>)</w:t>
      </w:r>
      <w:r w:rsidRPr="00240730">
        <w:t xml:space="preserve"> the debtor</w:t>
      </w:r>
      <w:r w:rsidRPr="00240730" w:rsidR="00240730">
        <w:t>’</w:t>
      </w:r>
      <w:r w:rsidRPr="00240730">
        <w:t>s assets on the basis of the debtor</w:t>
      </w:r>
      <w:r w:rsidRPr="00240730" w:rsidR="00240730">
        <w:t>’</w:t>
      </w:r>
      <w:r w:rsidRPr="00240730">
        <w:t xml:space="preserve">s property. Even though the decision to replace the assets was taken within the external </w:t>
      </w:r>
      <w:r w:rsidRPr="00240730" w:rsidR="0079724C">
        <w:t>administration</w:t>
      </w:r>
      <w:r w:rsidRPr="00240730">
        <w:t xml:space="preserve"> procedure, it is crucial that the State, as the owner of the property of </w:t>
      </w:r>
      <w:r w:rsidRPr="00240730" w:rsidR="00E47ECE">
        <w:t xml:space="preserve">the </w:t>
      </w:r>
      <w:r w:rsidRPr="00240730">
        <w:t>debtor unitary enterprise, was entitled to decide on replacing (substituting) the debtor</w:t>
      </w:r>
      <w:r w:rsidRPr="00240730" w:rsidR="00240730">
        <w:t>’</w:t>
      </w:r>
      <w:r w:rsidRPr="00240730">
        <w:t>s assets (see paragraphs </w:t>
      </w:r>
      <w:r w:rsidRPr="00240730" w:rsidR="00060BD6">
        <w:fldChar w:fldCharType="begin"/>
      </w:r>
      <w:r w:rsidRPr="00240730" w:rsidR="00060BD6">
        <w:instrText xml:space="preserve"> REF Letter28062005FederalAgencyGenlApproval \h </w:instrText>
      </w:r>
      <w:r w:rsidRPr="00240730" w:rsidR="00CB3D0E">
        <w:instrText xml:space="preserve"> \* MERGEFORMAT </w:instrText>
      </w:r>
      <w:r w:rsidRPr="00240730" w:rsidR="00060BD6">
        <w:fldChar w:fldCharType="separate"/>
      </w:r>
      <w:r w:rsidRPr="00240730" w:rsidR="00240730">
        <w:rPr>
          <w:noProof/>
        </w:rPr>
        <w:t>13</w:t>
      </w:r>
      <w:r w:rsidRPr="00240730" w:rsidR="00060BD6">
        <w:fldChar w:fldCharType="end"/>
      </w:r>
      <w:r w:rsidRPr="00240730" w:rsidR="00060BD6">
        <w:t xml:space="preserve"> and</w:t>
      </w:r>
      <w:r w:rsidRPr="00240730" w:rsidR="00E47ECE">
        <w:t xml:space="preserve"> </w:t>
      </w:r>
      <w:r w:rsidRPr="00240730" w:rsidR="00060BD6">
        <w:fldChar w:fldCharType="begin"/>
      </w:r>
      <w:r w:rsidRPr="00240730" w:rsidR="00060BD6">
        <w:instrText xml:space="preserve"> REF IAsection94p2 \h </w:instrText>
      </w:r>
      <w:r w:rsidRPr="00240730" w:rsidR="00CB3D0E">
        <w:instrText xml:space="preserve"> \* MERGEFORMAT </w:instrText>
      </w:r>
      <w:r w:rsidRPr="00240730" w:rsidR="00060BD6">
        <w:fldChar w:fldCharType="separate"/>
      </w:r>
      <w:r w:rsidRPr="00240730" w:rsidR="00240730">
        <w:rPr>
          <w:noProof/>
        </w:rPr>
        <w:t>71</w:t>
      </w:r>
      <w:r w:rsidRPr="00240730" w:rsidR="00060BD6">
        <w:fldChar w:fldCharType="end"/>
      </w:r>
      <w:r w:rsidRPr="00240730" w:rsidR="00265A2D">
        <w:t>, as well as the Court</w:t>
      </w:r>
      <w:r w:rsidRPr="00240730" w:rsidR="00240730">
        <w:t>’</w:t>
      </w:r>
      <w:r w:rsidRPr="00240730" w:rsidR="00265A2D">
        <w:t>s analysis in paragraph </w:t>
      </w:r>
      <w:r w:rsidRPr="00240730" w:rsidR="00265A2D">
        <w:fldChar w:fldCharType="begin"/>
      </w:r>
      <w:r w:rsidRPr="00240730" w:rsidR="00265A2D">
        <w:instrText xml:space="preserve"> REF FGUP_Subst_of_assets \h </w:instrText>
      </w:r>
      <w:r w:rsidRPr="00240730" w:rsidR="00CB3D0E">
        <w:instrText xml:space="preserve"> \* MERGEFORMAT </w:instrText>
      </w:r>
      <w:r w:rsidRPr="00240730" w:rsidR="00265A2D">
        <w:fldChar w:fldCharType="separate"/>
      </w:r>
      <w:r w:rsidRPr="00240730" w:rsidR="00240730">
        <w:rPr>
          <w:noProof/>
        </w:rPr>
        <w:t>97</w:t>
      </w:r>
      <w:r w:rsidRPr="00240730" w:rsidR="00265A2D">
        <w:fldChar w:fldCharType="end"/>
      </w:r>
      <w:r w:rsidRPr="00240730">
        <w:t xml:space="preserve"> above).</w:t>
      </w:r>
    </w:p>
    <w:p w:rsidRPr="00240730" w:rsidR="000958B8" w:rsidP="00240730" w:rsidRDefault="00E13986">
      <w:pPr>
        <w:pStyle w:val="ECHRPara"/>
        <w:rPr>
          <w:rFonts w:eastAsia="Times New Roman"/>
          <w:lang w:val="en-US"/>
        </w:rPr>
      </w:pPr>
      <w:r w:rsidRPr="00240730">
        <w:rPr>
          <w:rFonts w:eastAsia="Times New Roman"/>
          <w:lang w:val="en-US"/>
        </w:rPr>
        <w:fldChar w:fldCharType="begin"/>
      </w:r>
      <w:r w:rsidRPr="00240730">
        <w:rPr>
          <w:rFonts w:eastAsia="Times New Roman"/>
          <w:lang w:val="en-US"/>
        </w:rPr>
        <w:instrText xml:space="preserve"> SEQ level0 \*arabic </w:instrText>
      </w:r>
      <w:r w:rsidRPr="00240730">
        <w:rPr>
          <w:rFonts w:eastAsia="Times New Roman"/>
          <w:lang w:val="en-US"/>
        </w:rPr>
        <w:fldChar w:fldCharType="separate"/>
      </w:r>
      <w:r w:rsidRPr="00240730" w:rsidR="00240730">
        <w:rPr>
          <w:rFonts w:eastAsia="Times New Roman"/>
          <w:noProof/>
          <w:lang w:val="en-US"/>
        </w:rPr>
        <w:t>120</w:t>
      </w:r>
      <w:r w:rsidRPr="00240730">
        <w:rPr>
          <w:rFonts w:eastAsia="Times New Roman"/>
          <w:lang w:val="en-US"/>
        </w:rPr>
        <w:fldChar w:fldCharType="end"/>
      </w:r>
      <w:r w:rsidRPr="00240730">
        <w:rPr>
          <w:rFonts w:eastAsia="Times New Roman"/>
          <w:lang w:val="en-US"/>
        </w:rPr>
        <w:t>.  </w:t>
      </w:r>
      <w:r w:rsidRPr="00240730" w:rsidR="00666FC2">
        <w:rPr>
          <w:rFonts w:eastAsia="Times New Roman"/>
          <w:lang w:val="en-US"/>
        </w:rPr>
        <w:t>In</w:t>
      </w:r>
      <w:r w:rsidRPr="00240730" w:rsidR="000958B8">
        <w:rPr>
          <w:rFonts w:eastAsia="Times New Roman"/>
          <w:lang w:val="en-US"/>
        </w:rPr>
        <w:t xml:space="preserve"> a</w:t>
      </w:r>
      <w:r w:rsidRPr="00240730" w:rsidR="008E3C53">
        <w:rPr>
          <w:rFonts w:eastAsia="Times New Roman"/>
          <w:lang w:val="en-US"/>
        </w:rPr>
        <w:t xml:space="preserve">ccordance with domestic law, </w:t>
      </w:r>
      <w:r w:rsidRPr="00240730" w:rsidR="000958B8">
        <w:rPr>
          <w:rFonts w:eastAsia="Times New Roman"/>
          <w:lang w:val="en-US"/>
        </w:rPr>
        <w:t>the</w:t>
      </w:r>
      <w:r w:rsidRPr="00240730" w:rsidR="000958B8">
        <w:t xml:space="preserve"> debtor FGUP was the sole founder of the </w:t>
      </w:r>
      <w:r w:rsidRPr="00240730" w:rsidR="00265A2D">
        <w:t>joint-stock company</w:t>
      </w:r>
      <w:r w:rsidRPr="00240730" w:rsidR="000958B8">
        <w:t xml:space="preserve"> and </w:t>
      </w:r>
      <w:r w:rsidRPr="00240730" w:rsidR="000958B8">
        <w:rPr>
          <w:rFonts w:eastAsia="Times New Roman"/>
          <w:lang w:val="en-US"/>
        </w:rPr>
        <w:t>the entirety of the OAO</w:t>
      </w:r>
      <w:r w:rsidRPr="00240730" w:rsidR="00240730">
        <w:rPr>
          <w:rFonts w:eastAsia="Times New Roman"/>
          <w:lang w:val="en-US"/>
        </w:rPr>
        <w:t>’</w:t>
      </w:r>
      <w:r w:rsidRPr="00240730" w:rsidR="000958B8">
        <w:rPr>
          <w:rFonts w:eastAsia="Times New Roman"/>
          <w:lang w:val="en-US"/>
        </w:rPr>
        <w:t>s shares were to be initially transferred to the FGUP (see paragraph</w:t>
      </w:r>
      <w:r w:rsidRPr="00240730" w:rsidR="008E3C53">
        <w:rPr>
          <w:rFonts w:eastAsia="Times New Roman"/>
          <w:lang w:val="en-US"/>
        </w:rPr>
        <w:t xml:space="preserve"> </w:t>
      </w:r>
      <w:r w:rsidRPr="00240730" w:rsidR="009A014D">
        <w:rPr>
          <w:rFonts w:eastAsia="Times New Roman"/>
          <w:lang w:val="en-US"/>
        </w:rPr>
        <w:fldChar w:fldCharType="begin"/>
      </w:r>
      <w:r w:rsidRPr="00240730" w:rsidR="009A014D">
        <w:rPr>
          <w:rFonts w:eastAsia="Times New Roman"/>
          <w:lang w:val="en-US"/>
        </w:rPr>
        <w:instrText xml:space="preserve"> REF RulingSCC15122004DebtorOnlyShareholder \h  \* MERGEFORMAT </w:instrText>
      </w:r>
      <w:r w:rsidRPr="00240730" w:rsidR="009A014D">
        <w:rPr>
          <w:rFonts w:eastAsia="Times New Roman"/>
          <w:lang w:val="en-US"/>
        </w:rPr>
      </w:r>
      <w:r w:rsidRPr="00240730" w:rsidR="009A014D">
        <w:rPr>
          <w:rFonts w:eastAsia="Times New Roman"/>
          <w:lang w:val="en-US"/>
        </w:rPr>
        <w:fldChar w:fldCharType="separate"/>
      </w:r>
      <w:r w:rsidRPr="00240730" w:rsidR="00240730">
        <w:rPr>
          <w:noProof/>
        </w:rPr>
        <w:t>80</w:t>
      </w:r>
      <w:r w:rsidRPr="00240730" w:rsidR="009A014D">
        <w:rPr>
          <w:rFonts w:eastAsia="Times New Roman"/>
          <w:lang w:val="en-US"/>
        </w:rPr>
        <w:fldChar w:fldCharType="end"/>
      </w:r>
      <w:r w:rsidRPr="00240730" w:rsidR="009A014D">
        <w:rPr>
          <w:rFonts w:eastAsia="Times New Roman"/>
          <w:lang w:val="en-US"/>
        </w:rPr>
        <w:t xml:space="preserve"> </w:t>
      </w:r>
      <w:r w:rsidRPr="00240730" w:rsidR="000958B8">
        <w:rPr>
          <w:rFonts w:eastAsia="Times New Roman"/>
          <w:lang w:val="en-US"/>
        </w:rPr>
        <w:t>above). Nothing in the parties</w:t>
      </w:r>
      <w:r w:rsidRPr="00240730" w:rsidR="00240730">
        <w:rPr>
          <w:rFonts w:eastAsia="Times New Roman"/>
          <w:lang w:val="en-US"/>
        </w:rPr>
        <w:t>’</w:t>
      </w:r>
      <w:r w:rsidRPr="00240730" w:rsidR="000958B8">
        <w:rPr>
          <w:rFonts w:eastAsia="Times New Roman"/>
          <w:lang w:val="en-US"/>
        </w:rPr>
        <w:t xml:space="preserve"> submissions </w:t>
      </w:r>
      <w:r w:rsidRPr="00240730" w:rsidR="00CE7DF0">
        <w:rPr>
          <w:rFonts w:eastAsia="Times New Roman"/>
          <w:lang w:val="en-US"/>
        </w:rPr>
        <w:t>indicates</w:t>
      </w:r>
      <w:r w:rsidRPr="00240730" w:rsidR="000958B8">
        <w:rPr>
          <w:rFonts w:eastAsia="Times New Roman"/>
          <w:lang w:val="en-US"/>
        </w:rPr>
        <w:t xml:space="preserve"> that the shares were </w:t>
      </w:r>
      <w:r w:rsidRPr="00240730" w:rsidR="00E47ECE">
        <w:rPr>
          <w:rFonts w:eastAsia="Times New Roman"/>
          <w:lang w:val="en-US"/>
        </w:rPr>
        <w:t xml:space="preserve">subsequently </w:t>
      </w:r>
      <w:r w:rsidRPr="00240730" w:rsidR="000958B8">
        <w:rPr>
          <w:rFonts w:eastAsia="Times New Roman"/>
          <w:lang w:val="en-US"/>
        </w:rPr>
        <w:t xml:space="preserve">sold </w:t>
      </w:r>
      <w:r w:rsidRPr="00240730" w:rsidR="006176AA">
        <w:rPr>
          <w:rFonts w:eastAsia="Times New Roman"/>
          <w:lang w:val="en-US"/>
        </w:rPr>
        <w:t xml:space="preserve">on the </w:t>
      </w:r>
      <w:r w:rsidRPr="00240730" w:rsidR="000958B8">
        <w:rPr>
          <w:rFonts w:eastAsia="Times New Roman"/>
          <w:lang w:val="en-US"/>
        </w:rPr>
        <w:t>open market or otherwise</w:t>
      </w:r>
      <w:r w:rsidRPr="00240730" w:rsidR="00666FC2">
        <w:rPr>
          <w:rFonts w:eastAsia="Times New Roman"/>
          <w:lang w:val="en-US"/>
        </w:rPr>
        <w:t xml:space="preserve"> prior to the decision to annul the OAO</w:t>
      </w:r>
      <w:r w:rsidRPr="00240730" w:rsidR="00240730">
        <w:rPr>
          <w:rFonts w:eastAsia="Times New Roman"/>
          <w:lang w:val="en-US"/>
        </w:rPr>
        <w:t>’</w:t>
      </w:r>
      <w:r w:rsidRPr="00240730" w:rsidR="00666FC2">
        <w:rPr>
          <w:rFonts w:eastAsia="Times New Roman"/>
          <w:lang w:val="en-US"/>
        </w:rPr>
        <w:t>s creation</w:t>
      </w:r>
      <w:r w:rsidRPr="00240730" w:rsidR="00060BD6">
        <w:rPr>
          <w:rFonts w:eastAsia="Times New Roman"/>
          <w:lang w:val="en-US"/>
        </w:rPr>
        <w:t xml:space="preserve">, and it </w:t>
      </w:r>
      <w:r w:rsidRPr="00240730" w:rsidR="00666FC2">
        <w:rPr>
          <w:rFonts w:eastAsia="Times New Roman"/>
          <w:lang w:val="en-US"/>
        </w:rPr>
        <w:t xml:space="preserve">appears </w:t>
      </w:r>
      <w:r w:rsidRPr="00240730" w:rsidR="00060BD6">
        <w:rPr>
          <w:rFonts w:eastAsia="Times New Roman"/>
          <w:lang w:val="en-US"/>
        </w:rPr>
        <w:t xml:space="preserve">accordingly </w:t>
      </w:r>
      <w:r w:rsidRPr="00240730" w:rsidR="00666FC2">
        <w:rPr>
          <w:rFonts w:eastAsia="Times New Roman"/>
          <w:lang w:val="en-US"/>
        </w:rPr>
        <w:t xml:space="preserve">that the </w:t>
      </w:r>
      <w:r w:rsidRPr="00240730" w:rsidR="00F900CA">
        <w:rPr>
          <w:rFonts w:eastAsia="Times New Roman"/>
          <w:lang w:val="en-US"/>
        </w:rPr>
        <w:t>substitution of assets procedure has not been completed</w:t>
      </w:r>
      <w:r w:rsidRPr="00240730" w:rsidR="00CD101F">
        <w:rPr>
          <w:rFonts w:eastAsia="Times New Roman"/>
          <w:lang w:val="en-US"/>
        </w:rPr>
        <w:t>.</w:t>
      </w:r>
      <w:r w:rsidRPr="00240730">
        <w:rPr>
          <w:rFonts w:eastAsia="Times New Roman"/>
          <w:lang w:val="en-US"/>
        </w:rPr>
        <w:t xml:space="preserve"> </w:t>
      </w:r>
      <w:r w:rsidRPr="00240730">
        <w:t>Further</w:t>
      </w:r>
      <w:r w:rsidRPr="00240730" w:rsidR="006176AA">
        <w:t>more</w:t>
      </w:r>
      <w:r w:rsidRPr="00240730">
        <w:t>, no</w:t>
      </w:r>
      <w:r w:rsidRPr="00240730" w:rsidR="000958B8">
        <w:t xml:space="preserve"> information on </w:t>
      </w:r>
      <w:r w:rsidRPr="00240730" w:rsidR="000958B8">
        <w:rPr>
          <w:rFonts w:eastAsia="Times New Roman"/>
          <w:lang w:val="en-US"/>
        </w:rPr>
        <w:t>the</w:t>
      </w:r>
      <w:r w:rsidRPr="00240730" w:rsidR="000958B8">
        <w:t xml:space="preserve"> OAO</w:t>
      </w:r>
      <w:r w:rsidRPr="00240730" w:rsidR="00240730">
        <w:t>’</w:t>
      </w:r>
      <w:r w:rsidRPr="00240730" w:rsidR="000958B8">
        <w:t xml:space="preserve">s pursuit of </w:t>
      </w:r>
      <w:r w:rsidRPr="00240730" w:rsidR="00A75D30">
        <w:t xml:space="preserve">independent </w:t>
      </w:r>
      <w:r w:rsidRPr="00240730" w:rsidR="000958B8">
        <w:t xml:space="preserve">entrepreneurial activity </w:t>
      </w:r>
      <w:r w:rsidRPr="00240730" w:rsidR="00CD101F">
        <w:t xml:space="preserve">at the material time </w:t>
      </w:r>
      <w:r w:rsidRPr="00240730" w:rsidR="000958B8">
        <w:t xml:space="preserve">was submitted by the parties. </w:t>
      </w:r>
      <w:r w:rsidRPr="00240730" w:rsidR="00060BD6">
        <w:t xml:space="preserve">Indeed, as </w:t>
      </w:r>
      <w:r w:rsidRPr="00240730" w:rsidR="00A75D30">
        <w:t xml:space="preserve">early as in </w:t>
      </w:r>
      <w:r w:rsidRPr="00240730" w:rsidR="000958B8">
        <w:rPr>
          <w:rFonts w:eastAsia="Times New Roman"/>
          <w:lang w:val="en-US"/>
        </w:rPr>
        <w:t>April 2008, that is, several months before the court orders in the applicants</w:t>
      </w:r>
      <w:r w:rsidRPr="00240730" w:rsidR="00240730">
        <w:rPr>
          <w:rFonts w:eastAsia="Times New Roman"/>
          <w:lang w:val="en-US"/>
        </w:rPr>
        <w:t>’</w:t>
      </w:r>
      <w:r w:rsidRPr="00240730" w:rsidR="000958B8">
        <w:rPr>
          <w:rFonts w:eastAsia="Times New Roman"/>
          <w:lang w:val="en-US"/>
        </w:rPr>
        <w:t xml:space="preserve"> </w:t>
      </w:r>
      <w:proofErr w:type="spellStart"/>
      <w:r w:rsidRPr="00240730" w:rsidR="000958B8">
        <w:rPr>
          <w:rFonts w:eastAsia="Times New Roman"/>
          <w:lang w:val="en-US"/>
        </w:rPr>
        <w:t>favour</w:t>
      </w:r>
      <w:proofErr w:type="spellEnd"/>
      <w:r w:rsidRPr="00240730" w:rsidR="000958B8">
        <w:rPr>
          <w:rFonts w:eastAsia="Times New Roman"/>
          <w:lang w:val="en-US"/>
        </w:rPr>
        <w:t>, the domestic court in the final instance had declared invalid the decision to create the OAO pursuant to the State authorities</w:t>
      </w:r>
      <w:r w:rsidRPr="00240730" w:rsidR="00240730">
        <w:rPr>
          <w:rFonts w:eastAsia="Times New Roman"/>
          <w:lang w:val="en-US"/>
        </w:rPr>
        <w:t>’</w:t>
      </w:r>
      <w:r w:rsidRPr="00240730" w:rsidR="000958B8">
        <w:rPr>
          <w:rFonts w:eastAsia="Times New Roman"/>
          <w:lang w:val="en-US"/>
        </w:rPr>
        <w:t xml:space="preserve"> court action. The </w:t>
      </w:r>
      <w:r w:rsidRPr="00240730" w:rsidR="00517743">
        <w:rPr>
          <w:rFonts w:eastAsia="Times New Roman"/>
          <w:lang w:val="en-US"/>
        </w:rPr>
        <w:t xml:space="preserve">Court can only discern from the documents submitted by the parties that the </w:t>
      </w:r>
      <w:r w:rsidRPr="00240730" w:rsidR="000958B8">
        <w:rPr>
          <w:rFonts w:eastAsia="Times New Roman"/>
          <w:lang w:val="en-US"/>
        </w:rPr>
        <w:t>OAO was required to return all assets to the FGUP</w:t>
      </w:r>
      <w:r w:rsidRPr="00240730" w:rsidR="009A014D">
        <w:rPr>
          <w:rFonts w:eastAsia="Times New Roman"/>
          <w:lang w:val="en-US"/>
        </w:rPr>
        <w:t xml:space="preserve"> and was proceeding with the transfer</w:t>
      </w:r>
      <w:r w:rsidRPr="00240730" w:rsidR="00CD101F">
        <w:rPr>
          <w:rFonts w:eastAsia="Times New Roman"/>
          <w:lang w:val="en-US"/>
        </w:rPr>
        <w:t xml:space="preserve"> at the material time</w:t>
      </w:r>
      <w:r w:rsidRPr="00240730" w:rsidR="009A014D">
        <w:rPr>
          <w:rFonts w:eastAsia="Times New Roman"/>
          <w:lang w:val="en-US"/>
        </w:rPr>
        <w:t>, having</w:t>
      </w:r>
      <w:r w:rsidRPr="00240730" w:rsidR="000958B8">
        <w:rPr>
          <w:bCs/>
        </w:rPr>
        <w:t xml:space="preserve"> </w:t>
      </w:r>
      <w:r w:rsidRPr="00240730" w:rsidR="009A014D">
        <w:rPr>
          <w:bCs/>
        </w:rPr>
        <w:t>“</w:t>
      </w:r>
      <w:r w:rsidRPr="00240730" w:rsidR="000958B8">
        <w:rPr>
          <w:bCs/>
        </w:rPr>
        <w:t>discontinued production activities</w:t>
      </w:r>
      <w:r w:rsidRPr="00240730" w:rsidR="009A014D">
        <w:rPr>
          <w:bCs/>
        </w:rPr>
        <w:t>”</w:t>
      </w:r>
      <w:r w:rsidRPr="00240730" w:rsidR="000958B8">
        <w:rPr>
          <w:bCs/>
        </w:rPr>
        <w:t xml:space="preserve"> (see paragraph </w:t>
      </w:r>
      <w:r w:rsidRPr="00240730" w:rsidR="00713DF6">
        <w:rPr>
          <w:bCs/>
        </w:rPr>
        <w:fldChar w:fldCharType="begin"/>
      </w:r>
      <w:r w:rsidRPr="00240730" w:rsidR="00713DF6">
        <w:rPr>
          <w:bCs/>
        </w:rPr>
        <w:instrText xml:space="preserve"> REF OAOinsolvency13022009CommCourt \h </w:instrText>
      </w:r>
      <w:r w:rsidRPr="00240730" w:rsidR="00060BD6">
        <w:rPr>
          <w:bCs/>
        </w:rPr>
        <w:instrText xml:space="preserve"> \* MERGEFORMAT </w:instrText>
      </w:r>
      <w:r w:rsidRPr="00240730" w:rsidR="00713DF6">
        <w:rPr>
          <w:bCs/>
        </w:rPr>
      </w:r>
      <w:r w:rsidRPr="00240730" w:rsidR="00713DF6">
        <w:rPr>
          <w:bCs/>
        </w:rPr>
        <w:fldChar w:fldCharType="separate"/>
      </w:r>
      <w:r w:rsidRPr="00240730" w:rsidR="00240730">
        <w:rPr>
          <w:noProof/>
        </w:rPr>
        <w:t>35</w:t>
      </w:r>
      <w:r w:rsidRPr="00240730" w:rsidR="00713DF6">
        <w:rPr>
          <w:bCs/>
        </w:rPr>
        <w:fldChar w:fldCharType="end"/>
      </w:r>
      <w:r w:rsidRPr="00240730" w:rsidR="00713DF6">
        <w:rPr>
          <w:bCs/>
        </w:rPr>
        <w:t xml:space="preserve"> </w:t>
      </w:r>
      <w:r w:rsidRPr="00240730" w:rsidR="000958B8">
        <w:rPr>
          <w:bCs/>
        </w:rPr>
        <w:t>above).</w:t>
      </w:r>
    </w:p>
    <w:p w:rsidRPr="00240730" w:rsidR="00E2289C" w:rsidP="00240730" w:rsidRDefault="000958B8">
      <w:pPr>
        <w:pStyle w:val="ECHRPara"/>
        <w:rPr>
          <w:bCs/>
        </w:rPr>
      </w:pPr>
      <w:r w:rsidRPr="00240730">
        <w:rPr>
          <w:bCs/>
        </w:rPr>
        <w:fldChar w:fldCharType="begin"/>
      </w:r>
      <w:r w:rsidRPr="00240730">
        <w:rPr>
          <w:bCs/>
        </w:rPr>
        <w:instrText xml:space="preserve"> SEQ level0 \*arabic </w:instrText>
      </w:r>
      <w:r w:rsidRPr="00240730">
        <w:rPr>
          <w:bCs/>
        </w:rPr>
        <w:fldChar w:fldCharType="separate"/>
      </w:r>
      <w:r w:rsidRPr="00240730" w:rsidR="00240730">
        <w:rPr>
          <w:bCs/>
          <w:noProof/>
        </w:rPr>
        <w:t>121</w:t>
      </w:r>
      <w:r w:rsidRPr="00240730">
        <w:rPr>
          <w:bCs/>
        </w:rPr>
        <w:fldChar w:fldCharType="end"/>
      </w:r>
      <w:r w:rsidRPr="00240730">
        <w:rPr>
          <w:bCs/>
        </w:rPr>
        <w:t>.  However, while the assets were returned under the FGUP</w:t>
      </w:r>
      <w:r w:rsidRPr="00240730" w:rsidR="00240730">
        <w:rPr>
          <w:bCs/>
        </w:rPr>
        <w:t>’</w:t>
      </w:r>
      <w:r w:rsidRPr="00240730">
        <w:rPr>
          <w:bCs/>
        </w:rPr>
        <w:t>s economic control – and, accordingly, State ownership – without delay, the debt accumulated in respect of the unpaid salaries remained in the OAO created as a result of an invalid transaction</w:t>
      </w:r>
      <w:r w:rsidRPr="00240730">
        <w:rPr>
          <w:bCs/>
          <w:color w:val="0072BC" w:themeColor="background1"/>
        </w:rPr>
        <w:t xml:space="preserve">, </w:t>
      </w:r>
      <w:r w:rsidRPr="00240730">
        <w:rPr>
          <w:bCs/>
        </w:rPr>
        <w:t xml:space="preserve">stripped of all property as a result of the order for the return of the assets and awaiting inevitable liquidation at the material time (see, </w:t>
      </w:r>
      <w:r w:rsidRPr="00240730">
        <w:rPr>
          <w:bCs/>
          <w:i/>
        </w:rPr>
        <w:t>mutatis mutandis</w:t>
      </w:r>
      <w:r w:rsidRPr="00240730">
        <w:rPr>
          <w:bCs/>
        </w:rPr>
        <w:t xml:space="preserve">, </w:t>
      </w:r>
      <w:proofErr w:type="spellStart"/>
      <w:r w:rsidRPr="00240730">
        <w:rPr>
          <w:bCs/>
          <w:i/>
        </w:rPr>
        <w:t>Liseytseva</w:t>
      </w:r>
      <w:proofErr w:type="spellEnd"/>
      <w:r w:rsidRPr="00240730">
        <w:rPr>
          <w:bCs/>
          <w:i/>
        </w:rPr>
        <w:t xml:space="preserve"> and </w:t>
      </w:r>
      <w:proofErr w:type="spellStart"/>
      <w:r w:rsidRPr="00240730">
        <w:rPr>
          <w:bCs/>
          <w:i/>
        </w:rPr>
        <w:t>Maslov</w:t>
      </w:r>
      <w:proofErr w:type="spellEnd"/>
      <w:r w:rsidRPr="00240730">
        <w:rPr>
          <w:bCs/>
        </w:rPr>
        <w:t>, cited above, §§ 211 and 217).</w:t>
      </w:r>
    </w:p>
    <w:p w:rsidRPr="00240730" w:rsidR="000958B8" w:rsidP="00240730" w:rsidRDefault="000958B8">
      <w:pPr>
        <w:pStyle w:val="ECHRPara"/>
      </w:pPr>
      <w:r w:rsidRPr="00240730">
        <w:rPr>
          <w:rFonts w:eastAsia="Times New Roman"/>
          <w:lang w:val="en-US"/>
        </w:rPr>
        <w:fldChar w:fldCharType="begin"/>
      </w:r>
      <w:r w:rsidRPr="00240730">
        <w:rPr>
          <w:rFonts w:eastAsia="Times New Roman"/>
          <w:lang w:val="en-US"/>
        </w:rPr>
        <w:instrText xml:space="preserve"> SEQ level0 \*arabic </w:instrText>
      </w:r>
      <w:r w:rsidRPr="00240730">
        <w:rPr>
          <w:rFonts w:eastAsia="Times New Roman"/>
          <w:lang w:val="en-US"/>
        </w:rPr>
        <w:fldChar w:fldCharType="separate"/>
      </w:r>
      <w:r w:rsidRPr="00240730" w:rsidR="00240730">
        <w:rPr>
          <w:rFonts w:eastAsia="Times New Roman"/>
          <w:noProof/>
          <w:lang w:val="en-US"/>
        </w:rPr>
        <w:t>122</w:t>
      </w:r>
      <w:r w:rsidRPr="00240730">
        <w:rPr>
          <w:rFonts w:eastAsia="Times New Roman"/>
          <w:lang w:val="en-US"/>
        </w:rPr>
        <w:fldChar w:fldCharType="end"/>
      </w:r>
      <w:r w:rsidRPr="00240730">
        <w:rPr>
          <w:rFonts w:eastAsia="Times New Roman"/>
          <w:lang w:val="en-US"/>
        </w:rPr>
        <w:t>.  Further</w:t>
      </w:r>
      <w:r w:rsidRPr="00240730" w:rsidR="006176AA">
        <w:rPr>
          <w:rFonts w:eastAsia="Times New Roman"/>
          <w:lang w:val="en-US"/>
        </w:rPr>
        <w:t>more</w:t>
      </w:r>
      <w:r w:rsidRPr="00240730">
        <w:rPr>
          <w:rFonts w:eastAsia="Times New Roman"/>
          <w:lang w:val="en-US"/>
        </w:rPr>
        <w:t xml:space="preserve">, the FGUP, </w:t>
      </w:r>
      <w:r w:rsidRPr="00240730">
        <w:t>as the OAO</w:t>
      </w:r>
      <w:r w:rsidRPr="00240730" w:rsidR="00240730">
        <w:t>’</w:t>
      </w:r>
      <w:r w:rsidRPr="00240730">
        <w:t>s only founder</w:t>
      </w:r>
      <w:r w:rsidRPr="00240730">
        <w:rPr>
          <w:bCs/>
        </w:rPr>
        <w:t xml:space="preserve"> – </w:t>
      </w:r>
      <w:r w:rsidRPr="00240730">
        <w:t>and, consequently, the State (see the findings in paragraph </w:t>
      </w:r>
      <w:r w:rsidRPr="00240730" w:rsidR="00507951">
        <w:fldChar w:fldCharType="begin"/>
      </w:r>
      <w:r w:rsidRPr="00240730" w:rsidR="00507951">
        <w:instrText xml:space="preserve"> REF StateResponsibilityFGUP_conclusion \h </w:instrText>
      </w:r>
      <w:r w:rsidRPr="00240730" w:rsidR="00CB3D0E">
        <w:instrText xml:space="preserve"> \* MERGEFORMAT </w:instrText>
      </w:r>
      <w:r w:rsidRPr="00240730" w:rsidR="00507951">
        <w:fldChar w:fldCharType="separate"/>
      </w:r>
      <w:r w:rsidRPr="00240730" w:rsidR="00240730">
        <w:rPr>
          <w:noProof/>
        </w:rPr>
        <w:t>100</w:t>
      </w:r>
      <w:r w:rsidRPr="00240730" w:rsidR="00507951">
        <w:fldChar w:fldCharType="end"/>
      </w:r>
      <w:r w:rsidRPr="00240730" w:rsidR="009A014D">
        <w:t xml:space="preserve"> </w:t>
      </w:r>
      <w:r w:rsidRPr="00240730">
        <w:t xml:space="preserve">above) </w:t>
      </w:r>
      <w:r w:rsidRPr="00240730">
        <w:rPr>
          <w:bCs/>
        </w:rPr>
        <w:t xml:space="preserve">– </w:t>
      </w:r>
      <w:r w:rsidRPr="00240730">
        <w:t xml:space="preserve">took the decision to liquidate the </w:t>
      </w:r>
      <w:r w:rsidRPr="00240730" w:rsidR="00CD101F">
        <w:t>OAO</w:t>
      </w:r>
      <w:r w:rsidRPr="00240730">
        <w:t xml:space="preserve"> (see paragraph </w:t>
      </w:r>
      <w:r w:rsidRPr="00240730" w:rsidR="00D9265A">
        <w:fldChar w:fldCharType="begin"/>
      </w:r>
      <w:r w:rsidRPr="00240730" w:rsidR="00D9265A">
        <w:instrText xml:space="preserve"> REF DecisionToLiquidateOAO \h </w:instrText>
      </w:r>
      <w:r w:rsidRPr="00240730" w:rsidR="00CB3D0E">
        <w:instrText xml:space="preserve"> \* MERGEFORMAT </w:instrText>
      </w:r>
      <w:r w:rsidRPr="00240730" w:rsidR="00D9265A">
        <w:fldChar w:fldCharType="separate"/>
      </w:r>
      <w:r w:rsidRPr="00240730" w:rsidR="00240730">
        <w:rPr>
          <w:noProof/>
        </w:rPr>
        <w:t>34</w:t>
      </w:r>
      <w:r w:rsidRPr="00240730" w:rsidR="00D9265A">
        <w:fldChar w:fldCharType="end"/>
      </w:r>
      <w:r w:rsidRPr="00240730">
        <w:t xml:space="preserve"> above), which no longer had any assets but continued to accumulate debts towards its creditors, including the six applicants (see, </w:t>
      </w:r>
      <w:r w:rsidRPr="00240730">
        <w:rPr>
          <w:i/>
        </w:rPr>
        <w:t>mutatis mutandis</w:t>
      </w:r>
      <w:r w:rsidRPr="00240730">
        <w:t xml:space="preserve">, </w:t>
      </w:r>
      <w:proofErr w:type="spellStart"/>
      <w:r w:rsidRPr="00240730">
        <w:rPr>
          <w:i/>
        </w:rPr>
        <w:t>Liseytseva</w:t>
      </w:r>
      <w:proofErr w:type="spellEnd"/>
      <w:r w:rsidRPr="00240730">
        <w:rPr>
          <w:i/>
        </w:rPr>
        <w:t xml:space="preserve"> and </w:t>
      </w:r>
      <w:proofErr w:type="spellStart"/>
      <w:r w:rsidRPr="00240730">
        <w:rPr>
          <w:i/>
        </w:rPr>
        <w:t>Maslov</w:t>
      </w:r>
      <w:proofErr w:type="spellEnd"/>
      <w:r w:rsidRPr="00240730">
        <w:t>, cited above, § 211).</w:t>
      </w:r>
      <w:r w:rsidRPr="00240730">
        <w:rPr>
          <w:bCs/>
        </w:rPr>
        <w:t xml:space="preserve"> </w:t>
      </w:r>
      <w:r w:rsidRPr="00240730">
        <w:t xml:space="preserve">The OAO proved </w:t>
      </w:r>
      <w:r w:rsidRPr="00240730" w:rsidR="00D6621D">
        <w:t>unable to satisfy the applicant</w:t>
      </w:r>
      <w:r w:rsidRPr="00240730">
        <w:t>s</w:t>
      </w:r>
      <w:r w:rsidRPr="00240730" w:rsidR="00240730">
        <w:t>’</w:t>
      </w:r>
      <w:r w:rsidRPr="00240730">
        <w:t xml:space="preserve"> claims in the insolvency pr</w:t>
      </w:r>
      <w:r w:rsidRPr="00240730" w:rsidR="00D9265A">
        <w:t>oceedings, for lack of assets</w:t>
      </w:r>
      <w:r w:rsidRPr="00240730">
        <w:t>.</w:t>
      </w:r>
    </w:p>
    <w:p w:rsidRPr="00240730" w:rsidR="000958B8" w:rsidP="00240730" w:rsidRDefault="000958B8">
      <w:pPr>
        <w:pStyle w:val="ECHRPara"/>
        <w:rPr>
          <w:rFonts w:eastAsia="Times New Roman"/>
          <w:lang w:val="en-US"/>
        </w:rPr>
      </w:pPr>
      <w:r w:rsidRPr="00240730">
        <w:rPr>
          <w:bCs/>
        </w:rPr>
        <w:fldChar w:fldCharType="begin"/>
      </w:r>
      <w:r w:rsidRPr="00240730">
        <w:rPr>
          <w:bCs/>
        </w:rPr>
        <w:instrText xml:space="preserve"> SEQ level0 \*arabic </w:instrText>
      </w:r>
      <w:r w:rsidRPr="00240730">
        <w:rPr>
          <w:bCs/>
        </w:rPr>
        <w:fldChar w:fldCharType="separate"/>
      </w:r>
      <w:r w:rsidRPr="00240730" w:rsidR="00240730">
        <w:rPr>
          <w:bCs/>
          <w:noProof/>
        </w:rPr>
        <w:t>123</w:t>
      </w:r>
      <w:r w:rsidRPr="00240730">
        <w:rPr>
          <w:bCs/>
        </w:rPr>
        <w:fldChar w:fldCharType="end"/>
      </w:r>
      <w:r w:rsidRPr="00240730">
        <w:rPr>
          <w:bCs/>
        </w:rPr>
        <w:t>.  </w:t>
      </w:r>
      <w:r w:rsidRPr="00240730" w:rsidR="00060BD6">
        <w:rPr>
          <w:bCs/>
        </w:rPr>
        <w:t>Despite the above</w:t>
      </w:r>
      <w:r w:rsidRPr="00240730" w:rsidR="00E13986">
        <w:rPr>
          <w:bCs/>
        </w:rPr>
        <w:t>,</w:t>
      </w:r>
      <w:r w:rsidRPr="00240730">
        <w:rPr>
          <w:bCs/>
        </w:rPr>
        <w:t xml:space="preserve"> the </w:t>
      </w:r>
      <w:r w:rsidRPr="00240730" w:rsidR="009A014D">
        <w:rPr>
          <w:bCs/>
        </w:rPr>
        <w:t>FGUP</w:t>
      </w:r>
      <w:r w:rsidRPr="00240730" w:rsidR="00E47ECE">
        <w:rPr>
          <w:bCs/>
        </w:rPr>
        <w:t xml:space="preserve"> </w:t>
      </w:r>
      <w:r w:rsidRPr="00240730" w:rsidR="00E13986">
        <w:rPr>
          <w:bCs/>
        </w:rPr>
        <w:t xml:space="preserve">had never accepted </w:t>
      </w:r>
      <w:r w:rsidRPr="00240730">
        <w:rPr>
          <w:bCs/>
        </w:rPr>
        <w:t>responsibility for the OAO</w:t>
      </w:r>
      <w:r w:rsidRPr="00240730" w:rsidR="00240730">
        <w:rPr>
          <w:bCs/>
        </w:rPr>
        <w:t>’</w:t>
      </w:r>
      <w:r w:rsidRPr="00240730">
        <w:rPr>
          <w:bCs/>
        </w:rPr>
        <w:t>s debts towards its ex-employees</w:t>
      </w:r>
      <w:r w:rsidRPr="00240730" w:rsidR="00C222DB">
        <w:rPr>
          <w:bCs/>
        </w:rPr>
        <w:t>. The domestic courts rejected the applicants</w:t>
      </w:r>
      <w:r w:rsidRPr="00240730" w:rsidR="00240730">
        <w:rPr>
          <w:bCs/>
        </w:rPr>
        <w:t>’</w:t>
      </w:r>
      <w:r w:rsidRPr="00240730" w:rsidR="00C222DB">
        <w:rPr>
          <w:bCs/>
        </w:rPr>
        <w:t xml:space="preserve"> request for the FGUP to substitute the debtor, </w:t>
      </w:r>
      <w:r w:rsidRPr="00240730" w:rsidR="006176AA">
        <w:rPr>
          <w:bCs/>
        </w:rPr>
        <w:t>finding</w:t>
      </w:r>
      <w:r w:rsidRPr="00240730" w:rsidR="00C222DB">
        <w:rPr>
          <w:bCs/>
        </w:rPr>
        <w:t xml:space="preserve"> that the transfer of assets had not automatically resulted in the obligations being transferred</w:t>
      </w:r>
      <w:r w:rsidRPr="00240730" w:rsidR="00E13986">
        <w:rPr>
          <w:bCs/>
        </w:rPr>
        <w:t xml:space="preserve"> and </w:t>
      </w:r>
      <w:r w:rsidRPr="00240730" w:rsidR="006176AA">
        <w:rPr>
          <w:bCs/>
        </w:rPr>
        <w:t xml:space="preserve">had </w:t>
      </w:r>
      <w:r w:rsidRPr="00240730" w:rsidR="00E13986">
        <w:rPr>
          <w:bCs/>
        </w:rPr>
        <w:t>not give</w:t>
      </w:r>
      <w:r w:rsidRPr="00240730" w:rsidR="006176AA">
        <w:rPr>
          <w:bCs/>
        </w:rPr>
        <w:t>n</w:t>
      </w:r>
      <w:r w:rsidRPr="00240730" w:rsidR="00E13986">
        <w:rPr>
          <w:bCs/>
        </w:rPr>
        <w:t xml:space="preserve"> rise to a singular succession</w:t>
      </w:r>
      <w:r w:rsidRPr="00240730" w:rsidR="00C222DB">
        <w:rPr>
          <w:bCs/>
        </w:rPr>
        <w:t xml:space="preserve"> </w:t>
      </w:r>
      <w:r w:rsidRPr="00240730" w:rsidR="009A014D">
        <w:rPr>
          <w:bCs/>
        </w:rPr>
        <w:t>(see paragraph </w:t>
      </w:r>
      <w:r w:rsidRPr="00240730" w:rsidR="00C222DB">
        <w:rPr>
          <w:bCs/>
        </w:rPr>
        <w:fldChar w:fldCharType="begin"/>
      </w:r>
      <w:r w:rsidRPr="00240730" w:rsidR="00C222DB">
        <w:rPr>
          <w:bCs/>
        </w:rPr>
        <w:instrText xml:space="preserve"> REF SubstituteDebtor2instRefused \h </w:instrText>
      </w:r>
      <w:r w:rsidRPr="00240730" w:rsidR="000012CE">
        <w:rPr>
          <w:bCs/>
        </w:rPr>
        <w:instrText xml:space="preserve"> \* MERGEFORMAT </w:instrText>
      </w:r>
      <w:r w:rsidRPr="00240730" w:rsidR="00C222DB">
        <w:rPr>
          <w:bCs/>
        </w:rPr>
      </w:r>
      <w:r w:rsidRPr="00240730" w:rsidR="00C222DB">
        <w:rPr>
          <w:bCs/>
        </w:rPr>
        <w:fldChar w:fldCharType="separate"/>
      </w:r>
      <w:r w:rsidRPr="00240730" w:rsidR="00240730">
        <w:rPr>
          <w:bCs/>
          <w:noProof/>
        </w:rPr>
        <w:t>32</w:t>
      </w:r>
      <w:r w:rsidRPr="00240730" w:rsidR="00C222DB">
        <w:rPr>
          <w:bCs/>
        </w:rPr>
        <w:fldChar w:fldCharType="end"/>
      </w:r>
      <w:r w:rsidRPr="00240730" w:rsidR="009A014D">
        <w:rPr>
          <w:bCs/>
        </w:rPr>
        <w:t xml:space="preserve"> above)</w:t>
      </w:r>
      <w:r w:rsidRPr="00240730" w:rsidR="00C222DB">
        <w:rPr>
          <w:bCs/>
        </w:rPr>
        <w:t xml:space="preserve">. </w:t>
      </w:r>
      <w:r w:rsidRPr="00240730" w:rsidR="00507951">
        <w:rPr>
          <w:bCs/>
        </w:rPr>
        <w:t>At the same time</w:t>
      </w:r>
      <w:r w:rsidRPr="00240730" w:rsidR="00C222DB">
        <w:rPr>
          <w:bCs/>
        </w:rPr>
        <w:t xml:space="preserve">, the Court cannot </w:t>
      </w:r>
      <w:r w:rsidRPr="00240730" w:rsidR="00D9265A">
        <w:rPr>
          <w:bCs/>
        </w:rPr>
        <w:t>but note that</w:t>
      </w:r>
      <w:r w:rsidRPr="00240730">
        <w:rPr>
          <w:bCs/>
        </w:rPr>
        <w:t xml:space="preserve"> the argument about the lack of any link between the FGUP and the seven applicants during their “employment” with the OAO was considered and rejected by the domestic courts in </w:t>
      </w:r>
      <w:r w:rsidRPr="00240730" w:rsidR="00D9265A">
        <w:rPr>
          <w:bCs/>
        </w:rPr>
        <w:t>a parallel set of</w:t>
      </w:r>
      <w:r w:rsidRPr="00240730">
        <w:rPr>
          <w:bCs/>
        </w:rPr>
        <w:t xml:space="preserve"> proceedings against the FGUP concerning reinstatement of </w:t>
      </w:r>
      <w:r w:rsidRPr="00240730" w:rsidR="006176AA">
        <w:rPr>
          <w:bCs/>
        </w:rPr>
        <w:t xml:space="preserve">their </w:t>
      </w:r>
      <w:r w:rsidRPr="00240730">
        <w:rPr>
          <w:bCs/>
        </w:rPr>
        <w:t>employment and unpaid wages (see paragraphs </w:t>
      </w:r>
      <w:r w:rsidRPr="00240730" w:rsidR="00D9265A">
        <w:rPr>
          <w:bCs/>
        </w:rPr>
        <w:fldChar w:fldCharType="begin"/>
      </w:r>
      <w:r w:rsidRPr="00240730" w:rsidR="00D9265A">
        <w:rPr>
          <w:bCs/>
        </w:rPr>
        <w:instrText xml:space="preserve"> REF SmirnovJudgmentFGUPliable20112008 \h </w:instrText>
      </w:r>
      <w:r w:rsidRPr="00240730" w:rsidR="000012CE">
        <w:rPr>
          <w:bCs/>
        </w:rPr>
        <w:instrText xml:space="preserve"> \* MERGEFORMAT </w:instrText>
      </w:r>
      <w:r w:rsidRPr="00240730" w:rsidR="00D9265A">
        <w:rPr>
          <w:bCs/>
        </w:rPr>
      </w:r>
      <w:r w:rsidRPr="00240730" w:rsidR="00D9265A">
        <w:rPr>
          <w:bCs/>
        </w:rPr>
        <w:fldChar w:fldCharType="separate"/>
      </w:r>
      <w:r w:rsidRPr="00240730" w:rsidR="00240730">
        <w:rPr>
          <w:noProof/>
        </w:rPr>
        <w:t>48</w:t>
      </w:r>
      <w:r w:rsidRPr="00240730" w:rsidR="00D9265A">
        <w:rPr>
          <w:bCs/>
        </w:rPr>
        <w:fldChar w:fldCharType="end"/>
      </w:r>
      <w:r w:rsidRPr="00240730" w:rsidR="00D9265A">
        <w:rPr>
          <w:bCs/>
        </w:rPr>
        <w:t xml:space="preserve">, </w:t>
      </w:r>
      <w:r w:rsidRPr="00240730" w:rsidR="00D9265A">
        <w:rPr>
          <w:bCs/>
        </w:rPr>
        <w:fldChar w:fldCharType="begin"/>
      </w:r>
      <w:r w:rsidRPr="00240730" w:rsidR="00D9265A">
        <w:rPr>
          <w:bCs/>
        </w:rPr>
        <w:instrText xml:space="preserve"> REF Smirnov_ReinstatementAppeal \h </w:instrText>
      </w:r>
      <w:r w:rsidRPr="00240730" w:rsidR="000012CE">
        <w:rPr>
          <w:bCs/>
        </w:rPr>
        <w:instrText xml:space="preserve"> \* MERGEFORMAT </w:instrText>
      </w:r>
      <w:r w:rsidRPr="00240730" w:rsidR="00D9265A">
        <w:rPr>
          <w:bCs/>
        </w:rPr>
      </w:r>
      <w:r w:rsidRPr="00240730" w:rsidR="00D9265A">
        <w:rPr>
          <w:bCs/>
        </w:rPr>
        <w:fldChar w:fldCharType="separate"/>
      </w:r>
      <w:r w:rsidRPr="00240730" w:rsidR="00240730">
        <w:rPr>
          <w:bCs/>
          <w:noProof/>
        </w:rPr>
        <w:t>49</w:t>
      </w:r>
      <w:r w:rsidRPr="00240730" w:rsidR="00D9265A">
        <w:rPr>
          <w:bCs/>
        </w:rPr>
        <w:fldChar w:fldCharType="end"/>
      </w:r>
      <w:r w:rsidRPr="00240730" w:rsidR="00D9265A">
        <w:rPr>
          <w:bCs/>
        </w:rPr>
        <w:t xml:space="preserve">, </w:t>
      </w:r>
      <w:r w:rsidRPr="00240730" w:rsidR="00D9265A">
        <w:rPr>
          <w:bCs/>
        </w:rPr>
        <w:fldChar w:fldCharType="begin"/>
      </w:r>
      <w:r w:rsidRPr="00240730" w:rsidR="00D9265A">
        <w:rPr>
          <w:bCs/>
        </w:rPr>
        <w:instrText xml:space="preserve"> REF SmirnovWagesReasoning28112008 \h </w:instrText>
      </w:r>
      <w:r w:rsidRPr="00240730" w:rsidR="000012CE">
        <w:rPr>
          <w:bCs/>
        </w:rPr>
        <w:instrText xml:space="preserve"> \* MERGEFORMAT </w:instrText>
      </w:r>
      <w:r w:rsidRPr="00240730" w:rsidR="00D9265A">
        <w:rPr>
          <w:bCs/>
        </w:rPr>
      </w:r>
      <w:r w:rsidRPr="00240730" w:rsidR="00D9265A">
        <w:rPr>
          <w:bCs/>
        </w:rPr>
        <w:fldChar w:fldCharType="separate"/>
      </w:r>
      <w:r w:rsidRPr="00240730" w:rsidR="00240730">
        <w:rPr>
          <w:bCs/>
          <w:noProof/>
        </w:rPr>
        <w:t>50</w:t>
      </w:r>
      <w:r w:rsidRPr="00240730" w:rsidR="00D9265A">
        <w:rPr>
          <w:bCs/>
        </w:rPr>
        <w:fldChar w:fldCharType="end"/>
      </w:r>
      <w:r w:rsidRPr="00240730" w:rsidR="00D9265A">
        <w:rPr>
          <w:bCs/>
        </w:rPr>
        <w:t xml:space="preserve">, </w:t>
      </w:r>
      <w:r w:rsidRPr="00240730" w:rsidR="00D9265A">
        <w:rPr>
          <w:bCs/>
        </w:rPr>
        <w:fldChar w:fldCharType="begin"/>
      </w:r>
      <w:r w:rsidRPr="00240730" w:rsidR="00D9265A">
        <w:rPr>
          <w:bCs/>
        </w:rPr>
        <w:instrText xml:space="preserve"> REF SmirnovAppealWages21012009 \h </w:instrText>
      </w:r>
      <w:r w:rsidRPr="00240730" w:rsidR="000012CE">
        <w:rPr>
          <w:bCs/>
        </w:rPr>
        <w:instrText xml:space="preserve"> \* MERGEFORMAT </w:instrText>
      </w:r>
      <w:r w:rsidRPr="00240730" w:rsidR="00D9265A">
        <w:rPr>
          <w:bCs/>
        </w:rPr>
      </w:r>
      <w:r w:rsidRPr="00240730" w:rsidR="00D9265A">
        <w:rPr>
          <w:bCs/>
        </w:rPr>
        <w:fldChar w:fldCharType="separate"/>
      </w:r>
      <w:r w:rsidRPr="00240730" w:rsidR="00240730">
        <w:rPr>
          <w:bCs/>
          <w:noProof/>
        </w:rPr>
        <w:t>52</w:t>
      </w:r>
      <w:r w:rsidRPr="00240730" w:rsidR="00D9265A">
        <w:rPr>
          <w:bCs/>
        </w:rPr>
        <w:fldChar w:fldCharType="end"/>
      </w:r>
      <w:r w:rsidRPr="00240730" w:rsidR="00D9265A">
        <w:rPr>
          <w:bCs/>
        </w:rPr>
        <w:t xml:space="preserve"> and </w:t>
      </w:r>
      <w:r w:rsidRPr="00240730" w:rsidR="00D9265A">
        <w:rPr>
          <w:bCs/>
        </w:rPr>
        <w:fldChar w:fldCharType="begin"/>
      </w:r>
      <w:r w:rsidRPr="00240730" w:rsidR="00D9265A">
        <w:rPr>
          <w:bCs/>
        </w:rPr>
        <w:instrText xml:space="preserve"> REF SixApplicantsWagesReasoningNov2008 \h </w:instrText>
      </w:r>
      <w:r w:rsidRPr="00240730" w:rsidR="000012CE">
        <w:rPr>
          <w:bCs/>
        </w:rPr>
        <w:instrText xml:space="preserve"> \* MERGEFORMAT </w:instrText>
      </w:r>
      <w:r w:rsidRPr="00240730" w:rsidR="00D9265A">
        <w:rPr>
          <w:bCs/>
        </w:rPr>
      </w:r>
      <w:r w:rsidRPr="00240730" w:rsidR="00D9265A">
        <w:rPr>
          <w:bCs/>
        </w:rPr>
        <w:fldChar w:fldCharType="separate"/>
      </w:r>
      <w:r w:rsidRPr="00240730" w:rsidR="00240730">
        <w:rPr>
          <w:noProof/>
        </w:rPr>
        <w:t>54</w:t>
      </w:r>
      <w:r w:rsidRPr="00240730" w:rsidR="00D9265A">
        <w:rPr>
          <w:bCs/>
        </w:rPr>
        <w:fldChar w:fldCharType="end"/>
      </w:r>
      <w:r w:rsidRPr="00240730" w:rsidR="00D9265A">
        <w:rPr>
          <w:bCs/>
        </w:rPr>
        <w:t xml:space="preserve"> </w:t>
      </w:r>
      <w:r w:rsidRPr="00240730">
        <w:rPr>
          <w:bCs/>
        </w:rPr>
        <w:t>above).</w:t>
      </w:r>
      <w:r w:rsidRPr="00240730">
        <w:rPr>
          <w:bCs/>
          <w:color w:val="0072BC" w:themeColor="background1"/>
        </w:rPr>
        <w:t xml:space="preserve"> </w:t>
      </w:r>
      <w:r w:rsidRPr="00240730" w:rsidR="00061ECC">
        <w:rPr>
          <w:bCs/>
        </w:rPr>
        <w:t xml:space="preserve">The Court finds it significant that in </w:t>
      </w:r>
      <w:r w:rsidRPr="00240730">
        <w:rPr>
          <w:bCs/>
        </w:rPr>
        <w:t xml:space="preserve">each </w:t>
      </w:r>
      <w:r w:rsidRPr="00240730" w:rsidR="00C222DB">
        <w:rPr>
          <w:bCs/>
        </w:rPr>
        <w:t xml:space="preserve">set of </w:t>
      </w:r>
      <w:r w:rsidRPr="00240730" w:rsidR="00CD101F">
        <w:rPr>
          <w:bCs/>
        </w:rPr>
        <w:t>those</w:t>
      </w:r>
      <w:r w:rsidRPr="00240730" w:rsidR="00C222DB">
        <w:rPr>
          <w:bCs/>
        </w:rPr>
        <w:t xml:space="preserve"> proceedings</w:t>
      </w:r>
      <w:r w:rsidRPr="00240730">
        <w:rPr>
          <w:bCs/>
        </w:rPr>
        <w:t>, the courts had no reason to doubt that, as the transfer of title to the FGUP</w:t>
      </w:r>
      <w:r w:rsidRPr="00240730" w:rsidR="00240730">
        <w:rPr>
          <w:bCs/>
        </w:rPr>
        <w:t>’</w:t>
      </w:r>
      <w:r w:rsidRPr="00240730">
        <w:rPr>
          <w:bCs/>
        </w:rPr>
        <w:t>s assets had taken place as a result of the invalid transaction, the OAO had not acquired the rights and obligations under the applicants</w:t>
      </w:r>
      <w:r w:rsidRPr="00240730" w:rsidR="00240730">
        <w:rPr>
          <w:bCs/>
        </w:rPr>
        <w:t>’</w:t>
      </w:r>
      <w:r w:rsidRPr="00240730">
        <w:rPr>
          <w:bCs/>
        </w:rPr>
        <w:t xml:space="preserve"> contracts of employment during the impugned period (ibid.). Accordingly, in the courts</w:t>
      </w:r>
      <w:r w:rsidRPr="00240730" w:rsidR="00240730">
        <w:rPr>
          <w:bCs/>
        </w:rPr>
        <w:t>’</w:t>
      </w:r>
      <w:r w:rsidRPr="00240730">
        <w:rPr>
          <w:bCs/>
        </w:rPr>
        <w:t xml:space="preserve"> view, </w:t>
      </w:r>
      <w:r w:rsidRPr="00240730" w:rsidR="00666FC2">
        <w:rPr>
          <w:bCs/>
        </w:rPr>
        <w:t>all</w:t>
      </w:r>
      <w:r w:rsidRPr="00240730">
        <w:rPr>
          <w:bCs/>
        </w:rPr>
        <w:t xml:space="preserve"> applicants</w:t>
      </w:r>
      <w:r w:rsidRPr="00240730" w:rsidR="00240730">
        <w:rPr>
          <w:bCs/>
        </w:rPr>
        <w:t>’</w:t>
      </w:r>
      <w:r w:rsidRPr="00240730">
        <w:rPr>
          <w:bCs/>
        </w:rPr>
        <w:t xml:space="preserve"> employment with the FGUP had not been discontinued for the period of their formal registration as working for the OAO in terms of the domestic </w:t>
      </w:r>
      <w:r w:rsidRPr="00240730" w:rsidR="00666FC2">
        <w:rPr>
          <w:bCs/>
        </w:rPr>
        <w:t xml:space="preserve">labour </w:t>
      </w:r>
      <w:r w:rsidRPr="00240730">
        <w:rPr>
          <w:bCs/>
        </w:rPr>
        <w:t>law (ibid.).</w:t>
      </w:r>
    </w:p>
    <w:p w:rsidRPr="00240730" w:rsidR="00C91143" w:rsidP="00240730" w:rsidRDefault="000958B8">
      <w:pPr>
        <w:pStyle w:val="ECHRPara"/>
      </w:pPr>
      <w:r w:rsidRPr="00240730">
        <w:fldChar w:fldCharType="begin"/>
      </w:r>
      <w:r w:rsidRPr="00240730">
        <w:instrText xml:space="preserve"> SEQ level0 \*arabic </w:instrText>
      </w:r>
      <w:r w:rsidRPr="00240730">
        <w:fldChar w:fldCharType="separate"/>
      </w:r>
      <w:r w:rsidRPr="00240730" w:rsidR="00240730">
        <w:rPr>
          <w:noProof/>
        </w:rPr>
        <w:t>124</w:t>
      </w:r>
      <w:r w:rsidRPr="00240730">
        <w:fldChar w:fldCharType="end"/>
      </w:r>
      <w:r w:rsidRPr="00240730" w:rsidR="009A014D">
        <w:t>.  </w:t>
      </w:r>
      <w:r w:rsidRPr="00240730" w:rsidR="00C91143">
        <w:t xml:space="preserve">In view of the above factors taken cumulatively, the Court considers that </w:t>
      </w:r>
      <w:r w:rsidRPr="00240730" w:rsidR="00B97142">
        <w:t xml:space="preserve">at least </w:t>
      </w:r>
      <w:r w:rsidRPr="00240730" w:rsidR="00BB7E3E">
        <w:t>by the dates of the court orders in the applicants</w:t>
      </w:r>
      <w:r w:rsidRPr="00240730" w:rsidR="00240730">
        <w:t>’</w:t>
      </w:r>
      <w:r w:rsidRPr="00240730" w:rsidR="00BB7E3E">
        <w:t xml:space="preserve"> favour and during the ensuing period </w:t>
      </w:r>
      <w:r w:rsidRPr="00240730" w:rsidR="00E47ECE">
        <w:t>until the company</w:t>
      </w:r>
      <w:r w:rsidRPr="00240730" w:rsidR="00240730">
        <w:t>’</w:t>
      </w:r>
      <w:r w:rsidRPr="00240730" w:rsidR="00E47ECE">
        <w:t xml:space="preserve">s liquidation </w:t>
      </w:r>
      <w:r w:rsidRPr="00240730" w:rsidR="00C91143">
        <w:t xml:space="preserve">the </w:t>
      </w:r>
      <w:r w:rsidRPr="00240730">
        <w:t>OAO</w:t>
      </w:r>
      <w:r w:rsidRPr="00240730" w:rsidR="00240730">
        <w:rPr>
          <w:rFonts w:eastAsia="Times New Roman"/>
          <w:lang w:val="en-US"/>
        </w:rPr>
        <w:t>’</w:t>
      </w:r>
      <w:r w:rsidRPr="00240730">
        <w:rPr>
          <w:rFonts w:eastAsia="Times New Roman"/>
          <w:lang w:val="en-US"/>
        </w:rPr>
        <w:t xml:space="preserve">s assets and activities were, as a matter of fact, controlled and managed by the State to a decisive extent (see, </w:t>
      </w:r>
      <w:r w:rsidRPr="00240730">
        <w:rPr>
          <w:rFonts w:eastAsia="Times New Roman"/>
          <w:i/>
          <w:iCs/>
          <w:lang w:val="en-US"/>
        </w:rPr>
        <w:t>mutatis mutandis</w:t>
      </w:r>
      <w:r w:rsidRPr="00240730">
        <w:rPr>
          <w:rFonts w:eastAsia="Times New Roman"/>
          <w:lang w:val="en-US"/>
        </w:rPr>
        <w:t xml:space="preserve">, </w:t>
      </w:r>
      <w:r w:rsidRPr="00240730">
        <w:rPr>
          <w:rFonts w:eastAsia="Times New Roman"/>
          <w:i/>
          <w:iCs/>
          <w:lang w:val="en-US"/>
        </w:rPr>
        <w:t>Khachatryan</w:t>
      </w:r>
      <w:r w:rsidRPr="00240730">
        <w:rPr>
          <w:rFonts w:eastAsia="Times New Roman"/>
          <w:lang w:val="en-US"/>
        </w:rPr>
        <w:t>, cited above, § 51</w:t>
      </w:r>
      <w:r w:rsidRPr="00240730" w:rsidR="00B72CE0">
        <w:rPr>
          <w:rFonts w:eastAsia="Times New Roman"/>
          <w:lang w:val="en-US"/>
        </w:rPr>
        <w:t xml:space="preserve">, </w:t>
      </w:r>
      <w:r w:rsidRPr="00240730">
        <w:rPr>
          <w:rFonts w:eastAsia="Times New Roman"/>
          <w:lang w:val="en-US"/>
        </w:rPr>
        <w:t xml:space="preserve">and contrast </w:t>
      </w:r>
      <w:proofErr w:type="spellStart"/>
      <w:r w:rsidRPr="00240730">
        <w:rPr>
          <w:rFonts w:eastAsia="Times New Roman"/>
          <w:i/>
          <w:lang w:val="en-US"/>
        </w:rPr>
        <w:t>Anokhin</w:t>
      </w:r>
      <w:proofErr w:type="spellEnd"/>
      <w:r w:rsidRPr="00240730">
        <w:rPr>
          <w:rFonts w:eastAsia="Times New Roman"/>
          <w:lang w:val="en-US"/>
        </w:rPr>
        <w:t>, cited above). The</w:t>
      </w:r>
      <w:r w:rsidRPr="00240730" w:rsidR="00E47ECE">
        <w:rPr>
          <w:rFonts w:eastAsia="Times New Roman"/>
          <w:lang w:val="en-US"/>
        </w:rPr>
        <w:t>refore, the</w:t>
      </w:r>
      <w:r w:rsidRPr="00240730">
        <w:rPr>
          <w:rFonts w:eastAsia="Times New Roman"/>
          <w:lang w:val="en-US"/>
        </w:rPr>
        <w:t xml:space="preserve"> OAO </w:t>
      </w:r>
      <w:r w:rsidRPr="00240730" w:rsidR="00C91143">
        <w:t xml:space="preserve">did not enjoy sufficient institutional and operational independence from the State to absolve the latter from its responsibility under the Convention </w:t>
      </w:r>
      <w:r w:rsidRPr="00240730" w:rsidR="004221A8">
        <w:t>for the OAO</w:t>
      </w:r>
      <w:r w:rsidRPr="00240730" w:rsidR="00240730">
        <w:t>’</w:t>
      </w:r>
      <w:r w:rsidRPr="00240730" w:rsidR="004221A8">
        <w:t>s debts in respect of the salary arrears in the applicants</w:t>
      </w:r>
      <w:r w:rsidRPr="00240730" w:rsidR="00240730">
        <w:t>’</w:t>
      </w:r>
      <w:r w:rsidRPr="00240730" w:rsidR="004221A8">
        <w:t xml:space="preserve"> favour </w:t>
      </w:r>
      <w:r w:rsidRPr="00240730" w:rsidR="00C91143">
        <w:t xml:space="preserve">(see </w:t>
      </w:r>
      <w:r w:rsidRPr="00240730" w:rsidR="00C91143">
        <w:rPr>
          <w:i/>
        </w:rPr>
        <w:t>Khachatryan</w:t>
      </w:r>
      <w:r w:rsidRPr="00240730" w:rsidR="00C91143">
        <w:t xml:space="preserve">, cited above, </w:t>
      </w:r>
      <w:r w:rsidRPr="00240730" w:rsidR="00753D68">
        <w:t xml:space="preserve">§ 54, with further references). </w:t>
      </w:r>
      <w:r w:rsidRPr="00240730" w:rsidR="00C91143">
        <w:t xml:space="preserve">Consequently, </w:t>
      </w:r>
      <w:r w:rsidRPr="00240730" w:rsidR="00D47C9B">
        <w:t xml:space="preserve">in the specific circumstances of this case, </w:t>
      </w:r>
      <w:r w:rsidRPr="00240730" w:rsidR="00C91143">
        <w:t>the State is to be held responsible for the OAO</w:t>
      </w:r>
      <w:r w:rsidRPr="00240730" w:rsidR="00240730">
        <w:t>’</w:t>
      </w:r>
      <w:r w:rsidRPr="00240730" w:rsidR="00C91143">
        <w:t xml:space="preserve">s debts in respect of the salary arrears as established by the court </w:t>
      </w:r>
      <w:r w:rsidRPr="00240730" w:rsidR="002B0AF3">
        <w:t xml:space="preserve">orders </w:t>
      </w:r>
      <w:r w:rsidRPr="00240730" w:rsidR="00A560DA">
        <w:t xml:space="preserve">and decisions </w:t>
      </w:r>
      <w:r w:rsidRPr="00240730" w:rsidR="004221A8">
        <w:t xml:space="preserve">set out </w:t>
      </w:r>
      <w:r w:rsidRPr="00240730" w:rsidR="00C91143">
        <w:t>in Appendix</w:t>
      </w:r>
      <w:r w:rsidRPr="00240730" w:rsidR="0056245C">
        <w:t> </w:t>
      </w:r>
      <w:r w:rsidRPr="00240730" w:rsidR="00C91143">
        <w:t>II.</w:t>
      </w:r>
    </w:p>
    <w:p w:rsidRPr="00240730" w:rsidR="00C91143" w:rsidP="00240730" w:rsidRDefault="00477D61">
      <w:pPr>
        <w:pStyle w:val="ECHRPara"/>
      </w:pPr>
      <w:r w:rsidRPr="00240730">
        <w:fldChar w:fldCharType="begin"/>
      </w:r>
      <w:r w:rsidRPr="00240730">
        <w:instrText xml:space="preserve"> SEQ level0 \*arabic </w:instrText>
      </w:r>
      <w:r w:rsidRPr="00240730">
        <w:fldChar w:fldCharType="separate"/>
      </w:r>
      <w:r w:rsidRPr="00240730" w:rsidR="00240730">
        <w:rPr>
          <w:noProof/>
        </w:rPr>
        <w:t>125</w:t>
      </w:r>
      <w:r w:rsidRPr="00240730">
        <w:rPr>
          <w:noProof/>
        </w:rPr>
        <w:fldChar w:fldCharType="end"/>
      </w:r>
      <w:r w:rsidRPr="00240730" w:rsidR="00C91143">
        <w:t>.  The Court therefore concludes that the applicants</w:t>
      </w:r>
      <w:r w:rsidRPr="00240730" w:rsidR="00240730">
        <w:t>’</w:t>
      </w:r>
      <w:r w:rsidRPr="00240730" w:rsidR="00C91143">
        <w:t xml:space="preserve"> complaints are compatible </w:t>
      </w:r>
      <w:proofErr w:type="spellStart"/>
      <w:r w:rsidRPr="00240730" w:rsidR="00C91143">
        <w:rPr>
          <w:i/>
        </w:rPr>
        <w:t>ratione</w:t>
      </w:r>
      <w:proofErr w:type="spellEnd"/>
      <w:r w:rsidRPr="00240730" w:rsidR="00C91143">
        <w:rPr>
          <w:i/>
        </w:rPr>
        <w:t xml:space="preserve"> personae</w:t>
      </w:r>
      <w:r w:rsidRPr="00240730" w:rsidR="00C91143">
        <w:t xml:space="preserve"> with the provisions of the Convention and dismisses the Government</w:t>
      </w:r>
      <w:r w:rsidRPr="00240730" w:rsidR="00240730">
        <w:t>’</w:t>
      </w:r>
      <w:r w:rsidRPr="00240730" w:rsidR="00C91143">
        <w:t xml:space="preserve">s objection in this </w:t>
      </w:r>
      <w:r w:rsidRPr="00240730" w:rsidR="002B0AF3">
        <w:t>regard</w:t>
      </w:r>
      <w:r w:rsidRPr="00240730" w:rsidR="00C91143">
        <w:t>.</w:t>
      </w:r>
    </w:p>
    <w:p w:rsidRPr="00240730" w:rsidR="009274DD" w:rsidP="00240730" w:rsidRDefault="00105F1A">
      <w:pPr>
        <w:pStyle w:val="ECHRHeading4"/>
      </w:pPr>
      <w:r w:rsidRPr="00240730">
        <w:t>(b</w:t>
      </w:r>
      <w:r w:rsidRPr="00240730" w:rsidR="00A75D30">
        <w:t>)  </w:t>
      </w:r>
      <w:r w:rsidRPr="00240730" w:rsidR="009274DD">
        <w:t>Non-exhaustion</w:t>
      </w:r>
    </w:p>
    <w:bookmarkStart w:name="OAO_exhaustion1" w:id="57"/>
    <w:p w:rsidRPr="00240730" w:rsidR="009274DD" w:rsidP="00240730" w:rsidRDefault="009274DD">
      <w:pPr>
        <w:pStyle w:val="ECHRPara"/>
      </w:pPr>
      <w:r w:rsidRPr="00240730">
        <w:fldChar w:fldCharType="begin"/>
      </w:r>
      <w:r w:rsidRPr="00240730">
        <w:instrText xml:space="preserve"> SEQ level0 \*arabic </w:instrText>
      </w:r>
      <w:r w:rsidRPr="00240730">
        <w:fldChar w:fldCharType="separate"/>
      </w:r>
      <w:r w:rsidRPr="00240730" w:rsidR="00240730">
        <w:rPr>
          <w:noProof/>
        </w:rPr>
        <w:t>126</w:t>
      </w:r>
      <w:r w:rsidRPr="00240730">
        <w:fldChar w:fldCharType="end"/>
      </w:r>
      <w:bookmarkEnd w:id="57"/>
      <w:r w:rsidRPr="00240730">
        <w:t>.  </w:t>
      </w:r>
      <w:r w:rsidRPr="00240730" w:rsidR="004D171A">
        <w:t>As regards the Government</w:t>
      </w:r>
      <w:r w:rsidRPr="00240730" w:rsidR="00240730">
        <w:t>’</w:t>
      </w:r>
      <w:r w:rsidRPr="00240730" w:rsidR="004D171A">
        <w:t>s reference to Article</w:t>
      </w:r>
      <w:r w:rsidRPr="00240730" w:rsidR="00A00F22">
        <w:t> </w:t>
      </w:r>
      <w:r w:rsidRPr="00240730" w:rsidR="004D171A">
        <w:t xml:space="preserve">1070 of the Civil Code, the objection is clearly inapplicable, since that provision deals specifically with damage caused by unlawful conviction, prosecution, detention or prohibition on leaving </w:t>
      </w:r>
      <w:r w:rsidRPr="00240730" w:rsidR="002B0AF3">
        <w:t xml:space="preserve">a </w:t>
      </w:r>
      <w:r w:rsidRPr="00240730" w:rsidR="004D171A">
        <w:t>place of residence, and the case files do not contain any evidence of any such action having been taken in the present two cases. As regards the remaining provisions of Chapter 59, the Court has already found on several occasions – albeit in the context of judgments given against the State authorities – that, while the possibility of such compensation was not totally excluded, this remedy did not offer reasonable prospects of success, notably because it requires the establishment of fault on the part of the authorities. It was not contested by the Government that at no point had the fault of the authorities been established in the cases at hand. In sum, it has not been demonstrated that such action would have had any prospects of success in the present cases</w:t>
      </w:r>
      <w:r w:rsidRPr="00240730" w:rsidR="00A00F22">
        <w:t xml:space="preserve"> </w:t>
      </w:r>
      <w:r w:rsidRPr="00240730" w:rsidR="004D171A">
        <w:t xml:space="preserve">(see </w:t>
      </w:r>
      <w:proofErr w:type="spellStart"/>
      <w:r w:rsidRPr="00240730" w:rsidR="004D171A">
        <w:rPr>
          <w:i/>
        </w:rPr>
        <w:t>Liseytseva</w:t>
      </w:r>
      <w:proofErr w:type="spellEnd"/>
      <w:r w:rsidRPr="00240730" w:rsidR="004D171A">
        <w:rPr>
          <w:i/>
        </w:rPr>
        <w:t xml:space="preserve"> and </w:t>
      </w:r>
      <w:proofErr w:type="spellStart"/>
      <w:r w:rsidRPr="00240730" w:rsidR="004D171A">
        <w:rPr>
          <w:i/>
        </w:rPr>
        <w:t>Maslov</w:t>
      </w:r>
      <w:proofErr w:type="spellEnd"/>
      <w:r w:rsidRPr="00240730" w:rsidR="004D171A">
        <w:t>, cited above, § 165).</w:t>
      </w:r>
    </w:p>
    <w:p w:rsidRPr="00240730" w:rsidR="004D171A" w:rsidP="00240730" w:rsidRDefault="00477D61">
      <w:pPr>
        <w:pStyle w:val="ECHRPara"/>
      </w:pPr>
      <w:r w:rsidRPr="00240730">
        <w:fldChar w:fldCharType="begin"/>
      </w:r>
      <w:r w:rsidRPr="00240730">
        <w:instrText xml:space="preserve"> SEQ level0 \*arabic </w:instrText>
      </w:r>
      <w:r w:rsidRPr="00240730">
        <w:fldChar w:fldCharType="separate"/>
      </w:r>
      <w:r w:rsidRPr="00240730" w:rsidR="00240730">
        <w:rPr>
          <w:noProof/>
        </w:rPr>
        <w:t>127</w:t>
      </w:r>
      <w:r w:rsidRPr="00240730">
        <w:rPr>
          <w:noProof/>
        </w:rPr>
        <w:fldChar w:fldCharType="end"/>
      </w:r>
      <w:r w:rsidRPr="00240730" w:rsidR="004D171A">
        <w:t xml:space="preserve">.  As regards a complaint to the </w:t>
      </w:r>
      <w:proofErr w:type="gramStart"/>
      <w:r w:rsidRPr="00240730" w:rsidR="004D171A">
        <w:t>bailiffs</w:t>
      </w:r>
      <w:proofErr w:type="gramEnd"/>
      <w:r w:rsidRPr="00240730" w:rsidR="004D171A">
        <w:t xml:space="preserve"> service and a court action concerning the bailiffs</w:t>
      </w:r>
      <w:r w:rsidRPr="00240730" w:rsidR="00240730">
        <w:t>’</w:t>
      </w:r>
      <w:r w:rsidRPr="00240730" w:rsidR="004D171A">
        <w:t xml:space="preserve"> inaction, the Court notes that the judicial awards in the applicants</w:t>
      </w:r>
      <w:r w:rsidRPr="00240730" w:rsidR="00240730">
        <w:t>’</w:t>
      </w:r>
      <w:r w:rsidRPr="00240730" w:rsidR="004D171A">
        <w:t xml:space="preserve"> favour </w:t>
      </w:r>
      <w:r w:rsidRPr="00240730" w:rsidR="00A00F22">
        <w:t xml:space="preserve">were </w:t>
      </w:r>
      <w:r w:rsidRPr="00240730" w:rsidR="002B0AF3">
        <w:t xml:space="preserve">made </w:t>
      </w:r>
      <w:r w:rsidRPr="00240730" w:rsidR="004D171A">
        <w:t>when liquidation in respect of the debtor enterprise was underway. In that situation, the bailiffs</w:t>
      </w:r>
      <w:r w:rsidRPr="00240730" w:rsidR="00240730">
        <w:t>’</w:t>
      </w:r>
      <w:r w:rsidRPr="00240730" w:rsidR="004D171A">
        <w:t xml:space="preserve"> duty was confined to forwarding the writs of </w:t>
      </w:r>
      <w:r w:rsidRPr="00240730" w:rsidR="002B0AF3">
        <w:t xml:space="preserve">enforcement </w:t>
      </w:r>
      <w:r w:rsidRPr="00240730" w:rsidR="004D171A">
        <w:t>to the liquidator in due time (see</w:t>
      </w:r>
      <w:r w:rsidRPr="00240730" w:rsidR="00713DF6">
        <w:t xml:space="preserve">, </w:t>
      </w:r>
      <w:r w:rsidRPr="00240730" w:rsidR="00713DF6">
        <w:rPr>
          <w:i/>
        </w:rPr>
        <w:t>mutatis mutandis</w:t>
      </w:r>
      <w:r w:rsidRPr="00240730" w:rsidR="00713DF6">
        <w:t xml:space="preserve">, </w:t>
      </w:r>
      <w:proofErr w:type="spellStart"/>
      <w:r w:rsidRPr="00240730" w:rsidR="004D171A">
        <w:rPr>
          <w:i/>
        </w:rPr>
        <w:t>Liseytseva</w:t>
      </w:r>
      <w:proofErr w:type="spellEnd"/>
      <w:r w:rsidRPr="00240730" w:rsidR="004D171A">
        <w:rPr>
          <w:i/>
        </w:rPr>
        <w:t xml:space="preserve"> and </w:t>
      </w:r>
      <w:proofErr w:type="spellStart"/>
      <w:r w:rsidRPr="00240730" w:rsidR="004D171A">
        <w:rPr>
          <w:i/>
        </w:rPr>
        <w:t>Maslov</w:t>
      </w:r>
      <w:proofErr w:type="spellEnd"/>
      <w:r w:rsidRPr="00240730" w:rsidR="004D171A">
        <w:t xml:space="preserve">, cited above, § 161). </w:t>
      </w:r>
      <w:r w:rsidRPr="00240730" w:rsidR="001567AA">
        <w:t xml:space="preserve">That </w:t>
      </w:r>
      <w:r w:rsidRPr="00240730" w:rsidR="00CE5E46">
        <w:t>was precisely the conclusion of the</w:t>
      </w:r>
      <w:r w:rsidRPr="00240730" w:rsidR="001567AA">
        <w:t xml:space="preserve"> first-instance court in </w:t>
      </w:r>
      <w:r w:rsidRPr="00240730" w:rsidR="00B72CE0">
        <w:t xml:space="preserve">the </w:t>
      </w:r>
      <w:r w:rsidRPr="00240730" w:rsidR="001567AA">
        <w:t xml:space="preserve">case of </w:t>
      </w:r>
      <w:r w:rsidRPr="00240730" w:rsidR="00E16A13">
        <w:t>Mr </w:t>
      </w:r>
      <w:proofErr w:type="spellStart"/>
      <w:r w:rsidRPr="00240730" w:rsidR="001567AA">
        <w:t>Tomilin</w:t>
      </w:r>
      <w:proofErr w:type="spellEnd"/>
      <w:r w:rsidRPr="00240730" w:rsidR="001567AA">
        <w:t xml:space="preserve"> (see paragraph </w:t>
      </w:r>
      <w:r w:rsidRPr="00240730" w:rsidR="001567AA">
        <w:fldChar w:fldCharType="begin"/>
      </w:r>
      <w:r w:rsidRPr="00240730" w:rsidR="001567AA">
        <w:instrText xml:space="preserve"> REF NNEX_Proc_v_bailiffs_Tomilin \h </w:instrText>
      </w:r>
      <w:r w:rsidRPr="00240730" w:rsidR="00CE5E46">
        <w:instrText xml:space="preserve"> \* MERGEFORMAT </w:instrText>
      </w:r>
      <w:r w:rsidRPr="00240730" w:rsidR="001567AA">
        <w:fldChar w:fldCharType="separate"/>
      </w:r>
      <w:r w:rsidRPr="00240730" w:rsidR="00240730">
        <w:rPr>
          <w:bCs/>
          <w:noProof/>
        </w:rPr>
        <w:t>42</w:t>
      </w:r>
      <w:r w:rsidRPr="00240730" w:rsidR="001567AA">
        <w:fldChar w:fldCharType="end"/>
      </w:r>
      <w:r w:rsidRPr="00240730" w:rsidR="001567AA">
        <w:t xml:space="preserve"> above). Otherwise,</w:t>
      </w:r>
      <w:r w:rsidRPr="00240730" w:rsidR="004D171A">
        <w:t xml:space="preserve"> at no point did the applicants allege in their complaints to the Court that the bailiffs had unduly delayed the transfer of the writs or otherwise failed to carry out their dut</w:t>
      </w:r>
      <w:r w:rsidRPr="00240730" w:rsidR="00A00F22">
        <w:t>ies</w:t>
      </w:r>
      <w:r w:rsidRPr="00240730" w:rsidR="004D171A">
        <w:t xml:space="preserve"> properly. The crux of the applicants</w:t>
      </w:r>
      <w:r w:rsidRPr="00240730" w:rsidR="00240730">
        <w:t>’</w:t>
      </w:r>
      <w:r w:rsidRPr="00240730" w:rsidR="004D171A">
        <w:t xml:space="preserve"> grievance is rather the debtor</w:t>
      </w:r>
      <w:r w:rsidRPr="00240730" w:rsidR="00240730">
        <w:t>’</w:t>
      </w:r>
      <w:r w:rsidRPr="00240730" w:rsidR="00660125">
        <w:t>s</w:t>
      </w:r>
      <w:r w:rsidRPr="00240730" w:rsidR="004D171A">
        <w:t xml:space="preserve"> inability to satisfy their respective claims. The Court concludes that, in these circumstances, a complaint to the </w:t>
      </w:r>
      <w:proofErr w:type="gramStart"/>
      <w:r w:rsidRPr="00240730" w:rsidR="004D171A">
        <w:t>bailiffs</w:t>
      </w:r>
      <w:proofErr w:type="gramEnd"/>
      <w:r w:rsidRPr="00240730" w:rsidR="004D171A">
        <w:t xml:space="preserve"> service or a civil action against the bailiffs would not have brought the applicants closer to their goal, that is, payment of the judgment debt (ibid.).</w:t>
      </w:r>
    </w:p>
    <w:p w:rsidRPr="00240730" w:rsidR="00377D0B" w:rsidP="00240730" w:rsidRDefault="00477D61">
      <w:pPr>
        <w:pStyle w:val="ECHRPara"/>
      </w:pPr>
      <w:r w:rsidRPr="00240730">
        <w:fldChar w:fldCharType="begin"/>
      </w:r>
      <w:r w:rsidRPr="00240730">
        <w:instrText xml:space="preserve"> SEQ level0 \*arabic </w:instrText>
      </w:r>
      <w:r w:rsidRPr="00240730">
        <w:fldChar w:fldCharType="separate"/>
      </w:r>
      <w:r w:rsidRPr="00240730" w:rsidR="00240730">
        <w:rPr>
          <w:noProof/>
        </w:rPr>
        <w:t>128</w:t>
      </w:r>
      <w:r w:rsidRPr="00240730">
        <w:rPr>
          <w:noProof/>
        </w:rPr>
        <w:fldChar w:fldCharType="end"/>
      </w:r>
      <w:r w:rsidRPr="00240730" w:rsidR="004D171A">
        <w:t>.  Similarly, in so far as a complaint against the liquidator is concerned, at no point</w:t>
      </w:r>
      <w:r w:rsidRPr="00240730" w:rsidR="002B0AF3">
        <w:t xml:space="preserve"> did</w:t>
      </w:r>
      <w:r w:rsidRPr="00240730" w:rsidR="004D171A">
        <w:t xml:space="preserve"> the applicants refer to </w:t>
      </w:r>
      <w:r w:rsidRPr="00240730" w:rsidR="00FB29BE">
        <w:t>specific</w:t>
      </w:r>
      <w:r w:rsidRPr="00240730" w:rsidR="004D171A">
        <w:t xml:space="preserve"> action</w:t>
      </w:r>
      <w:r w:rsidRPr="00240730" w:rsidR="002B0AF3">
        <w:t>s</w:t>
      </w:r>
      <w:r w:rsidRPr="00240730" w:rsidR="004D171A">
        <w:t xml:space="preserve"> or omission</w:t>
      </w:r>
      <w:r w:rsidRPr="00240730" w:rsidR="002B0AF3">
        <w:t>s on the part of the liquidator</w:t>
      </w:r>
      <w:r w:rsidRPr="00240730" w:rsidR="004D171A">
        <w:t xml:space="preserve"> which could have</w:t>
      </w:r>
      <w:r w:rsidRPr="00240730" w:rsidR="00FB29BE">
        <w:t xml:space="preserve"> delayed or prevented enforcement. Further</w:t>
      </w:r>
      <w:r w:rsidRPr="00240730" w:rsidR="002B0AF3">
        <w:t>more</w:t>
      </w:r>
      <w:r w:rsidRPr="00240730" w:rsidR="00FB29BE">
        <w:t>, the Government have not provided any information on the due procedure and, indeed, its availability to the applicants (see</w:t>
      </w:r>
      <w:r w:rsidRPr="00240730" w:rsidR="00855255">
        <w:t xml:space="preserve">, </w:t>
      </w:r>
      <w:r w:rsidRPr="00240730" w:rsidR="00855255">
        <w:rPr>
          <w:i/>
        </w:rPr>
        <w:t>mutatis mutandis</w:t>
      </w:r>
      <w:r w:rsidRPr="00240730" w:rsidR="00855255">
        <w:t xml:space="preserve">, </w:t>
      </w:r>
      <w:proofErr w:type="spellStart"/>
      <w:r w:rsidRPr="00240730" w:rsidR="00FB29BE">
        <w:rPr>
          <w:i/>
        </w:rPr>
        <w:t>Liseytseva</w:t>
      </w:r>
      <w:proofErr w:type="spellEnd"/>
      <w:r w:rsidRPr="00240730" w:rsidR="00FB29BE">
        <w:rPr>
          <w:i/>
        </w:rPr>
        <w:t xml:space="preserve"> and </w:t>
      </w:r>
      <w:proofErr w:type="spellStart"/>
      <w:r w:rsidRPr="00240730" w:rsidR="00FB29BE">
        <w:rPr>
          <w:i/>
        </w:rPr>
        <w:t>Maslov</w:t>
      </w:r>
      <w:proofErr w:type="spellEnd"/>
      <w:r w:rsidRPr="00240730" w:rsidR="00A00F22">
        <w:t>, cited above, § 163). Nor</w:t>
      </w:r>
      <w:r w:rsidRPr="00240730" w:rsidR="00FB29BE">
        <w:t xml:space="preserve"> </w:t>
      </w:r>
      <w:r w:rsidRPr="00240730" w:rsidR="002B0AF3">
        <w:t xml:space="preserve">have </w:t>
      </w:r>
      <w:r w:rsidRPr="00240730" w:rsidR="00FB29BE">
        <w:t>they demonstrated that its eventual use would have brought the applicants closer to their goal, that is</w:t>
      </w:r>
      <w:r w:rsidRPr="00240730" w:rsidR="002B0AF3">
        <w:t>,</w:t>
      </w:r>
      <w:r w:rsidRPr="00240730" w:rsidR="00FB29BE">
        <w:t xml:space="preserve"> recovery of the debts established by the courts from the OAO</w:t>
      </w:r>
      <w:r w:rsidRPr="00240730" w:rsidR="00BD0FEC">
        <w:t>, where the debtor clearly lacked assets</w:t>
      </w:r>
      <w:r w:rsidRPr="00240730" w:rsidR="00FB29BE">
        <w:t>.</w:t>
      </w:r>
    </w:p>
    <w:bookmarkStart w:name="NNEXIndexLinkingOAO" w:id="58"/>
    <w:p w:rsidRPr="00240730" w:rsidR="00377D0B" w:rsidP="00240730" w:rsidRDefault="009274DD">
      <w:pPr>
        <w:pStyle w:val="ECHRPara"/>
      </w:pPr>
      <w:r w:rsidRPr="00240730">
        <w:fldChar w:fldCharType="begin"/>
      </w:r>
      <w:r w:rsidRPr="00240730">
        <w:instrText xml:space="preserve"> SEQ level0 \*arabic </w:instrText>
      </w:r>
      <w:r w:rsidRPr="00240730">
        <w:fldChar w:fldCharType="separate"/>
      </w:r>
      <w:r w:rsidRPr="00240730" w:rsidR="00240730">
        <w:rPr>
          <w:noProof/>
        </w:rPr>
        <w:t>129</w:t>
      </w:r>
      <w:r w:rsidRPr="00240730">
        <w:fldChar w:fldCharType="end"/>
      </w:r>
      <w:bookmarkEnd w:id="58"/>
      <w:r w:rsidRPr="00240730">
        <w:t>.  </w:t>
      </w:r>
      <w:r w:rsidRPr="00240730" w:rsidR="002B0AF3">
        <w:t>Lastly</w:t>
      </w:r>
      <w:r w:rsidRPr="00240730" w:rsidR="004D171A">
        <w:t>, as</w:t>
      </w:r>
      <w:r w:rsidRPr="00240730">
        <w:t xml:space="preserve"> regards the index-linking, </w:t>
      </w:r>
      <w:r w:rsidRPr="00240730" w:rsidR="004D171A">
        <w:t xml:space="preserve">five of six </w:t>
      </w:r>
      <w:r w:rsidRPr="00240730" w:rsidR="002B0AF3">
        <w:t xml:space="preserve">of the </w:t>
      </w:r>
      <w:r w:rsidRPr="00240730" w:rsidR="004D171A">
        <w:t>applicants</w:t>
      </w:r>
      <w:r w:rsidRPr="00240730">
        <w:t xml:space="preserve"> made use of this opportunity </w:t>
      </w:r>
      <w:r w:rsidRPr="00240730" w:rsidR="004D171A">
        <w:t>and obtained domestic decision</w:t>
      </w:r>
      <w:r w:rsidRPr="00240730" w:rsidR="00A00F22">
        <w:t>s</w:t>
      </w:r>
      <w:r w:rsidRPr="00240730" w:rsidR="004D171A">
        <w:t xml:space="preserve"> ordering </w:t>
      </w:r>
      <w:r w:rsidRPr="00240730" w:rsidR="00B72CE0">
        <w:t xml:space="preserve">that </w:t>
      </w:r>
      <w:r w:rsidRPr="00240730" w:rsidR="004D171A">
        <w:t>the awards</w:t>
      </w:r>
      <w:r w:rsidRPr="00240730" w:rsidR="001C2F32">
        <w:t xml:space="preserve"> </w:t>
      </w:r>
      <w:r w:rsidRPr="00240730" w:rsidR="00B72CE0">
        <w:t xml:space="preserve">be increased </w:t>
      </w:r>
      <w:r w:rsidRPr="00240730" w:rsidR="001C2F32">
        <w:t xml:space="preserve">(see Column 5 of Appendix II). </w:t>
      </w:r>
      <w:r w:rsidRPr="00240730" w:rsidR="00E26E55">
        <w:t>While the Government submitted that two of the applicants</w:t>
      </w:r>
      <w:r w:rsidRPr="00240730" w:rsidR="00E16A13">
        <w:t xml:space="preserve">, Mr </w:t>
      </w:r>
      <w:proofErr w:type="spellStart"/>
      <w:r w:rsidRPr="00240730" w:rsidR="00E16A13">
        <w:t>Kuzhelev</w:t>
      </w:r>
      <w:proofErr w:type="spellEnd"/>
      <w:r w:rsidRPr="00240730" w:rsidR="00E16A13">
        <w:t xml:space="preserve"> and Ms </w:t>
      </w:r>
      <w:r w:rsidRPr="00240730" w:rsidR="00855255">
        <w:t xml:space="preserve">Pavlova, </w:t>
      </w:r>
      <w:r w:rsidRPr="00240730" w:rsidR="00EC344A">
        <w:t xml:space="preserve">had </w:t>
      </w:r>
      <w:r w:rsidRPr="00240730" w:rsidR="00E26E55">
        <w:t>failed to collect the original orders from the court (see paragraph </w:t>
      </w:r>
      <w:r w:rsidRPr="00240730" w:rsidR="00E26E55">
        <w:fldChar w:fldCharType="begin"/>
      </w:r>
      <w:r w:rsidRPr="00240730" w:rsidR="00E26E55">
        <w:instrText xml:space="preserve"> REF OAO_adjustment_proceedings2010 \h </w:instrText>
      </w:r>
      <w:r w:rsidRPr="00240730" w:rsidR="00855255">
        <w:instrText xml:space="preserve"> \* MERGEFORMAT </w:instrText>
      </w:r>
      <w:r w:rsidRPr="00240730" w:rsidR="00E26E55">
        <w:fldChar w:fldCharType="separate"/>
      </w:r>
      <w:r w:rsidRPr="00240730" w:rsidR="00240730">
        <w:rPr>
          <w:noProof/>
        </w:rPr>
        <w:t>33</w:t>
      </w:r>
      <w:r w:rsidRPr="00240730" w:rsidR="00E26E55">
        <w:fldChar w:fldCharType="end"/>
      </w:r>
      <w:r w:rsidRPr="00240730" w:rsidR="00E26E55">
        <w:t xml:space="preserve"> above), no such argument was advanced in respect of the three remaining applicants. However, the decisions </w:t>
      </w:r>
      <w:r w:rsidRPr="00240730" w:rsidR="001C2F32">
        <w:t xml:space="preserve">in the adjustment proceedings </w:t>
      </w:r>
      <w:r w:rsidRPr="00240730" w:rsidR="00E26E55">
        <w:t xml:space="preserve">in favour of those three </w:t>
      </w:r>
      <w:r w:rsidRPr="00240730" w:rsidR="00E47ECE">
        <w:t xml:space="preserve">remaining </w:t>
      </w:r>
      <w:r w:rsidRPr="00240730" w:rsidR="00E26E55">
        <w:t xml:space="preserve">applicants </w:t>
      </w:r>
      <w:r w:rsidRPr="00240730" w:rsidR="004D171A">
        <w:t>have, in turn,</w:t>
      </w:r>
      <w:r w:rsidRPr="00240730" w:rsidR="0090407F">
        <w:t xml:space="preserve"> remained unenforced. Accordingly, </w:t>
      </w:r>
      <w:r w:rsidRPr="00240730" w:rsidR="004D171A">
        <w:t xml:space="preserve">the proceedings for index-linking were not an effective remedy in the </w:t>
      </w:r>
      <w:r w:rsidRPr="00240730" w:rsidR="0090407F">
        <w:t xml:space="preserve">circumstances of the </w:t>
      </w:r>
      <w:r w:rsidRPr="00240730" w:rsidR="004D171A">
        <w:t>present case</w:t>
      </w:r>
      <w:r w:rsidRPr="00240730" w:rsidR="00153E70">
        <w:t xml:space="preserve"> (see, </w:t>
      </w:r>
      <w:r w:rsidRPr="00240730" w:rsidR="00153E70">
        <w:rPr>
          <w:i/>
        </w:rPr>
        <w:t>mutatis mutandis</w:t>
      </w:r>
      <w:r w:rsidRPr="00240730" w:rsidR="00153E70">
        <w:t xml:space="preserve">, </w:t>
      </w:r>
      <w:proofErr w:type="spellStart"/>
      <w:r w:rsidRPr="00240730" w:rsidR="00153E70">
        <w:rPr>
          <w:i/>
        </w:rPr>
        <w:t>Burdov</w:t>
      </w:r>
      <w:proofErr w:type="spellEnd"/>
      <w:r w:rsidRPr="00240730" w:rsidR="00153E70">
        <w:rPr>
          <w:i/>
        </w:rPr>
        <w:t xml:space="preserve"> (no. 2),</w:t>
      </w:r>
      <w:r w:rsidRPr="00240730" w:rsidR="00153E70">
        <w:t xml:space="preserve"> </w:t>
      </w:r>
      <w:r w:rsidRPr="00240730" w:rsidR="00EC344A">
        <w:t>cited above</w:t>
      </w:r>
      <w:r w:rsidRPr="00240730" w:rsidR="00153E70">
        <w:t>, § 108)</w:t>
      </w:r>
      <w:r w:rsidRPr="00240730" w:rsidR="004D171A">
        <w:t>, as they were clearly unable to provide the applicants with adequate and sufficient redress in respect of the alleged violations.</w:t>
      </w:r>
    </w:p>
    <w:bookmarkStart w:name="OAO_exhaustionFin" w:id="59"/>
    <w:p w:rsidRPr="00240730" w:rsidR="00377D0B" w:rsidP="00240730" w:rsidRDefault="00565ABD">
      <w:pPr>
        <w:pStyle w:val="ECHRPara"/>
      </w:pPr>
      <w:r w:rsidRPr="00240730">
        <w:fldChar w:fldCharType="begin"/>
      </w:r>
      <w:r w:rsidRPr="00240730">
        <w:instrText xml:space="preserve"> SEQ level0 \*arabic </w:instrText>
      </w:r>
      <w:r w:rsidRPr="00240730">
        <w:fldChar w:fldCharType="separate"/>
      </w:r>
      <w:r w:rsidRPr="00240730" w:rsidR="00240730">
        <w:rPr>
          <w:noProof/>
        </w:rPr>
        <w:t>130</w:t>
      </w:r>
      <w:r w:rsidRPr="00240730">
        <w:rPr>
          <w:noProof/>
        </w:rPr>
        <w:fldChar w:fldCharType="end"/>
      </w:r>
      <w:bookmarkEnd w:id="59"/>
      <w:r w:rsidRPr="00240730" w:rsidR="004D171A">
        <w:t>.  The Government</w:t>
      </w:r>
      <w:r w:rsidRPr="00240730" w:rsidR="00240730">
        <w:t>’</w:t>
      </w:r>
      <w:r w:rsidRPr="00240730" w:rsidR="004D171A">
        <w:t xml:space="preserve">s </w:t>
      </w:r>
      <w:r w:rsidRPr="00240730" w:rsidR="00FB29BE">
        <w:t>non-exhaustion argument should therefore be rejected.</w:t>
      </w:r>
    </w:p>
    <w:p w:rsidRPr="00240730" w:rsidR="008A64A2" w:rsidP="00240730" w:rsidRDefault="008A64A2">
      <w:pPr>
        <w:pStyle w:val="ECHRHeading4"/>
      </w:pPr>
      <w:r w:rsidRPr="00240730">
        <w:t xml:space="preserve">(c)  Complaints by Mr </w:t>
      </w:r>
      <w:proofErr w:type="spellStart"/>
      <w:r w:rsidRPr="00240730">
        <w:t>Kuzhelev</w:t>
      </w:r>
      <w:proofErr w:type="spellEnd"/>
      <w:r w:rsidRPr="00240730">
        <w:t xml:space="preserve"> and Ms Pavlova</w:t>
      </w:r>
    </w:p>
    <w:bookmarkStart w:name="Para131new" w:id="60"/>
    <w:p w:rsidRPr="00240730" w:rsidR="008A64A2" w:rsidP="00240730" w:rsidRDefault="008A64A2">
      <w:pPr>
        <w:pStyle w:val="ECHRPara"/>
      </w:pPr>
      <w:r w:rsidRPr="00240730">
        <w:fldChar w:fldCharType="begin"/>
      </w:r>
      <w:r w:rsidRPr="00240730">
        <w:instrText xml:space="preserve"> SEQ level0 \*arabic </w:instrText>
      </w:r>
      <w:r w:rsidRPr="00240730">
        <w:fldChar w:fldCharType="separate"/>
      </w:r>
      <w:r w:rsidRPr="00240730" w:rsidR="00240730">
        <w:rPr>
          <w:noProof/>
        </w:rPr>
        <w:t>131</w:t>
      </w:r>
      <w:r w:rsidRPr="00240730">
        <w:fldChar w:fldCharType="end"/>
      </w:r>
      <w:bookmarkEnd w:id="60"/>
      <w:r w:rsidRPr="00240730">
        <w:t>.  The Court further notes from the Government</w:t>
      </w:r>
      <w:r w:rsidRPr="00240730" w:rsidR="00240730">
        <w:t>’</w:t>
      </w:r>
      <w:r w:rsidRPr="00240730">
        <w:t xml:space="preserve">s submissions not disputed by the applicants that Mr </w:t>
      </w:r>
      <w:proofErr w:type="spellStart"/>
      <w:r w:rsidRPr="00240730">
        <w:t>Kuzhelev</w:t>
      </w:r>
      <w:proofErr w:type="spellEnd"/>
      <w:r w:rsidRPr="00240730">
        <w:t xml:space="preserve"> and Ms Pavlova failed to collect the original orders in respect of the awards made in the index-linking proceedings from the domestic court (see paragraph 33 above and Column 5 of Appendix II). Having regard to its case-law concerning the minimum requirement of creditors</w:t>
      </w:r>
      <w:r w:rsidRPr="00240730" w:rsidR="00240730">
        <w:t>’</w:t>
      </w:r>
      <w:r w:rsidRPr="00240730">
        <w:t xml:space="preserve"> cooperation (see, </w:t>
      </w:r>
      <w:r w:rsidRPr="00240730">
        <w:rPr>
          <w:i/>
          <w:iCs/>
        </w:rPr>
        <w:t xml:space="preserve">mutatis mutandis, </w:t>
      </w:r>
      <w:proofErr w:type="spellStart"/>
      <w:r w:rsidRPr="00240730">
        <w:rPr>
          <w:i/>
          <w:iCs/>
        </w:rPr>
        <w:t>Gadzhikhanov</w:t>
      </w:r>
      <w:proofErr w:type="spellEnd"/>
      <w:r w:rsidRPr="00240730">
        <w:rPr>
          <w:i/>
          <w:iCs/>
        </w:rPr>
        <w:t xml:space="preserve"> and </w:t>
      </w:r>
      <w:proofErr w:type="spellStart"/>
      <w:r w:rsidRPr="00240730">
        <w:rPr>
          <w:i/>
          <w:iCs/>
        </w:rPr>
        <w:t>Saukov</w:t>
      </w:r>
      <w:proofErr w:type="spellEnd"/>
      <w:r w:rsidRPr="00240730">
        <w:t>, cited above, § 26-31) the Court considers that the authorities cannot be held responsible for the applicants</w:t>
      </w:r>
      <w:r w:rsidRPr="00240730" w:rsidR="00240730">
        <w:t>’</w:t>
      </w:r>
      <w:r w:rsidRPr="00240730">
        <w:t xml:space="preserve"> unexplained refusal to collect the writs of enforcement. It follows that this part of the complaint is manifestly ill-founded and must be rejected under Article 35 §§ 1 and 3 (a) of the Convention.</w:t>
      </w:r>
    </w:p>
    <w:p w:rsidRPr="00240730" w:rsidR="009274DD" w:rsidP="00240730" w:rsidRDefault="001C2F32">
      <w:pPr>
        <w:pStyle w:val="ECHRHeading4"/>
      </w:pPr>
      <w:r w:rsidRPr="00240730">
        <w:t>(</w:t>
      </w:r>
      <w:r w:rsidRPr="00240730" w:rsidR="008A64A2">
        <w:t>d</w:t>
      </w:r>
      <w:r w:rsidRPr="00240730" w:rsidR="009274DD">
        <w:t>)  Conclusion</w:t>
      </w:r>
    </w:p>
    <w:p w:rsidRPr="00240730" w:rsidR="009274DD" w:rsidP="00240730" w:rsidRDefault="009274DD">
      <w:pPr>
        <w:pStyle w:val="ECHRPara"/>
      </w:pPr>
      <w:r w:rsidRPr="00240730">
        <w:fldChar w:fldCharType="begin"/>
      </w:r>
      <w:r w:rsidRPr="00240730">
        <w:instrText xml:space="preserve"> SEQ level0 \*arabic </w:instrText>
      </w:r>
      <w:r w:rsidRPr="00240730">
        <w:fldChar w:fldCharType="separate"/>
      </w:r>
      <w:r w:rsidRPr="00240730" w:rsidR="00240730">
        <w:rPr>
          <w:noProof/>
        </w:rPr>
        <w:t>132</w:t>
      </w:r>
      <w:r w:rsidRPr="00240730">
        <w:fldChar w:fldCharType="end"/>
      </w:r>
      <w:r w:rsidRPr="00240730">
        <w:t>.  The Court further notes that the complaint</w:t>
      </w:r>
      <w:r w:rsidRPr="00240730" w:rsidR="002C3DFF">
        <w:t xml:space="preserve">s (a) by Mr </w:t>
      </w:r>
      <w:proofErr w:type="spellStart"/>
      <w:r w:rsidRPr="00240730" w:rsidR="002C3DFF">
        <w:t>Kuzhelev</w:t>
      </w:r>
      <w:proofErr w:type="spellEnd"/>
      <w:r w:rsidRPr="00240730" w:rsidR="002C3DFF">
        <w:t>, Ms</w:t>
      </w:r>
      <w:r w:rsidRPr="00240730" w:rsidR="002B33DC">
        <w:t> </w:t>
      </w:r>
      <w:r w:rsidRPr="00240730" w:rsidR="002C3DFF">
        <w:t>Pavlova, Ms </w:t>
      </w:r>
      <w:proofErr w:type="spellStart"/>
      <w:r w:rsidRPr="00240730" w:rsidR="002C3DFF">
        <w:t>Lebedeva</w:t>
      </w:r>
      <w:proofErr w:type="spellEnd"/>
      <w:r w:rsidRPr="00240730" w:rsidR="002C3DFF">
        <w:t xml:space="preserve">, Ms </w:t>
      </w:r>
      <w:proofErr w:type="spellStart"/>
      <w:r w:rsidRPr="00240730" w:rsidR="002C3DFF">
        <w:t>Petrova</w:t>
      </w:r>
      <w:proofErr w:type="spellEnd"/>
      <w:r w:rsidRPr="00240730" w:rsidR="002C3DFF">
        <w:t xml:space="preserve">, Ms </w:t>
      </w:r>
      <w:proofErr w:type="spellStart"/>
      <w:r w:rsidRPr="00240730" w:rsidR="002C3DFF">
        <w:t>Kudryashova</w:t>
      </w:r>
      <w:proofErr w:type="spellEnd"/>
      <w:r w:rsidRPr="00240730" w:rsidR="002C3DFF">
        <w:t xml:space="preserve"> and Mr </w:t>
      </w:r>
      <w:proofErr w:type="spellStart"/>
      <w:r w:rsidRPr="00240730" w:rsidR="002C3DFF">
        <w:t>Tomilin</w:t>
      </w:r>
      <w:proofErr w:type="spellEnd"/>
      <w:r w:rsidRPr="00240730" w:rsidR="002C3DFF">
        <w:t xml:space="preserve"> about the non-enforcement of the court orders and decisions in respect of salaries for June to July 2008 against the OAO; and (b) by</w:t>
      </w:r>
      <w:r w:rsidRPr="00240730" w:rsidR="00D33A86">
        <w:t xml:space="preserve"> Ms </w:t>
      </w:r>
      <w:proofErr w:type="spellStart"/>
      <w:r w:rsidRPr="00240730" w:rsidR="00D33A86">
        <w:t>Petrova</w:t>
      </w:r>
      <w:proofErr w:type="spellEnd"/>
      <w:r w:rsidRPr="00240730" w:rsidR="00D33A86">
        <w:t>, Ms </w:t>
      </w:r>
      <w:proofErr w:type="spellStart"/>
      <w:r w:rsidRPr="00240730" w:rsidR="002C3DFF">
        <w:t>Lebedeva</w:t>
      </w:r>
      <w:proofErr w:type="spellEnd"/>
      <w:r w:rsidRPr="00240730" w:rsidR="002C3DFF">
        <w:t xml:space="preserve"> and Mr </w:t>
      </w:r>
      <w:proofErr w:type="spellStart"/>
      <w:r w:rsidRPr="00240730" w:rsidR="002C3DFF">
        <w:t>Tomilin</w:t>
      </w:r>
      <w:proofErr w:type="spellEnd"/>
      <w:r w:rsidRPr="00240730" w:rsidR="002C3DFF">
        <w:t xml:space="preserve"> about the index-linking of those awards (all listed in the relevant column of Appendix II) are </w:t>
      </w:r>
      <w:r w:rsidRPr="00240730">
        <w:t>not manifestly ill</w:t>
      </w:r>
      <w:r w:rsidRPr="00240730">
        <w:noBreakHyphen/>
        <w:t xml:space="preserve">founded within the meaning of Article 35 § 3 (a) of the Convention. It further notes that </w:t>
      </w:r>
      <w:r w:rsidRPr="00240730" w:rsidR="002C3DFF">
        <w:t>they are</w:t>
      </w:r>
      <w:r w:rsidRPr="00240730">
        <w:t xml:space="preserve"> not inadmissible on any other grounds. </w:t>
      </w:r>
      <w:r w:rsidRPr="00240730" w:rsidR="002C3DFF">
        <w:t>They</w:t>
      </w:r>
      <w:r w:rsidRPr="00240730">
        <w:t xml:space="preserve"> must therefore be declared admissible.</w:t>
      </w:r>
    </w:p>
    <w:p w:rsidRPr="00240730" w:rsidR="000958B8" w:rsidP="00240730" w:rsidRDefault="000958B8">
      <w:pPr>
        <w:pStyle w:val="ECHRHeading3"/>
      </w:pPr>
      <w:r w:rsidRPr="00240730">
        <w:t>2.  Complaint by Mr Smirnov</w:t>
      </w:r>
    </w:p>
    <w:p w:rsidRPr="00240730" w:rsidR="000958B8" w:rsidP="00240730" w:rsidRDefault="000958B8">
      <w:pPr>
        <w:pStyle w:val="ECHRPara"/>
      </w:pPr>
      <w:r w:rsidRPr="00240730">
        <w:fldChar w:fldCharType="begin"/>
      </w:r>
      <w:r w:rsidRPr="00240730">
        <w:instrText xml:space="preserve"> SEQ level0 \*arabic </w:instrText>
      </w:r>
      <w:r w:rsidRPr="00240730">
        <w:fldChar w:fldCharType="separate"/>
      </w:r>
      <w:r w:rsidRPr="00240730" w:rsidR="00240730">
        <w:rPr>
          <w:noProof/>
        </w:rPr>
        <w:t>133</w:t>
      </w:r>
      <w:r w:rsidRPr="00240730">
        <w:fldChar w:fldCharType="end"/>
      </w:r>
      <w:r w:rsidRPr="00240730">
        <w:t>.  The Court notes that Mr Smirnov complained about the non</w:t>
      </w:r>
      <w:r w:rsidRPr="00240730">
        <w:noBreakHyphen/>
        <w:t xml:space="preserve">enforcement of the judicial decision of 23 September 2008 ordering the OAO to pay him </w:t>
      </w:r>
      <w:r w:rsidRPr="00240730" w:rsidR="00BD1CE0">
        <w:t>EUR 11</w:t>
      </w:r>
      <w:r w:rsidRPr="00240730" w:rsidR="005A03D0">
        <w:t xml:space="preserve"> (see Column no. 6 of Appendix II)</w:t>
      </w:r>
      <w:r w:rsidRPr="00240730">
        <w:t xml:space="preserve">. Considering the minor nature of the award, the Court arrives at the conclusion that the applicant did not suffer a significant disadvantage as a result of the failure to enforce the </w:t>
      </w:r>
      <w:r w:rsidRPr="00240730" w:rsidR="0088029F">
        <w:t>award</w:t>
      </w:r>
      <w:r w:rsidRPr="00240730">
        <w:t xml:space="preserve"> in good time. The Court has already dealt with </w:t>
      </w:r>
      <w:r w:rsidRPr="00240730" w:rsidR="00587584">
        <w:t xml:space="preserve">an </w:t>
      </w:r>
      <w:r w:rsidRPr="00240730">
        <w:t xml:space="preserve">issue </w:t>
      </w:r>
      <w:r w:rsidRPr="00240730" w:rsidR="0088029F">
        <w:t>similar to that at stake in the present case</w:t>
      </w:r>
      <w:r w:rsidRPr="00240730">
        <w:t xml:space="preserve"> on several occasions (see </w:t>
      </w:r>
      <w:proofErr w:type="spellStart"/>
      <w:r w:rsidRPr="00240730">
        <w:rPr>
          <w:i/>
        </w:rPr>
        <w:t>Anokhin</w:t>
      </w:r>
      <w:proofErr w:type="spellEnd"/>
      <w:r w:rsidRPr="00240730">
        <w:rPr>
          <w:i/>
        </w:rPr>
        <w:t xml:space="preserve"> and Khachatryan, </w:t>
      </w:r>
      <w:r w:rsidRPr="00240730">
        <w:t>both cited above)</w:t>
      </w:r>
      <w:r w:rsidRPr="00240730">
        <w:rPr>
          <w:i/>
        </w:rPr>
        <w:t xml:space="preserve"> </w:t>
      </w:r>
      <w:r w:rsidRPr="00240730">
        <w:t>and concludes that respect for human rights, as defined in the Convention and the Protocols thereto, does not require examination of the present complaint on its merits. Lastly, it observes that the applicant</w:t>
      </w:r>
      <w:r w:rsidRPr="00240730" w:rsidR="00240730">
        <w:t>’</w:t>
      </w:r>
      <w:r w:rsidRPr="00240730">
        <w:t>s case was duly considered by a domestic tribunal within the meaning of Article 35 § 3 (b).</w:t>
      </w:r>
    </w:p>
    <w:p w:rsidRPr="00240730" w:rsidR="000958B8" w:rsidP="00240730" w:rsidRDefault="000958B8">
      <w:pPr>
        <w:pStyle w:val="ECHRPara"/>
      </w:pPr>
      <w:r w:rsidRPr="00240730">
        <w:fldChar w:fldCharType="begin"/>
      </w:r>
      <w:r w:rsidRPr="00240730">
        <w:instrText xml:space="preserve"> SEQ level0 \*arabic </w:instrText>
      </w:r>
      <w:r w:rsidRPr="00240730">
        <w:fldChar w:fldCharType="separate"/>
      </w:r>
      <w:r w:rsidRPr="00240730" w:rsidR="00240730">
        <w:rPr>
          <w:noProof/>
        </w:rPr>
        <w:t>134</w:t>
      </w:r>
      <w:r w:rsidRPr="00240730">
        <w:fldChar w:fldCharType="end"/>
      </w:r>
      <w:r w:rsidRPr="00240730">
        <w:t>.  In view of the foregoing, the Court finds that the application in this part must be declared inadmissible under Article 35 §§ 3 (b) and 4 of the Convention.</w:t>
      </w:r>
    </w:p>
    <w:p w:rsidRPr="00240730" w:rsidR="00F34707" w:rsidP="00240730" w:rsidRDefault="000958B8">
      <w:pPr>
        <w:pStyle w:val="ECHRHeading2"/>
      </w:pPr>
      <w:r w:rsidRPr="00240730">
        <w:t>B</w:t>
      </w:r>
      <w:r w:rsidRPr="00240730" w:rsidR="00F34707">
        <w:t>.  Merits</w:t>
      </w:r>
    </w:p>
    <w:bookmarkStart w:name="MeritsOAO_1" w:id="61"/>
    <w:p w:rsidRPr="00240730" w:rsidR="00377D0B" w:rsidP="00240730" w:rsidRDefault="00D54131">
      <w:pPr>
        <w:pStyle w:val="ECHRPara"/>
      </w:pPr>
      <w:r w:rsidRPr="00240730">
        <w:fldChar w:fldCharType="begin"/>
      </w:r>
      <w:r w:rsidRPr="00240730">
        <w:instrText xml:space="preserve"> SEQ level0 \*arabic </w:instrText>
      </w:r>
      <w:r w:rsidRPr="00240730">
        <w:fldChar w:fldCharType="separate"/>
      </w:r>
      <w:r w:rsidRPr="00240730" w:rsidR="00240730">
        <w:rPr>
          <w:noProof/>
        </w:rPr>
        <w:t>135</w:t>
      </w:r>
      <w:r w:rsidRPr="00240730">
        <w:rPr>
          <w:noProof/>
        </w:rPr>
        <w:fldChar w:fldCharType="end"/>
      </w:r>
      <w:bookmarkEnd w:id="61"/>
      <w:r w:rsidRPr="00240730" w:rsidR="00022AB8">
        <w:t xml:space="preserve">.  The </w:t>
      </w:r>
      <w:r w:rsidRPr="00240730" w:rsidR="009274DD">
        <w:t xml:space="preserve">awards made by the </w:t>
      </w:r>
      <w:r w:rsidRPr="00240730" w:rsidR="0035230E">
        <w:t>j</w:t>
      </w:r>
      <w:r w:rsidRPr="00240730" w:rsidR="009274DD">
        <w:t xml:space="preserve">ustice of the </w:t>
      </w:r>
      <w:r w:rsidRPr="00240730" w:rsidR="0035230E">
        <w:t>p</w:t>
      </w:r>
      <w:r w:rsidRPr="00240730" w:rsidR="009274DD">
        <w:t xml:space="preserve">eace </w:t>
      </w:r>
      <w:r w:rsidRPr="00240730" w:rsidR="008F0C4D">
        <w:t>in the applicants</w:t>
      </w:r>
      <w:r w:rsidRPr="00240730" w:rsidR="00240730">
        <w:t>’</w:t>
      </w:r>
      <w:r w:rsidRPr="00240730" w:rsidR="008F0C4D">
        <w:t xml:space="preserve"> favour </w:t>
      </w:r>
      <w:r w:rsidRPr="00240730" w:rsidR="00022AB8">
        <w:t>have not been enforced to date. Given the finding of State liability for the</w:t>
      </w:r>
      <w:r w:rsidRPr="00240730" w:rsidR="00A00F22">
        <w:t xml:space="preserve"> OAO</w:t>
      </w:r>
      <w:r w:rsidRPr="00240730" w:rsidR="00240730">
        <w:t>’</w:t>
      </w:r>
      <w:r w:rsidRPr="00240730" w:rsidR="00A00F22">
        <w:t>s</w:t>
      </w:r>
      <w:r w:rsidRPr="00240730" w:rsidR="00022AB8">
        <w:t xml:space="preserve"> debts owed to the applicants in the present case, the period of non-</w:t>
      </w:r>
      <w:r w:rsidRPr="00240730" w:rsidR="002B0AF3">
        <w:t xml:space="preserve">enforcement </w:t>
      </w:r>
      <w:r w:rsidRPr="00240730" w:rsidR="00022AB8">
        <w:t xml:space="preserve">should include the period of debt recovery in the course of the liquidation proceedings (see </w:t>
      </w:r>
      <w:proofErr w:type="spellStart"/>
      <w:r w:rsidRPr="00240730" w:rsidR="00A00F22">
        <w:rPr>
          <w:i/>
        </w:rPr>
        <w:t>Mykhaylenky</w:t>
      </w:r>
      <w:proofErr w:type="spellEnd"/>
      <w:r w:rsidRPr="00240730" w:rsidR="00A00F22">
        <w:rPr>
          <w:i/>
        </w:rPr>
        <w:t xml:space="preserve"> and Others</w:t>
      </w:r>
      <w:r w:rsidRPr="00240730" w:rsidR="00E16A13">
        <w:t xml:space="preserve">, </w:t>
      </w:r>
      <w:r w:rsidRPr="00240730" w:rsidR="00E17FFE">
        <w:t>cited above, § 53</w:t>
      </w:r>
      <w:r w:rsidRPr="00240730" w:rsidR="00022AB8">
        <w:t>). It is sufficient for the Court to note that in the instant cases the judgment</w:t>
      </w:r>
      <w:r w:rsidRPr="00240730" w:rsidR="009B3B6B">
        <w:t>s</w:t>
      </w:r>
      <w:r w:rsidRPr="00240730" w:rsidR="00022AB8">
        <w:t xml:space="preserve"> </w:t>
      </w:r>
      <w:r w:rsidRPr="00240730" w:rsidR="009B3B6B">
        <w:t>issued in late 2008</w:t>
      </w:r>
      <w:r w:rsidRPr="00240730" w:rsidR="00022AB8">
        <w:t xml:space="preserve"> in favour</w:t>
      </w:r>
      <w:r w:rsidRPr="00240730" w:rsidR="002B0AF3">
        <w:t xml:space="preserve"> of six of the applicants</w:t>
      </w:r>
      <w:r w:rsidRPr="00240730" w:rsidR="00022AB8">
        <w:t xml:space="preserve"> had remained unenforced for </w:t>
      </w:r>
      <w:r w:rsidRPr="00240730" w:rsidR="009B3B6B">
        <w:t xml:space="preserve">more than three years by </w:t>
      </w:r>
      <w:r w:rsidRPr="00240730" w:rsidR="00022AB8">
        <w:t>the date of the debtor company</w:t>
      </w:r>
      <w:r w:rsidRPr="00240730" w:rsidR="00240730">
        <w:t>’</w:t>
      </w:r>
      <w:r w:rsidRPr="00240730" w:rsidR="00022AB8">
        <w:t>s liquidation</w:t>
      </w:r>
      <w:r w:rsidRPr="00240730" w:rsidR="0090407F">
        <w:t xml:space="preserve"> in 2012</w:t>
      </w:r>
      <w:r w:rsidRPr="00240730" w:rsidR="00022AB8">
        <w:t>.</w:t>
      </w:r>
    </w:p>
    <w:p w:rsidRPr="00240730" w:rsidR="00377D0B" w:rsidP="00240730" w:rsidRDefault="00477D61">
      <w:pPr>
        <w:pStyle w:val="ECHRPara"/>
      </w:pPr>
      <w:r w:rsidRPr="00240730">
        <w:fldChar w:fldCharType="begin"/>
      </w:r>
      <w:r w:rsidRPr="00240730">
        <w:instrText xml:space="preserve"> SEQ level0 \*arabic </w:instrText>
      </w:r>
      <w:r w:rsidRPr="00240730">
        <w:fldChar w:fldCharType="separate"/>
      </w:r>
      <w:r w:rsidRPr="00240730" w:rsidR="00240730">
        <w:rPr>
          <w:noProof/>
        </w:rPr>
        <w:t>136</w:t>
      </w:r>
      <w:r w:rsidRPr="00240730">
        <w:rPr>
          <w:noProof/>
        </w:rPr>
        <w:fldChar w:fldCharType="end"/>
      </w:r>
      <w:r w:rsidRPr="00240730" w:rsidR="00022AB8">
        <w:t>.  Such delays are prima facie incompatible with the Convention (see, among many other</w:t>
      </w:r>
      <w:r w:rsidRPr="00240730" w:rsidR="009A575D">
        <w:t xml:space="preserve"> authoritie</w:t>
      </w:r>
      <w:r w:rsidRPr="00240730" w:rsidR="00022AB8">
        <w:t xml:space="preserve">s, </w:t>
      </w:r>
      <w:r w:rsidRPr="00240730" w:rsidR="00022AB8">
        <w:rPr>
          <w:i/>
        </w:rPr>
        <w:t>Kosheleva and Others v.</w:t>
      </w:r>
      <w:r w:rsidRPr="00240730" w:rsidR="00A00F22">
        <w:rPr>
          <w:i/>
        </w:rPr>
        <w:t> </w:t>
      </w:r>
      <w:r w:rsidRPr="00240730" w:rsidR="00022AB8">
        <w:rPr>
          <w:i/>
        </w:rPr>
        <w:t>Russia</w:t>
      </w:r>
      <w:r w:rsidRPr="00240730" w:rsidR="00022AB8">
        <w:t xml:space="preserve">, no. 9046/07, § 19, 17 January 2012). While liquidation proceedings may objectively justify some limited delays in </w:t>
      </w:r>
      <w:r w:rsidRPr="00240730" w:rsidR="00FA5179">
        <w:t>enforcement, the continuing non</w:t>
      </w:r>
      <w:r w:rsidRPr="00240730" w:rsidR="00FA5179">
        <w:noBreakHyphen/>
      </w:r>
      <w:r w:rsidRPr="00240730" w:rsidR="00022AB8">
        <w:t>execution of the judgments in the applicants</w:t>
      </w:r>
      <w:r w:rsidRPr="00240730" w:rsidR="00240730">
        <w:t>’</w:t>
      </w:r>
      <w:r w:rsidRPr="00240730" w:rsidR="00022AB8">
        <w:t xml:space="preserve"> favour for several years could hardly be justified in any circumstances. The facts of the present cases would rather suggest that the authorities did not consider themselves bound by the obligation to honour the judgment debts towards the employees related to their salaries after </w:t>
      </w:r>
      <w:r w:rsidRPr="00240730" w:rsidR="00A00F22">
        <w:t>the FGUP had decided</w:t>
      </w:r>
      <w:r w:rsidRPr="00240730" w:rsidR="00022AB8">
        <w:t xml:space="preserve"> to liquidate the debtor company (see, </w:t>
      </w:r>
      <w:r w:rsidRPr="00240730" w:rsidR="00022AB8">
        <w:rPr>
          <w:i/>
        </w:rPr>
        <w:t>mutatis mutandis</w:t>
      </w:r>
      <w:r w:rsidRPr="00240730" w:rsidR="00022AB8">
        <w:t xml:space="preserve">, </w:t>
      </w:r>
      <w:proofErr w:type="spellStart"/>
      <w:r w:rsidRPr="00240730" w:rsidR="00022AB8">
        <w:rPr>
          <w:i/>
        </w:rPr>
        <w:t>Yershova</w:t>
      </w:r>
      <w:proofErr w:type="spellEnd"/>
      <w:r w:rsidRPr="00240730" w:rsidR="00022AB8">
        <w:t>, cited above, § 72).</w:t>
      </w:r>
    </w:p>
    <w:p w:rsidRPr="00240730" w:rsidR="008B467C" w:rsidP="00240730" w:rsidRDefault="008A64A2">
      <w:pPr>
        <w:pStyle w:val="ECHRPara"/>
      </w:pPr>
      <w:r w:rsidRPr="00240730">
        <w:fldChar w:fldCharType="begin"/>
      </w:r>
      <w:r w:rsidRPr="00240730">
        <w:instrText xml:space="preserve"> SEQ level0 \*arabic </w:instrText>
      </w:r>
      <w:r w:rsidRPr="00240730">
        <w:fldChar w:fldCharType="separate"/>
      </w:r>
      <w:r w:rsidRPr="00240730" w:rsidR="00240730">
        <w:rPr>
          <w:noProof/>
        </w:rPr>
        <w:t>137</w:t>
      </w:r>
      <w:r w:rsidRPr="00240730">
        <w:fldChar w:fldCharType="end"/>
      </w:r>
      <w:r w:rsidRPr="00240730">
        <w:t>.  </w:t>
      </w:r>
      <w:r w:rsidRPr="00240730" w:rsidR="008B467C">
        <w:t>By failing for years to take the necessary measures to comply with the final judgment given in favour of the applicants, the authorities impaired the essence of their “right to a court” and for a considerable period prevented the applicants from receiving the money which they were entitled</w:t>
      </w:r>
      <w:r w:rsidRPr="00240730" w:rsidR="009A575D">
        <w:t xml:space="preserve"> to in full</w:t>
      </w:r>
      <w:r w:rsidRPr="00240730" w:rsidR="008B467C">
        <w:t>, which amounted to a disproportionate interference with the peaceful enjoyment of</w:t>
      </w:r>
      <w:r w:rsidRPr="00240730" w:rsidR="009A575D">
        <w:t xml:space="preserve"> their</w:t>
      </w:r>
      <w:r w:rsidRPr="00240730" w:rsidR="008B467C">
        <w:t xml:space="preserve"> possessions (see </w:t>
      </w:r>
      <w:r w:rsidRPr="00240730" w:rsidR="008B467C">
        <w:rPr>
          <w:i/>
        </w:rPr>
        <w:t>Khachatryan,</w:t>
      </w:r>
      <w:r w:rsidRPr="00240730" w:rsidR="008B467C">
        <w:t xml:space="preserve"> cited above, § 69).</w:t>
      </w:r>
    </w:p>
    <w:bookmarkStart w:name="MeritsOAO_end" w:id="62"/>
    <w:p w:rsidRPr="00240730" w:rsidR="00B22237" w:rsidP="00240730" w:rsidRDefault="001C2F32">
      <w:pPr>
        <w:pStyle w:val="ECHRPara"/>
      </w:pPr>
      <w:r w:rsidRPr="00240730">
        <w:fldChar w:fldCharType="begin"/>
      </w:r>
      <w:r w:rsidRPr="00240730">
        <w:instrText xml:space="preserve"> SEQ level0 \*arabic </w:instrText>
      </w:r>
      <w:r w:rsidRPr="00240730">
        <w:fldChar w:fldCharType="separate"/>
      </w:r>
      <w:r w:rsidRPr="00240730" w:rsidR="00240730">
        <w:rPr>
          <w:noProof/>
        </w:rPr>
        <w:t>138</w:t>
      </w:r>
      <w:r w:rsidRPr="00240730">
        <w:rPr>
          <w:noProof/>
        </w:rPr>
        <w:fldChar w:fldCharType="end"/>
      </w:r>
      <w:bookmarkEnd w:id="62"/>
      <w:r w:rsidRPr="00240730">
        <w:t>.  Accordingly, the</w:t>
      </w:r>
      <w:r w:rsidRPr="00240730" w:rsidR="00B22237">
        <w:t xml:space="preserve"> Court finds, in respect of Mr</w:t>
      </w:r>
      <w:r w:rsidRPr="00240730" w:rsidR="00E16A13">
        <w:t xml:space="preserve"> </w:t>
      </w:r>
      <w:proofErr w:type="spellStart"/>
      <w:r w:rsidRPr="00240730" w:rsidR="00E16A13">
        <w:t>Kuzhelev</w:t>
      </w:r>
      <w:proofErr w:type="spellEnd"/>
      <w:r w:rsidRPr="00240730" w:rsidR="00E16A13">
        <w:t>, Ms </w:t>
      </w:r>
      <w:r w:rsidRPr="00240730" w:rsidR="00B22237">
        <w:t xml:space="preserve">Pavlova, </w:t>
      </w:r>
      <w:r w:rsidRPr="00240730" w:rsidR="00FD4EB0">
        <w:t xml:space="preserve">Ms </w:t>
      </w:r>
      <w:proofErr w:type="spellStart"/>
      <w:r w:rsidRPr="00240730" w:rsidR="00FD4EB0">
        <w:t>Kudryashova</w:t>
      </w:r>
      <w:proofErr w:type="spellEnd"/>
      <w:r w:rsidRPr="00240730" w:rsidR="00FD4EB0">
        <w:t xml:space="preserve">, Ms </w:t>
      </w:r>
      <w:proofErr w:type="spellStart"/>
      <w:r w:rsidRPr="00240730" w:rsidR="00FD4EB0">
        <w:t>Petrova</w:t>
      </w:r>
      <w:proofErr w:type="spellEnd"/>
      <w:r w:rsidRPr="00240730" w:rsidR="00FD4EB0">
        <w:t xml:space="preserve">, </w:t>
      </w:r>
      <w:r w:rsidRPr="00240730" w:rsidR="00B22237">
        <w:t>Ms </w:t>
      </w:r>
      <w:proofErr w:type="spellStart"/>
      <w:r w:rsidRPr="00240730" w:rsidR="00B22237">
        <w:t>Lebedeva</w:t>
      </w:r>
      <w:proofErr w:type="spellEnd"/>
      <w:r w:rsidRPr="00240730" w:rsidR="00E16A13">
        <w:t xml:space="preserve"> and Mr </w:t>
      </w:r>
      <w:proofErr w:type="spellStart"/>
      <w:r w:rsidRPr="00240730" w:rsidR="00B22237">
        <w:t>Tomilin</w:t>
      </w:r>
      <w:proofErr w:type="spellEnd"/>
      <w:r w:rsidRPr="00240730" w:rsidR="00B22237">
        <w:t>, that there has been a violation of Article 6 § 1 of the Convention and Article 1 of Protocol No. 1 on account of the non-enforcement of the court orders and decisions in the applicant</w:t>
      </w:r>
      <w:r w:rsidRPr="00240730" w:rsidR="00240730">
        <w:t>’</w:t>
      </w:r>
      <w:r w:rsidRPr="00240730" w:rsidR="00B22237">
        <w:t>s favour in respect of salaries for June to July 2008 against the OAO</w:t>
      </w:r>
      <w:r w:rsidRPr="00240730" w:rsidR="007221C8">
        <w:t>, as listed in Column 3 of Appendix II</w:t>
      </w:r>
      <w:r w:rsidRPr="00240730" w:rsidR="00B22237">
        <w:t>. It further finds</w:t>
      </w:r>
      <w:r w:rsidRPr="00240730" w:rsidR="00587584">
        <w:t>,</w:t>
      </w:r>
      <w:r w:rsidRPr="00240730" w:rsidR="00B22237">
        <w:t xml:space="preserve"> in respect of </w:t>
      </w:r>
      <w:r w:rsidRPr="00240730" w:rsidR="00FD4EB0">
        <w:t>Ms </w:t>
      </w:r>
      <w:proofErr w:type="spellStart"/>
      <w:r w:rsidRPr="00240730" w:rsidR="00FD4EB0">
        <w:t>Petrova</w:t>
      </w:r>
      <w:proofErr w:type="spellEnd"/>
      <w:r w:rsidRPr="00240730" w:rsidR="00FD4EB0">
        <w:t xml:space="preserve">, </w:t>
      </w:r>
      <w:r w:rsidRPr="00240730" w:rsidR="00B22237">
        <w:t>Ms </w:t>
      </w:r>
      <w:proofErr w:type="spellStart"/>
      <w:r w:rsidRPr="00240730" w:rsidR="00373993">
        <w:t>Lebedeva</w:t>
      </w:r>
      <w:proofErr w:type="spellEnd"/>
      <w:r w:rsidRPr="00240730" w:rsidR="00B22237">
        <w:t xml:space="preserve"> and Mr </w:t>
      </w:r>
      <w:proofErr w:type="spellStart"/>
      <w:r w:rsidRPr="00240730" w:rsidR="00B22237">
        <w:t>Tomilin</w:t>
      </w:r>
      <w:proofErr w:type="spellEnd"/>
      <w:r w:rsidRPr="00240730" w:rsidR="0096218A">
        <w:t>,</w:t>
      </w:r>
      <w:r w:rsidRPr="00240730" w:rsidR="00B22237">
        <w:t xml:space="preserve"> that there has been a violation of Article 6 § 1 of the Convention and Article 1 of Protocol No. 1 on account of the non-enforcement of the awards in the index-linking proceedings</w:t>
      </w:r>
      <w:r w:rsidRPr="00240730" w:rsidR="007221C8">
        <w:t xml:space="preserve"> against the OAO,</w:t>
      </w:r>
      <w:r w:rsidRPr="00240730" w:rsidR="00B22237">
        <w:t xml:space="preserve"> listed in Column 5 of Appendix II.</w:t>
      </w:r>
    </w:p>
    <w:p w:rsidRPr="00240730" w:rsidR="00014566" w:rsidP="00240730" w:rsidRDefault="00E57DA5">
      <w:pPr>
        <w:pStyle w:val="ECHRHeading1"/>
      </w:pPr>
      <w:r w:rsidRPr="00240730">
        <w:t>IV</w:t>
      </w:r>
      <w:r w:rsidRPr="00240730" w:rsidR="0064252B">
        <w:t>.</w:t>
      </w:r>
      <w:proofErr w:type="gramStart"/>
      <w:r w:rsidRPr="00240730" w:rsidR="0064252B">
        <w:t>  ALLEGED</w:t>
      </w:r>
      <w:proofErr w:type="gramEnd"/>
      <w:r w:rsidRPr="00240730" w:rsidR="0064252B">
        <w:t xml:space="preserve"> </w:t>
      </w:r>
      <w:r w:rsidRPr="00240730" w:rsidR="00F34707">
        <w:t>VIOLATION OF ARTICLE </w:t>
      </w:r>
      <w:r w:rsidRPr="00240730" w:rsidR="00FD3D8C">
        <w:t>13</w:t>
      </w:r>
      <w:r w:rsidRPr="00240730" w:rsidR="00014566">
        <w:t xml:space="preserve"> OF THE CONVENTION</w:t>
      </w:r>
    </w:p>
    <w:p w:rsidRPr="00240730" w:rsidR="00377D0B" w:rsidP="00240730" w:rsidRDefault="00477D61">
      <w:pPr>
        <w:pStyle w:val="ECHRPara"/>
      </w:pPr>
      <w:r w:rsidRPr="00240730">
        <w:fldChar w:fldCharType="begin"/>
      </w:r>
      <w:r w:rsidRPr="00240730">
        <w:instrText xml:space="preserve"> SEQ level0 \*arabic </w:instrText>
      </w:r>
      <w:r w:rsidRPr="00240730">
        <w:fldChar w:fldCharType="separate"/>
      </w:r>
      <w:r w:rsidRPr="00240730" w:rsidR="00240730">
        <w:rPr>
          <w:noProof/>
        </w:rPr>
        <w:t>139</w:t>
      </w:r>
      <w:r w:rsidRPr="00240730">
        <w:rPr>
          <w:noProof/>
        </w:rPr>
        <w:fldChar w:fldCharType="end"/>
      </w:r>
      <w:r w:rsidRPr="00240730" w:rsidR="00014566">
        <w:t>.  The applicant</w:t>
      </w:r>
      <w:r w:rsidRPr="00240730" w:rsidR="000B07BC">
        <w:t>s</w:t>
      </w:r>
      <w:r w:rsidRPr="00240730" w:rsidR="00014566">
        <w:t xml:space="preserve"> further complained </w:t>
      </w:r>
      <w:r w:rsidRPr="00240730" w:rsidR="00912B9F">
        <w:t xml:space="preserve">under Article 13 of the Convention that they </w:t>
      </w:r>
      <w:r w:rsidRPr="00240730" w:rsidR="00BE3457">
        <w:t>had no</w:t>
      </w:r>
      <w:r w:rsidRPr="00240730" w:rsidR="00912B9F">
        <w:t xml:space="preserve"> effective remedies </w:t>
      </w:r>
      <w:r w:rsidRPr="00240730" w:rsidR="00BE3457">
        <w:t xml:space="preserve">at their disposal </w:t>
      </w:r>
      <w:r w:rsidRPr="00240730" w:rsidR="00912B9F">
        <w:t>in respect of the non-enforcement complaints against both the FGUP and the OAO.</w:t>
      </w:r>
    </w:p>
    <w:p w:rsidRPr="00240730" w:rsidR="00377D0B" w:rsidP="00240730" w:rsidRDefault="00477D61">
      <w:pPr>
        <w:pStyle w:val="ECHRPara"/>
      </w:pPr>
      <w:r w:rsidRPr="00240730">
        <w:fldChar w:fldCharType="begin"/>
      </w:r>
      <w:r w:rsidRPr="00240730">
        <w:instrText xml:space="preserve"> SEQ level0 \*arabic </w:instrText>
      </w:r>
      <w:r w:rsidRPr="00240730">
        <w:fldChar w:fldCharType="separate"/>
      </w:r>
      <w:r w:rsidRPr="00240730" w:rsidR="00240730">
        <w:rPr>
          <w:noProof/>
        </w:rPr>
        <w:t>140</w:t>
      </w:r>
      <w:r w:rsidRPr="00240730">
        <w:rPr>
          <w:noProof/>
        </w:rPr>
        <w:fldChar w:fldCharType="end"/>
      </w:r>
      <w:r w:rsidRPr="00240730" w:rsidR="00014566">
        <w:t>.  </w:t>
      </w:r>
      <w:r w:rsidRPr="00240730" w:rsidR="0005534E">
        <w:t>Having regard to the finding</w:t>
      </w:r>
      <w:r w:rsidRPr="00240730" w:rsidR="00912B9F">
        <w:t>s</w:t>
      </w:r>
      <w:r w:rsidRPr="00240730" w:rsidR="002C4274">
        <w:t xml:space="preserve"> </w:t>
      </w:r>
      <w:r w:rsidRPr="00240730" w:rsidR="0090407F">
        <w:t>in paragraphs </w:t>
      </w:r>
      <w:r w:rsidRPr="00240730" w:rsidR="0090407F">
        <w:fldChar w:fldCharType="begin"/>
      </w:r>
      <w:r w:rsidRPr="00240730" w:rsidR="0090407F">
        <w:instrText xml:space="preserve"> REF ExhaustionFGUP \h </w:instrText>
      </w:r>
      <w:r w:rsidRPr="00240730" w:rsidR="0090407F">
        <w:fldChar w:fldCharType="separate"/>
      </w:r>
      <w:r w:rsidRPr="00240730" w:rsidR="00240730">
        <w:rPr>
          <w:noProof/>
        </w:rPr>
        <w:t>101</w:t>
      </w:r>
      <w:r w:rsidRPr="00240730" w:rsidR="0090407F">
        <w:fldChar w:fldCharType="end"/>
      </w:r>
      <w:r w:rsidRPr="00240730" w:rsidR="0090407F">
        <w:t xml:space="preserve"> and </w:t>
      </w:r>
      <w:r w:rsidRPr="00240730" w:rsidR="0090407F">
        <w:fldChar w:fldCharType="begin"/>
      </w:r>
      <w:r w:rsidRPr="00240730" w:rsidR="0090407F">
        <w:instrText xml:space="preserve"> REF OAO_exhaustion1 \h </w:instrText>
      </w:r>
      <w:r w:rsidRPr="00240730" w:rsidR="0090407F">
        <w:fldChar w:fldCharType="separate"/>
      </w:r>
      <w:r w:rsidRPr="00240730" w:rsidR="00240730">
        <w:rPr>
          <w:noProof/>
        </w:rPr>
        <w:t>126</w:t>
      </w:r>
      <w:r w:rsidRPr="00240730" w:rsidR="0090407F">
        <w:fldChar w:fldCharType="end"/>
      </w:r>
      <w:r w:rsidRPr="00240730" w:rsidR="00A8155D">
        <w:rPr>
          <w:rFonts w:cstheme="minorHAnsi"/>
        </w:rPr>
        <w:t>‒</w:t>
      </w:r>
      <w:r w:rsidRPr="00240730" w:rsidR="0090407F">
        <w:fldChar w:fldCharType="begin"/>
      </w:r>
      <w:r w:rsidRPr="00240730" w:rsidR="0090407F">
        <w:instrText xml:space="preserve"> REF OAO_exhaustionFin \h </w:instrText>
      </w:r>
      <w:r w:rsidRPr="00240730" w:rsidR="0090407F">
        <w:fldChar w:fldCharType="separate"/>
      </w:r>
      <w:r w:rsidRPr="00240730" w:rsidR="00240730">
        <w:rPr>
          <w:noProof/>
        </w:rPr>
        <w:t>130</w:t>
      </w:r>
      <w:r w:rsidRPr="00240730" w:rsidR="0090407F">
        <w:fldChar w:fldCharType="end"/>
      </w:r>
      <w:r w:rsidRPr="00240730" w:rsidR="0090407F">
        <w:t xml:space="preserve"> above</w:t>
      </w:r>
      <w:r w:rsidRPr="00240730" w:rsidR="0005534E">
        <w:t xml:space="preserve">, the Court considers that it is not necessary to examine </w:t>
      </w:r>
      <w:r w:rsidRPr="00240730" w:rsidR="00912B9F">
        <w:t>separately the admissibility and merits of this complaint.</w:t>
      </w:r>
    </w:p>
    <w:p w:rsidRPr="00240730" w:rsidR="00A81AFC" w:rsidP="00240730" w:rsidRDefault="004C0DDB">
      <w:pPr>
        <w:pStyle w:val="ECHRHeading1"/>
      </w:pPr>
      <w:r w:rsidRPr="00240730">
        <w:t>V</w:t>
      </w:r>
      <w:r w:rsidRPr="00240730" w:rsidR="00574718">
        <w:t>.  </w:t>
      </w:r>
      <w:r w:rsidRPr="00240730" w:rsidR="00A81AFC">
        <w:t>OTHER ALLEGED VIOLATIONS OF THE CONVENTION</w:t>
      </w:r>
    </w:p>
    <w:p w:rsidRPr="00240730" w:rsidR="006A5958" w:rsidP="00240730" w:rsidRDefault="00A81AFC">
      <w:pPr>
        <w:pStyle w:val="ECHRPara"/>
      </w:pPr>
      <w:r w:rsidRPr="00240730">
        <w:fldChar w:fldCharType="begin"/>
      </w:r>
      <w:r w:rsidRPr="00240730">
        <w:instrText xml:space="preserve"> SEQ level0 \*arabic </w:instrText>
      </w:r>
      <w:r w:rsidRPr="00240730">
        <w:fldChar w:fldCharType="separate"/>
      </w:r>
      <w:r w:rsidRPr="00240730" w:rsidR="00240730">
        <w:rPr>
          <w:noProof/>
        </w:rPr>
        <w:t>141</w:t>
      </w:r>
      <w:r w:rsidRPr="00240730">
        <w:fldChar w:fldCharType="end"/>
      </w:r>
      <w:r w:rsidRPr="00240730">
        <w:t>.  </w:t>
      </w:r>
      <w:r w:rsidRPr="00240730" w:rsidR="006A5958">
        <w:t xml:space="preserve">Lastly, </w:t>
      </w:r>
      <w:r w:rsidRPr="00240730" w:rsidR="00BC479A">
        <w:t>Mr Smirnov</w:t>
      </w:r>
      <w:r w:rsidRPr="00240730" w:rsidR="006A5958">
        <w:t xml:space="preserve"> raised other complaints</w:t>
      </w:r>
      <w:r w:rsidRPr="00240730" w:rsidR="00344EBB">
        <w:t xml:space="preserve"> under Articles </w:t>
      </w:r>
      <w:r w:rsidRPr="00240730" w:rsidR="006A5958">
        <w:t>6 and 14 of the Convention.</w:t>
      </w:r>
    </w:p>
    <w:p w:rsidRPr="00240730" w:rsidR="006A5958" w:rsidP="00240730" w:rsidRDefault="00477D61">
      <w:pPr>
        <w:pStyle w:val="ECHRPara"/>
      </w:pPr>
      <w:r w:rsidRPr="00240730">
        <w:fldChar w:fldCharType="begin"/>
      </w:r>
      <w:r w:rsidRPr="00240730">
        <w:instrText xml:space="preserve"> SEQ level0 \*arabic </w:instrText>
      </w:r>
      <w:r w:rsidRPr="00240730">
        <w:fldChar w:fldCharType="separate"/>
      </w:r>
      <w:r w:rsidRPr="00240730" w:rsidR="00240730">
        <w:rPr>
          <w:noProof/>
        </w:rPr>
        <w:t>142</w:t>
      </w:r>
      <w:r w:rsidRPr="00240730">
        <w:rPr>
          <w:noProof/>
        </w:rPr>
        <w:fldChar w:fldCharType="end"/>
      </w:r>
      <w:r w:rsidRPr="00240730" w:rsidR="006A5958">
        <w:t>.  The Court considers that, in the light of all the material in its possession and in so far as the matter complained of is within its competence, the complaints do not disclose any appearance of a violation of the rights and freedoms enshrined in the Convention or the Protocols thereto.</w:t>
      </w:r>
    </w:p>
    <w:p w:rsidRPr="00240730" w:rsidR="006A5958" w:rsidP="00240730" w:rsidRDefault="00477D61">
      <w:pPr>
        <w:pStyle w:val="ECHRPara"/>
      </w:pPr>
      <w:r w:rsidRPr="00240730">
        <w:fldChar w:fldCharType="begin"/>
      </w:r>
      <w:r w:rsidRPr="00240730">
        <w:instrText xml:space="preserve"> SEQ level0 \*arabic </w:instrText>
      </w:r>
      <w:r w:rsidRPr="00240730">
        <w:fldChar w:fldCharType="separate"/>
      </w:r>
      <w:r w:rsidRPr="00240730" w:rsidR="00240730">
        <w:rPr>
          <w:noProof/>
        </w:rPr>
        <w:t>143</w:t>
      </w:r>
      <w:r w:rsidRPr="00240730">
        <w:rPr>
          <w:noProof/>
        </w:rPr>
        <w:fldChar w:fldCharType="end"/>
      </w:r>
      <w:r w:rsidRPr="00240730" w:rsidR="006A5958">
        <w:t>.  It follows that this part of the application must be reje</w:t>
      </w:r>
      <w:r w:rsidRPr="00240730" w:rsidR="00344EBB">
        <w:t>cted in accordance with Article </w:t>
      </w:r>
      <w:r w:rsidRPr="00240730" w:rsidR="006A5958">
        <w:t>35</w:t>
      </w:r>
      <w:r w:rsidRPr="00240730" w:rsidR="00344EBB">
        <w:t> </w:t>
      </w:r>
      <w:r w:rsidRPr="00240730" w:rsidR="006A5958">
        <w:t>§§</w:t>
      </w:r>
      <w:r w:rsidRPr="00240730" w:rsidR="00344EBB">
        <w:t> </w:t>
      </w:r>
      <w:r w:rsidRPr="00240730" w:rsidR="006A5958">
        <w:t>3</w:t>
      </w:r>
      <w:r w:rsidRPr="00240730" w:rsidR="00344EBB">
        <w:t> </w:t>
      </w:r>
      <w:r w:rsidRPr="00240730" w:rsidR="006A5958">
        <w:t>(a) and 4 of the Convention.</w:t>
      </w:r>
    </w:p>
    <w:p w:rsidRPr="00240730" w:rsidR="00014566" w:rsidP="00240730" w:rsidRDefault="00A81AFC">
      <w:pPr>
        <w:pStyle w:val="ECHRHeading1"/>
      </w:pPr>
      <w:r w:rsidRPr="00240730">
        <w:t>V</w:t>
      </w:r>
      <w:r w:rsidRPr="00240730" w:rsidR="00E57DA5">
        <w:t>I</w:t>
      </w:r>
      <w:r w:rsidRPr="00240730">
        <w:t>.</w:t>
      </w:r>
      <w:proofErr w:type="gramStart"/>
      <w:r w:rsidRPr="00240730">
        <w:t>  </w:t>
      </w:r>
      <w:r w:rsidRPr="00240730" w:rsidR="00574718">
        <w:t>APPLICATION</w:t>
      </w:r>
      <w:proofErr w:type="gramEnd"/>
      <w:r w:rsidRPr="00240730" w:rsidR="00574718">
        <w:t xml:space="preserve"> OF ARTICLE </w:t>
      </w:r>
      <w:r w:rsidRPr="00240730" w:rsidR="00014566">
        <w:t>41 OF THE CONVENTION</w:t>
      </w:r>
    </w:p>
    <w:p w:rsidRPr="00240730" w:rsidR="00014566" w:rsidP="00240730" w:rsidRDefault="000B07BC">
      <w:pPr>
        <w:pStyle w:val="ECHRPara"/>
        <w:keepNext/>
        <w:keepLines/>
      </w:pPr>
      <w:r w:rsidRPr="00240730">
        <w:fldChar w:fldCharType="begin"/>
      </w:r>
      <w:r w:rsidRPr="00240730">
        <w:instrText xml:space="preserve"> SEQ level0 \*arabic </w:instrText>
      </w:r>
      <w:r w:rsidRPr="00240730">
        <w:fldChar w:fldCharType="separate"/>
      </w:r>
      <w:r w:rsidRPr="00240730" w:rsidR="00240730">
        <w:rPr>
          <w:noProof/>
        </w:rPr>
        <w:t>144</w:t>
      </w:r>
      <w:r w:rsidRPr="00240730">
        <w:fldChar w:fldCharType="end"/>
      </w:r>
      <w:r w:rsidRPr="00240730" w:rsidR="00014566">
        <w:t>.  Article</w:t>
      </w:r>
      <w:r w:rsidRPr="00240730" w:rsidR="00912B9F">
        <w:t> </w:t>
      </w:r>
      <w:r w:rsidRPr="00240730" w:rsidR="00014566">
        <w:t>41 of the Convention provides:</w:t>
      </w:r>
    </w:p>
    <w:p w:rsidRPr="00240730" w:rsidR="00014566" w:rsidP="00240730" w:rsidRDefault="00014566">
      <w:pPr>
        <w:pStyle w:val="ECHRParaQuote"/>
        <w:keepNext/>
        <w:keepLines/>
      </w:pPr>
      <w:r w:rsidRPr="0024073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240730" w:rsidR="00014566" w:rsidP="00240730" w:rsidRDefault="00014566">
      <w:pPr>
        <w:pStyle w:val="ECHRHeading2"/>
      </w:pPr>
      <w:r w:rsidRPr="00240730">
        <w:t>A.  Damage</w:t>
      </w:r>
    </w:p>
    <w:p w:rsidRPr="00240730" w:rsidR="00AF6B37" w:rsidP="00240730" w:rsidRDefault="00C91143">
      <w:pPr>
        <w:pStyle w:val="ECHRHeading3"/>
      </w:pPr>
      <w:r w:rsidRPr="00240730">
        <w:t>1.  Pecuniary damage</w:t>
      </w:r>
    </w:p>
    <w:p w:rsidRPr="00240730" w:rsidR="00377D0B" w:rsidP="00240730" w:rsidRDefault="00AF6B37">
      <w:pPr>
        <w:pStyle w:val="ECHRPara"/>
      </w:pPr>
      <w:r w:rsidRPr="00240730">
        <w:fldChar w:fldCharType="begin"/>
      </w:r>
      <w:r w:rsidRPr="00240730">
        <w:instrText xml:space="preserve"> SEQ level0 \*arabic </w:instrText>
      </w:r>
      <w:r w:rsidRPr="00240730">
        <w:fldChar w:fldCharType="separate"/>
      </w:r>
      <w:r w:rsidRPr="00240730" w:rsidR="00240730">
        <w:rPr>
          <w:noProof/>
        </w:rPr>
        <w:t>145</w:t>
      </w:r>
      <w:r w:rsidRPr="00240730">
        <w:fldChar w:fldCharType="end"/>
      </w:r>
      <w:r w:rsidRPr="00240730">
        <w:t>.  </w:t>
      </w:r>
      <w:r w:rsidRPr="00240730" w:rsidR="00213745">
        <w:t xml:space="preserve">The applicants claimed the amounts indicated in </w:t>
      </w:r>
      <w:r w:rsidRPr="00240730" w:rsidR="000623A1">
        <w:t>the relevant column of Appendix </w:t>
      </w:r>
      <w:r w:rsidRPr="00240730" w:rsidR="00213745">
        <w:t xml:space="preserve">III in respect of pecuniary damage. Those amounts represented the unpaid judgment debts, </w:t>
      </w:r>
      <w:r w:rsidRPr="00240730" w:rsidR="00600960">
        <w:t xml:space="preserve">compensation for inflationary losses arising from delays in payment of the judicial awards, </w:t>
      </w:r>
      <w:r w:rsidRPr="00240730" w:rsidR="00003271">
        <w:t xml:space="preserve">compensation for </w:t>
      </w:r>
      <w:r w:rsidRPr="00240730" w:rsidR="00600960">
        <w:t>forced absence (unemployment)</w:t>
      </w:r>
      <w:r w:rsidRPr="00240730" w:rsidR="00003271">
        <w:t xml:space="preserve"> between 21 August 2008 and various dates in late 2008, and </w:t>
      </w:r>
      <w:r w:rsidRPr="00240730" w:rsidR="00600960">
        <w:t xml:space="preserve">other </w:t>
      </w:r>
      <w:r w:rsidRPr="00240730" w:rsidR="00003271">
        <w:t>payments allegedly due to them for different periods in 2009, as specified in Appendix</w:t>
      </w:r>
      <w:r w:rsidRPr="00240730" w:rsidR="005D4B2F">
        <w:t> </w:t>
      </w:r>
      <w:r w:rsidRPr="00240730" w:rsidR="00003271">
        <w:t>III.</w:t>
      </w:r>
    </w:p>
    <w:p w:rsidRPr="00240730" w:rsidR="00315B31" w:rsidP="00240730" w:rsidRDefault="00003271">
      <w:pPr>
        <w:pStyle w:val="ECHRPara"/>
      </w:pPr>
      <w:r w:rsidRPr="00240730">
        <w:fldChar w:fldCharType="begin"/>
      </w:r>
      <w:r w:rsidRPr="00240730">
        <w:instrText xml:space="preserve"> SEQ level0 \*arabic </w:instrText>
      </w:r>
      <w:r w:rsidRPr="00240730">
        <w:fldChar w:fldCharType="separate"/>
      </w:r>
      <w:r w:rsidRPr="00240730" w:rsidR="00240730">
        <w:rPr>
          <w:noProof/>
        </w:rPr>
        <w:t>146</w:t>
      </w:r>
      <w:r w:rsidRPr="00240730">
        <w:fldChar w:fldCharType="end"/>
      </w:r>
      <w:r w:rsidRPr="00240730">
        <w:t xml:space="preserve">.  The Government </w:t>
      </w:r>
      <w:r w:rsidRPr="00240730" w:rsidR="009A575D">
        <w:t xml:space="preserve">considered </w:t>
      </w:r>
      <w:r w:rsidRPr="00240730">
        <w:t>the claims unreasonable and unsubstantiated, as the State was not responsible for the debts of either the FGUP or the OAO.</w:t>
      </w:r>
    </w:p>
    <w:p w:rsidRPr="00240730" w:rsidR="00213745" w:rsidP="00240730" w:rsidRDefault="001F50DD">
      <w:pPr>
        <w:pStyle w:val="ECHRHeading4"/>
      </w:pPr>
      <w:r w:rsidRPr="00240730">
        <w:t>(a)  Mr Smirnov</w:t>
      </w:r>
      <w:r w:rsidRPr="00240730" w:rsidR="00240730">
        <w:t>’</w:t>
      </w:r>
      <w:r w:rsidRPr="00240730" w:rsidR="00A00F22">
        <w:t>s claim for unpaid salary for July and August 2008</w:t>
      </w:r>
    </w:p>
    <w:p w:rsidRPr="00240730" w:rsidR="00AF6B37" w:rsidP="00240730" w:rsidRDefault="001F50DD">
      <w:pPr>
        <w:pStyle w:val="ECHRPara"/>
      </w:pPr>
      <w:r w:rsidRPr="00240730">
        <w:fldChar w:fldCharType="begin"/>
      </w:r>
      <w:r w:rsidRPr="00240730">
        <w:instrText xml:space="preserve"> SEQ level0 \*arabic </w:instrText>
      </w:r>
      <w:r w:rsidRPr="00240730">
        <w:fldChar w:fldCharType="separate"/>
      </w:r>
      <w:r w:rsidRPr="00240730" w:rsidR="00240730">
        <w:rPr>
          <w:noProof/>
        </w:rPr>
        <w:t>147</w:t>
      </w:r>
      <w:r w:rsidRPr="00240730">
        <w:fldChar w:fldCharType="end"/>
      </w:r>
      <w:r w:rsidRPr="00240730">
        <w:t>.  </w:t>
      </w:r>
      <w:r w:rsidRPr="00240730" w:rsidR="00F86B83">
        <w:t xml:space="preserve">As regards </w:t>
      </w:r>
      <w:r w:rsidRPr="00240730" w:rsidR="00AF6B37">
        <w:t>Mr Smirnov</w:t>
      </w:r>
      <w:r w:rsidRPr="00240730" w:rsidR="00240730">
        <w:t>’</w:t>
      </w:r>
      <w:r w:rsidRPr="00240730" w:rsidR="00600960">
        <w:t xml:space="preserve">s claim in respect of </w:t>
      </w:r>
      <w:r w:rsidRPr="00240730" w:rsidR="00AF6B37">
        <w:t xml:space="preserve">15,129.12 </w:t>
      </w:r>
      <w:r w:rsidRPr="00240730" w:rsidR="00DC0A5F">
        <w:t xml:space="preserve">Russian roubles (RUB) </w:t>
      </w:r>
      <w:r w:rsidRPr="00240730" w:rsidR="00AF6B37">
        <w:t>and RUB 45,955.48 for unpaid salary for July and August 2008</w:t>
      </w:r>
      <w:r w:rsidRPr="00240730" w:rsidR="00F86B83">
        <w:t xml:space="preserve">, the Court notes from </w:t>
      </w:r>
      <w:r w:rsidRPr="00240730" w:rsidR="00AF6B37">
        <w:t>the documents submitted that th</w:t>
      </w:r>
      <w:r w:rsidRPr="00240730" w:rsidR="00F86B83">
        <w:t>ose</w:t>
      </w:r>
      <w:r w:rsidRPr="00240730" w:rsidR="00AF6B37">
        <w:t xml:space="preserve"> arrears </w:t>
      </w:r>
      <w:r w:rsidRPr="00240730" w:rsidR="009A575D">
        <w:t xml:space="preserve">were </w:t>
      </w:r>
      <w:r w:rsidRPr="00240730" w:rsidR="00AF6B37">
        <w:t>already included in the judgment of 28</w:t>
      </w:r>
      <w:r w:rsidRPr="00240730" w:rsidR="00636EC8">
        <w:t> </w:t>
      </w:r>
      <w:r w:rsidRPr="00240730" w:rsidR="00AF6B37">
        <w:t xml:space="preserve">November 2008 delivered by the </w:t>
      </w:r>
      <w:proofErr w:type="spellStart"/>
      <w:r w:rsidRPr="00240730" w:rsidR="00AF6B37">
        <w:t>Kronstadt</w:t>
      </w:r>
      <w:proofErr w:type="spellEnd"/>
      <w:r w:rsidRPr="00240730" w:rsidR="00AF6B37">
        <w:t xml:space="preserve"> District Court and subsequently </w:t>
      </w:r>
      <w:r w:rsidRPr="00240730" w:rsidR="00250757">
        <w:t>paid</w:t>
      </w:r>
      <w:r w:rsidRPr="00240730" w:rsidR="00AF6B37">
        <w:t xml:space="preserve"> in full</w:t>
      </w:r>
      <w:r w:rsidRPr="00240730" w:rsidR="00F86B83">
        <w:t xml:space="preserve"> by the FGUP</w:t>
      </w:r>
      <w:r w:rsidRPr="00240730" w:rsidR="00AF6B37">
        <w:t>. The Court accordingly rejects Mr Smirnov</w:t>
      </w:r>
      <w:r w:rsidRPr="00240730" w:rsidR="00240730">
        <w:t>’</w:t>
      </w:r>
      <w:r w:rsidRPr="00240730" w:rsidR="00AF6B37">
        <w:t>s claim under this head.</w:t>
      </w:r>
    </w:p>
    <w:p w:rsidRPr="00240730" w:rsidR="001F50DD" w:rsidP="00240730" w:rsidRDefault="001F50DD">
      <w:pPr>
        <w:pStyle w:val="ECHRHeading4"/>
      </w:pPr>
      <w:r w:rsidRPr="00240730">
        <w:t>(b)  </w:t>
      </w:r>
      <w:r w:rsidRPr="00240730" w:rsidR="009A575D">
        <w:t>The s</w:t>
      </w:r>
      <w:r w:rsidRPr="00240730" w:rsidR="00A00F22">
        <w:t>ix other</w:t>
      </w:r>
      <w:r w:rsidRPr="00240730">
        <w:t xml:space="preserve"> applicants</w:t>
      </w:r>
      <w:r w:rsidRPr="00240730" w:rsidR="00240730">
        <w:t>’</w:t>
      </w:r>
      <w:r w:rsidRPr="00240730" w:rsidR="00A00F22">
        <w:t xml:space="preserve"> claims for </w:t>
      </w:r>
      <w:r w:rsidRPr="00240730" w:rsidR="00DC0A5F">
        <w:t>unpaid judgment debts and index</w:t>
      </w:r>
      <w:r w:rsidRPr="00240730" w:rsidR="00DC0A5F">
        <w:noBreakHyphen/>
      </w:r>
      <w:r w:rsidRPr="00240730" w:rsidR="00A00F22">
        <w:t>linking</w:t>
      </w:r>
    </w:p>
    <w:p w:rsidRPr="00240730" w:rsidR="00377D0B" w:rsidP="00240730" w:rsidRDefault="000B07BC">
      <w:pPr>
        <w:pStyle w:val="ECHRPara"/>
      </w:pPr>
      <w:r w:rsidRPr="00240730">
        <w:fldChar w:fldCharType="begin"/>
      </w:r>
      <w:r w:rsidRPr="00240730">
        <w:instrText xml:space="preserve"> SEQ level0 \*arabic </w:instrText>
      </w:r>
      <w:r w:rsidRPr="00240730">
        <w:fldChar w:fldCharType="separate"/>
      </w:r>
      <w:r w:rsidRPr="00240730" w:rsidR="00240730">
        <w:rPr>
          <w:noProof/>
        </w:rPr>
        <w:t>148</w:t>
      </w:r>
      <w:r w:rsidRPr="00240730">
        <w:fldChar w:fldCharType="end"/>
      </w:r>
      <w:r w:rsidRPr="00240730" w:rsidR="00014566">
        <w:t>.  </w:t>
      </w:r>
      <w:r w:rsidRPr="00240730" w:rsidR="00003271">
        <w:t>As regards</w:t>
      </w:r>
      <w:r w:rsidRPr="00240730" w:rsidR="009A575D">
        <w:t xml:space="preserve"> the</w:t>
      </w:r>
      <w:r w:rsidRPr="00240730" w:rsidR="00003271">
        <w:t xml:space="preserve"> other applicants, the</w:t>
      </w:r>
      <w:r w:rsidRPr="00240730" w:rsidR="00DC57B5">
        <w:t xml:space="preserve"> Court considers it reasonable to award the applicants the </w:t>
      </w:r>
      <w:r w:rsidRPr="00240730" w:rsidR="000623A1">
        <w:t>amounts of the unpaid judicial awards</w:t>
      </w:r>
      <w:r w:rsidRPr="00240730" w:rsidR="001F50DD">
        <w:t xml:space="preserve"> against the OAO</w:t>
      </w:r>
      <w:r w:rsidRPr="00240730" w:rsidR="00B34158">
        <w:t xml:space="preserve"> in respect of salaries f</w:t>
      </w:r>
      <w:r w:rsidRPr="00240730" w:rsidR="00FD4EB0">
        <w:t>rom</w:t>
      </w:r>
      <w:r w:rsidRPr="00240730" w:rsidR="00B34158">
        <w:t xml:space="preserve"> June to July 2008 against the OAO (see Column 3 of Appendix II)</w:t>
      </w:r>
      <w:r w:rsidRPr="00240730" w:rsidR="00DC57B5">
        <w:t xml:space="preserve">, as converted into euros at the rate applicable on the date of the respective court </w:t>
      </w:r>
      <w:r w:rsidRPr="00240730" w:rsidR="009A575D">
        <w:t xml:space="preserve">orders </w:t>
      </w:r>
      <w:r w:rsidRPr="00240730" w:rsidR="001F50DD">
        <w:t>in respect of which a violation of the Convention has been found</w:t>
      </w:r>
      <w:r w:rsidRPr="00240730" w:rsidR="000623A1">
        <w:t xml:space="preserve"> (see paragraph</w:t>
      </w:r>
      <w:r w:rsidRPr="00240730" w:rsidR="0063521A">
        <w:t>s</w:t>
      </w:r>
      <w:r w:rsidRPr="00240730" w:rsidR="000623A1">
        <w:t> </w:t>
      </w:r>
      <w:r w:rsidRPr="00240730" w:rsidR="0063521A">
        <w:fldChar w:fldCharType="begin"/>
      </w:r>
      <w:r w:rsidRPr="00240730" w:rsidR="0063521A">
        <w:instrText xml:space="preserve"> REF MeritsOAO_1 \h </w:instrText>
      </w:r>
      <w:r w:rsidRPr="00240730" w:rsidR="0063521A">
        <w:fldChar w:fldCharType="separate"/>
      </w:r>
      <w:r w:rsidRPr="00240730" w:rsidR="00240730">
        <w:rPr>
          <w:noProof/>
        </w:rPr>
        <w:t>135</w:t>
      </w:r>
      <w:r w:rsidRPr="00240730" w:rsidR="0063521A">
        <w:fldChar w:fldCharType="end"/>
      </w:r>
      <w:r w:rsidRPr="00240730" w:rsidR="0063521A">
        <w:t>-</w:t>
      </w:r>
      <w:r w:rsidRPr="00240730" w:rsidR="0063521A">
        <w:fldChar w:fldCharType="begin"/>
      </w:r>
      <w:r w:rsidRPr="00240730" w:rsidR="0063521A">
        <w:instrText xml:space="preserve"> REF MeritsOAO_end \h </w:instrText>
      </w:r>
      <w:r w:rsidRPr="00240730" w:rsidR="0063521A">
        <w:fldChar w:fldCharType="separate"/>
      </w:r>
      <w:r w:rsidRPr="00240730" w:rsidR="00240730">
        <w:rPr>
          <w:noProof/>
        </w:rPr>
        <w:t>138</w:t>
      </w:r>
      <w:r w:rsidRPr="00240730" w:rsidR="0063521A">
        <w:fldChar w:fldCharType="end"/>
      </w:r>
      <w:r w:rsidRPr="00240730" w:rsidR="0063521A">
        <w:t xml:space="preserve"> above and Appendix II)</w:t>
      </w:r>
      <w:r w:rsidRPr="00240730" w:rsidR="00DC57B5">
        <w:t>.</w:t>
      </w:r>
    </w:p>
    <w:p w:rsidRPr="00240730" w:rsidR="00377D0B" w:rsidP="00240730" w:rsidRDefault="00DC57B5">
      <w:pPr>
        <w:pStyle w:val="ECHRPara"/>
      </w:pPr>
      <w:r w:rsidRPr="00240730">
        <w:fldChar w:fldCharType="begin"/>
      </w:r>
      <w:r w:rsidRPr="00240730">
        <w:instrText xml:space="preserve"> SEQ level0 \*arabic </w:instrText>
      </w:r>
      <w:r w:rsidRPr="00240730">
        <w:fldChar w:fldCharType="separate"/>
      </w:r>
      <w:r w:rsidRPr="00240730" w:rsidR="00240730">
        <w:rPr>
          <w:noProof/>
        </w:rPr>
        <w:t>149</w:t>
      </w:r>
      <w:r w:rsidRPr="00240730">
        <w:fldChar w:fldCharType="end"/>
      </w:r>
      <w:r w:rsidRPr="00240730">
        <w:t>.  </w:t>
      </w:r>
      <w:r w:rsidRPr="00240730" w:rsidR="00315B31">
        <w:t xml:space="preserve">The </w:t>
      </w:r>
      <w:r w:rsidRPr="00240730" w:rsidR="008D442D">
        <w:t xml:space="preserve">Court further </w:t>
      </w:r>
      <w:r w:rsidRPr="00240730" w:rsidR="009A575D">
        <w:t xml:space="preserve">points out </w:t>
      </w:r>
      <w:r w:rsidRPr="00240730" w:rsidR="008D442D">
        <w:t xml:space="preserve">its </w:t>
      </w:r>
      <w:r w:rsidRPr="00240730" w:rsidR="009A575D">
        <w:t xml:space="preserve">consistent </w:t>
      </w:r>
      <w:r w:rsidRPr="00240730" w:rsidR="008D442D">
        <w:t xml:space="preserve">approach that the adequacy of compensation would be diminished if it were to be paid without reference to various circumstances liable to reduce its value (see, </w:t>
      </w:r>
      <w:r w:rsidRPr="00240730" w:rsidR="008D442D">
        <w:rPr>
          <w:i/>
        </w:rPr>
        <w:t>mutatis mutandis</w:t>
      </w:r>
      <w:r w:rsidRPr="00240730" w:rsidR="008D442D">
        <w:t xml:space="preserve">, </w:t>
      </w:r>
      <w:proofErr w:type="spellStart"/>
      <w:r w:rsidRPr="00240730" w:rsidR="008D442D">
        <w:rPr>
          <w:i/>
        </w:rPr>
        <w:t>Gizzatova</w:t>
      </w:r>
      <w:proofErr w:type="spellEnd"/>
      <w:r w:rsidRPr="00240730" w:rsidR="008D442D">
        <w:rPr>
          <w:i/>
        </w:rPr>
        <w:t xml:space="preserve"> v. Russia</w:t>
      </w:r>
      <w:r w:rsidRPr="00240730" w:rsidR="008D442D">
        <w:t>, no.</w:t>
      </w:r>
      <w:r w:rsidRPr="00240730">
        <w:t> 5124/03, § </w:t>
      </w:r>
      <w:r w:rsidRPr="00240730" w:rsidR="008D442D">
        <w:t>28, 13</w:t>
      </w:r>
      <w:r w:rsidRPr="00240730">
        <w:t> </w:t>
      </w:r>
      <w:r w:rsidRPr="00240730" w:rsidR="008D442D">
        <w:t>January 2005). The Court accordingly accepts the applicants</w:t>
      </w:r>
      <w:r w:rsidRPr="00240730" w:rsidR="00240730">
        <w:t>’</w:t>
      </w:r>
      <w:r w:rsidRPr="00240730" w:rsidR="008D442D">
        <w:t xml:space="preserve"> claims relating to the loss of value of the domestic awards since the delivery of the judgments in their favour and finds it appropriate to award additional sums in this respect, where they were requested.</w:t>
      </w:r>
      <w:r w:rsidRPr="00240730">
        <w:t xml:space="preserve"> </w:t>
      </w:r>
      <w:r w:rsidRPr="00240730" w:rsidR="008D442D">
        <w:t>The Court further notes that the Government did not challenge the method of calculation of the inflation</w:t>
      </w:r>
      <w:r w:rsidRPr="00240730" w:rsidR="004D7624">
        <w:t>ary</w:t>
      </w:r>
      <w:r w:rsidRPr="00240730" w:rsidR="008D442D">
        <w:t xml:space="preserve"> loss</w:t>
      </w:r>
      <w:r w:rsidRPr="00240730" w:rsidR="004D7624">
        <w:t>es</w:t>
      </w:r>
      <w:r w:rsidRPr="00240730" w:rsidR="008D442D">
        <w:t xml:space="preserve"> chosen by the applicants. </w:t>
      </w:r>
      <w:r w:rsidRPr="00240730" w:rsidR="008000AC">
        <w:t>However, the Court notes that the applicants</w:t>
      </w:r>
      <w:r w:rsidRPr="00240730" w:rsidR="00240730">
        <w:t>’</w:t>
      </w:r>
      <w:r w:rsidRPr="00240730" w:rsidR="008000AC">
        <w:t xml:space="preserve"> </w:t>
      </w:r>
      <w:r w:rsidRPr="00240730" w:rsidR="00051EAA">
        <w:t xml:space="preserve">respective </w:t>
      </w:r>
      <w:r w:rsidRPr="00240730" w:rsidR="008000AC">
        <w:t>calculation</w:t>
      </w:r>
      <w:r w:rsidRPr="00240730" w:rsidR="00051EAA">
        <w:t>s</w:t>
      </w:r>
      <w:r w:rsidRPr="00240730" w:rsidR="008000AC">
        <w:t xml:space="preserve"> of the inflation</w:t>
      </w:r>
      <w:r w:rsidRPr="00240730" w:rsidR="004D7624">
        <w:t>ary</w:t>
      </w:r>
      <w:r w:rsidRPr="00240730" w:rsidR="008000AC">
        <w:t xml:space="preserve"> losses “</w:t>
      </w:r>
      <w:r w:rsidRPr="00240730" w:rsidR="00051EAA">
        <w:t xml:space="preserve">up to 31 July </w:t>
      </w:r>
      <w:r w:rsidRPr="00240730" w:rsidR="008000AC">
        <w:t xml:space="preserve">2017” </w:t>
      </w:r>
      <w:r w:rsidRPr="00240730" w:rsidR="00051EAA">
        <w:t>(</w:t>
      </w:r>
      <w:r w:rsidRPr="00240730" w:rsidR="004D7624">
        <w:t xml:space="preserve">the </w:t>
      </w:r>
      <w:r w:rsidRPr="00240730" w:rsidR="00051EAA">
        <w:t xml:space="preserve">date of submission of their claims for just satisfaction) </w:t>
      </w:r>
      <w:r w:rsidRPr="00240730" w:rsidR="008000AC">
        <w:t>lack detail and are not substantiated with documents. It accordingly accepts the claim in so far as it was confirmed by the calculation of the domestic courts in the respective proceedings</w:t>
      </w:r>
      <w:r w:rsidRPr="00240730" w:rsidR="000623A1">
        <w:t xml:space="preserve"> (see </w:t>
      </w:r>
      <w:r w:rsidRPr="00240730" w:rsidR="00F37AA4">
        <w:t xml:space="preserve">Column 5 of </w:t>
      </w:r>
      <w:r w:rsidRPr="00240730" w:rsidR="000623A1">
        <w:t>Appendix II, “</w:t>
      </w:r>
      <w:r w:rsidRPr="00240730" w:rsidR="000623A1">
        <w:rPr>
          <w:i/>
        </w:rPr>
        <w:t xml:space="preserve">Claim to have </w:t>
      </w:r>
      <w:r w:rsidRPr="00240730" w:rsidR="00B7729C">
        <w:rPr>
          <w:i/>
        </w:rPr>
        <w:t>the initial award index</w:t>
      </w:r>
      <w:r w:rsidRPr="00240730" w:rsidR="00B7729C">
        <w:rPr>
          <w:i/>
        </w:rPr>
        <w:noBreakHyphen/>
      </w:r>
      <w:r w:rsidRPr="00240730" w:rsidR="000623A1">
        <w:rPr>
          <w:i/>
        </w:rPr>
        <w:t>linked</w:t>
      </w:r>
      <w:r w:rsidRPr="00240730" w:rsidR="000623A1">
        <w:t>”)</w:t>
      </w:r>
      <w:r w:rsidRPr="00240730" w:rsidR="00051EAA">
        <w:t>, and rejects it in the remaining part</w:t>
      </w:r>
      <w:r w:rsidRPr="00240730" w:rsidR="008000AC">
        <w:t>.</w:t>
      </w:r>
    </w:p>
    <w:p w:rsidRPr="00240730" w:rsidR="00DC57B5" w:rsidP="00240730" w:rsidRDefault="00DC57B5">
      <w:pPr>
        <w:pStyle w:val="ECHRPara"/>
      </w:pPr>
      <w:r w:rsidRPr="00240730">
        <w:fldChar w:fldCharType="begin"/>
      </w:r>
      <w:r w:rsidRPr="00240730">
        <w:instrText xml:space="preserve"> SEQ level0 \*arabic </w:instrText>
      </w:r>
      <w:r w:rsidRPr="00240730">
        <w:fldChar w:fldCharType="separate"/>
      </w:r>
      <w:r w:rsidRPr="00240730" w:rsidR="00240730">
        <w:rPr>
          <w:noProof/>
        </w:rPr>
        <w:t>150</w:t>
      </w:r>
      <w:r w:rsidRPr="00240730">
        <w:fldChar w:fldCharType="end"/>
      </w:r>
      <w:r w:rsidRPr="00240730">
        <w:t xml:space="preserve">.  The Court accordingly awards the </w:t>
      </w:r>
      <w:r w:rsidRPr="00240730" w:rsidR="00F86B83">
        <w:t xml:space="preserve">six </w:t>
      </w:r>
      <w:r w:rsidRPr="00240730">
        <w:t xml:space="preserve">applicants the amounts specified in </w:t>
      </w:r>
      <w:r w:rsidRPr="00240730" w:rsidR="004D7624">
        <w:t xml:space="preserve">the </w:t>
      </w:r>
      <w:r w:rsidRPr="00240730">
        <w:t>relevant column of Appendix III, plus any tax that may be chargeable, in respect of pecuniary damage.</w:t>
      </w:r>
    </w:p>
    <w:p w:rsidRPr="00240730" w:rsidR="001F50DD" w:rsidP="00240730" w:rsidRDefault="001F50DD">
      <w:pPr>
        <w:pStyle w:val="ECHRHeading4"/>
      </w:pPr>
      <w:r w:rsidRPr="00240730">
        <w:t>(c)  </w:t>
      </w:r>
      <w:r w:rsidRPr="00240730">
        <w:rPr>
          <w:bCs w:val="0"/>
          <w:iCs w:val="0"/>
        </w:rPr>
        <w:t xml:space="preserve">Remainder of the claims by </w:t>
      </w:r>
      <w:r w:rsidRPr="00240730">
        <w:t>all</w:t>
      </w:r>
      <w:r w:rsidRPr="00240730">
        <w:rPr>
          <w:bCs w:val="0"/>
          <w:iCs w:val="0"/>
        </w:rPr>
        <w:t xml:space="preserve"> applicants</w:t>
      </w:r>
    </w:p>
    <w:p w:rsidRPr="00240730" w:rsidR="00377D0B" w:rsidP="00240730" w:rsidRDefault="00315B31">
      <w:pPr>
        <w:pStyle w:val="ECHRPara"/>
      </w:pPr>
      <w:r w:rsidRPr="00240730">
        <w:fldChar w:fldCharType="begin"/>
      </w:r>
      <w:r w:rsidRPr="00240730">
        <w:instrText xml:space="preserve"> SEQ level0 \*arabic </w:instrText>
      </w:r>
      <w:r w:rsidRPr="00240730">
        <w:fldChar w:fldCharType="separate"/>
      </w:r>
      <w:r w:rsidRPr="00240730" w:rsidR="00240730">
        <w:rPr>
          <w:noProof/>
        </w:rPr>
        <w:t>151</w:t>
      </w:r>
      <w:r w:rsidRPr="00240730">
        <w:fldChar w:fldCharType="end"/>
      </w:r>
      <w:r w:rsidRPr="00240730">
        <w:t>.  As regards the remainder of the claims, t</w:t>
      </w:r>
      <w:r w:rsidRPr="00240730" w:rsidR="00014566">
        <w:t>he Court</w:t>
      </w:r>
      <w:r w:rsidRPr="00240730" w:rsidR="0051716D">
        <w:t xml:space="preserve"> </w:t>
      </w:r>
      <w:r w:rsidRPr="00240730" w:rsidR="00180722">
        <w:t xml:space="preserve">agrees with the Government that there is no </w:t>
      </w:r>
      <w:r w:rsidRPr="00240730" w:rsidR="00014566">
        <w:t>causal link between the violation found and the pecuniary damage alleged; it therefore rejects th</w:t>
      </w:r>
      <w:r w:rsidRPr="00240730">
        <w:t>e remainder of the applicant</w:t>
      </w:r>
      <w:r w:rsidRPr="00240730" w:rsidR="00240730">
        <w:t>’</w:t>
      </w:r>
      <w:r w:rsidRPr="00240730">
        <w:t>s</w:t>
      </w:r>
      <w:r w:rsidRPr="00240730" w:rsidR="00014566">
        <w:t xml:space="preserve"> claim</w:t>
      </w:r>
      <w:r w:rsidRPr="00240730">
        <w:t>s under this head</w:t>
      </w:r>
      <w:r w:rsidRPr="00240730" w:rsidR="00014566">
        <w:t>.</w:t>
      </w:r>
    </w:p>
    <w:p w:rsidRPr="00240730" w:rsidR="00C91143" w:rsidP="00240730" w:rsidRDefault="00C91143">
      <w:pPr>
        <w:pStyle w:val="ECHRHeading3"/>
      </w:pPr>
      <w:r w:rsidRPr="00240730">
        <w:t>2.  Non-pecuniary damage</w:t>
      </w:r>
    </w:p>
    <w:p w:rsidRPr="00240730" w:rsidR="00C91143" w:rsidP="00240730" w:rsidRDefault="00C91143">
      <w:pPr>
        <w:pStyle w:val="ECHRPara"/>
      </w:pPr>
      <w:r w:rsidRPr="00240730">
        <w:fldChar w:fldCharType="begin"/>
      </w:r>
      <w:r w:rsidRPr="00240730">
        <w:instrText xml:space="preserve"> SEQ level0 \*arabic </w:instrText>
      </w:r>
      <w:r w:rsidRPr="00240730">
        <w:fldChar w:fldCharType="separate"/>
      </w:r>
      <w:r w:rsidRPr="00240730" w:rsidR="00240730">
        <w:rPr>
          <w:noProof/>
        </w:rPr>
        <w:t>152</w:t>
      </w:r>
      <w:r w:rsidRPr="00240730">
        <w:fldChar w:fldCharType="end"/>
      </w:r>
      <w:r w:rsidRPr="00240730">
        <w:t>.  Mr Smirnov claimed RUB 287,688 (approximately 7,276</w:t>
      </w:r>
      <w:r w:rsidRPr="00240730" w:rsidR="00DC0A5F">
        <w:t xml:space="preserve"> euros (EUR)</w:t>
      </w:r>
      <w:r w:rsidRPr="00240730">
        <w:t xml:space="preserve">) in respect of non-pecuniary damage. </w:t>
      </w:r>
      <w:r w:rsidRPr="00240730" w:rsidR="004D7624">
        <w:t>The o</w:t>
      </w:r>
      <w:r w:rsidRPr="00240730">
        <w:t xml:space="preserve">ther applicants </w:t>
      </w:r>
      <w:r w:rsidRPr="00240730" w:rsidR="006B3467">
        <w:t>submitted</w:t>
      </w:r>
      <w:r w:rsidRPr="00240730" w:rsidR="00315B31">
        <w:t xml:space="preserve"> in their </w:t>
      </w:r>
      <w:r w:rsidRPr="00240730" w:rsidR="0016631A">
        <w:t xml:space="preserve">initial </w:t>
      </w:r>
      <w:r w:rsidRPr="00240730" w:rsidR="00DC57B5">
        <w:t xml:space="preserve">claims for just satisfaction </w:t>
      </w:r>
      <w:r w:rsidRPr="00240730" w:rsidR="00315B31">
        <w:t xml:space="preserve">that they </w:t>
      </w:r>
      <w:r w:rsidRPr="00240730" w:rsidR="004D7624">
        <w:t xml:space="preserve">had </w:t>
      </w:r>
      <w:r w:rsidRPr="00240730" w:rsidR="00B7729C">
        <w:t>suffered non</w:t>
      </w:r>
      <w:r w:rsidRPr="00240730" w:rsidR="00B7729C">
        <w:noBreakHyphen/>
      </w:r>
      <w:r w:rsidRPr="00240730" w:rsidR="00315B31">
        <w:t xml:space="preserve">pecuniary damage and </w:t>
      </w:r>
      <w:r w:rsidRPr="00240730" w:rsidR="006B3467">
        <w:t>maintained</w:t>
      </w:r>
      <w:r w:rsidRPr="00240730" w:rsidR="00315B31">
        <w:t xml:space="preserve"> their claims in the amounts indicated in the</w:t>
      </w:r>
      <w:r w:rsidRPr="00240730" w:rsidR="006B3467">
        <w:t>ir initial</w:t>
      </w:r>
      <w:r w:rsidRPr="00240730" w:rsidR="00315B31">
        <w:t xml:space="preserve"> application forms, that is</w:t>
      </w:r>
      <w:r w:rsidRPr="00240730" w:rsidR="004D7624">
        <w:t>,</w:t>
      </w:r>
      <w:r w:rsidRPr="00240730" w:rsidR="00315B31">
        <w:t xml:space="preserve"> </w:t>
      </w:r>
      <w:r w:rsidRPr="00240730">
        <w:t xml:space="preserve">EUR 50,000 </w:t>
      </w:r>
      <w:r w:rsidRPr="00240730" w:rsidR="00315B31">
        <w:t>to each applicant</w:t>
      </w:r>
      <w:r w:rsidRPr="00240730">
        <w:t>.</w:t>
      </w:r>
      <w:r w:rsidRPr="00240730" w:rsidR="0016631A">
        <w:t xml:space="preserve"> </w:t>
      </w:r>
      <w:r w:rsidRPr="00240730" w:rsidR="00001169">
        <w:t xml:space="preserve">After the Government were given </w:t>
      </w:r>
      <w:r w:rsidRPr="00240730" w:rsidR="005D4B2F">
        <w:t xml:space="preserve">further </w:t>
      </w:r>
      <w:r w:rsidRPr="00240730" w:rsidR="00001169">
        <w:t>notice of</w:t>
      </w:r>
      <w:r w:rsidRPr="00240730" w:rsidR="0016631A">
        <w:t xml:space="preserve"> their </w:t>
      </w:r>
      <w:r w:rsidRPr="00240730" w:rsidR="005D4B2F">
        <w:t>complaint concerning the non-enforcement by the OAO</w:t>
      </w:r>
      <w:r w:rsidRPr="00240730" w:rsidR="0016631A">
        <w:t xml:space="preserve">, Mr </w:t>
      </w:r>
      <w:proofErr w:type="spellStart"/>
      <w:r w:rsidRPr="00240730" w:rsidR="0016631A">
        <w:t>Kuzhelev</w:t>
      </w:r>
      <w:proofErr w:type="spellEnd"/>
      <w:r w:rsidRPr="00240730" w:rsidR="0016631A">
        <w:t xml:space="preserve">, Ms Pavlova, Ms </w:t>
      </w:r>
      <w:proofErr w:type="spellStart"/>
      <w:r w:rsidRPr="00240730" w:rsidR="0016631A">
        <w:t>Petrova</w:t>
      </w:r>
      <w:proofErr w:type="spellEnd"/>
      <w:r w:rsidRPr="00240730" w:rsidR="0016631A">
        <w:t xml:space="preserve"> and Ms </w:t>
      </w:r>
      <w:proofErr w:type="spellStart"/>
      <w:r w:rsidRPr="00240730" w:rsidR="0016631A">
        <w:t>Lebedeva</w:t>
      </w:r>
      <w:proofErr w:type="spellEnd"/>
      <w:r w:rsidRPr="00240730" w:rsidR="0016631A">
        <w:t xml:space="preserve"> maintained in their additional claims for just satisfaction that they had suffered non-pecuniary damage.</w:t>
      </w:r>
    </w:p>
    <w:p w:rsidRPr="00240730" w:rsidR="00315B31" w:rsidP="00240730" w:rsidRDefault="00477D61">
      <w:pPr>
        <w:pStyle w:val="ECHRPara"/>
      </w:pPr>
      <w:r w:rsidRPr="00240730">
        <w:fldChar w:fldCharType="begin"/>
      </w:r>
      <w:r w:rsidRPr="00240730">
        <w:instrText xml:space="preserve"> SEQ level0 \*arabic </w:instrText>
      </w:r>
      <w:r w:rsidRPr="00240730">
        <w:fldChar w:fldCharType="separate"/>
      </w:r>
      <w:r w:rsidRPr="00240730" w:rsidR="00240730">
        <w:rPr>
          <w:noProof/>
        </w:rPr>
        <w:t>153</w:t>
      </w:r>
      <w:r w:rsidRPr="00240730">
        <w:rPr>
          <w:noProof/>
        </w:rPr>
        <w:fldChar w:fldCharType="end"/>
      </w:r>
      <w:r w:rsidRPr="00240730" w:rsidR="00315B31">
        <w:t xml:space="preserve">.  The Government contested the claims as unfounded and noted, in respect of all applicants </w:t>
      </w:r>
      <w:r w:rsidRPr="00240730" w:rsidR="004D7624">
        <w:t xml:space="preserve">except </w:t>
      </w:r>
      <w:r w:rsidRPr="00240730" w:rsidR="00315B31">
        <w:t xml:space="preserve">Mr </w:t>
      </w:r>
      <w:proofErr w:type="gramStart"/>
      <w:r w:rsidRPr="00240730" w:rsidR="00315B31">
        <w:t>Smirnov, that</w:t>
      </w:r>
      <w:proofErr w:type="gramEnd"/>
      <w:r w:rsidRPr="00240730" w:rsidR="00315B31">
        <w:t xml:space="preserve"> the applicants </w:t>
      </w:r>
      <w:r w:rsidRPr="00240730" w:rsidR="006B3467">
        <w:t xml:space="preserve">had failed to </w:t>
      </w:r>
      <w:r w:rsidRPr="00240730" w:rsidR="0016631A">
        <w:t>specify the</w:t>
      </w:r>
      <w:r w:rsidRPr="00240730" w:rsidR="00315B31">
        <w:t xml:space="preserve"> amounts under that head</w:t>
      </w:r>
      <w:r w:rsidRPr="00240730" w:rsidR="0016631A">
        <w:t xml:space="preserve"> in their claims for just satisfaction</w:t>
      </w:r>
      <w:r w:rsidRPr="00240730" w:rsidR="00315B31">
        <w:t>.</w:t>
      </w:r>
      <w:r w:rsidRPr="00240730" w:rsidR="0016631A">
        <w:t xml:space="preserve"> As regards the amounts indicated by the applicants in the initial application forms, the Government considered them ill-founded, as the applicants</w:t>
      </w:r>
      <w:r w:rsidRPr="00240730" w:rsidR="00240730">
        <w:t>’</w:t>
      </w:r>
      <w:r w:rsidRPr="00240730" w:rsidR="0016631A">
        <w:t xml:space="preserve"> Convention rights had not been violated, and, in any event, excessive.</w:t>
      </w:r>
    </w:p>
    <w:p w:rsidRPr="00240730" w:rsidR="00377D0B" w:rsidP="00240730" w:rsidRDefault="00A17F56">
      <w:pPr>
        <w:pStyle w:val="ECHRPara"/>
      </w:pPr>
      <w:r w:rsidRPr="00240730">
        <w:fldChar w:fldCharType="begin"/>
      </w:r>
      <w:r w:rsidRPr="00240730">
        <w:instrText xml:space="preserve"> SEQ level0 \*arabic </w:instrText>
      </w:r>
      <w:r w:rsidRPr="00240730">
        <w:fldChar w:fldCharType="separate"/>
      </w:r>
      <w:r w:rsidRPr="00240730" w:rsidR="00240730">
        <w:rPr>
          <w:noProof/>
        </w:rPr>
        <w:t>154</w:t>
      </w:r>
      <w:r w:rsidRPr="00240730">
        <w:fldChar w:fldCharType="end"/>
      </w:r>
      <w:r w:rsidRPr="00240730">
        <w:t xml:space="preserve">.  The Court </w:t>
      </w:r>
      <w:r w:rsidRPr="00240730" w:rsidR="00315B31">
        <w:t>notes that the applicants clearly maintain the claims in the amounts indicated in the observations</w:t>
      </w:r>
      <w:r w:rsidRPr="00240730" w:rsidR="000A1806">
        <w:t xml:space="preserve"> and application forms</w:t>
      </w:r>
      <w:r w:rsidRPr="00240730" w:rsidR="00315B31">
        <w:t xml:space="preserve">. The Court </w:t>
      </w:r>
      <w:r w:rsidRPr="00240730">
        <w:t>awards each applicant EUR 2,000</w:t>
      </w:r>
      <w:r w:rsidRPr="00240730" w:rsidR="00014566">
        <w:t xml:space="preserve"> in respect of non-pecuniary damage</w:t>
      </w:r>
      <w:r w:rsidRPr="00240730">
        <w:t xml:space="preserve">, </w:t>
      </w:r>
      <w:r w:rsidRPr="00240730" w:rsidR="00DC57B5">
        <w:t xml:space="preserve">plus any tax that may be chargeable, </w:t>
      </w:r>
      <w:r w:rsidRPr="00240730">
        <w:t>and rejects the remainder of their claims under this head.</w:t>
      </w:r>
    </w:p>
    <w:p w:rsidRPr="00240730" w:rsidR="00014566" w:rsidP="00240730" w:rsidRDefault="00014566">
      <w:pPr>
        <w:pStyle w:val="ECHRHeading2"/>
      </w:pPr>
      <w:r w:rsidRPr="00240730">
        <w:t>B.  Costs and expenses</w:t>
      </w:r>
    </w:p>
    <w:p w:rsidRPr="00240730" w:rsidR="00456AE6" w:rsidP="00240730" w:rsidRDefault="000B07BC">
      <w:pPr>
        <w:pStyle w:val="ECHRPara"/>
        <w:rPr>
          <w:rFonts w:ascii="Times New Roman" w:hAnsi="Times New Roman" w:cs="Times New Roman"/>
          <w:color w:val="000000"/>
        </w:rPr>
      </w:pPr>
      <w:r w:rsidRPr="00240730">
        <w:fldChar w:fldCharType="begin"/>
      </w:r>
      <w:r w:rsidRPr="00240730">
        <w:instrText xml:space="preserve"> SEQ level0 \*arabic </w:instrText>
      </w:r>
      <w:r w:rsidRPr="00240730">
        <w:fldChar w:fldCharType="separate"/>
      </w:r>
      <w:r w:rsidRPr="00240730" w:rsidR="00240730">
        <w:rPr>
          <w:noProof/>
        </w:rPr>
        <w:t>155</w:t>
      </w:r>
      <w:r w:rsidRPr="00240730">
        <w:fldChar w:fldCharType="end"/>
      </w:r>
      <w:r w:rsidRPr="00240730" w:rsidR="00014566">
        <w:t>.  </w:t>
      </w:r>
      <w:r w:rsidRPr="00240730" w:rsidR="00A17F56">
        <w:rPr>
          <w:rFonts w:ascii="Times New Roman" w:hAnsi="Times New Roman" w:cs="Times New Roman"/>
          <w:color w:val="000000"/>
        </w:rPr>
        <w:t xml:space="preserve">Mr </w:t>
      </w:r>
      <w:proofErr w:type="spellStart"/>
      <w:r w:rsidRPr="00240730" w:rsidR="00A17F56">
        <w:rPr>
          <w:rFonts w:ascii="Times New Roman" w:hAnsi="Times New Roman" w:cs="Times New Roman"/>
          <w:color w:val="000000"/>
        </w:rPr>
        <w:t>Kuzhelev</w:t>
      </w:r>
      <w:proofErr w:type="spellEnd"/>
      <w:r w:rsidRPr="00240730" w:rsidR="00A17F56">
        <w:rPr>
          <w:rFonts w:ascii="Times New Roman" w:hAnsi="Times New Roman" w:cs="Times New Roman"/>
          <w:color w:val="000000"/>
        </w:rPr>
        <w:t xml:space="preserve"> claimed RUB 812.35 for postal and other expenses incurred in the domestic proceedings. </w:t>
      </w:r>
      <w:r w:rsidRPr="00240730" w:rsidR="00456AE6">
        <w:rPr>
          <w:rFonts w:ascii="Times New Roman" w:hAnsi="Times New Roman" w:cs="Times New Roman"/>
          <w:color w:val="000000"/>
        </w:rPr>
        <w:t xml:space="preserve">Mr Smirnov claimed RUB 10,000 for postal and travel expenses. The Government did not dispute that amount. He did not submit any documents confirming his expenses in support of his claims. </w:t>
      </w:r>
      <w:r w:rsidRPr="00240730" w:rsidR="004D7624">
        <w:rPr>
          <w:rFonts w:ascii="Times New Roman" w:hAnsi="Times New Roman" w:cs="Times New Roman"/>
          <w:color w:val="000000"/>
        </w:rPr>
        <w:t>The o</w:t>
      </w:r>
      <w:r w:rsidRPr="00240730" w:rsidR="00456AE6">
        <w:rPr>
          <w:rFonts w:ascii="Times New Roman" w:hAnsi="Times New Roman" w:cs="Times New Roman"/>
          <w:color w:val="000000"/>
        </w:rPr>
        <w:t xml:space="preserve">ther applicants did not claim </w:t>
      </w:r>
      <w:r w:rsidRPr="00240730" w:rsidR="00604039">
        <w:rPr>
          <w:rFonts w:ascii="Times New Roman" w:hAnsi="Times New Roman" w:cs="Times New Roman"/>
          <w:color w:val="000000"/>
        </w:rPr>
        <w:t xml:space="preserve">for </w:t>
      </w:r>
      <w:r w:rsidRPr="00240730" w:rsidR="00456AE6">
        <w:rPr>
          <w:rFonts w:ascii="Times New Roman" w:hAnsi="Times New Roman" w:cs="Times New Roman"/>
          <w:color w:val="000000"/>
        </w:rPr>
        <w:t>costs and expenses.</w:t>
      </w:r>
    </w:p>
    <w:p w:rsidRPr="00240730" w:rsidR="0056473B" w:rsidP="00240730" w:rsidRDefault="00456AE6">
      <w:pPr>
        <w:pStyle w:val="ECHRPara"/>
        <w:rPr>
          <w:rFonts w:ascii="Times New Roman" w:hAnsi="Times New Roman" w:cs="Times New Roman"/>
          <w:color w:val="000000"/>
        </w:rPr>
      </w:pPr>
      <w:r w:rsidRPr="00240730">
        <w:rPr>
          <w:rFonts w:ascii="Times New Roman" w:hAnsi="Times New Roman" w:cs="Times New Roman"/>
          <w:color w:val="000000"/>
        </w:rPr>
        <w:fldChar w:fldCharType="begin"/>
      </w:r>
      <w:r w:rsidRPr="00240730">
        <w:rPr>
          <w:rFonts w:ascii="Times New Roman" w:hAnsi="Times New Roman" w:cs="Times New Roman"/>
          <w:color w:val="000000"/>
        </w:rPr>
        <w:instrText xml:space="preserve"> SEQ level0 \*arabic </w:instrText>
      </w:r>
      <w:r w:rsidRPr="00240730">
        <w:rPr>
          <w:rFonts w:ascii="Times New Roman" w:hAnsi="Times New Roman" w:cs="Times New Roman"/>
          <w:color w:val="000000"/>
        </w:rPr>
        <w:fldChar w:fldCharType="separate"/>
      </w:r>
      <w:r w:rsidRPr="00240730" w:rsidR="00240730">
        <w:rPr>
          <w:rFonts w:ascii="Times New Roman" w:hAnsi="Times New Roman" w:cs="Times New Roman"/>
          <w:noProof/>
          <w:color w:val="000000"/>
        </w:rPr>
        <w:t>156</w:t>
      </w:r>
      <w:r w:rsidRPr="00240730">
        <w:rPr>
          <w:rFonts w:ascii="Times New Roman" w:hAnsi="Times New Roman" w:cs="Times New Roman"/>
          <w:color w:val="000000"/>
        </w:rPr>
        <w:fldChar w:fldCharType="end"/>
      </w:r>
      <w:r w:rsidRPr="00240730">
        <w:rPr>
          <w:rFonts w:ascii="Times New Roman" w:hAnsi="Times New Roman" w:cs="Times New Roman"/>
          <w:color w:val="000000"/>
        </w:rPr>
        <w:t>.  </w:t>
      </w:r>
      <w:r w:rsidRPr="00240730" w:rsidR="00A17F56">
        <w:rPr>
          <w:rFonts w:ascii="Times New Roman" w:hAnsi="Times New Roman" w:cs="Times New Roman"/>
          <w:color w:val="000000"/>
        </w:rPr>
        <w:t xml:space="preserve">The Government accepted that the postal expenses in the amount of RUB 368 could be reimbursed to </w:t>
      </w:r>
      <w:r w:rsidRPr="00240730">
        <w:rPr>
          <w:rFonts w:ascii="Times New Roman" w:hAnsi="Times New Roman" w:cs="Times New Roman"/>
          <w:color w:val="000000"/>
        </w:rPr>
        <w:t xml:space="preserve">Mr </w:t>
      </w:r>
      <w:proofErr w:type="spellStart"/>
      <w:r w:rsidRPr="00240730">
        <w:rPr>
          <w:rFonts w:ascii="Times New Roman" w:hAnsi="Times New Roman" w:cs="Times New Roman"/>
          <w:color w:val="000000"/>
        </w:rPr>
        <w:t>Kuzhelev</w:t>
      </w:r>
      <w:proofErr w:type="spellEnd"/>
      <w:r w:rsidRPr="00240730">
        <w:rPr>
          <w:rFonts w:ascii="Times New Roman" w:hAnsi="Times New Roman" w:cs="Times New Roman"/>
          <w:color w:val="000000"/>
        </w:rPr>
        <w:t xml:space="preserve"> </w:t>
      </w:r>
      <w:r w:rsidRPr="00240730" w:rsidR="00A17F56">
        <w:rPr>
          <w:rFonts w:ascii="Times New Roman" w:hAnsi="Times New Roman" w:cs="Times New Roman"/>
          <w:color w:val="000000"/>
        </w:rPr>
        <w:t xml:space="preserve">and disputed the remainder of the amount claimed as unsubstantiated. </w:t>
      </w:r>
      <w:r w:rsidRPr="00240730" w:rsidR="001807C6">
        <w:rPr>
          <w:rFonts w:ascii="Times New Roman" w:hAnsi="Times New Roman" w:cs="Times New Roman"/>
          <w:color w:val="000000"/>
        </w:rPr>
        <w:t>They did not comment on Mr </w:t>
      </w:r>
      <w:r w:rsidRPr="00240730">
        <w:rPr>
          <w:rFonts w:ascii="Times New Roman" w:hAnsi="Times New Roman" w:cs="Times New Roman"/>
          <w:color w:val="000000"/>
        </w:rPr>
        <w:t>Smirnov</w:t>
      </w:r>
      <w:r w:rsidRPr="00240730" w:rsidR="00240730">
        <w:rPr>
          <w:rFonts w:ascii="Times New Roman" w:hAnsi="Times New Roman" w:cs="Times New Roman"/>
          <w:color w:val="000000"/>
        </w:rPr>
        <w:t>’</w:t>
      </w:r>
      <w:r w:rsidRPr="00240730">
        <w:rPr>
          <w:rFonts w:ascii="Times New Roman" w:hAnsi="Times New Roman" w:cs="Times New Roman"/>
          <w:color w:val="000000"/>
        </w:rPr>
        <w:t>s claims.</w:t>
      </w:r>
    </w:p>
    <w:p w:rsidRPr="00240730" w:rsidR="00377D0B" w:rsidP="00240730" w:rsidRDefault="00A17F56">
      <w:pPr>
        <w:pStyle w:val="ECHRPara"/>
        <w:rPr>
          <w:rFonts w:ascii="Times New Roman" w:hAnsi="Times New Roman" w:cs="Times New Roman"/>
          <w:color w:val="000000"/>
        </w:rPr>
      </w:pPr>
      <w:r w:rsidRPr="00240730">
        <w:rPr>
          <w:rFonts w:ascii="Times New Roman" w:hAnsi="Times New Roman" w:cs="Times New Roman"/>
          <w:color w:val="000000"/>
        </w:rPr>
        <w:fldChar w:fldCharType="begin"/>
      </w:r>
      <w:r w:rsidRPr="00240730">
        <w:rPr>
          <w:rFonts w:ascii="Times New Roman" w:hAnsi="Times New Roman" w:cs="Times New Roman"/>
          <w:color w:val="000000"/>
        </w:rPr>
        <w:instrText xml:space="preserve"> SEQ level0 \*arabic </w:instrText>
      </w:r>
      <w:r w:rsidRPr="00240730">
        <w:rPr>
          <w:rFonts w:ascii="Times New Roman" w:hAnsi="Times New Roman" w:cs="Times New Roman"/>
          <w:color w:val="000000"/>
        </w:rPr>
        <w:fldChar w:fldCharType="separate"/>
      </w:r>
      <w:r w:rsidRPr="00240730" w:rsidR="00240730">
        <w:rPr>
          <w:rFonts w:ascii="Times New Roman" w:hAnsi="Times New Roman" w:cs="Times New Roman"/>
          <w:noProof/>
          <w:color w:val="000000"/>
        </w:rPr>
        <w:t>157</w:t>
      </w:r>
      <w:r w:rsidRPr="00240730">
        <w:rPr>
          <w:rFonts w:ascii="Times New Roman" w:hAnsi="Times New Roman" w:cs="Times New Roman"/>
          <w:color w:val="000000"/>
        </w:rPr>
        <w:fldChar w:fldCharType="end"/>
      </w:r>
      <w:r w:rsidRPr="00240730">
        <w:rPr>
          <w:rFonts w:ascii="Times New Roman" w:hAnsi="Times New Roman" w:cs="Times New Roman"/>
          <w:color w:val="000000"/>
        </w:rPr>
        <w:t>.  According to the Court</w:t>
      </w:r>
      <w:r w:rsidRPr="00240730" w:rsidR="00240730">
        <w:rPr>
          <w:rFonts w:ascii="Times New Roman" w:hAnsi="Times New Roman" w:cs="Times New Roman"/>
          <w:color w:val="000000"/>
        </w:rPr>
        <w:t>’</w:t>
      </w:r>
      <w:r w:rsidRPr="00240730">
        <w:rPr>
          <w:rFonts w:ascii="Times New Roman" w:hAnsi="Times New Roman" w:cs="Times New Roman"/>
          <w:color w:val="000000"/>
        </w:rPr>
        <w:t xml:space="preserve"> s case-law, an applicant is entitled to the reimbursement of costs and expenses only in so far as it has been shown that these have been actually and necessarily incurred and are reasonable as to quantum.</w:t>
      </w:r>
    </w:p>
    <w:p w:rsidRPr="00240730" w:rsidR="00377D0B" w:rsidP="00240730" w:rsidRDefault="00456AE6">
      <w:pPr>
        <w:pStyle w:val="ECHRPara"/>
        <w:rPr>
          <w:rFonts w:ascii="Times New Roman" w:hAnsi="Times New Roman" w:cs="Times New Roman"/>
          <w:color w:val="000000"/>
        </w:rPr>
      </w:pPr>
      <w:r w:rsidRPr="00240730">
        <w:rPr>
          <w:rFonts w:ascii="Times New Roman" w:hAnsi="Times New Roman" w:cs="Times New Roman"/>
          <w:color w:val="000000"/>
        </w:rPr>
        <w:fldChar w:fldCharType="begin"/>
      </w:r>
      <w:r w:rsidRPr="00240730">
        <w:rPr>
          <w:rFonts w:ascii="Times New Roman" w:hAnsi="Times New Roman" w:cs="Times New Roman"/>
          <w:color w:val="000000"/>
        </w:rPr>
        <w:instrText xml:space="preserve"> SEQ level0 \*arabic </w:instrText>
      </w:r>
      <w:r w:rsidRPr="00240730">
        <w:rPr>
          <w:rFonts w:ascii="Times New Roman" w:hAnsi="Times New Roman" w:cs="Times New Roman"/>
          <w:color w:val="000000"/>
        </w:rPr>
        <w:fldChar w:fldCharType="separate"/>
      </w:r>
      <w:r w:rsidRPr="00240730" w:rsidR="00240730">
        <w:rPr>
          <w:rFonts w:ascii="Times New Roman" w:hAnsi="Times New Roman" w:cs="Times New Roman"/>
          <w:noProof/>
          <w:color w:val="000000"/>
        </w:rPr>
        <w:t>158</w:t>
      </w:r>
      <w:r w:rsidRPr="00240730">
        <w:rPr>
          <w:rFonts w:ascii="Times New Roman" w:hAnsi="Times New Roman" w:cs="Times New Roman"/>
          <w:color w:val="000000"/>
        </w:rPr>
        <w:fldChar w:fldCharType="end"/>
      </w:r>
      <w:r w:rsidRPr="00240730">
        <w:rPr>
          <w:rFonts w:ascii="Times New Roman" w:hAnsi="Times New Roman" w:cs="Times New Roman"/>
          <w:color w:val="000000"/>
        </w:rPr>
        <w:t>.  </w:t>
      </w:r>
      <w:r w:rsidRPr="00240730" w:rsidR="00A17F56">
        <w:rPr>
          <w:rFonts w:ascii="Times New Roman" w:hAnsi="Times New Roman" w:cs="Times New Roman"/>
          <w:color w:val="000000"/>
        </w:rPr>
        <w:t>Regard being had to the documents in its possession and the above criteria, t</w:t>
      </w:r>
      <w:r w:rsidRPr="00240730" w:rsidR="00EA36A6">
        <w:rPr>
          <w:rFonts w:ascii="Times New Roman" w:hAnsi="Times New Roman" w:cs="Times New Roman"/>
          <w:color w:val="000000"/>
        </w:rPr>
        <w:t xml:space="preserve">he Court awards Mr </w:t>
      </w:r>
      <w:proofErr w:type="spellStart"/>
      <w:r w:rsidRPr="00240730" w:rsidR="00EA36A6">
        <w:rPr>
          <w:rFonts w:ascii="Times New Roman" w:hAnsi="Times New Roman" w:cs="Times New Roman"/>
          <w:color w:val="000000"/>
        </w:rPr>
        <w:t>Kuzhelev</w:t>
      </w:r>
      <w:proofErr w:type="spellEnd"/>
      <w:r w:rsidRPr="00240730" w:rsidR="00EA36A6">
        <w:rPr>
          <w:rFonts w:ascii="Times New Roman" w:hAnsi="Times New Roman" w:cs="Times New Roman"/>
          <w:color w:val="000000"/>
        </w:rPr>
        <w:t xml:space="preserve"> EUR </w:t>
      </w:r>
      <w:r w:rsidRPr="00240730" w:rsidR="00A17F56">
        <w:rPr>
          <w:rFonts w:ascii="Times New Roman" w:hAnsi="Times New Roman" w:cs="Times New Roman"/>
          <w:color w:val="000000"/>
        </w:rPr>
        <w:t xml:space="preserve">21, plus any tax that may be chargeable to the applicant. The Court rejects the remainder of </w:t>
      </w:r>
      <w:r w:rsidRPr="00240730">
        <w:rPr>
          <w:rFonts w:ascii="Times New Roman" w:hAnsi="Times New Roman" w:cs="Times New Roman"/>
          <w:color w:val="000000"/>
        </w:rPr>
        <w:t xml:space="preserve">his </w:t>
      </w:r>
      <w:r w:rsidRPr="00240730" w:rsidR="00A17F56">
        <w:rPr>
          <w:rFonts w:ascii="Times New Roman" w:hAnsi="Times New Roman" w:cs="Times New Roman"/>
          <w:color w:val="000000"/>
        </w:rPr>
        <w:t>claims under this head.</w:t>
      </w:r>
    </w:p>
    <w:p w:rsidRPr="00240730" w:rsidR="00456AE6" w:rsidP="00240730" w:rsidRDefault="00456AE6">
      <w:pPr>
        <w:pStyle w:val="ECHRPara"/>
        <w:rPr>
          <w:rFonts w:ascii="Times New Roman" w:hAnsi="Times New Roman" w:cs="Times New Roman"/>
          <w:i/>
        </w:rPr>
      </w:pPr>
      <w:r w:rsidRPr="00240730">
        <w:rPr>
          <w:rFonts w:ascii="Times New Roman" w:hAnsi="Times New Roman" w:cs="Times New Roman"/>
          <w:color w:val="000000"/>
        </w:rPr>
        <w:fldChar w:fldCharType="begin"/>
      </w:r>
      <w:r w:rsidRPr="00240730">
        <w:rPr>
          <w:rFonts w:ascii="Times New Roman" w:hAnsi="Times New Roman" w:cs="Times New Roman"/>
          <w:color w:val="000000"/>
        </w:rPr>
        <w:instrText xml:space="preserve"> SEQ level0 \*arabic </w:instrText>
      </w:r>
      <w:r w:rsidRPr="00240730">
        <w:rPr>
          <w:rFonts w:ascii="Times New Roman" w:hAnsi="Times New Roman" w:cs="Times New Roman"/>
          <w:color w:val="000000"/>
        </w:rPr>
        <w:fldChar w:fldCharType="separate"/>
      </w:r>
      <w:r w:rsidRPr="00240730" w:rsidR="00240730">
        <w:rPr>
          <w:rFonts w:ascii="Times New Roman" w:hAnsi="Times New Roman" w:cs="Times New Roman"/>
          <w:noProof/>
          <w:color w:val="000000"/>
        </w:rPr>
        <w:t>159</w:t>
      </w:r>
      <w:r w:rsidRPr="00240730">
        <w:rPr>
          <w:rFonts w:ascii="Times New Roman" w:hAnsi="Times New Roman" w:cs="Times New Roman"/>
          <w:color w:val="000000"/>
        </w:rPr>
        <w:fldChar w:fldCharType="end"/>
      </w:r>
      <w:r w:rsidRPr="00240730">
        <w:rPr>
          <w:rFonts w:ascii="Times New Roman" w:hAnsi="Times New Roman" w:cs="Times New Roman"/>
          <w:color w:val="000000"/>
        </w:rPr>
        <w:t>.  The Court further rejects M</w:t>
      </w:r>
      <w:r w:rsidRPr="00240730" w:rsidR="0016631A">
        <w:rPr>
          <w:rFonts w:ascii="Times New Roman" w:hAnsi="Times New Roman" w:cs="Times New Roman"/>
          <w:color w:val="000000"/>
        </w:rPr>
        <w:t xml:space="preserve">r </w:t>
      </w:r>
      <w:r w:rsidRPr="00240730">
        <w:rPr>
          <w:rFonts w:ascii="Times New Roman" w:hAnsi="Times New Roman" w:cs="Times New Roman"/>
          <w:color w:val="000000"/>
        </w:rPr>
        <w:t>Smirnov</w:t>
      </w:r>
      <w:r w:rsidRPr="00240730" w:rsidR="00240730">
        <w:rPr>
          <w:rFonts w:ascii="Times New Roman" w:hAnsi="Times New Roman" w:cs="Times New Roman"/>
          <w:color w:val="000000"/>
        </w:rPr>
        <w:t>’</w:t>
      </w:r>
      <w:r w:rsidRPr="00240730">
        <w:rPr>
          <w:rFonts w:ascii="Times New Roman" w:hAnsi="Times New Roman" w:cs="Times New Roman"/>
          <w:color w:val="000000"/>
        </w:rPr>
        <w:t>s claims under this head, as it was not demonstrated that they had been actually and necessarily incurred.</w:t>
      </w:r>
    </w:p>
    <w:p w:rsidRPr="00240730" w:rsidR="0056473B" w:rsidP="00240730" w:rsidRDefault="0056473B">
      <w:pPr>
        <w:pStyle w:val="ECHRPara"/>
      </w:pPr>
      <w:r w:rsidRPr="00240730">
        <w:rPr>
          <w:rFonts w:ascii="Times New Roman" w:hAnsi="Times New Roman" w:cs="Times New Roman"/>
        </w:rPr>
        <w:fldChar w:fldCharType="begin"/>
      </w:r>
      <w:r w:rsidRPr="00240730">
        <w:rPr>
          <w:rFonts w:ascii="Times New Roman" w:hAnsi="Times New Roman" w:cs="Times New Roman"/>
        </w:rPr>
        <w:instrText xml:space="preserve"> SEQ level0 \*arabic </w:instrText>
      </w:r>
      <w:r w:rsidRPr="00240730">
        <w:rPr>
          <w:rFonts w:ascii="Times New Roman" w:hAnsi="Times New Roman" w:cs="Times New Roman"/>
        </w:rPr>
        <w:fldChar w:fldCharType="separate"/>
      </w:r>
      <w:r w:rsidRPr="00240730" w:rsidR="00240730">
        <w:rPr>
          <w:rFonts w:ascii="Times New Roman" w:hAnsi="Times New Roman" w:cs="Times New Roman"/>
          <w:noProof/>
        </w:rPr>
        <w:t>160</w:t>
      </w:r>
      <w:r w:rsidRPr="00240730">
        <w:rPr>
          <w:rFonts w:ascii="Times New Roman" w:hAnsi="Times New Roman" w:cs="Times New Roman"/>
        </w:rPr>
        <w:fldChar w:fldCharType="end"/>
      </w:r>
      <w:r w:rsidRPr="00240730">
        <w:rPr>
          <w:rFonts w:ascii="Times New Roman" w:hAnsi="Times New Roman" w:cs="Times New Roman"/>
        </w:rPr>
        <w:t>.  </w:t>
      </w:r>
      <w:r w:rsidRPr="00240730" w:rsidR="00315B31">
        <w:rPr>
          <w:rFonts w:ascii="Times New Roman" w:hAnsi="Times New Roman" w:cs="Times New Roman"/>
        </w:rPr>
        <w:t>As regards</w:t>
      </w:r>
      <w:r w:rsidRPr="00240730" w:rsidR="004D7624">
        <w:rPr>
          <w:rFonts w:ascii="Times New Roman" w:hAnsi="Times New Roman" w:cs="Times New Roman"/>
        </w:rPr>
        <w:t xml:space="preserve"> the</w:t>
      </w:r>
      <w:r w:rsidRPr="00240730" w:rsidR="00315B31">
        <w:rPr>
          <w:rFonts w:ascii="Times New Roman" w:hAnsi="Times New Roman" w:cs="Times New Roman"/>
        </w:rPr>
        <w:t xml:space="preserve"> other applicants, the </w:t>
      </w:r>
      <w:r w:rsidRPr="00240730">
        <w:rPr>
          <w:rFonts w:ascii="Times New Roman" w:hAnsi="Times New Roman" w:cs="Times New Roman"/>
        </w:rPr>
        <w:t xml:space="preserve">Court considers that, in the absence of a relevant claim, there is no call to make an award </w:t>
      </w:r>
      <w:r w:rsidRPr="00240730" w:rsidR="004D7624">
        <w:rPr>
          <w:rFonts w:ascii="Times New Roman" w:hAnsi="Times New Roman" w:cs="Times New Roman"/>
        </w:rPr>
        <w:t xml:space="preserve">in </w:t>
      </w:r>
      <w:r w:rsidRPr="00240730">
        <w:rPr>
          <w:rFonts w:ascii="Times New Roman" w:hAnsi="Times New Roman" w:cs="Times New Roman"/>
        </w:rPr>
        <w:t>respect of costs and expenses to</w:t>
      </w:r>
      <w:r w:rsidRPr="00240730" w:rsidR="004D7624">
        <w:rPr>
          <w:rFonts w:ascii="Times New Roman" w:hAnsi="Times New Roman" w:cs="Times New Roman"/>
        </w:rPr>
        <w:t xml:space="preserve"> the</w:t>
      </w:r>
      <w:r w:rsidRPr="00240730">
        <w:rPr>
          <w:rFonts w:ascii="Times New Roman" w:hAnsi="Times New Roman" w:cs="Times New Roman"/>
        </w:rPr>
        <w:t xml:space="preserve"> five other applicants.</w:t>
      </w:r>
    </w:p>
    <w:p w:rsidRPr="00240730" w:rsidR="00014566" w:rsidP="00240730" w:rsidRDefault="00014566">
      <w:pPr>
        <w:pStyle w:val="ECHRHeading2"/>
      </w:pPr>
      <w:r w:rsidRPr="00240730">
        <w:t>C.  Default interest</w:t>
      </w:r>
    </w:p>
    <w:p w:rsidRPr="00240730" w:rsidR="00014566" w:rsidP="00240730" w:rsidRDefault="000B07BC">
      <w:pPr>
        <w:pStyle w:val="ECHRPara"/>
      </w:pPr>
      <w:r w:rsidRPr="00240730">
        <w:fldChar w:fldCharType="begin"/>
      </w:r>
      <w:r w:rsidRPr="00240730">
        <w:instrText xml:space="preserve"> SEQ level0 \*arabic </w:instrText>
      </w:r>
      <w:r w:rsidRPr="00240730">
        <w:fldChar w:fldCharType="separate"/>
      </w:r>
      <w:r w:rsidRPr="00240730" w:rsidR="00240730">
        <w:rPr>
          <w:noProof/>
        </w:rPr>
        <w:t>161</w:t>
      </w:r>
      <w:r w:rsidRPr="00240730">
        <w:fldChar w:fldCharType="end"/>
      </w:r>
      <w:r w:rsidRPr="00240730" w:rsidR="00014566">
        <w:t>.  The Court considers it appropriate that the default interest rate should be based on the marginal lending rate of the European Central Bank, to which should be added three percentage points.</w:t>
      </w:r>
    </w:p>
    <w:p w:rsidRPr="00240730" w:rsidR="00014566" w:rsidP="00240730" w:rsidRDefault="00BB5883">
      <w:pPr>
        <w:pStyle w:val="ECHRTitle1"/>
      </w:pPr>
      <w:r w:rsidRPr="00240730">
        <w:t>FOR THESE REASONS, THE COURT</w:t>
      </w:r>
      <w:r w:rsidRPr="00240730" w:rsidR="000B07BC">
        <w:t>, UNANIMOUSLY,</w:t>
      </w:r>
    </w:p>
    <w:p w:rsidRPr="00240730" w:rsidR="00E57DA5" w:rsidP="00240730" w:rsidRDefault="00B637B9">
      <w:pPr>
        <w:pStyle w:val="JuList"/>
      </w:pPr>
      <w:r w:rsidRPr="00240730">
        <w:t>1.  </w:t>
      </w:r>
      <w:r w:rsidRPr="00240730" w:rsidR="00E57DA5">
        <w:rPr>
          <w:i/>
        </w:rPr>
        <w:t xml:space="preserve">Decides </w:t>
      </w:r>
      <w:r w:rsidRPr="00240730" w:rsidR="00E57DA5">
        <w:t>to join the applications;</w:t>
      </w:r>
    </w:p>
    <w:p w:rsidRPr="00240730" w:rsidR="00E57DA5" w:rsidP="00240730" w:rsidRDefault="00E57DA5">
      <w:pPr>
        <w:pStyle w:val="JuList"/>
      </w:pPr>
    </w:p>
    <w:p w:rsidRPr="00240730" w:rsidR="00807A77" w:rsidP="00240730" w:rsidRDefault="00E57DA5">
      <w:pPr>
        <w:pStyle w:val="JuList"/>
      </w:pPr>
      <w:r w:rsidRPr="00240730">
        <w:t>2.  </w:t>
      </w:r>
      <w:r w:rsidRPr="00240730" w:rsidR="00807A77">
        <w:rPr>
          <w:i/>
        </w:rPr>
        <w:t xml:space="preserve">Declares </w:t>
      </w:r>
      <w:r w:rsidRPr="00240730" w:rsidR="00807A77">
        <w:t xml:space="preserve">admissible, in respect of all applicants, a complaint under Article 6 </w:t>
      </w:r>
      <w:r w:rsidRPr="00240730" w:rsidR="00FD4EB0">
        <w:t>§ 1</w:t>
      </w:r>
      <w:r w:rsidRPr="00240730" w:rsidR="005E5FC8">
        <w:t xml:space="preserve"> </w:t>
      </w:r>
      <w:r w:rsidRPr="00240730" w:rsidR="00807A77">
        <w:t>of the Convention and Article 1 of Protocol No.</w:t>
      </w:r>
      <w:r w:rsidRPr="00240730" w:rsidR="003D2D33">
        <w:t> </w:t>
      </w:r>
      <w:r w:rsidRPr="00240730" w:rsidR="00807A77">
        <w:t xml:space="preserve">1 about the delayed enforcement of the judgments listed in </w:t>
      </w:r>
      <w:r w:rsidRPr="00240730" w:rsidR="00FD4EB0">
        <w:t>Column</w:t>
      </w:r>
      <w:r w:rsidRPr="00240730" w:rsidR="00867D21">
        <w:t> </w:t>
      </w:r>
      <w:r w:rsidRPr="00240730" w:rsidR="00FD4EB0">
        <w:t xml:space="preserve">3 of </w:t>
      </w:r>
      <w:r w:rsidRPr="00240730" w:rsidR="00807A77">
        <w:t>Appendix I (“Proceedings concerning unpaid wages in 2008”) against the FGUP;</w:t>
      </w:r>
    </w:p>
    <w:p w:rsidRPr="00240730" w:rsidR="00807A77" w:rsidP="00240730" w:rsidRDefault="00807A77">
      <w:pPr>
        <w:pStyle w:val="JuList"/>
      </w:pPr>
    </w:p>
    <w:p w:rsidRPr="00240730" w:rsidR="00B637B9" w:rsidP="00240730" w:rsidRDefault="00E57DA5">
      <w:pPr>
        <w:pStyle w:val="JuList"/>
      </w:pPr>
      <w:r w:rsidRPr="00240730">
        <w:t>3</w:t>
      </w:r>
      <w:r w:rsidRPr="00240730" w:rsidR="00807A77">
        <w:t>.  </w:t>
      </w:r>
      <w:r w:rsidRPr="00240730" w:rsidR="00B637B9">
        <w:rPr>
          <w:i/>
        </w:rPr>
        <w:t>Declares</w:t>
      </w:r>
      <w:r w:rsidRPr="00240730" w:rsidR="00E875D6">
        <w:rPr>
          <w:i/>
        </w:rPr>
        <w:t xml:space="preserve"> </w:t>
      </w:r>
      <w:r w:rsidRPr="00240730" w:rsidR="00E875D6">
        <w:t>admissible</w:t>
      </w:r>
      <w:r w:rsidRPr="00240730" w:rsidR="00807A77">
        <w:t>,</w:t>
      </w:r>
      <w:r w:rsidRPr="00240730" w:rsidR="00E875D6">
        <w:rPr>
          <w:i/>
        </w:rPr>
        <w:t xml:space="preserve"> </w:t>
      </w:r>
      <w:r w:rsidRPr="00240730" w:rsidR="00E875D6">
        <w:t xml:space="preserve">in respect of </w:t>
      </w:r>
      <w:r w:rsidRPr="00240730" w:rsidR="00DC0A5F">
        <w:t xml:space="preserve">Mr </w:t>
      </w:r>
      <w:proofErr w:type="spellStart"/>
      <w:r w:rsidRPr="00240730" w:rsidR="00DC0A5F">
        <w:t>Kuzhelev</w:t>
      </w:r>
      <w:proofErr w:type="spellEnd"/>
      <w:r w:rsidRPr="00240730" w:rsidR="00DC0A5F">
        <w:t xml:space="preserve">, Ms Pavlova, </w:t>
      </w:r>
      <w:r w:rsidRPr="00240730" w:rsidR="005814D8">
        <w:t>Ms </w:t>
      </w:r>
      <w:proofErr w:type="spellStart"/>
      <w:r w:rsidRPr="00240730" w:rsidR="00807A77">
        <w:t>Kudryashova</w:t>
      </w:r>
      <w:proofErr w:type="spellEnd"/>
      <w:r w:rsidRPr="00240730" w:rsidR="00FD4EB0">
        <w:t>,</w:t>
      </w:r>
      <w:r w:rsidRPr="00240730" w:rsidR="00807A77">
        <w:t xml:space="preserve"> </w:t>
      </w:r>
      <w:r w:rsidRPr="00240730" w:rsidR="00FD4EB0">
        <w:t xml:space="preserve">Ms </w:t>
      </w:r>
      <w:proofErr w:type="spellStart"/>
      <w:r w:rsidRPr="00240730" w:rsidR="00FD4EB0">
        <w:t>Petrova</w:t>
      </w:r>
      <w:proofErr w:type="spellEnd"/>
      <w:r w:rsidRPr="00240730" w:rsidR="00FD4EB0">
        <w:t>, Ms </w:t>
      </w:r>
      <w:proofErr w:type="spellStart"/>
      <w:r w:rsidRPr="00240730" w:rsidR="00FD4EB0">
        <w:t>Lebedeva</w:t>
      </w:r>
      <w:proofErr w:type="spellEnd"/>
      <w:r w:rsidRPr="00240730" w:rsidR="00FD4EB0">
        <w:t xml:space="preserve"> </w:t>
      </w:r>
      <w:r w:rsidRPr="00240730" w:rsidR="00807A77">
        <w:t xml:space="preserve">and Mr </w:t>
      </w:r>
      <w:proofErr w:type="spellStart"/>
      <w:r w:rsidRPr="00240730" w:rsidR="00807A77">
        <w:t>Tomilin</w:t>
      </w:r>
      <w:proofErr w:type="spellEnd"/>
      <w:r w:rsidRPr="00240730" w:rsidR="00E875D6">
        <w:rPr>
          <w:i/>
        </w:rPr>
        <w:t xml:space="preserve">, </w:t>
      </w:r>
      <w:r w:rsidRPr="00240730" w:rsidR="00B637B9">
        <w:t xml:space="preserve">the complaints </w:t>
      </w:r>
      <w:r w:rsidRPr="00240730" w:rsidR="00E875D6">
        <w:t>under Article 6</w:t>
      </w:r>
      <w:r w:rsidRPr="00240730" w:rsidR="00867D21">
        <w:t> </w:t>
      </w:r>
      <w:r w:rsidRPr="00240730" w:rsidR="00FD4EB0">
        <w:t>§</w:t>
      </w:r>
      <w:r w:rsidRPr="00240730" w:rsidR="00867D21">
        <w:t> </w:t>
      </w:r>
      <w:r w:rsidRPr="00240730" w:rsidR="00FD4EB0">
        <w:t>1</w:t>
      </w:r>
      <w:r w:rsidRPr="00240730" w:rsidR="00E875D6">
        <w:t xml:space="preserve"> of the Conve</w:t>
      </w:r>
      <w:r w:rsidRPr="00240730" w:rsidR="00DC0A5F">
        <w:t>ntion and Article 1 of Protocol </w:t>
      </w:r>
      <w:r w:rsidRPr="00240730" w:rsidR="00E875D6">
        <w:t>No.</w:t>
      </w:r>
      <w:r w:rsidRPr="00240730" w:rsidR="00DC0A5F">
        <w:t> </w:t>
      </w:r>
      <w:r w:rsidRPr="00240730" w:rsidR="00E875D6">
        <w:t xml:space="preserve">1 on account of the non-enforcement of the court </w:t>
      </w:r>
      <w:r w:rsidRPr="00240730" w:rsidR="004D7624">
        <w:t xml:space="preserve">orders </w:t>
      </w:r>
      <w:r w:rsidRPr="00240730" w:rsidR="00807A77">
        <w:t xml:space="preserve">and decisions </w:t>
      </w:r>
      <w:r w:rsidRPr="00240730" w:rsidR="00E875D6">
        <w:t>in the applicant</w:t>
      </w:r>
      <w:r w:rsidRPr="00240730" w:rsidR="00240730">
        <w:t>’</w:t>
      </w:r>
      <w:r w:rsidRPr="00240730" w:rsidR="00E875D6">
        <w:t>s favour in respect of salaries for June</w:t>
      </w:r>
      <w:r w:rsidRPr="00240730" w:rsidR="004D7624">
        <w:t xml:space="preserve"> to </w:t>
      </w:r>
      <w:r w:rsidRPr="00240730" w:rsidR="00E875D6">
        <w:t xml:space="preserve">July 2008 against the OAO </w:t>
      </w:r>
      <w:r w:rsidRPr="00240730" w:rsidR="00807A77">
        <w:t>and</w:t>
      </w:r>
      <w:r w:rsidRPr="00240730" w:rsidR="008168FD">
        <w:t xml:space="preserve">, in respect of Ms </w:t>
      </w:r>
      <w:proofErr w:type="spellStart"/>
      <w:r w:rsidRPr="00240730" w:rsidR="008168FD">
        <w:t>Petrova</w:t>
      </w:r>
      <w:proofErr w:type="spellEnd"/>
      <w:r w:rsidRPr="00240730" w:rsidR="008168FD">
        <w:t xml:space="preserve">, Ms </w:t>
      </w:r>
      <w:proofErr w:type="spellStart"/>
      <w:r w:rsidRPr="00240730" w:rsidR="008168FD">
        <w:t>Lebedeva</w:t>
      </w:r>
      <w:proofErr w:type="spellEnd"/>
      <w:r w:rsidRPr="00240730" w:rsidR="008168FD">
        <w:t xml:space="preserve"> and Mr </w:t>
      </w:r>
      <w:proofErr w:type="spellStart"/>
      <w:r w:rsidRPr="00240730" w:rsidR="008168FD">
        <w:t>Tomilin</w:t>
      </w:r>
      <w:proofErr w:type="spellEnd"/>
      <w:r w:rsidRPr="00240730" w:rsidR="005E5FC8">
        <w:t>,</w:t>
      </w:r>
      <w:r w:rsidRPr="00240730" w:rsidR="008168FD">
        <w:t xml:space="preserve"> </w:t>
      </w:r>
      <w:r w:rsidRPr="00240730" w:rsidR="00807A77">
        <w:t xml:space="preserve">the index-linking of those awards </w:t>
      </w:r>
      <w:r w:rsidRPr="00240730" w:rsidR="00E875D6">
        <w:t>listed in the relevant column of Appendix II</w:t>
      </w:r>
      <w:r w:rsidRPr="00240730" w:rsidR="00B637B9">
        <w:t>;</w:t>
      </w:r>
    </w:p>
    <w:p w:rsidRPr="00240730" w:rsidR="00014566" w:rsidP="00240730" w:rsidRDefault="00014566">
      <w:pPr>
        <w:pStyle w:val="JuList"/>
        <w:ind w:left="0" w:firstLine="0"/>
      </w:pPr>
    </w:p>
    <w:p w:rsidRPr="00240730" w:rsidR="00014566" w:rsidP="00240730" w:rsidRDefault="00E57DA5">
      <w:pPr>
        <w:pStyle w:val="JuList"/>
      </w:pPr>
      <w:r w:rsidRPr="00240730">
        <w:t>4</w:t>
      </w:r>
      <w:r w:rsidRPr="00240730" w:rsidR="00014566">
        <w:t>.  </w:t>
      </w:r>
      <w:r w:rsidRPr="00240730" w:rsidR="00014566">
        <w:rPr>
          <w:i/>
        </w:rPr>
        <w:t>Holds</w:t>
      </w:r>
      <w:r w:rsidRPr="00240730" w:rsidR="004E6BC8">
        <w:rPr>
          <w:i/>
        </w:rPr>
        <w:t xml:space="preserve">, </w:t>
      </w:r>
      <w:r w:rsidRPr="00240730" w:rsidR="004E6BC8">
        <w:t xml:space="preserve">in respect of all applications, </w:t>
      </w:r>
      <w:r w:rsidRPr="00240730" w:rsidR="00014566">
        <w:t xml:space="preserve">that there </w:t>
      </w:r>
      <w:r w:rsidRPr="00240730" w:rsidR="0056473B">
        <w:t>ha</w:t>
      </w:r>
      <w:r w:rsidRPr="00240730" w:rsidR="003D2D33">
        <w:t>s been a violation of Article 6 </w:t>
      </w:r>
      <w:r w:rsidRPr="00240730" w:rsidR="00FD4EB0">
        <w:t>§</w:t>
      </w:r>
      <w:r w:rsidRPr="00240730" w:rsidR="003D2D33">
        <w:t> </w:t>
      </w:r>
      <w:r w:rsidRPr="00240730" w:rsidR="00FD4EB0">
        <w:t xml:space="preserve">1 </w:t>
      </w:r>
      <w:r w:rsidRPr="00240730" w:rsidR="0056473B">
        <w:t>of the Convention and Article 1 of Protocol No.</w:t>
      </w:r>
      <w:r w:rsidRPr="00240730" w:rsidR="00DC0A5F">
        <w:t> </w:t>
      </w:r>
      <w:r w:rsidRPr="00240730" w:rsidR="0056473B">
        <w:t xml:space="preserve">1 </w:t>
      </w:r>
      <w:r w:rsidRPr="00240730" w:rsidR="005E5FC8">
        <w:t xml:space="preserve">to the Convention </w:t>
      </w:r>
      <w:r w:rsidRPr="00240730" w:rsidR="0056473B">
        <w:t xml:space="preserve">on account of the delayed enforcement of the judgments </w:t>
      </w:r>
      <w:r w:rsidRPr="00240730" w:rsidR="004E6BC8">
        <w:t xml:space="preserve">listed in Appendix I (“Proceedings concerning unpaid wages in 2008”) </w:t>
      </w:r>
      <w:r w:rsidRPr="00240730" w:rsidR="0056473B">
        <w:t>against the FGUP;</w:t>
      </w:r>
    </w:p>
    <w:p w:rsidRPr="00240730" w:rsidR="004E6BC8" w:rsidP="00240730" w:rsidRDefault="004E6BC8">
      <w:pPr>
        <w:pStyle w:val="JuList"/>
      </w:pPr>
    </w:p>
    <w:p w:rsidRPr="00240730" w:rsidR="004E6BC8" w:rsidP="00240730" w:rsidRDefault="00E57DA5">
      <w:pPr>
        <w:pStyle w:val="JuList"/>
      </w:pPr>
      <w:r w:rsidRPr="00240730">
        <w:t>5</w:t>
      </w:r>
      <w:r w:rsidRPr="00240730" w:rsidR="004E6BC8">
        <w:t>.  </w:t>
      </w:r>
      <w:r w:rsidRPr="00240730" w:rsidR="004E6BC8">
        <w:rPr>
          <w:i/>
        </w:rPr>
        <w:t xml:space="preserve">Holds, </w:t>
      </w:r>
      <w:r w:rsidRPr="00240730" w:rsidR="004E6BC8">
        <w:t xml:space="preserve">in respect of Mr </w:t>
      </w:r>
      <w:proofErr w:type="spellStart"/>
      <w:r w:rsidRPr="00240730" w:rsidR="004E6BC8">
        <w:t>Kuzhel</w:t>
      </w:r>
      <w:r w:rsidRPr="00240730" w:rsidR="00DC0A5F">
        <w:t>ev</w:t>
      </w:r>
      <w:proofErr w:type="spellEnd"/>
      <w:r w:rsidRPr="00240730" w:rsidR="00DC0A5F">
        <w:t xml:space="preserve">, Ms </w:t>
      </w:r>
      <w:proofErr w:type="spellStart"/>
      <w:r w:rsidRPr="00240730" w:rsidR="00DC0A5F">
        <w:t>Lebedeva</w:t>
      </w:r>
      <w:proofErr w:type="spellEnd"/>
      <w:r w:rsidRPr="00240730" w:rsidR="00DC0A5F">
        <w:t xml:space="preserve">, Ms </w:t>
      </w:r>
      <w:proofErr w:type="spellStart"/>
      <w:r w:rsidRPr="00240730" w:rsidR="00DC0A5F">
        <w:t>Petrova</w:t>
      </w:r>
      <w:proofErr w:type="spellEnd"/>
      <w:r w:rsidRPr="00240730" w:rsidR="00DC0A5F">
        <w:t>, Ms </w:t>
      </w:r>
      <w:r w:rsidRPr="00240730" w:rsidR="004E6BC8">
        <w:t xml:space="preserve">Pavlova, Ms </w:t>
      </w:r>
      <w:proofErr w:type="spellStart"/>
      <w:r w:rsidRPr="00240730" w:rsidR="004E6BC8">
        <w:t>Kudryashova</w:t>
      </w:r>
      <w:proofErr w:type="spellEnd"/>
      <w:r w:rsidRPr="00240730" w:rsidR="004E6BC8">
        <w:t xml:space="preserve"> and Mr </w:t>
      </w:r>
      <w:proofErr w:type="spellStart"/>
      <w:r w:rsidRPr="00240730" w:rsidR="004E6BC8">
        <w:t>Tomilin</w:t>
      </w:r>
      <w:proofErr w:type="spellEnd"/>
      <w:r w:rsidRPr="00240730" w:rsidR="004E6BC8">
        <w:t>, that there has been a violation of Article 6</w:t>
      </w:r>
      <w:r w:rsidRPr="00240730" w:rsidR="005E5FC8">
        <w:t> § 1</w:t>
      </w:r>
      <w:r w:rsidRPr="00240730" w:rsidR="004E6BC8">
        <w:t xml:space="preserve"> of the Convention and Article 1 of Protocol No.</w:t>
      </w:r>
      <w:r w:rsidRPr="00240730" w:rsidR="00DC0A5F">
        <w:t> </w:t>
      </w:r>
      <w:r w:rsidRPr="00240730" w:rsidR="004E6BC8">
        <w:t xml:space="preserve">1 </w:t>
      </w:r>
      <w:r w:rsidRPr="00240730" w:rsidR="005E5FC8">
        <w:t xml:space="preserve">to the Convention </w:t>
      </w:r>
      <w:r w:rsidRPr="00240730" w:rsidR="004E6BC8">
        <w:t>on account of the non-enforcement of the court</w:t>
      </w:r>
      <w:r w:rsidRPr="00240730" w:rsidR="004D7624">
        <w:t xml:space="preserve"> orders</w:t>
      </w:r>
      <w:r w:rsidRPr="00240730" w:rsidR="004E6BC8">
        <w:t xml:space="preserve"> in the applicant</w:t>
      </w:r>
      <w:r w:rsidRPr="00240730" w:rsidR="00240730">
        <w:t>’</w:t>
      </w:r>
      <w:r w:rsidRPr="00240730" w:rsidR="004E6BC8">
        <w:t>s favour in respect of salaries for June</w:t>
      </w:r>
      <w:r w:rsidRPr="00240730" w:rsidR="004D7624">
        <w:t xml:space="preserve"> to </w:t>
      </w:r>
      <w:r w:rsidRPr="00240730" w:rsidR="004E6BC8">
        <w:t xml:space="preserve">July 2008 against the OAO listed in </w:t>
      </w:r>
      <w:r w:rsidRPr="00240730" w:rsidR="00AF028D">
        <w:t>C</w:t>
      </w:r>
      <w:r w:rsidRPr="00240730" w:rsidR="004E6BC8">
        <w:t>olumn</w:t>
      </w:r>
      <w:r w:rsidRPr="00240730" w:rsidR="00AF028D">
        <w:t> 3</w:t>
      </w:r>
      <w:r w:rsidRPr="00240730" w:rsidR="004E6BC8">
        <w:t xml:space="preserve"> of Appendix II;</w:t>
      </w:r>
    </w:p>
    <w:p w:rsidRPr="00240730" w:rsidR="00BA56CF" w:rsidP="00240730" w:rsidRDefault="00BA56CF">
      <w:pPr>
        <w:pStyle w:val="ECHRPara"/>
        <w:rPr>
          <w:b/>
          <w:bCs/>
          <w:iCs/>
        </w:rPr>
      </w:pPr>
    </w:p>
    <w:p w:rsidRPr="00240730" w:rsidR="00E2289C" w:rsidP="00240730" w:rsidRDefault="00E57DA5">
      <w:pPr>
        <w:pStyle w:val="JuList"/>
      </w:pPr>
      <w:r w:rsidRPr="00240730">
        <w:rPr>
          <w:bCs/>
          <w:iCs/>
        </w:rPr>
        <w:t>6</w:t>
      </w:r>
      <w:r w:rsidRPr="00240730" w:rsidR="00BA56CF">
        <w:rPr>
          <w:bCs/>
          <w:iCs/>
        </w:rPr>
        <w:t>.</w:t>
      </w:r>
      <w:r w:rsidRPr="00240730" w:rsidR="00BA56CF">
        <w:rPr>
          <w:b/>
          <w:bCs/>
          <w:iCs/>
        </w:rPr>
        <w:t>  </w:t>
      </w:r>
      <w:r w:rsidRPr="00240730" w:rsidR="00BA56CF">
        <w:rPr>
          <w:i/>
        </w:rPr>
        <w:t xml:space="preserve">Holds, </w:t>
      </w:r>
      <w:r w:rsidRPr="00240730" w:rsidR="00BA56CF">
        <w:t xml:space="preserve">in respect of Ms </w:t>
      </w:r>
      <w:proofErr w:type="spellStart"/>
      <w:r w:rsidRPr="00240730" w:rsidR="00BA56CF">
        <w:t>Petrova</w:t>
      </w:r>
      <w:proofErr w:type="spellEnd"/>
      <w:r w:rsidRPr="00240730" w:rsidR="00BA56CF">
        <w:t xml:space="preserve">, Ms </w:t>
      </w:r>
      <w:proofErr w:type="spellStart"/>
      <w:r w:rsidRPr="00240730" w:rsidR="00BA56CF">
        <w:t>Lebedeva</w:t>
      </w:r>
      <w:proofErr w:type="spellEnd"/>
      <w:r w:rsidRPr="00240730" w:rsidR="00E16A13">
        <w:t xml:space="preserve"> and Mr </w:t>
      </w:r>
      <w:proofErr w:type="spellStart"/>
      <w:r w:rsidRPr="00240730" w:rsidR="00BA56CF">
        <w:t>Tomilin</w:t>
      </w:r>
      <w:proofErr w:type="spellEnd"/>
      <w:r w:rsidRPr="00240730" w:rsidR="00BA56CF">
        <w:t>, that there has been a violation of Article 6</w:t>
      </w:r>
      <w:r w:rsidRPr="00240730" w:rsidR="00867D21">
        <w:t> </w:t>
      </w:r>
      <w:r w:rsidRPr="00240730" w:rsidR="00FD4EB0">
        <w:t>§</w:t>
      </w:r>
      <w:r w:rsidRPr="00240730" w:rsidR="00867D21">
        <w:t> </w:t>
      </w:r>
      <w:r w:rsidRPr="00240730" w:rsidR="00FD4EB0">
        <w:t xml:space="preserve">1 </w:t>
      </w:r>
      <w:r w:rsidRPr="00240730" w:rsidR="00BA56CF">
        <w:t xml:space="preserve">of the Convention and Article 1 of Protocol No. 1 </w:t>
      </w:r>
      <w:r w:rsidRPr="00240730" w:rsidR="005E5FC8">
        <w:t xml:space="preserve">to the Convention </w:t>
      </w:r>
      <w:r w:rsidRPr="00240730" w:rsidR="00BA56CF">
        <w:t xml:space="preserve">on account of the non-enforcement of the awards against the OAO </w:t>
      </w:r>
      <w:r w:rsidRPr="00240730" w:rsidR="00E16A13">
        <w:t>in the index</w:t>
      </w:r>
      <w:r w:rsidRPr="00240730" w:rsidR="00E16A13">
        <w:noBreakHyphen/>
      </w:r>
      <w:r w:rsidRPr="00240730" w:rsidR="00BA56CF">
        <w:t>linking proceedings listed in Column 5 of Appendix II;</w:t>
      </w:r>
    </w:p>
    <w:p w:rsidRPr="00240730" w:rsidR="00BA56CF" w:rsidP="00240730" w:rsidRDefault="00BA56CF">
      <w:pPr>
        <w:pStyle w:val="ECHRPara"/>
      </w:pPr>
    </w:p>
    <w:p w:rsidRPr="00240730" w:rsidR="00014566" w:rsidP="00240730" w:rsidRDefault="008C5F6E">
      <w:pPr>
        <w:pStyle w:val="JuList"/>
      </w:pPr>
      <w:r w:rsidRPr="00240730">
        <w:t>7</w:t>
      </w:r>
      <w:r w:rsidRPr="00240730" w:rsidR="00014566">
        <w:t>.  </w:t>
      </w:r>
      <w:proofErr w:type="gramStart"/>
      <w:r w:rsidRPr="00240730" w:rsidR="00014566">
        <w:rPr>
          <w:i/>
        </w:rPr>
        <w:t>Holds</w:t>
      </w:r>
      <w:proofErr w:type="gramEnd"/>
      <w:r w:rsidRPr="00240730" w:rsidR="0056473B">
        <w:t>, in respect of all applications,</w:t>
      </w:r>
      <w:r w:rsidRPr="00240730" w:rsidR="00014566">
        <w:rPr>
          <w:color w:val="000000"/>
        </w:rPr>
        <w:t xml:space="preserve"> </w:t>
      </w:r>
      <w:r w:rsidRPr="00240730" w:rsidR="00014566">
        <w:t xml:space="preserve">that there is no need to examine the </w:t>
      </w:r>
      <w:r w:rsidRPr="00240730" w:rsidR="00BA56CF">
        <w:t xml:space="preserve">admissibility and merits of the </w:t>
      </w:r>
      <w:r w:rsidRPr="00240730" w:rsidR="00014566">
        <w:t>complaint under Article</w:t>
      </w:r>
      <w:r w:rsidRPr="00240730" w:rsidR="0056473B">
        <w:t> 13</w:t>
      </w:r>
      <w:r w:rsidRPr="00240730" w:rsidR="00014566">
        <w:t xml:space="preserve"> of the Convention;</w:t>
      </w:r>
    </w:p>
    <w:p w:rsidRPr="00240730" w:rsidR="00807A77" w:rsidP="00240730" w:rsidRDefault="00807A77">
      <w:pPr>
        <w:pStyle w:val="JuList"/>
        <w:rPr>
          <w:i/>
        </w:rPr>
      </w:pPr>
    </w:p>
    <w:p w:rsidRPr="00240730" w:rsidR="00807A77" w:rsidP="00240730" w:rsidRDefault="008C5F6E">
      <w:pPr>
        <w:pStyle w:val="JuList"/>
        <w:rPr>
          <w:szCs w:val="24"/>
        </w:rPr>
      </w:pPr>
      <w:r w:rsidRPr="00240730">
        <w:t>8</w:t>
      </w:r>
      <w:r w:rsidRPr="00240730" w:rsidR="00807A77">
        <w:rPr>
          <w:i/>
        </w:rPr>
        <w:t>.  </w:t>
      </w:r>
      <w:proofErr w:type="gramStart"/>
      <w:r w:rsidRPr="00240730" w:rsidR="00807A77">
        <w:rPr>
          <w:i/>
        </w:rPr>
        <w:t>Declares</w:t>
      </w:r>
      <w:proofErr w:type="gramEnd"/>
      <w:r w:rsidRPr="00240730" w:rsidR="00807A77">
        <w:rPr>
          <w:i/>
        </w:rPr>
        <w:t xml:space="preserve"> </w:t>
      </w:r>
      <w:r w:rsidRPr="00240730" w:rsidR="00807A77">
        <w:t>the remainder of the application</w:t>
      </w:r>
      <w:r w:rsidRPr="00240730" w:rsidR="00F2607B">
        <w:t>s</w:t>
      </w:r>
      <w:r w:rsidRPr="00240730" w:rsidR="00807A77">
        <w:t xml:space="preserve"> inadmissible;</w:t>
      </w:r>
    </w:p>
    <w:p w:rsidRPr="00240730" w:rsidR="00014566" w:rsidP="00240730" w:rsidRDefault="00014566">
      <w:pPr>
        <w:pStyle w:val="JuList"/>
      </w:pPr>
    </w:p>
    <w:p w:rsidRPr="00240730" w:rsidR="000B07BC" w:rsidP="00240730" w:rsidRDefault="008C5F6E">
      <w:pPr>
        <w:pStyle w:val="JuList"/>
      </w:pPr>
      <w:r w:rsidRPr="00240730">
        <w:t>9</w:t>
      </w:r>
      <w:r w:rsidRPr="00240730" w:rsidR="00014566">
        <w:t>.  </w:t>
      </w:r>
      <w:r w:rsidRPr="00240730" w:rsidR="00014566">
        <w:rPr>
          <w:i/>
        </w:rPr>
        <w:t>Holds</w:t>
      </w:r>
    </w:p>
    <w:p w:rsidRPr="00240730" w:rsidR="00014566" w:rsidP="00240730" w:rsidRDefault="00014566">
      <w:pPr>
        <w:pStyle w:val="JuLista"/>
      </w:pPr>
      <w:r w:rsidRPr="00240730">
        <w:t>(a)  that the respondent State is to pay the applicant</w:t>
      </w:r>
      <w:r w:rsidRPr="00240730" w:rsidR="000B07BC">
        <w:t>s</w:t>
      </w:r>
      <w:r w:rsidRPr="00240730">
        <w:t>, within three months</w:t>
      </w:r>
      <w:r w:rsidRPr="00240730" w:rsidR="003D2D33">
        <w:t>,</w:t>
      </w:r>
      <w:r w:rsidRPr="00240730" w:rsidR="000B07BC">
        <w:t xml:space="preserve"> </w:t>
      </w:r>
      <w:r w:rsidRPr="00240730">
        <w:t xml:space="preserve">the following amounts, to be converted into </w:t>
      </w:r>
      <w:r w:rsidRPr="00240730">
        <w:rPr>
          <w:color w:val="000000"/>
        </w:rPr>
        <w:t>the currency of the respondent State</w:t>
      </w:r>
      <w:r w:rsidRPr="00240730" w:rsidR="00031E64">
        <w:rPr>
          <w:color w:val="000000"/>
        </w:rPr>
        <w:t xml:space="preserve"> </w:t>
      </w:r>
      <w:r w:rsidRPr="00240730">
        <w:t>at the rate applicable at the date of settlement:</w:t>
      </w:r>
    </w:p>
    <w:p w:rsidRPr="00240730" w:rsidR="00014566" w:rsidP="00240730" w:rsidRDefault="00014566">
      <w:pPr>
        <w:pStyle w:val="JuListi"/>
      </w:pPr>
      <w:r w:rsidRPr="00240730">
        <w:t>(</w:t>
      </w:r>
      <w:proofErr w:type="spellStart"/>
      <w:r w:rsidRPr="00240730">
        <w:t>i</w:t>
      </w:r>
      <w:proofErr w:type="spellEnd"/>
      <w:r w:rsidRPr="00240730">
        <w:t>)  </w:t>
      </w:r>
      <w:r w:rsidRPr="00240730" w:rsidR="0001407F">
        <w:t>the amounts in euros specified in Appendix I</w:t>
      </w:r>
      <w:r w:rsidRPr="00240730" w:rsidR="00D61187">
        <w:t>II</w:t>
      </w:r>
      <w:r w:rsidRPr="00240730">
        <w:t>, plus any tax that may be chargeable,</w:t>
      </w:r>
      <w:r w:rsidRPr="00240730" w:rsidR="0001407F">
        <w:t xml:space="preserve"> </w:t>
      </w:r>
      <w:r w:rsidRPr="00240730">
        <w:t>in respect of pecuniary damage;</w:t>
      </w:r>
    </w:p>
    <w:p w:rsidRPr="00240730" w:rsidR="00014566" w:rsidP="00240730" w:rsidRDefault="0001407F">
      <w:pPr>
        <w:pStyle w:val="JuListi"/>
      </w:pPr>
      <w:r w:rsidRPr="00240730">
        <w:t>(ii)  EUR 2,000</w:t>
      </w:r>
      <w:r w:rsidRPr="00240730" w:rsidR="00014566">
        <w:t xml:space="preserve"> (</w:t>
      </w:r>
      <w:r w:rsidRPr="00240730">
        <w:t>two thousand euros</w:t>
      </w:r>
      <w:r w:rsidRPr="00240730" w:rsidR="00014566">
        <w:t>)</w:t>
      </w:r>
      <w:r w:rsidRPr="00240730" w:rsidR="008168FD">
        <w:t xml:space="preserve"> to each applicant</w:t>
      </w:r>
      <w:r w:rsidRPr="00240730" w:rsidR="00014566">
        <w:t>, plus any tax that may be chargeable, in respect of non-pecuniary damage;</w:t>
      </w:r>
    </w:p>
    <w:p w:rsidRPr="00240730" w:rsidR="00014566" w:rsidP="00240730" w:rsidRDefault="00014566">
      <w:pPr>
        <w:pStyle w:val="JuListi"/>
      </w:pPr>
      <w:r w:rsidRPr="00240730">
        <w:t>(iii)  EUR</w:t>
      </w:r>
      <w:r w:rsidRPr="00240730" w:rsidR="0001407F">
        <w:t> 21</w:t>
      </w:r>
      <w:r w:rsidRPr="00240730">
        <w:t xml:space="preserve"> (</w:t>
      </w:r>
      <w:r w:rsidRPr="00240730" w:rsidR="0001407F">
        <w:t>twenty-one euro</w:t>
      </w:r>
      <w:r w:rsidRPr="00240730" w:rsidR="004D7624">
        <w:t>s</w:t>
      </w:r>
      <w:r w:rsidRPr="00240730">
        <w:t>)</w:t>
      </w:r>
      <w:r w:rsidRPr="00240730" w:rsidR="0001407F">
        <w:t xml:space="preserve"> to Mr </w:t>
      </w:r>
      <w:proofErr w:type="spellStart"/>
      <w:r w:rsidRPr="00240730" w:rsidR="0001407F">
        <w:t>Kuzhelev</w:t>
      </w:r>
      <w:proofErr w:type="spellEnd"/>
      <w:r w:rsidRPr="00240730">
        <w:t>, plus any tax that may be chargeable to the applicant, in respect of costs and expenses;</w:t>
      </w:r>
    </w:p>
    <w:p w:rsidRPr="00240730" w:rsidR="00014566" w:rsidP="00240730" w:rsidRDefault="00014566">
      <w:pPr>
        <w:pStyle w:val="JuLista"/>
      </w:pPr>
      <w:r w:rsidRPr="00240730">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240730" w:rsidR="00014566" w:rsidP="00240730" w:rsidRDefault="00014566">
      <w:pPr>
        <w:pStyle w:val="JuList"/>
      </w:pPr>
    </w:p>
    <w:p w:rsidRPr="00240730" w:rsidR="00014566" w:rsidP="00240730" w:rsidRDefault="00BA56CF">
      <w:pPr>
        <w:pStyle w:val="JuList"/>
      </w:pPr>
      <w:r w:rsidRPr="00240730">
        <w:t>1</w:t>
      </w:r>
      <w:r w:rsidRPr="00240730" w:rsidR="008C5F6E">
        <w:t>0</w:t>
      </w:r>
      <w:r w:rsidRPr="00240730" w:rsidR="00014566">
        <w:t>.  </w:t>
      </w:r>
      <w:r w:rsidRPr="00240730" w:rsidR="00014566">
        <w:rPr>
          <w:i/>
        </w:rPr>
        <w:t>Dismisses</w:t>
      </w:r>
      <w:r w:rsidRPr="00240730" w:rsidR="00014566">
        <w:rPr>
          <w:color w:val="000000"/>
        </w:rPr>
        <w:t xml:space="preserve"> </w:t>
      </w:r>
      <w:r w:rsidRPr="00240730" w:rsidR="00014566">
        <w:t>the remainder of the applicant</w:t>
      </w:r>
      <w:r w:rsidRPr="00240730" w:rsidR="000B07BC">
        <w:t>s</w:t>
      </w:r>
      <w:r w:rsidRPr="00240730" w:rsidR="00240730">
        <w:t>’</w:t>
      </w:r>
      <w:r w:rsidRPr="00240730" w:rsidR="00014566">
        <w:t xml:space="preserve"> claim for just satisfaction.</w:t>
      </w:r>
    </w:p>
    <w:p w:rsidRPr="00240730" w:rsidR="00014566" w:rsidP="00240730" w:rsidRDefault="00014566">
      <w:pPr>
        <w:pStyle w:val="JuParaLast"/>
      </w:pPr>
      <w:r w:rsidRPr="00240730">
        <w:t xml:space="preserve">Done in English, and notified in writing on </w:t>
      </w:r>
      <w:r w:rsidRPr="00240730" w:rsidR="005814D8">
        <w:t>15 October 2019</w:t>
      </w:r>
      <w:r w:rsidRPr="00240730" w:rsidR="00C915FB">
        <w:t>, pursuant to Rule </w:t>
      </w:r>
      <w:r w:rsidRPr="00240730">
        <w:t>77</w:t>
      </w:r>
      <w:r w:rsidRPr="00240730" w:rsidR="00C915FB">
        <w:t> </w:t>
      </w:r>
      <w:r w:rsidRPr="00240730">
        <w:t>§§</w:t>
      </w:r>
      <w:r w:rsidRPr="00240730" w:rsidR="00C915FB">
        <w:t> </w:t>
      </w:r>
      <w:r w:rsidRPr="00240730">
        <w:t>2 and 3 of the Rules of Court.</w:t>
      </w:r>
    </w:p>
    <w:p w:rsidRPr="00240730" w:rsidR="00014566" w:rsidP="00240730" w:rsidRDefault="00014566">
      <w:pPr>
        <w:pStyle w:val="JuSigned"/>
      </w:pPr>
      <w:r w:rsidRPr="00240730">
        <w:tab/>
      </w:r>
      <w:r w:rsidRPr="00240730" w:rsidR="006B4D3D">
        <w:t>Stephen Phillips</w:t>
      </w:r>
      <w:r w:rsidRPr="00240730">
        <w:tab/>
      </w:r>
      <w:r w:rsidRPr="00240730" w:rsidR="00DC33F9">
        <w:t>Paul Lemmens</w:t>
      </w:r>
      <w:r w:rsidRPr="00240730" w:rsidR="00E1557C">
        <w:rPr>
          <w:szCs w:val="24"/>
        </w:rPr>
        <w:br/>
      </w:r>
      <w:r w:rsidRPr="00240730">
        <w:tab/>
      </w:r>
      <w:r w:rsidRPr="00240730" w:rsidR="000B07BC">
        <w:rPr>
          <w:iCs/>
        </w:rPr>
        <w:t>Registrar</w:t>
      </w:r>
      <w:r w:rsidRPr="00240730">
        <w:tab/>
        <w:t>President</w:t>
      </w:r>
    </w:p>
    <w:p w:rsidRPr="00240730" w:rsidR="000E0327" w:rsidP="00240730" w:rsidRDefault="000E0327">
      <w:pPr>
        <w:jc w:val="left"/>
        <w:sectPr w:rsidRPr="00240730" w:rsidR="000E0327" w:rsidSect="009A2B9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code="9"/>
          <w:pgMar w:top="2274" w:right="2274" w:bottom="2274" w:left="2274" w:header="1701" w:footer="720" w:gutter="0"/>
          <w:pgNumType w:start="1"/>
          <w:cols w:space="720"/>
          <w:docGrid w:linePitch="326"/>
        </w:sectPr>
      </w:pPr>
    </w:p>
    <w:p w:rsidRPr="00240730" w:rsidR="000B07BC" w:rsidP="00240730" w:rsidRDefault="009B0B27">
      <w:pPr>
        <w:pStyle w:val="JuTitle"/>
        <w:spacing w:before="480" w:after="0"/>
      </w:pPr>
      <w:r w:rsidRPr="00240730">
        <w:t>Appendix I</w:t>
      </w:r>
    </w:p>
    <w:p w:rsidRPr="00240730" w:rsidR="0056473B" w:rsidP="00240730" w:rsidRDefault="0056473B">
      <w:pPr>
        <w:pStyle w:val="ECHRPara"/>
      </w:pPr>
    </w:p>
    <w:p w:rsidRPr="00240730" w:rsidR="000B07BC" w:rsidP="00240730" w:rsidRDefault="000B07BC">
      <w:pPr>
        <w:pStyle w:val="ECHRPara"/>
        <w:ind w:firstLine="0"/>
        <w:jc w:val="center"/>
        <w:rPr>
          <w:b/>
        </w:rPr>
      </w:pPr>
      <w:r w:rsidRPr="00240730">
        <w:rPr>
          <w:b/>
        </w:rPr>
        <w:t>Proceedings against the FGUP</w:t>
      </w:r>
    </w:p>
    <w:p w:rsidRPr="00240730" w:rsidR="000B07BC" w:rsidP="00240730" w:rsidRDefault="000B07BC">
      <w:pPr>
        <w:pStyle w:val="ECHRPara"/>
        <w:rPr>
          <w:sz w:val="16"/>
          <w:szCs w:val="16"/>
        </w:rPr>
      </w:pPr>
    </w:p>
    <w:tbl>
      <w:tblPr>
        <w:tblStyle w:val="ECHRListTable"/>
        <w:tblW w:w="14176"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5E0" w:firstRow="1" w:lastRow="1" w:firstColumn="1" w:lastColumn="1" w:noHBand="0" w:noVBand="1"/>
      </w:tblPr>
      <w:tblGrid>
        <w:gridCol w:w="426"/>
        <w:gridCol w:w="1276"/>
        <w:gridCol w:w="2126"/>
        <w:gridCol w:w="4253"/>
        <w:gridCol w:w="1417"/>
        <w:gridCol w:w="3119"/>
        <w:gridCol w:w="1559"/>
      </w:tblGrid>
      <w:tr w:rsidRPr="00240730" w:rsidR="001F42B5" w:rsidTr="00B47094">
        <w:trPr>
          <w:cnfStyle w:val="100000000000" w:firstRow="1" w:lastRow="0" w:firstColumn="0" w:lastColumn="0" w:oddVBand="0" w:evenVBand="0" w:oddHBand="0" w:evenHBand="0" w:firstRowFirstColumn="0" w:firstRowLastColumn="0" w:lastRowFirstColumn="0" w:lastRowLastColumn="0"/>
          <w:cantSplit/>
          <w:trHeight w:val="598"/>
        </w:trPr>
        <w:tc>
          <w:tcPr>
            <w:tcW w:w="426" w:type="dxa"/>
            <w:vMerge w:val="restart"/>
            <w:tcBorders>
              <w:top w:val="single" w:color="auto" w:sz="4" w:space="0"/>
              <w:left w:val="single" w:color="auto" w:sz="4" w:space="0"/>
              <w:bottom w:val="single" w:color="auto" w:sz="4" w:space="0"/>
              <w:right w:val="single" w:color="auto" w:sz="4" w:space="0"/>
            </w:tcBorders>
          </w:tcPr>
          <w:p w:rsidRPr="00240730" w:rsidR="001F42B5" w:rsidP="00240730" w:rsidRDefault="001F42B5">
            <w:pPr>
              <w:ind w:left="-108"/>
              <w:jc w:val="center"/>
              <w:rPr>
                <w:sz w:val="16"/>
                <w:szCs w:val="16"/>
              </w:rPr>
            </w:pPr>
            <w:bookmarkStart w:name="TableStart" w:id="63"/>
            <w:bookmarkEnd w:id="63"/>
            <w:r w:rsidRPr="00240730">
              <w:rPr>
                <w:sz w:val="16"/>
                <w:szCs w:val="16"/>
              </w:rPr>
              <w:t>No.</w:t>
            </w:r>
          </w:p>
        </w:tc>
        <w:tc>
          <w:tcPr>
            <w:tcW w:w="1276" w:type="dxa"/>
            <w:vMerge w:val="restart"/>
            <w:tcBorders>
              <w:top w:val="single" w:color="auto" w:sz="4" w:space="0"/>
              <w:left w:val="single" w:color="auto" w:sz="4" w:space="0"/>
              <w:bottom w:val="single" w:color="auto" w:sz="4" w:space="0"/>
              <w:right w:val="single" w:color="auto" w:sz="4" w:space="0"/>
            </w:tcBorders>
          </w:tcPr>
          <w:p w:rsidRPr="00240730" w:rsidR="000956F6" w:rsidP="00240730" w:rsidRDefault="000956F6">
            <w:pPr>
              <w:jc w:val="center"/>
              <w:rPr>
                <w:sz w:val="16"/>
                <w:szCs w:val="16"/>
                <w:u w:val="single"/>
              </w:rPr>
            </w:pPr>
            <w:r w:rsidRPr="00240730">
              <w:rPr>
                <w:sz w:val="16"/>
                <w:szCs w:val="16"/>
                <w:u w:val="single"/>
              </w:rPr>
              <w:t>Column no. 1</w:t>
            </w:r>
          </w:p>
          <w:p w:rsidRPr="00240730" w:rsidR="001F42B5" w:rsidP="00240730" w:rsidRDefault="001F42B5">
            <w:pPr>
              <w:jc w:val="center"/>
              <w:rPr>
                <w:sz w:val="16"/>
                <w:szCs w:val="16"/>
              </w:rPr>
            </w:pPr>
            <w:r w:rsidRPr="00240730">
              <w:rPr>
                <w:sz w:val="16"/>
                <w:szCs w:val="16"/>
              </w:rPr>
              <w:t>Application No.</w:t>
            </w:r>
          </w:p>
          <w:p w:rsidRPr="00240730" w:rsidR="001F42B5" w:rsidP="00240730" w:rsidRDefault="001F42B5">
            <w:pPr>
              <w:jc w:val="center"/>
              <w:rPr>
                <w:sz w:val="16"/>
                <w:szCs w:val="16"/>
              </w:rPr>
            </w:pPr>
            <w:r w:rsidRPr="00240730">
              <w:rPr>
                <w:sz w:val="16"/>
                <w:szCs w:val="16"/>
              </w:rPr>
              <w:t>Lodged on</w:t>
            </w:r>
          </w:p>
        </w:tc>
        <w:tc>
          <w:tcPr>
            <w:tcW w:w="2126" w:type="dxa"/>
            <w:vMerge w:val="restart"/>
            <w:tcBorders>
              <w:top w:val="single" w:color="auto" w:sz="4" w:space="0"/>
              <w:left w:val="single" w:color="auto" w:sz="4" w:space="0"/>
              <w:bottom w:val="single" w:color="auto" w:sz="4" w:space="0"/>
              <w:right w:val="single" w:color="auto" w:sz="4" w:space="0"/>
            </w:tcBorders>
          </w:tcPr>
          <w:p w:rsidRPr="00240730" w:rsidR="000956F6" w:rsidP="00240730" w:rsidRDefault="000956F6">
            <w:pPr>
              <w:jc w:val="center"/>
              <w:rPr>
                <w:sz w:val="16"/>
                <w:szCs w:val="16"/>
                <w:u w:val="single"/>
              </w:rPr>
            </w:pPr>
            <w:r w:rsidRPr="00240730">
              <w:rPr>
                <w:sz w:val="16"/>
                <w:szCs w:val="16"/>
                <w:u w:val="single"/>
              </w:rPr>
              <w:t>Column no. 2</w:t>
            </w:r>
          </w:p>
          <w:p w:rsidRPr="00240730" w:rsidR="001F42B5" w:rsidP="00240730" w:rsidRDefault="001F42B5">
            <w:pPr>
              <w:jc w:val="center"/>
              <w:rPr>
                <w:sz w:val="16"/>
                <w:szCs w:val="16"/>
              </w:rPr>
            </w:pPr>
            <w:r w:rsidRPr="00240730">
              <w:rPr>
                <w:sz w:val="16"/>
                <w:szCs w:val="16"/>
              </w:rPr>
              <w:t>Applicant</w:t>
            </w:r>
          </w:p>
          <w:p w:rsidRPr="00240730" w:rsidR="001F42B5" w:rsidP="00240730" w:rsidRDefault="001F42B5">
            <w:pPr>
              <w:jc w:val="center"/>
              <w:rPr>
                <w:sz w:val="16"/>
                <w:szCs w:val="16"/>
              </w:rPr>
            </w:pPr>
            <w:r w:rsidRPr="00240730">
              <w:rPr>
                <w:sz w:val="16"/>
                <w:szCs w:val="16"/>
              </w:rPr>
              <w:t>Date of birth</w:t>
            </w:r>
          </w:p>
          <w:p w:rsidRPr="00240730" w:rsidR="001F42B5" w:rsidP="00240730" w:rsidRDefault="001F42B5">
            <w:pPr>
              <w:jc w:val="center"/>
              <w:rPr>
                <w:sz w:val="16"/>
                <w:szCs w:val="16"/>
              </w:rPr>
            </w:pPr>
            <w:r w:rsidRPr="00240730">
              <w:rPr>
                <w:sz w:val="16"/>
                <w:szCs w:val="16"/>
              </w:rPr>
              <w:t>Place of residence</w:t>
            </w:r>
          </w:p>
          <w:p w:rsidRPr="00240730" w:rsidR="001F42B5" w:rsidP="00240730" w:rsidRDefault="001F42B5">
            <w:pPr>
              <w:jc w:val="center"/>
              <w:rPr>
                <w:sz w:val="16"/>
                <w:szCs w:val="16"/>
              </w:rPr>
            </w:pPr>
          </w:p>
        </w:tc>
        <w:tc>
          <w:tcPr>
            <w:tcW w:w="5670" w:type="dxa"/>
            <w:gridSpan w:val="2"/>
            <w:tcBorders>
              <w:top w:val="single" w:color="auto" w:sz="4" w:space="0"/>
              <w:left w:val="single" w:color="auto" w:sz="4" w:space="0"/>
              <w:bottom w:val="single" w:color="auto" w:sz="4" w:space="0"/>
              <w:right w:val="single" w:color="auto" w:sz="4" w:space="0"/>
            </w:tcBorders>
          </w:tcPr>
          <w:p w:rsidRPr="00240730" w:rsidR="000956F6" w:rsidP="00240730" w:rsidRDefault="000956F6">
            <w:pPr>
              <w:jc w:val="center"/>
              <w:rPr>
                <w:sz w:val="16"/>
                <w:szCs w:val="16"/>
                <w:u w:val="single"/>
              </w:rPr>
            </w:pPr>
            <w:r w:rsidRPr="00240730">
              <w:rPr>
                <w:sz w:val="16"/>
                <w:szCs w:val="16"/>
                <w:u w:val="single"/>
              </w:rPr>
              <w:t>Column no. 3</w:t>
            </w:r>
          </w:p>
          <w:p w:rsidRPr="00240730" w:rsidR="00E2289C" w:rsidP="00240730" w:rsidRDefault="001F42B5">
            <w:pPr>
              <w:ind w:right="420"/>
              <w:jc w:val="center"/>
              <w:rPr>
                <w:sz w:val="16"/>
                <w:szCs w:val="16"/>
                <w:lang w:val="en-US"/>
              </w:rPr>
            </w:pPr>
            <w:r w:rsidRPr="00240730">
              <w:rPr>
                <w:sz w:val="16"/>
                <w:szCs w:val="16"/>
              </w:rPr>
              <w:t>Pro</w:t>
            </w:r>
            <w:bookmarkStart w:name="_GoBack" w:id="64"/>
            <w:bookmarkEnd w:id="64"/>
            <w:r w:rsidRPr="00240730">
              <w:rPr>
                <w:sz w:val="16"/>
                <w:szCs w:val="16"/>
              </w:rPr>
              <w:t>ceedings concerning the unpaid wages in 2008</w:t>
            </w:r>
          </w:p>
          <w:p w:rsidRPr="00240730" w:rsidR="001F42B5" w:rsidP="00240730" w:rsidRDefault="001F42B5">
            <w:pPr>
              <w:jc w:val="center"/>
              <w:rPr>
                <w:sz w:val="16"/>
                <w:szCs w:val="16"/>
              </w:rPr>
            </w:pPr>
          </w:p>
        </w:tc>
        <w:tc>
          <w:tcPr>
            <w:tcW w:w="4678" w:type="dxa"/>
            <w:gridSpan w:val="2"/>
            <w:tcBorders>
              <w:top w:val="single" w:color="auto" w:sz="4" w:space="0"/>
              <w:left w:val="single" w:color="auto" w:sz="4" w:space="0"/>
              <w:bottom w:val="single" w:color="auto" w:sz="4" w:space="0"/>
              <w:right w:val="single" w:color="auto" w:sz="4" w:space="0"/>
            </w:tcBorders>
          </w:tcPr>
          <w:p w:rsidRPr="00240730" w:rsidR="000956F6" w:rsidP="00240730" w:rsidRDefault="000956F6">
            <w:pPr>
              <w:jc w:val="center"/>
              <w:rPr>
                <w:sz w:val="16"/>
                <w:szCs w:val="16"/>
                <w:u w:val="single"/>
              </w:rPr>
            </w:pPr>
            <w:r w:rsidRPr="00240730">
              <w:rPr>
                <w:sz w:val="16"/>
                <w:szCs w:val="16"/>
                <w:u w:val="single"/>
              </w:rPr>
              <w:t>Column no. 4</w:t>
            </w:r>
          </w:p>
          <w:p w:rsidRPr="00240730" w:rsidR="001F42B5" w:rsidP="00240730" w:rsidRDefault="00A84AD2">
            <w:pPr>
              <w:jc w:val="center"/>
              <w:rPr>
                <w:sz w:val="16"/>
                <w:szCs w:val="16"/>
              </w:rPr>
            </w:pPr>
            <w:r w:rsidRPr="00240730">
              <w:rPr>
                <w:rFonts w:ascii="Times New Roman" w:hAnsi="Times New Roman" w:eastAsia="Times New Roman" w:cs="Times New Roman"/>
                <w:sz w:val="16"/>
                <w:szCs w:val="16"/>
              </w:rPr>
              <w:t>Proceedings for d</w:t>
            </w:r>
            <w:r w:rsidRPr="00240730" w:rsidR="001F42B5">
              <w:rPr>
                <w:rFonts w:ascii="Times New Roman" w:hAnsi="Times New Roman" w:eastAsia="Times New Roman" w:cs="Times New Roman"/>
                <w:sz w:val="16"/>
                <w:szCs w:val="16"/>
              </w:rPr>
              <w:t>amages for delay in payment of severance package</w:t>
            </w:r>
          </w:p>
        </w:tc>
      </w:tr>
      <w:tr w:rsidRPr="00240730" w:rsidR="001F42B5" w:rsidTr="00B47094">
        <w:trPr>
          <w:cantSplit/>
          <w:trHeight w:val="576"/>
        </w:trPr>
        <w:tc>
          <w:tcPr>
            <w:tcW w:w="426" w:type="dxa"/>
            <w:vMerge/>
            <w:tcBorders>
              <w:top w:val="single" w:color="auto" w:sz="4" w:space="0"/>
            </w:tcBorders>
          </w:tcPr>
          <w:p w:rsidRPr="00240730" w:rsidR="001F42B5" w:rsidP="00240730" w:rsidRDefault="001F42B5">
            <w:pPr>
              <w:ind w:left="-108"/>
              <w:jc w:val="center"/>
              <w:rPr>
                <w:sz w:val="16"/>
                <w:szCs w:val="16"/>
              </w:rPr>
            </w:pPr>
          </w:p>
        </w:tc>
        <w:tc>
          <w:tcPr>
            <w:tcW w:w="1276" w:type="dxa"/>
            <w:vMerge/>
            <w:tcBorders>
              <w:top w:val="single" w:color="auto" w:sz="4" w:space="0"/>
            </w:tcBorders>
          </w:tcPr>
          <w:p w:rsidRPr="00240730" w:rsidR="001F42B5" w:rsidP="00240730" w:rsidRDefault="001F42B5">
            <w:pPr>
              <w:jc w:val="center"/>
              <w:rPr>
                <w:sz w:val="16"/>
                <w:szCs w:val="16"/>
              </w:rPr>
            </w:pPr>
          </w:p>
        </w:tc>
        <w:tc>
          <w:tcPr>
            <w:tcW w:w="2126" w:type="dxa"/>
            <w:vMerge/>
            <w:tcBorders>
              <w:top w:val="single" w:color="auto" w:sz="4" w:space="0"/>
              <w:right w:val="single" w:color="auto" w:sz="4" w:space="0"/>
            </w:tcBorders>
          </w:tcPr>
          <w:p w:rsidRPr="00240730" w:rsidR="001F42B5" w:rsidP="00240730" w:rsidRDefault="001F42B5">
            <w:pPr>
              <w:jc w:val="center"/>
              <w:rPr>
                <w:sz w:val="16"/>
                <w:szCs w:val="16"/>
              </w:rPr>
            </w:pPr>
          </w:p>
        </w:tc>
        <w:tc>
          <w:tcPr>
            <w:tcW w:w="4253" w:type="dxa"/>
            <w:tcBorders>
              <w:top w:val="single" w:color="auto" w:sz="4" w:space="0"/>
              <w:left w:val="single" w:color="auto" w:sz="4" w:space="0"/>
              <w:bottom w:val="single" w:color="auto" w:sz="4" w:space="0"/>
              <w:right w:val="single" w:color="auto" w:sz="4" w:space="0"/>
            </w:tcBorders>
            <w:shd w:val="clear" w:color="auto" w:fill="DFDFDF" w:themeFill="accent3" w:themeFillTint="33"/>
          </w:tcPr>
          <w:p w:rsidRPr="00B47094" w:rsidR="001F42B5" w:rsidP="00240730" w:rsidRDefault="001F42B5">
            <w:pPr>
              <w:ind w:right="420"/>
              <w:jc w:val="center"/>
              <w:rPr>
                <w:sz w:val="16"/>
                <w:szCs w:val="16"/>
              </w:rPr>
            </w:pPr>
            <w:r w:rsidRPr="00B47094">
              <w:rPr>
                <w:sz w:val="16"/>
                <w:szCs w:val="16"/>
              </w:rPr>
              <w:t>Domestic court</w:t>
            </w:r>
          </w:p>
          <w:p w:rsidRPr="00B47094" w:rsidR="009C7AF0" w:rsidP="00240730" w:rsidRDefault="009C7AF0">
            <w:pPr>
              <w:ind w:right="420"/>
              <w:jc w:val="center"/>
              <w:rPr>
                <w:sz w:val="16"/>
                <w:szCs w:val="16"/>
              </w:rPr>
            </w:pPr>
            <w:r w:rsidRPr="00B47094">
              <w:rPr>
                <w:sz w:val="16"/>
                <w:szCs w:val="16"/>
              </w:rPr>
              <w:t>Nature of the award</w:t>
            </w:r>
          </w:p>
          <w:p w:rsidRPr="00B47094" w:rsidR="001F42B5" w:rsidP="00240730" w:rsidRDefault="001F42B5">
            <w:pPr>
              <w:ind w:right="420"/>
              <w:jc w:val="center"/>
              <w:rPr>
                <w:b/>
                <w:sz w:val="16"/>
                <w:szCs w:val="16"/>
              </w:rPr>
            </w:pPr>
            <w:r w:rsidRPr="00B47094">
              <w:rPr>
                <w:sz w:val="16"/>
                <w:szCs w:val="16"/>
              </w:rPr>
              <w:t xml:space="preserve">Date of judgment, </w:t>
            </w:r>
            <w:r w:rsidRPr="00B47094">
              <w:rPr>
                <w:sz w:val="16"/>
                <w:szCs w:val="16"/>
              </w:rPr>
              <w:br/>
            </w:r>
            <w:r w:rsidRPr="00B47094" w:rsidR="009C7AF0">
              <w:rPr>
                <w:sz w:val="16"/>
                <w:szCs w:val="16"/>
              </w:rPr>
              <w:t>D</w:t>
            </w:r>
            <w:r w:rsidRPr="00B47094">
              <w:rPr>
                <w:sz w:val="16"/>
                <w:szCs w:val="16"/>
              </w:rPr>
              <w:t xml:space="preserve">ate </w:t>
            </w:r>
            <w:r w:rsidRPr="00B47094" w:rsidR="009C7AF0">
              <w:rPr>
                <w:sz w:val="16"/>
                <w:szCs w:val="16"/>
              </w:rPr>
              <w:t>of the judgment</w:t>
            </w:r>
            <w:r w:rsidRPr="00B47094" w:rsidR="00240730">
              <w:rPr>
                <w:sz w:val="16"/>
                <w:szCs w:val="16"/>
              </w:rPr>
              <w:t>’</w:t>
            </w:r>
            <w:r w:rsidRPr="00B47094" w:rsidR="009C7AF0">
              <w:rPr>
                <w:sz w:val="16"/>
                <w:szCs w:val="16"/>
              </w:rPr>
              <w:t>s entry into force</w:t>
            </w:r>
          </w:p>
        </w:tc>
        <w:tc>
          <w:tcPr>
            <w:tcW w:w="1417" w:type="dxa"/>
            <w:tcBorders>
              <w:top w:val="single" w:color="auto" w:sz="4" w:space="0"/>
              <w:left w:val="single" w:color="auto" w:sz="4" w:space="0"/>
              <w:bottom w:val="single" w:color="auto" w:sz="4" w:space="0"/>
              <w:right w:val="single" w:color="auto" w:sz="4" w:space="0"/>
            </w:tcBorders>
            <w:shd w:val="clear" w:color="auto" w:fill="DFDFDF" w:themeFill="accent3" w:themeFillTint="33"/>
          </w:tcPr>
          <w:p w:rsidRPr="00B47094" w:rsidR="001F42B5" w:rsidP="00240730" w:rsidRDefault="001F42B5">
            <w:pPr>
              <w:jc w:val="center"/>
              <w:rPr>
                <w:b/>
                <w:sz w:val="16"/>
                <w:szCs w:val="16"/>
              </w:rPr>
            </w:pPr>
            <w:r w:rsidRPr="00B47094">
              <w:rPr>
                <w:sz w:val="16"/>
                <w:szCs w:val="16"/>
              </w:rPr>
              <w:t>Domestic award</w:t>
            </w:r>
          </w:p>
        </w:tc>
        <w:tc>
          <w:tcPr>
            <w:tcW w:w="3119" w:type="dxa"/>
            <w:tcBorders>
              <w:top w:val="single" w:color="auto" w:sz="4" w:space="0"/>
              <w:left w:val="single" w:color="auto" w:sz="4" w:space="0"/>
              <w:bottom w:val="single" w:color="auto" w:sz="4" w:space="0"/>
              <w:right w:val="single" w:color="auto" w:sz="4" w:space="0"/>
            </w:tcBorders>
            <w:shd w:val="clear" w:color="auto" w:fill="DFDFDF" w:themeFill="accent3" w:themeFillTint="33"/>
          </w:tcPr>
          <w:p w:rsidRPr="00B47094" w:rsidR="001F42B5" w:rsidP="00240730" w:rsidRDefault="001F42B5">
            <w:pPr>
              <w:jc w:val="center"/>
              <w:rPr>
                <w:sz w:val="16"/>
                <w:szCs w:val="16"/>
              </w:rPr>
            </w:pPr>
            <w:r w:rsidRPr="00B47094">
              <w:rPr>
                <w:sz w:val="16"/>
                <w:szCs w:val="16"/>
              </w:rPr>
              <w:t>Domestic court</w:t>
            </w:r>
          </w:p>
          <w:p w:rsidRPr="00B47094" w:rsidR="001F42B5" w:rsidP="00240730" w:rsidRDefault="001F42B5">
            <w:pPr>
              <w:jc w:val="center"/>
              <w:rPr>
                <w:b/>
                <w:sz w:val="16"/>
                <w:szCs w:val="16"/>
              </w:rPr>
            </w:pPr>
            <w:r w:rsidRPr="00B47094">
              <w:rPr>
                <w:sz w:val="16"/>
                <w:szCs w:val="16"/>
              </w:rPr>
              <w:t xml:space="preserve">Date of judgment, </w:t>
            </w:r>
            <w:r w:rsidRPr="00B47094">
              <w:rPr>
                <w:sz w:val="16"/>
                <w:szCs w:val="16"/>
              </w:rPr>
              <w:br/>
            </w:r>
            <w:r w:rsidRPr="00B47094" w:rsidR="009C7AF0">
              <w:rPr>
                <w:sz w:val="16"/>
                <w:szCs w:val="16"/>
              </w:rPr>
              <w:t>Date of the judgment</w:t>
            </w:r>
            <w:r w:rsidRPr="00B47094" w:rsidR="00240730">
              <w:rPr>
                <w:sz w:val="16"/>
                <w:szCs w:val="16"/>
              </w:rPr>
              <w:t>’</w:t>
            </w:r>
            <w:r w:rsidRPr="00B47094" w:rsidR="009C7AF0">
              <w:rPr>
                <w:sz w:val="16"/>
                <w:szCs w:val="16"/>
              </w:rPr>
              <w:t>s entry into force</w:t>
            </w:r>
          </w:p>
        </w:tc>
        <w:tc>
          <w:tcPr>
            <w:tcW w:w="1559" w:type="dxa"/>
            <w:tcBorders>
              <w:top w:val="single" w:color="auto" w:sz="4" w:space="0"/>
              <w:left w:val="single" w:color="auto" w:sz="4" w:space="0"/>
              <w:bottom w:val="single" w:color="auto" w:sz="4" w:space="0"/>
              <w:right w:val="single" w:color="auto" w:sz="4" w:space="0"/>
            </w:tcBorders>
            <w:shd w:val="clear" w:color="auto" w:fill="DFDFDF" w:themeFill="accent3" w:themeFillTint="33"/>
          </w:tcPr>
          <w:p w:rsidRPr="00B47094" w:rsidR="001F42B5" w:rsidP="00240730" w:rsidRDefault="001F42B5">
            <w:pPr>
              <w:jc w:val="center"/>
              <w:rPr>
                <w:sz w:val="16"/>
                <w:szCs w:val="16"/>
              </w:rPr>
            </w:pPr>
            <w:r w:rsidRPr="00B47094">
              <w:rPr>
                <w:sz w:val="16"/>
                <w:szCs w:val="16"/>
              </w:rPr>
              <w:t>Domestic award</w:t>
            </w:r>
          </w:p>
        </w:tc>
      </w:tr>
      <w:tr w:rsidRPr="00240730" w:rsidR="001F42B5" w:rsidTr="00B47094">
        <w:trPr>
          <w:trHeight w:val="424"/>
        </w:trPr>
        <w:tc>
          <w:tcPr>
            <w:tcW w:w="426" w:type="dxa"/>
          </w:tcPr>
          <w:p w:rsidRPr="00240730" w:rsidR="001F42B5" w:rsidP="00240730" w:rsidRDefault="001F42B5">
            <w:pPr>
              <w:jc w:val="center"/>
              <w:rPr>
                <w:sz w:val="16"/>
                <w:szCs w:val="16"/>
              </w:rPr>
            </w:pPr>
            <w:r w:rsidRPr="00240730">
              <w:rPr>
                <w:sz w:val="16"/>
                <w:szCs w:val="16"/>
              </w:rPr>
              <w:t>1.</w:t>
            </w:r>
          </w:p>
        </w:tc>
        <w:tc>
          <w:tcPr>
            <w:tcW w:w="1276" w:type="dxa"/>
          </w:tcPr>
          <w:p w:rsidRPr="00240730" w:rsidR="004924FB" w:rsidP="00240730" w:rsidRDefault="004924FB">
            <w:pPr>
              <w:jc w:val="center"/>
              <w:rPr>
                <w:sz w:val="16"/>
                <w:szCs w:val="16"/>
              </w:rPr>
            </w:pPr>
            <w:r w:rsidRPr="00240730">
              <w:rPr>
                <w:sz w:val="16"/>
                <w:szCs w:val="16"/>
              </w:rPr>
              <w:t>64098/09</w:t>
            </w:r>
          </w:p>
          <w:p w:rsidRPr="00240730" w:rsidR="001F42B5" w:rsidP="00240730" w:rsidRDefault="004924FB">
            <w:pPr>
              <w:jc w:val="center"/>
              <w:rPr>
                <w:sz w:val="16"/>
                <w:szCs w:val="16"/>
              </w:rPr>
            </w:pPr>
            <w:r w:rsidRPr="00240730">
              <w:rPr>
                <w:sz w:val="16"/>
                <w:szCs w:val="16"/>
              </w:rPr>
              <w:t>16/11/2009</w:t>
            </w:r>
          </w:p>
          <w:p w:rsidRPr="00240730" w:rsidR="001F42B5" w:rsidP="00240730" w:rsidRDefault="001F42B5">
            <w:pPr>
              <w:jc w:val="center"/>
              <w:rPr>
                <w:sz w:val="16"/>
                <w:szCs w:val="16"/>
              </w:rPr>
            </w:pPr>
          </w:p>
        </w:tc>
        <w:tc>
          <w:tcPr>
            <w:tcW w:w="2126" w:type="dxa"/>
          </w:tcPr>
          <w:p w:rsidRPr="00240730" w:rsidR="00377D0B" w:rsidP="00240730" w:rsidRDefault="001F42B5">
            <w:pPr>
              <w:jc w:val="center"/>
              <w:rPr>
                <w:b/>
                <w:sz w:val="16"/>
                <w:szCs w:val="16"/>
              </w:rPr>
            </w:pPr>
            <w:r w:rsidRPr="00240730">
              <w:rPr>
                <w:b/>
                <w:sz w:val="16"/>
                <w:szCs w:val="16"/>
              </w:rPr>
              <w:t xml:space="preserve">Viktor </w:t>
            </w:r>
            <w:proofErr w:type="spellStart"/>
            <w:r w:rsidRPr="00240730">
              <w:rPr>
                <w:b/>
                <w:sz w:val="16"/>
                <w:szCs w:val="16"/>
              </w:rPr>
              <w:t>Ivanovich</w:t>
            </w:r>
            <w:proofErr w:type="spellEnd"/>
            <w:r w:rsidRPr="00240730">
              <w:rPr>
                <w:b/>
                <w:sz w:val="16"/>
                <w:szCs w:val="16"/>
              </w:rPr>
              <w:t xml:space="preserve"> KUZHELEV</w:t>
            </w:r>
          </w:p>
          <w:p w:rsidRPr="00240730" w:rsidR="001F42B5" w:rsidP="00240730" w:rsidRDefault="001F42B5">
            <w:pPr>
              <w:jc w:val="center"/>
              <w:rPr>
                <w:sz w:val="16"/>
                <w:szCs w:val="16"/>
              </w:rPr>
            </w:pPr>
            <w:r w:rsidRPr="00240730">
              <w:rPr>
                <w:sz w:val="16"/>
                <w:szCs w:val="16"/>
              </w:rPr>
              <w:t>01/09/1946</w:t>
            </w:r>
          </w:p>
          <w:p w:rsidRPr="00240730" w:rsidR="001F42B5" w:rsidP="00240730" w:rsidRDefault="001F42B5">
            <w:pPr>
              <w:jc w:val="center"/>
              <w:rPr>
                <w:b/>
                <w:sz w:val="16"/>
                <w:szCs w:val="16"/>
              </w:rPr>
            </w:pPr>
            <w:r w:rsidRPr="00240730">
              <w:rPr>
                <w:sz w:val="16"/>
                <w:szCs w:val="16"/>
              </w:rPr>
              <w:t>St</w:t>
            </w:r>
            <w:r w:rsidRPr="00240730" w:rsidR="00BE08C9">
              <w:rPr>
                <w:sz w:val="16"/>
                <w:szCs w:val="16"/>
              </w:rPr>
              <w:t xml:space="preserve"> </w:t>
            </w:r>
            <w:r w:rsidRPr="00240730">
              <w:rPr>
                <w:sz w:val="16"/>
                <w:szCs w:val="16"/>
              </w:rPr>
              <w:t>Petersburg</w:t>
            </w:r>
          </w:p>
        </w:tc>
        <w:tc>
          <w:tcPr>
            <w:tcW w:w="4253" w:type="dxa"/>
            <w:tcBorders>
              <w:top w:val="single" w:color="auto" w:sz="4" w:space="0"/>
            </w:tcBorders>
          </w:tcPr>
          <w:p w:rsidRPr="00240730" w:rsidR="001F42B5" w:rsidP="00240730" w:rsidRDefault="001F42B5">
            <w:pPr>
              <w:jc w:val="center"/>
              <w:rPr>
                <w:rFonts w:ascii="Times New Roman" w:hAnsi="Times New Roman" w:eastAsia="Times New Roman" w:cs="Times New Roman"/>
                <w:sz w:val="16"/>
                <w:szCs w:val="16"/>
              </w:rPr>
            </w:pPr>
            <w:proofErr w:type="spellStart"/>
            <w:r w:rsidRPr="00240730">
              <w:rPr>
                <w:rFonts w:ascii="Times New Roman" w:hAnsi="Times New Roman" w:eastAsia="Times New Roman" w:cs="Times New Roman"/>
                <w:sz w:val="16"/>
                <w:szCs w:val="16"/>
              </w:rPr>
              <w:t>Kronstadt</w:t>
            </w:r>
            <w:proofErr w:type="spellEnd"/>
            <w:r w:rsidRPr="00240730">
              <w:rPr>
                <w:rFonts w:ascii="Times New Roman" w:hAnsi="Times New Roman" w:eastAsia="Times New Roman" w:cs="Times New Roman"/>
                <w:sz w:val="16"/>
                <w:szCs w:val="16"/>
              </w:rPr>
              <w:t xml:space="preserve"> District Court of St Petersburg</w:t>
            </w:r>
          </w:p>
          <w:p w:rsidRPr="00240730" w:rsidR="001F42B5" w:rsidP="00240730" w:rsidRDefault="009C7AF0">
            <w:pPr>
              <w:ind w:right="420"/>
              <w:jc w:val="center"/>
              <w:rPr>
                <w:sz w:val="16"/>
                <w:szCs w:val="16"/>
              </w:rPr>
            </w:pPr>
            <w:r w:rsidRPr="00240730">
              <w:rPr>
                <w:sz w:val="16"/>
                <w:szCs w:val="16"/>
              </w:rPr>
              <w:t>U</w:t>
            </w:r>
            <w:r w:rsidRPr="00240730" w:rsidR="001F42B5">
              <w:rPr>
                <w:sz w:val="16"/>
                <w:szCs w:val="16"/>
              </w:rPr>
              <w:t>npaid wages between 21 August 2008 and the date of the domestic decision</w:t>
            </w:r>
          </w:p>
          <w:p w:rsidRPr="00240730" w:rsidR="001F42B5" w:rsidP="00240730" w:rsidRDefault="001F42B5">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28/11/2008</w:t>
            </w:r>
          </w:p>
          <w:p w:rsidRPr="00240730" w:rsidR="001F42B5" w:rsidP="00240730" w:rsidRDefault="001F42B5">
            <w:pPr>
              <w:jc w:val="center"/>
              <w:rPr>
                <w:sz w:val="16"/>
                <w:szCs w:val="16"/>
              </w:rPr>
            </w:pPr>
            <w:r w:rsidRPr="00240730">
              <w:rPr>
                <w:rFonts w:ascii="Times New Roman" w:hAnsi="Times New Roman" w:eastAsia="Times New Roman" w:cs="Times New Roman"/>
                <w:sz w:val="16"/>
                <w:szCs w:val="16"/>
              </w:rPr>
              <w:t>21/01/2009</w:t>
            </w:r>
          </w:p>
        </w:tc>
        <w:tc>
          <w:tcPr>
            <w:tcW w:w="1417" w:type="dxa"/>
            <w:tcBorders>
              <w:top w:val="single" w:color="auto" w:sz="4" w:space="0"/>
            </w:tcBorders>
          </w:tcPr>
          <w:p w:rsidRPr="00240730" w:rsidR="001F42B5" w:rsidP="00240730" w:rsidRDefault="001F42B5">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RUB 30,582</w:t>
            </w:r>
          </w:p>
          <w:p w:rsidRPr="00240730" w:rsidR="001F42B5" w:rsidP="00240730" w:rsidRDefault="001F42B5">
            <w:pPr>
              <w:spacing w:after="120"/>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(EUR 864)</w:t>
            </w:r>
          </w:p>
        </w:tc>
        <w:tc>
          <w:tcPr>
            <w:tcW w:w="3119" w:type="dxa"/>
            <w:tcBorders>
              <w:top w:val="single" w:color="auto" w:sz="4" w:space="0"/>
            </w:tcBorders>
          </w:tcPr>
          <w:p w:rsidRPr="00240730" w:rsidR="001F42B5" w:rsidP="00240730" w:rsidRDefault="001F42B5">
            <w:pPr>
              <w:jc w:val="center"/>
              <w:rPr>
                <w:rFonts w:ascii="Times New Roman" w:hAnsi="Times New Roman" w:eastAsia="Times New Roman" w:cs="Times New Roman"/>
                <w:sz w:val="16"/>
                <w:szCs w:val="16"/>
              </w:rPr>
            </w:pPr>
            <w:proofErr w:type="spellStart"/>
            <w:r w:rsidRPr="00240730">
              <w:rPr>
                <w:rFonts w:ascii="Times New Roman" w:hAnsi="Times New Roman" w:eastAsia="Times New Roman" w:cs="Times New Roman"/>
                <w:sz w:val="16"/>
                <w:szCs w:val="16"/>
              </w:rPr>
              <w:t>Kronstadt</w:t>
            </w:r>
            <w:proofErr w:type="spellEnd"/>
            <w:r w:rsidRPr="00240730">
              <w:rPr>
                <w:rFonts w:ascii="Times New Roman" w:hAnsi="Times New Roman" w:eastAsia="Times New Roman" w:cs="Times New Roman"/>
                <w:sz w:val="16"/>
                <w:szCs w:val="16"/>
              </w:rPr>
              <w:t xml:space="preserve"> District Court,</w:t>
            </w:r>
          </w:p>
          <w:p w:rsidRPr="00240730" w:rsidR="001F42B5" w:rsidP="00240730" w:rsidRDefault="001F42B5">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as amended on appeal by the St Petersburg City Court</w:t>
            </w:r>
          </w:p>
          <w:p w:rsidRPr="00240730" w:rsidR="001F42B5" w:rsidP="00240730" w:rsidRDefault="001F42B5">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22/06/2009</w:t>
            </w:r>
          </w:p>
          <w:p w:rsidRPr="00240730" w:rsidR="001F42B5" w:rsidP="00240730" w:rsidRDefault="001F42B5">
            <w:pPr>
              <w:jc w:val="center"/>
              <w:rPr>
                <w:sz w:val="16"/>
                <w:szCs w:val="16"/>
              </w:rPr>
            </w:pPr>
            <w:r w:rsidRPr="00240730">
              <w:rPr>
                <w:rFonts w:ascii="Times New Roman" w:hAnsi="Times New Roman" w:eastAsia="Times New Roman" w:cs="Times New Roman"/>
                <w:sz w:val="16"/>
                <w:szCs w:val="16"/>
              </w:rPr>
              <w:t>22/07/2009</w:t>
            </w:r>
          </w:p>
        </w:tc>
        <w:tc>
          <w:tcPr>
            <w:tcW w:w="1559" w:type="dxa"/>
            <w:tcBorders>
              <w:top w:val="single" w:color="auto" w:sz="4" w:space="0"/>
            </w:tcBorders>
          </w:tcPr>
          <w:p w:rsidRPr="00240730" w:rsidR="001F42B5" w:rsidP="00240730" w:rsidRDefault="001F42B5">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RUB 1,194</w:t>
            </w:r>
          </w:p>
          <w:p w:rsidRPr="00240730" w:rsidR="001F42B5" w:rsidP="00240730" w:rsidRDefault="001F42B5">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(EUR 27)</w:t>
            </w:r>
          </w:p>
        </w:tc>
      </w:tr>
      <w:tr w:rsidRPr="00240730" w:rsidR="001F42B5" w:rsidTr="00EA6FA4">
        <w:trPr>
          <w:trHeight w:val="222"/>
        </w:trPr>
        <w:tc>
          <w:tcPr>
            <w:tcW w:w="426" w:type="dxa"/>
          </w:tcPr>
          <w:p w:rsidRPr="00240730" w:rsidR="001F42B5" w:rsidP="00240730" w:rsidRDefault="001F42B5">
            <w:pPr>
              <w:jc w:val="center"/>
              <w:rPr>
                <w:sz w:val="16"/>
                <w:szCs w:val="16"/>
              </w:rPr>
            </w:pPr>
            <w:r w:rsidRPr="00240730">
              <w:rPr>
                <w:sz w:val="16"/>
                <w:szCs w:val="16"/>
              </w:rPr>
              <w:t>2.</w:t>
            </w:r>
          </w:p>
        </w:tc>
        <w:tc>
          <w:tcPr>
            <w:tcW w:w="1276" w:type="dxa"/>
          </w:tcPr>
          <w:p w:rsidRPr="00240730" w:rsidR="001F42B5" w:rsidP="00240730" w:rsidRDefault="001F42B5">
            <w:pPr>
              <w:jc w:val="center"/>
              <w:rPr>
                <w:sz w:val="16"/>
                <w:szCs w:val="16"/>
              </w:rPr>
            </w:pPr>
            <w:r w:rsidRPr="00240730">
              <w:rPr>
                <w:sz w:val="16"/>
                <w:szCs w:val="16"/>
              </w:rPr>
              <w:t>64891/09</w:t>
            </w:r>
          </w:p>
          <w:p w:rsidRPr="00240730" w:rsidR="001F42B5" w:rsidP="00240730" w:rsidRDefault="004924FB">
            <w:pPr>
              <w:jc w:val="center"/>
              <w:rPr>
                <w:sz w:val="16"/>
                <w:szCs w:val="16"/>
              </w:rPr>
            </w:pPr>
            <w:r w:rsidRPr="00240730">
              <w:rPr>
                <w:sz w:val="16"/>
                <w:szCs w:val="16"/>
              </w:rPr>
              <w:t>27/11/2009</w:t>
            </w:r>
          </w:p>
        </w:tc>
        <w:tc>
          <w:tcPr>
            <w:tcW w:w="2126" w:type="dxa"/>
          </w:tcPr>
          <w:p w:rsidRPr="00240730" w:rsidR="00377D0B" w:rsidP="00240730" w:rsidRDefault="001F42B5">
            <w:pPr>
              <w:jc w:val="center"/>
              <w:rPr>
                <w:b/>
                <w:sz w:val="16"/>
                <w:szCs w:val="16"/>
              </w:rPr>
            </w:pPr>
            <w:r w:rsidRPr="00240730">
              <w:rPr>
                <w:b/>
                <w:sz w:val="16"/>
                <w:szCs w:val="16"/>
              </w:rPr>
              <w:t xml:space="preserve">Yelena </w:t>
            </w:r>
            <w:proofErr w:type="spellStart"/>
            <w:r w:rsidRPr="00240730">
              <w:rPr>
                <w:b/>
                <w:sz w:val="16"/>
                <w:szCs w:val="16"/>
              </w:rPr>
              <w:t>Feodosyevna</w:t>
            </w:r>
            <w:proofErr w:type="spellEnd"/>
            <w:r w:rsidRPr="00240730">
              <w:rPr>
                <w:b/>
                <w:sz w:val="16"/>
                <w:szCs w:val="16"/>
              </w:rPr>
              <w:t xml:space="preserve"> PAVLOVA</w:t>
            </w:r>
          </w:p>
          <w:p w:rsidRPr="00240730" w:rsidR="001F42B5" w:rsidP="00240730" w:rsidRDefault="001F42B5">
            <w:pPr>
              <w:jc w:val="center"/>
              <w:rPr>
                <w:sz w:val="16"/>
                <w:szCs w:val="16"/>
              </w:rPr>
            </w:pPr>
            <w:r w:rsidRPr="00240730">
              <w:rPr>
                <w:sz w:val="16"/>
                <w:szCs w:val="16"/>
              </w:rPr>
              <w:t>29/03/1953</w:t>
            </w:r>
          </w:p>
          <w:p w:rsidRPr="00240730" w:rsidR="001F42B5" w:rsidP="00240730" w:rsidRDefault="001F42B5">
            <w:pPr>
              <w:jc w:val="center"/>
              <w:rPr>
                <w:sz w:val="16"/>
                <w:szCs w:val="16"/>
              </w:rPr>
            </w:pPr>
            <w:r w:rsidRPr="00240730">
              <w:rPr>
                <w:sz w:val="16"/>
                <w:szCs w:val="16"/>
              </w:rPr>
              <w:t>St</w:t>
            </w:r>
            <w:r w:rsidRPr="00240730" w:rsidR="00BE08C9">
              <w:rPr>
                <w:sz w:val="16"/>
                <w:szCs w:val="16"/>
              </w:rPr>
              <w:t xml:space="preserve"> </w:t>
            </w:r>
            <w:r w:rsidRPr="00240730">
              <w:rPr>
                <w:sz w:val="16"/>
                <w:szCs w:val="16"/>
              </w:rPr>
              <w:t>Petersburg</w:t>
            </w:r>
          </w:p>
          <w:p w:rsidRPr="00240730" w:rsidR="001F42B5" w:rsidP="00240730" w:rsidRDefault="001F42B5">
            <w:pPr>
              <w:jc w:val="center"/>
              <w:rPr>
                <w:b/>
                <w:sz w:val="16"/>
                <w:szCs w:val="16"/>
              </w:rPr>
            </w:pPr>
          </w:p>
        </w:tc>
        <w:tc>
          <w:tcPr>
            <w:tcW w:w="4253" w:type="dxa"/>
          </w:tcPr>
          <w:p w:rsidRPr="00240730" w:rsidR="00377D0B" w:rsidP="00240730" w:rsidRDefault="001F42B5">
            <w:pPr>
              <w:jc w:val="center"/>
              <w:rPr>
                <w:rFonts w:ascii="Times New Roman" w:hAnsi="Times New Roman" w:eastAsia="Times New Roman" w:cs="Times New Roman"/>
                <w:sz w:val="16"/>
                <w:szCs w:val="16"/>
              </w:rPr>
            </w:pPr>
            <w:proofErr w:type="spellStart"/>
            <w:r w:rsidRPr="00240730">
              <w:rPr>
                <w:rFonts w:ascii="Times New Roman" w:hAnsi="Times New Roman" w:eastAsia="Times New Roman" w:cs="Times New Roman"/>
                <w:sz w:val="16"/>
                <w:szCs w:val="16"/>
              </w:rPr>
              <w:t>Kronstadt</w:t>
            </w:r>
            <w:proofErr w:type="spellEnd"/>
            <w:r w:rsidRPr="00240730">
              <w:rPr>
                <w:rFonts w:ascii="Times New Roman" w:hAnsi="Times New Roman" w:eastAsia="Times New Roman" w:cs="Times New Roman"/>
                <w:sz w:val="16"/>
                <w:szCs w:val="16"/>
              </w:rPr>
              <w:t xml:space="preserve"> District Court</w:t>
            </w:r>
          </w:p>
          <w:p w:rsidRPr="00240730" w:rsidR="001F42B5" w:rsidP="00240730" w:rsidRDefault="001F42B5">
            <w:pPr>
              <w:jc w:val="center"/>
              <w:rPr>
                <w:rFonts w:ascii="Times New Roman" w:hAnsi="Times New Roman" w:eastAsia="Times New Roman" w:cs="Times New Roman"/>
                <w:sz w:val="16"/>
                <w:szCs w:val="16"/>
              </w:rPr>
            </w:pPr>
            <w:r w:rsidRPr="00240730">
              <w:rPr>
                <w:sz w:val="16"/>
                <w:szCs w:val="16"/>
              </w:rPr>
              <w:t>Unpaid wages since August 2008</w:t>
            </w:r>
          </w:p>
          <w:p w:rsidRPr="00240730" w:rsidR="001F42B5" w:rsidP="00240730" w:rsidRDefault="001F42B5">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01/12/2008</w:t>
            </w:r>
          </w:p>
          <w:p w:rsidRPr="00240730" w:rsidR="001F42B5" w:rsidP="00240730" w:rsidRDefault="001F42B5">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21/01/2009</w:t>
            </w:r>
          </w:p>
        </w:tc>
        <w:tc>
          <w:tcPr>
            <w:tcW w:w="1417" w:type="dxa"/>
          </w:tcPr>
          <w:p w:rsidRPr="00240730" w:rsidR="001F42B5" w:rsidP="00240730" w:rsidRDefault="001F42B5">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RUB 25,504</w:t>
            </w:r>
          </w:p>
          <w:p w:rsidRPr="00240730" w:rsidR="001F42B5" w:rsidP="00240730" w:rsidRDefault="001F42B5">
            <w:pPr>
              <w:spacing w:after="120"/>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(EUR 720)</w:t>
            </w:r>
          </w:p>
        </w:tc>
        <w:tc>
          <w:tcPr>
            <w:tcW w:w="3119" w:type="dxa"/>
          </w:tcPr>
          <w:p w:rsidRPr="00240730" w:rsidR="001F42B5" w:rsidP="00240730" w:rsidRDefault="001F42B5">
            <w:pPr>
              <w:jc w:val="center"/>
              <w:rPr>
                <w:rFonts w:ascii="Times New Roman" w:hAnsi="Times New Roman" w:eastAsia="Times New Roman" w:cs="Times New Roman"/>
                <w:sz w:val="16"/>
                <w:szCs w:val="16"/>
              </w:rPr>
            </w:pPr>
            <w:proofErr w:type="spellStart"/>
            <w:r w:rsidRPr="00240730">
              <w:rPr>
                <w:rFonts w:ascii="Times New Roman" w:hAnsi="Times New Roman" w:eastAsia="Times New Roman" w:cs="Times New Roman"/>
                <w:sz w:val="16"/>
                <w:szCs w:val="16"/>
              </w:rPr>
              <w:t>Kronstadt</w:t>
            </w:r>
            <w:proofErr w:type="spellEnd"/>
            <w:r w:rsidRPr="00240730">
              <w:rPr>
                <w:rFonts w:ascii="Times New Roman" w:hAnsi="Times New Roman" w:eastAsia="Times New Roman" w:cs="Times New Roman"/>
                <w:sz w:val="16"/>
                <w:szCs w:val="16"/>
              </w:rPr>
              <w:t xml:space="preserve"> District Court,</w:t>
            </w:r>
          </w:p>
          <w:p w:rsidRPr="00240730" w:rsidR="001F42B5" w:rsidP="00240730" w:rsidRDefault="001F42B5">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as amended on appeal by the St Petersburg City Court</w:t>
            </w:r>
          </w:p>
          <w:p w:rsidRPr="00240730" w:rsidR="001F42B5" w:rsidP="00240730" w:rsidRDefault="001F42B5">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19/06/2009</w:t>
            </w:r>
          </w:p>
          <w:p w:rsidRPr="00240730" w:rsidR="001F42B5" w:rsidP="00240730" w:rsidRDefault="001F42B5">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22/07/2009</w:t>
            </w:r>
          </w:p>
        </w:tc>
        <w:tc>
          <w:tcPr>
            <w:tcW w:w="1559" w:type="dxa"/>
          </w:tcPr>
          <w:p w:rsidRPr="00240730" w:rsidR="001F42B5" w:rsidP="00240730" w:rsidRDefault="001F42B5">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RUB 1,280</w:t>
            </w:r>
          </w:p>
          <w:p w:rsidRPr="00240730" w:rsidR="001F42B5" w:rsidP="00240730" w:rsidRDefault="001F42B5">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(EUR 29)</w:t>
            </w:r>
          </w:p>
        </w:tc>
      </w:tr>
      <w:tr w:rsidRPr="00240730" w:rsidR="001F42B5" w:rsidTr="00EA6FA4">
        <w:trPr>
          <w:trHeight w:val="540"/>
        </w:trPr>
        <w:tc>
          <w:tcPr>
            <w:tcW w:w="426" w:type="dxa"/>
          </w:tcPr>
          <w:p w:rsidRPr="00240730" w:rsidR="001F42B5" w:rsidP="00240730" w:rsidRDefault="001F42B5">
            <w:pPr>
              <w:jc w:val="center"/>
              <w:rPr>
                <w:sz w:val="16"/>
                <w:szCs w:val="16"/>
              </w:rPr>
            </w:pPr>
            <w:r w:rsidRPr="00240730">
              <w:rPr>
                <w:sz w:val="16"/>
                <w:szCs w:val="16"/>
              </w:rPr>
              <w:t>3.</w:t>
            </w:r>
          </w:p>
        </w:tc>
        <w:tc>
          <w:tcPr>
            <w:tcW w:w="1276" w:type="dxa"/>
          </w:tcPr>
          <w:p w:rsidRPr="00240730" w:rsidR="001F42B5" w:rsidP="00240730" w:rsidRDefault="001F42B5">
            <w:pPr>
              <w:jc w:val="center"/>
              <w:rPr>
                <w:sz w:val="16"/>
                <w:szCs w:val="16"/>
              </w:rPr>
            </w:pPr>
            <w:r w:rsidRPr="00240730">
              <w:rPr>
                <w:sz w:val="16"/>
                <w:szCs w:val="16"/>
              </w:rPr>
              <w:t>65418/09</w:t>
            </w:r>
          </w:p>
          <w:p w:rsidRPr="00240730" w:rsidR="001F42B5" w:rsidP="00240730" w:rsidRDefault="001F42B5">
            <w:pPr>
              <w:jc w:val="center"/>
              <w:rPr>
                <w:sz w:val="16"/>
                <w:szCs w:val="16"/>
              </w:rPr>
            </w:pPr>
            <w:r w:rsidRPr="00240730">
              <w:rPr>
                <w:sz w:val="16"/>
                <w:szCs w:val="16"/>
              </w:rPr>
              <w:t>23/11/2009</w:t>
            </w:r>
          </w:p>
        </w:tc>
        <w:tc>
          <w:tcPr>
            <w:tcW w:w="2126" w:type="dxa"/>
          </w:tcPr>
          <w:p w:rsidRPr="00240730" w:rsidR="00377D0B" w:rsidP="00240730" w:rsidRDefault="001F42B5">
            <w:pPr>
              <w:jc w:val="center"/>
              <w:rPr>
                <w:b/>
                <w:sz w:val="16"/>
                <w:szCs w:val="16"/>
              </w:rPr>
            </w:pPr>
            <w:proofErr w:type="spellStart"/>
            <w:r w:rsidRPr="00240730">
              <w:rPr>
                <w:b/>
                <w:sz w:val="16"/>
                <w:szCs w:val="16"/>
              </w:rPr>
              <w:t>Valeriy</w:t>
            </w:r>
            <w:proofErr w:type="spellEnd"/>
            <w:r w:rsidRPr="00240730">
              <w:rPr>
                <w:b/>
                <w:sz w:val="16"/>
                <w:szCs w:val="16"/>
              </w:rPr>
              <w:t xml:space="preserve"> </w:t>
            </w:r>
            <w:proofErr w:type="spellStart"/>
            <w:r w:rsidRPr="00240730">
              <w:rPr>
                <w:b/>
                <w:sz w:val="16"/>
                <w:szCs w:val="16"/>
              </w:rPr>
              <w:t>Mikhaylovich</w:t>
            </w:r>
            <w:proofErr w:type="spellEnd"/>
            <w:r w:rsidRPr="00240730">
              <w:rPr>
                <w:b/>
                <w:sz w:val="16"/>
                <w:szCs w:val="16"/>
              </w:rPr>
              <w:t xml:space="preserve"> SMIRNOV</w:t>
            </w:r>
          </w:p>
          <w:p w:rsidRPr="00240730" w:rsidR="001F42B5" w:rsidP="00240730" w:rsidRDefault="001F42B5">
            <w:pPr>
              <w:jc w:val="center"/>
              <w:rPr>
                <w:sz w:val="16"/>
                <w:szCs w:val="16"/>
              </w:rPr>
            </w:pPr>
            <w:r w:rsidRPr="00240730">
              <w:rPr>
                <w:sz w:val="16"/>
                <w:szCs w:val="16"/>
              </w:rPr>
              <w:t>20/03/1940</w:t>
            </w:r>
          </w:p>
          <w:p w:rsidRPr="00240730" w:rsidR="001F42B5" w:rsidP="00240730" w:rsidRDefault="001F42B5">
            <w:pPr>
              <w:jc w:val="center"/>
              <w:rPr>
                <w:b/>
                <w:sz w:val="16"/>
                <w:szCs w:val="16"/>
              </w:rPr>
            </w:pPr>
            <w:r w:rsidRPr="00240730">
              <w:rPr>
                <w:sz w:val="16"/>
                <w:szCs w:val="16"/>
              </w:rPr>
              <w:t>St</w:t>
            </w:r>
            <w:r w:rsidRPr="00240730" w:rsidR="00BE08C9">
              <w:rPr>
                <w:sz w:val="16"/>
                <w:szCs w:val="16"/>
              </w:rPr>
              <w:t xml:space="preserve"> </w:t>
            </w:r>
            <w:r w:rsidRPr="00240730">
              <w:rPr>
                <w:sz w:val="16"/>
                <w:szCs w:val="16"/>
              </w:rPr>
              <w:t>Petersburg</w:t>
            </w:r>
          </w:p>
        </w:tc>
        <w:tc>
          <w:tcPr>
            <w:tcW w:w="4253" w:type="dxa"/>
          </w:tcPr>
          <w:p w:rsidRPr="00240730" w:rsidR="00377D0B" w:rsidP="00240730" w:rsidRDefault="009C7AF0">
            <w:pPr>
              <w:jc w:val="center"/>
              <w:rPr>
                <w:rFonts w:ascii="Times New Roman" w:hAnsi="Times New Roman" w:eastAsia="Times New Roman" w:cs="Times New Roman"/>
                <w:sz w:val="16"/>
                <w:szCs w:val="16"/>
              </w:rPr>
            </w:pPr>
            <w:proofErr w:type="spellStart"/>
            <w:r w:rsidRPr="00240730">
              <w:rPr>
                <w:rFonts w:ascii="Times New Roman" w:hAnsi="Times New Roman" w:eastAsia="Times New Roman" w:cs="Times New Roman"/>
                <w:sz w:val="16"/>
                <w:szCs w:val="16"/>
              </w:rPr>
              <w:t>Kronstadt</w:t>
            </w:r>
            <w:proofErr w:type="spellEnd"/>
            <w:r w:rsidRPr="00240730">
              <w:rPr>
                <w:rFonts w:ascii="Times New Roman" w:hAnsi="Times New Roman" w:eastAsia="Times New Roman" w:cs="Times New Roman"/>
                <w:sz w:val="16"/>
                <w:szCs w:val="16"/>
              </w:rPr>
              <w:t xml:space="preserve"> District Court</w:t>
            </w:r>
          </w:p>
          <w:p w:rsidRPr="00240730" w:rsidR="00377D0B" w:rsidP="00240730" w:rsidRDefault="001F42B5">
            <w:pPr>
              <w:pStyle w:val="RepTabPara"/>
              <w:jc w:val="center"/>
              <w:rPr>
                <w:sz w:val="16"/>
                <w:szCs w:val="16"/>
                <w:lang w:val="en-GB"/>
              </w:rPr>
            </w:pPr>
            <w:r w:rsidRPr="00240730">
              <w:rPr>
                <w:sz w:val="16"/>
                <w:szCs w:val="16"/>
                <w:lang w:val="en-GB"/>
              </w:rPr>
              <w:t>Unpaid wages for July and August 2008 and the period between 21 August 2008 and the date of the domestic decision</w:t>
            </w:r>
          </w:p>
          <w:p w:rsidRPr="00240730" w:rsidR="001F42B5" w:rsidP="00240730" w:rsidRDefault="001F42B5">
            <w:pPr>
              <w:pStyle w:val="RepTabPara"/>
              <w:jc w:val="center"/>
              <w:rPr>
                <w:sz w:val="16"/>
                <w:szCs w:val="16"/>
                <w:lang w:val="en-GB"/>
              </w:rPr>
            </w:pPr>
            <w:r w:rsidRPr="00240730">
              <w:rPr>
                <w:sz w:val="16"/>
                <w:szCs w:val="16"/>
                <w:lang w:val="en-GB"/>
              </w:rPr>
              <w:t>28/11/2008</w:t>
            </w:r>
          </w:p>
          <w:p w:rsidRPr="00240730" w:rsidR="001F42B5" w:rsidP="00240730" w:rsidRDefault="001F42B5">
            <w:pPr>
              <w:pStyle w:val="RepTabPara"/>
              <w:jc w:val="center"/>
              <w:rPr>
                <w:sz w:val="16"/>
                <w:szCs w:val="16"/>
                <w:lang w:val="en-GB"/>
              </w:rPr>
            </w:pPr>
            <w:r w:rsidRPr="00240730">
              <w:rPr>
                <w:sz w:val="16"/>
                <w:szCs w:val="16"/>
                <w:lang w:val="en-GB"/>
              </w:rPr>
              <w:t>21/01/2009</w:t>
            </w:r>
          </w:p>
          <w:p w:rsidRPr="00240730" w:rsidR="0056473B" w:rsidP="00240730" w:rsidRDefault="0056473B">
            <w:pPr>
              <w:pStyle w:val="RepTabPara"/>
              <w:jc w:val="center"/>
              <w:rPr>
                <w:sz w:val="16"/>
                <w:szCs w:val="16"/>
                <w:lang w:val="en-GB"/>
              </w:rPr>
            </w:pPr>
          </w:p>
          <w:p w:rsidRPr="00240730" w:rsidR="0056473B" w:rsidP="00240730" w:rsidRDefault="0056473B">
            <w:pPr>
              <w:pStyle w:val="RepTabPara"/>
              <w:jc w:val="center"/>
              <w:rPr>
                <w:sz w:val="16"/>
                <w:szCs w:val="16"/>
                <w:lang w:val="en-GB"/>
              </w:rPr>
            </w:pPr>
            <w:proofErr w:type="spellStart"/>
            <w:r w:rsidRPr="00240730">
              <w:rPr>
                <w:sz w:val="16"/>
                <w:szCs w:val="16"/>
                <w:lang w:val="en-GB"/>
              </w:rPr>
              <w:t>Kronstadt</w:t>
            </w:r>
            <w:proofErr w:type="spellEnd"/>
            <w:r w:rsidRPr="00240730">
              <w:rPr>
                <w:sz w:val="16"/>
                <w:szCs w:val="16"/>
                <w:lang w:val="en-GB"/>
              </w:rPr>
              <w:t xml:space="preserve"> District Court</w:t>
            </w:r>
          </w:p>
          <w:p w:rsidRPr="00240730" w:rsidR="0056473B" w:rsidP="00240730" w:rsidRDefault="0056473B">
            <w:pPr>
              <w:pStyle w:val="RepTabPara"/>
              <w:jc w:val="center"/>
              <w:rPr>
                <w:sz w:val="16"/>
                <w:szCs w:val="16"/>
                <w:lang w:val="en-GB"/>
              </w:rPr>
            </w:pPr>
            <w:r w:rsidRPr="00240730">
              <w:rPr>
                <w:sz w:val="16"/>
                <w:szCs w:val="16"/>
                <w:lang w:val="en-GB"/>
              </w:rPr>
              <w:t>Index-linking of the award of</w:t>
            </w:r>
            <w:r w:rsidRPr="00240730" w:rsidR="00377D0B">
              <w:rPr>
                <w:sz w:val="16"/>
                <w:szCs w:val="16"/>
                <w:lang w:val="en-GB"/>
              </w:rPr>
              <w:t xml:space="preserve"> </w:t>
            </w:r>
            <w:r w:rsidRPr="00240730">
              <w:rPr>
                <w:sz w:val="16"/>
                <w:szCs w:val="16"/>
                <w:lang w:val="en-GB"/>
              </w:rPr>
              <w:t>28/11/2008, compe</w:t>
            </w:r>
            <w:r w:rsidRPr="00240730" w:rsidR="00B52073">
              <w:rPr>
                <w:sz w:val="16"/>
                <w:szCs w:val="16"/>
                <w:lang w:val="en-GB"/>
              </w:rPr>
              <w:t>nsation for delayed payment</w:t>
            </w:r>
            <w:r w:rsidRPr="00240730">
              <w:rPr>
                <w:sz w:val="16"/>
                <w:szCs w:val="16"/>
                <w:lang w:val="en-GB"/>
              </w:rPr>
              <w:t>, non-pecuniary damage</w:t>
            </w:r>
          </w:p>
          <w:p w:rsidRPr="00240730" w:rsidR="0056473B" w:rsidP="00240730" w:rsidRDefault="0056473B">
            <w:pPr>
              <w:pStyle w:val="RepTabPara"/>
              <w:jc w:val="center"/>
              <w:rPr>
                <w:sz w:val="16"/>
                <w:szCs w:val="16"/>
              </w:rPr>
            </w:pPr>
            <w:r w:rsidRPr="00240730">
              <w:rPr>
                <w:sz w:val="16"/>
                <w:szCs w:val="16"/>
              </w:rPr>
              <w:t>07/04/2009</w:t>
            </w:r>
          </w:p>
          <w:p w:rsidRPr="00240730" w:rsidR="0056473B" w:rsidP="00240730" w:rsidRDefault="0056473B">
            <w:pPr>
              <w:pStyle w:val="RepTabPara"/>
              <w:jc w:val="center"/>
              <w:rPr>
                <w:sz w:val="16"/>
                <w:szCs w:val="16"/>
                <w:lang w:val="en-GB"/>
              </w:rPr>
            </w:pPr>
            <w:r w:rsidRPr="00240730">
              <w:rPr>
                <w:sz w:val="16"/>
                <w:szCs w:val="16"/>
              </w:rPr>
              <w:t>13/05/2009</w:t>
            </w:r>
          </w:p>
        </w:tc>
        <w:tc>
          <w:tcPr>
            <w:tcW w:w="1417" w:type="dxa"/>
          </w:tcPr>
          <w:p w:rsidRPr="00240730" w:rsidR="001F42B5" w:rsidP="00240730" w:rsidRDefault="001F42B5">
            <w:pPr>
              <w:jc w:val="center"/>
              <w:rPr>
                <w:rFonts w:ascii="Times New Roman" w:hAnsi="Times New Roman" w:eastAsia="Times New Roman" w:cs="Times New Roman"/>
                <w:sz w:val="16"/>
                <w:szCs w:val="16"/>
              </w:rPr>
            </w:pPr>
            <w:r w:rsidRPr="00240730">
              <w:rPr>
                <w:sz w:val="16"/>
                <w:szCs w:val="16"/>
              </w:rPr>
              <w:t>RU</w:t>
            </w:r>
            <w:r w:rsidRPr="00240730">
              <w:rPr>
                <w:rFonts w:ascii="Times New Roman" w:hAnsi="Times New Roman" w:eastAsia="Times New Roman" w:cs="Times New Roman"/>
                <w:sz w:val="16"/>
                <w:szCs w:val="16"/>
              </w:rPr>
              <w:t>B 82,583</w:t>
            </w:r>
          </w:p>
          <w:p w:rsidRPr="00240730" w:rsidR="001F42B5" w:rsidP="00240730" w:rsidRDefault="001F42B5">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(EUR 1,181)</w:t>
            </w:r>
          </w:p>
          <w:p w:rsidRPr="00240730" w:rsidR="0056473B" w:rsidP="00240730" w:rsidRDefault="0056473B">
            <w:pPr>
              <w:jc w:val="center"/>
              <w:rPr>
                <w:rFonts w:ascii="Times New Roman" w:hAnsi="Times New Roman" w:eastAsia="Times New Roman" w:cs="Times New Roman"/>
                <w:sz w:val="16"/>
                <w:szCs w:val="16"/>
              </w:rPr>
            </w:pPr>
          </w:p>
          <w:p w:rsidRPr="00240730" w:rsidR="0056473B" w:rsidP="00240730" w:rsidRDefault="0056473B">
            <w:pPr>
              <w:jc w:val="center"/>
              <w:rPr>
                <w:rFonts w:ascii="Times New Roman" w:hAnsi="Times New Roman" w:eastAsia="Times New Roman" w:cs="Times New Roman"/>
                <w:sz w:val="16"/>
                <w:szCs w:val="16"/>
              </w:rPr>
            </w:pPr>
          </w:p>
          <w:p w:rsidRPr="00240730" w:rsidR="0056473B" w:rsidP="00240730" w:rsidRDefault="0056473B">
            <w:pPr>
              <w:jc w:val="center"/>
              <w:rPr>
                <w:rFonts w:ascii="Times New Roman" w:hAnsi="Times New Roman" w:eastAsia="Times New Roman" w:cs="Times New Roman"/>
                <w:sz w:val="16"/>
                <w:szCs w:val="16"/>
              </w:rPr>
            </w:pPr>
          </w:p>
          <w:p w:rsidRPr="00240730" w:rsidR="0056473B" w:rsidP="00240730" w:rsidRDefault="0056473B">
            <w:pPr>
              <w:jc w:val="center"/>
              <w:rPr>
                <w:rFonts w:ascii="Times New Roman" w:hAnsi="Times New Roman" w:eastAsia="Times New Roman" w:cs="Times New Roman"/>
                <w:sz w:val="16"/>
                <w:szCs w:val="16"/>
              </w:rPr>
            </w:pPr>
          </w:p>
          <w:p w:rsidRPr="00240730" w:rsidR="0056473B" w:rsidP="00240730" w:rsidRDefault="0056473B">
            <w:pPr>
              <w:jc w:val="center"/>
              <w:rPr>
                <w:rFonts w:ascii="Times New Roman" w:hAnsi="Times New Roman" w:eastAsia="Times New Roman" w:cs="Times New Roman"/>
                <w:sz w:val="16"/>
                <w:szCs w:val="16"/>
              </w:rPr>
            </w:pPr>
          </w:p>
          <w:p w:rsidRPr="00240730" w:rsidR="00377D0B" w:rsidP="00240730" w:rsidRDefault="001807C6">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RUB </w:t>
            </w:r>
            <w:r w:rsidRPr="00240730" w:rsidR="0056473B">
              <w:rPr>
                <w:rFonts w:ascii="Times New Roman" w:hAnsi="Times New Roman" w:eastAsia="Times New Roman" w:cs="Times New Roman"/>
                <w:sz w:val="16"/>
                <w:szCs w:val="16"/>
              </w:rPr>
              <w:t>8,056</w:t>
            </w:r>
          </w:p>
          <w:p w:rsidRPr="00240730" w:rsidR="0056473B" w:rsidP="00240730" w:rsidRDefault="0056473B">
            <w:pPr>
              <w:jc w:val="center"/>
              <w:rPr>
                <w:sz w:val="16"/>
                <w:szCs w:val="16"/>
              </w:rPr>
            </w:pPr>
            <w:r w:rsidRPr="00240730">
              <w:rPr>
                <w:rFonts w:ascii="Times New Roman" w:hAnsi="Times New Roman" w:eastAsia="Times New Roman" w:cs="Times New Roman"/>
                <w:sz w:val="16"/>
                <w:szCs w:val="16"/>
              </w:rPr>
              <w:t>(EUR 183)</w:t>
            </w:r>
          </w:p>
        </w:tc>
        <w:tc>
          <w:tcPr>
            <w:tcW w:w="3119" w:type="dxa"/>
          </w:tcPr>
          <w:p w:rsidRPr="00240730" w:rsidR="001F42B5" w:rsidP="00240730" w:rsidRDefault="0056473B">
            <w:pPr>
              <w:pStyle w:val="RepTabPara"/>
              <w:jc w:val="center"/>
              <w:rPr>
                <w:sz w:val="16"/>
                <w:szCs w:val="16"/>
                <w:lang w:val="en-GB"/>
              </w:rPr>
            </w:pPr>
            <w:r w:rsidRPr="00240730">
              <w:rPr>
                <w:sz w:val="16"/>
                <w:szCs w:val="16"/>
                <w:lang w:val="en-GB"/>
              </w:rPr>
              <w:t>n/a</w:t>
            </w:r>
          </w:p>
        </w:tc>
        <w:tc>
          <w:tcPr>
            <w:tcW w:w="1559" w:type="dxa"/>
          </w:tcPr>
          <w:p w:rsidRPr="00240730" w:rsidR="00DC165E" w:rsidP="00240730" w:rsidRDefault="00DC165E">
            <w:pPr>
              <w:pStyle w:val="RepTabPara"/>
              <w:jc w:val="center"/>
              <w:rPr>
                <w:sz w:val="16"/>
                <w:szCs w:val="16"/>
                <w:lang w:val="en-GB"/>
              </w:rPr>
            </w:pPr>
          </w:p>
        </w:tc>
      </w:tr>
      <w:tr w:rsidRPr="00240730" w:rsidR="00CC0232" w:rsidTr="00EA6FA4">
        <w:trPr>
          <w:trHeight w:val="540"/>
        </w:trPr>
        <w:tc>
          <w:tcPr>
            <w:tcW w:w="426" w:type="dxa"/>
          </w:tcPr>
          <w:p w:rsidRPr="00240730" w:rsidR="00CC0232" w:rsidP="00240730" w:rsidRDefault="00CC0232">
            <w:pPr>
              <w:jc w:val="center"/>
              <w:rPr>
                <w:sz w:val="16"/>
                <w:szCs w:val="16"/>
              </w:rPr>
            </w:pPr>
            <w:r w:rsidRPr="00240730">
              <w:rPr>
                <w:sz w:val="16"/>
                <w:szCs w:val="16"/>
              </w:rPr>
              <w:t>4.</w:t>
            </w:r>
          </w:p>
        </w:tc>
        <w:tc>
          <w:tcPr>
            <w:tcW w:w="1276" w:type="dxa"/>
          </w:tcPr>
          <w:p w:rsidRPr="00240730" w:rsidR="00CC0232" w:rsidP="00240730" w:rsidRDefault="00CC0232">
            <w:pPr>
              <w:jc w:val="center"/>
              <w:rPr>
                <w:sz w:val="16"/>
                <w:szCs w:val="16"/>
              </w:rPr>
            </w:pPr>
            <w:r w:rsidRPr="00240730">
              <w:rPr>
                <w:sz w:val="16"/>
                <w:szCs w:val="16"/>
              </w:rPr>
              <w:t>66035/09</w:t>
            </w:r>
          </w:p>
          <w:p w:rsidRPr="00240730" w:rsidR="00CC0232" w:rsidP="00240730" w:rsidRDefault="00CC0232">
            <w:pPr>
              <w:jc w:val="center"/>
              <w:rPr>
                <w:sz w:val="16"/>
                <w:szCs w:val="16"/>
              </w:rPr>
            </w:pPr>
            <w:r w:rsidRPr="00240730">
              <w:rPr>
                <w:sz w:val="16"/>
                <w:szCs w:val="16"/>
              </w:rPr>
              <w:t>30/11/2009</w:t>
            </w:r>
          </w:p>
          <w:p w:rsidRPr="00240730" w:rsidR="00CC0232" w:rsidP="00240730" w:rsidRDefault="00CC0232">
            <w:pPr>
              <w:jc w:val="center"/>
              <w:rPr>
                <w:sz w:val="16"/>
                <w:szCs w:val="16"/>
              </w:rPr>
            </w:pPr>
          </w:p>
        </w:tc>
        <w:tc>
          <w:tcPr>
            <w:tcW w:w="2126" w:type="dxa"/>
          </w:tcPr>
          <w:p w:rsidRPr="00240730" w:rsidR="00CC0232" w:rsidP="00240730" w:rsidRDefault="00CC0232">
            <w:pPr>
              <w:jc w:val="center"/>
              <w:rPr>
                <w:b/>
                <w:sz w:val="16"/>
                <w:szCs w:val="16"/>
              </w:rPr>
            </w:pPr>
            <w:r w:rsidRPr="00240730">
              <w:rPr>
                <w:b/>
                <w:sz w:val="16"/>
                <w:szCs w:val="16"/>
              </w:rPr>
              <w:t xml:space="preserve">Galina </w:t>
            </w:r>
            <w:proofErr w:type="spellStart"/>
            <w:r w:rsidRPr="00240730">
              <w:rPr>
                <w:b/>
                <w:sz w:val="16"/>
                <w:szCs w:val="16"/>
              </w:rPr>
              <w:t>Yevgenyevna</w:t>
            </w:r>
            <w:proofErr w:type="spellEnd"/>
            <w:r w:rsidRPr="00240730">
              <w:rPr>
                <w:b/>
                <w:sz w:val="16"/>
                <w:szCs w:val="16"/>
              </w:rPr>
              <w:t xml:space="preserve"> KUDRYASHOVA</w:t>
            </w:r>
          </w:p>
          <w:p w:rsidRPr="00240730" w:rsidR="00CC0232" w:rsidP="00240730" w:rsidRDefault="00CC0232">
            <w:pPr>
              <w:jc w:val="center"/>
              <w:rPr>
                <w:sz w:val="16"/>
                <w:szCs w:val="16"/>
              </w:rPr>
            </w:pPr>
            <w:r w:rsidRPr="00240730">
              <w:rPr>
                <w:sz w:val="16"/>
                <w:szCs w:val="16"/>
              </w:rPr>
              <w:t>17/09/1954</w:t>
            </w:r>
          </w:p>
          <w:p w:rsidRPr="00240730" w:rsidR="00CC0232" w:rsidP="00240730" w:rsidRDefault="00CC0232">
            <w:pPr>
              <w:jc w:val="center"/>
              <w:rPr>
                <w:b/>
                <w:sz w:val="16"/>
                <w:szCs w:val="16"/>
              </w:rPr>
            </w:pPr>
            <w:r w:rsidRPr="00240730">
              <w:rPr>
                <w:sz w:val="16"/>
                <w:szCs w:val="16"/>
              </w:rPr>
              <w:t>St Petersburg</w:t>
            </w:r>
          </w:p>
        </w:tc>
        <w:tc>
          <w:tcPr>
            <w:tcW w:w="4253" w:type="dxa"/>
          </w:tcPr>
          <w:p w:rsidRPr="00240730" w:rsidR="00CC0232" w:rsidP="00240730" w:rsidRDefault="00CC0232">
            <w:pPr>
              <w:jc w:val="center"/>
              <w:rPr>
                <w:rFonts w:ascii="Times New Roman" w:hAnsi="Times New Roman" w:eastAsia="Times New Roman" w:cs="Times New Roman"/>
                <w:sz w:val="16"/>
                <w:szCs w:val="16"/>
              </w:rPr>
            </w:pPr>
            <w:r w:rsidRPr="00240730">
              <w:rPr>
                <w:sz w:val="16"/>
                <w:szCs w:val="16"/>
              </w:rPr>
              <w:t xml:space="preserve">Unpaid salary between 21/08/ 2008 and </w:t>
            </w:r>
            <w:r w:rsidRPr="00240730">
              <w:rPr>
                <w:rFonts w:ascii="Times New Roman" w:hAnsi="Times New Roman" w:eastAsia="Times New Roman" w:cs="Times New Roman"/>
                <w:sz w:val="16"/>
                <w:szCs w:val="16"/>
              </w:rPr>
              <w:t>05/12/2008</w:t>
            </w:r>
          </w:p>
          <w:p w:rsidRPr="00240730" w:rsidR="00CC0232" w:rsidP="00240730" w:rsidRDefault="00CC0232">
            <w:pPr>
              <w:jc w:val="center"/>
              <w:rPr>
                <w:rFonts w:ascii="Times New Roman" w:hAnsi="Times New Roman" w:eastAsia="Times New Roman" w:cs="Times New Roman"/>
                <w:sz w:val="16"/>
                <w:szCs w:val="16"/>
              </w:rPr>
            </w:pPr>
            <w:proofErr w:type="spellStart"/>
            <w:r w:rsidRPr="00240730">
              <w:rPr>
                <w:rFonts w:ascii="Times New Roman" w:hAnsi="Times New Roman" w:eastAsia="Times New Roman" w:cs="Times New Roman"/>
                <w:sz w:val="16"/>
                <w:szCs w:val="16"/>
              </w:rPr>
              <w:t>Kronstadt</w:t>
            </w:r>
            <w:proofErr w:type="spellEnd"/>
            <w:r w:rsidRPr="00240730">
              <w:rPr>
                <w:rFonts w:ascii="Times New Roman" w:hAnsi="Times New Roman" w:eastAsia="Times New Roman" w:cs="Times New Roman"/>
                <w:sz w:val="16"/>
                <w:szCs w:val="16"/>
              </w:rPr>
              <w:t xml:space="preserve"> District Court of St Petersburg</w:t>
            </w:r>
          </w:p>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05/12/2008</w:t>
            </w:r>
          </w:p>
          <w:p w:rsidRPr="00240730" w:rsidR="00CC0232" w:rsidP="00240730" w:rsidRDefault="00CC0232">
            <w:pPr>
              <w:jc w:val="center"/>
              <w:rPr>
                <w:sz w:val="16"/>
                <w:szCs w:val="16"/>
              </w:rPr>
            </w:pPr>
            <w:r w:rsidRPr="00240730">
              <w:rPr>
                <w:rFonts w:ascii="Times New Roman" w:hAnsi="Times New Roman" w:eastAsia="Times New Roman" w:cs="Times New Roman"/>
                <w:sz w:val="16"/>
                <w:szCs w:val="16"/>
              </w:rPr>
              <w:t>21/01/2009</w:t>
            </w:r>
          </w:p>
        </w:tc>
        <w:tc>
          <w:tcPr>
            <w:tcW w:w="1417" w:type="dxa"/>
          </w:tcPr>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RUB 26,912</w:t>
            </w:r>
          </w:p>
          <w:p w:rsidRPr="00240730" w:rsidR="00CC0232" w:rsidP="00240730" w:rsidRDefault="00CC0232">
            <w:pPr>
              <w:spacing w:after="120"/>
              <w:ind w:left="-778" w:firstLine="778"/>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(EUR 634)</w:t>
            </w:r>
          </w:p>
        </w:tc>
        <w:tc>
          <w:tcPr>
            <w:tcW w:w="3119" w:type="dxa"/>
          </w:tcPr>
          <w:p w:rsidRPr="00240730" w:rsidR="00CC0232" w:rsidP="00240730" w:rsidRDefault="00CC0232">
            <w:pPr>
              <w:jc w:val="center"/>
              <w:rPr>
                <w:rFonts w:ascii="Times New Roman" w:hAnsi="Times New Roman" w:eastAsia="Times New Roman" w:cs="Times New Roman"/>
                <w:sz w:val="16"/>
                <w:szCs w:val="16"/>
              </w:rPr>
            </w:pPr>
            <w:proofErr w:type="spellStart"/>
            <w:r w:rsidRPr="00240730">
              <w:rPr>
                <w:rFonts w:ascii="Times New Roman" w:hAnsi="Times New Roman" w:eastAsia="Times New Roman" w:cs="Times New Roman"/>
                <w:sz w:val="16"/>
                <w:szCs w:val="16"/>
              </w:rPr>
              <w:t>Kronstadt</w:t>
            </w:r>
            <w:proofErr w:type="spellEnd"/>
            <w:r w:rsidRPr="00240730">
              <w:rPr>
                <w:rFonts w:ascii="Times New Roman" w:hAnsi="Times New Roman" w:eastAsia="Times New Roman" w:cs="Times New Roman"/>
                <w:sz w:val="16"/>
                <w:szCs w:val="16"/>
              </w:rPr>
              <w:t xml:space="preserve"> District Court</w:t>
            </w:r>
          </w:p>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04/08/2009</w:t>
            </w:r>
          </w:p>
          <w:p w:rsidRPr="00240730" w:rsidR="00CC0232" w:rsidP="00240730" w:rsidRDefault="00CC0232">
            <w:pPr>
              <w:jc w:val="center"/>
              <w:rPr>
                <w:sz w:val="16"/>
                <w:szCs w:val="16"/>
              </w:rPr>
            </w:pPr>
            <w:r w:rsidRPr="00240730">
              <w:rPr>
                <w:rFonts w:ascii="Times New Roman" w:hAnsi="Times New Roman" w:eastAsia="Times New Roman" w:cs="Times New Roman"/>
                <w:sz w:val="16"/>
                <w:szCs w:val="16"/>
              </w:rPr>
              <w:t>02/09/2009</w:t>
            </w:r>
          </w:p>
        </w:tc>
        <w:tc>
          <w:tcPr>
            <w:tcW w:w="1559" w:type="dxa"/>
          </w:tcPr>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RUB 1,000</w:t>
            </w:r>
          </w:p>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(EUR 22)</w:t>
            </w:r>
          </w:p>
          <w:p w:rsidRPr="00240730" w:rsidR="00CC0232" w:rsidP="00240730" w:rsidRDefault="00CC0232">
            <w:pPr>
              <w:jc w:val="center"/>
              <w:rPr>
                <w:sz w:val="16"/>
                <w:szCs w:val="16"/>
              </w:rPr>
            </w:pPr>
          </w:p>
        </w:tc>
      </w:tr>
      <w:tr w:rsidRPr="00240730" w:rsidR="00CC0232" w:rsidTr="00EA6FA4">
        <w:trPr>
          <w:trHeight w:val="373"/>
        </w:trPr>
        <w:tc>
          <w:tcPr>
            <w:tcW w:w="426" w:type="dxa"/>
          </w:tcPr>
          <w:p w:rsidRPr="00240730" w:rsidR="00CC0232" w:rsidP="00240730" w:rsidRDefault="00CC0232">
            <w:pPr>
              <w:jc w:val="center"/>
              <w:rPr>
                <w:sz w:val="16"/>
                <w:szCs w:val="16"/>
              </w:rPr>
            </w:pPr>
            <w:r w:rsidRPr="00240730">
              <w:rPr>
                <w:sz w:val="16"/>
                <w:szCs w:val="16"/>
              </w:rPr>
              <w:t>5.</w:t>
            </w:r>
          </w:p>
        </w:tc>
        <w:tc>
          <w:tcPr>
            <w:tcW w:w="1276" w:type="dxa"/>
          </w:tcPr>
          <w:p w:rsidRPr="00240730" w:rsidR="00CC0232" w:rsidP="00240730" w:rsidRDefault="00CC0232">
            <w:pPr>
              <w:jc w:val="center"/>
              <w:rPr>
                <w:sz w:val="16"/>
                <w:szCs w:val="16"/>
              </w:rPr>
            </w:pPr>
            <w:r w:rsidRPr="00240730">
              <w:rPr>
                <w:sz w:val="16"/>
                <w:szCs w:val="16"/>
              </w:rPr>
              <w:t>67406/09</w:t>
            </w:r>
          </w:p>
          <w:p w:rsidRPr="00240730" w:rsidR="00CC0232" w:rsidP="00240730" w:rsidRDefault="00CC0232">
            <w:pPr>
              <w:jc w:val="center"/>
              <w:rPr>
                <w:sz w:val="16"/>
                <w:szCs w:val="16"/>
              </w:rPr>
            </w:pPr>
            <w:r w:rsidRPr="00240730">
              <w:rPr>
                <w:sz w:val="16"/>
                <w:szCs w:val="16"/>
              </w:rPr>
              <w:t>18/11/2009</w:t>
            </w:r>
          </w:p>
          <w:p w:rsidRPr="00240730" w:rsidR="00CC0232" w:rsidP="00240730" w:rsidRDefault="00CC0232">
            <w:pPr>
              <w:jc w:val="center"/>
              <w:rPr>
                <w:sz w:val="16"/>
                <w:szCs w:val="16"/>
              </w:rPr>
            </w:pPr>
          </w:p>
          <w:p w:rsidRPr="00240730" w:rsidR="00CC0232" w:rsidP="00240730" w:rsidRDefault="00CC0232">
            <w:pPr>
              <w:jc w:val="center"/>
              <w:rPr>
                <w:sz w:val="16"/>
                <w:szCs w:val="16"/>
              </w:rPr>
            </w:pPr>
          </w:p>
        </w:tc>
        <w:tc>
          <w:tcPr>
            <w:tcW w:w="2126" w:type="dxa"/>
          </w:tcPr>
          <w:p w:rsidRPr="00240730" w:rsidR="00CC0232" w:rsidP="00240730" w:rsidRDefault="00CC0232">
            <w:pPr>
              <w:jc w:val="center"/>
              <w:rPr>
                <w:b/>
                <w:sz w:val="16"/>
                <w:szCs w:val="16"/>
              </w:rPr>
            </w:pPr>
            <w:r w:rsidRPr="00240730">
              <w:rPr>
                <w:b/>
                <w:sz w:val="16"/>
                <w:szCs w:val="16"/>
              </w:rPr>
              <w:t xml:space="preserve">Vera </w:t>
            </w:r>
            <w:proofErr w:type="spellStart"/>
            <w:r w:rsidRPr="00240730">
              <w:rPr>
                <w:b/>
                <w:sz w:val="16"/>
                <w:szCs w:val="16"/>
              </w:rPr>
              <w:t>Alekseyevna</w:t>
            </w:r>
            <w:proofErr w:type="spellEnd"/>
            <w:r w:rsidRPr="00240730">
              <w:rPr>
                <w:b/>
                <w:sz w:val="16"/>
                <w:szCs w:val="16"/>
              </w:rPr>
              <w:t xml:space="preserve"> PETROVA</w:t>
            </w:r>
          </w:p>
          <w:p w:rsidRPr="00240730" w:rsidR="00CC0232" w:rsidP="00240730" w:rsidRDefault="00CC0232">
            <w:pPr>
              <w:jc w:val="center"/>
              <w:rPr>
                <w:sz w:val="16"/>
                <w:szCs w:val="16"/>
              </w:rPr>
            </w:pPr>
            <w:r w:rsidRPr="00240730">
              <w:rPr>
                <w:sz w:val="16"/>
                <w:szCs w:val="16"/>
              </w:rPr>
              <w:t>20/01/1947</w:t>
            </w:r>
          </w:p>
          <w:p w:rsidRPr="00240730" w:rsidR="00CC0232" w:rsidP="00240730" w:rsidRDefault="00CC0232">
            <w:pPr>
              <w:jc w:val="center"/>
              <w:rPr>
                <w:sz w:val="16"/>
                <w:szCs w:val="16"/>
              </w:rPr>
            </w:pPr>
            <w:r w:rsidRPr="00240730">
              <w:rPr>
                <w:sz w:val="16"/>
                <w:szCs w:val="16"/>
              </w:rPr>
              <w:t>St Petersburg</w:t>
            </w:r>
          </w:p>
          <w:p w:rsidRPr="00240730" w:rsidR="00CC0232" w:rsidP="00240730" w:rsidRDefault="00CC0232">
            <w:pPr>
              <w:jc w:val="center"/>
              <w:rPr>
                <w:b/>
                <w:sz w:val="16"/>
                <w:szCs w:val="16"/>
              </w:rPr>
            </w:pPr>
          </w:p>
        </w:tc>
        <w:tc>
          <w:tcPr>
            <w:tcW w:w="4253" w:type="dxa"/>
          </w:tcPr>
          <w:p w:rsidRPr="00240730" w:rsidR="00CC0232" w:rsidP="00240730" w:rsidRDefault="00CC0232">
            <w:pPr>
              <w:jc w:val="center"/>
              <w:rPr>
                <w:rFonts w:ascii="Times New Roman" w:hAnsi="Times New Roman" w:eastAsia="Times New Roman" w:cs="Times New Roman"/>
                <w:sz w:val="16"/>
                <w:szCs w:val="16"/>
              </w:rPr>
            </w:pPr>
            <w:proofErr w:type="spellStart"/>
            <w:r w:rsidRPr="00240730">
              <w:rPr>
                <w:rFonts w:ascii="Times New Roman" w:hAnsi="Times New Roman" w:eastAsia="Times New Roman" w:cs="Times New Roman"/>
                <w:sz w:val="16"/>
                <w:szCs w:val="16"/>
              </w:rPr>
              <w:t>Kronstadt</w:t>
            </w:r>
            <w:proofErr w:type="spellEnd"/>
            <w:r w:rsidRPr="00240730">
              <w:rPr>
                <w:rFonts w:ascii="Times New Roman" w:hAnsi="Times New Roman" w:eastAsia="Times New Roman" w:cs="Times New Roman"/>
                <w:sz w:val="16"/>
                <w:szCs w:val="16"/>
              </w:rPr>
              <w:t xml:space="preserve"> District Court</w:t>
            </w:r>
          </w:p>
          <w:p w:rsidRPr="00240730" w:rsidR="00CC0232" w:rsidP="00240730" w:rsidRDefault="00CC0232">
            <w:pPr>
              <w:jc w:val="center"/>
              <w:rPr>
                <w:sz w:val="16"/>
                <w:szCs w:val="16"/>
              </w:rPr>
            </w:pPr>
            <w:r w:rsidRPr="00240730">
              <w:rPr>
                <w:sz w:val="16"/>
                <w:szCs w:val="16"/>
              </w:rPr>
              <w:t>Unpaid wages since August 2008</w:t>
            </w:r>
          </w:p>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28/11/2008</w:t>
            </w:r>
          </w:p>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21/01/2009</w:t>
            </w:r>
          </w:p>
        </w:tc>
        <w:tc>
          <w:tcPr>
            <w:tcW w:w="1417" w:type="dxa"/>
          </w:tcPr>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RUB 25,196</w:t>
            </w:r>
          </w:p>
          <w:p w:rsidRPr="00240730" w:rsidR="00CC0232" w:rsidP="00240730" w:rsidRDefault="00CC0232">
            <w:pPr>
              <w:spacing w:after="120"/>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(EUR 712)</w:t>
            </w:r>
          </w:p>
        </w:tc>
        <w:tc>
          <w:tcPr>
            <w:tcW w:w="3119" w:type="dxa"/>
          </w:tcPr>
          <w:p w:rsidRPr="00240730" w:rsidR="00CC0232" w:rsidP="00240730" w:rsidRDefault="00CC0232">
            <w:pPr>
              <w:jc w:val="center"/>
              <w:rPr>
                <w:rFonts w:ascii="Times New Roman" w:hAnsi="Times New Roman" w:eastAsia="Times New Roman" w:cs="Times New Roman"/>
                <w:sz w:val="16"/>
                <w:szCs w:val="16"/>
              </w:rPr>
            </w:pPr>
            <w:proofErr w:type="spellStart"/>
            <w:r w:rsidRPr="00240730">
              <w:rPr>
                <w:rFonts w:ascii="Times New Roman" w:hAnsi="Times New Roman" w:eastAsia="Times New Roman" w:cs="Times New Roman"/>
                <w:sz w:val="16"/>
                <w:szCs w:val="16"/>
              </w:rPr>
              <w:t>Kronstadt</w:t>
            </w:r>
            <w:proofErr w:type="spellEnd"/>
            <w:r w:rsidRPr="00240730">
              <w:rPr>
                <w:rFonts w:ascii="Times New Roman" w:hAnsi="Times New Roman" w:eastAsia="Times New Roman" w:cs="Times New Roman"/>
                <w:sz w:val="16"/>
                <w:szCs w:val="16"/>
              </w:rPr>
              <w:t xml:space="preserve"> District Court</w:t>
            </w:r>
          </w:p>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23/06/2009</w:t>
            </w:r>
          </w:p>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22/07/2009</w:t>
            </w:r>
          </w:p>
        </w:tc>
        <w:tc>
          <w:tcPr>
            <w:tcW w:w="1559" w:type="dxa"/>
          </w:tcPr>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RUB 122</w:t>
            </w:r>
          </w:p>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(EUR 3)</w:t>
            </w:r>
          </w:p>
        </w:tc>
      </w:tr>
      <w:tr w:rsidRPr="00240730" w:rsidR="00CC0232" w:rsidTr="00EA6FA4">
        <w:trPr>
          <w:trHeight w:val="307"/>
        </w:trPr>
        <w:tc>
          <w:tcPr>
            <w:tcW w:w="426" w:type="dxa"/>
          </w:tcPr>
          <w:p w:rsidRPr="00240730" w:rsidR="00CC0232" w:rsidP="00240730" w:rsidRDefault="00CC0232">
            <w:pPr>
              <w:jc w:val="center"/>
              <w:rPr>
                <w:sz w:val="16"/>
                <w:szCs w:val="16"/>
              </w:rPr>
            </w:pPr>
            <w:r w:rsidRPr="00240730">
              <w:rPr>
                <w:sz w:val="16"/>
                <w:szCs w:val="16"/>
              </w:rPr>
              <w:t>6.</w:t>
            </w:r>
          </w:p>
        </w:tc>
        <w:tc>
          <w:tcPr>
            <w:tcW w:w="1276" w:type="dxa"/>
          </w:tcPr>
          <w:p w:rsidRPr="00240730" w:rsidR="00CC0232" w:rsidP="00240730" w:rsidRDefault="00CC0232">
            <w:pPr>
              <w:jc w:val="center"/>
              <w:rPr>
                <w:sz w:val="16"/>
                <w:szCs w:val="16"/>
              </w:rPr>
            </w:pPr>
            <w:r w:rsidRPr="00240730">
              <w:rPr>
                <w:sz w:val="16"/>
                <w:szCs w:val="16"/>
              </w:rPr>
              <w:t>67697/09</w:t>
            </w:r>
          </w:p>
          <w:p w:rsidRPr="00240730" w:rsidR="00CC0232" w:rsidP="00240730" w:rsidRDefault="00CC0232">
            <w:pPr>
              <w:jc w:val="center"/>
              <w:rPr>
                <w:sz w:val="16"/>
                <w:szCs w:val="16"/>
              </w:rPr>
            </w:pPr>
            <w:r w:rsidRPr="00240730">
              <w:rPr>
                <w:sz w:val="16"/>
                <w:szCs w:val="16"/>
              </w:rPr>
              <w:t>25/11/2009</w:t>
            </w:r>
          </w:p>
          <w:p w:rsidRPr="00240730" w:rsidR="00CC0232" w:rsidP="00240730" w:rsidRDefault="00CC0232">
            <w:pPr>
              <w:jc w:val="center"/>
              <w:rPr>
                <w:sz w:val="16"/>
                <w:szCs w:val="16"/>
              </w:rPr>
            </w:pPr>
          </w:p>
        </w:tc>
        <w:tc>
          <w:tcPr>
            <w:tcW w:w="2126" w:type="dxa"/>
          </w:tcPr>
          <w:p w:rsidRPr="00240730" w:rsidR="00CC0232" w:rsidP="00240730" w:rsidRDefault="00CC0232">
            <w:pPr>
              <w:jc w:val="center"/>
              <w:rPr>
                <w:b/>
                <w:sz w:val="16"/>
                <w:szCs w:val="16"/>
                <w:lang w:val="it-IT"/>
              </w:rPr>
            </w:pPr>
            <w:proofErr w:type="spellStart"/>
            <w:r w:rsidRPr="00240730">
              <w:rPr>
                <w:b/>
                <w:sz w:val="16"/>
                <w:szCs w:val="16"/>
                <w:lang w:val="it-IT"/>
              </w:rPr>
              <w:t>Natalya</w:t>
            </w:r>
            <w:proofErr w:type="spellEnd"/>
            <w:r w:rsidRPr="00240730">
              <w:rPr>
                <w:b/>
                <w:sz w:val="16"/>
                <w:szCs w:val="16"/>
                <w:lang w:val="it-IT"/>
              </w:rPr>
              <w:t xml:space="preserve"> </w:t>
            </w:r>
            <w:proofErr w:type="spellStart"/>
            <w:r w:rsidRPr="00240730">
              <w:rPr>
                <w:b/>
                <w:sz w:val="16"/>
                <w:szCs w:val="16"/>
                <w:lang w:val="it-IT"/>
              </w:rPr>
              <w:t>Leonidovna</w:t>
            </w:r>
            <w:proofErr w:type="spellEnd"/>
            <w:r w:rsidRPr="00240730">
              <w:rPr>
                <w:b/>
                <w:sz w:val="16"/>
                <w:szCs w:val="16"/>
                <w:lang w:val="it-IT"/>
              </w:rPr>
              <w:t xml:space="preserve"> LEBEDEVA</w:t>
            </w:r>
          </w:p>
          <w:p w:rsidRPr="00240730" w:rsidR="00CC0232" w:rsidP="00240730" w:rsidRDefault="00CC0232">
            <w:pPr>
              <w:jc w:val="center"/>
              <w:rPr>
                <w:sz w:val="16"/>
                <w:szCs w:val="16"/>
                <w:lang w:val="it-IT"/>
              </w:rPr>
            </w:pPr>
            <w:r w:rsidRPr="00240730">
              <w:rPr>
                <w:sz w:val="16"/>
                <w:szCs w:val="16"/>
                <w:lang w:val="it-IT"/>
              </w:rPr>
              <w:t>24/10/1957</w:t>
            </w:r>
          </w:p>
          <w:p w:rsidRPr="00240730" w:rsidR="00CC0232" w:rsidP="00240730" w:rsidRDefault="00CC0232">
            <w:pPr>
              <w:jc w:val="center"/>
              <w:rPr>
                <w:b/>
                <w:sz w:val="16"/>
                <w:szCs w:val="16"/>
                <w:lang w:val="it-IT"/>
              </w:rPr>
            </w:pPr>
            <w:r w:rsidRPr="00240730">
              <w:rPr>
                <w:sz w:val="16"/>
                <w:szCs w:val="16"/>
                <w:lang w:val="it-IT"/>
              </w:rPr>
              <w:t>St Petersburg</w:t>
            </w:r>
          </w:p>
        </w:tc>
        <w:tc>
          <w:tcPr>
            <w:tcW w:w="4253" w:type="dxa"/>
          </w:tcPr>
          <w:p w:rsidRPr="00240730" w:rsidR="00CC0232" w:rsidP="00240730" w:rsidRDefault="00CC0232">
            <w:pPr>
              <w:jc w:val="center"/>
              <w:rPr>
                <w:rFonts w:ascii="Times New Roman" w:hAnsi="Times New Roman" w:eastAsia="Times New Roman" w:cs="Times New Roman"/>
                <w:sz w:val="16"/>
                <w:szCs w:val="16"/>
              </w:rPr>
            </w:pPr>
            <w:proofErr w:type="spellStart"/>
            <w:r w:rsidRPr="00240730">
              <w:rPr>
                <w:rFonts w:ascii="Times New Roman" w:hAnsi="Times New Roman" w:eastAsia="Times New Roman" w:cs="Times New Roman"/>
                <w:sz w:val="16"/>
                <w:szCs w:val="16"/>
              </w:rPr>
              <w:t>Kronstadt</w:t>
            </w:r>
            <w:proofErr w:type="spellEnd"/>
            <w:r w:rsidRPr="00240730">
              <w:rPr>
                <w:rFonts w:ascii="Times New Roman" w:hAnsi="Times New Roman" w:eastAsia="Times New Roman" w:cs="Times New Roman"/>
                <w:sz w:val="16"/>
                <w:szCs w:val="16"/>
              </w:rPr>
              <w:t xml:space="preserve"> District Court</w:t>
            </w:r>
          </w:p>
          <w:p w:rsidRPr="00240730" w:rsidR="00CC0232" w:rsidP="00240730" w:rsidRDefault="00CC0232">
            <w:pPr>
              <w:jc w:val="center"/>
              <w:rPr>
                <w:sz w:val="16"/>
                <w:szCs w:val="16"/>
              </w:rPr>
            </w:pPr>
            <w:r w:rsidRPr="00240730">
              <w:rPr>
                <w:sz w:val="16"/>
                <w:szCs w:val="16"/>
              </w:rPr>
              <w:t>Unpaid wages since August 2008</w:t>
            </w:r>
          </w:p>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02/12/2008</w:t>
            </w:r>
          </w:p>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21/01/2009</w:t>
            </w:r>
          </w:p>
        </w:tc>
        <w:tc>
          <w:tcPr>
            <w:tcW w:w="1417" w:type="dxa"/>
          </w:tcPr>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RUB 30.924</w:t>
            </w:r>
          </w:p>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(EUR 873)</w:t>
            </w:r>
          </w:p>
        </w:tc>
        <w:tc>
          <w:tcPr>
            <w:tcW w:w="3119" w:type="dxa"/>
          </w:tcPr>
          <w:p w:rsidRPr="00240730" w:rsidR="00CC0232" w:rsidP="00240730" w:rsidRDefault="00CC0232">
            <w:pPr>
              <w:jc w:val="center"/>
              <w:rPr>
                <w:rFonts w:ascii="Times New Roman" w:hAnsi="Times New Roman" w:eastAsia="Times New Roman" w:cs="Times New Roman"/>
                <w:sz w:val="16"/>
                <w:szCs w:val="16"/>
              </w:rPr>
            </w:pPr>
            <w:proofErr w:type="spellStart"/>
            <w:r w:rsidRPr="00240730">
              <w:rPr>
                <w:rFonts w:ascii="Times New Roman" w:hAnsi="Times New Roman" w:eastAsia="Times New Roman" w:cs="Times New Roman"/>
                <w:sz w:val="16"/>
                <w:szCs w:val="16"/>
              </w:rPr>
              <w:t>Kronstadt</w:t>
            </w:r>
            <w:proofErr w:type="spellEnd"/>
            <w:r w:rsidRPr="00240730">
              <w:rPr>
                <w:rFonts w:ascii="Times New Roman" w:hAnsi="Times New Roman" w:eastAsia="Times New Roman" w:cs="Times New Roman"/>
                <w:sz w:val="16"/>
                <w:szCs w:val="16"/>
              </w:rPr>
              <w:t xml:space="preserve"> District Court</w:t>
            </w:r>
          </w:p>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03/08/2009</w:t>
            </w:r>
          </w:p>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02/09/2009</w:t>
            </w:r>
          </w:p>
        </w:tc>
        <w:tc>
          <w:tcPr>
            <w:tcW w:w="1559" w:type="dxa"/>
          </w:tcPr>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RUB 1,000</w:t>
            </w:r>
          </w:p>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(EUR 22)</w:t>
            </w:r>
          </w:p>
          <w:p w:rsidRPr="00240730" w:rsidR="00CC0232" w:rsidP="00240730" w:rsidRDefault="00CC0232">
            <w:pPr>
              <w:jc w:val="center"/>
              <w:rPr>
                <w:rFonts w:ascii="Times New Roman" w:hAnsi="Times New Roman" w:eastAsia="Times New Roman" w:cs="Times New Roman"/>
                <w:sz w:val="16"/>
                <w:szCs w:val="16"/>
              </w:rPr>
            </w:pPr>
          </w:p>
          <w:p w:rsidRPr="00240730" w:rsidR="00CC0232" w:rsidP="00240730" w:rsidRDefault="00CC0232">
            <w:pPr>
              <w:jc w:val="center"/>
              <w:rPr>
                <w:rFonts w:ascii="Times New Roman" w:hAnsi="Times New Roman" w:eastAsia="Times New Roman" w:cs="Times New Roman"/>
                <w:sz w:val="16"/>
                <w:szCs w:val="16"/>
              </w:rPr>
            </w:pPr>
          </w:p>
        </w:tc>
      </w:tr>
      <w:tr w:rsidRPr="00240730" w:rsidR="00CC0232" w:rsidTr="00EA6FA4">
        <w:trPr>
          <w:trHeight w:val="222"/>
        </w:trPr>
        <w:tc>
          <w:tcPr>
            <w:tcW w:w="426" w:type="dxa"/>
          </w:tcPr>
          <w:p w:rsidRPr="00240730" w:rsidR="00CC0232" w:rsidP="00240730" w:rsidRDefault="00CC0232">
            <w:pPr>
              <w:jc w:val="center"/>
              <w:rPr>
                <w:sz w:val="16"/>
                <w:szCs w:val="16"/>
              </w:rPr>
            </w:pPr>
            <w:r w:rsidRPr="00240730">
              <w:rPr>
                <w:sz w:val="16"/>
                <w:szCs w:val="16"/>
              </w:rPr>
              <w:t>7.</w:t>
            </w:r>
          </w:p>
        </w:tc>
        <w:tc>
          <w:tcPr>
            <w:tcW w:w="1276" w:type="dxa"/>
          </w:tcPr>
          <w:p w:rsidRPr="00240730" w:rsidR="00CC0232" w:rsidP="00240730" w:rsidRDefault="00CC0232">
            <w:pPr>
              <w:jc w:val="center"/>
              <w:rPr>
                <w:sz w:val="16"/>
                <w:szCs w:val="16"/>
              </w:rPr>
            </w:pPr>
            <w:r w:rsidRPr="00240730">
              <w:rPr>
                <w:sz w:val="16"/>
                <w:szCs w:val="16"/>
              </w:rPr>
              <w:t>1504/10</w:t>
            </w:r>
          </w:p>
          <w:p w:rsidRPr="00240730" w:rsidR="00CC0232" w:rsidP="00240730" w:rsidRDefault="00CC0232">
            <w:pPr>
              <w:jc w:val="center"/>
              <w:rPr>
                <w:sz w:val="16"/>
                <w:szCs w:val="16"/>
              </w:rPr>
            </w:pPr>
            <w:r w:rsidRPr="00240730">
              <w:rPr>
                <w:sz w:val="16"/>
                <w:szCs w:val="16"/>
              </w:rPr>
              <w:t>08/12/2009</w:t>
            </w:r>
          </w:p>
        </w:tc>
        <w:tc>
          <w:tcPr>
            <w:tcW w:w="2126" w:type="dxa"/>
          </w:tcPr>
          <w:p w:rsidRPr="00240730" w:rsidR="00CC0232" w:rsidP="00240730" w:rsidRDefault="00CC0232">
            <w:pPr>
              <w:jc w:val="center"/>
              <w:rPr>
                <w:b/>
                <w:sz w:val="16"/>
                <w:szCs w:val="16"/>
              </w:rPr>
            </w:pPr>
            <w:proofErr w:type="spellStart"/>
            <w:r w:rsidRPr="00240730">
              <w:rPr>
                <w:b/>
                <w:sz w:val="16"/>
                <w:szCs w:val="16"/>
              </w:rPr>
              <w:t>Valeriy</w:t>
            </w:r>
            <w:proofErr w:type="spellEnd"/>
            <w:r w:rsidRPr="00240730">
              <w:rPr>
                <w:b/>
                <w:sz w:val="16"/>
                <w:szCs w:val="16"/>
              </w:rPr>
              <w:t xml:space="preserve"> </w:t>
            </w:r>
            <w:proofErr w:type="spellStart"/>
            <w:r w:rsidRPr="00240730">
              <w:rPr>
                <w:b/>
                <w:sz w:val="16"/>
                <w:szCs w:val="16"/>
              </w:rPr>
              <w:t>Mikhaylovich</w:t>
            </w:r>
            <w:proofErr w:type="spellEnd"/>
            <w:r w:rsidRPr="00240730">
              <w:rPr>
                <w:b/>
                <w:sz w:val="16"/>
                <w:szCs w:val="16"/>
              </w:rPr>
              <w:t xml:space="preserve"> TOMILIN</w:t>
            </w:r>
          </w:p>
          <w:p w:rsidRPr="00240730" w:rsidR="00CC0232" w:rsidP="00240730" w:rsidRDefault="00CC0232">
            <w:pPr>
              <w:jc w:val="center"/>
              <w:rPr>
                <w:sz w:val="16"/>
                <w:szCs w:val="16"/>
              </w:rPr>
            </w:pPr>
            <w:r w:rsidRPr="00240730">
              <w:rPr>
                <w:sz w:val="16"/>
                <w:szCs w:val="16"/>
              </w:rPr>
              <w:t>08/01/1946</w:t>
            </w:r>
          </w:p>
          <w:p w:rsidRPr="00240730" w:rsidR="00CC0232" w:rsidP="00240730" w:rsidRDefault="00CC0232">
            <w:pPr>
              <w:jc w:val="center"/>
              <w:rPr>
                <w:b/>
                <w:sz w:val="16"/>
                <w:szCs w:val="16"/>
              </w:rPr>
            </w:pPr>
            <w:r w:rsidRPr="00240730">
              <w:rPr>
                <w:sz w:val="16"/>
                <w:szCs w:val="16"/>
              </w:rPr>
              <w:t>St Petersburg</w:t>
            </w:r>
          </w:p>
        </w:tc>
        <w:tc>
          <w:tcPr>
            <w:tcW w:w="4253" w:type="dxa"/>
          </w:tcPr>
          <w:p w:rsidRPr="00240730" w:rsidR="00CC0232" w:rsidP="00240730" w:rsidRDefault="00CC0232">
            <w:pPr>
              <w:jc w:val="center"/>
              <w:rPr>
                <w:rFonts w:ascii="Times New Roman" w:hAnsi="Times New Roman" w:eastAsia="Times New Roman" w:cs="Times New Roman"/>
                <w:sz w:val="16"/>
                <w:szCs w:val="16"/>
              </w:rPr>
            </w:pPr>
            <w:proofErr w:type="spellStart"/>
            <w:r w:rsidRPr="00240730">
              <w:rPr>
                <w:rFonts w:ascii="Times New Roman" w:hAnsi="Times New Roman" w:eastAsia="Times New Roman" w:cs="Times New Roman"/>
                <w:sz w:val="16"/>
                <w:szCs w:val="16"/>
              </w:rPr>
              <w:t>Kronstadt</w:t>
            </w:r>
            <w:proofErr w:type="spellEnd"/>
            <w:r w:rsidRPr="00240730">
              <w:rPr>
                <w:rFonts w:ascii="Times New Roman" w:hAnsi="Times New Roman" w:eastAsia="Times New Roman" w:cs="Times New Roman"/>
                <w:sz w:val="16"/>
                <w:szCs w:val="16"/>
              </w:rPr>
              <w:t xml:space="preserve"> District Court of St Petersburg</w:t>
            </w:r>
          </w:p>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05/12/2008</w:t>
            </w:r>
          </w:p>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21/01/2009</w:t>
            </w:r>
          </w:p>
        </w:tc>
        <w:tc>
          <w:tcPr>
            <w:tcW w:w="1417" w:type="dxa"/>
          </w:tcPr>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RUB 41,981</w:t>
            </w:r>
          </w:p>
          <w:p w:rsidRPr="00240730" w:rsidR="00CC0232" w:rsidP="00240730" w:rsidRDefault="00CC0232">
            <w:pPr>
              <w:spacing w:after="120"/>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(EUR 971)</w:t>
            </w:r>
          </w:p>
        </w:tc>
        <w:tc>
          <w:tcPr>
            <w:tcW w:w="3119" w:type="dxa"/>
          </w:tcPr>
          <w:p w:rsidRPr="00240730" w:rsidR="00CC0232" w:rsidP="00240730" w:rsidRDefault="00CC0232">
            <w:pPr>
              <w:jc w:val="center"/>
              <w:rPr>
                <w:rFonts w:ascii="Times New Roman" w:hAnsi="Times New Roman" w:eastAsia="Times New Roman" w:cs="Times New Roman"/>
                <w:sz w:val="16"/>
                <w:szCs w:val="16"/>
              </w:rPr>
            </w:pPr>
            <w:proofErr w:type="spellStart"/>
            <w:r w:rsidRPr="00240730">
              <w:rPr>
                <w:rFonts w:ascii="Times New Roman" w:hAnsi="Times New Roman" w:eastAsia="Times New Roman" w:cs="Times New Roman"/>
                <w:sz w:val="16"/>
                <w:szCs w:val="16"/>
              </w:rPr>
              <w:t>Kronstadt</w:t>
            </w:r>
            <w:proofErr w:type="spellEnd"/>
            <w:r w:rsidRPr="00240730">
              <w:rPr>
                <w:rFonts w:ascii="Times New Roman" w:hAnsi="Times New Roman" w:eastAsia="Times New Roman" w:cs="Times New Roman"/>
                <w:sz w:val="16"/>
                <w:szCs w:val="16"/>
              </w:rPr>
              <w:t xml:space="preserve"> District Court</w:t>
            </w:r>
          </w:p>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03/08/2009</w:t>
            </w:r>
          </w:p>
          <w:p w:rsidRPr="00240730" w:rsidR="00CC0232" w:rsidP="00240730" w:rsidRDefault="00CC0232">
            <w:pPr>
              <w:jc w:val="center"/>
              <w:rPr>
                <w:sz w:val="16"/>
                <w:szCs w:val="16"/>
              </w:rPr>
            </w:pPr>
            <w:r w:rsidRPr="00240730">
              <w:rPr>
                <w:rFonts w:ascii="Times New Roman" w:hAnsi="Times New Roman" w:eastAsia="Times New Roman" w:cs="Times New Roman"/>
                <w:sz w:val="16"/>
                <w:szCs w:val="16"/>
              </w:rPr>
              <w:t>02/09/2009</w:t>
            </w:r>
          </w:p>
          <w:p w:rsidRPr="00240730" w:rsidR="00CC0232" w:rsidP="00240730" w:rsidRDefault="00CC0232">
            <w:pPr>
              <w:jc w:val="center"/>
              <w:rPr>
                <w:sz w:val="16"/>
                <w:szCs w:val="16"/>
              </w:rPr>
            </w:pPr>
          </w:p>
        </w:tc>
        <w:tc>
          <w:tcPr>
            <w:tcW w:w="1559" w:type="dxa"/>
          </w:tcPr>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RUB 1,000</w:t>
            </w:r>
          </w:p>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(EUR 22)</w:t>
            </w:r>
          </w:p>
          <w:p w:rsidRPr="00240730" w:rsidR="00CC0232" w:rsidP="00240730" w:rsidRDefault="00CC0232">
            <w:pPr>
              <w:jc w:val="center"/>
              <w:rPr>
                <w:sz w:val="16"/>
                <w:szCs w:val="16"/>
              </w:rPr>
            </w:pPr>
          </w:p>
        </w:tc>
      </w:tr>
    </w:tbl>
    <w:p w:rsidRPr="00240730" w:rsidR="004B02B3" w:rsidP="00240730" w:rsidRDefault="004B02B3">
      <w:pPr>
        <w:jc w:val="left"/>
        <w:rPr>
          <w:rFonts w:asciiTheme="majorHAnsi" w:hAnsiTheme="majorHAnsi"/>
          <w:b/>
          <w:caps/>
        </w:rPr>
      </w:pPr>
      <w:r w:rsidRPr="00240730">
        <w:br w:type="page"/>
      </w:r>
    </w:p>
    <w:p w:rsidRPr="00240730" w:rsidR="00EC3442" w:rsidP="00240730" w:rsidRDefault="00A44A0E">
      <w:pPr>
        <w:pStyle w:val="JuTitle"/>
        <w:spacing w:before="480" w:after="0"/>
      </w:pPr>
      <w:r w:rsidRPr="00240730">
        <w:t>APPENDIX </w:t>
      </w:r>
      <w:r w:rsidRPr="00240730" w:rsidR="00EC3442">
        <w:t>II</w:t>
      </w:r>
    </w:p>
    <w:p w:rsidRPr="00240730" w:rsidR="001963F5" w:rsidP="00240730" w:rsidRDefault="001963F5">
      <w:pPr>
        <w:pStyle w:val="ECHRPara"/>
      </w:pPr>
    </w:p>
    <w:p w:rsidRPr="00240730" w:rsidR="00EC3442" w:rsidP="00240730" w:rsidRDefault="00EC3442">
      <w:pPr>
        <w:pStyle w:val="ECHRPara"/>
        <w:spacing w:after="120"/>
        <w:jc w:val="center"/>
        <w:rPr>
          <w:b/>
        </w:rPr>
      </w:pPr>
      <w:r w:rsidRPr="00240730">
        <w:rPr>
          <w:b/>
        </w:rPr>
        <w:t>Proceedings against the OAO</w:t>
      </w:r>
    </w:p>
    <w:tbl>
      <w:tblPr>
        <w:tblStyle w:val="ECHRListTable"/>
        <w:tblW w:w="14176"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5E0" w:firstRow="1" w:lastRow="1" w:firstColumn="1" w:lastColumn="1" w:noHBand="0" w:noVBand="1"/>
      </w:tblPr>
      <w:tblGrid>
        <w:gridCol w:w="426"/>
        <w:gridCol w:w="1134"/>
        <w:gridCol w:w="1843"/>
        <w:gridCol w:w="1276"/>
        <w:gridCol w:w="1559"/>
        <w:gridCol w:w="3402"/>
        <w:gridCol w:w="2126"/>
        <w:gridCol w:w="993"/>
        <w:gridCol w:w="1417"/>
      </w:tblGrid>
      <w:tr w:rsidRPr="00240730" w:rsidR="006A39BD" w:rsidTr="003172FE">
        <w:trPr>
          <w:cnfStyle w:val="100000000000" w:firstRow="1" w:lastRow="0" w:firstColumn="0" w:lastColumn="0" w:oddVBand="0" w:evenVBand="0" w:oddHBand="0" w:evenHBand="0" w:firstRowFirstColumn="0" w:firstRowLastColumn="0" w:lastRowFirstColumn="0" w:lastRowLastColumn="0"/>
          <w:trHeight w:val="572"/>
        </w:trPr>
        <w:tc>
          <w:tcPr>
            <w:tcW w:w="426" w:type="dxa"/>
            <w:vMerge w:val="restart"/>
            <w:tcBorders>
              <w:top w:val="single" w:color="auto" w:sz="4" w:space="0"/>
              <w:left w:val="single" w:color="auto" w:sz="4" w:space="0"/>
              <w:bottom w:val="single" w:color="auto" w:sz="4" w:space="0"/>
              <w:right w:val="single" w:color="auto" w:sz="4" w:space="0"/>
            </w:tcBorders>
            <w:vAlign w:val="center"/>
          </w:tcPr>
          <w:p w:rsidRPr="00240730" w:rsidR="006A39BD" w:rsidP="00240730" w:rsidRDefault="006A39BD">
            <w:pPr>
              <w:ind w:left="-108"/>
              <w:jc w:val="center"/>
              <w:rPr>
                <w:sz w:val="16"/>
                <w:szCs w:val="16"/>
              </w:rPr>
            </w:pPr>
            <w:r w:rsidRPr="00240730">
              <w:rPr>
                <w:sz w:val="16"/>
                <w:szCs w:val="16"/>
              </w:rPr>
              <w:t>No.</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rsidRPr="00240730" w:rsidR="006A39BD" w:rsidP="00240730" w:rsidRDefault="006A39BD">
            <w:pPr>
              <w:jc w:val="center"/>
              <w:rPr>
                <w:sz w:val="16"/>
                <w:szCs w:val="16"/>
                <w:u w:val="single"/>
              </w:rPr>
            </w:pPr>
            <w:r w:rsidRPr="00240730">
              <w:rPr>
                <w:sz w:val="16"/>
                <w:szCs w:val="16"/>
                <w:u w:val="single"/>
              </w:rPr>
              <w:t>Column no.1</w:t>
            </w:r>
          </w:p>
          <w:p w:rsidRPr="00240730" w:rsidR="006A39BD" w:rsidP="00240730" w:rsidRDefault="006A39BD">
            <w:pPr>
              <w:spacing w:after="120"/>
              <w:jc w:val="center"/>
              <w:rPr>
                <w:sz w:val="16"/>
                <w:szCs w:val="16"/>
              </w:rPr>
            </w:pPr>
            <w:r w:rsidRPr="00240730">
              <w:rPr>
                <w:sz w:val="16"/>
                <w:szCs w:val="16"/>
              </w:rPr>
              <w:t>Application</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rsidRPr="00240730" w:rsidR="006A39BD" w:rsidP="00240730" w:rsidRDefault="006A39BD">
            <w:pPr>
              <w:jc w:val="center"/>
              <w:rPr>
                <w:sz w:val="16"/>
                <w:szCs w:val="16"/>
                <w:u w:val="single"/>
              </w:rPr>
            </w:pPr>
            <w:r w:rsidRPr="00240730">
              <w:rPr>
                <w:sz w:val="16"/>
                <w:szCs w:val="16"/>
                <w:u w:val="single"/>
              </w:rPr>
              <w:t>Column no.2</w:t>
            </w:r>
          </w:p>
          <w:p w:rsidRPr="00240730" w:rsidR="006A39BD" w:rsidP="00240730" w:rsidRDefault="006A39BD">
            <w:pPr>
              <w:spacing w:after="120"/>
              <w:jc w:val="center"/>
              <w:rPr>
                <w:sz w:val="16"/>
                <w:szCs w:val="16"/>
              </w:rPr>
            </w:pPr>
            <w:r w:rsidRPr="00240730">
              <w:rPr>
                <w:sz w:val="16"/>
                <w:szCs w:val="16"/>
              </w:rPr>
              <w:t>Applicant</w:t>
            </w:r>
          </w:p>
        </w:tc>
        <w:tc>
          <w:tcPr>
            <w:tcW w:w="2835" w:type="dxa"/>
            <w:gridSpan w:val="2"/>
            <w:tcBorders>
              <w:top w:val="single" w:color="auto" w:sz="4" w:space="0"/>
              <w:left w:val="single" w:color="auto" w:sz="4" w:space="0"/>
              <w:bottom w:val="single" w:color="auto" w:sz="4" w:space="0"/>
              <w:right w:val="single" w:color="auto" w:sz="4" w:space="0"/>
            </w:tcBorders>
            <w:vAlign w:val="center"/>
          </w:tcPr>
          <w:p w:rsidRPr="00240730" w:rsidR="006A39BD" w:rsidP="00240730" w:rsidRDefault="006A39BD">
            <w:pPr>
              <w:jc w:val="center"/>
              <w:rPr>
                <w:sz w:val="16"/>
                <w:szCs w:val="16"/>
                <w:u w:val="single"/>
              </w:rPr>
            </w:pPr>
            <w:r w:rsidRPr="00240730">
              <w:rPr>
                <w:sz w:val="16"/>
                <w:szCs w:val="16"/>
                <w:u w:val="single"/>
              </w:rPr>
              <w:t>Column no.3</w:t>
            </w:r>
          </w:p>
          <w:p w:rsidRPr="00240730" w:rsidR="006A39BD" w:rsidP="00240730" w:rsidRDefault="006A39BD">
            <w:pPr>
              <w:spacing w:after="120"/>
              <w:jc w:val="center"/>
              <w:rPr>
                <w:sz w:val="16"/>
                <w:szCs w:val="16"/>
              </w:rPr>
            </w:pPr>
            <w:r w:rsidRPr="00240730">
              <w:rPr>
                <w:sz w:val="16"/>
                <w:szCs w:val="16"/>
              </w:rPr>
              <w:t>Court orders in the applicants</w:t>
            </w:r>
            <w:r w:rsidRPr="00240730" w:rsidR="00240730">
              <w:rPr>
                <w:sz w:val="16"/>
                <w:szCs w:val="16"/>
              </w:rPr>
              <w:t>’</w:t>
            </w:r>
            <w:r w:rsidRPr="00240730">
              <w:rPr>
                <w:sz w:val="16"/>
                <w:szCs w:val="16"/>
              </w:rPr>
              <w:t xml:space="preserve"> favour against the OAO in respect of salaries for June to July 2008</w:t>
            </w:r>
          </w:p>
        </w:tc>
        <w:tc>
          <w:tcPr>
            <w:tcW w:w="3402" w:type="dxa"/>
            <w:tcBorders>
              <w:top w:val="single" w:color="auto" w:sz="4" w:space="0"/>
              <w:left w:val="single" w:color="auto" w:sz="4" w:space="0"/>
              <w:bottom w:val="single" w:color="auto" w:sz="4" w:space="0"/>
              <w:right w:val="single" w:color="auto" w:sz="4" w:space="0"/>
            </w:tcBorders>
            <w:vAlign w:val="center"/>
          </w:tcPr>
          <w:p w:rsidRPr="00240730" w:rsidR="006A39BD" w:rsidP="00240730" w:rsidRDefault="006A39BD">
            <w:pPr>
              <w:jc w:val="center"/>
              <w:rPr>
                <w:sz w:val="16"/>
                <w:szCs w:val="16"/>
                <w:u w:val="single"/>
              </w:rPr>
            </w:pPr>
            <w:r w:rsidRPr="00240730">
              <w:rPr>
                <w:sz w:val="16"/>
                <w:szCs w:val="16"/>
                <w:u w:val="single"/>
              </w:rPr>
              <w:t>Column no.4</w:t>
            </w:r>
          </w:p>
          <w:p w:rsidRPr="00240730" w:rsidR="006A39BD" w:rsidP="00240730" w:rsidRDefault="005A03D0">
            <w:pPr>
              <w:spacing w:after="120"/>
              <w:jc w:val="center"/>
              <w:rPr>
                <w:sz w:val="16"/>
                <w:szCs w:val="16"/>
              </w:rPr>
            </w:pPr>
            <w:r w:rsidRPr="00240730">
              <w:rPr>
                <w:sz w:val="16"/>
                <w:szCs w:val="16"/>
              </w:rPr>
              <w:t>Application for the FGUP to substitute the debtor (the OAO)</w:t>
            </w:r>
          </w:p>
        </w:tc>
        <w:tc>
          <w:tcPr>
            <w:tcW w:w="2126" w:type="dxa"/>
            <w:tcBorders>
              <w:top w:val="single" w:color="auto" w:sz="4" w:space="0"/>
              <w:left w:val="single" w:color="auto" w:sz="4" w:space="0"/>
              <w:bottom w:val="single" w:color="auto" w:sz="4" w:space="0"/>
              <w:right w:val="single" w:color="auto" w:sz="4" w:space="0"/>
            </w:tcBorders>
            <w:vAlign w:val="center"/>
          </w:tcPr>
          <w:p w:rsidRPr="00240730" w:rsidR="005A03D0" w:rsidP="00240730" w:rsidRDefault="005A03D0">
            <w:pPr>
              <w:jc w:val="center"/>
              <w:rPr>
                <w:sz w:val="16"/>
                <w:szCs w:val="16"/>
                <w:u w:val="single"/>
              </w:rPr>
            </w:pPr>
            <w:r w:rsidRPr="00240730">
              <w:rPr>
                <w:sz w:val="16"/>
                <w:szCs w:val="16"/>
                <w:u w:val="single"/>
              </w:rPr>
              <w:t>Column no. 5</w:t>
            </w:r>
          </w:p>
          <w:p w:rsidRPr="00240730" w:rsidR="006A39BD" w:rsidP="00240730" w:rsidRDefault="005A03D0">
            <w:pPr>
              <w:spacing w:after="120"/>
              <w:jc w:val="center"/>
              <w:rPr>
                <w:b w:val="0"/>
                <w:sz w:val="16"/>
                <w:szCs w:val="16"/>
              </w:rPr>
            </w:pPr>
            <w:r w:rsidRPr="00240730">
              <w:rPr>
                <w:sz w:val="16"/>
                <w:szCs w:val="16"/>
              </w:rPr>
              <w:t xml:space="preserve">Claim to have the initial award index-linked: </w:t>
            </w:r>
            <w:r w:rsidRPr="00240730">
              <w:rPr>
                <w:sz w:val="16"/>
                <w:szCs w:val="16"/>
              </w:rPr>
              <w:br/>
              <w:t xml:space="preserve">Date </w:t>
            </w:r>
            <w:r w:rsidRPr="00240730">
              <w:rPr>
                <w:sz w:val="16"/>
                <w:szCs w:val="16"/>
              </w:rPr>
              <w:br/>
              <w:t>Initial award increased by</w:t>
            </w:r>
          </w:p>
        </w:tc>
        <w:tc>
          <w:tcPr>
            <w:tcW w:w="2410" w:type="dxa"/>
            <w:gridSpan w:val="2"/>
            <w:tcBorders>
              <w:top w:val="single" w:color="auto" w:sz="4" w:space="0"/>
              <w:left w:val="single" w:color="auto" w:sz="4" w:space="0"/>
              <w:bottom w:val="single" w:color="auto" w:sz="4" w:space="0"/>
              <w:right w:val="single" w:color="auto" w:sz="4" w:space="0"/>
            </w:tcBorders>
            <w:vAlign w:val="center"/>
          </w:tcPr>
          <w:p w:rsidRPr="00240730" w:rsidR="006A39BD" w:rsidP="00240730" w:rsidRDefault="005A03D0">
            <w:pPr>
              <w:jc w:val="center"/>
              <w:rPr>
                <w:sz w:val="16"/>
                <w:szCs w:val="16"/>
                <w:u w:val="single"/>
              </w:rPr>
            </w:pPr>
            <w:r w:rsidRPr="00240730">
              <w:rPr>
                <w:sz w:val="16"/>
                <w:szCs w:val="16"/>
                <w:u w:val="single"/>
              </w:rPr>
              <w:t>Column no.6</w:t>
            </w:r>
          </w:p>
          <w:p w:rsidRPr="00240730" w:rsidR="006A39BD" w:rsidP="00240730" w:rsidRDefault="006A39BD">
            <w:pPr>
              <w:spacing w:after="120"/>
              <w:jc w:val="center"/>
              <w:rPr>
                <w:sz w:val="16"/>
                <w:szCs w:val="16"/>
              </w:rPr>
            </w:pPr>
            <w:r w:rsidRPr="00240730">
              <w:rPr>
                <w:sz w:val="16"/>
                <w:szCs w:val="16"/>
              </w:rPr>
              <w:t>Compensation for delayed payment of salary in February</w:t>
            </w:r>
            <w:r w:rsidRPr="00240730">
              <w:rPr>
                <w:sz w:val="16"/>
                <w:szCs w:val="16"/>
              </w:rPr>
              <w:noBreakHyphen/>
              <w:t>April 2008</w:t>
            </w:r>
          </w:p>
        </w:tc>
      </w:tr>
      <w:tr w:rsidRPr="00240730" w:rsidR="004F1266" w:rsidTr="003172FE">
        <w:trPr>
          <w:trHeight w:val="580"/>
        </w:trPr>
        <w:tc>
          <w:tcPr>
            <w:tcW w:w="426" w:type="dxa"/>
            <w:vMerge/>
            <w:tcBorders>
              <w:top w:val="single" w:color="auto" w:sz="4" w:space="0"/>
            </w:tcBorders>
            <w:vAlign w:val="center"/>
          </w:tcPr>
          <w:p w:rsidRPr="00240730" w:rsidR="00B50F33" w:rsidP="00240730" w:rsidRDefault="00B50F33">
            <w:pPr>
              <w:spacing w:after="120"/>
              <w:jc w:val="center"/>
              <w:rPr>
                <w:sz w:val="16"/>
                <w:szCs w:val="16"/>
              </w:rPr>
            </w:pPr>
          </w:p>
        </w:tc>
        <w:tc>
          <w:tcPr>
            <w:tcW w:w="1134" w:type="dxa"/>
            <w:vMerge/>
            <w:tcBorders>
              <w:top w:val="single" w:color="auto" w:sz="4" w:space="0"/>
            </w:tcBorders>
            <w:shd w:val="clear" w:color="auto" w:fill="DFDFDF" w:themeFill="background2" w:themeFillShade="E6"/>
            <w:vAlign w:val="center"/>
          </w:tcPr>
          <w:p w:rsidRPr="00240730" w:rsidR="00B50F33" w:rsidP="00240730" w:rsidRDefault="00B50F33">
            <w:pPr>
              <w:spacing w:after="120"/>
              <w:jc w:val="center"/>
              <w:rPr>
                <w:sz w:val="16"/>
                <w:szCs w:val="16"/>
              </w:rPr>
            </w:pPr>
          </w:p>
        </w:tc>
        <w:tc>
          <w:tcPr>
            <w:tcW w:w="1843" w:type="dxa"/>
            <w:vMerge/>
            <w:tcBorders>
              <w:top w:val="single" w:color="auto" w:sz="4" w:space="0"/>
              <w:right w:val="single" w:color="auto" w:sz="4" w:space="0"/>
            </w:tcBorders>
            <w:shd w:val="clear" w:color="auto" w:fill="DFDFDF" w:themeFill="background2" w:themeFillShade="E6"/>
            <w:vAlign w:val="center"/>
          </w:tcPr>
          <w:p w:rsidRPr="00240730" w:rsidR="00B50F33" w:rsidP="00240730" w:rsidRDefault="00B50F33">
            <w:pPr>
              <w:spacing w:after="120"/>
              <w:jc w:val="center"/>
              <w:rPr>
                <w:sz w:val="16"/>
                <w:szCs w:val="16"/>
              </w:rPr>
            </w:pPr>
          </w:p>
        </w:tc>
        <w:tc>
          <w:tcPr>
            <w:tcW w:w="1276" w:type="dxa"/>
            <w:tcBorders>
              <w:top w:val="single" w:color="auto" w:sz="4" w:space="0"/>
              <w:left w:val="single" w:color="auto" w:sz="4" w:space="0"/>
              <w:bottom w:val="single" w:color="auto" w:sz="4" w:space="0"/>
              <w:right w:val="single" w:color="auto" w:sz="4" w:space="0"/>
            </w:tcBorders>
            <w:shd w:val="clear" w:color="auto" w:fill="DFDFDF" w:themeFill="background2" w:themeFillShade="E6"/>
            <w:vAlign w:val="center"/>
          </w:tcPr>
          <w:p w:rsidRPr="00240730" w:rsidR="00B50F33" w:rsidP="00240730" w:rsidRDefault="00B50F33">
            <w:pPr>
              <w:spacing w:after="120"/>
              <w:jc w:val="center"/>
              <w:rPr>
                <w:sz w:val="16"/>
                <w:szCs w:val="16"/>
              </w:rPr>
            </w:pPr>
            <w:r w:rsidRPr="00240730">
              <w:rPr>
                <w:b/>
                <w:color w:val="474747" w:themeColor="accent3" w:themeShade="BF"/>
                <w:sz w:val="16"/>
                <w:szCs w:val="16"/>
              </w:rPr>
              <w:t xml:space="preserve">Date of the </w:t>
            </w:r>
            <w:r w:rsidRPr="00240730" w:rsidR="000623A1">
              <w:rPr>
                <w:b/>
                <w:color w:val="474747" w:themeColor="accent3" w:themeShade="BF"/>
                <w:sz w:val="16"/>
                <w:szCs w:val="16"/>
              </w:rPr>
              <w:t>court order</w:t>
            </w:r>
          </w:p>
        </w:tc>
        <w:tc>
          <w:tcPr>
            <w:tcW w:w="1559" w:type="dxa"/>
            <w:tcBorders>
              <w:top w:val="single" w:color="auto" w:sz="4" w:space="0"/>
              <w:left w:val="single" w:color="auto" w:sz="4" w:space="0"/>
              <w:bottom w:val="single" w:color="auto" w:sz="4" w:space="0"/>
              <w:right w:val="single" w:color="auto" w:sz="4" w:space="0"/>
            </w:tcBorders>
            <w:shd w:val="clear" w:color="auto" w:fill="DFDFDF" w:themeFill="background2" w:themeFillShade="E6"/>
            <w:vAlign w:val="center"/>
          </w:tcPr>
          <w:p w:rsidRPr="00240730" w:rsidR="008216AA" w:rsidP="00240730" w:rsidRDefault="00B50F33">
            <w:pPr>
              <w:spacing w:after="120"/>
              <w:jc w:val="center"/>
              <w:rPr>
                <w:b/>
                <w:color w:val="474747" w:themeColor="accent3" w:themeShade="BF"/>
                <w:sz w:val="16"/>
                <w:szCs w:val="16"/>
              </w:rPr>
            </w:pPr>
            <w:r w:rsidRPr="00240730">
              <w:rPr>
                <w:b/>
                <w:color w:val="474747" w:themeColor="accent3" w:themeShade="BF"/>
                <w:sz w:val="16"/>
                <w:szCs w:val="16"/>
              </w:rPr>
              <w:t>Domestic award (RUB)</w:t>
            </w:r>
          </w:p>
          <w:p w:rsidRPr="00240730" w:rsidR="00B50F33" w:rsidP="00240730" w:rsidRDefault="00B50F33">
            <w:pPr>
              <w:spacing w:after="120"/>
              <w:jc w:val="center"/>
              <w:rPr>
                <w:b/>
                <w:color w:val="474747" w:themeColor="accent3" w:themeShade="BF"/>
                <w:sz w:val="16"/>
                <w:szCs w:val="16"/>
              </w:rPr>
            </w:pPr>
            <w:r w:rsidRPr="00240730">
              <w:rPr>
                <w:b/>
                <w:color w:val="474747" w:themeColor="accent3" w:themeShade="BF"/>
                <w:sz w:val="16"/>
                <w:szCs w:val="16"/>
              </w:rPr>
              <w:t>Equivalent</w:t>
            </w:r>
            <w:r w:rsidRPr="00240730" w:rsidR="00377D0B">
              <w:rPr>
                <w:b/>
                <w:color w:val="474747" w:themeColor="accent3" w:themeShade="BF"/>
                <w:sz w:val="16"/>
                <w:szCs w:val="16"/>
              </w:rPr>
              <w:t xml:space="preserve"> </w:t>
            </w:r>
            <w:r w:rsidRPr="00240730">
              <w:rPr>
                <w:b/>
                <w:color w:val="474747" w:themeColor="accent3" w:themeShade="BF"/>
                <w:sz w:val="16"/>
                <w:szCs w:val="16"/>
              </w:rPr>
              <w:t>in EUR</w:t>
            </w:r>
          </w:p>
        </w:tc>
        <w:tc>
          <w:tcPr>
            <w:tcW w:w="3402" w:type="dxa"/>
            <w:tcBorders>
              <w:top w:val="single" w:color="auto" w:sz="4" w:space="0"/>
              <w:left w:val="single" w:color="auto" w:sz="4" w:space="0"/>
              <w:bottom w:val="single" w:color="auto" w:sz="4" w:space="0"/>
              <w:right w:val="single" w:color="auto" w:sz="4" w:space="0"/>
            </w:tcBorders>
            <w:shd w:val="clear" w:color="auto" w:fill="DFDFDF" w:themeFill="background2" w:themeFillShade="E6"/>
            <w:vAlign w:val="center"/>
          </w:tcPr>
          <w:p w:rsidRPr="00240730" w:rsidR="00B50F33" w:rsidP="00240730" w:rsidRDefault="00B50F33">
            <w:pPr>
              <w:spacing w:after="120"/>
              <w:jc w:val="center"/>
              <w:rPr>
                <w:sz w:val="16"/>
                <w:szCs w:val="16"/>
              </w:rPr>
            </w:pPr>
          </w:p>
        </w:tc>
        <w:tc>
          <w:tcPr>
            <w:tcW w:w="2126" w:type="dxa"/>
            <w:tcBorders>
              <w:top w:val="single" w:color="auto" w:sz="4" w:space="0"/>
              <w:left w:val="single" w:color="auto" w:sz="4" w:space="0"/>
              <w:bottom w:val="single" w:color="auto" w:sz="4" w:space="0"/>
              <w:right w:val="single" w:color="auto" w:sz="4" w:space="0"/>
            </w:tcBorders>
            <w:shd w:val="clear" w:color="auto" w:fill="DFDFDF" w:themeFill="background2" w:themeFillShade="E6"/>
            <w:vAlign w:val="center"/>
          </w:tcPr>
          <w:p w:rsidRPr="00240730" w:rsidR="00B50F33" w:rsidP="00240730" w:rsidRDefault="00B50F33">
            <w:pPr>
              <w:spacing w:after="120"/>
              <w:jc w:val="center"/>
              <w:rPr>
                <w:sz w:val="16"/>
                <w:szCs w:val="16"/>
              </w:rPr>
            </w:pPr>
          </w:p>
        </w:tc>
        <w:tc>
          <w:tcPr>
            <w:tcW w:w="993" w:type="dxa"/>
            <w:tcBorders>
              <w:top w:val="single" w:color="auto" w:sz="4" w:space="0"/>
              <w:left w:val="single" w:color="auto" w:sz="4" w:space="0"/>
              <w:bottom w:val="single" w:color="auto" w:sz="4" w:space="0"/>
              <w:right w:val="single" w:color="auto" w:sz="4" w:space="0"/>
            </w:tcBorders>
            <w:shd w:val="clear" w:color="auto" w:fill="DFDFDF" w:themeFill="background2" w:themeFillShade="E6"/>
            <w:vAlign w:val="center"/>
          </w:tcPr>
          <w:p w:rsidRPr="00240730" w:rsidR="00B50F33" w:rsidP="00240730" w:rsidRDefault="00DD45C5">
            <w:pPr>
              <w:spacing w:after="120"/>
              <w:jc w:val="center"/>
              <w:rPr>
                <w:b/>
                <w:color w:val="474747" w:themeColor="accent3" w:themeShade="BF"/>
                <w:sz w:val="16"/>
                <w:szCs w:val="16"/>
              </w:rPr>
            </w:pPr>
            <w:r w:rsidRPr="00240730">
              <w:rPr>
                <w:b/>
                <w:color w:val="474747" w:themeColor="accent3" w:themeShade="BF"/>
                <w:sz w:val="16"/>
                <w:szCs w:val="16"/>
              </w:rPr>
              <w:t>Date</w:t>
            </w:r>
          </w:p>
        </w:tc>
        <w:tc>
          <w:tcPr>
            <w:tcW w:w="1417" w:type="dxa"/>
            <w:tcBorders>
              <w:top w:val="single" w:color="auto" w:sz="4" w:space="0"/>
              <w:left w:val="single" w:color="auto" w:sz="4" w:space="0"/>
              <w:bottom w:val="single" w:color="auto" w:sz="4" w:space="0"/>
              <w:right w:val="single" w:color="auto" w:sz="4" w:space="0"/>
            </w:tcBorders>
            <w:shd w:val="clear" w:color="auto" w:fill="DFDFDF" w:themeFill="background2" w:themeFillShade="E6"/>
            <w:vAlign w:val="center"/>
          </w:tcPr>
          <w:p w:rsidRPr="00240730" w:rsidR="00B50F33" w:rsidP="00240730" w:rsidRDefault="00DD45C5">
            <w:pPr>
              <w:spacing w:after="120"/>
              <w:jc w:val="center"/>
              <w:rPr>
                <w:sz w:val="16"/>
                <w:szCs w:val="16"/>
              </w:rPr>
            </w:pPr>
            <w:r w:rsidRPr="00240730">
              <w:rPr>
                <w:b/>
                <w:color w:val="474747" w:themeColor="accent3" w:themeShade="BF"/>
                <w:sz w:val="16"/>
                <w:szCs w:val="16"/>
              </w:rPr>
              <w:t>Domestic award (RUB, EUR)</w:t>
            </w:r>
          </w:p>
        </w:tc>
      </w:tr>
      <w:tr w:rsidRPr="00240730" w:rsidR="004F1266" w:rsidTr="003172FE">
        <w:trPr>
          <w:trHeight w:val="424"/>
        </w:trPr>
        <w:tc>
          <w:tcPr>
            <w:tcW w:w="426" w:type="dxa"/>
          </w:tcPr>
          <w:p w:rsidRPr="00240730" w:rsidR="00B50F33" w:rsidP="00240730" w:rsidRDefault="00FA5179">
            <w:pPr>
              <w:jc w:val="center"/>
              <w:rPr>
                <w:sz w:val="16"/>
                <w:szCs w:val="16"/>
              </w:rPr>
            </w:pPr>
            <w:r w:rsidRPr="00240730">
              <w:rPr>
                <w:sz w:val="16"/>
                <w:szCs w:val="16"/>
              </w:rPr>
              <w:t>1.</w:t>
            </w:r>
          </w:p>
        </w:tc>
        <w:tc>
          <w:tcPr>
            <w:tcW w:w="1134" w:type="dxa"/>
          </w:tcPr>
          <w:p w:rsidRPr="00240730" w:rsidR="00B50F33" w:rsidP="00240730" w:rsidRDefault="00B50F33">
            <w:pPr>
              <w:jc w:val="center"/>
              <w:rPr>
                <w:sz w:val="16"/>
                <w:szCs w:val="16"/>
              </w:rPr>
            </w:pPr>
            <w:r w:rsidRPr="00240730">
              <w:rPr>
                <w:sz w:val="16"/>
                <w:szCs w:val="16"/>
              </w:rPr>
              <w:t>64098/09</w:t>
            </w:r>
          </w:p>
        </w:tc>
        <w:tc>
          <w:tcPr>
            <w:tcW w:w="1843" w:type="dxa"/>
          </w:tcPr>
          <w:p w:rsidRPr="00240730" w:rsidR="00B50F33" w:rsidP="00240730" w:rsidRDefault="00B50F33">
            <w:pPr>
              <w:jc w:val="center"/>
              <w:rPr>
                <w:sz w:val="16"/>
                <w:szCs w:val="16"/>
              </w:rPr>
            </w:pPr>
            <w:r w:rsidRPr="00240730">
              <w:rPr>
                <w:b/>
                <w:sz w:val="16"/>
                <w:szCs w:val="16"/>
              </w:rPr>
              <w:t xml:space="preserve">Viktor </w:t>
            </w:r>
            <w:proofErr w:type="spellStart"/>
            <w:r w:rsidRPr="00240730">
              <w:rPr>
                <w:b/>
                <w:sz w:val="16"/>
                <w:szCs w:val="16"/>
              </w:rPr>
              <w:t>Ivanovich</w:t>
            </w:r>
            <w:proofErr w:type="spellEnd"/>
            <w:r w:rsidRPr="00240730">
              <w:rPr>
                <w:b/>
                <w:sz w:val="16"/>
                <w:szCs w:val="16"/>
              </w:rPr>
              <w:t xml:space="preserve"> KUZHELEV</w:t>
            </w:r>
          </w:p>
        </w:tc>
        <w:tc>
          <w:tcPr>
            <w:tcW w:w="1276" w:type="dxa"/>
            <w:tcBorders>
              <w:top w:val="single" w:color="auto" w:sz="4" w:space="0"/>
            </w:tcBorders>
          </w:tcPr>
          <w:p w:rsidRPr="00240730" w:rsidR="00B50F33" w:rsidP="00240730" w:rsidRDefault="00B50F33">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09/10/2008</w:t>
            </w:r>
          </w:p>
        </w:tc>
        <w:tc>
          <w:tcPr>
            <w:tcW w:w="1559" w:type="dxa"/>
            <w:tcBorders>
              <w:top w:val="single" w:color="auto" w:sz="4" w:space="0"/>
            </w:tcBorders>
          </w:tcPr>
          <w:p w:rsidRPr="00240730" w:rsidR="00B50F33" w:rsidP="00240730" w:rsidRDefault="00B50F33">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RUB 34,916</w:t>
            </w:r>
          </w:p>
          <w:p w:rsidRPr="00240730" w:rsidR="00B50F33" w:rsidP="00240730" w:rsidRDefault="00B50F33">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(EUR 981)</w:t>
            </w:r>
          </w:p>
          <w:p w:rsidRPr="00240730" w:rsidR="00B50F33" w:rsidP="00240730" w:rsidRDefault="00B50F33">
            <w:pPr>
              <w:jc w:val="center"/>
              <w:rPr>
                <w:rFonts w:ascii="Times New Roman" w:hAnsi="Times New Roman" w:eastAsia="Times New Roman" w:cs="Times New Roman"/>
                <w:sz w:val="16"/>
                <w:szCs w:val="16"/>
              </w:rPr>
            </w:pPr>
          </w:p>
        </w:tc>
        <w:tc>
          <w:tcPr>
            <w:tcW w:w="3402" w:type="dxa"/>
            <w:tcBorders>
              <w:top w:val="single" w:color="auto" w:sz="4" w:space="0"/>
            </w:tcBorders>
          </w:tcPr>
          <w:p w:rsidRPr="00240730" w:rsidR="00B50F33" w:rsidP="00240730" w:rsidRDefault="00B50F33">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25/12/08 granted (</w:t>
            </w:r>
            <w:r w:rsidRPr="00240730" w:rsidR="00BD5538">
              <w:rPr>
                <w:rFonts w:ascii="Times New Roman" w:hAnsi="Times New Roman" w:eastAsia="Times New Roman" w:cs="Times New Roman"/>
                <w:sz w:val="16"/>
                <w:szCs w:val="16"/>
              </w:rPr>
              <w:t>first</w:t>
            </w:r>
            <w:r w:rsidRPr="00240730">
              <w:rPr>
                <w:rFonts w:ascii="Times New Roman" w:hAnsi="Times New Roman" w:eastAsia="Times New Roman" w:cs="Times New Roman"/>
                <w:sz w:val="16"/>
                <w:szCs w:val="16"/>
              </w:rPr>
              <w:t xml:space="preserve"> instance)</w:t>
            </w:r>
          </w:p>
          <w:p w:rsidRPr="00240730" w:rsidR="00B50F33" w:rsidP="00240730" w:rsidRDefault="00B50F33">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29/05/09 quashed on appeal, request disallowed</w:t>
            </w:r>
          </w:p>
        </w:tc>
        <w:tc>
          <w:tcPr>
            <w:tcW w:w="2126" w:type="dxa"/>
            <w:tcBorders>
              <w:top w:val="single" w:color="auto" w:sz="4" w:space="0"/>
            </w:tcBorders>
          </w:tcPr>
          <w:p w:rsidRPr="00240730" w:rsidR="00B50F33" w:rsidP="00240730" w:rsidRDefault="00B50F33">
            <w:pPr>
              <w:spacing w:after="120"/>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17/06/2010</w:t>
            </w:r>
          </w:p>
          <w:p w:rsidRPr="00240730" w:rsidR="00B50F33" w:rsidP="00240730" w:rsidRDefault="00B50F33">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RUB 6,213</w:t>
            </w:r>
            <w:r w:rsidRPr="00240730" w:rsidR="00A44A0E">
              <w:rPr>
                <w:rFonts w:ascii="Times New Roman" w:hAnsi="Times New Roman" w:eastAsia="Times New Roman" w:cs="Times New Roman"/>
                <w:sz w:val="16"/>
                <w:szCs w:val="16"/>
              </w:rPr>
              <w:t xml:space="preserve"> </w:t>
            </w:r>
            <w:r w:rsidRPr="00240730">
              <w:rPr>
                <w:rFonts w:ascii="Times New Roman" w:hAnsi="Times New Roman" w:eastAsia="Times New Roman" w:cs="Times New Roman"/>
                <w:sz w:val="16"/>
                <w:szCs w:val="16"/>
              </w:rPr>
              <w:t>(EUR 162)</w:t>
            </w:r>
          </w:p>
        </w:tc>
        <w:tc>
          <w:tcPr>
            <w:tcW w:w="993" w:type="dxa"/>
            <w:tcBorders>
              <w:top w:val="single" w:color="auto" w:sz="4" w:space="0"/>
            </w:tcBorders>
          </w:tcPr>
          <w:p w:rsidRPr="00240730" w:rsidR="00B50F33" w:rsidP="00240730" w:rsidRDefault="00DD45C5">
            <w:pPr>
              <w:jc w:val="center"/>
              <w:rPr>
                <w:rFonts w:ascii="Times New Roman" w:hAnsi="Times New Roman" w:eastAsia="Times New Roman" w:cs="Times New Roman"/>
                <w:sz w:val="16"/>
                <w:szCs w:val="16"/>
              </w:rPr>
            </w:pPr>
            <w:r w:rsidRPr="00240730">
              <w:rPr>
                <w:sz w:val="16"/>
                <w:szCs w:val="16"/>
              </w:rPr>
              <w:t>n/a</w:t>
            </w:r>
          </w:p>
        </w:tc>
        <w:tc>
          <w:tcPr>
            <w:tcW w:w="1417" w:type="dxa"/>
            <w:tcBorders>
              <w:top w:val="single" w:color="auto" w:sz="4" w:space="0"/>
            </w:tcBorders>
          </w:tcPr>
          <w:p w:rsidRPr="00240730" w:rsidR="00B50F33" w:rsidP="00240730" w:rsidRDefault="00DD45C5">
            <w:pPr>
              <w:jc w:val="center"/>
              <w:rPr>
                <w:rFonts w:ascii="Times New Roman" w:hAnsi="Times New Roman" w:eastAsia="Times New Roman" w:cs="Times New Roman"/>
                <w:sz w:val="16"/>
                <w:szCs w:val="16"/>
              </w:rPr>
            </w:pPr>
            <w:r w:rsidRPr="00240730">
              <w:rPr>
                <w:sz w:val="16"/>
                <w:szCs w:val="16"/>
              </w:rPr>
              <w:t>n/a</w:t>
            </w:r>
          </w:p>
        </w:tc>
      </w:tr>
      <w:tr w:rsidRPr="00240730" w:rsidR="004F1266" w:rsidTr="00EA6FA4">
        <w:trPr>
          <w:trHeight w:val="222"/>
        </w:trPr>
        <w:tc>
          <w:tcPr>
            <w:tcW w:w="426" w:type="dxa"/>
          </w:tcPr>
          <w:p w:rsidRPr="00240730" w:rsidR="00B50F33" w:rsidP="00240730" w:rsidRDefault="00FA5179">
            <w:pPr>
              <w:jc w:val="center"/>
              <w:rPr>
                <w:sz w:val="16"/>
                <w:szCs w:val="16"/>
              </w:rPr>
            </w:pPr>
            <w:r w:rsidRPr="00240730">
              <w:rPr>
                <w:sz w:val="16"/>
                <w:szCs w:val="16"/>
              </w:rPr>
              <w:t>2.</w:t>
            </w:r>
          </w:p>
        </w:tc>
        <w:tc>
          <w:tcPr>
            <w:tcW w:w="1134" w:type="dxa"/>
          </w:tcPr>
          <w:p w:rsidRPr="00240730" w:rsidR="00B50F33" w:rsidP="00240730" w:rsidRDefault="00B50F33">
            <w:pPr>
              <w:jc w:val="center"/>
              <w:rPr>
                <w:sz w:val="16"/>
                <w:szCs w:val="16"/>
              </w:rPr>
            </w:pPr>
            <w:r w:rsidRPr="00240730">
              <w:rPr>
                <w:sz w:val="16"/>
                <w:szCs w:val="16"/>
              </w:rPr>
              <w:t>64891/09</w:t>
            </w:r>
          </w:p>
        </w:tc>
        <w:tc>
          <w:tcPr>
            <w:tcW w:w="1843" w:type="dxa"/>
          </w:tcPr>
          <w:p w:rsidRPr="00240730" w:rsidR="00B50F33" w:rsidP="00240730" w:rsidRDefault="00B50F33">
            <w:pPr>
              <w:jc w:val="center"/>
              <w:rPr>
                <w:sz w:val="16"/>
                <w:szCs w:val="16"/>
              </w:rPr>
            </w:pPr>
            <w:r w:rsidRPr="00240730">
              <w:rPr>
                <w:b/>
                <w:sz w:val="16"/>
                <w:szCs w:val="16"/>
              </w:rPr>
              <w:t xml:space="preserve">Yelena </w:t>
            </w:r>
            <w:proofErr w:type="spellStart"/>
            <w:r w:rsidRPr="00240730">
              <w:rPr>
                <w:b/>
                <w:sz w:val="16"/>
                <w:szCs w:val="16"/>
              </w:rPr>
              <w:t>Feodosyevna</w:t>
            </w:r>
            <w:proofErr w:type="spellEnd"/>
            <w:r w:rsidRPr="00240730">
              <w:rPr>
                <w:b/>
                <w:sz w:val="16"/>
                <w:szCs w:val="16"/>
              </w:rPr>
              <w:t xml:space="preserve"> PAVLOVA</w:t>
            </w:r>
          </w:p>
        </w:tc>
        <w:tc>
          <w:tcPr>
            <w:tcW w:w="1276" w:type="dxa"/>
          </w:tcPr>
          <w:p w:rsidRPr="00240730" w:rsidR="00377D0B" w:rsidP="00240730" w:rsidRDefault="00B50F33">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24/10/2008</w:t>
            </w:r>
          </w:p>
          <w:p w:rsidRPr="00240730" w:rsidR="00B50F33" w:rsidP="00240730" w:rsidRDefault="00B50F33">
            <w:pPr>
              <w:jc w:val="center"/>
              <w:rPr>
                <w:rFonts w:ascii="Times New Roman" w:hAnsi="Times New Roman" w:eastAsia="Times New Roman" w:cs="Times New Roman"/>
                <w:sz w:val="16"/>
                <w:szCs w:val="16"/>
              </w:rPr>
            </w:pPr>
          </w:p>
        </w:tc>
        <w:tc>
          <w:tcPr>
            <w:tcW w:w="1559" w:type="dxa"/>
          </w:tcPr>
          <w:p w:rsidRPr="00240730" w:rsidR="00B50F33" w:rsidP="00240730" w:rsidRDefault="00B50F33">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RUB 30,856</w:t>
            </w:r>
          </w:p>
          <w:p w:rsidRPr="00240730" w:rsidR="00B50F33" w:rsidP="00240730" w:rsidRDefault="00B50F33">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(EUR 892)</w:t>
            </w:r>
          </w:p>
          <w:p w:rsidRPr="00240730" w:rsidR="00B50F33" w:rsidP="00240730" w:rsidRDefault="00B50F33">
            <w:pPr>
              <w:jc w:val="center"/>
              <w:rPr>
                <w:rFonts w:ascii="Times New Roman" w:hAnsi="Times New Roman" w:eastAsia="Times New Roman" w:cs="Times New Roman"/>
                <w:sz w:val="16"/>
                <w:szCs w:val="16"/>
              </w:rPr>
            </w:pPr>
          </w:p>
        </w:tc>
        <w:tc>
          <w:tcPr>
            <w:tcW w:w="3402" w:type="dxa"/>
          </w:tcPr>
          <w:p w:rsidRPr="00240730" w:rsidR="00B50F33" w:rsidP="00240730" w:rsidRDefault="00B50F33">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11/01/09 granted (</w:t>
            </w:r>
            <w:r w:rsidRPr="00240730" w:rsidR="00BD5538">
              <w:rPr>
                <w:rFonts w:ascii="Times New Roman" w:hAnsi="Times New Roman" w:eastAsia="Times New Roman" w:cs="Times New Roman"/>
                <w:sz w:val="16"/>
                <w:szCs w:val="16"/>
              </w:rPr>
              <w:t>first</w:t>
            </w:r>
            <w:r w:rsidRPr="00240730">
              <w:rPr>
                <w:rFonts w:ascii="Times New Roman" w:hAnsi="Times New Roman" w:eastAsia="Times New Roman" w:cs="Times New Roman"/>
                <w:sz w:val="16"/>
                <w:szCs w:val="16"/>
              </w:rPr>
              <w:t xml:space="preserve"> instance)</w:t>
            </w:r>
          </w:p>
          <w:p w:rsidRPr="00240730" w:rsidR="00B50F33" w:rsidP="00240730" w:rsidRDefault="00B50F33">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29/05/09 quashed on appeal, request disallowed</w:t>
            </w:r>
          </w:p>
        </w:tc>
        <w:tc>
          <w:tcPr>
            <w:tcW w:w="2126" w:type="dxa"/>
          </w:tcPr>
          <w:p w:rsidRPr="00240730" w:rsidR="00B50F33" w:rsidP="00240730" w:rsidRDefault="00B50F33">
            <w:pPr>
              <w:spacing w:after="120"/>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22/06/2010</w:t>
            </w:r>
          </w:p>
          <w:p w:rsidRPr="00240730" w:rsidR="00B50F33" w:rsidP="00240730" w:rsidRDefault="008216AA">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RUB 5,981</w:t>
            </w:r>
            <w:r w:rsidRPr="00240730" w:rsidR="00A44A0E">
              <w:rPr>
                <w:rFonts w:ascii="Times New Roman" w:hAnsi="Times New Roman" w:eastAsia="Times New Roman" w:cs="Times New Roman"/>
                <w:sz w:val="16"/>
                <w:szCs w:val="16"/>
              </w:rPr>
              <w:t xml:space="preserve"> </w:t>
            </w:r>
            <w:r w:rsidRPr="00240730" w:rsidR="00B50F33">
              <w:rPr>
                <w:rFonts w:ascii="Times New Roman" w:hAnsi="Times New Roman" w:eastAsia="Times New Roman" w:cs="Times New Roman"/>
                <w:sz w:val="16"/>
                <w:szCs w:val="16"/>
              </w:rPr>
              <w:t>(EUR 156)</w:t>
            </w:r>
          </w:p>
        </w:tc>
        <w:tc>
          <w:tcPr>
            <w:tcW w:w="993" w:type="dxa"/>
          </w:tcPr>
          <w:p w:rsidRPr="00240730" w:rsidR="00B50F33" w:rsidP="00240730" w:rsidRDefault="00DD45C5">
            <w:pPr>
              <w:jc w:val="center"/>
              <w:rPr>
                <w:rFonts w:ascii="Times New Roman" w:hAnsi="Times New Roman" w:eastAsia="Times New Roman" w:cs="Times New Roman"/>
                <w:sz w:val="16"/>
                <w:szCs w:val="16"/>
              </w:rPr>
            </w:pPr>
            <w:r w:rsidRPr="00240730">
              <w:rPr>
                <w:sz w:val="16"/>
                <w:szCs w:val="16"/>
              </w:rPr>
              <w:t>n/a</w:t>
            </w:r>
          </w:p>
        </w:tc>
        <w:tc>
          <w:tcPr>
            <w:tcW w:w="1417" w:type="dxa"/>
          </w:tcPr>
          <w:p w:rsidRPr="00240730" w:rsidR="00B50F33" w:rsidP="00240730" w:rsidRDefault="00DD45C5">
            <w:pPr>
              <w:jc w:val="center"/>
              <w:rPr>
                <w:rFonts w:ascii="Times New Roman" w:hAnsi="Times New Roman" w:eastAsia="Times New Roman" w:cs="Times New Roman"/>
                <w:sz w:val="16"/>
                <w:szCs w:val="16"/>
              </w:rPr>
            </w:pPr>
            <w:r w:rsidRPr="00240730">
              <w:rPr>
                <w:sz w:val="16"/>
                <w:szCs w:val="16"/>
              </w:rPr>
              <w:t>n/a</w:t>
            </w:r>
          </w:p>
        </w:tc>
      </w:tr>
      <w:tr w:rsidRPr="00240730" w:rsidR="004F1266" w:rsidTr="00EA6FA4">
        <w:trPr>
          <w:trHeight w:val="204"/>
        </w:trPr>
        <w:tc>
          <w:tcPr>
            <w:tcW w:w="426" w:type="dxa"/>
          </w:tcPr>
          <w:p w:rsidRPr="00240730" w:rsidR="00B50F33" w:rsidP="00240730" w:rsidRDefault="00FA5179">
            <w:pPr>
              <w:jc w:val="center"/>
              <w:rPr>
                <w:sz w:val="16"/>
                <w:szCs w:val="16"/>
              </w:rPr>
            </w:pPr>
            <w:r w:rsidRPr="00240730">
              <w:rPr>
                <w:sz w:val="16"/>
                <w:szCs w:val="16"/>
              </w:rPr>
              <w:t>3.</w:t>
            </w:r>
          </w:p>
        </w:tc>
        <w:tc>
          <w:tcPr>
            <w:tcW w:w="1134" w:type="dxa"/>
          </w:tcPr>
          <w:p w:rsidRPr="00240730" w:rsidR="00B50F33" w:rsidP="00240730" w:rsidRDefault="00B50F33">
            <w:pPr>
              <w:jc w:val="center"/>
              <w:rPr>
                <w:sz w:val="16"/>
                <w:szCs w:val="16"/>
              </w:rPr>
            </w:pPr>
            <w:r w:rsidRPr="00240730">
              <w:rPr>
                <w:sz w:val="16"/>
                <w:szCs w:val="16"/>
              </w:rPr>
              <w:t>65418/09</w:t>
            </w:r>
          </w:p>
        </w:tc>
        <w:tc>
          <w:tcPr>
            <w:tcW w:w="1843" w:type="dxa"/>
          </w:tcPr>
          <w:p w:rsidRPr="00240730" w:rsidR="00B50F33" w:rsidP="00240730" w:rsidRDefault="00B50F33">
            <w:pPr>
              <w:jc w:val="center"/>
              <w:rPr>
                <w:sz w:val="16"/>
                <w:szCs w:val="16"/>
              </w:rPr>
            </w:pPr>
            <w:proofErr w:type="spellStart"/>
            <w:r w:rsidRPr="00240730">
              <w:rPr>
                <w:b/>
                <w:sz w:val="16"/>
                <w:szCs w:val="16"/>
              </w:rPr>
              <w:t>Valeriy</w:t>
            </w:r>
            <w:proofErr w:type="spellEnd"/>
            <w:r w:rsidRPr="00240730">
              <w:rPr>
                <w:b/>
                <w:sz w:val="16"/>
                <w:szCs w:val="16"/>
              </w:rPr>
              <w:t xml:space="preserve"> </w:t>
            </w:r>
            <w:proofErr w:type="spellStart"/>
            <w:r w:rsidRPr="00240730">
              <w:rPr>
                <w:b/>
                <w:sz w:val="16"/>
                <w:szCs w:val="16"/>
              </w:rPr>
              <w:t>Mikhaylovich</w:t>
            </w:r>
            <w:proofErr w:type="spellEnd"/>
            <w:r w:rsidRPr="00240730">
              <w:rPr>
                <w:b/>
                <w:sz w:val="16"/>
                <w:szCs w:val="16"/>
              </w:rPr>
              <w:t xml:space="preserve"> SMIRNOV</w:t>
            </w:r>
          </w:p>
        </w:tc>
        <w:tc>
          <w:tcPr>
            <w:tcW w:w="1276" w:type="dxa"/>
          </w:tcPr>
          <w:p w:rsidRPr="00240730" w:rsidR="00B50F33" w:rsidP="00240730" w:rsidRDefault="00B50F33">
            <w:pPr>
              <w:jc w:val="center"/>
              <w:rPr>
                <w:sz w:val="16"/>
                <w:szCs w:val="16"/>
              </w:rPr>
            </w:pPr>
            <w:r w:rsidRPr="00240730">
              <w:rPr>
                <w:sz w:val="16"/>
                <w:szCs w:val="16"/>
              </w:rPr>
              <w:t>n/a</w:t>
            </w:r>
          </w:p>
        </w:tc>
        <w:tc>
          <w:tcPr>
            <w:tcW w:w="1559" w:type="dxa"/>
          </w:tcPr>
          <w:p w:rsidRPr="00240730" w:rsidR="00B50F33" w:rsidP="00240730" w:rsidRDefault="00B50F33">
            <w:pPr>
              <w:jc w:val="center"/>
              <w:rPr>
                <w:sz w:val="16"/>
                <w:szCs w:val="16"/>
              </w:rPr>
            </w:pPr>
            <w:r w:rsidRPr="00240730">
              <w:rPr>
                <w:sz w:val="16"/>
                <w:szCs w:val="16"/>
              </w:rPr>
              <w:t>n/a</w:t>
            </w:r>
          </w:p>
        </w:tc>
        <w:tc>
          <w:tcPr>
            <w:tcW w:w="3402" w:type="dxa"/>
          </w:tcPr>
          <w:p w:rsidRPr="00240730" w:rsidR="00B50F33" w:rsidP="00240730" w:rsidRDefault="00B50F33">
            <w:pPr>
              <w:jc w:val="center"/>
              <w:rPr>
                <w:sz w:val="16"/>
                <w:szCs w:val="16"/>
              </w:rPr>
            </w:pPr>
            <w:r w:rsidRPr="00240730">
              <w:rPr>
                <w:sz w:val="16"/>
                <w:szCs w:val="16"/>
              </w:rPr>
              <w:t>n/a</w:t>
            </w:r>
          </w:p>
        </w:tc>
        <w:tc>
          <w:tcPr>
            <w:tcW w:w="2126" w:type="dxa"/>
          </w:tcPr>
          <w:p w:rsidRPr="00240730" w:rsidR="00B50F33" w:rsidP="00240730" w:rsidRDefault="00B50F33">
            <w:pPr>
              <w:jc w:val="center"/>
              <w:rPr>
                <w:sz w:val="16"/>
                <w:szCs w:val="16"/>
              </w:rPr>
            </w:pPr>
            <w:r w:rsidRPr="00240730">
              <w:rPr>
                <w:sz w:val="16"/>
                <w:szCs w:val="16"/>
              </w:rPr>
              <w:t>n/a</w:t>
            </w:r>
          </w:p>
        </w:tc>
        <w:tc>
          <w:tcPr>
            <w:tcW w:w="993" w:type="dxa"/>
          </w:tcPr>
          <w:p w:rsidRPr="00240730" w:rsidR="00B50F33" w:rsidP="00240730" w:rsidRDefault="008216AA">
            <w:pPr>
              <w:jc w:val="center"/>
              <w:rPr>
                <w:sz w:val="16"/>
                <w:szCs w:val="16"/>
              </w:rPr>
            </w:pPr>
            <w:r w:rsidRPr="00240730">
              <w:rPr>
                <w:sz w:val="16"/>
                <w:szCs w:val="16"/>
              </w:rPr>
              <w:t>23/09/2008</w:t>
            </w:r>
          </w:p>
          <w:p w:rsidRPr="00240730" w:rsidR="008216AA" w:rsidP="00240730" w:rsidRDefault="008216AA">
            <w:pPr>
              <w:jc w:val="center"/>
              <w:rPr>
                <w:sz w:val="16"/>
                <w:szCs w:val="16"/>
              </w:rPr>
            </w:pPr>
            <w:r w:rsidRPr="00240730">
              <w:rPr>
                <w:sz w:val="16"/>
                <w:szCs w:val="16"/>
              </w:rPr>
              <w:t>03/10/2008</w:t>
            </w:r>
          </w:p>
        </w:tc>
        <w:tc>
          <w:tcPr>
            <w:tcW w:w="1417" w:type="dxa"/>
          </w:tcPr>
          <w:p w:rsidRPr="00240730" w:rsidR="00B50F33" w:rsidP="00240730" w:rsidRDefault="008216AA">
            <w:pPr>
              <w:jc w:val="center"/>
              <w:rPr>
                <w:sz w:val="16"/>
                <w:szCs w:val="16"/>
              </w:rPr>
            </w:pPr>
            <w:r w:rsidRPr="00240730">
              <w:rPr>
                <w:sz w:val="16"/>
                <w:szCs w:val="16"/>
              </w:rPr>
              <w:t>RUB 445</w:t>
            </w:r>
          </w:p>
          <w:p w:rsidRPr="00240730" w:rsidR="008216AA" w:rsidP="00240730" w:rsidRDefault="008216AA">
            <w:pPr>
              <w:jc w:val="center"/>
              <w:rPr>
                <w:sz w:val="16"/>
                <w:szCs w:val="16"/>
              </w:rPr>
            </w:pPr>
            <w:r w:rsidRPr="00240730">
              <w:rPr>
                <w:sz w:val="16"/>
                <w:szCs w:val="16"/>
              </w:rPr>
              <w:t>(EUR 11)</w:t>
            </w:r>
          </w:p>
        </w:tc>
      </w:tr>
      <w:tr w:rsidRPr="00240730" w:rsidR="004F1266" w:rsidTr="00EA6FA4">
        <w:trPr>
          <w:trHeight w:val="204"/>
        </w:trPr>
        <w:tc>
          <w:tcPr>
            <w:tcW w:w="426" w:type="dxa"/>
          </w:tcPr>
          <w:p w:rsidRPr="00240730" w:rsidR="00CC0232" w:rsidP="00240730" w:rsidRDefault="00CC0232">
            <w:pPr>
              <w:jc w:val="center"/>
              <w:rPr>
                <w:sz w:val="16"/>
                <w:szCs w:val="16"/>
              </w:rPr>
            </w:pPr>
            <w:r w:rsidRPr="00240730">
              <w:rPr>
                <w:sz w:val="16"/>
                <w:szCs w:val="16"/>
              </w:rPr>
              <w:t>4.</w:t>
            </w:r>
          </w:p>
        </w:tc>
        <w:tc>
          <w:tcPr>
            <w:tcW w:w="1134" w:type="dxa"/>
          </w:tcPr>
          <w:p w:rsidRPr="00240730" w:rsidR="00CC0232" w:rsidP="00240730" w:rsidRDefault="00CC0232">
            <w:pPr>
              <w:jc w:val="center"/>
              <w:rPr>
                <w:sz w:val="16"/>
                <w:szCs w:val="16"/>
              </w:rPr>
            </w:pPr>
            <w:r w:rsidRPr="00240730">
              <w:rPr>
                <w:sz w:val="16"/>
                <w:szCs w:val="16"/>
              </w:rPr>
              <w:t>66035/09</w:t>
            </w:r>
          </w:p>
        </w:tc>
        <w:tc>
          <w:tcPr>
            <w:tcW w:w="1843" w:type="dxa"/>
          </w:tcPr>
          <w:p w:rsidRPr="00240730" w:rsidR="00CC0232" w:rsidP="00240730" w:rsidRDefault="00CC0232">
            <w:pPr>
              <w:jc w:val="center"/>
              <w:rPr>
                <w:sz w:val="16"/>
                <w:szCs w:val="16"/>
              </w:rPr>
            </w:pPr>
            <w:r w:rsidRPr="00240730">
              <w:rPr>
                <w:b/>
                <w:sz w:val="16"/>
                <w:szCs w:val="16"/>
              </w:rPr>
              <w:t xml:space="preserve">Galina </w:t>
            </w:r>
            <w:proofErr w:type="spellStart"/>
            <w:r w:rsidRPr="00240730">
              <w:rPr>
                <w:b/>
                <w:sz w:val="16"/>
                <w:szCs w:val="16"/>
              </w:rPr>
              <w:t>Yevgenyevna</w:t>
            </w:r>
            <w:proofErr w:type="spellEnd"/>
            <w:r w:rsidRPr="00240730">
              <w:rPr>
                <w:b/>
                <w:sz w:val="16"/>
                <w:szCs w:val="16"/>
              </w:rPr>
              <w:t xml:space="preserve"> KUDRYASHOVA</w:t>
            </w:r>
          </w:p>
        </w:tc>
        <w:tc>
          <w:tcPr>
            <w:tcW w:w="1276" w:type="dxa"/>
          </w:tcPr>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23/10/2008</w:t>
            </w:r>
          </w:p>
          <w:p w:rsidRPr="00240730" w:rsidR="00CC0232" w:rsidP="00240730" w:rsidRDefault="00CC0232">
            <w:pPr>
              <w:jc w:val="center"/>
              <w:rPr>
                <w:sz w:val="16"/>
                <w:szCs w:val="16"/>
              </w:rPr>
            </w:pPr>
          </w:p>
        </w:tc>
        <w:tc>
          <w:tcPr>
            <w:tcW w:w="1559" w:type="dxa"/>
          </w:tcPr>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RUB 21,784</w:t>
            </w:r>
          </w:p>
          <w:p w:rsidRPr="00240730" w:rsidR="00CC0232" w:rsidP="00240730" w:rsidRDefault="00CC0232">
            <w:pPr>
              <w:jc w:val="center"/>
              <w:rPr>
                <w:sz w:val="16"/>
                <w:szCs w:val="16"/>
              </w:rPr>
            </w:pPr>
            <w:r w:rsidRPr="00240730">
              <w:rPr>
                <w:rFonts w:ascii="Times New Roman" w:hAnsi="Times New Roman" w:eastAsia="Times New Roman" w:cs="Times New Roman"/>
                <w:sz w:val="16"/>
                <w:szCs w:val="16"/>
              </w:rPr>
              <w:t>(EUR 634)</w:t>
            </w:r>
          </w:p>
        </w:tc>
        <w:tc>
          <w:tcPr>
            <w:tcW w:w="3402" w:type="dxa"/>
          </w:tcPr>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25/12/2008 granted (first instance)</w:t>
            </w:r>
          </w:p>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11/06/2009 quashed on appeal, request disallowed</w:t>
            </w:r>
          </w:p>
        </w:tc>
        <w:tc>
          <w:tcPr>
            <w:tcW w:w="2126" w:type="dxa"/>
          </w:tcPr>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n/a</w:t>
            </w:r>
          </w:p>
        </w:tc>
        <w:tc>
          <w:tcPr>
            <w:tcW w:w="993" w:type="dxa"/>
          </w:tcPr>
          <w:p w:rsidRPr="00240730" w:rsidR="00CC0232" w:rsidP="00240730" w:rsidRDefault="00CC0232">
            <w:pPr>
              <w:jc w:val="center"/>
              <w:rPr>
                <w:rFonts w:ascii="Times New Roman" w:hAnsi="Times New Roman" w:eastAsia="Times New Roman" w:cs="Times New Roman"/>
                <w:sz w:val="16"/>
                <w:szCs w:val="16"/>
              </w:rPr>
            </w:pPr>
            <w:r w:rsidRPr="00240730">
              <w:rPr>
                <w:sz w:val="16"/>
                <w:szCs w:val="16"/>
              </w:rPr>
              <w:t>n/a</w:t>
            </w:r>
          </w:p>
        </w:tc>
        <w:tc>
          <w:tcPr>
            <w:tcW w:w="1417" w:type="dxa"/>
          </w:tcPr>
          <w:p w:rsidRPr="00240730" w:rsidR="00CC0232" w:rsidP="00240730" w:rsidRDefault="00CC0232">
            <w:pPr>
              <w:jc w:val="center"/>
              <w:rPr>
                <w:rFonts w:ascii="Times New Roman" w:hAnsi="Times New Roman" w:eastAsia="Times New Roman" w:cs="Times New Roman"/>
                <w:sz w:val="16"/>
                <w:szCs w:val="16"/>
              </w:rPr>
            </w:pPr>
            <w:r w:rsidRPr="00240730">
              <w:rPr>
                <w:sz w:val="16"/>
                <w:szCs w:val="16"/>
              </w:rPr>
              <w:t>n/a</w:t>
            </w:r>
          </w:p>
        </w:tc>
      </w:tr>
      <w:tr w:rsidRPr="00240730" w:rsidR="004F1266" w:rsidTr="00EA6FA4">
        <w:trPr>
          <w:trHeight w:val="373"/>
        </w:trPr>
        <w:tc>
          <w:tcPr>
            <w:tcW w:w="426" w:type="dxa"/>
          </w:tcPr>
          <w:p w:rsidRPr="00240730" w:rsidR="00CC0232" w:rsidP="00240730" w:rsidRDefault="00CC0232">
            <w:pPr>
              <w:jc w:val="center"/>
              <w:rPr>
                <w:sz w:val="16"/>
                <w:szCs w:val="16"/>
              </w:rPr>
            </w:pPr>
            <w:r w:rsidRPr="00240730">
              <w:rPr>
                <w:sz w:val="16"/>
                <w:szCs w:val="16"/>
              </w:rPr>
              <w:t>5.</w:t>
            </w:r>
          </w:p>
        </w:tc>
        <w:tc>
          <w:tcPr>
            <w:tcW w:w="1134" w:type="dxa"/>
          </w:tcPr>
          <w:p w:rsidRPr="00240730" w:rsidR="00CC0232" w:rsidP="00240730" w:rsidRDefault="00CC0232">
            <w:pPr>
              <w:jc w:val="center"/>
              <w:rPr>
                <w:sz w:val="16"/>
                <w:szCs w:val="16"/>
              </w:rPr>
            </w:pPr>
            <w:r w:rsidRPr="00240730">
              <w:rPr>
                <w:sz w:val="16"/>
                <w:szCs w:val="16"/>
              </w:rPr>
              <w:t>67406/09</w:t>
            </w:r>
          </w:p>
        </w:tc>
        <w:tc>
          <w:tcPr>
            <w:tcW w:w="1843" w:type="dxa"/>
          </w:tcPr>
          <w:p w:rsidRPr="00240730" w:rsidR="00CC0232" w:rsidP="00240730" w:rsidRDefault="00CC0232">
            <w:pPr>
              <w:jc w:val="center"/>
              <w:rPr>
                <w:b/>
                <w:sz w:val="16"/>
                <w:szCs w:val="16"/>
              </w:rPr>
            </w:pPr>
            <w:r w:rsidRPr="00240730">
              <w:rPr>
                <w:b/>
                <w:sz w:val="16"/>
                <w:szCs w:val="16"/>
              </w:rPr>
              <w:t xml:space="preserve">Vera </w:t>
            </w:r>
            <w:proofErr w:type="spellStart"/>
            <w:r w:rsidRPr="00240730">
              <w:rPr>
                <w:b/>
                <w:sz w:val="16"/>
                <w:szCs w:val="16"/>
              </w:rPr>
              <w:t>Alekseyevna</w:t>
            </w:r>
            <w:proofErr w:type="spellEnd"/>
            <w:r w:rsidRPr="00240730">
              <w:rPr>
                <w:b/>
                <w:sz w:val="16"/>
                <w:szCs w:val="16"/>
              </w:rPr>
              <w:t xml:space="preserve"> PETROVA</w:t>
            </w:r>
          </w:p>
        </w:tc>
        <w:tc>
          <w:tcPr>
            <w:tcW w:w="1276" w:type="dxa"/>
          </w:tcPr>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30/10/2008</w:t>
            </w:r>
          </w:p>
          <w:p w:rsidRPr="00240730" w:rsidR="00CC0232" w:rsidP="00240730" w:rsidRDefault="00CC0232">
            <w:pPr>
              <w:jc w:val="center"/>
              <w:rPr>
                <w:rFonts w:ascii="Times New Roman" w:hAnsi="Times New Roman" w:eastAsia="Times New Roman" w:cs="Times New Roman"/>
                <w:sz w:val="16"/>
                <w:szCs w:val="16"/>
              </w:rPr>
            </w:pPr>
          </w:p>
        </w:tc>
        <w:tc>
          <w:tcPr>
            <w:tcW w:w="1559" w:type="dxa"/>
          </w:tcPr>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RUB 35,197</w:t>
            </w:r>
          </w:p>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(EUR 1,020)</w:t>
            </w:r>
          </w:p>
          <w:p w:rsidRPr="00240730" w:rsidR="00CC0232" w:rsidP="00240730" w:rsidRDefault="00CC0232">
            <w:pPr>
              <w:jc w:val="center"/>
              <w:rPr>
                <w:rFonts w:ascii="Times New Roman" w:hAnsi="Times New Roman" w:eastAsia="Times New Roman" w:cs="Times New Roman"/>
                <w:sz w:val="16"/>
                <w:szCs w:val="16"/>
              </w:rPr>
            </w:pPr>
          </w:p>
        </w:tc>
        <w:tc>
          <w:tcPr>
            <w:tcW w:w="3402" w:type="dxa"/>
          </w:tcPr>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29/12/08 granted (first instance)</w:t>
            </w:r>
          </w:p>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18/05/09 quashed on appeal, request disallowed</w:t>
            </w:r>
          </w:p>
        </w:tc>
        <w:tc>
          <w:tcPr>
            <w:tcW w:w="2126" w:type="dxa"/>
          </w:tcPr>
          <w:p w:rsidRPr="00240730" w:rsidR="00CC0232" w:rsidP="00240730" w:rsidRDefault="00CC0232">
            <w:pPr>
              <w:spacing w:after="120"/>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18/06/2010</w:t>
            </w:r>
          </w:p>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RUB 6,932 (EUR 181)</w:t>
            </w:r>
          </w:p>
        </w:tc>
        <w:tc>
          <w:tcPr>
            <w:tcW w:w="993" w:type="dxa"/>
          </w:tcPr>
          <w:p w:rsidRPr="00240730" w:rsidR="00CC0232" w:rsidP="00240730" w:rsidRDefault="00CC0232">
            <w:pPr>
              <w:jc w:val="center"/>
              <w:rPr>
                <w:rFonts w:ascii="Times New Roman" w:hAnsi="Times New Roman" w:eastAsia="Times New Roman" w:cs="Times New Roman"/>
                <w:sz w:val="16"/>
                <w:szCs w:val="16"/>
              </w:rPr>
            </w:pPr>
            <w:r w:rsidRPr="00240730">
              <w:rPr>
                <w:sz w:val="16"/>
                <w:szCs w:val="16"/>
              </w:rPr>
              <w:t>n/a</w:t>
            </w:r>
          </w:p>
        </w:tc>
        <w:tc>
          <w:tcPr>
            <w:tcW w:w="1417" w:type="dxa"/>
          </w:tcPr>
          <w:p w:rsidRPr="00240730" w:rsidR="00CC0232" w:rsidP="00240730" w:rsidRDefault="00CC0232">
            <w:pPr>
              <w:jc w:val="center"/>
              <w:rPr>
                <w:rFonts w:ascii="Times New Roman" w:hAnsi="Times New Roman" w:eastAsia="Times New Roman" w:cs="Times New Roman"/>
                <w:sz w:val="16"/>
                <w:szCs w:val="16"/>
              </w:rPr>
            </w:pPr>
            <w:r w:rsidRPr="00240730">
              <w:rPr>
                <w:sz w:val="16"/>
                <w:szCs w:val="16"/>
              </w:rPr>
              <w:t>n/a</w:t>
            </w:r>
          </w:p>
        </w:tc>
      </w:tr>
      <w:tr w:rsidRPr="00240730" w:rsidR="004F1266" w:rsidTr="00EA6FA4">
        <w:trPr>
          <w:trHeight w:val="222"/>
        </w:trPr>
        <w:tc>
          <w:tcPr>
            <w:tcW w:w="426" w:type="dxa"/>
          </w:tcPr>
          <w:p w:rsidRPr="00240730" w:rsidR="00CC0232" w:rsidP="00240730" w:rsidRDefault="00CC0232">
            <w:pPr>
              <w:jc w:val="center"/>
              <w:rPr>
                <w:sz w:val="16"/>
                <w:szCs w:val="16"/>
              </w:rPr>
            </w:pPr>
            <w:r w:rsidRPr="00240730">
              <w:rPr>
                <w:sz w:val="16"/>
                <w:szCs w:val="16"/>
              </w:rPr>
              <w:t>6.</w:t>
            </w:r>
          </w:p>
        </w:tc>
        <w:tc>
          <w:tcPr>
            <w:tcW w:w="1134" w:type="dxa"/>
          </w:tcPr>
          <w:p w:rsidRPr="00240730" w:rsidR="00CC0232" w:rsidP="00240730" w:rsidRDefault="00CC0232">
            <w:pPr>
              <w:jc w:val="center"/>
              <w:rPr>
                <w:sz w:val="16"/>
                <w:szCs w:val="16"/>
              </w:rPr>
            </w:pPr>
            <w:r w:rsidRPr="00240730">
              <w:rPr>
                <w:sz w:val="16"/>
                <w:szCs w:val="16"/>
              </w:rPr>
              <w:t>67697/09</w:t>
            </w:r>
          </w:p>
        </w:tc>
        <w:tc>
          <w:tcPr>
            <w:tcW w:w="1843" w:type="dxa"/>
          </w:tcPr>
          <w:p w:rsidRPr="00240730" w:rsidR="00CC0232" w:rsidP="00240730" w:rsidRDefault="00CC0232">
            <w:pPr>
              <w:jc w:val="center"/>
              <w:rPr>
                <w:sz w:val="16"/>
                <w:szCs w:val="16"/>
              </w:rPr>
            </w:pPr>
            <w:r w:rsidRPr="00240730">
              <w:rPr>
                <w:b/>
                <w:sz w:val="16"/>
                <w:szCs w:val="16"/>
              </w:rPr>
              <w:t xml:space="preserve">Natalya </w:t>
            </w:r>
            <w:proofErr w:type="spellStart"/>
            <w:r w:rsidRPr="00240730">
              <w:rPr>
                <w:b/>
                <w:sz w:val="16"/>
                <w:szCs w:val="16"/>
              </w:rPr>
              <w:t>Leonidovna</w:t>
            </w:r>
            <w:proofErr w:type="spellEnd"/>
            <w:r w:rsidRPr="00240730">
              <w:rPr>
                <w:b/>
                <w:sz w:val="16"/>
                <w:szCs w:val="16"/>
              </w:rPr>
              <w:t xml:space="preserve"> LEBEDEVA</w:t>
            </w:r>
          </w:p>
        </w:tc>
        <w:tc>
          <w:tcPr>
            <w:tcW w:w="1276" w:type="dxa"/>
          </w:tcPr>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25/11/2008</w:t>
            </w:r>
          </w:p>
          <w:p w:rsidRPr="00240730" w:rsidR="00CC0232" w:rsidP="00240730" w:rsidRDefault="00CC0232">
            <w:pPr>
              <w:jc w:val="center"/>
              <w:rPr>
                <w:rFonts w:ascii="Times New Roman" w:hAnsi="Times New Roman" w:eastAsia="Times New Roman" w:cs="Times New Roman"/>
                <w:sz w:val="16"/>
                <w:szCs w:val="16"/>
              </w:rPr>
            </w:pPr>
          </w:p>
        </w:tc>
        <w:tc>
          <w:tcPr>
            <w:tcW w:w="1559" w:type="dxa"/>
          </w:tcPr>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RUB 35,874</w:t>
            </w:r>
          </w:p>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(EUR 1,028)</w:t>
            </w:r>
          </w:p>
          <w:p w:rsidRPr="00240730" w:rsidR="00CC0232" w:rsidP="00240730" w:rsidRDefault="00CC0232">
            <w:pPr>
              <w:jc w:val="center"/>
              <w:rPr>
                <w:rFonts w:ascii="Times New Roman" w:hAnsi="Times New Roman" w:eastAsia="Times New Roman" w:cs="Times New Roman"/>
                <w:sz w:val="16"/>
                <w:szCs w:val="16"/>
              </w:rPr>
            </w:pPr>
          </w:p>
        </w:tc>
        <w:tc>
          <w:tcPr>
            <w:tcW w:w="3402" w:type="dxa"/>
          </w:tcPr>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11/01/09 granted (first instance)</w:t>
            </w:r>
          </w:p>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26/05/09 quashed on appeal, request disallowed</w:t>
            </w:r>
          </w:p>
        </w:tc>
        <w:tc>
          <w:tcPr>
            <w:tcW w:w="2126" w:type="dxa"/>
          </w:tcPr>
          <w:p w:rsidRPr="00240730" w:rsidR="00CC0232" w:rsidP="00240730" w:rsidRDefault="00CC0232">
            <w:pPr>
              <w:spacing w:after="120"/>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06/08/2010</w:t>
            </w:r>
          </w:p>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RUB 7,045 (EUR 179)</w:t>
            </w:r>
          </w:p>
        </w:tc>
        <w:tc>
          <w:tcPr>
            <w:tcW w:w="993" w:type="dxa"/>
          </w:tcPr>
          <w:p w:rsidRPr="00240730" w:rsidR="00CC0232" w:rsidP="00240730" w:rsidRDefault="00CC0232">
            <w:pPr>
              <w:jc w:val="center"/>
              <w:rPr>
                <w:rFonts w:ascii="Times New Roman" w:hAnsi="Times New Roman" w:eastAsia="Times New Roman" w:cs="Times New Roman"/>
                <w:sz w:val="16"/>
                <w:szCs w:val="16"/>
              </w:rPr>
            </w:pPr>
            <w:r w:rsidRPr="00240730">
              <w:rPr>
                <w:sz w:val="16"/>
                <w:szCs w:val="16"/>
              </w:rPr>
              <w:t>n/a</w:t>
            </w:r>
          </w:p>
        </w:tc>
        <w:tc>
          <w:tcPr>
            <w:tcW w:w="1417" w:type="dxa"/>
          </w:tcPr>
          <w:p w:rsidRPr="00240730" w:rsidR="00CC0232" w:rsidP="00240730" w:rsidRDefault="00CC0232">
            <w:pPr>
              <w:jc w:val="center"/>
              <w:rPr>
                <w:rFonts w:ascii="Times New Roman" w:hAnsi="Times New Roman" w:eastAsia="Times New Roman" w:cs="Times New Roman"/>
                <w:sz w:val="16"/>
                <w:szCs w:val="16"/>
              </w:rPr>
            </w:pPr>
            <w:r w:rsidRPr="00240730">
              <w:rPr>
                <w:sz w:val="16"/>
                <w:szCs w:val="16"/>
              </w:rPr>
              <w:t>n/a</w:t>
            </w:r>
          </w:p>
        </w:tc>
      </w:tr>
      <w:tr w:rsidRPr="00240730" w:rsidR="004F1266" w:rsidTr="00EA6FA4">
        <w:trPr>
          <w:trHeight w:val="424"/>
        </w:trPr>
        <w:tc>
          <w:tcPr>
            <w:tcW w:w="426" w:type="dxa"/>
          </w:tcPr>
          <w:p w:rsidRPr="00240730" w:rsidR="00CC0232" w:rsidP="00240730" w:rsidRDefault="00CC0232">
            <w:pPr>
              <w:jc w:val="center"/>
              <w:rPr>
                <w:sz w:val="16"/>
                <w:szCs w:val="16"/>
              </w:rPr>
            </w:pPr>
            <w:r w:rsidRPr="00240730">
              <w:rPr>
                <w:sz w:val="16"/>
                <w:szCs w:val="16"/>
              </w:rPr>
              <w:t>7.</w:t>
            </w:r>
          </w:p>
        </w:tc>
        <w:tc>
          <w:tcPr>
            <w:tcW w:w="1134" w:type="dxa"/>
          </w:tcPr>
          <w:p w:rsidRPr="00240730" w:rsidR="00CC0232" w:rsidP="00240730" w:rsidRDefault="00CC0232">
            <w:pPr>
              <w:jc w:val="center"/>
              <w:rPr>
                <w:sz w:val="16"/>
                <w:szCs w:val="16"/>
              </w:rPr>
            </w:pPr>
            <w:r w:rsidRPr="00240730">
              <w:rPr>
                <w:sz w:val="16"/>
                <w:szCs w:val="16"/>
              </w:rPr>
              <w:t>1504/10</w:t>
            </w:r>
          </w:p>
        </w:tc>
        <w:tc>
          <w:tcPr>
            <w:tcW w:w="1843" w:type="dxa"/>
          </w:tcPr>
          <w:p w:rsidRPr="00240730" w:rsidR="00CC0232" w:rsidP="00240730" w:rsidRDefault="00CC0232">
            <w:pPr>
              <w:jc w:val="center"/>
              <w:rPr>
                <w:sz w:val="16"/>
                <w:szCs w:val="16"/>
              </w:rPr>
            </w:pPr>
            <w:proofErr w:type="spellStart"/>
            <w:r w:rsidRPr="00240730">
              <w:rPr>
                <w:b/>
                <w:sz w:val="16"/>
                <w:szCs w:val="16"/>
              </w:rPr>
              <w:t>Valeriy</w:t>
            </w:r>
            <w:proofErr w:type="spellEnd"/>
            <w:r w:rsidRPr="00240730">
              <w:rPr>
                <w:b/>
                <w:sz w:val="16"/>
                <w:szCs w:val="16"/>
              </w:rPr>
              <w:t xml:space="preserve"> </w:t>
            </w:r>
            <w:proofErr w:type="spellStart"/>
            <w:r w:rsidRPr="00240730">
              <w:rPr>
                <w:b/>
                <w:sz w:val="16"/>
                <w:szCs w:val="16"/>
              </w:rPr>
              <w:t>Mikhaylovich</w:t>
            </w:r>
            <w:proofErr w:type="spellEnd"/>
            <w:r w:rsidRPr="00240730">
              <w:rPr>
                <w:b/>
                <w:sz w:val="16"/>
                <w:szCs w:val="16"/>
              </w:rPr>
              <w:t xml:space="preserve"> TOMILIN</w:t>
            </w:r>
          </w:p>
        </w:tc>
        <w:tc>
          <w:tcPr>
            <w:tcW w:w="1276" w:type="dxa"/>
          </w:tcPr>
          <w:p w:rsidRPr="00240730" w:rsidR="00CC0232" w:rsidP="00240730" w:rsidRDefault="00CC0232">
            <w:pPr>
              <w:jc w:val="center"/>
              <w:rPr>
                <w:sz w:val="16"/>
                <w:szCs w:val="16"/>
              </w:rPr>
            </w:pPr>
            <w:r w:rsidRPr="00240730">
              <w:rPr>
                <w:rFonts w:ascii="Times New Roman" w:hAnsi="Times New Roman" w:eastAsia="Times New Roman" w:cs="Times New Roman"/>
                <w:sz w:val="16"/>
                <w:szCs w:val="16"/>
              </w:rPr>
              <w:t>09/10/2008</w:t>
            </w:r>
          </w:p>
        </w:tc>
        <w:tc>
          <w:tcPr>
            <w:tcW w:w="1559" w:type="dxa"/>
          </w:tcPr>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RUB 40.026</w:t>
            </w:r>
          </w:p>
          <w:p w:rsidRPr="00240730" w:rsidR="00CC0232" w:rsidP="00240730" w:rsidRDefault="00CC0232">
            <w:pPr>
              <w:jc w:val="center"/>
              <w:rPr>
                <w:sz w:val="16"/>
                <w:szCs w:val="16"/>
              </w:rPr>
            </w:pPr>
            <w:r w:rsidRPr="00240730">
              <w:rPr>
                <w:rFonts w:ascii="Times New Roman" w:hAnsi="Times New Roman" w:eastAsia="Times New Roman" w:cs="Times New Roman"/>
                <w:sz w:val="16"/>
                <w:szCs w:val="16"/>
              </w:rPr>
              <w:t>(EUR 1,124)</w:t>
            </w:r>
          </w:p>
        </w:tc>
        <w:tc>
          <w:tcPr>
            <w:tcW w:w="3402" w:type="dxa"/>
          </w:tcPr>
          <w:p w:rsidRPr="00240730" w:rsidR="00CC0232" w:rsidP="00240730" w:rsidRDefault="00CC0232">
            <w:pPr>
              <w:jc w:val="center"/>
              <w:rPr>
                <w:rFonts w:ascii="Times New Roman" w:hAnsi="Times New Roman" w:eastAsia="Times New Roman" w:cs="Times New Roman"/>
                <w:sz w:val="16"/>
                <w:szCs w:val="16"/>
              </w:rPr>
            </w:pPr>
            <w:r w:rsidRPr="00240730">
              <w:rPr>
                <w:rFonts w:ascii="Times New Roman" w:hAnsi="Times New Roman" w:eastAsia="Times New Roman" w:cs="Times New Roman"/>
                <w:sz w:val="16"/>
                <w:szCs w:val="16"/>
              </w:rPr>
              <w:t>25/12/2008 granted (first instance)</w:t>
            </w:r>
          </w:p>
          <w:p w:rsidRPr="00240730" w:rsidR="00CC0232" w:rsidP="00240730" w:rsidRDefault="00CC0232">
            <w:pPr>
              <w:jc w:val="center"/>
              <w:rPr>
                <w:sz w:val="16"/>
                <w:szCs w:val="16"/>
              </w:rPr>
            </w:pPr>
            <w:r w:rsidRPr="00240730">
              <w:rPr>
                <w:rFonts w:ascii="Times New Roman" w:hAnsi="Times New Roman" w:eastAsia="Times New Roman" w:cs="Times New Roman"/>
                <w:sz w:val="16"/>
                <w:szCs w:val="16"/>
              </w:rPr>
              <w:t>09/06/2009 quashed on appeal, request disallowed</w:t>
            </w:r>
          </w:p>
        </w:tc>
        <w:tc>
          <w:tcPr>
            <w:tcW w:w="2126" w:type="dxa"/>
          </w:tcPr>
          <w:p w:rsidRPr="00240730" w:rsidR="00CC0232" w:rsidP="00240730" w:rsidRDefault="00CC0232">
            <w:pPr>
              <w:spacing w:after="120"/>
              <w:jc w:val="center"/>
              <w:rPr>
                <w:sz w:val="16"/>
                <w:szCs w:val="16"/>
              </w:rPr>
            </w:pPr>
            <w:r w:rsidRPr="00240730">
              <w:rPr>
                <w:sz w:val="16"/>
                <w:szCs w:val="16"/>
              </w:rPr>
              <w:t>17/06/2010</w:t>
            </w:r>
          </w:p>
          <w:p w:rsidRPr="00240730" w:rsidR="00CC0232" w:rsidP="00240730" w:rsidRDefault="00CC0232">
            <w:pPr>
              <w:jc w:val="center"/>
              <w:rPr>
                <w:sz w:val="16"/>
                <w:szCs w:val="16"/>
              </w:rPr>
            </w:pPr>
            <w:r w:rsidRPr="00240730">
              <w:rPr>
                <w:sz w:val="16"/>
                <w:szCs w:val="16"/>
              </w:rPr>
              <w:t>RUB 6,947 (EUR 182)</w:t>
            </w:r>
          </w:p>
        </w:tc>
        <w:tc>
          <w:tcPr>
            <w:tcW w:w="993" w:type="dxa"/>
          </w:tcPr>
          <w:p w:rsidRPr="00240730" w:rsidR="00CC0232" w:rsidP="00240730" w:rsidRDefault="00CC0232">
            <w:pPr>
              <w:jc w:val="center"/>
              <w:rPr>
                <w:sz w:val="16"/>
                <w:szCs w:val="16"/>
              </w:rPr>
            </w:pPr>
            <w:r w:rsidRPr="00240730">
              <w:rPr>
                <w:sz w:val="16"/>
                <w:szCs w:val="16"/>
              </w:rPr>
              <w:t>n/a</w:t>
            </w:r>
          </w:p>
        </w:tc>
        <w:tc>
          <w:tcPr>
            <w:tcW w:w="1417" w:type="dxa"/>
          </w:tcPr>
          <w:p w:rsidRPr="00240730" w:rsidR="00CC0232" w:rsidP="00240730" w:rsidRDefault="00CC0232">
            <w:pPr>
              <w:jc w:val="center"/>
              <w:rPr>
                <w:sz w:val="16"/>
                <w:szCs w:val="16"/>
              </w:rPr>
            </w:pPr>
            <w:r w:rsidRPr="00240730">
              <w:rPr>
                <w:sz w:val="16"/>
                <w:szCs w:val="16"/>
              </w:rPr>
              <w:t>n/a</w:t>
            </w:r>
          </w:p>
        </w:tc>
      </w:tr>
    </w:tbl>
    <w:p w:rsidRPr="00240730" w:rsidR="008D442D" w:rsidP="00240730" w:rsidRDefault="003865BB">
      <w:pPr>
        <w:pStyle w:val="JuTitle"/>
        <w:spacing w:before="480" w:after="0"/>
      </w:pPr>
      <w:r w:rsidRPr="00240730">
        <w:t>Appendix </w:t>
      </w:r>
      <w:r w:rsidRPr="00240730" w:rsidR="0069423E">
        <w:t>III</w:t>
      </w:r>
    </w:p>
    <w:p w:rsidRPr="00240730" w:rsidR="00151227" w:rsidP="00240730" w:rsidRDefault="00151227">
      <w:pPr>
        <w:pStyle w:val="ECHRPara"/>
      </w:pPr>
    </w:p>
    <w:p w:rsidRPr="00240730" w:rsidR="00B52073" w:rsidP="00240730" w:rsidRDefault="00B52073">
      <w:pPr>
        <w:pStyle w:val="ECHRPara"/>
        <w:spacing w:after="120"/>
        <w:jc w:val="center"/>
        <w:rPr>
          <w:b/>
        </w:rPr>
      </w:pPr>
      <w:r w:rsidRPr="00240730">
        <w:rPr>
          <w:b/>
        </w:rPr>
        <w:t>The applicants</w:t>
      </w:r>
      <w:r w:rsidRPr="00240730" w:rsidR="00240730">
        <w:rPr>
          <w:b/>
        </w:rPr>
        <w:t>’</w:t>
      </w:r>
      <w:r w:rsidRPr="00240730">
        <w:rPr>
          <w:b/>
        </w:rPr>
        <w:t xml:space="preserve"> claims in respect of pecuniary damage and the Court</w:t>
      </w:r>
      <w:r w:rsidRPr="00240730" w:rsidR="00240730">
        <w:rPr>
          <w:b/>
        </w:rPr>
        <w:t>’</w:t>
      </w:r>
      <w:r w:rsidRPr="00240730">
        <w:rPr>
          <w:b/>
        </w:rPr>
        <w:t>s award under this head</w:t>
      </w:r>
    </w:p>
    <w:tbl>
      <w:tblPr>
        <w:tblStyle w:val="ECHRListTable"/>
        <w:tblW w:w="14176"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5E0" w:firstRow="1" w:lastRow="1" w:firstColumn="1" w:lastColumn="1" w:noHBand="0" w:noVBand="1"/>
      </w:tblPr>
      <w:tblGrid>
        <w:gridCol w:w="426"/>
        <w:gridCol w:w="1418"/>
        <w:gridCol w:w="1701"/>
        <w:gridCol w:w="8363"/>
        <w:gridCol w:w="2268"/>
      </w:tblGrid>
      <w:tr w:rsidRPr="00240730" w:rsidR="0038057A" w:rsidTr="003172FE">
        <w:trPr>
          <w:cnfStyle w:val="100000000000" w:firstRow="1" w:lastRow="0" w:firstColumn="0" w:lastColumn="0" w:oddVBand="0" w:evenVBand="0" w:oddHBand="0" w:evenHBand="0" w:firstRowFirstColumn="0" w:firstRowLastColumn="0" w:lastRowFirstColumn="0" w:lastRowLastColumn="0"/>
          <w:cantSplit/>
          <w:trHeight w:val="572"/>
        </w:trPr>
        <w:tc>
          <w:tcPr>
            <w:tcW w:w="426" w:type="dxa"/>
            <w:tcBorders>
              <w:top w:val="single" w:color="auto" w:sz="4" w:space="0"/>
              <w:left w:val="single" w:color="auto" w:sz="4" w:space="0"/>
              <w:bottom w:val="single" w:color="auto" w:sz="4" w:space="0"/>
              <w:right w:val="single" w:color="auto" w:sz="4" w:space="0"/>
            </w:tcBorders>
            <w:vAlign w:val="center"/>
          </w:tcPr>
          <w:p w:rsidRPr="00240730" w:rsidR="0038057A" w:rsidP="00240730" w:rsidRDefault="0038057A">
            <w:pPr>
              <w:ind w:left="-108"/>
              <w:jc w:val="center"/>
              <w:rPr>
                <w:sz w:val="16"/>
                <w:szCs w:val="16"/>
              </w:rPr>
            </w:pPr>
            <w:r w:rsidRPr="00240730">
              <w:rPr>
                <w:sz w:val="16"/>
                <w:szCs w:val="16"/>
              </w:rPr>
              <w:t>No.</w:t>
            </w:r>
          </w:p>
        </w:tc>
        <w:tc>
          <w:tcPr>
            <w:tcW w:w="1418" w:type="dxa"/>
            <w:tcBorders>
              <w:top w:val="single" w:color="auto" w:sz="4" w:space="0"/>
              <w:left w:val="single" w:color="auto" w:sz="4" w:space="0"/>
              <w:bottom w:val="single" w:color="auto" w:sz="4" w:space="0"/>
              <w:right w:val="single" w:color="auto" w:sz="4" w:space="0"/>
            </w:tcBorders>
            <w:vAlign w:val="center"/>
          </w:tcPr>
          <w:p w:rsidRPr="00240730" w:rsidR="000956F6" w:rsidP="00240730" w:rsidRDefault="000956F6">
            <w:pPr>
              <w:jc w:val="center"/>
              <w:rPr>
                <w:sz w:val="16"/>
                <w:szCs w:val="16"/>
                <w:u w:val="single"/>
              </w:rPr>
            </w:pPr>
            <w:r w:rsidRPr="00240730">
              <w:rPr>
                <w:sz w:val="16"/>
                <w:szCs w:val="16"/>
                <w:u w:val="single"/>
              </w:rPr>
              <w:t>Column no.1</w:t>
            </w:r>
          </w:p>
          <w:p w:rsidRPr="00240730" w:rsidR="0038057A" w:rsidP="00240730" w:rsidRDefault="0038057A">
            <w:pPr>
              <w:ind w:left="-108"/>
              <w:jc w:val="center"/>
              <w:rPr>
                <w:sz w:val="16"/>
                <w:szCs w:val="16"/>
              </w:rPr>
            </w:pPr>
            <w:r w:rsidRPr="00240730">
              <w:rPr>
                <w:sz w:val="16"/>
                <w:szCs w:val="16"/>
              </w:rPr>
              <w:t>Application</w:t>
            </w:r>
          </w:p>
        </w:tc>
        <w:tc>
          <w:tcPr>
            <w:tcW w:w="1701" w:type="dxa"/>
            <w:tcBorders>
              <w:top w:val="single" w:color="auto" w:sz="4" w:space="0"/>
              <w:left w:val="single" w:color="auto" w:sz="4" w:space="0"/>
              <w:bottom w:val="single" w:color="auto" w:sz="4" w:space="0"/>
              <w:right w:val="single" w:color="auto" w:sz="4" w:space="0"/>
            </w:tcBorders>
            <w:vAlign w:val="center"/>
          </w:tcPr>
          <w:p w:rsidRPr="00240730" w:rsidR="000956F6" w:rsidP="00240730" w:rsidRDefault="000956F6">
            <w:pPr>
              <w:jc w:val="center"/>
              <w:rPr>
                <w:sz w:val="16"/>
                <w:szCs w:val="16"/>
                <w:u w:val="single"/>
              </w:rPr>
            </w:pPr>
            <w:r w:rsidRPr="00240730">
              <w:rPr>
                <w:sz w:val="16"/>
                <w:szCs w:val="16"/>
                <w:u w:val="single"/>
              </w:rPr>
              <w:t>Column no.2</w:t>
            </w:r>
          </w:p>
          <w:p w:rsidRPr="00240730" w:rsidR="0038057A" w:rsidP="00240730" w:rsidRDefault="0038057A">
            <w:pPr>
              <w:ind w:left="-108"/>
              <w:jc w:val="center"/>
              <w:rPr>
                <w:sz w:val="16"/>
                <w:szCs w:val="16"/>
              </w:rPr>
            </w:pPr>
            <w:r w:rsidRPr="00240730">
              <w:rPr>
                <w:sz w:val="16"/>
                <w:szCs w:val="16"/>
              </w:rPr>
              <w:t>Applicant</w:t>
            </w:r>
          </w:p>
        </w:tc>
        <w:tc>
          <w:tcPr>
            <w:tcW w:w="8363" w:type="dxa"/>
            <w:tcBorders>
              <w:top w:val="single" w:color="auto" w:sz="4" w:space="0"/>
              <w:left w:val="single" w:color="auto" w:sz="4" w:space="0"/>
              <w:bottom w:val="single" w:color="auto" w:sz="4" w:space="0"/>
              <w:right w:val="single" w:color="auto" w:sz="4" w:space="0"/>
            </w:tcBorders>
            <w:vAlign w:val="center"/>
          </w:tcPr>
          <w:p w:rsidRPr="00240730" w:rsidR="000956F6" w:rsidP="00240730" w:rsidRDefault="000956F6">
            <w:pPr>
              <w:jc w:val="center"/>
              <w:rPr>
                <w:sz w:val="16"/>
                <w:szCs w:val="16"/>
                <w:u w:val="single"/>
              </w:rPr>
            </w:pPr>
            <w:r w:rsidRPr="00240730">
              <w:rPr>
                <w:sz w:val="16"/>
                <w:szCs w:val="16"/>
                <w:u w:val="single"/>
              </w:rPr>
              <w:t>Column no.3</w:t>
            </w:r>
          </w:p>
          <w:p w:rsidRPr="00240730" w:rsidR="0038057A" w:rsidP="00240730" w:rsidRDefault="0038057A">
            <w:pPr>
              <w:ind w:left="-108"/>
              <w:jc w:val="center"/>
              <w:rPr>
                <w:sz w:val="16"/>
                <w:szCs w:val="16"/>
              </w:rPr>
            </w:pPr>
            <w:r w:rsidRPr="00240730">
              <w:rPr>
                <w:sz w:val="16"/>
                <w:szCs w:val="16"/>
              </w:rPr>
              <w:t>The applicant</w:t>
            </w:r>
            <w:r w:rsidRPr="00240730" w:rsidR="00240730">
              <w:rPr>
                <w:sz w:val="16"/>
                <w:szCs w:val="16"/>
              </w:rPr>
              <w:t>’</w:t>
            </w:r>
            <w:r w:rsidRPr="00240730">
              <w:rPr>
                <w:sz w:val="16"/>
                <w:szCs w:val="16"/>
              </w:rPr>
              <w:t>s claims in respect of pecuniary damage (RUB)/(EUR)</w:t>
            </w:r>
          </w:p>
        </w:tc>
        <w:tc>
          <w:tcPr>
            <w:tcW w:w="2268" w:type="dxa"/>
            <w:tcBorders>
              <w:top w:val="single" w:color="auto" w:sz="4" w:space="0"/>
              <w:left w:val="single" w:color="auto" w:sz="4" w:space="0"/>
              <w:bottom w:val="single" w:color="auto" w:sz="4" w:space="0"/>
              <w:right w:val="single" w:color="auto" w:sz="4" w:space="0"/>
            </w:tcBorders>
            <w:vAlign w:val="center"/>
          </w:tcPr>
          <w:p w:rsidRPr="00240730" w:rsidR="000956F6" w:rsidP="00240730" w:rsidRDefault="000956F6">
            <w:pPr>
              <w:jc w:val="center"/>
              <w:rPr>
                <w:sz w:val="16"/>
                <w:szCs w:val="16"/>
                <w:u w:val="single"/>
              </w:rPr>
            </w:pPr>
            <w:r w:rsidRPr="00240730">
              <w:rPr>
                <w:sz w:val="16"/>
                <w:szCs w:val="16"/>
                <w:u w:val="single"/>
              </w:rPr>
              <w:t>Column no.4</w:t>
            </w:r>
          </w:p>
          <w:p w:rsidRPr="00240730" w:rsidR="0038057A" w:rsidP="00240730" w:rsidRDefault="0038057A">
            <w:pPr>
              <w:ind w:left="-108"/>
              <w:jc w:val="center"/>
              <w:rPr>
                <w:sz w:val="16"/>
                <w:szCs w:val="16"/>
              </w:rPr>
            </w:pPr>
            <w:r w:rsidRPr="00240730">
              <w:rPr>
                <w:sz w:val="16"/>
                <w:szCs w:val="16"/>
              </w:rPr>
              <w:t>The Court</w:t>
            </w:r>
            <w:r w:rsidRPr="00240730" w:rsidR="00240730">
              <w:rPr>
                <w:sz w:val="16"/>
                <w:szCs w:val="16"/>
              </w:rPr>
              <w:t>’</w:t>
            </w:r>
            <w:r w:rsidRPr="00240730">
              <w:rPr>
                <w:sz w:val="16"/>
                <w:szCs w:val="16"/>
              </w:rPr>
              <w:t>s award in respect of pecuniary damage, plus any tax that may be chargeable</w:t>
            </w:r>
          </w:p>
          <w:p w:rsidRPr="00240730" w:rsidR="0038057A" w:rsidP="00240730" w:rsidRDefault="0038057A">
            <w:pPr>
              <w:spacing w:after="120"/>
              <w:jc w:val="center"/>
              <w:rPr>
                <w:sz w:val="16"/>
                <w:szCs w:val="16"/>
              </w:rPr>
            </w:pPr>
            <w:r w:rsidRPr="00240730">
              <w:rPr>
                <w:sz w:val="16"/>
                <w:szCs w:val="16"/>
              </w:rPr>
              <w:t>(EUR)</w:t>
            </w:r>
          </w:p>
        </w:tc>
      </w:tr>
      <w:tr w:rsidRPr="00240730" w:rsidR="0038057A" w:rsidTr="003172FE">
        <w:trPr>
          <w:cantSplit/>
          <w:trHeight w:val="424"/>
        </w:trPr>
        <w:tc>
          <w:tcPr>
            <w:tcW w:w="426" w:type="dxa"/>
            <w:tcBorders>
              <w:top w:val="single" w:color="auto" w:sz="4" w:space="0"/>
            </w:tcBorders>
          </w:tcPr>
          <w:p w:rsidRPr="00240730" w:rsidR="0038057A" w:rsidP="00240730" w:rsidRDefault="0038057A">
            <w:pPr>
              <w:jc w:val="center"/>
              <w:rPr>
                <w:sz w:val="16"/>
                <w:szCs w:val="16"/>
              </w:rPr>
            </w:pPr>
            <w:r w:rsidRPr="00240730">
              <w:rPr>
                <w:sz w:val="16"/>
                <w:szCs w:val="16"/>
              </w:rPr>
              <w:t>1.</w:t>
            </w:r>
          </w:p>
        </w:tc>
        <w:tc>
          <w:tcPr>
            <w:tcW w:w="1418" w:type="dxa"/>
            <w:tcBorders>
              <w:top w:val="single" w:color="auto" w:sz="4" w:space="0"/>
            </w:tcBorders>
          </w:tcPr>
          <w:p w:rsidRPr="00240730" w:rsidR="0038057A" w:rsidP="00240730" w:rsidRDefault="0038057A">
            <w:pPr>
              <w:jc w:val="center"/>
              <w:rPr>
                <w:sz w:val="16"/>
                <w:szCs w:val="16"/>
              </w:rPr>
            </w:pPr>
            <w:r w:rsidRPr="00240730">
              <w:rPr>
                <w:sz w:val="16"/>
                <w:szCs w:val="16"/>
              </w:rPr>
              <w:t>64098/09</w:t>
            </w:r>
          </w:p>
          <w:p w:rsidRPr="00240730" w:rsidR="0038057A" w:rsidP="00240730" w:rsidRDefault="0038057A">
            <w:pPr>
              <w:jc w:val="center"/>
              <w:rPr>
                <w:sz w:val="16"/>
                <w:szCs w:val="16"/>
              </w:rPr>
            </w:pPr>
          </w:p>
        </w:tc>
        <w:tc>
          <w:tcPr>
            <w:tcW w:w="1701" w:type="dxa"/>
            <w:tcBorders>
              <w:top w:val="single" w:color="auto" w:sz="4" w:space="0"/>
            </w:tcBorders>
          </w:tcPr>
          <w:p w:rsidRPr="00240730" w:rsidR="0038057A" w:rsidP="00240730" w:rsidRDefault="0038057A">
            <w:pPr>
              <w:jc w:val="center"/>
              <w:rPr>
                <w:sz w:val="16"/>
                <w:szCs w:val="16"/>
              </w:rPr>
            </w:pPr>
            <w:r w:rsidRPr="00240730">
              <w:rPr>
                <w:b/>
                <w:sz w:val="16"/>
                <w:szCs w:val="16"/>
              </w:rPr>
              <w:t xml:space="preserve">Viktor </w:t>
            </w:r>
            <w:proofErr w:type="spellStart"/>
            <w:r w:rsidRPr="00240730">
              <w:rPr>
                <w:b/>
                <w:sz w:val="16"/>
                <w:szCs w:val="16"/>
              </w:rPr>
              <w:t>Ivanovich</w:t>
            </w:r>
            <w:proofErr w:type="spellEnd"/>
            <w:r w:rsidRPr="00240730">
              <w:rPr>
                <w:b/>
                <w:sz w:val="16"/>
                <w:szCs w:val="16"/>
              </w:rPr>
              <w:t xml:space="preserve"> KUZHELEV</w:t>
            </w:r>
          </w:p>
        </w:tc>
        <w:tc>
          <w:tcPr>
            <w:tcW w:w="8363" w:type="dxa"/>
            <w:tcBorders>
              <w:top w:val="single" w:color="auto" w:sz="4" w:space="0"/>
            </w:tcBorders>
          </w:tcPr>
          <w:p w:rsidRPr="00240730" w:rsidR="0038057A" w:rsidP="00240730" w:rsidRDefault="0038057A">
            <w:pPr>
              <w:pStyle w:val="ListParagraph"/>
              <w:numPr>
                <w:ilvl w:val="0"/>
                <w:numId w:val="31"/>
              </w:numPr>
              <w:ind w:left="176" w:firstLine="0"/>
              <w:jc w:val="left"/>
              <w:rPr>
                <w:sz w:val="16"/>
                <w:szCs w:val="16"/>
              </w:rPr>
            </w:pPr>
            <w:r w:rsidRPr="00240730">
              <w:rPr>
                <w:sz w:val="16"/>
                <w:szCs w:val="16"/>
              </w:rPr>
              <w:t>RUB 34,916(EUR 981</w:t>
            </w:r>
            <w:r w:rsidRPr="00240730">
              <w:rPr>
                <w:rStyle w:val="FootnoteReference"/>
                <w:sz w:val="16"/>
                <w:szCs w:val="16"/>
              </w:rPr>
              <w:footnoteReference w:id="5"/>
            </w:r>
            <w:r w:rsidRPr="00240730">
              <w:rPr>
                <w:sz w:val="16"/>
                <w:szCs w:val="16"/>
              </w:rPr>
              <w:t xml:space="preserve">) unpaid debt under the court order of </w:t>
            </w:r>
            <w:r w:rsidRPr="00240730">
              <w:rPr>
                <w:rFonts w:ascii="Times New Roman" w:hAnsi="Times New Roman" w:eastAsia="Times New Roman" w:cs="Times New Roman"/>
                <w:sz w:val="16"/>
                <w:szCs w:val="16"/>
              </w:rPr>
              <w:t>09/10/2008</w:t>
            </w:r>
            <w:r w:rsidRPr="00240730">
              <w:rPr>
                <w:sz w:val="16"/>
                <w:szCs w:val="16"/>
              </w:rPr>
              <w:t>;</w:t>
            </w:r>
          </w:p>
          <w:p w:rsidRPr="00240730" w:rsidR="0038057A" w:rsidP="00240730" w:rsidRDefault="0038057A">
            <w:pPr>
              <w:pStyle w:val="ListParagraph"/>
              <w:numPr>
                <w:ilvl w:val="0"/>
                <w:numId w:val="31"/>
              </w:numPr>
              <w:ind w:left="176" w:firstLine="0"/>
              <w:jc w:val="left"/>
              <w:rPr>
                <w:sz w:val="16"/>
                <w:szCs w:val="16"/>
              </w:rPr>
            </w:pPr>
            <w:r w:rsidRPr="00240730">
              <w:rPr>
                <w:sz w:val="16"/>
                <w:szCs w:val="16"/>
              </w:rPr>
              <w:t>RUB 6,213 (EUR 162</w:t>
            </w:r>
            <w:r w:rsidRPr="00240730">
              <w:rPr>
                <w:rStyle w:val="FootnoteReference"/>
                <w:sz w:val="16"/>
                <w:szCs w:val="16"/>
              </w:rPr>
              <w:footnoteReference w:id="6"/>
            </w:r>
            <w:r w:rsidRPr="00240730">
              <w:rPr>
                <w:sz w:val="16"/>
                <w:szCs w:val="16"/>
              </w:rPr>
              <w:t>) index-linking of the above debt as ordered by the court; “index-linking up to 31/07/2017”;</w:t>
            </w:r>
          </w:p>
          <w:p w:rsidRPr="00240730" w:rsidR="0038057A" w:rsidP="00240730" w:rsidRDefault="0038057A">
            <w:pPr>
              <w:pStyle w:val="ListParagraph"/>
              <w:numPr>
                <w:ilvl w:val="0"/>
                <w:numId w:val="31"/>
              </w:numPr>
              <w:ind w:left="176" w:firstLine="0"/>
              <w:jc w:val="left"/>
              <w:rPr>
                <w:sz w:val="16"/>
                <w:szCs w:val="16"/>
              </w:rPr>
            </w:pPr>
            <w:r w:rsidRPr="00240730">
              <w:rPr>
                <w:sz w:val="16"/>
                <w:szCs w:val="16"/>
              </w:rPr>
              <w:t>RUB </w:t>
            </w:r>
            <w:proofErr w:type="gramStart"/>
            <w:r w:rsidRPr="00240730">
              <w:rPr>
                <w:sz w:val="16"/>
                <w:szCs w:val="16"/>
              </w:rPr>
              <w:t>11,753 (EUR 260</w:t>
            </w:r>
            <w:r w:rsidRPr="00240730">
              <w:rPr>
                <w:rStyle w:val="FootnoteReference"/>
                <w:sz w:val="16"/>
                <w:szCs w:val="16"/>
              </w:rPr>
              <w:footnoteReference w:id="7"/>
            </w:r>
            <w:r w:rsidRPr="00240730">
              <w:rPr>
                <w:sz w:val="16"/>
                <w:szCs w:val="16"/>
              </w:rPr>
              <w:t>) compensation for forced absence</w:t>
            </w:r>
            <w:proofErr w:type="gramEnd"/>
            <w:r w:rsidRPr="00240730">
              <w:rPr>
                <w:sz w:val="16"/>
                <w:szCs w:val="16"/>
              </w:rPr>
              <w:t>.</w:t>
            </w:r>
          </w:p>
          <w:p w:rsidRPr="00240730" w:rsidR="0038057A" w:rsidP="00240730" w:rsidRDefault="0038057A">
            <w:pPr>
              <w:pStyle w:val="ListParagraph"/>
              <w:ind w:left="176"/>
              <w:jc w:val="left"/>
              <w:rPr>
                <w:sz w:val="16"/>
                <w:szCs w:val="16"/>
              </w:rPr>
            </w:pPr>
          </w:p>
        </w:tc>
        <w:tc>
          <w:tcPr>
            <w:tcW w:w="2268" w:type="dxa"/>
            <w:tcBorders>
              <w:top w:val="single" w:color="auto" w:sz="4" w:space="0"/>
            </w:tcBorders>
          </w:tcPr>
          <w:p w:rsidRPr="00240730" w:rsidR="0038057A" w:rsidP="00240730" w:rsidRDefault="0038057A">
            <w:pPr>
              <w:jc w:val="center"/>
              <w:rPr>
                <w:sz w:val="16"/>
                <w:szCs w:val="16"/>
              </w:rPr>
            </w:pPr>
            <w:r w:rsidRPr="00240730">
              <w:rPr>
                <w:sz w:val="16"/>
                <w:szCs w:val="16"/>
              </w:rPr>
              <w:t>1,143</w:t>
            </w:r>
          </w:p>
        </w:tc>
      </w:tr>
      <w:tr w:rsidRPr="00240730" w:rsidR="0038057A" w:rsidTr="00EA6FA4">
        <w:trPr>
          <w:cantSplit/>
          <w:trHeight w:val="222"/>
        </w:trPr>
        <w:tc>
          <w:tcPr>
            <w:tcW w:w="426" w:type="dxa"/>
          </w:tcPr>
          <w:p w:rsidRPr="00240730" w:rsidR="0038057A" w:rsidP="00240730" w:rsidRDefault="0038057A">
            <w:pPr>
              <w:jc w:val="center"/>
              <w:rPr>
                <w:sz w:val="16"/>
                <w:szCs w:val="16"/>
              </w:rPr>
            </w:pPr>
            <w:r w:rsidRPr="00240730">
              <w:rPr>
                <w:sz w:val="16"/>
                <w:szCs w:val="16"/>
              </w:rPr>
              <w:t>2.</w:t>
            </w:r>
          </w:p>
        </w:tc>
        <w:tc>
          <w:tcPr>
            <w:tcW w:w="1418" w:type="dxa"/>
          </w:tcPr>
          <w:p w:rsidRPr="00240730" w:rsidR="0038057A" w:rsidP="00240730" w:rsidRDefault="0038057A">
            <w:pPr>
              <w:jc w:val="center"/>
              <w:rPr>
                <w:sz w:val="16"/>
                <w:szCs w:val="16"/>
              </w:rPr>
            </w:pPr>
            <w:r w:rsidRPr="00240730">
              <w:rPr>
                <w:sz w:val="16"/>
                <w:szCs w:val="16"/>
              </w:rPr>
              <w:t>64891/09</w:t>
            </w:r>
          </w:p>
          <w:p w:rsidRPr="00240730" w:rsidR="0038057A" w:rsidP="00240730" w:rsidRDefault="0038057A">
            <w:pPr>
              <w:jc w:val="center"/>
              <w:rPr>
                <w:sz w:val="16"/>
                <w:szCs w:val="16"/>
              </w:rPr>
            </w:pPr>
          </w:p>
        </w:tc>
        <w:tc>
          <w:tcPr>
            <w:tcW w:w="1701" w:type="dxa"/>
          </w:tcPr>
          <w:p w:rsidRPr="00240730" w:rsidR="0038057A" w:rsidP="00240730" w:rsidRDefault="0038057A">
            <w:pPr>
              <w:jc w:val="center"/>
              <w:rPr>
                <w:sz w:val="16"/>
                <w:szCs w:val="16"/>
              </w:rPr>
            </w:pPr>
            <w:r w:rsidRPr="00240730">
              <w:rPr>
                <w:b/>
                <w:sz w:val="16"/>
                <w:szCs w:val="16"/>
              </w:rPr>
              <w:t xml:space="preserve">Yelena </w:t>
            </w:r>
            <w:proofErr w:type="spellStart"/>
            <w:r w:rsidRPr="00240730">
              <w:rPr>
                <w:b/>
                <w:sz w:val="16"/>
                <w:szCs w:val="16"/>
              </w:rPr>
              <w:t>Feodosyevna</w:t>
            </w:r>
            <w:proofErr w:type="spellEnd"/>
            <w:r w:rsidRPr="00240730">
              <w:rPr>
                <w:b/>
                <w:sz w:val="16"/>
                <w:szCs w:val="16"/>
              </w:rPr>
              <w:t xml:space="preserve"> PAVLOVA</w:t>
            </w:r>
          </w:p>
        </w:tc>
        <w:tc>
          <w:tcPr>
            <w:tcW w:w="8363" w:type="dxa"/>
          </w:tcPr>
          <w:p w:rsidRPr="00240730" w:rsidR="0038057A" w:rsidP="00240730" w:rsidRDefault="0038057A">
            <w:pPr>
              <w:pStyle w:val="ListParagraph"/>
              <w:numPr>
                <w:ilvl w:val="0"/>
                <w:numId w:val="33"/>
              </w:numPr>
              <w:ind w:hanging="544"/>
              <w:jc w:val="left"/>
              <w:rPr>
                <w:rFonts w:ascii="Times New Roman" w:hAnsi="Times New Roman" w:eastAsia="Times New Roman" w:cs="Times New Roman"/>
                <w:sz w:val="16"/>
                <w:szCs w:val="16"/>
              </w:rPr>
            </w:pPr>
            <w:r w:rsidRPr="00240730">
              <w:rPr>
                <w:sz w:val="16"/>
                <w:szCs w:val="16"/>
              </w:rPr>
              <w:t xml:space="preserve">RUB 30,856(EUR 892) unpaid debt under the court order of </w:t>
            </w:r>
            <w:r w:rsidRPr="00240730">
              <w:rPr>
                <w:rFonts w:ascii="Times New Roman" w:hAnsi="Times New Roman" w:eastAsia="Times New Roman" w:cs="Times New Roman"/>
                <w:sz w:val="16"/>
                <w:szCs w:val="16"/>
              </w:rPr>
              <w:t>24/10/2008;</w:t>
            </w:r>
          </w:p>
          <w:p w:rsidRPr="00240730" w:rsidR="0038057A" w:rsidP="00240730" w:rsidRDefault="0038057A">
            <w:pPr>
              <w:pStyle w:val="ListParagraph"/>
              <w:numPr>
                <w:ilvl w:val="0"/>
                <w:numId w:val="31"/>
              </w:numPr>
              <w:ind w:left="176" w:firstLine="0"/>
              <w:jc w:val="left"/>
              <w:rPr>
                <w:sz w:val="16"/>
                <w:szCs w:val="16"/>
              </w:rPr>
            </w:pPr>
            <w:r w:rsidRPr="00240730">
              <w:rPr>
                <w:sz w:val="16"/>
                <w:szCs w:val="16"/>
              </w:rPr>
              <w:t>RUB 5,981 (EUR 156) index-linking of the above debt as ordered by the court; “index-linking up to 31/07/2017”;</w:t>
            </w:r>
          </w:p>
          <w:p w:rsidRPr="00240730" w:rsidR="0038057A" w:rsidP="00240730" w:rsidRDefault="0038057A">
            <w:pPr>
              <w:pStyle w:val="ListParagraph"/>
              <w:numPr>
                <w:ilvl w:val="0"/>
                <w:numId w:val="31"/>
              </w:numPr>
              <w:ind w:left="176" w:firstLine="0"/>
              <w:jc w:val="left"/>
              <w:rPr>
                <w:sz w:val="16"/>
                <w:szCs w:val="16"/>
              </w:rPr>
            </w:pPr>
            <w:r w:rsidRPr="00240730">
              <w:rPr>
                <w:sz w:val="16"/>
                <w:szCs w:val="16"/>
              </w:rPr>
              <w:t>Unspecified amount, fair compensation for forced absence.</w:t>
            </w:r>
          </w:p>
          <w:p w:rsidRPr="00240730" w:rsidR="0038057A" w:rsidP="00240730" w:rsidRDefault="0038057A">
            <w:pPr>
              <w:pStyle w:val="ListParagraph"/>
              <w:ind w:left="176"/>
              <w:jc w:val="left"/>
              <w:rPr>
                <w:sz w:val="16"/>
                <w:szCs w:val="16"/>
              </w:rPr>
            </w:pPr>
          </w:p>
        </w:tc>
        <w:tc>
          <w:tcPr>
            <w:tcW w:w="2268" w:type="dxa"/>
          </w:tcPr>
          <w:p w:rsidRPr="00240730" w:rsidR="0038057A" w:rsidP="00240730" w:rsidRDefault="0038057A">
            <w:pPr>
              <w:jc w:val="center"/>
              <w:rPr>
                <w:sz w:val="16"/>
                <w:szCs w:val="16"/>
              </w:rPr>
            </w:pPr>
            <w:r w:rsidRPr="00240730">
              <w:rPr>
                <w:sz w:val="16"/>
                <w:szCs w:val="16"/>
              </w:rPr>
              <w:t>1,048</w:t>
            </w:r>
          </w:p>
        </w:tc>
      </w:tr>
      <w:tr w:rsidRPr="00240730" w:rsidR="0038057A" w:rsidTr="00EA6FA4">
        <w:trPr>
          <w:cantSplit/>
          <w:trHeight w:val="204"/>
        </w:trPr>
        <w:tc>
          <w:tcPr>
            <w:tcW w:w="426" w:type="dxa"/>
          </w:tcPr>
          <w:p w:rsidRPr="00240730" w:rsidR="0038057A" w:rsidP="00240730" w:rsidRDefault="0038057A">
            <w:pPr>
              <w:jc w:val="center"/>
              <w:rPr>
                <w:sz w:val="16"/>
                <w:szCs w:val="16"/>
              </w:rPr>
            </w:pPr>
            <w:r w:rsidRPr="00240730">
              <w:rPr>
                <w:sz w:val="16"/>
                <w:szCs w:val="16"/>
              </w:rPr>
              <w:t>3.</w:t>
            </w:r>
          </w:p>
        </w:tc>
        <w:tc>
          <w:tcPr>
            <w:tcW w:w="1418" w:type="dxa"/>
          </w:tcPr>
          <w:p w:rsidRPr="00240730" w:rsidR="0038057A" w:rsidP="00240730" w:rsidRDefault="0038057A">
            <w:pPr>
              <w:jc w:val="center"/>
              <w:rPr>
                <w:sz w:val="16"/>
                <w:szCs w:val="16"/>
              </w:rPr>
            </w:pPr>
            <w:r w:rsidRPr="00240730">
              <w:rPr>
                <w:sz w:val="16"/>
                <w:szCs w:val="16"/>
              </w:rPr>
              <w:t>65418/09</w:t>
            </w:r>
          </w:p>
          <w:p w:rsidRPr="00240730" w:rsidR="0038057A" w:rsidP="00240730" w:rsidRDefault="0038057A">
            <w:pPr>
              <w:jc w:val="center"/>
              <w:rPr>
                <w:sz w:val="16"/>
                <w:szCs w:val="16"/>
              </w:rPr>
            </w:pPr>
          </w:p>
        </w:tc>
        <w:tc>
          <w:tcPr>
            <w:tcW w:w="1701" w:type="dxa"/>
          </w:tcPr>
          <w:p w:rsidRPr="00240730" w:rsidR="0038057A" w:rsidP="00240730" w:rsidRDefault="0038057A">
            <w:pPr>
              <w:jc w:val="center"/>
              <w:rPr>
                <w:sz w:val="16"/>
                <w:szCs w:val="16"/>
              </w:rPr>
            </w:pPr>
            <w:proofErr w:type="spellStart"/>
            <w:r w:rsidRPr="00240730">
              <w:rPr>
                <w:b/>
                <w:sz w:val="16"/>
                <w:szCs w:val="16"/>
              </w:rPr>
              <w:t>Valeriy</w:t>
            </w:r>
            <w:proofErr w:type="spellEnd"/>
            <w:r w:rsidRPr="00240730">
              <w:rPr>
                <w:b/>
                <w:sz w:val="16"/>
                <w:szCs w:val="16"/>
              </w:rPr>
              <w:t xml:space="preserve"> </w:t>
            </w:r>
            <w:proofErr w:type="spellStart"/>
            <w:r w:rsidRPr="00240730">
              <w:rPr>
                <w:b/>
                <w:sz w:val="16"/>
                <w:szCs w:val="16"/>
              </w:rPr>
              <w:t>Mikhaylovich</w:t>
            </w:r>
            <w:proofErr w:type="spellEnd"/>
            <w:r w:rsidRPr="00240730">
              <w:rPr>
                <w:b/>
                <w:sz w:val="16"/>
                <w:szCs w:val="16"/>
              </w:rPr>
              <w:t xml:space="preserve"> SMIRNOV</w:t>
            </w:r>
          </w:p>
        </w:tc>
        <w:tc>
          <w:tcPr>
            <w:tcW w:w="8363" w:type="dxa"/>
          </w:tcPr>
          <w:p w:rsidRPr="00240730" w:rsidR="0038057A" w:rsidP="00240730" w:rsidRDefault="0038057A">
            <w:pPr>
              <w:pStyle w:val="ListParagraph"/>
              <w:numPr>
                <w:ilvl w:val="0"/>
                <w:numId w:val="31"/>
              </w:numPr>
              <w:ind w:left="176" w:firstLine="0"/>
              <w:jc w:val="left"/>
              <w:rPr>
                <w:sz w:val="16"/>
                <w:szCs w:val="16"/>
              </w:rPr>
            </w:pPr>
            <w:r w:rsidRPr="00240730">
              <w:rPr>
                <w:sz w:val="16"/>
                <w:szCs w:val="16"/>
              </w:rPr>
              <w:t>RUB 15,128 of salary arrears in respect of July 2008, paid in late 2010;</w:t>
            </w:r>
          </w:p>
          <w:p w:rsidRPr="00240730" w:rsidR="0038057A" w:rsidP="00240730" w:rsidRDefault="0038057A">
            <w:pPr>
              <w:pStyle w:val="ListParagraph"/>
              <w:numPr>
                <w:ilvl w:val="0"/>
                <w:numId w:val="31"/>
              </w:numPr>
              <w:ind w:left="176" w:firstLine="0"/>
              <w:jc w:val="left"/>
              <w:rPr>
                <w:sz w:val="16"/>
                <w:szCs w:val="16"/>
              </w:rPr>
            </w:pPr>
            <w:r w:rsidRPr="00240730">
              <w:rPr>
                <w:sz w:val="16"/>
                <w:szCs w:val="16"/>
              </w:rPr>
              <w:t>RUB 41,955 of salary arrears in respect of August 2008, paid in late 2010;</w:t>
            </w:r>
          </w:p>
          <w:p w:rsidRPr="00240730" w:rsidR="0038057A" w:rsidP="00240730" w:rsidRDefault="0038057A">
            <w:pPr>
              <w:pStyle w:val="ListParagraph"/>
              <w:numPr>
                <w:ilvl w:val="0"/>
                <w:numId w:val="31"/>
              </w:numPr>
              <w:ind w:left="176" w:firstLine="0"/>
              <w:jc w:val="left"/>
              <w:rPr>
                <w:sz w:val="16"/>
                <w:szCs w:val="16"/>
              </w:rPr>
            </w:pPr>
            <w:r w:rsidRPr="00240730">
              <w:rPr>
                <w:sz w:val="16"/>
                <w:szCs w:val="16"/>
              </w:rPr>
              <w:t xml:space="preserve">RUB 51,000 in compensation for his registration with a local employment </w:t>
            </w:r>
            <w:proofErr w:type="spellStart"/>
            <w:r w:rsidRPr="00240730">
              <w:rPr>
                <w:sz w:val="16"/>
                <w:szCs w:val="16"/>
              </w:rPr>
              <w:t>center</w:t>
            </w:r>
            <w:proofErr w:type="spellEnd"/>
            <w:r w:rsidRPr="00240730">
              <w:rPr>
                <w:sz w:val="16"/>
                <w:szCs w:val="16"/>
              </w:rPr>
              <w:t>;</w:t>
            </w:r>
          </w:p>
          <w:p w:rsidRPr="00240730" w:rsidR="0038057A" w:rsidP="00240730" w:rsidRDefault="0038057A">
            <w:pPr>
              <w:pStyle w:val="ListParagraph"/>
              <w:numPr>
                <w:ilvl w:val="0"/>
                <w:numId w:val="31"/>
              </w:numPr>
              <w:ind w:left="176" w:firstLine="0"/>
              <w:jc w:val="left"/>
              <w:rPr>
                <w:sz w:val="16"/>
                <w:szCs w:val="16"/>
              </w:rPr>
            </w:pPr>
            <w:r w:rsidRPr="00240730">
              <w:rPr>
                <w:sz w:val="16"/>
                <w:szCs w:val="16"/>
              </w:rPr>
              <w:t>RUB 112,983 of compensation for forced absence;</w:t>
            </w:r>
          </w:p>
          <w:p w:rsidRPr="00240730" w:rsidR="0038057A" w:rsidP="00240730" w:rsidRDefault="0038057A">
            <w:pPr>
              <w:pStyle w:val="ListParagraph"/>
              <w:numPr>
                <w:ilvl w:val="0"/>
                <w:numId w:val="31"/>
              </w:numPr>
              <w:ind w:left="176" w:firstLine="0"/>
              <w:jc w:val="left"/>
              <w:rPr>
                <w:sz w:val="16"/>
                <w:szCs w:val="16"/>
              </w:rPr>
            </w:pPr>
            <w:r w:rsidRPr="00240730">
              <w:rPr>
                <w:sz w:val="16"/>
                <w:szCs w:val="16"/>
              </w:rPr>
              <w:t>RUB 12,825 (EUR 206) in respect of index-linking as ordered by the decision of 11/04/2011.</w:t>
            </w:r>
          </w:p>
          <w:p w:rsidRPr="00240730" w:rsidR="0038057A" w:rsidP="00240730" w:rsidRDefault="0038057A">
            <w:pPr>
              <w:jc w:val="left"/>
              <w:rPr>
                <w:sz w:val="16"/>
                <w:szCs w:val="16"/>
              </w:rPr>
            </w:pPr>
          </w:p>
        </w:tc>
        <w:tc>
          <w:tcPr>
            <w:tcW w:w="2268" w:type="dxa"/>
          </w:tcPr>
          <w:p w:rsidRPr="00240730" w:rsidR="0038057A" w:rsidP="00240730" w:rsidRDefault="0038057A">
            <w:pPr>
              <w:jc w:val="center"/>
              <w:rPr>
                <w:sz w:val="16"/>
                <w:szCs w:val="16"/>
              </w:rPr>
            </w:pPr>
            <w:r w:rsidRPr="00240730">
              <w:rPr>
                <w:sz w:val="16"/>
                <w:szCs w:val="16"/>
              </w:rPr>
              <w:t>0</w:t>
            </w:r>
          </w:p>
        </w:tc>
      </w:tr>
      <w:tr w:rsidRPr="00240730" w:rsidR="00CC0232" w:rsidTr="00EA6FA4">
        <w:trPr>
          <w:cantSplit/>
          <w:trHeight w:val="204"/>
        </w:trPr>
        <w:tc>
          <w:tcPr>
            <w:tcW w:w="426" w:type="dxa"/>
          </w:tcPr>
          <w:p w:rsidRPr="00240730" w:rsidR="00CC0232" w:rsidP="00240730" w:rsidRDefault="00CC0232">
            <w:pPr>
              <w:jc w:val="center"/>
              <w:rPr>
                <w:sz w:val="16"/>
                <w:szCs w:val="16"/>
              </w:rPr>
            </w:pPr>
            <w:r w:rsidRPr="00240730">
              <w:rPr>
                <w:sz w:val="16"/>
                <w:szCs w:val="16"/>
              </w:rPr>
              <w:t>4.</w:t>
            </w:r>
          </w:p>
        </w:tc>
        <w:tc>
          <w:tcPr>
            <w:tcW w:w="1418" w:type="dxa"/>
          </w:tcPr>
          <w:p w:rsidRPr="00240730" w:rsidR="00CC0232" w:rsidP="00240730" w:rsidRDefault="00CC0232">
            <w:pPr>
              <w:jc w:val="center"/>
              <w:rPr>
                <w:sz w:val="16"/>
                <w:szCs w:val="16"/>
              </w:rPr>
            </w:pPr>
            <w:r w:rsidRPr="00240730">
              <w:rPr>
                <w:sz w:val="16"/>
                <w:szCs w:val="16"/>
              </w:rPr>
              <w:t>66035/09</w:t>
            </w:r>
          </w:p>
          <w:p w:rsidRPr="00240730" w:rsidR="00CC0232" w:rsidP="00240730" w:rsidRDefault="00CC0232">
            <w:pPr>
              <w:jc w:val="center"/>
              <w:rPr>
                <w:sz w:val="16"/>
                <w:szCs w:val="16"/>
              </w:rPr>
            </w:pPr>
          </w:p>
        </w:tc>
        <w:tc>
          <w:tcPr>
            <w:tcW w:w="1701" w:type="dxa"/>
          </w:tcPr>
          <w:p w:rsidRPr="00240730" w:rsidR="00CC0232" w:rsidP="00240730" w:rsidRDefault="00CC0232">
            <w:pPr>
              <w:jc w:val="center"/>
              <w:rPr>
                <w:sz w:val="16"/>
                <w:szCs w:val="16"/>
              </w:rPr>
            </w:pPr>
            <w:r w:rsidRPr="00240730">
              <w:rPr>
                <w:b/>
                <w:sz w:val="16"/>
                <w:szCs w:val="16"/>
              </w:rPr>
              <w:t xml:space="preserve">Galina </w:t>
            </w:r>
            <w:proofErr w:type="spellStart"/>
            <w:r w:rsidRPr="00240730">
              <w:rPr>
                <w:b/>
                <w:sz w:val="16"/>
                <w:szCs w:val="16"/>
              </w:rPr>
              <w:t>Yevgenyevna</w:t>
            </w:r>
            <w:proofErr w:type="spellEnd"/>
            <w:r w:rsidRPr="00240730">
              <w:rPr>
                <w:b/>
                <w:sz w:val="16"/>
                <w:szCs w:val="16"/>
              </w:rPr>
              <w:t xml:space="preserve"> KUDRYASHOVA</w:t>
            </w:r>
          </w:p>
        </w:tc>
        <w:tc>
          <w:tcPr>
            <w:tcW w:w="8363" w:type="dxa"/>
          </w:tcPr>
          <w:p w:rsidRPr="00240730" w:rsidR="00CC0232" w:rsidP="00240730" w:rsidRDefault="00CC0232">
            <w:pPr>
              <w:pStyle w:val="ListParagraph"/>
              <w:numPr>
                <w:ilvl w:val="0"/>
                <w:numId w:val="31"/>
              </w:numPr>
              <w:ind w:left="176" w:firstLine="0"/>
              <w:jc w:val="left"/>
              <w:rPr>
                <w:sz w:val="16"/>
                <w:szCs w:val="16"/>
              </w:rPr>
            </w:pPr>
            <w:r w:rsidRPr="00240730">
              <w:rPr>
                <w:sz w:val="16"/>
                <w:szCs w:val="16"/>
              </w:rPr>
              <w:t xml:space="preserve">RUB 25,993.65(EUR 634) unpaid debt under the court order of </w:t>
            </w:r>
            <w:r w:rsidRPr="00240730">
              <w:rPr>
                <w:rFonts w:ascii="Times New Roman" w:hAnsi="Times New Roman" w:eastAsia="Times New Roman" w:cs="Times New Roman"/>
                <w:sz w:val="16"/>
                <w:szCs w:val="16"/>
              </w:rPr>
              <w:t>23/10/2008;</w:t>
            </w:r>
          </w:p>
          <w:p w:rsidRPr="00240730" w:rsidR="00CC0232" w:rsidP="00240730" w:rsidRDefault="00CC0232">
            <w:pPr>
              <w:pStyle w:val="ListParagraph"/>
              <w:numPr>
                <w:ilvl w:val="0"/>
                <w:numId w:val="31"/>
              </w:numPr>
              <w:ind w:left="176" w:firstLine="0"/>
              <w:jc w:val="left"/>
              <w:rPr>
                <w:sz w:val="16"/>
                <w:szCs w:val="16"/>
              </w:rPr>
            </w:pPr>
            <w:r w:rsidRPr="00240730">
              <w:rPr>
                <w:sz w:val="16"/>
                <w:szCs w:val="16"/>
              </w:rPr>
              <w:t>RUB 5,440 (EUR 79</w:t>
            </w:r>
            <w:r w:rsidRPr="00240730">
              <w:rPr>
                <w:rStyle w:val="FootnoteReference"/>
                <w:sz w:val="16"/>
                <w:szCs w:val="16"/>
              </w:rPr>
              <w:footnoteReference w:id="8"/>
            </w:r>
            <w:r w:rsidRPr="00240730">
              <w:rPr>
                <w:sz w:val="16"/>
                <w:szCs w:val="16"/>
              </w:rPr>
              <w:t>) index-linking up to 31/07/2017, as calculated by the applicant;</w:t>
            </w:r>
          </w:p>
          <w:p w:rsidRPr="00240730" w:rsidR="00CC0232" w:rsidP="00240730" w:rsidRDefault="00CC0232">
            <w:pPr>
              <w:pStyle w:val="ListParagraph"/>
              <w:numPr>
                <w:ilvl w:val="0"/>
                <w:numId w:val="31"/>
              </w:numPr>
              <w:ind w:left="176" w:firstLine="0"/>
              <w:jc w:val="left"/>
              <w:rPr>
                <w:sz w:val="16"/>
                <w:szCs w:val="16"/>
              </w:rPr>
            </w:pPr>
            <w:r w:rsidRPr="00240730">
              <w:rPr>
                <w:sz w:val="16"/>
                <w:szCs w:val="16"/>
              </w:rPr>
              <w:t>RUB 12,390 (EUR 181) compensation for forced absence;</w:t>
            </w:r>
          </w:p>
          <w:p w:rsidRPr="00240730" w:rsidR="00CC0232" w:rsidP="00240730" w:rsidRDefault="00CC0232">
            <w:pPr>
              <w:pStyle w:val="ListParagraph"/>
              <w:numPr>
                <w:ilvl w:val="0"/>
                <w:numId w:val="31"/>
              </w:numPr>
              <w:ind w:left="176" w:firstLine="0"/>
              <w:jc w:val="left"/>
              <w:rPr>
                <w:sz w:val="16"/>
                <w:szCs w:val="16"/>
              </w:rPr>
            </w:pPr>
            <w:r w:rsidRPr="00240730">
              <w:rPr>
                <w:sz w:val="16"/>
                <w:szCs w:val="16"/>
              </w:rPr>
              <w:t>RUB 14,479 (EUR 211) of payments for January-April 2009.</w:t>
            </w:r>
          </w:p>
          <w:p w:rsidRPr="00240730" w:rsidR="00CC0232" w:rsidP="00240730" w:rsidRDefault="00CC0232">
            <w:pPr>
              <w:jc w:val="left"/>
              <w:rPr>
                <w:sz w:val="16"/>
                <w:szCs w:val="16"/>
              </w:rPr>
            </w:pPr>
          </w:p>
        </w:tc>
        <w:tc>
          <w:tcPr>
            <w:tcW w:w="2268" w:type="dxa"/>
          </w:tcPr>
          <w:p w:rsidRPr="00240730" w:rsidR="00CC0232" w:rsidP="00240730" w:rsidRDefault="00CC0232">
            <w:pPr>
              <w:jc w:val="center"/>
              <w:rPr>
                <w:sz w:val="16"/>
                <w:szCs w:val="16"/>
              </w:rPr>
            </w:pPr>
            <w:r w:rsidRPr="00240730">
              <w:rPr>
                <w:sz w:val="16"/>
                <w:szCs w:val="16"/>
              </w:rPr>
              <w:t>634</w:t>
            </w:r>
          </w:p>
        </w:tc>
      </w:tr>
      <w:tr w:rsidRPr="00240730" w:rsidR="00CC0232" w:rsidTr="00EA6FA4">
        <w:trPr>
          <w:cantSplit/>
          <w:trHeight w:val="373"/>
        </w:trPr>
        <w:tc>
          <w:tcPr>
            <w:tcW w:w="426" w:type="dxa"/>
          </w:tcPr>
          <w:p w:rsidRPr="00240730" w:rsidR="00CC0232" w:rsidP="00240730" w:rsidRDefault="00CC0232">
            <w:pPr>
              <w:jc w:val="center"/>
              <w:rPr>
                <w:sz w:val="16"/>
                <w:szCs w:val="16"/>
              </w:rPr>
            </w:pPr>
            <w:r w:rsidRPr="00240730">
              <w:rPr>
                <w:sz w:val="16"/>
                <w:szCs w:val="16"/>
              </w:rPr>
              <w:t>5.</w:t>
            </w:r>
          </w:p>
        </w:tc>
        <w:tc>
          <w:tcPr>
            <w:tcW w:w="1418" w:type="dxa"/>
          </w:tcPr>
          <w:p w:rsidRPr="00240730" w:rsidR="00CC0232" w:rsidP="00240730" w:rsidRDefault="00CC0232">
            <w:pPr>
              <w:jc w:val="center"/>
              <w:rPr>
                <w:sz w:val="16"/>
                <w:szCs w:val="16"/>
              </w:rPr>
            </w:pPr>
            <w:r w:rsidRPr="00240730">
              <w:rPr>
                <w:sz w:val="16"/>
                <w:szCs w:val="16"/>
              </w:rPr>
              <w:t>67406/09</w:t>
            </w:r>
          </w:p>
          <w:p w:rsidRPr="00240730" w:rsidR="00CC0232" w:rsidP="00240730" w:rsidRDefault="00CC0232">
            <w:pPr>
              <w:jc w:val="center"/>
              <w:rPr>
                <w:sz w:val="16"/>
                <w:szCs w:val="16"/>
              </w:rPr>
            </w:pPr>
          </w:p>
        </w:tc>
        <w:tc>
          <w:tcPr>
            <w:tcW w:w="1701" w:type="dxa"/>
          </w:tcPr>
          <w:p w:rsidRPr="00240730" w:rsidR="00CC0232" w:rsidP="00240730" w:rsidRDefault="00CC0232">
            <w:pPr>
              <w:jc w:val="center"/>
              <w:rPr>
                <w:b/>
                <w:sz w:val="16"/>
                <w:szCs w:val="16"/>
              </w:rPr>
            </w:pPr>
            <w:r w:rsidRPr="00240730">
              <w:rPr>
                <w:b/>
                <w:sz w:val="16"/>
                <w:szCs w:val="16"/>
              </w:rPr>
              <w:t xml:space="preserve">Vera </w:t>
            </w:r>
            <w:proofErr w:type="spellStart"/>
            <w:r w:rsidRPr="00240730">
              <w:rPr>
                <w:b/>
                <w:sz w:val="16"/>
                <w:szCs w:val="16"/>
              </w:rPr>
              <w:t>Alekseyevna</w:t>
            </w:r>
            <w:proofErr w:type="spellEnd"/>
            <w:r w:rsidRPr="00240730">
              <w:rPr>
                <w:b/>
                <w:sz w:val="16"/>
                <w:szCs w:val="16"/>
              </w:rPr>
              <w:t xml:space="preserve"> PETROVA</w:t>
            </w:r>
          </w:p>
        </w:tc>
        <w:tc>
          <w:tcPr>
            <w:tcW w:w="8363" w:type="dxa"/>
          </w:tcPr>
          <w:p w:rsidRPr="00240730" w:rsidR="00CC0232" w:rsidP="00240730" w:rsidRDefault="00CC0232">
            <w:pPr>
              <w:pStyle w:val="ListParagraph"/>
              <w:numPr>
                <w:ilvl w:val="0"/>
                <w:numId w:val="34"/>
              </w:numPr>
              <w:ind w:hanging="545"/>
              <w:jc w:val="left"/>
              <w:rPr>
                <w:rFonts w:ascii="Times New Roman" w:hAnsi="Times New Roman" w:eastAsia="Times New Roman" w:cs="Times New Roman"/>
                <w:sz w:val="16"/>
                <w:szCs w:val="16"/>
              </w:rPr>
            </w:pPr>
            <w:r w:rsidRPr="00240730">
              <w:rPr>
                <w:sz w:val="16"/>
                <w:szCs w:val="16"/>
              </w:rPr>
              <w:t xml:space="preserve">RUB 35,197(EUR 1,020) unpaid debt under the court order of </w:t>
            </w:r>
            <w:r w:rsidRPr="00240730">
              <w:rPr>
                <w:rFonts w:ascii="Times New Roman" w:hAnsi="Times New Roman" w:eastAsia="Times New Roman" w:cs="Times New Roman"/>
                <w:sz w:val="16"/>
                <w:szCs w:val="16"/>
              </w:rPr>
              <w:t>30/10/2008</w:t>
            </w:r>
            <w:r w:rsidRPr="00240730">
              <w:rPr>
                <w:sz w:val="16"/>
                <w:szCs w:val="16"/>
              </w:rPr>
              <w:t>;</w:t>
            </w:r>
          </w:p>
          <w:p w:rsidRPr="00240730" w:rsidR="00CC0232" w:rsidP="00240730" w:rsidRDefault="00CC0232">
            <w:pPr>
              <w:pStyle w:val="ListParagraph"/>
              <w:numPr>
                <w:ilvl w:val="0"/>
                <w:numId w:val="31"/>
              </w:numPr>
              <w:ind w:left="176" w:firstLine="0"/>
              <w:jc w:val="left"/>
              <w:rPr>
                <w:sz w:val="16"/>
                <w:szCs w:val="16"/>
              </w:rPr>
            </w:pPr>
            <w:r w:rsidRPr="00240730">
              <w:rPr>
                <w:sz w:val="16"/>
                <w:szCs w:val="16"/>
              </w:rPr>
              <w:t>RUB 6,932 (EUR 181) index-linking of the above debt as ordered by the court; “index-linking up to 31/07/2017”;</w:t>
            </w:r>
          </w:p>
          <w:p w:rsidRPr="00240730" w:rsidR="00CC0232" w:rsidP="00240730" w:rsidRDefault="00CC0232">
            <w:pPr>
              <w:pStyle w:val="ListParagraph"/>
              <w:numPr>
                <w:ilvl w:val="0"/>
                <w:numId w:val="31"/>
              </w:numPr>
              <w:ind w:left="176" w:firstLine="0"/>
              <w:jc w:val="left"/>
              <w:rPr>
                <w:sz w:val="16"/>
                <w:szCs w:val="16"/>
              </w:rPr>
            </w:pPr>
            <w:r w:rsidRPr="00240730">
              <w:rPr>
                <w:sz w:val="16"/>
                <w:szCs w:val="16"/>
              </w:rPr>
              <w:t>RUB </w:t>
            </w:r>
            <w:proofErr w:type="gramStart"/>
            <w:r w:rsidRPr="00240730">
              <w:rPr>
                <w:sz w:val="16"/>
                <w:szCs w:val="16"/>
              </w:rPr>
              <w:t>51,845 (EUR 1,502) compensation for forced absence</w:t>
            </w:r>
            <w:proofErr w:type="gramEnd"/>
            <w:r w:rsidRPr="00240730">
              <w:rPr>
                <w:sz w:val="16"/>
                <w:szCs w:val="16"/>
              </w:rPr>
              <w:t>.</w:t>
            </w:r>
          </w:p>
          <w:p w:rsidRPr="00240730" w:rsidR="00CC0232" w:rsidP="00240730" w:rsidRDefault="00CC0232">
            <w:pPr>
              <w:pStyle w:val="ListParagraph"/>
              <w:ind w:left="176"/>
              <w:jc w:val="left"/>
              <w:rPr>
                <w:b/>
                <w:sz w:val="16"/>
                <w:szCs w:val="16"/>
              </w:rPr>
            </w:pPr>
          </w:p>
        </w:tc>
        <w:tc>
          <w:tcPr>
            <w:tcW w:w="2268" w:type="dxa"/>
          </w:tcPr>
          <w:p w:rsidRPr="00240730" w:rsidR="00CC0232" w:rsidP="00240730" w:rsidRDefault="00CC0232">
            <w:pPr>
              <w:jc w:val="center"/>
              <w:rPr>
                <w:b/>
                <w:sz w:val="16"/>
                <w:szCs w:val="16"/>
              </w:rPr>
            </w:pPr>
            <w:r w:rsidRPr="00240730">
              <w:rPr>
                <w:sz w:val="16"/>
                <w:szCs w:val="16"/>
              </w:rPr>
              <w:t>1,201</w:t>
            </w:r>
          </w:p>
        </w:tc>
      </w:tr>
      <w:tr w:rsidRPr="00240730" w:rsidR="00CC0232" w:rsidTr="00EA6FA4">
        <w:trPr>
          <w:cantSplit/>
          <w:trHeight w:val="222"/>
        </w:trPr>
        <w:tc>
          <w:tcPr>
            <w:tcW w:w="426" w:type="dxa"/>
          </w:tcPr>
          <w:p w:rsidRPr="00240730" w:rsidR="00CC0232" w:rsidP="00240730" w:rsidRDefault="00CC0232">
            <w:pPr>
              <w:jc w:val="center"/>
              <w:rPr>
                <w:sz w:val="16"/>
                <w:szCs w:val="16"/>
              </w:rPr>
            </w:pPr>
            <w:r w:rsidRPr="00240730">
              <w:rPr>
                <w:sz w:val="16"/>
                <w:szCs w:val="16"/>
              </w:rPr>
              <w:t>6.</w:t>
            </w:r>
          </w:p>
        </w:tc>
        <w:tc>
          <w:tcPr>
            <w:tcW w:w="1418" w:type="dxa"/>
          </w:tcPr>
          <w:p w:rsidRPr="00240730" w:rsidR="00CC0232" w:rsidP="00240730" w:rsidRDefault="00CC0232">
            <w:pPr>
              <w:jc w:val="center"/>
              <w:rPr>
                <w:sz w:val="16"/>
                <w:szCs w:val="16"/>
              </w:rPr>
            </w:pPr>
            <w:r w:rsidRPr="00240730">
              <w:rPr>
                <w:sz w:val="16"/>
                <w:szCs w:val="16"/>
              </w:rPr>
              <w:t>67697/09</w:t>
            </w:r>
          </w:p>
          <w:p w:rsidRPr="00240730" w:rsidR="00CC0232" w:rsidP="00240730" w:rsidRDefault="00CC0232">
            <w:pPr>
              <w:jc w:val="center"/>
              <w:rPr>
                <w:sz w:val="16"/>
                <w:szCs w:val="16"/>
              </w:rPr>
            </w:pPr>
          </w:p>
        </w:tc>
        <w:tc>
          <w:tcPr>
            <w:tcW w:w="1701" w:type="dxa"/>
          </w:tcPr>
          <w:p w:rsidRPr="00240730" w:rsidR="00CC0232" w:rsidP="00240730" w:rsidRDefault="00CC0232">
            <w:pPr>
              <w:jc w:val="center"/>
              <w:rPr>
                <w:sz w:val="16"/>
                <w:szCs w:val="16"/>
              </w:rPr>
            </w:pPr>
            <w:r w:rsidRPr="00240730">
              <w:rPr>
                <w:b/>
                <w:sz w:val="16"/>
                <w:szCs w:val="16"/>
              </w:rPr>
              <w:t xml:space="preserve">Natalya </w:t>
            </w:r>
            <w:proofErr w:type="spellStart"/>
            <w:r w:rsidRPr="00240730">
              <w:rPr>
                <w:b/>
                <w:sz w:val="16"/>
                <w:szCs w:val="16"/>
              </w:rPr>
              <w:t>Leonidovna</w:t>
            </w:r>
            <w:proofErr w:type="spellEnd"/>
            <w:r w:rsidRPr="00240730">
              <w:rPr>
                <w:b/>
                <w:sz w:val="16"/>
                <w:szCs w:val="16"/>
              </w:rPr>
              <w:t xml:space="preserve"> LEBEDEVA</w:t>
            </w:r>
          </w:p>
        </w:tc>
        <w:tc>
          <w:tcPr>
            <w:tcW w:w="8363" w:type="dxa"/>
          </w:tcPr>
          <w:p w:rsidRPr="00240730" w:rsidR="00CC0232" w:rsidP="00240730" w:rsidRDefault="00CC0232">
            <w:pPr>
              <w:pStyle w:val="ListParagraph"/>
              <w:numPr>
                <w:ilvl w:val="0"/>
                <w:numId w:val="31"/>
              </w:numPr>
              <w:ind w:left="176" w:firstLine="0"/>
              <w:jc w:val="left"/>
              <w:rPr>
                <w:sz w:val="16"/>
                <w:szCs w:val="16"/>
              </w:rPr>
            </w:pPr>
            <w:r w:rsidRPr="00240730">
              <w:rPr>
                <w:sz w:val="16"/>
                <w:szCs w:val="16"/>
              </w:rPr>
              <w:t>RUB 35,874(EUR 1,028) unpaid debt under the court order of 25/11/2008;</w:t>
            </w:r>
          </w:p>
          <w:p w:rsidRPr="00240730" w:rsidR="00CC0232" w:rsidP="00240730" w:rsidRDefault="00CC0232">
            <w:pPr>
              <w:pStyle w:val="ListParagraph"/>
              <w:numPr>
                <w:ilvl w:val="0"/>
                <w:numId w:val="31"/>
              </w:numPr>
              <w:ind w:left="176" w:firstLine="0"/>
              <w:jc w:val="left"/>
              <w:rPr>
                <w:sz w:val="16"/>
                <w:szCs w:val="16"/>
              </w:rPr>
            </w:pPr>
            <w:r w:rsidRPr="00240730">
              <w:rPr>
                <w:sz w:val="16"/>
                <w:szCs w:val="16"/>
              </w:rPr>
              <w:t>RUB 7,045 (EUR 178) index-linking of the debt as ordered by the court; “index-linking up to 31/07/2017”;</w:t>
            </w:r>
          </w:p>
          <w:p w:rsidRPr="00240730" w:rsidR="00CC0232" w:rsidP="00240730" w:rsidRDefault="00CC0232">
            <w:pPr>
              <w:pStyle w:val="ListParagraph"/>
              <w:numPr>
                <w:ilvl w:val="0"/>
                <w:numId w:val="31"/>
              </w:numPr>
              <w:ind w:left="176" w:firstLine="0"/>
              <w:jc w:val="left"/>
              <w:rPr>
                <w:sz w:val="16"/>
                <w:szCs w:val="16"/>
              </w:rPr>
            </w:pPr>
            <w:r w:rsidRPr="00240730">
              <w:rPr>
                <w:sz w:val="16"/>
                <w:szCs w:val="16"/>
              </w:rPr>
              <w:t>RUB 12,390 (EUR 177) compensation for forced unemployment;</w:t>
            </w:r>
          </w:p>
          <w:p w:rsidRPr="00240730" w:rsidR="00CC0232" w:rsidP="00240730" w:rsidRDefault="00CC0232">
            <w:pPr>
              <w:pStyle w:val="ListParagraph"/>
              <w:numPr>
                <w:ilvl w:val="0"/>
                <w:numId w:val="31"/>
              </w:numPr>
              <w:ind w:left="176" w:firstLine="0"/>
              <w:jc w:val="left"/>
              <w:rPr>
                <w:sz w:val="16"/>
                <w:szCs w:val="16"/>
              </w:rPr>
            </w:pPr>
            <w:r w:rsidRPr="00240730">
              <w:rPr>
                <w:sz w:val="16"/>
                <w:szCs w:val="16"/>
              </w:rPr>
              <w:t>RUB 14,474 (EUR 206) of payments for January-April 2009.</w:t>
            </w:r>
          </w:p>
          <w:p w:rsidRPr="00240730" w:rsidR="00CC0232" w:rsidP="00240730" w:rsidRDefault="00CC0232">
            <w:pPr>
              <w:jc w:val="left"/>
              <w:rPr>
                <w:sz w:val="16"/>
                <w:szCs w:val="16"/>
              </w:rPr>
            </w:pPr>
          </w:p>
        </w:tc>
        <w:tc>
          <w:tcPr>
            <w:tcW w:w="2268" w:type="dxa"/>
          </w:tcPr>
          <w:p w:rsidRPr="00240730" w:rsidR="00CC0232" w:rsidP="00240730" w:rsidRDefault="00CC0232">
            <w:pPr>
              <w:jc w:val="center"/>
              <w:rPr>
                <w:sz w:val="16"/>
                <w:szCs w:val="16"/>
              </w:rPr>
            </w:pPr>
            <w:r w:rsidRPr="00240730">
              <w:rPr>
                <w:sz w:val="16"/>
                <w:szCs w:val="16"/>
              </w:rPr>
              <w:t>1,207</w:t>
            </w:r>
          </w:p>
        </w:tc>
      </w:tr>
      <w:tr w:rsidRPr="00240730" w:rsidR="00CC0232" w:rsidTr="00EA6FA4">
        <w:trPr>
          <w:cantSplit/>
          <w:trHeight w:val="424"/>
        </w:trPr>
        <w:tc>
          <w:tcPr>
            <w:tcW w:w="426" w:type="dxa"/>
          </w:tcPr>
          <w:p w:rsidRPr="00240730" w:rsidR="00CC0232" w:rsidP="00240730" w:rsidRDefault="00CC0232">
            <w:pPr>
              <w:jc w:val="center"/>
              <w:rPr>
                <w:sz w:val="16"/>
                <w:szCs w:val="16"/>
              </w:rPr>
            </w:pPr>
            <w:r w:rsidRPr="00240730">
              <w:rPr>
                <w:sz w:val="16"/>
                <w:szCs w:val="16"/>
              </w:rPr>
              <w:t>7.</w:t>
            </w:r>
          </w:p>
        </w:tc>
        <w:tc>
          <w:tcPr>
            <w:tcW w:w="1418" w:type="dxa"/>
          </w:tcPr>
          <w:p w:rsidRPr="00240730" w:rsidR="00CC0232" w:rsidP="00240730" w:rsidRDefault="00CC0232">
            <w:pPr>
              <w:jc w:val="center"/>
              <w:rPr>
                <w:sz w:val="16"/>
                <w:szCs w:val="16"/>
              </w:rPr>
            </w:pPr>
            <w:r w:rsidRPr="00240730">
              <w:rPr>
                <w:sz w:val="16"/>
                <w:szCs w:val="16"/>
              </w:rPr>
              <w:t>1504/10</w:t>
            </w:r>
          </w:p>
          <w:p w:rsidRPr="00240730" w:rsidR="00CC0232" w:rsidP="00240730" w:rsidRDefault="00CC0232">
            <w:pPr>
              <w:jc w:val="center"/>
              <w:rPr>
                <w:sz w:val="16"/>
                <w:szCs w:val="16"/>
              </w:rPr>
            </w:pPr>
          </w:p>
        </w:tc>
        <w:tc>
          <w:tcPr>
            <w:tcW w:w="1701" w:type="dxa"/>
          </w:tcPr>
          <w:p w:rsidRPr="00240730" w:rsidR="00CC0232" w:rsidP="00240730" w:rsidRDefault="00CC0232">
            <w:pPr>
              <w:jc w:val="center"/>
              <w:rPr>
                <w:sz w:val="16"/>
                <w:szCs w:val="16"/>
              </w:rPr>
            </w:pPr>
            <w:proofErr w:type="spellStart"/>
            <w:r w:rsidRPr="00240730">
              <w:rPr>
                <w:b/>
                <w:sz w:val="16"/>
                <w:szCs w:val="16"/>
              </w:rPr>
              <w:t>Valeriy</w:t>
            </w:r>
            <w:proofErr w:type="spellEnd"/>
            <w:r w:rsidRPr="00240730">
              <w:rPr>
                <w:b/>
                <w:sz w:val="16"/>
                <w:szCs w:val="16"/>
              </w:rPr>
              <w:t xml:space="preserve"> </w:t>
            </w:r>
            <w:proofErr w:type="spellStart"/>
            <w:r w:rsidRPr="00240730">
              <w:rPr>
                <w:b/>
                <w:sz w:val="16"/>
                <w:szCs w:val="16"/>
              </w:rPr>
              <w:t>Mikhaylovich</w:t>
            </w:r>
            <w:proofErr w:type="spellEnd"/>
            <w:r w:rsidRPr="00240730">
              <w:rPr>
                <w:b/>
                <w:sz w:val="16"/>
                <w:szCs w:val="16"/>
              </w:rPr>
              <w:t xml:space="preserve"> TOMILIN</w:t>
            </w:r>
          </w:p>
        </w:tc>
        <w:tc>
          <w:tcPr>
            <w:tcW w:w="8363" w:type="dxa"/>
          </w:tcPr>
          <w:p w:rsidRPr="00240730" w:rsidR="00CC0232" w:rsidP="00240730" w:rsidRDefault="00CC0232">
            <w:pPr>
              <w:pStyle w:val="ListParagraph"/>
              <w:numPr>
                <w:ilvl w:val="0"/>
                <w:numId w:val="31"/>
              </w:numPr>
              <w:ind w:left="176" w:firstLine="0"/>
              <w:jc w:val="left"/>
              <w:rPr>
                <w:sz w:val="16"/>
                <w:szCs w:val="16"/>
              </w:rPr>
            </w:pPr>
            <w:r w:rsidRPr="00240730">
              <w:rPr>
                <w:sz w:val="16"/>
                <w:szCs w:val="16"/>
              </w:rPr>
              <w:t xml:space="preserve">RUB 40.026 (EUR 1,124) unpaid debt under the court order of </w:t>
            </w:r>
            <w:r w:rsidRPr="00240730">
              <w:rPr>
                <w:rFonts w:ascii="Times New Roman" w:hAnsi="Times New Roman" w:eastAsia="Times New Roman" w:cs="Times New Roman"/>
                <w:sz w:val="16"/>
                <w:szCs w:val="16"/>
              </w:rPr>
              <w:t>09/10/2008</w:t>
            </w:r>
            <w:r w:rsidRPr="00240730">
              <w:rPr>
                <w:sz w:val="16"/>
                <w:szCs w:val="16"/>
              </w:rPr>
              <w:t>;</w:t>
            </w:r>
          </w:p>
          <w:p w:rsidRPr="00240730" w:rsidR="00CC0232" w:rsidP="00240730" w:rsidRDefault="00CC0232">
            <w:pPr>
              <w:pStyle w:val="ListParagraph"/>
              <w:numPr>
                <w:ilvl w:val="0"/>
                <w:numId w:val="31"/>
              </w:numPr>
              <w:ind w:left="176" w:firstLine="0"/>
              <w:jc w:val="left"/>
              <w:rPr>
                <w:sz w:val="16"/>
                <w:szCs w:val="16"/>
              </w:rPr>
            </w:pPr>
            <w:r w:rsidRPr="00240730">
              <w:rPr>
                <w:sz w:val="16"/>
                <w:szCs w:val="16"/>
              </w:rPr>
              <w:t>RUB 6,947 (EUR 182) index-linking of the debt as ordered by the court;</w:t>
            </w:r>
          </w:p>
          <w:p w:rsidRPr="00240730" w:rsidR="00CC0232" w:rsidP="00240730" w:rsidRDefault="00CC0232">
            <w:pPr>
              <w:pStyle w:val="ListParagraph"/>
              <w:numPr>
                <w:ilvl w:val="0"/>
                <w:numId w:val="31"/>
              </w:numPr>
              <w:ind w:left="176" w:firstLine="0"/>
              <w:jc w:val="left"/>
              <w:rPr>
                <w:sz w:val="16"/>
                <w:szCs w:val="16"/>
              </w:rPr>
            </w:pPr>
            <w:r w:rsidRPr="00240730">
              <w:rPr>
                <w:sz w:val="16"/>
                <w:szCs w:val="16"/>
              </w:rPr>
              <w:t>RUB 9,832 (EUR 144</w:t>
            </w:r>
            <w:r w:rsidRPr="00240730">
              <w:rPr>
                <w:rStyle w:val="FootnoteReference"/>
                <w:sz w:val="16"/>
                <w:szCs w:val="16"/>
              </w:rPr>
              <w:footnoteReference w:id="9"/>
            </w:r>
            <w:r w:rsidRPr="00240730">
              <w:rPr>
                <w:sz w:val="16"/>
                <w:szCs w:val="16"/>
              </w:rPr>
              <w:t>) further index-linking up to 31/07/2017, as calculated by the applicant;</w:t>
            </w:r>
          </w:p>
          <w:p w:rsidRPr="00240730" w:rsidR="00CC0232" w:rsidP="00240730" w:rsidRDefault="00CC0232">
            <w:pPr>
              <w:pStyle w:val="ListParagraph"/>
              <w:numPr>
                <w:ilvl w:val="0"/>
                <w:numId w:val="31"/>
              </w:numPr>
              <w:ind w:left="176" w:firstLine="0"/>
              <w:jc w:val="left"/>
              <w:rPr>
                <w:sz w:val="16"/>
                <w:szCs w:val="16"/>
              </w:rPr>
            </w:pPr>
            <w:r w:rsidRPr="00240730">
              <w:rPr>
                <w:sz w:val="16"/>
                <w:szCs w:val="16"/>
              </w:rPr>
              <w:t>RUB 20,179 (EUR 295) compensation for forced absence;</w:t>
            </w:r>
          </w:p>
          <w:p w:rsidRPr="00240730" w:rsidR="00CC0232" w:rsidP="00240730" w:rsidRDefault="00CC0232">
            <w:pPr>
              <w:pStyle w:val="ListParagraph"/>
              <w:numPr>
                <w:ilvl w:val="0"/>
                <w:numId w:val="31"/>
              </w:numPr>
              <w:ind w:left="176" w:firstLine="0"/>
              <w:jc w:val="left"/>
              <w:rPr>
                <w:sz w:val="16"/>
                <w:szCs w:val="16"/>
              </w:rPr>
            </w:pPr>
            <w:r w:rsidRPr="00240730">
              <w:rPr>
                <w:sz w:val="16"/>
                <w:szCs w:val="16"/>
              </w:rPr>
              <w:t>RUB 14,473 (EUR 211) payments for January-April 2009.</w:t>
            </w:r>
          </w:p>
          <w:p w:rsidRPr="00240730" w:rsidR="00CC0232" w:rsidP="00240730" w:rsidRDefault="00CC0232">
            <w:pPr>
              <w:jc w:val="left"/>
              <w:rPr>
                <w:sz w:val="16"/>
                <w:szCs w:val="16"/>
              </w:rPr>
            </w:pPr>
          </w:p>
        </w:tc>
        <w:tc>
          <w:tcPr>
            <w:tcW w:w="2268" w:type="dxa"/>
          </w:tcPr>
          <w:p w:rsidRPr="00240730" w:rsidR="00CC0232" w:rsidP="00240730" w:rsidRDefault="00CC0232">
            <w:pPr>
              <w:jc w:val="center"/>
              <w:rPr>
                <w:sz w:val="16"/>
                <w:szCs w:val="16"/>
              </w:rPr>
            </w:pPr>
            <w:r w:rsidRPr="00240730">
              <w:rPr>
                <w:sz w:val="16"/>
                <w:szCs w:val="16"/>
              </w:rPr>
              <w:t>1,206</w:t>
            </w:r>
          </w:p>
        </w:tc>
      </w:tr>
    </w:tbl>
    <w:p w:rsidRPr="00240730" w:rsidR="00315B31" w:rsidP="00240730" w:rsidRDefault="00315B31">
      <w:pPr>
        <w:jc w:val="left"/>
      </w:pPr>
    </w:p>
    <w:sectPr w:rsidRPr="00240730" w:rsidR="00315B31" w:rsidSect="000E032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036" w:rsidRPr="003152BA" w:rsidRDefault="00B27036" w:rsidP="00014566">
      <w:r w:rsidRPr="003152BA">
        <w:separator/>
      </w:r>
    </w:p>
  </w:endnote>
  <w:endnote w:type="continuationSeparator" w:id="0">
    <w:p w:rsidR="00B27036" w:rsidRPr="003152BA" w:rsidRDefault="00B27036" w:rsidP="00014566">
      <w:r w:rsidRPr="003152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ource Sans Pr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36" w:rsidRPr="00150BFA" w:rsidRDefault="00B27036" w:rsidP="000E0327">
    <w:pPr>
      <w:jc w:val="center"/>
    </w:pPr>
    <w:r>
      <w:rPr>
        <w:noProof/>
        <w:lang w:val="en-US" w:eastAsia="ja-JP"/>
      </w:rPr>
      <w:drawing>
        <wp:inline distT="0" distB="0" distL="0" distR="0" wp14:anchorId="10F02965" wp14:editId="6870CF52">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B27036" w:rsidRDefault="00B270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36" w:rsidRDefault="00B270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36" w:rsidRDefault="00B270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36" w:rsidRPr="00150BFA" w:rsidRDefault="00B27036" w:rsidP="000E0327">
    <w:pPr>
      <w:jc w:val="center"/>
    </w:pPr>
    <w:r>
      <w:rPr>
        <w:noProof/>
        <w:lang w:val="en-US" w:eastAsia="ja-JP"/>
      </w:rPr>
      <w:drawing>
        <wp:inline distT="0" distB="0" distL="0" distR="0" wp14:anchorId="323BC1FC" wp14:editId="398DB824">
          <wp:extent cx="771525" cy="619125"/>
          <wp:effectExtent l="0" t="0" r="9525" b="9525"/>
          <wp:docPr id="47" name="Picture 4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B27036" w:rsidRDefault="00B2703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36" w:rsidRDefault="00B2703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36" w:rsidRDefault="00B2703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36" w:rsidRPr="00150BFA" w:rsidRDefault="00B27036" w:rsidP="000E0327">
    <w:pPr>
      <w:jc w:val="center"/>
    </w:pPr>
    <w:r>
      <w:rPr>
        <w:noProof/>
        <w:lang w:val="en-US" w:eastAsia="ja-JP"/>
      </w:rPr>
      <w:drawing>
        <wp:inline distT="0" distB="0" distL="0" distR="0" wp14:anchorId="40EF4328" wp14:editId="35F03298">
          <wp:extent cx="771525" cy="619125"/>
          <wp:effectExtent l="0" t="0" r="9525" b="9525"/>
          <wp:docPr id="49" name="Picture 4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B27036" w:rsidRDefault="00B27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036" w:rsidRPr="003152BA" w:rsidRDefault="00B27036" w:rsidP="00014566">
      <w:r w:rsidRPr="003152BA">
        <w:separator/>
      </w:r>
    </w:p>
  </w:footnote>
  <w:footnote w:type="continuationSeparator" w:id="0">
    <w:p w:rsidR="00B27036" w:rsidRPr="003152BA" w:rsidRDefault="00B27036" w:rsidP="00014566">
      <w:r w:rsidRPr="003152BA">
        <w:continuationSeparator/>
      </w:r>
    </w:p>
  </w:footnote>
  <w:footnote w:id="1">
    <w:p w:rsidR="00B27036" w:rsidRPr="00D541FB" w:rsidRDefault="00B27036">
      <w:pPr>
        <w:pStyle w:val="FootnoteText"/>
      </w:pPr>
      <w:r w:rsidRPr="00E16A13">
        <w:rPr>
          <w:rStyle w:val="FootnoteReference"/>
          <w:vertAlign w:val="baseline"/>
        </w:rPr>
        <w:footnoteRef/>
      </w:r>
      <w:r>
        <w:t>.  </w:t>
      </w:r>
      <w:proofErr w:type="gramStart"/>
      <w:r>
        <w:t xml:space="preserve">Between </w:t>
      </w:r>
      <w:r w:rsidRPr="00D541FB">
        <w:rPr>
          <w:lang w:val="en"/>
        </w:rPr>
        <w:t>March 2004 and May 2008, “</w:t>
      </w:r>
      <w:r>
        <w:rPr>
          <w:lang w:val="en"/>
        </w:rPr>
        <w:t xml:space="preserve">the </w:t>
      </w:r>
      <w:r w:rsidRPr="00EB066D">
        <w:t>Federal</w:t>
      </w:r>
      <w:r>
        <w:t xml:space="preserve"> State Assets Management Agency</w:t>
      </w:r>
      <w:r w:rsidRPr="00D541FB">
        <w:rPr>
          <w:bCs/>
          <w:lang w:val="en"/>
        </w:rPr>
        <w:t>”.</w:t>
      </w:r>
      <w:proofErr w:type="gramEnd"/>
    </w:p>
  </w:footnote>
  <w:footnote w:id="2">
    <w:p w:rsidR="00B27036" w:rsidRDefault="00B27036">
      <w:pPr>
        <w:pStyle w:val="FootnoteText"/>
      </w:pPr>
      <w:r w:rsidRPr="00E16A13">
        <w:rPr>
          <w:rStyle w:val="FootnoteReference"/>
          <w:vertAlign w:val="baseline"/>
        </w:rPr>
        <w:footnoteRef/>
      </w:r>
      <w:r>
        <w:t>.  As summarised in the judgment of 29 March 2012 (see paragraph </w:t>
      </w:r>
      <w:r>
        <w:fldChar w:fldCharType="begin"/>
      </w:r>
      <w:r>
        <w:instrText xml:space="preserve"> REF OAOInsolvency29032012 \h </w:instrText>
      </w:r>
      <w:r>
        <w:fldChar w:fldCharType="separate"/>
      </w:r>
      <w:r w:rsidR="00F2607B">
        <w:rPr>
          <w:noProof/>
        </w:rPr>
        <w:t>44</w:t>
      </w:r>
      <w:r>
        <w:fldChar w:fldCharType="end"/>
      </w:r>
      <w:r>
        <w:t>).</w:t>
      </w:r>
    </w:p>
  </w:footnote>
  <w:footnote w:id="3">
    <w:p w:rsidR="00B27036" w:rsidRPr="00497C7B" w:rsidRDefault="00B27036">
      <w:pPr>
        <w:pStyle w:val="FootnoteText"/>
      </w:pPr>
      <w:r w:rsidRPr="00377D0B">
        <w:footnoteRef/>
      </w:r>
      <w:r w:rsidRPr="00377D0B">
        <w:t>.  </w:t>
      </w:r>
      <w:proofErr w:type="gramStart"/>
      <w:r>
        <w:t>As in the text of the judgment.</w:t>
      </w:r>
      <w:proofErr w:type="gramEnd"/>
      <w:r>
        <w:t xml:space="preserve"> In fact, in the six other applicants’ cases, the orders were issued against the OAO</w:t>
      </w:r>
      <w:r w:rsidRPr="00E62AA8">
        <w:t>, see paragraph </w:t>
      </w:r>
      <w:r w:rsidRPr="00E62AA8">
        <w:fldChar w:fldCharType="begin"/>
      </w:r>
      <w:r w:rsidRPr="00E62AA8">
        <w:instrText xml:space="preserve"> REF SixApplicantsWritsAgainstOAO \h </w:instrText>
      </w:r>
      <w:r>
        <w:instrText xml:space="preserve"> \* MERGEFORMAT </w:instrText>
      </w:r>
      <w:r w:rsidRPr="00E62AA8">
        <w:fldChar w:fldCharType="separate"/>
      </w:r>
      <w:r w:rsidR="00F2607B">
        <w:rPr>
          <w:bCs/>
          <w:noProof/>
        </w:rPr>
        <w:t>28</w:t>
      </w:r>
      <w:r w:rsidRPr="00E62AA8">
        <w:fldChar w:fldCharType="end"/>
      </w:r>
      <w:r>
        <w:t xml:space="preserve"> above.</w:t>
      </w:r>
    </w:p>
  </w:footnote>
  <w:footnote w:id="4">
    <w:p w:rsidR="00B27036" w:rsidRDefault="00B27036">
      <w:pPr>
        <w:pStyle w:val="FootnoteText"/>
      </w:pPr>
      <w:r w:rsidRPr="00D33A86">
        <w:rPr>
          <w:rStyle w:val="FootnoteReference"/>
          <w:vertAlign w:val="baseline"/>
        </w:rPr>
        <w:footnoteRef/>
      </w:r>
      <w:r>
        <w:t xml:space="preserve">.  Similar complaints by Ms </w:t>
      </w:r>
      <w:proofErr w:type="spellStart"/>
      <w:r>
        <w:t>Kudryashova</w:t>
      </w:r>
      <w:proofErr w:type="spellEnd"/>
      <w:r>
        <w:t xml:space="preserve"> and Mr </w:t>
      </w:r>
      <w:proofErr w:type="spellStart"/>
      <w:r>
        <w:t>Tomilin</w:t>
      </w:r>
      <w:proofErr w:type="spellEnd"/>
      <w:r>
        <w:t xml:space="preserve"> were declared inadmissible at the communication stage.</w:t>
      </w:r>
    </w:p>
  </w:footnote>
  <w:footnote w:id="5">
    <w:p w:rsidR="00B27036" w:rsidRPr="00EC6C75" w:rsidRDefault="00B27036">
      <w:pPr>
        <w:pStyle w:val="FootnoteText"/>
      </w:pPr>
      <w:r w:rsidRPr="00377D0B">
        <w:footnoteRef/>
      </w:r>
      <w:r w:rsidRPr="00377D0B">
        <w:t>.  </w:t>
      </w:r>
      <w:r>
        <w:t>In this and in subsequent cases, the amount claimed in respect of the unpaid debt under the court orders was converted into euros at the rate applicable on the date of the orders.</w:t>
      </w:r>
    </w:p>
  </w:footnote>
  <w:footnote w:id="6">
    <w:p w:rsidR="00B27036" w:rsidRPr="00EC6C75" w:rsidRDefault="00B27036">
      <w:pPr>
        <w:pStyle w:val="FootnoteText"/>
      </w:pPr>
      <w:r w:rsidRPr="00377D0B">
        <w:footnoteRef/>
      </w:r>
      <w:r w:rsidRPr="00377D0B">
        <w:t>.  </w:t>
      </w:r>
      <w:r>
        <w:t>In this and in subsequent cases, the amount claimed in respect of the index-linking awarded by the domestic courts was converted into euros at the rate applicable on the date of the relevant court decisions.</w:t>
      </w:r>
    </w:p>
  </w:footnote>
  <w:footnote w:id="7">
    <w:p w:rsidR="00B27036" w:rsidRPr="00EC6C75" w:rsidRDefault="00B27036">
      <w:pPr>
        <w:pStyle w:val="FootnoteText"/>
      </w:pPr>
      <w:r w:rsidRPr="00377D0B">
        <w:footnoteRef/>
      </w:r>
      <w:r w:rsidRPr="00377D0B">
        <w:t>.  </w:t>
      </w:r>
      <w:r>
        <w:t>In this and subsequent cases, the amounts claimed and not established by the domestic courts were converted into euros ion the date of the submission of the claims.</w:t>
      </w:r>
    </w:p>
  </w:footnote>
  <w:footnote w:id="8">
    <w:p w:rsidR="00B27036" w:rsidRPr="00DF0C05" w:rsidRDefault="00B27036">
      <w:pPr>
        <w:pStyle w:val="FootnoteText"/>
      </w:pPr>
      <w:r w:rsidRPr="00377D0B">
        <w:footnoteRef/>
      </w:r>
      <w:r w:rsidRPr="00377D0B">
        <w:t>.  </w:t>
      </w:r>
      <w:r>
        <w:t xml:space="preserve">This claim and subsequent claims by Ms </w:t>
      </w:r>
      <w:proofErr w:type="spellStart"/>
      <w:r>
        <w:t>Kudryashova</w:t>
      </w:r>
      <w:proofErr w:type="spellEnd"/>
      <w:r>
        <w:t xml:space="preserve"> were converted into euros on the date of the submission of the claims. </w:t>
      </w:r>
    </w:p>
  </w:footnote>
  <w:footnote w:id="9">
    <w:p w:rsidR="00B27036" w:rsidRPr="008168CB" w:rsidRDefault="00B27036">
      <w:pPr>
        <w:pStyle w:val="FootnoteText"/>
      </w:pPr>
      <w:r w:rsidRPr="00377D0B">
        <w:footnoteRef/>
      </w:r>
      <w:r w:rsidRPr="00377D0B">
        <w:t>.  </w:t>
      </w:r>
      <w:r>
        <w:t xml:space="preserve">This and subsequent claims by Mr </w:t>
      </w:r>
      <w:proofErr w:type="spellStart"/>
      <w:r>
        <w:t>Tomilin</w:t>
      </w:r>
      <w:proofErr w:type="spellEnd"/>
      <w:r>
        <w:t xml:space="preserve"> were converted into euros on the date of the submission of the claims.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36" w:rsidRPr="000E0327" w:rsidRDefault="00B27036" w:rsidP="000E032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36" w:rsidRPr="00A45145" w:rsidRDefault="00B27036" w:rsidP="000E0327">
    <w:pPr>
      <w:jc w:val="center"/>
    </w:pPr>
    <w:r>
      <w:rPr>
        <w:noProof/>
        <w:lang w:val="en-US" w:eastAsia="ja-JP"/>
      </w:rPr>
      <w:drawing>
        <wp:inline distT="0" distB="0" distL="0" distR="0" wp14:anchorId="4AA0F638" wp14:editId="1C129BD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27036" w:rsidRPr="00220B9F" w:rsidRDefault="00B27036" w:rsidP="00B7729C">
    <w:pPr>
      <w:pStyle w:val="JuHeaderLandscape"/>
      <w:tabs>
        <w:tab w:val="clear" w:pos="12293"/>
        <w:tab w:val="right" w:pos="13467"/>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36" w:rsidRPr="003152BA" w:rsidRDefault="00B27036" w:rsidP="00FF4D02">
    <w:pPr>
      <w:pStyle w:val="ECHRHeader"/>
    </w:pPr>
    <w:r>
      <w:rPr>
        <w:lang w:val="fr-FR"/>
      </w:rPr>
      <w:fldChar w:fldCharType="begin"/>
    </w:r>
    <w:r w:rsidRPr="00F921AB">
      <w:instrText xml:space="preserve"> PAGE </w:instrText>
    </w:r>
    <w:r>
      <w:rPr>
        <w:lang w:val="fr-FR"/>
      </w:rPr>
      <w:fldChar w:fldCharType="separate"/>
    </w:r>
    <w:r w:rsidR="00B47094">
      <w:rPr>
        <w:noProof/>
      </w:rPr>
      <w:t>36</w:t>
    </w:r>
    <w:r>
      <w:rPr>
        <w:lang w:val="fr-FR"/>
      </w:rPr>
      <w:fldChar w:fldCharType="end"/>
    </w:r>
    <w:r w:rsidRPr="003152BA">
      <w:tab/>
    </w:r>
    <w:r>
      <w:t>KUZHELEV AND OTHERS v. RUSSIA JUDGMENT</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36" w:rsidRPr="003152BA" w:rsidRDefault="00B27036" w:rsidP="00FF4D02">
    <w:pPr>
      <w:pStyle w:val="ECHRHeader"/>
    </w:pPr>
    <w:r w:rsidRPr="003152BA">
      <w:tab/>
    </w:r>
    <w:r>
      <w:t>KUZHELEV AND OTHERS v. RUSSIA JUDGMENT</w:t>
    </w:r>
    <w:r w:rsidRPr="003152BA">
      <w:tab/>
    </w:r>
    <w:r>
      <w:rPr>
        <w:rStyle w:val="PageNumber"/>
        <w:szCs w:val="18"/>
      </w:rPr>
      <w:fldChar w:fldCharType="begin"/>
    </w:r>
    <w:r>
      <w:rPr>
        <w:rStyle w:val="PageNumber"/>
        <w:szCs w:val="18"/>
      </w:rPr>
      <w:instrText xml:space="preserve"> PAGE </w:instrText>
    </w:r>
    <w:r>
      <w:rPr>
        <w:rStyle w:val="PageNumber"/>
        <w:szCs w:val="18"/>
      </w:rPr>
      <w:fldChar w:fldCharType="separate"/>
    </w:r>
    <w:r w:rsidR="00B47094">
      <w:rPr>
        <w:rStyle w:val="PageNumber"/>
        <w:noProof/>
        <w:szCs w:val="18"/>
      </w:rPr>
      <w:t>37</w:t>
    </w:r>
    <w:r>
      <w:rPr>
        <w:rStyle w:val="PageNumber"/>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36" w:rsidRPr="00A45145" w:rsidRDefault="00B27036" w:rsidP="000E0327">
    <w:pPr>
      <w:jc w:val="center"/>
    </w:pPr>
    <w:r>
      <w:rPr>
        <w:noProof/>
        <w:lang w:val="en-US" w:eastAsia="ja-JP"/>
      </w:rPr>
      <w:drawing>
        <wp:inline distT="0" distB="0" distL="0" distR="0" wp14:anchorId="4ACE6F81" wp14:editId="6C988539">
          <wp:extent cx="2962275" cy="1219200"/>
          <wp:effectExtent l="0" t="0" r="9525" b="0"/>
          <wp:docPr id="46" name="Picture 4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27036" w:rsidRPr="00220B9F" w:rsidRDefault="00B27036" w:rsidP="00B7729C">
    <w:pPr>
      <w:pStyle w:val="JuHeaderLandscape"/>
      <w:tabs>
        <w:tab w:val="clear" w:pos="12293"/>
        <w:tab w:val="right" w:pos="13467"/>
      </w:tabs>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36" w:rsidRPr="003152BA" w:rsidRDefault="00B27036" w:rsidP="004F1266">
    <w:pPr>
      <w:pStyle w:val="JuHeaderLandscape"/>
      <w:tabs>
        <w:tab w:val="clear" w:pos="6146"/>
        <w:tab w:val="clear" w:pos="12293"/>
        <w:tab w:val="center" w:pos="6236"/>
      </w:tabs>
      <w:ind w:left="-993"/>
    </w:pPr>
    <w:r>
      <w:rPr>
        <w:rStyle w:val="PageNumber"/>
        <w:szCs w:val="18"/>
      </w:rPr>
      <w:fldChar w:fldCharType="begin"/>
    </w:r>
    <w:r>
      <w:rPr>
        <w:rStyle w:val="PageNumber"/>
        <w:szCs w:val="18"/>
      </w:rPr>
      <w:instrText xml:space="preserve"> PAGE </w:instrText>
    </w:r>
    <w:r>
      <w:rPr>
        <w:rStyle w:val="PageNumber"/>
        <w:szCs w:val="18"/>
      </w:rPr>
      <w:fldChar w:fldCharType="separate"/>
    </w:r>
    <w:r w:rsidR="00B47094">
      <w:rPr>
        <w:rStyle w:val="PageNumber"/>
        <w:noProof/>
        <w:szCs w:val="18"/>
      </w:rPr>
      <w:t>38</w:t>
    </w:r>
    <w:r>
      <w:rPr>
        <w:rStyle w:val="PageNumber"/>
        <w:szCs w:val="18"/>
      </w:rPr>
      <w:fldChar w:fldCharType="end"/>
    </w:r>
    <w:r w:rsidRPr="003152BA">
      <w:tab/>
    </w:r>
    <w:r>
      <w:t>KUZHELEV AND OTHERS v. RUSSIA JUDGMENT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36" w:rsidRPr="003152BA" w:rsidRDefault="00B27036" w:rsidP="004F1266">
    <w:pPr>
      <w:pStyle w:val="JuHeaderLandscape"/>
      <w:tabs>
        <w:tab w:val="clear" w:pos="6146"/>
        <w:tab w:val="clear" w:pos="12293"/>
        <w:tab w:val="center" w:pos="6236"/>
        <w:tab w:val="right" w:pos="13183"/>
      </w:tabs>
    </w:pPr>
    <w:r w:rsidRPr="003152BA">
      <w:tab/>
    </w:r>
    <w:r>
      <w:t>KUZHELEV AND OTHERS v. RUSSIA JUDGMENT</w:t>
    </w:r>
    <w:r w:rsidRPr="003152BA">
      <w:tab/>
    </w:r>
    <w:r>
      <w:rPr>
        <w:rStyle w:val="PageNumber"/>
        <w:szCs w:val="18"/>
      </w:rPr>
      <w:fldChar w:fldCharType="begin"/>
    </w:r>
    <w:r>
      <w:rPr>
        <w:rStyle w:val="PageNumber"/>
        <w:szCs w:val="18"/>
      </w:rPr>
      <w:instrText xml:space="preserve"> PAGE </w:instrText>
    </w:r>
    <w:r>
      <w:rPr>
        <w:rStyle w:val="PageNumber"/>
        <w:szCs w:val="18"/>
      </w:rPr>
      <w:fldChar w:fldCharType="separate"/>
    </w:r>
    <w:r w:rsidR="00B47094">
      <w:rPr>
        <w:rStyle w:val="PageNumber"/>
        <w:noProof/>
        <w:szCs w:val="18"/>
      </w:rPr>
      <w:t>39</w:t>
    </w:r>
    <w:r>
      <w:rPr>
        <w:rStyle w:val="PageNumber"/>
        <w:szCs w:val="18"/>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36" w:rsidRPr="00A45145" w:rsidRDefault="00B27036" w:rsidP="000E0327">
    <w:pPr>
      <w:jc w:val="center"/>
    </w:pPr>
    <w:r>
      <w:rPr>
        <w:noProof/>
        <w:lang w:val="en-US" w:eastAsia="ja-JP"/>
      </w:rPr>
      <w:drawing>
        <wp:inline distT="0" distB="0" distL="0" distR="0" wp14:anchorId="41B0EFA3" wp14:editId="3BE628AA">
          <wp:extent cx="2962275" cy="1219200"/>
          <wp:effectExtent l="0" t="0" r="9525" b="0"/>
          <wp:docPr id="48" name="Picture 4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27036" w:rsidRPr="00220B9F" w:rsidRDefault="00B27036" w:rsidP="00B7729C">
    <w:pPr>
      <w:pStyle w:val="JuHeaderLandscape"/>
      <w:tabs>
        <w:tab w:val="clear" w:pos="12293"/>
        <w:tab w:val="right" w:pos="1346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EF0165"/>
    <w:multiLevelType w:val="hybridMultilevel"/>
    <w:tmpl w:val="CFC1243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4">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5">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1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2522E97"/>
    <w:multiLevelType w:val="hybridMultilevel"/>
    <w:tmpl w:val="4B50A79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06A93717"/>
    <w:multiLevelType w:val="hybridMultilevel"/>
    <w:tmpl w:val="3DFC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8D60A99"/>
    <w:multiLevelType w:val="hybridMultilevel"/>
    <w:tmpl w:val="A36CCF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451CE0"/>
    <w:multiLevelType w:val="hybridMultilevel"/>
    <w:tmpl w:val="D77E8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F766E"/>
    <w:multiLevelType w:val="hybridMultilevel"/>
    <w:tmpl w:val="6F06DAD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31A71631"/>
    <w:multiLevelType w:val="hybridMultilevel"/>
    <w:tmpl w:val="2DF2E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CE4224"/>
    <w:multiLevelType w:val="hybridMultilevel"/>
    <w:tmpl w:val="4E989FC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37515E2D"/>
    <w:multiLevelType w:val="hybridMultilevel"/>
    <w:tmpl w:val="7E94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471E5F"/>
    <w:multiLevelType w:val="hybridMultilevel"/>
    <w:tmpl w:val="BF04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1807F8"/>
    <w:multiLevelType w:val="hybridMultilevel"/>
    <w:tmpl w:val="246A6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C97E70"/>
    <w:multiLevelType w:val="hybridMultilevel"/>
    <w:tmpl w:val="DD62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8A088B"/>
    <w:multiLevelType w:val="hybridMultilevel"/>
    <w:tmpl w:val="F0048B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C64031"/>
    <w:multiLevelType w:val="hybridMultilevel"/>
    <w:tmpl w:val="107A6B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473CC2"/>
    <w:multiLevelType w:val="hybridMultilevel"/>
    <w:tmpl w:val="2618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1138A3"/>
    <w:multiLevelType w:val="hybridMultilevel"/>
    <w:tmpl w:val="04940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300CA7"/>
    <w:multiLevelType w:val="hybridMultilevel"/>
    <w:tmpl w:val="E2186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5D2F1FE5"/>
    <w:multiLevelType w:val="hybridMultilevel"/>
    <w:tmpl w:val="97E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6D41AB"/>
    <w:multiLevelType w:val="hybridMultilevel"/>
    <w:tmpl w:val="EACA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1">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77D154AF"/>
    <w:multiLevelType w:val="hybridMultilevel"/>
    <w:tmpl w:val="246A6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3"/>
  </w:num>
  <w:num w:numId="3">
    <w:abstractNumId w:val="10"/>
  </w:num>
  <w:num w:numId="4">
    <w:abstractNumId w:val="32"/>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31"/>
  </w:num>
  <w:num w:numId="15">
    <w:abstractNumId w:val="31"/>
  </w:num>
  <w:num w:numId="16">
    <w:abstractNumId w:val="31"/>
  </w:num>
  <w:num w:numId="17">
    <w:abstractNumId w:val="26"/>
  </w:num>
  <w:num w:numId="18">
    <w:abstractNumId w:val="33"/>
  </w:num>
  <w:num w:numId="19">
    <w:abstractNumId w:val="21"/>
  </w:num>
  <w:num w:numId="20">
    <w:abstractNumId w:val="17"/>
  </w:num>
  <w:num w:numId="21">
    <w:abstractNumId w:val="0"/>
  </w:num>
  <w:num w:numId="22">
    <w:abstractNumId w:val="19"/>
  </w:num>
  <w:num w:numId="23">
    <w:abstractNumId w:val="12"/>
  </w:num>
  <w:num w:numId="24">
    <w:abstractNumId w:val="22"/>
  </w:num>
  <w:num w:numId="25">
    <w:abstractNumId w:val="23"/>
  </w:num>
  <w:num w:numId="26">
    <w:abstractNumId w:val="15"/>
  </w:num>
  <w:num w:numId="27">
    <w:abstractNumId w:val="24"/>
  </w:num>
  <w:num w:numId="28">
    <w:abstractNumId w:val="14"/>
  </w:num>
  <w:num w:numId="29">
    <w:abstractNumId w:val="11"/>
  </w:num>
  <w:num w:numId="30">
    <w:abstractNumId w:val="28"/>
  </w:num>
  <w:num w:numId="31">
    <w:abstractNumId w:val="27"/>
  </w:num>
  <w:num w:numId="32">
    <w:abstractNumId w:val="18"/>
  </w:num>
  <w:num w:numId="33">
    <w:abstractNumId w:val="20"/>
  </w:num>
  <w:num w:numId="34">
    <w:abstractNumId w:val="25"/>
  </w:num>
  <w:num w:numId="35">
    <w:abstractNumId w:val="29"/>
  </w:num>
  <w:num w:numId="36">
    <w:abstractNumId w:val="16"/>
  </w:num>
  <w:num w:numId="37">
    <w:abstractNumId w:val="31"/>
  </w:num>
  <w:num w:numId="38">
    <w:abstractNumId w:val="31"/>
  </w:num>
  <w:num w:numId="39">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0B07BC"/>
    <w:rsid w:val="00000067"/>
    <w:rsid w:val="000010ED"/>
    <w:rsid w:val="00001169"/>
    <w:rsid w:val="000012CE"/>
    <w:rsid w:val="00001ACF"/>
    <w:rsid w:val="00003271"/>
    <w:rsid w:val="000041F8"/>
    <w:rsid w:val="000042A8"/>
    <w:rsid w:val="00004308"/>
    <w:rsid w:val="00004A7E"/>
    <w:rsid w:val="00005BF0"/>
    <w:rsid w:val="00006417"/>
    <w:rsid w:val="000065BB"/>
    <w:rsid w:val="00007154"/>
    <w:rsid w:val="000103AE"/>
    <w:rsid w:val="000117A3"/>
    <w:rsid w:val="00011D69"/>
    <w:rsid w:val="00012AD3"/>
    <w:rsid w:val="00013B0C"/>
    <w:rsid w:val="0001407F"/>
    <w:rsid w:val="00014566"/>
    <w:rsid w:val="0001577E"/>
    <w:rsid w:val="00015C2D"/>
    <w:rsid w:val="00015F00"/>
    <w:rsid w:val="000162B4"/>
    <w:rsid w:val="00020D79"/>
    <w:rsid w:val="00022AB8"/>
    <w:rsid w:val="00022C1D"/>
    <w:rsid w:val="000256B1"/>
    <w:rsid w:val="0002592A"/>
    <w:rsid w:val="000303AE"/>
    <w:rsid w:val="000304FE"/>
    <w:rsid w:val="00031E64"/>
    <w:rsid w:val="00032D83"/>
    <w:rsid w:val="00034987"/>
    <w:rsid w:val="000350E3"/>
    <w:rsid w:val="000370A4"/>
    <w:rsid w:val="000416B7"/>
    <w:rsid w:val="0004317E"/>
    <w:rsid w:val="00044885"/>
    <w:rsid w:val="00045627"/>
    <w:rsid w:val="000516AD"/>
    <w:rsid w:val="00051EAA"/>
    <w:rsid w:val="00052F31"/>
    <w:rsid w:val="000534EB"/>
    <w:rsid w:val="0005434D"/>
    <w:rsid w:val="00054FEE"/>
    <w:rsid w:val="0005534E"/>
    <w:rsid w:val="0005656E"/>
    <w:rsid w:val="00056C3F"/>
    <w:rsid w:val="000570AA"/>
    <w:rsid w:val="000602DF"/>
    <w:rsid w:val="00060BD6"/>
    <w:rsid w:val="00061B05"/>
    <w:rsid w:val="00061CA0"/>
    <w:rsid w:val="00061ECC"/>
    <w:rsid w:val="000623A1"/>
    <w:rsid w:val="00062973"/>
    <w:rsid w:val="00062D5D"/>
    <w:rsid w:val="00062E1C"/>
    <w:rsid w:val="000632D5"/>
    <w:rsid w:val="0006371F"/>
    <w:rsid w:val="000644EE"/>
    <w:rsid w:val="00066D9B"/>
    <w:rsid w:val="00066F84"/>
    <w:rsid w:val="00071ABC"/>
    <w:rsid w:val="00072017"/>
    <w:rsid w:val="00072D0C"/>
    <w:rsid w:val="0007492A"/>
    <w:rsid w:val="0007643A"/>
    <w:rsid w:val="00076751"/>
    <w:rsid w:val="000856D7"/>
    <w:rsid w:val="00085CBD"/>
    <w:rsid w:val="00087863"/>
    <w:rsid w:val="000878BB"/>
    <w:rsid w:val="00087F6C"/>
    <w:rsid w:val="000902AD"/>
    <w:rsid w:val="000918A7"/>
    <w:rsid w:val="000925AD"/>
    <w:rsid w:val="000926D7"/>
    <w:rsid w:val="00092982"/>
    <w:rsid w:val="00092CCF"/>
    <w:rsid w:val="00092D98"/>
    <w:rsid w:val="000950FD"/>
    <w:rsid w:val="000956F6"/>
    <w:rsid w:val="000958B8"/>
    <w:rsid w:val="00096F06"/>
    <w:rsid w:val="000A0077"/>
    <w:rsid w:val="000A1806"/>
    <w:rsid w:val="000A2384"/>
    <w:rsid w:val="000A24EB"/>
    <w:rsid w:val="000A5DCB"/>
    <w:rsid w:val="000A648C"/>
    <w:rsid w:val="000B07BC"/>
    <w:rsid w:val="000B2685"/>
    <w:rsid w:val="000B339D"/>
    <w:rsid w:val="000B3B98"/>
    <w:rsid w:val="000B4AA9"/>
    <w:rsid w:val="000B6923"/>
    <w:rsid w:val="000B6D42"/>
    <w:rsid w:val="000C033C"/>
    <w:rsid w:val="000C099F"/>
    <w:rsid w:val="000C287E"/>
    <w:rsid w:val="000C2B13"/>
    <w:rsid w:val="000C3D81"/>
    <w:rsid w:val="000C5F3C"/>
    <w:rsid w:val="000C6AA4"/>
    <w:rsid w:val="000C6DCC"/>
    <w:rsid w:val="000D0A90"/>
    <w:rsid w:val="000D1D57"/>
    <w:rsid w:val="000D395A"/>
    <w:rsid w:val="000D401F"/>
    <w:rsid w:val="000D47AA"/>
    <w:rsid w:val="000D6536"/>
    <w:rsid w:val="000D721F"/>
    <w:rsid w:val="000E0327"/>
    <w:rsid w:val="000E069B"/>
    <w:rsid w:val="000E0E82"/>
    <w:rsid w:val="000E1DC5"/>
    <w:rsid w:val="000E2019"/>
    <w:rsid w:val="000E223F"/>
    <w:rsid w:val="000E35AC"/>
    <w:rsid w:val="000E38CC"/>
    <w:rsid w:val="000E4FC6"/>
    <w:rsid w:val="000E7D45"/>
    <w:rsid w:val="000F2AB3"/>
    <w:rsid w:val="000F338C"/>
    <w:rsid w:val="000F7851"/>
    <w:rsid w:val="00103E84"/>
    <w:rsid w:val="00104E23"/>
    <w:rsid w:val="00105F1A"/>
    <w:rsid w:val="00111A89"/>
    <w:rsid w:val="00111B0C"/>
    <w:rsid w:val="0011653A"/>
    <w:rsid w:val="0011657E"/>
    <w:rsid w:val="00117ECE"/>
    <w:rsid w:val="0012070E"/>
    <w:rsid w:val="00120C9D"/>
    <w:rsid w:val="00120D6C"/>
    <w:rsid w:val="001210C5"/>
    <w:rsid w:val="001218DC"/>
    <w:rsid w:val="00123B64"/>
    <w:rsid w:val="00124783"/>
    <w:rsid w:val="001257EC"/>
    <w:rsid w:val="001259D6"/>
    <w:rsid w:val="00126A7F"/>
    <w:rsid w:val="00127D53"/>
    <w:rsid w:val="001302A2"/>
    <w:rsid w:val="001313E2"/>
    <w:rsid w:val="00132905"/>
    <w:rsid w:val="00132C6A"/>
    <w:rsid w:val="00133529"/>
    <w:rsid w:val="00133D33"/>
    <w:rsid w:val="001345B8"/>
    <w:rsid w:val="00134D64"/>
    <w:rsid w:val="0013528F"/>
    <w:rsid w:val="00135A30"/>
    <w:rsid w:val="0013612C"/>
    <w:rsid w:val="00137FF6"/>
    <w:rsid w:val="00140E33"/>
    <w:rsid w:val="00141650"/>
    <w:rsid w:val="001447A4"/>
    <w:rsid w:val="00145188"/>
    <w:rsid w:val="001457D8"/>
    <w:rsid w:val="001500B9"/>
    <w:rsid w:val="00150D3B"/>
    <w:rsid w:val="00151227"/>
    <w:rsid w:val="001518A0"/>
    <w:rsid w:val="00151A2D"/>
    <w:rsid w:val="00151BC3"/>
    <w:rsid w:val="0015377F"/>
    <w:rsid w:val="00153E70"/>
    <w:rsid w:val="001567AA"/>
    <w:rsid w:val="001574DB"/>
    <w:rsid w:val="00160389"/>
    <w:rsid w:val="0016218C"/>
    <w:rsid w:val="00162A12"/>
    <w:rsid w:val="0016631A"/>
    <w:rsid w:val="00166530"/>
    <w:rsid w:val="0017260B"/>
    <w:rsid w:val="00174990"/>
    <w:rsid w:val="00174BF0"/>
    <w:rsid w:val="00180722"/>
    <w:rsid w:val="001807C6"/>
    <w:rsid w:val="00182F27"/>
    <w:rsid w:val="001832BD"/>
    <w:rsid w:val="00184528"/>
    <w:rsid w:val="001845C7"/>
    <w:rsid w:val="00185B96"/>
    <w:rsid w:val="00192BDE"/>
    <w:rsid w:val="001943B5"/>
    <w:rsid w:val="00194A92"/>
    <w:rsid w:val="00195134"/>
    <w:rsid w:val="001963F5"/>
    <w:rsid w:val="00196F7C"/>
    <w:rsid w:val="001A145B"/>
    <w:rsid w:val="001A674C"/>
    <w:rsid w:val="001A715A"/>
    <w:rsid w:val="001B18D7"/>
    <w:rsid w:val="001B227C"/>
    <w:rsid w:val="001B3442"/>
    <w:rsid w:val="001B3B24"/>
    <w:rsid w:val="001B3BB0"/>
    <w:rsid w:val="001B48BA"/>
    <w:rsid w:val="001B6F71"/>
    <w:rsid w:val="001B7E4F"/>
    <w:rsid w:val="001C0128"/>
    <w:rsid w:val="001C0AAF"/>
    <w:rsid w:val="001C0F98"/>
    <w:rsid w:val="001C2A42"/>
    <w:rsid w:val="001C2F32"/>
    <w:rsid w:val="001D1E20"/>
    <w:rsid w:val="001D2399"/>
    <w:rsid w:val="001D63ED"/>
    <w:rsid w:val="001D7348"/>
    <w:rsid w:val="001E035B"/>
    <w:rsid w:val="001E0961"/>
    <w:rsid w:val="001E1AF2"/>
    <w:rsid w:val="001E28A8"/>
    <w:rsid w:val="001E3EAE"/>
    <w:rsid w:val="001E5348"/>
    <w:rsid w:val="001E5B14"/>
    <w:rsid w:val="001E6F32"/>
    <w:rsid w:val="001F1CC8"/>
    <w:rsid w:val="001F2145"/>
    <w:rsid w:val="001F2F0C"/>
    <w:rsid w:val="001F3BFA"/>
    <w:rsid w:val="001F42B5"/>
    <w:rsid w:val="001F50DD"/>
    <w:rsid w:val="001F6262"/>
    <w:rsid w:val="001F67B0"/>
    <w:rsid w:val="001F7B3D"/>
    <w:rsid w:val="002000E9"/>
    <w:rsid w:val="00204B06"/>
    <w:rsid w:val="00205F9F"/>
    <w:rsid w:val="00210338"/>
    <w:rsid w:val="002115FC"/>
    <w:rsid w:val="00211F0D"/>
    <w:rsid w:val="002133F8"/>
    <w:rsid w:val="00213712"/>
    <w:rsid w:val="00213745"/>
    <w:rsid w:val="0021423C"/>
    <w:rsid w:val="00214CAE"/>
    <w:rsid w:val="00214F9E"/>
    <w:rsid w:val="00216E86"/>
    <w:rsid w:val="00220B9F"/>
    <w:rsid w:val="00224BFA"/>
    <w:rsid w:val="00226435"/>
    <w:rsid w:val="00230D00"/>
    <w:rsid w:val="00231DF7"/>
    <w:rsid w:val="00231FD1"/>
    <w:rsid w:val="00233898"/>
    <w:rsid w:val="002339E0"/>
    <w:rsid w:val="00233CF8"/>
    <w:rsid w:val="0023575D"/>
    <w:rsid w:val="002369EB"/>
    <w:rsid w:val="00237148"/>
    <w:rsid w:val="00240730"/>
    <w:rsid w:val="00240B4E"/>
    <w:rsid w:val="0024222D"/>
    <w:rsid w:val="00242C1F"/>
    <w:rsid w:val="00244B0E"/>
    <w:rsid w:val="00244F6C"/>
    <w:rsid w:val="00247622"/>
    <w:rsid w:val="002478B5"/>
    <w:rsid w:val="00250757"/>
    <w:rsid w:val="00251900"/>
    <w:rsid w:val="002519D1"/>
    <w:rsid w:val="00251F9B"/>
    <w:rsid w:val="002532C5"/>
    <w:rsid w:val="0025517C"/>
    <w:rsid w:val="002575A0"/>
    <w:rsid w:val="00260C03"/>
    <w:rsid w:val="00264EBF"/>
    <w:rsid w:val="0026540E"/>
    <w:rsid w:val="0026580F"/>
    <w:rsid w:val="00265A2D"/>
    <w:rsid w:val="00265BFC"/>
    <w:rsid w:val="002662B8"/>
    <w:rsid w:val="00270B11"/>
    <w:rsid w:val="0027225C"/>
    <w:rsid w:val="002738CD"/>
    <w:rsid w:val="00275123"/>
    <w:rsid w:val="00280382"/>
    <w:rsid w:val="00282240"/>
    <w:rsid w:val="00283636"/>
    <w:rsid w:val="0028397C"/>
    <w:rsid w:val="0028572A"/>
    <w:rsid w:val="00285CB4"/>
    <w:rsid w:val="00290FE6"/>
    <w:rsid w:val="002910C8"/>
    <w:rsid w:val="002928E1"/>
    <w:rsid w:val="002948AD"/>
    <w:rsid w:val="00294C05"/>
    <w:rsid w:val="00294C92"/>
    <w:rsid w:val="00296ACB"/>
    <w:rsid w:val="002A01CC"/>
    <w:rsid w:val="002A1A68"/>
    <w:rsid w:val="002A5B6B"/>
    <w:rsid w:val="002A61B1"/>
    <w:rsid w:val="002A663C"/>
    <w:rsid w:val="002B0AF3"/>
    <w:rsid w:val="002B1BCE"/>
    <w:rsid w:val="002B1E6C"/>
    <w:rsid w:val="002B33DC"/>
    <w:rsid w:val="002B444B"/>
    <w:rsid w:val="002B5887"/>
    <w:rsid w:val="002B6040"/>
    <w:rsid w:val="002B6500"/>
    <w:rsid w:val="002C056D"/>
    <w:rsid w:val="002C0692"/>
    <w:rsid w:val="002C09F5"/>
    <w:rsid w:val="002C0E27"/>
    <w:rsid w:val="002C21B7"/>
    <w:rsid w:val="002C3040"/>
    <w:rsid w:val="002C389C"/>
    <w:rsid w:val="002C3DFF"/>
    <w:rsid w:val="002C41A7"/>
    <w:rsid w:val="002C4274"/>
    <w:rsid w:val="002C6927"/>
    <w:rsid w:val="002D022D"/>
    <w:rsid w:val="002D24BB"/>
    <w:rsid w:val="002D29D4"/>
    <w:rsid w:val="002D5684"/>
    <w:rsid w:val="002D5E6C"/>
    <w:rsid w:val="002D6505"/>
    <w:rsid w:val="002D7408"/>
    <w:rsid w:val="002E4CF0"/>
    <w:rsid w:val="002E5E63"/>
    <w:rsid w:val="002F171B"/>
    <w:rsid w:val="002F2AF7"/>
    <w:rsid w:val="002F2CAE"/>
    <w:rsid w:val="002F36D3"/>
    <w:rsid w:val="002F3BBD"/>
    <w:rsid w:val="002F427C"/>
    <w:rsid w:val="002F6043"/>
    <w:rsid w:val="002F7E1C"/>
    <w:rsid w:val="00301A75"/>
    <w:rsid w:val="00302CC1"/>
    <w:rsid w:val="00302F70"/>
    <w:rsid w:val="0030336F"/>
    <w:rsid w:val="0030375E"/>
    <w:rsid w:val="00305873"/>
    <w:rsid w:val="0031102C"/>
    <w:rsid w:val="00312665"/>
    <w:rsid w:val="00312A30"/>
    <w:rsid w:val="00314058"/>
    <w:rsid w:val="003152BA"/>
    <w:rsid w:val="00315B31"/>
    <w:rsid w:val="00316CA7"/>
    <w:rsid w:val="003172FE"/>
    <w:rsid w:val="0032092B"/>
    <w:rsid w:val="00320D77"/>
    <w:rsid w:val="00320F72"/>
    <w:rsid w:val="0032152A"/>
    <w:rsid w:val="003216D6"/>
    <w:rsid w:val="003218A5"/>
    <w:rsid w:val="003227B0"/>
    <w:rsid w:val="00322840"/>
    <w:rsid w:val="00323666"/>
    <w:rsid w:val="00324279"/>
    <w:rsid w:val="0032463E"/>
    <w:rsid w:val="00324701"/>
    <w:rsid w:val="00326170"/>
    <w:rsid w:val="00326224"/>
    <w:rsid w:val="0032676F"/>
    <w:rsid w:val="00331458"/>
    <w:rsid w:val="00331EAC"/>
    <w:rsid w:val="00332C04"/>
    <w:rsid w:val="003332CB"/>
    <w:rsid w:val="00333488"/>
    <w:rsid w:val="00336CA8"/>
    <w:rsid w:val="00337EE4"/>
    <w:rsid w:val="00340FFD"/>
    <w:rsid w:val="00341C49"/>
    <w:rsid w:val="00344EBB"/>
    <w:rsid w:val="003476E5"/>
    <w:rsid w:val="003506B1"/>
    <w:rsid w:val="00350AAD"/>
    <w:rsid w:val="0035230E"/>
    <w:rsid w:val="003527B3"/>
    <w:rsid w:val="00352A19"/>
    <w:rsid w:val="0035360E"/>
    <w:rsid w:val="00356AC7"/>
    <w:rsid w:val="003609FA"/>
    <w:rsid w:val="00360D56"/>
    <w:rsid w:val="00363E0E"/>
    <w:rsid w:val="00367C7B"/>
    <w:rsid w:val="003710C8"/>
    <w:rsid w:val="00371898"/>
    <w:rsid w:val="003726EA"/>
    <w:rsid w:val="00373993"/>
    <w:rsid w:val="003750BE"/>
    <w:rsid w:val="00375BE1"/>
    <w:rsid w:val="00376742"/>
    <w:rsid w:val="003772C2"/>
    <w:rsid w:val="00377D0B"/>
    <w:rsid w:val="0038057A"/>
    <w:rsid w:val="00382A06"/>
    <w:rsid w:val="0038396A"/>
    <w:rsid w:val="00384DD8"/>
    <w:rsid w:val="003865BB"/>
    <w:rsid w:val="003869C2"/>
    <w:rsid w:val="00387B9D"/>
    <w:rsid w:val="00391314"/>
    <w:rsid w:val="003925C7"/>
    <w:rsid w:val="0039364F"/>
    <w:rsid w:val="00394DB8"/>
    <w:rsid w:val="0039618B"/>
    <w:rsid w:val="00396686"/>
    <w:rsid w:val="00396837"/>
    <w:rsid w:val="0039778E"/>
    <w:rsid w:val="003A441D"/>
    <w:rsid w:val="003A6D46"/>
    <w:rsid w:val="003A6F0E"/>
    <w:rsid w:val="003A7F88"/>
    <w:rsid w:val="003B1E21"/>
    <w:rsid w:val="003B416C"/>
    <w:rsid w:val="003B4941"/>
    <w:rsid w:val="003B6BD1"/>
    <w:rsid w:val="003B71B9"/>
    <w:rsid w:val="003C1120"/>
    <w:rsid w:val="003C1FE1"/>
    <w:rsid w:val="003C42A6"/>
    <w:rsid w:val="003C5714"/>
    <w:rsid w:val="003C6B9F"/>
    <w:rsid w:val="003C6E2A"/>
    <w:rsid w:val="003C70B9"/>
    <w:rsid w:val="003D0299"/>
    <w:rsid w:val="003D0AE9"/>
    <w:rsid w:val="003D0BFA"/>
    <w:rsid w:val="003D2D33"/>
    <w:rsid w:val="003E197B"/>
    <w:rsid w:val="003E236E"/>
    <w:rsid w:val="003E4A59"/>
    <w:rsid w:val="003E6D80"/>
    <w:rsid w:val="003E7F80"/>
    <w:rsid w:val="003F0027"/>
    <w:rsid w:val="003F05FA"/>
    <w:rsid w:val="003F0A66"/>
    <w:rsid w:val="003F244A"/>
    <w:rsid w:val="003F30B8"/>
    <w:rsid w:val="003F35FE"/>
    <w:rsid w:val="003F37D6"/>
    <w:rsid w:val="003F4855"/>
    <w:rsid w:val="003F4C45"/>
    <w:rsid w:val="003F5949"/>
    <w:rsid w:val="003F5F7B"/>
    <w:rsid w:val="003F7315"/>
    <w:rsid w:val="003F74F2"/>
    <w:rsid w:val="003F7C85"/>
    <w:rsid w:val="003F7D64"/>
    <w:rsid w:val="00405245"/>
    <w:rsid w:val="00414300"/>
    <w:rsid w:val="00417BAB"/>
    <w:rsid w:val="004221A8"/>
    <w:rsid w:val="0042490E"/>
    <w:rsid w:val="00424E54"/>
    <w:rsid w:val="00425C67"/>
    <w:rsid w:val="00426E30"/>
    <w:rsid w:val="00427E7A"/>
    <w:rsid w:val="00431CD4"/>
    <w:rsid w:val="00433FA8"/>
    <w:rsid w:val="00436307"/>
    <w:rsid w:val="00436C49"/>
    <w:rsid w:val="00437A06"/>
    <w:rsid w:val="00442413"/>
    <w:rsid w:val="00444621"/>
    <w:rsid w:val="00445366"/>
    <w:rsid w:val="00446C25"/>
    <w:rsid w:val="00447F5B"/>
    <w:rsid w:val="004510CC"/>
    <w:rsid w:val="00452611"/>
    <w:rsid w:val="00452D20"/>
    <w:rsid w:val="004558FB"/>
    <w:rsid w:val="00456AE6"/>
    <w:rsid w:val="00460CD5"/>
    <w:rsid w:val="00461DB0"/>
    <w:rsid w:val="004635B5"/>
    <w:rsid w:val="00463926"/>
    <w:rsid w:val="00464097"/>
    <w:rsid w:val="004646E0"/>
    <w:rsid w:val="00464C9A"/>
    <w:rsid w:val="00465E84"/>
    <w:rsid w:val="004678D5"/>
    <w:rsid w:val="00470295"/>
    <w:rsid w:val="0047262E"/>
    <w:rsid w:val="004748E7"/>
    <w:rsid w:val="00474F3D"/>
    <w:rsid w:val="0047530E"/>
    <w:rsid w:val="00477D61"/>
    <w:rsid w:val="00477E3A"/>
    <w:rsid w:val="00483812"/>
    <w:rsid w:val="00483E5F"/>
    <w:rsid w:val="00484716"/>
    <w:rsid w:val="00485FF9"/>
    <w:rsid w:val="004907F0"/>
    <w:rsid w:val="0049140B"/>
    <w:rsid w:val="00491BC6"/>
    <w:rsid w:val="004923A5"/>
    <w:rsid w:val="004924FB"/>
    <w:rsid w:val="00493FCF"/>
    <w:rsid w:val="004966B0"/>
    <w:rsid w:val="00496BFB"/>
    <w:rsid w:val="00496F4B"/>
    <w:rsid w:val="00497C7B"/>
    <w:rsid w:val="004A15C7"/>
    <w:rsid w:val="004A19ED"/>
    <w:rsid w:val="004A2ED7"/>
    <w:rsid w:val="004A4537"/>
    <w:rsid w:val="004A4BB9"/>
    <w:rsid w:val="004A4CF6"/>
    <w:rsid w:val="004A6F9D"/>
    <w:rsid w:val="004A753C"/>
    <w:rsid w:val="004B013B"/>
    <w:rsid w:val="004B02B3"/>
    <w:rsid w:val="004B112B"/>
    <w:rsid w:val="004B25B4"/>
    <w:rsid w:val="004B45D3"/>
    <w:rsid w:val="004B6D78"/>
    <w:rsid w:val="004B72B1"/>
    <w:rsid w:val="004C01E4"/>
    <w:rsid w:val="004C039F"/>
    <w:rsid w:val="004C086C"/>
    <w:rsid w:val="004C09FF"/>
    <w:rsid w:val="004C0DDB"/>
    <w:rsid w:val="004C17A9"/>
    <w:rsid w:val="004C1D5E"/>
    <w:rsid w:val="004C1F56"/>
    <w:rsid w:val="004C236E"/>
    <w:rsid w:val="004C27BC"/>
    <w:rsid w:val="004C2C6C"/>
    <w:rsid w:val="004C3253"/>
    <w:rsid w:val="004C4F4C"/>
    <w:rsid w:val="004C5C55"/>
    <w:rsid w:val="004C6E8B"/>
    <w:rsid w:val="004D15F3"/>
    <w:rsid w:val="004D171A"/>
    <w:rsid w:val="004D347F"/>
    <w:rsid w:val="004D354B"/>
    <w:rsid w:val="004D3ACD"/>
    <w:rsid w:val="004D4A7E"/>
    <w:rsid w:val="004D5311"/>
    <w:rsid w:val="004D5DCC"/>
    <w:rsid w:val="004D6ABD"/>
    <w:rsid w:val="004D6DC9"/>
    <w:rsid w:val="004D7624"/>
    <w:rsid w:val="004E0D14"/>
    <w:rsid w:val="004E393F"/>
    <w:rsid w:val="004E5B14"/>
    <w:rsid w:val="004E6BC8"/>
    <w:rsid w:val="004E7EB2"/>
    <w:rsid w:val="004F10AF"/>
    <w:rsid w:val="004F11A4"/>
    <w:rsid w:val="004F1266"/>
    <w:rsid w:val="004F2389"/>
    <w:rsid w:val="004F2FEB"/>
    <w:rsid w:val="004F304D"/>
    <w:rsid w:val="004F4FFD"/>
    <w:rsid w:val="004F61BE"/>
    <w:rsid w:val="004F66B1"/>
    <w:rsid w:val="00502A0D"/>
    <w:rsid w:val="00503B8E"/>
    <w:rsid w:val="005050D2"/>
    <w:rsid w:val="00505D25"/>
    <w:rsid w:val="00507951"/>
    <w:rsid w:val="00511C07"/>
    <w:rsid w:val="00511CB4"/>
    <w:rsid w:val="0051215D"/>
    <w:rsid w:val="00512D5D"/>
    <w:rsid w:val="00512DDE"/>
    <w:rsid w:val="00513D02"/>
    <w:rsid w:val="0051716D"/>
    <w:rsid w:val="005173A6"/>
    <w:rsid w:val="00517743"/>
    <w:rsid w:val="00520693"/>
    <w:rsid w:val="00520BAA"/>
    <w:rsid w:val="00524DC2"/>
    <w:rsid w:val="00525208"/>
    <w:rsid w:val="00525388"/>
    <w:rsid w:val="005257A5"/>
    <w:rsid w:val="005262B6"/>
    <w:rsid w:val="005264C0"/>
    <w:rsid w:val="00526A8A"/>
    <w:rsid w:val="00530586"/>
    <w:rsid w:val="00531DF2"/>
    <w:rsid w:val="00533CF7"/>
    <w:rsid w:val="00535BB8"/>
    <w:rsid w:val="0053758F"/>
    <w:rsid w:val="0054056E"/>
    <w:rsid w:val="005442EE"/>
    <w:rsid w:val="00547353"/>
    <w:rsid w:val="005474E7"/>
    <w:rsid w:val="00547B63"/>
    <w:rsid w:val="00547C76"/>
    <w:rsid w:val="005512A3"/>
    <w:rsid w:val="00553805"/>
    <w:rsid w:val="0055511D"/>
    <w:rsid w:val="00555708"/>
    <w:rsid w:val="00556C2C"/>
    <w:rsid w:val="005578CE"/>
    <w:rsid w:val="005609A8"/>
    <w:rsid w:val="0056245C"/>
    <w:rsid w:val="00562781"/>
    <w:rsid w:val="00563E83"/>
    <w:rsid w:val="0056473B"/>
    <w:rsid w:val="00564826"/>
    <w:rsid w:val="005658A4"/>
    <w:rsid w:val="00565ABD"/>
    <w:rsid w:val="00566C71"/>
    <w:rsid w:val="005722A3"/>
    <w:rsid w:val="0057271C"/>
    <w:rsid w:val="00572845"/>
    <w:rsid w:val="00573DC4"/>
    <w:rsid w:val="00574718"/>
    <w:rsid w:val="00574A1F"/>
    <w:rsid w:val="00575F7D"/>
    <w:rsid w:val="00580379"/>
    <w:rsid w:val="00580D73"/>
    <w:rsid w:val="005814D8"/>
    <w:rsid w:val="00585466"/>
    <w:rsid w:val="00585B8C"/>
    <w:rsid w:val="00587584"/>
    <w:rsid w:val="00592772"/>
    <w:rsid w:val="0059574A"/>
    <w:rsid w:val="005A03D0"/>
    <w:rsid w:val="005A1207"/>
    <w:rsid w:val="005A1B9B"/>
    <w:rsid w:val="005A2A33"/>
    <w:rsid w:val="005A6751"/>
    <w:rsid w:val="005B0564"/>
    <w:rsid w:val="005B092E"/>
    <w:rsid w:val="005B09E3"/>
    <w:rsid w:val="005B11A8"/>
    <w:rsid w:val="005B152C"/>
    <w:rsid w:val="005B1EE0"/>
    <w:rsid w:val="005B2B24"/>
    <w:rsid w:val="005B2CBB"/>
    <w:rsid w:val="005B4425"/>
    <w:rsid w:val="005B4B94"/>
    <w:rsid w:val="005B6E7A"/>
    <w:rsid w:val="005C2039"/>
    <w:rsid w:val="005C3EE8"/>
    <w:rsid w:val="005D2F9B"/>
    <w:rsid w:val="005D34F9"/>
    <w:rsid w:val="005D4190"/>
    <w:rsid w:val="005D4B2F"/>
    <w:rsid w:val="005D67A3"/>
    <w:rsid w:val="005E1778"/>
    <w:rsid w:val="005E1F10"/>
    <w:rsid w:val="005E2988"/>
    <w:rsid w:val="005E2A43"/>
    <w:rsid w:val="005E3085"/>
    <w:rsid w:val="005E3A25"/>
    <w:rsid w:val="005E3B36"/>
    <w:rsid w:val="005E3E93"/>
    <w:rsid w:val="005E438A"/>
    <w:rsid w:val="005E5FC8"/>
    <w:rsid w:val="005F03AF"/>
    <w:rsid w:val="005F0490"/>
    <w:rsid w:val="005F361C"/>
    <w:rsid w:val="005F39C5"/>
    <w:rsid w:val="005F4E5E"/>
    <w:rsid w:val="005F51E1"/>
    <w:rsid w:val="00600960"/>
    <w:rsid w:val="00604039"/>
    <w:rsid w:val="00604AF8"/>
    <w:rsid w:val="00610043"/>
    <w:rsid w:val="0061109E"/>
    <w:rsid w:val="00611C80"/>
    <w:rsid w:val="00612654"/>
    <w:rsid w:val="006166B9"/>
    <w:rsid w:val="006176AA"/>
    <w:rsid w:val="00620618"/>
    <w:rsid w:val="00620692"/>
    <w:rsid w:val="00621B65"/>
    <w:rsid w:val="006241CE"/>
    <w:rsid w:val="006242CA"/>
    <w:rsid w:val="006254E1"/>
    <w:rsid w:val="00627000"/>
    <w:rsid w:val="00627507"/>
    <w:rsid w:val="00633717"/>
    <w:rsid w:val="00633E63"/>
    <w:rsid w:val="006344E1"/>
    <w:rsid w:val="0063521A"/>
    <w:rsid w:val="00636331"/>
    <w:rsid w:val="00636EC8"/>
    <w:rsid w:val="0064069A"/>
    <w:rsid w:val="0064252B"/>
    <w:rsid w:val="00644424"/>
    <w:rsid w:val="006448EC"/>
    <w:rsid w:val="006466A6"/>
    <w:rsid w:val="00652E95"/>
    <w:rsid w:val="0065396D"/>
    <w:rsid w:val="006545C4"/>
    <w:rsid w:val="00660125"/>
    <w:rsid w:val="00661971"/>
    <w:rsid w:val="00661A1B"/>
    <w:rsid w:val="00661CE8"/>
    <w:rsid w:val="006623D9"/>
    <w:rsid w:val="0066550C"/>
    <w:rsid w:val="00666FC2"/>
    <w:rsid w:val="006716F2"/>
    <w:rsid w:val="00672BB1"/>
    <w:rsid w:val="00673A25"/>
    <w:rsid w:val="006742B6"/>
    <w:rsid w:val="00676797"/>
    <w:rsid w:val="006808FD"/>
    <w:rsid w:val="00681BBE"/>
    <w:rsid w:val="00682BF2"/>
    <w:rsid w:val="00682F22"/>
    <w:rsid w:val="006833CF"/>
    <w:rsid w:val="006859CE"/>
    <w:rsid w:val="00686C9D"/>
    <w:rsid w:val="00691270"/>
    <w:rsid w:val="00691D9F"/>
    <w:rsid w:val="00692385"/>
    <w:rsid w:val="0069423E"/>
    <w:rsid w:val="00694BA8"/>
    <w:rsid w:val="00695689"/>
    <w:rsid w:val="006964B9"/>
    <w:rsid w:val="00696EFC"/>
    <w:rsid w:val="006A037C"/>
    <w:rsid w:val="006A135C"/>
    <w:rsid w:val="006A2BC8"/>
    <w:rsid w:val="006A32B9"/>
    <w:rsid w:val="006A36F4"/>
    <w:rsid w:val="006A370D"/>
    <w:rsid w:val="006A39BD"/>
    <w:rsid w:val="006A406F"/>
    <w:rsid w:val="006A4437"/>
    <w:rsid w:val="006A5958"/>
    <w:rsid w:val="006A5D3A"/>
    <w:rsid w:val="006B29A1"/>
    <w:rsid w:val="006B3467"/>
    <w:rsid w:val="006B4D3D"/>
    <w:rsid w:val="006B5ED0"/>
    <w:rsid w:val="006C23D4"/>
    <w:rsid w:val="006C3E3B"/>
    <w:rsid w:val="006C404C"/>
    <w:rsid w:val="006C482C"/>
    <w:rsid w:val="006C6854"/>
    <w:rsid w:val="006C7BB0"/>
    <w:rsid w:val="006C7C1E"/>
    <w:rsid w:val="006D0BA0"/>
    <w:rsid w:val="006D2C4B"/>
    <w:rsid w:val="006D3237"/>
    <w:rsid w:val="006D42F5"/>
    <w:rsid w:val="006D4750"/>
    <w:rsid w:val="006D5284"/>
    <w:rsid w:val="006D624D"/>
    <w:rsid w:val="006D70F4"/>
    <w:rsid w:val="006D7B1F"/>
    <w:rsid w:val="006E2126"/>
    <w:rsid w:val="006E2E37"/>
    <w:rsid w:val="006E38FB"/>
    <w:rsid w:val="006E3CF1"/>
    <w:rsid w:val="006E7E80"/>
    <w:rsid w:val="006F1DF9"/>
    <w:rsid w:val="006F24DB"/>
    <w:rsid w:val="006F3ADB"/>
    <w:rsid w:val="006F48CA"/>
    <w:rsid w:val="006F64DD"/>
    <w:rsid w:val="007000A7"/>
    <w:rsid w:val="00713019"/>
    <w:rsid w:val="00713DF6"/>
    <w:rsid w:val="00714112"/>
    <w:rsid w:val="00715127"/>
    <w:rsid w:val="00715265"/>
    <w:rsid w:val="00715E8E"/>
    <w:rsid w:val="00721638"/>
    <w:rsid w:val="007217D1"/>
    <w:rsid w:val="007219CA"/>
    <w:rsid w:val="007221C8"/>
    <w:rsid w:val="00722694"/>
    <w:rsid w:val="00723580"/>
    <w:rsid w:val="00723755"/>
    <w:rsid w:val="007252A1"/>
    <w:rsid w:val="00726A1D"/>
    <w:rsid w:val="0073136C"/>
    <w:rsid w:val="00731787"/>
    <w:rsid w:val="00731F0F"/>
    <w:rsid w:val="00732719"/>
    <w:rsid w:val="00733250"/>
    <w:rsid w:val="007348C1"/>
    <w:rsid w:val="00737D45"/>
    <w:rsid w:val="007412EC"/>
    <w:rsid w:val="00741404"/>
    <w:rsid w:val="007417B8"/>
    <w:rsid w:val="00741F42"/>
    <w:rsid w:val="007449E5"/>
    <w:rsid w:val="00746A20"/>
    <w:rsid w:val="00746C5A"/>
    <w:rsid w:val="00747FF0"/>
    <w:rsid w:val="007509D5"/>
    <w:rsid w:val="00752934"/>
    <w:rsid w:val="00753D68"/>
    <w:rsid w:val="00755629"/>
    <w:rsid w:val="007613DD"/>
    <w:rsid w:val="00764D4E"/>
    <w:rsid w:val="00765142"/>
    <w:rsid w:val="00765A1F"/>
    <w:rsid w:val="0076764B"/>
    <w:rsid w:val="00767E30"/>
    <w:rsid w:val="00773CBB"/>
    <w:rsid w:val="00774A6E"/>
    <w:rsid w:val="00775B6D"/>
    <w:rsid w:val="0077695E"/>
    <w:rsid w:val="00776D68"/>
    <w:rsid w:val="00784CCD"/>
    <w:rsid w:val="007850EE"/>
    <w:rsid w:val="00785B95"/>
    <w:rsid w:val="00790E96"/>
    <w:rsid w:val="007928EA"/>
    <w:rsid w:val="00793366"/>
    <w:rsid w:val="0079724C"/>
    <w:rsid w:val="007A1747"/>
    <w:rsid w:val="007A5856"/>
    <w:rsid w:val="007A716F"/>
    <w:rsid w:val="007B0928"/>
    <w:rsid w:val="007B14B8"/>
    <w:rsid w:val="007B270A"/>
    <w:rsid w:val="007C0368"/>
    <w:rsid w:val="007C0695"/>
    <w:rsid w:val="007C419A"/>
    <w:rsid w:val="007C4CC8"/>
    <w:rsid w:val="007C5426"/>
    <w:rsid w:val="007C5798"/>
    <w:rsid w:val="007C6829"/>
    <w:rsid w:val="007C6E5E"/>
    <w:rsid w:val="007D0724"/>
    <w:rsid w:val="007D289C"/>
    <w:rsid w:val="007D4832"/>
    <w:rsid w:val="007D5900"/>
    <w:rsid w:val="007E21B2"/>
    <w:rsid w:val="007E2C4E"/>
    <w:rsid w:val="007E3706"/>
    <w:rsid w:val="007E59AE"/>
    <w:rsid w:val="007E6862"/>
    <w:rsid w:val="007E6934"/>
    <w:rsid w:val="007E7C41"/>
    <w:rsid w:val="007F1905"/>
    <w:rsid w:val="007F235D"/>
    <w:rsid w:val="007F4E3C"/>
    <w:rsid w:val="007F588D"/>
    <w:rsid w:val="008000AC"/>
    <w:rsid w:val="0080048F"/>
    <w:rsid w:val="00800820"/>
    <w:rsid w:val="00801300"/>
    <w:rsid w:val="00802C64"/>
    <w:rsid w:val="008040C4"/>
    <w:rsid w:val="00805E52"/>
    <w:rsid w:val="008061D0"/>
    <w:rsid w:val="00807A77"/>
    <w:rsid w:val="00810B38"/>
    <w:rsid w:val="00815522"/>
    <w:rsid w:val="00815C90"/>
    <w:rsid w:val="008168CB"/>
    <w:rsid w:val="008168FD"/>
    <w:rsid w:val="008204C7"/>
    <w:rsid w:val="00820992"/>
    <w:rsid w:val="008216AA"/>
    <w:rsid w:val="00822D5E"/>
    <w:rsid w:val="00823077"/>
    <w:rsid w:val="00823602"/>
    <w:rsid w:val="008255F5"/>
    <w:rsid w:val="00826CD1"/>
    <w:rsid w:val="0083014E"/>
    <w:rsid w:val="0083214A"/>
    <w:rsid w:val="00832D62"/>
    <w:rsid w:val="00834220"/>
    <w:rsid w:val="00834B09"/>
    <w:rsid w:val="0083545A"/>
    <w:rsid w:val="008360AE"/>
    <w:rsid w:val="00836356"/>
    <w:rsid w:val="00844604"/>
    <w:rsid w:val="00845723"/>
    <w:rsid w:val="0084613C"/>
    <w:rsid w:val="008500B8"/>
    <w:rsid w:val="00851EF9"/>
    <w:rsid w:val="00855255"/>
    <w:rsid w:val="0085534F"/>
    <w:rsid w:val="008577FD"/>
    <w:rsid w:val="00857DCE"/>
    <w:rsid w:val="00860B03"/>
    <w:rsid w:val="0086497A"/>
    <w:rsid w:val="0086530C"/>
    <w:rsid w:val="0086552E"/>
    <w:rsid w:val="00867D21"/>
    <w:rsid w:val="008713A1"/>
    <w:rsid w:val="0087172B"/>
    <w:rsid w:val="008742FD"/>
    <w:rsid w:val="008754AB"/>
    <w:rsid w:val="008772CE"/>
    <w:rsid w:val="008779A8"/>
    <w:rsid w:val="0088029F"/>
    <w:rsid w:val="0088060C"/>
    <w:rsid w:val="00880803"/>
    <w:rsid w:val="00880B07"/>
    <w:rsid w:val="00882488"/>
    <w:rsid w:val="008833F3"/>
    <w:rsid w:val="00891CB6"/>
    <w:rsid w:val="00891E30"/>
    <w:rsid w:val="00893576"/>
    <w:rsid w:val="0089395F"/>
    <w:rsid w:val="00893E73"/>
    <w:rsid w:val="00895293"/>
    <w:rsid w:val="0089770A"/>
    <w:rsid w:val="008A314D"/>
    <w:rsid w:val="008A3DDB"/>
    <w:rsid w:val="008A43C4"/>
    <w:rsid w:val="008A5B35"/>
    <w:rsid w:val="008A64A2"/>
    <w:rsid w:val="008B02DC"/>
    <w:rsid w:val="008B467C"/>
    <w:rsid w:val="008B57CE"/>
    <w:rsid w:val="008B659F"/>
    <w:rsid w:val="008C04EA"/>
    <w:rsid w:val="008C10EA"/>
    <w:rsid w:val="008C26DE"/>
    <w:rsid w:val="008C2A89"/>
    <w:rsid w:val="008C587F"/>
    <w:rsid w:val="008C5F6E"/>
    <w:rsid w:val="008D1EFA"/>
    <w:rsid w:val="008D2225"/>
    <w:rsid w:val="008D442D"/>
    <w:rsid w:val="008D4752"/>
    <w:rsid w:val="008D552A"/>
    <w:rsid w:val="008E136E"/>
    <w:rsid w:val="008E1BB1"/>
    <w:rsid w:val="008E271C"/>
    <w:rsid w:val="008E3C53"/>
    <w:rsid w:val="008E418E"/>
    <w:rsid w:val="008E48ED"/>
    <w:rsid w:val="008E56DA"/>
    <w:rsid w:val="008E5BC6"/>
    <w:rsid w:val="008E6A25"/>
    <w:rsid w:val="008F044C"/>
    <w:rsid w:val="008F08DD"/>
    <w:rsid w:val="008F0C4D"/>
    <w:rsid w:val="008F146D"/>
    <w:rsid w:val="008F22C4"/>
    <w:rsid w:val="008F5193"/>
    <w:rsid w:val="009013A7"/>
    <w:rsid w:val="009017FB"/>
    <w:rsid w:val="009017FC"/>
    <w:rsid w:val="0090182B"/>
    <w:rsid w:val="00902373"/>
    <w:rsid w:val="009026EF"/>
    <w:rsid w:val="009027DD"/>
    <w:rsid w:val="00903B43"/>
    <w:rsid w:val="0090407F"/>
    <w:rsid w:val="0090494B"/>
    <w:rsid w:val="0090506B"/>
    <w:rsid w:val="009050C9"/>
    <w:rsid w:val="00905D58"/>
    <w:rsid w:val="00906655"/>
    <w:rsid w:val="009066FC"/>
    <w:rsid w:val="00912B9F"/>
    <w:rsid w:val="00913486"/>
    <w:rsid w:val="009140A3"/>
    <w:rsid w:val="009144A2"/>
    <w:rsid w:val="0091510C"/>
    <w:rsid w:val="00920789"/>
    <w:rsid w:val="00922B4E"/>
    <w:rsid w:val="0092303D"/>
    <w:rsid w:val="00925505"/>
    <w:rsid w:val="009256F9"/>
    <w:rsid w:val="009259AC"/>
    <w:rsid w:val="00926BC6"/>
    <w:rsid w:val="00926F38"/>
    <w:rsid w:val="009273CB"/>
    <w:rsid w:val="009274DD"/>
    <w:rsid w:val="00934301"/>
    <w:rsid w:val="00936CD1"/>
    <w:rsid w:val="00941747"/>
    <w:rsid w:val="00941EFB"/>
    <w:rsid w:val="00943F75"/>
    <w:rsid w:val="009454E9"/>
    <w:rsid w:val="009458FC"/>
    <w:rsid w:val="00947AFB"/>
    <w:rsid w:val="00950B79"/>
    <w:rsid w:val="00951C9B"/>
    <w:rsid w:val="00951D7D"/>
    <w:rsid w:val="00952C12"/>
    <w:rsid w:val="009538A4"/>
    <w:rsid w:val="0096218A"/>
    <w:rsid w:val="00962C92"/>
    <w:rsid w:val="009630C7"/>
    <w:rsid w:val="00964416"/>
    <w:rsid w:val="00967E93"/>
    <w:rsid w:val="00972B55"/>
    <w:rsid w:val="00972E5E"/>
    <w:rsid w:val="009743B7"/>
    <w:rsid w:val="009743FB"/>
    <w:rsid w:val="00974F5B"/>
    <w:rsid w:val="00977428"/>
    <w:rsid w:val="009812CE"/>
    <w:rsid w:val="0098228B"/>
    <w:rsid w:val="009828DA"/>
    <w:rsid w:val="00985BAB"/>
    <w:rsid w:val="009943C2"/>
    <w:rsid w:val="00997F03"/>
    <w:rsid w:val="009A014D"/>
    <w:rsid w:val="009A2B93"/>
    <w:rsid w:val="009A399F"/>
    <w:rsid w:val="009A3E57"/>
    <w:rsid w:val="009A46DF"/>
    <w:rsid w:val="009A575D"/>
    <w:rsid w:val="009A6233"/>
    <w:rsid w:val="009A70DC"/>
    <w:rsid w:val="009B044A"/>
    <w:rsid w:val="009B0B27"/>
    <w:rsid w:val="009B1B5F"/>
    <w:rsid w:val="009B2174"/>
    <w:rsid w:val="009B2EC2"/>
    <w:rsid w:val="009B3B6B"/>
    <w:rsid w:val="009B6673"/>
    <w:rsid w:val="009B7B25"/>
    <w:rsid w:val="009C191B"/>
    <w:rsid w:val="009C2954"/>
    <w:rsid w:val="009C2BD6"/>
    <w:rsid w:val="009C35B7"/>
    <w:rsid w:val="009C6586"/>
    <w:rsid w:val="009C7AF0"/>
    <w:rsid w:val="009D2509"/>
    <w:rsid w:val="009E1F32"/>
    <w:rsid w:val="009E290C"/>
    <w:rsid w:val="009E52DC"/>
    <w:rsid w:val="009E5829"/>
    <w:rsid w:val="009E776C"/>
    <w:rsid w:val="009E7845"/>
    <w:rsid w:val="009F0A54"/>
    <w:rsid w:val="009F6BD9"/>
    <w:rsid w:val="009F7B66"/>
    <w:rsid w:val="00A00F22"/>
    <w:rsid w:val="00A0239B"/>
    <w:rsid w:val="00A02A18"/>
    <w:rsid w:val="00A055C7"/>
    <w:rsid w:val="00A102DF"/>
    <w:rsid w:val="00A104A4"/>
    <w:rsid w:val="00A10F6A"/>
    <w:rsid w:val="00A130B4"/>
    <w:rsid w:val="00A13DE8"/>
    <w:rsid w:val="00A1726E"/>
    <w:rsid w:val="00A17F56"/>
    <w:rsid w:val="00A20473"/>
    <w:rsid w:val="00A204CF"/>
    <w:rsid w:val="00A20F41"/>
    <w:rsid w:val="00A217F3"/>
    <w:rsid w:val="00A22ACD"/>
    <w:rsid w:val="00A2342C"/>
    <w:rsid w:val="00A23D49"/>
    <w:rsid w:val="00A27004"/>
    <w:rsid w:val="00A27B9C"/>
    <w:rsid w:val="00A30C29"/>
    <w:rsid w:val="00A30EAC"/>
    <w:rsid w:val="00A312F8"/>
    <w:rsid w:val="00A322A5"/>
    <w:rsid w:val="00A32AF8"/>
    <w:rsid w:val="00A339FC"/>
    <w:rsid w:val="00A34DD6"/>
    <w:rsid w:val="00A34FD1"/>
    <w:rsid w:val="00A36819"/>
    <w:rsid w:val="00A36989"/>
    <w:rsid w:val="00A36C22"/>
    <w:rsid w:val="00A37DFD"/>
    <w:rsid w:val="00A40E7C"/>
    <w:rsid w:val="00A43628"/>
    <w:rsid w:val="00A440BD"/>
    <w:rsid w:val="00A441FE"/>
    <w:rsid w:val="00A44A0E"/>
    <w:rsid w:val="00A44E8F"/>
    <w:rsid w:val="00A4623F"/>
    <w:rsid w:val="00A50EDE"/>
    <w:rsid w:val="00A51DA5"/>
    <w:rsid w:val="00A526C4"/>
    <w:rsid w:val="00A52AA3"/>
    <w:rsid w:val="00A54192"/>
    <w:rsid w:val="00A5434F"/>
    <w:rsid w:val="00A55E75"/>
    <w:rsid w:val="00A560A2"/>
    <w:rsid w:val="00A560DA"/>
    <w:rsid w:val="00A6035E"/>
    <w:rsid w:val="00A6144C"/>
    <w:rsid w:val="00A662F6"/>
    <w:rsid w:val="00A66617"/>
    <w:rsid w:val="00A671F8"/>
    <w:rsid w:val="00A673A4"/>
    <w:rsid w:val="00A724AE"/>
    <w:rsid w:val="00A73329"/>
    <w:rsid w:val="00A75D30"/>
    <w:rsid w:val="00A762ED"/>
    <w:rsid w:val="00A771A2"/>
    <w:rsid w:val="00A8155D"/>
    <w:rsid w:val="00A81AFC"/>
    <w:rsid w:val="00A82359"/>
    <w:rsid w:val="00A84930"/>
    <w:rsid w:val="00A84AD2"/>
    <w:rsid w:val="00A860A9"/>
    <w:rsid w:val="00A865D2"/>
    <w:rsid w:val="00A91910"/>
    <w:rsid w:val="00A94C20"/>
    <w:rsid w:val="00A96ED6"/>
    <w:rsid w:val="00AA1498"/>
    <w:rsid w:val="00AA20DD"/>
    <w:rsid w:val="00AA227F"/>
    <w:rsid w:val="00AA2578"/>
    <w:rsid w:val="00AA3BC7"/>
    <w:rsid w:val="00AA586E"/>
    <w:rsid w:val="00AA687D"/>
    <w:rsid w:val="00AA754A"/>
    <w:rsid w:val="00AB099E"/>
    <w:rsid w:val="00AB3BBB"/>
    <w:rsid w:val="00AB4328"/>
    <w:rsid w:val="00AB57ED"/>
    <w:rsid w:val="00AB5FA0"/>
    <w:rsid w:val="00AB6E2A"/>
    <w:rsid w:val="00AC12A9"/>
    <w:rsid w:val="00AC17EF"/>
    <w:rsid w:val="00AC2825"/>
    <w:rsid w:val="00AC51AD"/>
    <w:rsid w:val="00AC5CDA"/>
    <w:rsid w:val="00AC62E9"/>
    <w:rsid w:val="00AC7222"/>
    <w:rsid w:val="00AD2C39"/>
    <w:rsid w:val="00AE08AE"/>
    <w:rsid w:val="00AE0A2E"/>
    <w:rsid w:val="00AE2345"/>
    <w:rsid w:val="00AE354C"/>
    <w:rsid w:val="00AE4FC7"/>
    <w:rsid w:val="00AE6AD2"/>
    <w:rsid w:val="00AE6DBB"/>
    <w:rsid w:val="00AF0257"/>
    <w:rsid w:val="00AF028D"/>
    <w:rsid w:val="00AF0570"/>
    <w:rsid w:val="00AF3398"/>
    <w:rsid w:val="00AF43EF"/>
    <w:rsid w:val="00AF46DA"/>
    <w:rsid w:val="00AF4B07"/>
    <w:rsid w:val="00AF6186"/>
    <w:rsid w:val="00AF6B37"/>
    <w:rsid w:val="00AF7A3A"/>
    <w:rsid w:val="00B00A4E"/>
    <w:rsid w:val="00B04279"/>
    <w:rsid w:val="00B07B6C"/>
    <w:rsid w:val="00B125D9"/>
    <w:rsid w:val="00B160D4"/>
    <w:rsid w:val="00B160DB"/>
    <w:rsid w:val="00B1629B"/>
    <w:rsid w:val="00B203AE"/>
    <w:rsid w:val="00B20836"/>
    <w:rsid w:val="00B22237"/>
    <w:rsid w:val="00B22B14"/>
    <w:rsid w:val="00B235BB"/>
    <w:rsid w:val="00B27036"/>
    <w:rsid w:val="00B27A44"/>
    <w:rsid w:val="00B27B6D"/>
    <w:rsid w:val="00B30BBF"/>
    <w:rsid w:val="00B33C03"/>
    <w:rsid w:val="00B34158"/>
    <w:rsid w:val="00B36168"/>
    <w:rsid w:val="00B44AE4"/>
    <w:rsid w:val="00B44E56"/>
    <w:rsid w:val="00B46543"/>
    <w:rsid w:val="00B47094"/>
    <w:rsid w:val="00B47D33"/>
    <w:rsid w:val="00B50619"/>
    <w:rsid w:val="00B50F33"/>
    <w:rsid w:val="00B5132D"/>
    <w:rsid w:val="00B5146F"/>
    <w:rsid w:val="00B52073"/>
    <w:rsid w:val="00B52BE0"/>
    <w:rsid w:val="00B53351"/>
    <w:rsid w:val="00B54133"/>
    <w:rsid w:val="00B5520B"/>
    <w:rsid w:val="00B55327"/>
    <w:rsid w:val="00B57738"/>
    <w:rsid w:val="00B6005E"/>
    <w:rsid w:val="00B603FF"/>
    <w:rsid w:val="00B6083B"/>
    <w:rsid w:val="00B6367C"/>
    <w:rsid w:val="00B637B9"/>
    <w:rsid w:val="00B66ACD"/>
    <w:rsid w:val="00B67CF4"/>
    <w:rsid w:val="00B701ED"/>
    <w:rsid w:val="00B70BFE"/>
    <w:rsid w:val="00B72372"/>
    <w:rsid w:val="00B72CE0"/>
    <w:rsid w:val="00B75B4D"/>
    <w:rsid w:val="00B768D3"/>
    <w:rsid w:val="00B76BEC"/>
    <w:rsid w:val="00B7729C"/>
    <w:rsid w:val="00B8086C"/>
    <w:rsid w:val="00B835FB"/>
    <w:rsid w:val="00B83C49"/>
    <w:rsid w:val="00B842D8"/>
    <w:rsid w:val="00B861B4"/>
    <w:rsid w:val="00B86DFE"/>
    <w:rsid w:val="00B87554"/>
    <w:rsid w:val="00B87BD4"/>
    <w:rsid w:val="00B90013"/>
    <w:rsid w:val="00B90990"/>
    <w:rsid w:val="00B922FF"/>
    <w:rsid w:val="00B92491"/>
    <w:rsid w:val="00B9281E"/>
    <w:rsid w:val="00B93925"/>
    <w:rsid w:val="00B94FB2"/>
    <w:rsid w:val="00B95187"/>
    <w:rsid w:val="00B95F41"/>
    <w:rsid w:val="00B96649"/>
    <w:rsid w:val="00B97142"/>
    <w:rsid w:val="00BA2D55"/>
    <w:rsid w:val="00BA401C"/>
    <w:rsid w:val="00BA56CF"/>
    <w:rsid w:val="00BA71B1"/>
    <w:rsid w:val="00BB0637"/>
    <w:rsid w:val="00BB2DC5"/>
    <w:rsid w:val="00BB345F"/>
    <w:rsid w:val="00BB5883"/>
    <w:rsid w:val="00BB68EA"/>
    <w:rsid w:val="00BB7E3E"/>
    <w:rsid w:val="00BC1C27"/>
    <w:rsid w:val="00BC479A"/>
    <w:rsid w:val="00BC5303"/>
    <w:rsid w:val="00BC6BBF"/>
    <w:rsid w:val="00BD005F"/>
    <w:rsid w:val="00BD0FEC"/>
    <w:rsid w:val="00BD1572"/>
    <w:rsid w:val="00BD1CE0"/>
    <w:rsid w:val="00BD3E77"/>
    <w:rsid w:val="00BD5538"/>
    <w:rsid w:val="00BD57B2"/>
    <w:rsid w:val="00BD58F0"/>
    <w:rsid w:val="00BE07B9"/>
    <w:rsid w:val="00BE08C9"/>
    <w:rsid w:val="00BE14E3"/>
    <w:rsid w:val="00BE1D38"/>
    <w:rsid w:val="00BE3356"/>
    <w:rsid w:val="00BE3457"/>
    <w:rsid w:val="00BE3774"/>
    <w:rsid w:val="00BE41E5"/>
    <w:rsid w:val="00BE7701"/>
    <w:rsid w:val="00BF0BBB"/>
    <w:rsid w:val="00BF114E"/>
    <w:rsid w:val="00BF4109"/>
    <w:rsid w:val="00BF4CC3"/>
    <w:rsid w:val="00BF5035"/>
    <w:rsid w:val="00BF6F5E"/>
    <w:rsid w:val="00BF7E5F"/>
    <w:rsid w:val="00C0023B"/>
    <w:rsid w:val="00C005E8"/>
    <w:rsid w:val="00C00E7D"/>
    <w:rsid w:val="00C016B9"/>
    <w:rsid w:val="00C05155"/>
    <w:rsid w:val="00C054C7"/>
    <w:rsid w:val="00C057B5"/>
    <w:rsid w:val="00C06391"/>
    <w:rsid w:val="00C065DA"/>
    <w:rsid w:val="00C11A72"/>
    <w:rsid w:val="00C17287"/>
    <w:rsid w:val="00C20179"/>
    <w:rsid w:val="00C2206A"/>
    <w:rsid w:val="00C222DB"/>
    <w:rsid w:val="00C22687"/>
    <w:rsid w:val="00C276F9"/>
    <w:rsid w:val="00C31123"/>
    <w:rsid w:val="00C32E4D"/>
    <w:rsid w:val="00C333A0"/>
    <w:rsid w:val="00C3489C"/>
    <w:rsid w:val="00C36A81"/>
    <w:rsid w:val="00C37FF3"/>
    <w:rsid w:val="00C41974"/>
    <w:rsid w:val="00C447AD"/>
    <w:rsid w:val="00C4637C"/>
    <w:rsid w:val="00C51060"/>
    <w:rsid w:val="00C513EA"/>
    <w:rsid w:val="00C5222C"/>
    <w:rsid w:val="00C53F4A"/>
    <w:rsid w:val="00C54125"/>
    <w:rsid w:val="00C54251"/>
    <w:rsid w:val="00C54F9D"/>
    <w:rsid w:val="00C55781"/>
    <w:rsid w:val="00C55B54"/>
    <w:rsid w:val="00C6098E"/>
    <w:rsid w:val="00C6152C"/>
    <w:rsid w:val="00C621C2"/>
    <w:rsid w:val="00C72BCD"/>
    <w:rsid w:val="00C74810"/>
    <w:rsid w:val="00C74ED7"/>
    <w:rsid w:val="00C75419"/>
    <w:rsid w:val="00C77D17"/>
    <w:rsid w:val="00C81A21"/>
    <w:rsid w:val="00C82E22"/>
    <w:rsid w:val="00C83A5C"/>
    <w:rsid w:val="00C83B3C"/>
    <w:rsid w:val="00C84359"/>
    <w:rsid w:val="00C856A6"/>
    <w:rsid w:val="00C859F2"/>
    <w:rsid w:val="00C87925"/>
    <w:rsid w:val="00C90D68"/>
    <w:rsid w:val="00C91143"/>
    <w:rsid w:val="00C915FB"/>
    <w:rsid w:val="00C939FE"/>
    <w:rsid w:val="00C94A9F"/>
    <w:rsid w:val="00CA4BDA"/>
    <w:rsid w:val="00CA51C6"/>
    <w:rsid w:val="00CA5A8C"/>
    <w:rsid w:val="00CB0313"/>
    <w:rsid w:val="00CB1F66"/>
    <w:rsid w:val="00CB2951"/>
    <w:rsid w:val="00CB378E"/>
    <w:rsid w:val="00CB3D0E"/>
    <w:rsid w:val="00CB54F2"/>
    <w:rsid w:val="00CC0232"/>
    <w:rsid w:val="00CC76F3"/>
    <w:rsid w:val="00CD0710"/>
    <w:rsid w:val="00CD101F"/>
    <w:rsid w:val="00CD282B"/>
    <w:rsid w:val="00CD31AB"/>
    <w:rsid w:val="00CD35C5"/>
    <w:rsid w:val="00CD4C35"/>
    <w:rsid w:val="00CD4E3F"/>
    <w:rsid w:val="00CD5246"/>
    <w:rsid w:val="00CD5CFF"/>
    <w:rsid w:val="00CD62F9"/>
    <w:rsid w:val="00CD7369"/>
    <w:rsid w:val="00CD7D51"/>
    <w:rsid w:val="00CE0890"/>
    <w:rsid w:val="00CE0B0E"/>
    <w:rsid w:val="00CE0D24"/>
    <w:rsid w:val="00CE2F1E"/>
    <w:rsid w:val="00CE3831"/>
    <w:rsid w:val="00CE59FF"/>
    <w:rsid w:val="00CE5E46"/>
    <w:rsid w:val="00CE5FD1"/>
    <w:rsid w:val="00CE7DF0"/>
    <w:rsid w:val="00CF1006"/>
    <w:rsid w:val="00CF2B22"/>
    <w:rsid w:val="00CF2E4C"/>
    <w:rsid w:val="00CF5993"/>
    <w:rsid w:val="00CF6B6D"/>
    <w:rsid w:val="00CF6FBA"/>
    <w:rsid w:val="00D00ABB"/>
    <w:rsid w:val="00D0179B"/>
    <w:rsid w:val="00D01F14"/>
    <w:rsid w:val="00D01F50"/>
    <w:rsid w:val="00D02EEC"/>
    <w:rsid w:val="00D03551"/>
    <w:rsid w:val="00D06290"/>
    <w:rsid w:val="00D06A63"/>
    <w:rsid w:val="00D07E0E"/>
    <w:rsid w:val="00D101C4"/>
    <w:rsid w:val="00D10352"/>
    <w:rsid w:val="00D11478"/>
    <w:rsid w:val="00D13D2F"/>
    <w:rsid w:val="00D159E4"/>
    <w:rsid w:val="00D15ED0"/>
    <w:rsid w:val="00D21B3E"/>
    <w:rsid w:val="00D21FED"/>
    <w:rsid w:val="00D23CC3"/>
    <w:rsid w:val="00D2419A"/>
    <w:rsid w:val="00D24251"/>
    <w:rsid w:val="00D24DFC"/>
    <w:rsid w:val="00D279D2"/>
    <w:rsid w:val="00D33A86"/>
    <w:rsid w:val="00D343E2"/>
    <w:rsid w:val="00D3605C"/>
    <w:rsid w:val="00D361A2"/>
    <w:rsid w:val="00D430B1"/>
    <w:rsid w:val="00D44C2E"/>
    <w:rsid w:val="00D45414"/>
    <w:rsid w:val="00D47C9B"/>
    <w:rsid w:val="00D53C0F"/>
    <w:rsid w:val="00D54131"/>
    <w:rsid w:val="00D541FB"/>
    <w:rsid w:val="00D563A4"/>
    <w:rsid w:val="00D566BD"/>
    <w:rsid w:val="00D57A4D"/>
    <w:rsid w:val="00D60AA7"/>
    <w:rsid w:val="00D60D87"/>
    <w:rsid w:val="00D61187"/>
    <w:rsid w:val="00D6435F"/>
    <w:rsid w:val="00D64450"/>
    <w:rsid w:val="00D651EE"/>
    <w:rsid w:val="00D6621D"/>
    <w:rsid w:val="00D745C0"/>
    <w:rsid w:val="00D74601"/>
    <w:rsid w:val="00D75282"/>
    <w:rsid w:val="00D75E28"/>
    <w:rsid w:val="00D772C2"/>
    <w:rsid w:val="00D8008E"/>
    <w:rsid w:val="00D82C45"/>
    <w:rsid w:val="00D835EA"/>
    <w:rsid w:val="00D83615"/>
    <w:rsid w:val="00D840FF"/>
    <w:rsid w:val="00D90678"/>
    <w:rsid w:val="00D908A8"/>
    <w:rsid w:val="00D9265A"/>
    <w:rsid w:val="00D92C2A"/>
    <w:rsid w:val="00D93DC7"/>
    <w:rsid w:val="00D977B6"/>
    <w:rsid w:val="00DA4A31"/>
    <w:rsid w:val="00DA53A3"/>
    <w:rsid w:val="00DA61F2"/>
    <w:rsid w:val="00DA6250"/>
    <w:rsid w:val="00DA6508"/>
    <w:rsid w:val="00DA7B04"/>
    <w:rsid w:val="00DB16BE"/>
    <w:rsid w:val="00DB306D"/>
    <w:rsid w:val="00DB36C2"/>
    <w:rsid w:val="00DB709B"/>
    <w:rsid w:val="00DB7196"/>
    <w:rsid w:val="00DC0A5F"/>
    <w:rsid w:val="00DC165E"/>
    <w:rsid w:val="00DC169B"/>
    <w:rsid w:val="00DC2AB9"/>
    <w:rsid w:val="00DC33F9"/>
    <w:rsid w:val="00DC4406"/>
    <w:rsid w:val="00DC57B5"/>
    <w:rsid w:val="00DC63F0"/>
    <w:rsid w:val="00DC6B8B"/>
    <w:rsid w:val="00DC7939"/>
    <w:rsid w:val="00DC7F69"/>
    <w:rsid w:val="00DD1CDD"/>
    <w:rsid w:val="00DD376E"/>
    <w:rsid w:val="00DD45C5"/>
    <w:rsid w:val="00DD53B8"/>
    <w:rsid w:val="00DD5853"/>
    <w:rsid w:val="00DD6EE5"/>
    <w:rsid w:val="00DE1B8E"/>
    <w:rsid w:val="00DE3141"/>
    <w:rsid w:val="00DE386C"/>
    <w:rsid w:val="00DE4D35"/>
    <w:rsid w:val="00DE4DDA"/>
    <w:rsid w:val="00DE6995"/>
    <w:rsid w:val="00DE7CB4"/>
    <w:rsid w:val="00DF0549"/>
    <w:rsid w:val="00DF098B"/>
    <w:rsid w:val="00DF0C05"/>
    <w:rsid w:val="00DF11C4"/>
    <w:rsid w:val="00DF210C"/>
    <w:rsid w:val="00DF2CD4"/>
    <w:rsid w:val="00DF4B6A"/>
    <w:rsid w:val="00DF541C"/>
    <w:rsid w:val="00E0070E"/>
    <w:rsid w:val="00E026C2"/>
    <w:rsid w:val="00E02C09"/>
    <w:rsid w:val="00E032AD"/>
    <w:rsid w:val="00E036D8"/>
    <w:rsid w:val="00E04D59"/>
    <w:rsid w:val="00E05BB0"/>
    <w:rsid w:val="00E07DA1"/>
    <w:rsid w:val="00E10149"/>
    <w:rsid w:val="00E1041C"/>
    <w:rsid w:val="00E123CB"/>
    <w:rsid w:val="00E13986"/>
    <w:rsid w:val="00E146DF"/>
    <w:rsid w:val="00E146F6"/>
    <w:rsid w:val="00E1557C"/>
    <w:rsid w:val="00E16A13"/>
    <w:rsid w:val="00E17AE2"/>
    <w:rsid w:val="00E17FFE"/>
    <w:rsid w:val="00E203D5"/>
    <w:rsid w:val="00E20E13"/>
    <w:rsid w:val="00E214D8"/>
    <w:rsid w:val="00E2169C"/>
    <w:rsid w:val="00E21DBC"/>
    <w:rsid w:val="00E2289C"/>
    <w:rsid w:val="00E249BA"/>
    <w:rsid w:val="00E26E55"/>
    <w:rsid w:val="00E275D7"/>
    <w:rsid w:val="00E27DBE"/>
    <w:rsid w:val="00E32AB1"/>
    <w:rsid w:val="00E354D2"/>
    <w:rsid w:val="00E36C71"/>
    <w:rsid w:val="00E40404"/>
    <w:rsid w:val="00E4133A"/>
    <w:rsid w:val="00E44D0A"/>
    <w:rsid w:val="00E459C6"/>
    <w:rsid w:val="00E47589"/>
    <w:rsid w:val="00E47ECE"/>
    <w:rsid w:val="00E532F7"/>
    <w:rsid w:val="00E54889"/>
    <w:rsid w:val="00E57DA5"/>
    <w:rsid w:val="00E62AA8"/>
    <w:rsid w:val="00E64915"/>
    <w:rsid w:val="00E661D4"/>
    <w:rsid w:val="00E70091"/>
    <w:rsid w:val="00E7048C"/>
    <w:rsid w:val="00E720F5"/>
    <w:rsid w:val="00E73C75"/>
    <w:rsid w:val="00E75E0B"/>
    <w:rsid w:val="00E75E37"/>
    <w:rsid w:val="00E76873"/>
    <w:rsid w:val="00E769A7"/>
    <w:rsid w:val="00E76D47"/>
    <w:rsid w:val="00E775C5"/>
    <w:rsid w:val="00E8416F"/>
    <w:rsid w:val="00E849F7"/>
    <w:rsid w:val="00E875D6"/>
    <w:rsid w:val="00E90302"/>
    <w:rsid w:val="00E9597F"/>
    <w:rsid w:val="00E97396"/>
    <w:rsid w:val="00EA185E"/>
    <w:rsid w:val="00EA3181"/>
    <w:rsid w:val="00EA36A6"/>
    <w:rsid w:val="00EA4FEA"/>
    <w:rsid w:val="00EA5465"/>
    <w:rsid w:val="00EA5505"/>
    <w:rsid w:val="00EA592A"/>
    <w:rsid w:val="00EA5AC4"/>
    <w:rsid w:val="00EA5E30"/>
    <w:rsid w:val="00EA6FA4"/>
    <w:rsid w:val="00EA737F"/>
    <w:rsid w:val="00EA7542"/>
    <w:rsid w:val="00EB066D"/>
    <w:rsid w:val="00EB14E4"/>
    <w:rsid w:val="00EB32A5"/>
    <w:rsid w:val="00EB34ED"/>
    <w:rsid w:val="00EB689F"/>
    <w:rsid w:val="00EB7BE0"/>
    <w:rsid w:val="00EC315E"/>
    <w:rsid w:val="00EC3442"/>
    <w:rsid w:val="00EC344A"/>
    <w:rsid w:val="00EC6B7E"/>
    <w:rsid w:val="00EC6C75"/>
    <w:rsid w:val="00EC780B"/>
    <w:rsid w:val="00ED077C"/>
    <w:rsid w:val="00ED1190"/>
    <w:rsid w:val="00ED26EB"/>
    <w:rsid w:val="00ED3148"/>
    <w:rsid w:val="00ED4518"/>
    <w:rsid w:val="00ED6337"/>
    <w:rsid w:val="00ED6544"/>
    <w:rsid w:val="00EE00E4"/>
    <w:rsid w:val="00EE0277"/>
    <w:rsid w:val="00EE1402"/>
    <w:rsid w:val="00EE1DA9"/>
    <w:rsid w:val="00EE3568"/>
    <w:rsid w:val="00EE3E00"/>
    <w:rsid w:val="00EE40E1"/>
    <w:rsid w:val="00EE5DD2"/>
    <w:rsid w:val="00EE7BC7"/>
    <w:rsid w:val="00EF0073"/>
    <w:rsid w:val="00EF3DFB"/>
    <w:rsid w:val="00EF41F1"/>
    <w:rsid w:val="00EF4F08"/>
    <w:rsid w:val="00EF573B"/>
    <w:rsid w:val="00F00A79"/>
    <w:rsid w:val="00F00E86"/>
    <w:rsid w:val="00F00F8B"/>
    <w:rsid w:val="00F01ABE"/>
    <w:rsid w:val="00F03BD6"/>
    <w:rsid w:val="00F0429B"/>
    <w:rsid w:val="00F04586"/>
    <w:rsid w:val="00F06228"/>
    <w:rsid w:val="00F07C1E"/>
    <w:rsid w:val="00F105DB"/>
    <w:rsid w:val="00F12FEB"/>
    <w:rsid w:val="00F132BC"/>
    <w:rsid w:val="00F13D80"/>
    <w:rsid w:val="00F152AC"/>
    <w:rsid w:val="00F15EA3"/>
    <w:rsid w:val="00F16AAA"/>
    <w:rsid w:val="00F17D68"/>
    <w:rsid w:val="00F21046"/>
    <w:rsid w:val="00F21161"/>
    <w:rsid w:val="00F218EF"/>
    <w:rsid w:val="00F21BC7"/>
    <w:rsid w:val="00F22A3A"/>
    <w:rsid w:val="00F23735"/>
    <w:rsid w:val="00F23A84"/>
    <w:rsid w:val="00F2439E"/>
    <w:rsid w:val="00F2607B"/>
    <w:rsid w:val="00F266A2"/>
    <w:rsid w:val="00F27040"/>
    <w:rsid w:val="00F30606"/>
    <w:rsid w:val="00F32269"/>
    <w:rsid w:val="00F34707"/>
    <w:rsid w:val="00F37AA4"/>
    <w:rsid w:val="00F40C73"/>
    <w:rsid w:val="00F42FBF"/>
    <w:rsid w:val="00F4457E"/>
    <w:rsid w:val="00F45C1C"/>
    <w:rsid w:val="00F46902"/>
    <w:rsid w:val="00F5030F"/>
    <w:rsid w:val="00F5674D"/>
    <w:rsid w:val="00F56A6F"/>
    <w:rsid w:val="00F57042"/>
    <w:rsid w:val="00F5709C"/>
    <w:rsid w:val="00F609C4"/>
    <w:rsid w:val="00F619F6"/>
    <w:rsid w:val="00F6267B"/>
    <w:rsid w:val="00F62C83"/>
    <w:rsid w:val="00F62D6B"/>
    <w:rsid w:val="00F64EF1"/>
    <w:rsid w:val="00F70D05"/>
    <w:rsid w:val="00F74574"/>
    <w:rsid w:val="00F81086"/>
    <w:rsid w:val="00F86B83"/>
    <w:rsid w:val="00F86C2A"/>
    <w:rsid w:val="00F8765F"/>
    <w:rsid w:val="00F900CA"/>
    <w:rsid w:val="00F90767"/>
    <w:rsid w:val="00F926B1"/>
    <w:rsid w:val="00F94E8F"/>
    <w:rsid w:val="00F9550F"/>
    <w:rsid w:val="00FA4FCA"/>
    <w:rsid w:val="00FA5179"/>
    <w:rsid w:val="00FA5D97"/>
    <w:rsid w:val="00FA685B"/>
    <w:rsid w:val="00FB0C01"/>
    <w:rsid w:val="00FB29BE"/>
    <w:rsid w:val="00FB7468"/>
    <w:rsid w:val="00FC035C"/>
    <w:rsid w:val="00FC186C"/>
    <w:rsid w:val="00FC18F2"/>
    <w:rsid w:val="00FC3620"/>
    <w:rsid w:val="00FC39E5"/>
    <w:rsid w:val="00FC3A78"/>
    <w:rsid w:val="00FC5651"/>
    <w:rsid w:val="00FC5854"/>
    <w:rsid w:val="00FC5FFE"/>
    <w:rsid w:val="00FD1005"/>
    <w:rsid w:val="00FD3180"/>
    <w:rsid w:val="00FD36B7"/>
    <w:rsid w:val="00FD37A7"/>
    <w:rsid w:val="00FD3D8C"/>
    <w:rsid w:val="00FD3E5F"/>
    <w:rsid w:val="00FD4C70"/>
    <w:rsid w:val="00FD4EB0"/>
    <w:rsid w:val="00FD641E"/>
    <w:rsid w:val="00FD6C75"/>
    <w:rsid w:val="00FE100B"/>
    <w:rsid w:val="00FE20E9"/>
    <w:rsid w:val="00FE64B6"/>
    <w:rsid w:val="00FE6BDA"/>
    <w:rsid w:val="00FE71B3"/>
    <w:rsid w:val="00FF0582"/>
    <w:rsid w:val="00FF2AC9"/>
    <w:rsid w:val="00FF42C5"/>
    <w:rsid w:val="00FF4D02"/>
    <w:rsid w:val="00FF6F95"/>
    <w:rsid w:val="00FF705F"/>
    <w:rsid w:val="00FF74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377D0B"/>
    <w:pPr>
      <w:jc w:val="both"/>
    </w:pPr>
    <w:rPr>
      <w:rFonts w:eastAsiaTheme="minorEastAsia"/>
      <w:sz w:val="24"/>
      <w:lang w:val="en-GB"/>
    </w:rPr>
  </w:style>
  <w:style w:type="paragraph" w:styleId="Heading1">
    <w:name w:val="heading 1"/>
    <w:basedOn w:val="Normal"/>
    <w:next w:val="Normal"/>
    <w:link w:val="Heading1Char"/>
    <w:uiPriority w:val="99"/>
    <w:semiHidden/>
    <w:rsid w:val="00377D0B"/>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377D0B"/>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377D0B"/>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377D0B"/>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240730"/>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377D0B"/>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240730"/>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240730"/>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240730"/>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77D0B"/>
    <w:rPr>
      <w:rFonts w:ascii="Tahoma" w:hAnsi="Tahoma" w:cs="Tahoma"/>
      <w:sz w:val="16"/>
      <w:szCs w:val="16"/>
    </w:rPr>
  </w:style>
  <w:style w:type="character" w:customStyle="1" w:styleId="BalloonTextChar">
    <w:name w:val="Balloon Text Char"/>
    <w:basedOn w:val="DefaultParagraphFont"/>
    <w:link w:val="BalloonText"/>
    <w:uiPriority w:val="99"/>
    <w:semiHidden/>
    <w:rsid w:val="00377D0B"/>
    <w:rPr>
      <w:rFonts w:ascii="Tahoma" w:eastAsiaTheme="minorEastAsia" w:hAnsi="Tahoma" w:cs="Tahoma"/>
      <w:sz w:val="16"/>
      <w:szCs w:val="16"/>
      <w:lang w:val="en-GB"/>
    </w:rPr>
  </w:style>
  <w:style w:type="character" w:styleId="BookTitle">
    <w:name w:val="Book Title"/>
    <w:uiPriority w:val="99"/>
    <w:semiHidden/>
    <w:qFormat/>
    <w:rsid w:val="00240730"/>
    <w:rPr>
      <w:i/>
      <w:iCs/>
      <w:smallCaps/>
      <w:spacing w:val="5"/>
    </w:rPr>
  </w:style>
  <w:style w:type="paragraph" w:customStyle="1" w:styleId="ECHRHeader">
    <w:name w:val="ECHR_Header"/>
    <w:aliases w:val="Ju_Header"/>
    <w:basedOn w:val="Header"/>
    <w:uiPriority w:val="4"/>
    <w:qFormat/>
    <w:rsid w:val="00240730"/>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377D0B"/>
    <w:pPr>
      <w:jc w:val="left"/>
    </w:pPr>
    <w:rPr>
      <w:sz w:val="8"/>
    </w:rPr>
  </w:style>
  <w:style w:type="character" w:styleId="Strong">
    <w:name w:val="Strong"/>
    <w:uiPriority w:val="99"/>
    <w:semiHidden/>
    <w:qFormat/>
    <w:rsid w:val="00240730"/>
    <w:rPr>
      <w:b/>
      <w:bCs/>
    </w:rPr>
  </w:style>
  <w:style w:type="paragraph" w:styleId="NoSpacing">
    <w:name w:val="No Spacing"/>
    <w:basedOn w:val="Normal"/>
    <w:link w:val="NoSpacingChar"/>
    <w:semiHidden/>
    <w:qFormat/>
    <w:rsid w:val="00240730"/>
    <w:rPr>
      <w:sz w:val="22"/>
      <w:lang w:val="en-US"/>
    </w:rPr>
  </w:style>
  <w:style w:type="character" w:customStyle="1" w:styleId="NoSpacingChar">
    <w:name w:val="No Spacing Char"/>
    <w:basedOn w:val="DefaultParagraphFont"/>
    <w:link w:val="NoSpacing"/>
    <w:semiHidden/>
    <w:rsid w:val="00240730"/>
    <w:rPr>
      <w:rFonts w:eastAsiaTheme="minorEastAsia"/>
    </w:rPr>
  </w:style>
  <w:style w:type="paragraph" w:customStyle="1" w:styleId="ECHRFooterLine">
    <w:name w:val="ECHR_Footer_Line"/>
    <w:aliases w:val="Footer_Line"/>
    <w:basedOn w:val="Normal"/>
    <w:next w:val="ECHRFooter"/>
    <w:uiPriority w:val="57"/>
    <w:semiHidden/>
    <w:rsid w:val="00377D0B"/>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240730"/>
  </w:style>
  <w:style w:type="paragraph" w:customStyle="1" w:styleId="DecList">
    <w:name w:val="Dec_List"/>
    <w:basedOn w:val="Normal"/>
    <w:uiPriority w:val="9"/>
    <w:semiHidden/>
    <w:qFormat/>
    <w:rsid w:val="00240730"/>
    <w:pPr>
      <w:spacing w:before="240"/>
      <w:ind w:left="284"/>
    </w:pPr>
  </w:style>
  <w:style w:type="paragraph" w:customStyle="1" w:styleId="OpiPara">
    <w:name w:val="Opi_Para"/>
    <w:basedOn w:val="ECHRPara"/>
    <w:uiPriority w:val="46"/>
    <w:qFormat/>
    <w:rsid w:val="00240730"/>
  </w:style>
  <w:style w:type="paragraph" w:customStyle="1" w:styleId="ECHRTitleCentre3">
    <w:name w:val="ECHR_Title_Centre_3"/>
    <w:aliases w:val="Ju_H_Article"/>
    <w:basedOn w:val="Normal"/>
    <w:next w:val="ECHRParaQuote"/>
    <w:uiPriority w:val="27"/>
    <w:qFormat/>
    <w:rsid w:val="00240730"/>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240730"/>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240730"/>
    <w:pPr>
      <w:numPr>
        <w:numId w:val="39"/>
      </w:numPr>
      <w:jc w:val="left"/>
    </w:pPr>
    <w:rPr>
      <w:b/>
    </w:rPr>
  </w:style>
  <w:style w:type="paragraph" w:customStyle="1" w:styleId="JuCourt">
    <w:name w:val="Ju_Court"/>
    <w:basedOn w:val="Normal"/>
    <w:next w:val="Normal"/>
    <w:uiPriority w:val="16"/>
    <w:qFormat/>
    <w:rsid w:val="00240730"/>
    <w:pPr>
      <w:tabs>
        <w:tab w:val="left" w:pos="907"/>
        <w:tab w:val="left" w:pos="1701"/>
        <w:tab w:val="right" w:pos="7371"/>
      </w:tabs>
      <w:spacing w:before="240"/>
      <w:ind w:left="397" w:hanging="397"/>
      <w:jc w:val="left"/>
    </w:pPr>
    <w:rPr>
      <w:lang w:bidi="en-US"/>
    </w:rPr>
  </w:style>
  <w:style w:type="paragraph" w:customStyle="1" w:styleId="JuInitialled">
    <w:name w:val="Ju_Initialled"/>
    <w:basedOn w:val="Normal"/>
    <w:uiPriority w:val="31"/>
    <w:qFormat/>
    <w:rsid w:val="00240730"/>
    <w:pPr>
      <w:tabs>
        <w:tab w:val="center" w:pos="6407"/>
      </w:tabs>
      <w:spacing w:before="720"/>
      <w:jc w:val="right"/>
    </w:pPr>
  </w:style>
  <w:style w:type="paragraph" w:customStyle="1" w:styleId="ECHRTitleCentre2">
    <w:name w:val="ECHR_Title_Centre_2"/>
    <w:aliases w:val="Dec_H_Case"/>
    <w:basedOn w:val="Normal"/>
    <w:next w:val="ECHRPara"/>
    <w:uiPriority w:val="8"/>
    <w:qFormat/>
    <w:rsid w:val="00240730"/>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240730"/>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240730"/>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240730"/>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240730"/>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240730"/>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240730"/>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Heading6"/>
    <w:next w:val="ECHRPara"/>
    <w:uiPriority w:val="24"/>
    <w:qFormat/>
    <w:rsid w:val="00240730"/>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240730"/>
    <w:pPr>
      <w:keepNext/>
      <w:keepLines/>
      <w:spacing w:before="240" w:after="120"/>
      <w:ind w:left="1236"/>
    </w:pPr>
    <w:rPr>
      <w:sz w:val="20"/>
      <w:lang w:val="en-GB"/>
    </w:rPr>
  </w:style>
  <w:style w:type="character" w:customStyle="1" w:styleId="JUNAMES">
    <w:name w:val="JU_NAMES"/>
    <w:uiPriority w:val="17"/>
    <w:qFormat/>
    <w:rsid w:val="00240730"/>
    <w:rPr>
      <w:caps w:val="0"/>
      <w:smallCaps/>
    </w:rPr>
  </w:style>
  <w:style w:type="paragraph" w:customStyle="1" w:styleId="JuParaSub">
    <w:name w:val="Ju_Para_Sub"/>
    <w:basedOn w:val="ECHRPara"/>
    <w:uiPriority w:val="13"/>
    <w:qFormat/>
    <w:rsid w:val="00240730"/>
    <w:pPr>
      <w:ind w:left="284"/>
    </w:pPr>
  </w:style>
  <w:style w:type="paragraph" w:customStyle="1" w:styleId="JuQuotSub">
    <w:name w:val="Ju_Quot_Sub"/>
    <w:basedOn w:val="ECHRParaQuote"/>
    <w:uiPriority w:val="15"/>
    <w:qFormat/>
    <w:rsid w:val="00240730"/>
    <w:pPr>
      <w:ind w:left="567"/>
    </w:pPr>
  </w:style>
  <w:style w:type="paragraph" w:styleId="Header">
    <w:name w:val="header"/>
    <w:basedOn w:val="Normal"/>
    <w:link w:val="HeaderChar"/>
    <w:uiPriority w:val="57"/>
    <w:semiHidden/>
    <w:rsid w:val="00377D0B"/>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377D0B"/>
    <w:rPr>
      <w:sz w:val="24"/>
      <w:lang w:val="en-GB"/>
    </w:rPr>
  </w:style>
  <w:style w:type="character" w:customStyle="1" w:styleId="Heading1Char">
    <w:name w:val="Heading 1 Char"/>
    <w:basedOn w:val="DefaultParagraphFont"/>
    <w:link w:val="Heading1"/>
    <w:uiPriority w:val="99"/>
    <w:semiHidden/>
    <w:rsid w:val="00377D0B"/>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Heading1"/>
    <w:next w:val="ECHRPara"/>
    <w:uiPriority w:val="19"/>
    <w:qFormat/>
    <w:rsid w:val="00240730"/>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240730"/>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377D0B"/>
    <w:rPr>
      <w:rFonts w:asciiTheme="majorHAnsi" w:eastAsiaTheme="majorEastAsia" w:hAnsiTheme="majorHAnsi" w:cstheme="majorBidi"/>
      <w:b/>
      <w:bCs/>
      <w:color w:val="4D4D4D"/>
      <w:sz w:val="26"/>
      <w:szCs w:val="26"/>
      <w:lang w:val="en-GB"/>
    </w:rPr>
  </w:style>
  <w:style w:type="paragraph" w:customStyle="1" w:styleId="OpiParaSub">
    <w:name w:val="Opi_Para_Sub"/>
    <w:basedOn w:val="JuParaSub"/>
    <w:uiPriority w:val="47"/>
    <w:qFormat/>
    <w:rsid w:val="00240730"/>
  </w:style>
  <w:style w:type="paragraph" w:customStyle="1" w:styleId="JuCase">
    <w:name w:val="Ju_Case"/>
    <w:basedOn w:val="Normal"/>
    <w:next w:val="ECHRPara"/>
    <w:uiPriority w:val="10"/>
    <w:rsid w:val="00377D0B"/>
    <w:pPr>
      <w:ind w:firstLine="284"/>
    </w:pPr>
    <w:rPr>
      <w:b/>
    </w:rPr>
  </w:style>
  <w:style w:type="character" w:customStyle="1" w:styleId="Heading3Char">
    <w:name w:val="Heading 3 Char"/>
    <w:basedOn w:val="DefaultParagraphFont"/>
    <w:link w:val="Heading3"/>
    <w:uiPriority w:val="99"/>
    <w:semiHidden/>
    <w:rsid w:val="00377D0B"/>
    <w:rPr>
      <w:rFonts w:asciiTheme="majorHAnsi" w:eastAsiaTheme="majorEastAsia" w:hAnsiTheme="majorHAnsi" w:cstheme="majorBidi"/>
      <w:b/>
      <w:bCs/>
      <w:color w:val="5F5F5F"/>
      <w:sz w:val="24"/>
      <w:lang w:val="en-GB"/>
    </w:rPr>
  </w:style>
  <w:style w:type="character" w:customStyle="1" w:styleId="Heading4Char">
    <w:name w:val="Heading 4 Char"/>
    <w:basedOn w:val="DefaultParagraphFont"/>
    <w:link w:val="Heading4"/>
    <w:uiPriority w:val="99"/>
    <w:semiHidden/>
    <w:rsid w:val="00377D0B"/>
    <w:rPr>
      <w:rFonts w:asciiTheme="majorHAnsi" w:eastAsiaTheme="majorEastAsia" w:hAnsiTheme="majorHAnsi" w:cstheme="majorBidi"/>
      <w:b/>
      <w:bCs/>
      <w:i/>
      <w:iCs/>
      <w:color w:val="777777"/>
      <w:sz w:val="24"/>
      <w:lang w:val="en-GB"/>
    </w:rPr>
  </w:style>
  <w:style w:type="character" w:customStyle="1" w:styleId="Heading5Char">
    <w:name w:val="Heading 5 Char"/>
    <w:basedOn w:val="DefaultParagraphFont"/>
    <w:link w:val="Heading5"/>
    <w:uiPriority w:val="99"/>
    <w:semiHidden/>
    <w:rsid w:val="00240730"/>
    <w:rPr>
      <w:rFonts w:asciiTheme="majorHAnsi" w:eastAsiaTheme="majorEastAsia" w:hAnsiTheme="majorHAnsi" w:cstheme="majorBidi"/>
      <w:b/>
      <w:bCs/>
      <w:color w:val="808080"/>
    </w:rPr>
  </w:style>
  <w:style w:type="character" w:styleId="SubtleEmphasis">
    <w:name w:val="Subtle Emphasis"/>
    <w:uiPriority w:val="99"/>
    <w:semiHidden/>
    <w:qFormat/>
    <w:rsid w:val="00240730"/>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240730"/>
    <w:pPr>
      <w:keepNext/>
      <w:keepLines/>
      <w:spacing w:before="720" w:after="240"/>
      <w:outlineLvl w:val="0"/>
    </w:pPr>
    <w:rPr>
      <w:rFonts w:asciiTheme="majorHAnsi" w:hAnsiTheme="majorHAnsi"/>
      <w:sz w:val="28"/>
    </w:rPr>
  </w:style>
  <w:style w:type="character" w:styleId="Emphasis">
    <w:name w:val="Emphasis"/>
    <w:uiPriority w:val="99"/>
    <w:semiHidden/>
    <w:qFormat/>
    <w:rsid w:val="00240730"/>
    <w:rPr>
      <w:b/>
      <w:bCs/>
      <w:i/>
      <w:iCs/>
      <w:spacing w:val="10"/>
      <w:bdr w:val="none" w:sz="0" w:space="0" w:color="auto"/>
      <w:shd w:val="clear" w:color="auto" w:fill="auto"/>
    </w:rPr>
  </w:style>
  <w:style w:type="paragraph" w:styleId="Footer">
    <w:name w:val="footer"/>
    <w:basedOn w:val="Normal"/>
    <w:link w:val="FooterChar"/>
    <w:uiPriority w:val="57"/>
    <w:semiHidden/>
    <w:rsid w:val="00377D0B"/>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377D0B"/>
    <w:rPr>
      <w:sz w:val="24"/>
      <w:lang w:val="en-GB"/>
    </w:rPr>
  </w:style>
  <w:style w:type="character" w:styleId="FootnoteReference">
    <w:name w:val="footnote reference"/>
    <w:basedOn w:val="DefaultParagraphFont"/>
    <w:uiPriority w:val="99"/>
    <w:semiHidden/>
    <w:rsid w:val="00377D0B"/>
    <w:rPr>
      <w:vertAlign w:val="superscript"/>
    </w:rPr>
  </w:style>
  <w:style w:type="paragraph" w:styleId="FootnoteText">
    <w:name w:val="footnote text"/>
    <w:basedOn w:val="Normal"/>
    <w:link w:val="FootnoteTextChar"/>
    <w:uiPriority w:val="99"/>
    <w:semiHidden/>
    <w:rsid w:val="00377D0B"/>
    <w:rPr>
      <w:sz w:val="20"/>
      <w:szCs w:val="20"/>
    </w:rPr>
  </w:style>
  <w:style w:type="character" w:customStyle="1" w:styleId="FootnoteTextChar">
    <w:name w:val="Footnote Text Char"/>
    <w:basedOn w:val="DefaultParagraphFont"/>
    <w:link w:val="FootnoteText"/>
    <w:uiPriority w:val="99"/>
    <w:semiHidden/>
    <w:rsid w:val="00377D0B"/>
    <w:rPr>
      <w:rFonts w:eastAsiaTheme="minorEastAsia"/>
      <w:sz w:val="20"/>
      <w:szCs w:val="20"/>
      <w:lang w:val="en-GB"/>
    </w:rPr>
  </w:style>
  <w:style w:type="character" w:customStyle="1" w:styleId="Heading6Char">
    <w:name w:val="Heading 6 Char"/>
    <w:basedOn w:val="DefaultParagraphFont"/>
    <w:link w:val="Heading6"/>
    <w:uiPriority w:val="99"/>
    <w:semiHidden/>
    <w:rsid w:val="00377D0B"/>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240730"/>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240730"/>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240730"/>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377D0B"/>
    <w:rPr>
      <w:color w:val="0072BC" w:themeColor="hyperlink"/>
      <w:u w:val="single"/>
    </w:rPr>
  </w:style>
  <w:style w:type="character" w:styleId="IntenseEmphasis">
    <w:name w:val="Intense Emphasis"/>
    <w:uiPriority w:val="99"/>
    <w:semiHidden/>
    <w:qFormat/>
    <w:rsid w:val="00240730"/>
    <w:rPr>
      <w:b/>
      <w:bCs/>
    </w:rPr>
  </w:style>
  <w:style w:type="paragraph" w:styleId="IntenseQuote">
    <w:name w:val="Intense Quote"/>
    <w:basedOn w:val="Normal"/>
    <w:next w:val="Normal"/>
    <w:link w:val="IntenseQuoteChar"/>
    <w:uiPriority w:val="99"/>
    <w:semiHidden/>
    <w:qFormat/>
    <w:rsid w:val="00240730"/>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240730"/>
    <w:rPr>
      <w:rFonts w:eastAsiaTheme="minorEastAsia"/>
      <w:b/>
      <w:bCs/>
      <w:i/>
      <w:iCs/>
      <w:lang w:bidi="en-US"/>
    </w:rPr>
  </w:style>
  <w:style w:type="character" w:styleId="IntenseReference">
    <w:name w:val="Intense Reference"/>
    <w:uiPriority w:val="99"/>
    <w:semiHidden/>
    <w:qFormat/>
    <w:rsid w:val="00240730"/>
    <w:rPr>
      <w:smallCaps/>
      <w:spacing w:val="5"/>
      <w:u w:val="single"/>
    </w:rPr>
  </w:style>
  <w:style w:type="paragraph" w:styleId="ListParagraph">
    <w:name w:val="List Paragraph"/>
    <w:basedOn w:val="Normal"/>
    <w:uiPriority w:val="99"/>
    <w:semiHidden/>
    <w:qFormat/>
    <w:rsid w:val="00240730"/>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240730"/>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240730"/>
    <w:rPr>
      <w:rFonts w:eastAsiaTheme="minorEastAsia"/>
      <w:i/>
      <w:iCs/>
      <w:lang w:bidi="en-US"/>
    </w:rPr>
  </w:style>
  <w:style w:type="character" w:styleId="SubtleReference">
    <w:name w:val="Subtle Reference"/>
    <w:uiPriority w:val="99"/>
    <w:semiHidden/>
    <w:qFormat/>
    <w:rsid w:val="00240730"/>
    <w:rPr>
      <w:smallCaps/>
    </w:rPr>
  </w:style>
  <w:style w:type="table" w:styleId="TableGrid">
    <w:name w:val="Table Grid"/>
    <w:basedOn w:val="TableNormal"/>
    <w:uiPriority w:val="59"/>
    <w:semiHidden/>
    <w:rsid w:val="00377D0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377D0B"/>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377D0B"/>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377D0B"/>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377D0B"/>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377D0B"/>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240730"/>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377D0B"/>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Para_Quote"/>
    <w:basedOn w:val="Normal"/>
    <w:uiPriority w:val="14"/>
    <w:qFormat/>
    <w:rsid w:val="00240730"/>
    <w:pPr>
      <w:spacing w:before="120" w:after="120"/>
      <w:ind w:left="425" w:firstLine="142"/>
    </w:pPr>
    <w:rPr>
      <w:sz w:val="20"/>
    </w:rPr>
  </w:style>
  <w:style w:type="paragraph" w:customStyle="1" w:styleId="ECHRPara">
    <w:name w:val="ECHR_Para"/>
    <w:aliases w:val="Ju_Para"/>
    <w:basedOn w:val="Normal"/>
    <w:link w:val="ECHRParaChar"/>
    <w:uiPriority w:val="12"/>
    <w:qFormat/>
    <w:rsid w:val="00240730"/>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377D0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240730"/>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240730"/>
    <w:pPr>
      <w:ind w:left="340" w:hanging="340"/>
    </w:pPr>
  </w:style>
  <w:style w:type="paragraph" w:customStyle="1" w:styleId="JuSigned">
    <w:name w:val="Ju_Signed"/>
    <w:basedOn w:val="Normal"/>
    <w:next w:val="JuParaLast"/>
    <w:uiPriority w:val="32"/>
    <w:qFormat/>
    <w:rsid w:val="00240730"/>
    <w:pPr>
      <w:tabs>
        <w:tab w:val="center" w:pos="851"/>
        <w:tab w:val="center" w:pos="6407"/>
      </w:tabs>
      <w:spacing w:before="720"/>
      <w:jc w:val="left"/>
    </w:pPr>
  </w:style>
  <w:style w:type="paragraph" w:customStyle="1" w:styleId="JuParaLast">
    <w:name w:val="Ju_Para_Last"/>
    <w:basedOn w:val="Normal"/>
    <w:next w:val="ECHRPara"/>
    <w:uiPriority w:val="30"/>
    <w:qFormat/>
    <w:rsid w:val="00240730"/>
    <w:pPr>
      <w:keepNext/>
      <w:keepLines/>
      <w:spacing w:before="240"/>
      <w:ind w:firstLine="284"/>
    </w:pPr>
  </w:style>
  <w:style w:type="paragraph" w:customStyle="1" w:styleId="OpiQuot">
    <w:name w:val="Opi_Quot"/>
    <w:basedOn w:val="ECHRParaQuote"/>
    <w:uiPriority w:val="48"/>
    <w:qFormat/>
    <w:rsid w:val="00240730"/>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240730"/>
    <w:pPr>
      <w:ind w:left="346" w:firstLine="0"/>
    </w:pPr>
  </w:style>
  <w:style w:type="paragraph" w:customStyle="1" w:styleId="JuListi">
    <w:name w:val="Ju_List_i"/>
    <w:basedOn w:val="Normal"/>
    <w:next w:val="JuLista"/>
    <w:uiPriority w:val="28"/>
    <w:qFormat/>
    <w:rsid w:val="00240730"/>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basedOn w:val="DefaultParagraphFont"/>
    <w:uiPriority w:val="99"/>
    <w:semiHidden/>
    <w:rsid w:val="00377D0B"/>
    <w:rPr>
      <w:vertAlign w:val="superscript"/>
    </w:rPr>
  </w:style>
  <w:style w:type="paragraph" w:styleId="EndnoteText">
    <w:name w:val="endnote text"/>
    <w:basedOn w:val="Normal"/>
    <w:link w:val="EndnoteTextChar"/>
    <w:uiPriority w:val="99"/>
    <w:semiHidden/>
    <w:rsid w:val="00377D0B"/>
    <w:rPr>
      <w:sz w:val="20"/>
      <w:szCs w:val="20"/>
    </w:rPr>
  </w:style>
  <w:style w:type="character" w:customStyle="1" w:styleId="EndnoteTextChar">
    <w:name w:val="Endnote Text Char"/>
    <w:basedOn w:val="DefaultParagraphFont"/>
    <w:link w:val="EndnoteText"/>
    <w:uiPriority w:val="99"/>
    <w:semiHidden/>
    <w:rsid w:val="00377D0B"/>
    <w:rPr>
      <w:rFonts w:eastAsiaTheme="minorEastAsia"/>
      <w:sz w:val="20"/>
      <w:szCs w:val="20"/>
      <w:lang w:val="en-GB"/>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QuotSub">
    <w:name w:val="Opi_Quot_Sub"/>
    <w:basedOn w:val="JuQuotSub"/>
    <w:uiPriority w:val="49"/>
    <w:qFormat/>
    <w:rsid w:val="00240730"/>
  </w:style>
  <w:style w:type="paragraph" w:styleId="ListBullet">
    <w:name w:val="List Bullet"/>
    <w:basedOn w:val="Normal"/>
    <w:uiPriority w:val="99"/>
    <w:semiHidden/>
    <w:rsid w:val="00014566"/>
    <w:pPr>
      <w:numPr>
        <w:numId w:val="1"/>
      </w:numPr>
    </w:pPr>
  </w:style>
  <w:style w:type="character" w:customStyle="1" w:styleId="JuITMark">
    <w:name w:val="Ju_ITMark"/>
    <w:basedOn w:val="DefaultParagraphFont"/>
    <w:uiPriority w:val="38"/>
    <w:qFormat/>
    <w:rsid w:val="00240730"/>
    <w:rPr>
      <w:vanish w:val="0"/>
      <w:color w:val="auto"/>
      <w:sz w:val="14"/>
      <w:bdr w:val="none" w:sz="0" w:space="0" w:color="auto"/>
      <w:shd w:val="clear" w:color="auto" w:fill="BEE5FF" w:themeFill="background1" w:themeFillTint="33"/>
    </w:rPr>
  </w:style>
  <w:style w:type="paragraph" w:styleId="Subtitle">
    <w:name w:val="Subtitle"/>
    <w:basedOn w:val="Normal"/>
    <w:next w:val="Normal"/>
    <w:link w:val="SubtitleChar"/>
    <w:uiPriority w:val="99"/>
    <w:semiHidden/>
    <w:qFormat/>
    <w:rsid w:val="00240730"/>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240730"/>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377D0B"/>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377D0B"/>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377D0B"/>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A">
    <w:name w:val="Opi_H_A"/>
    <w:basedOn w:val="ECHRHeading1"/>
    <w:next w:val="OpiPara"/>
    <w:uiPriority w:val="41"/>
    <w:qFormat/>
    <w:rsid w:val="00240730"/>
    <w:pPr>
      <w:tabs>
        <w:tab w:val="clear" w:pos="357"/>
      </w:tabs>
      <w:outlineLvl w:val="1"/>
    </w:pPr>
    <w:rPr>
      <w:b/>
    </w:rPr>
  </w:style>
  <w:style w:type="paragraph" w:customStyle="1" w:styleId="OpiTranslation">
    <w:name w:val="Opi_Translation"/>
    <w:basedOn w:val="Normal"/>
    <w:next w:val="OpiPara"/>
    <w:uiPriority w:val="40"/>
    <w:qFormat/>
    <w:rsid w:val="00240730"/>
    <w:pPr>
      <w:jc w:val="center"/>
      <w:outlineLvl w:val="0"/>
    </w:pPr>
    <w:rPr>
      <w:i/>
    </w:rPr>
  </w:style>
  <w:style w:type="paragraph" w:customStyle="1" w:styleId="OpiH1">
    <w:name w:val="Opi_H_1"/>
    <w:basedOn w:val="ECHRHeading2"/>
    <w:uiPriority w:val="42"/>
    <w:qFormat/>
    <w:rsid w:val="00240730"/>
    <w:pPr>
      <w:ind w:left="635" w:hanging="357"/>
      <w:outlineLvl w:val="2"/>
    </w:pPr>
  </w:style>
  <w:style w:type="paragraph" w:customStyle="1" w:styleId="OpiHa0">
    <w:name w:val="Opi_H_a"/>
    <w:basedOn w:val="ECHRHeading3"/>
    <w:uiPriority w:val="43"/>
    <w:qFormat/>
    <w:rsid w:val="00240730"/>
    <w:pPr>
      <w:ind w:left="833" w:hanging="357"/>
      <w:outlineLvl w:val="3"/>
    </w:pPr>
    <w:rPr>
      <w:b/>
      <w:i w:val="0"/>
      <w:sz w:val="20"/>
    </w:rPr>
  </w:style>
  <w:style w:type="paragraph" w:customStyle="1" w:styleId="OpiHi">
    <w:name w:val="Opi_H_i"/>
    <w:basedOn w:val="ECHRHeading4"/>
    <w:uiPriority w:val="44"/>
    <w:qFormat/>
    <w:rsid w:val="00240730"/>
    <w:pPr>
      <w:ind w:left="1037" w:hanging="357"/>
      <w:outlineLvl w:val="4"/>
    </w:pPr>
    <w:rPr>
      <w:b w:val="0"/>
      <w:i/>
    </w:rPr>
  </w:style>
  <w:style w:type="paragraph" w:customStyle="1" w:styleId="DummyStyle">
    <w:name w:val="Dummy_Style"/>
    <w:basedOn w:val="Normal"/>
    <w:semiHidden/>
    <w:qFormat/>
    <w:rsid w:val="00240730"/>
    <w:rPr>
      <w:color w:val="00B050"/>
    </w:rPr>
  </w:style>
  <w:style w:type="paragraph" w:customStyle="1" w:styleId="JuHeaderLandscape">
    <w:name w:val="Ju_Header_Landscape"/>
    <w:basedOn w:val="ECHRHeader"/>
    <w:uiPriority w:val="4"/>
    <w:qFormat/>
    <w:rsid w:val="00240730"/>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0B07BC"/>
    <w:rPr>
      <w:rFonts w:eastAsiaTheme="minorEastAsia"/>
      <w:sz w:val="24"/>
      <w:lang w:val="en-GB"/>
    </w:rPr>
  </w:style>
  <w:style w:type="paragraph" w:customStyle="1" w:styleId="RepTabPara">
    <w:name w:val="Rep_Tab_Para"/>
    <w:basedOn w:val="Normal"/>
    <w:rsid w:val="00D90678"/>
    <w:pPr>
      <w:jc w:val="left"/>
    </w:pPr>
    <w:rPr>
      <w:rFonts w:ascii="Times New Roman" w:eastAsia="Times New Roman" w:hAnsi="Times New Roman" w:cs="Times New Roman"/>
      <w:sz w:val="20"/>
      <w:szCs w:val="20"/>
      <w:lang w:val="pt-PT" w:eastAsia="fr-FR"/>
    </w:rPr>
  </w:style>
  <w:style w:type="paragraph" w:customStyle="1" w:styleId="ECHRParaSpaced">
    <w:name w:val="ECHR_Para_Spaced"/>
    <w:aliases w:val="Para_Spaced"/>
    <w:basedOn w:val="Normal"/>
    <w:uiPriority w:val="4"/>
    <w:rsid w:val="0005434D"/>
    <w:pPr>
      <w:spacing w:before="120" w:after="120"/>
    </w:pPr>
    <w:rPr>
      <w:rFonts w:eastAsiaTheme="minorHAnsi"/>
      <w:sz w:val="22"/>
    </w:rPr>
  </w:style>
  <w:style w:type="table" w:customStyle="1" w:styleId="ECHRListTable11">
    <w:name w:val="ECHR_List_Table11"/>
    <w:basedOn w:val="TableNormal"/>
    <w:uiPriority w:val="99"/>
    <w:rsid w:val="00AF6B37"/>
    <w:rPr>
      <w:lang w:val="fr-FR" w:eastAsia="fr-FR"/>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Revision">
    <w:name w:val="Revision"/>
    <w:hidden/>
    <w:uiPriority w:val="99"/>
    <w:semiHidden/>
    <w:rsid w:val="00087F6C"/>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39108">
      <w:bodyDiv w:val="1"/>
      <w:marLeft w:val="0"/>
      <w:marRight w:val="0"/>
      <w:marTop w:val="0"/>
      <w:marBottom w:val="0"/>
      <w:divBdr>
        <w:top w:val="none" w:sz="0" w:space="0" w:color="auto"/>
        <w:left w:val="none" w:sz="0" w:space="0" w:color="auto"/>
        <w:bottom w:val="none" w:sz="0" w:space="0" w:color="auto"/>
        <w:right w:val="none" w:sz="0" w:space="0" w:color="auto"/>
      </w:divBdr>
      <w:divsChild>
        <w:div w:id="1971158512">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665207206">
                  <w:marLeft w:val="0"/>
                  <w:marRight w:val="0"/>
                  <w:marTop w:val="0"/>
                  <w:marBottom w:val="0"/>
                  <w:divBdr>
                    <w:top w:val="none" w:sz="0" w:space="0" w:color="auto"/>
                    <w:left w:val="none" w:sz="0" w:space="0" w:color="auto"/>
                    <w:bottom w:val="none" w:sz="0" w:space="0" w:color="auto"/>
                    <w:right w:val="none" w:sz="0" w:space="0" w:color="auto"/>
                  </w:divBdr>
                  <w:divsChild>
                    <w:div w:id="364913010">
                      <w:marLeft w:val="0"/>
                      <w:marRight w:val="0"/>
                      <w:marTop w:val="0"/>
                      <w:marBottom w:val="0"/>
                      <w:divBdr>
                        <w:top w:val="none" w:sz="0" w:space="0" w:color="auto"/>
                        <w:left w:val="none" w:sz="0" w:space="0" w:color="auto"/>
                        <w:bottom w:val="none" w:sz="0" w:space="0" w:color="auto"/>
                        <w:right w:val="none" w:sz="0" w:space="0" w:color="auto"/>
                      </w:divBdr>
                      <w:divsChild>
                        <w:div w:id="558979572">
                          <w:marLeft w:val="0"/>
                          <w:marRight w:val="0"/>
                          <w:marTop w:val="0"/>
                          <w:marBottom w:val="0"/>
                          <w:divBdr>
                            <w:top w:val="none" w:sz="0" w:space="0" w:color="auto"/>
                            <w:left w:val="none" w:sz="0" w:space="0" w:color="auto"/>
                            <w:bottom w:val="none" w:sz="0" w:space="0" w:color="auto"/>
                            <w:right w:val="none" w:sz="0" w:space="0" w:color="auto"/>
                          </w:divBdr>
                          <w:divsChild>
                            <w:div w:id="17580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249237">
      <w:bodyDiv w:val="1"/>
      <w:marLeft w:val="0"/>
      <w:marRight w:val="0"/>
      <w:marTop w:val="0"/>
      <w:marBottom w:val="0"/>
      <w:divBdr>
        <w:top w:val="none" w:sz="0" w:space="0" w:color="auto"/>
        <w:left w:val="none" w:sz="0" w:space="0" w:color="auto"/>
        <w:bottom w:val="none" w:sz="0" w:space="0" w:color="auto"/>
        <w:right w:val="none" w:sz="0" w:space="0" w:color="auto"/>
      </w:divBdr>
      <w:divsChild>
        <w:div w:id="15273656">
          <w:marLeft w:val="0"/>
          <w:marRight w:val="0"/>
          <w:marTop w:val="0"/>
          <w:marBottom w:val="0"/>
          <w:divBdr>
            <w:top w:val="none" w:sz="0" w:space="0" w:color="auto"/>
            <w:left w:val="none" w:sz="0" w:space="0" w:color="auto"/>
            <w:bottom w:val="none" w:sz="0" w:space="0" w:color="auto"/>
            <w:right w:val="none" w:sz="0" w:space="0" w:color="auto"/>
          </w:divBdr>
          <w:divsChild>
            <w:div w:id="258216811">
              <w:marLeft w:val="0"/>
              <w:marRight w:val="0"/>
              <w:marTop w:val="0"/>
              <w:marBottom w:val="0"/>
              <w:divBdr>
                <w:top w:val="none" w:sz="0" w:space="0" w:color="auto"/>
                <w:left w:val="none" w:sz="0" w:space="0" w:color="auto"/>
                <w:bottom w:val="none" w:sz="0" w:space="0" w:color="auto"/>
                <w:right w:val="none" w:sz="0" w:space="0" w:color="auto"/>
              </w:divBdr>
              <w:divsChild>
                <w:div w:id="1086996058">
                  <w:marLeft w:val="0"/>
                  <w:marRight w:val="0"/>
                  <w:marTop w:val="0"/>
                  <w:marBottom w:val="0"/>
                  <w:divBdr>
                    <w:top w:val="none" w:sz="0" w:space="0" w:color="auto"/>
                    <w:left w:val="none" w:sz="0" w:space="0" w:color="auto"/>
                    <w:bottom w:val="none" w:sz="0" w:space="0" w:color="auto"/>
                    <w:right w:val="none" w:sz="0" w:space="0" w:color="auto"/>
                  </w:divBdr>
                  <w:divsChild>
                    <w:div w:id="1595942956">
                      <w:marLeft w:val="0"/>
                      <w:marRight w:val="0"/>
                      <w:marTop w:val="0"/>
                      <w:marBottom w:val="0"/>
                      <w:divBdr>
                        <w:top w:val="none" w:sz="0" w:space="0" w:color="auto"/>
                        <w:left w:val="none" w:sz="0" w:space="0" w:color="auto"/>
                        <w:bottom w:val="none" w:sz="0" w:space="0" w:color="auto"/>
                        <w:right w:val="none" w:sz="0" w:space="0" w:color="auto"/>
                      </w:divBdr>
                      <w:divsChild>
                        <w:div w:id="293485911">
                          <w:marLeft w:val="0"/>
                          <w:marRight w:val="0"/>
                          <w:marTop w:val="0"/>
                          <w:marBottom w:val="0"/>
                          <w:divBdr>
                            <w:top w:val="none" w:sz="0" w:space="0" w:color="auto"/>
                            <w:left w:val="none" w:sz="0" w:space="0" w:color="auto"/>
                            <w:bottom w:val="none" w:sz="0" w:space="0" w:color="auto"/>
                            <w:right w:val="none" w:sz="0" w:space="0" w:color="auto"/>
                          </w:divBdr>
                          <w:divsChild>
                            <w:div w:id="18596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57138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04">
          <w:marLeft w:val="0"/>
          <w:marRight w:val="0"/>
          <w:marTop w:val="0"/>
          <w:marBottom w:val="0"/>
          <w:divBdr>
            <w:top w:val="none" w:sz="0" w:space="0" w:color="auto"/>
            <w:left w:val="none" w:sz="0" w:space="0" w:color="auto"/>
            <w:bottom w:val="none" w:sz="0" w:space="0" w:color="auto"/>
            <w:right w:val="none" w:sz="0" w:space="0" w:color="auto"/>
          </w:divBdr>
          <w:divsChild>
            <w:div w:id="1604532691">
              <w:marLeft w:val="0"/>
              <w:marRight w:val="0"/>
              <w:marTop w:val="0"/>
              <w:marBottom w:val="0"/>
              <w:divBdr>
                <w:top w:val="none" w:sz="0" w:space="0" w:color="auto"/>
                <w:left w:val="none" w:sz="0" w:space="0" w:color="auto"/>
                <w:bottom w:val="none" w:sz="0" w:space="0" w:color="auto"/>
                <w:right w:val="none" w:sz="0" w:space="0" w:color="auto"/>
              </w:divBdr>
              <w:divsChild>
                <w:div w:id="428621557">
                  <w:marLeft w:val="0"/>
                  <w:marRight w:val="0"/>
                  <w:marTop w:val="0"/>
                  <w:marBottom w:val="0"/>
                  <w:divBdr>
                    <w:top w:val="none" w:sz="0" w:space="0" w:color="auto"/>
                    <w:left w:val="none" w:sz="0" w:space="0" w:color="auto"/>
                    <w:bottom w:val="none" w:sz="0" w:space="0" w:color="auto"/>
                    <w:right w:val="none" w:sz="0" w:space="0" w:color="auto"/>
                  </w:divBdr>
                  <w:divsChild>
                    <w:div w:id="1036927331">
                      <w:marLeft w:val="0"/>
                      <w:marRight w:val="0"/>
                      <w:marTop w:val="0"/>
                      <w:marBottom w:val="0"/>
                      <w:divBdr>
                        <w:top w:val="none" w:sz="0" w:space="0" w:color="auto"/>
                        <w:left w:val="none" w:sz="0" w:space="0" w:color="auto"/>
                        <w:bottom w:val="none" w:sz="0" w:space="0" w:color="auto"/>
                        <w:right w:val="none" w:sz="0" w:space="0" w:color="auto"/>
                      </w:divBdr>
                      <w:divsChild>
                        <w:div w:id="1035083406">
                          <w:marLeft w:val="0"/>
                          <w:marRight w:val="0"/>
                          <w:marTop w:val="0"/>
                          <w:marBottom w:val="0"/>
                          <w:divBdr>
                            <w:top w:val="none" w:sz="0" w:space="0" w:color="auto"/>
                            <w:left w:val="none" w:sz="0" w:space="0" w:color="auto"/>
                            <w:bottom w:val="none" w:sz="0" w:space="0" w:color="auto"/>
                            <w:right w:val="none" w:sz="0" w:space="0" w:color="auto"/>
                          </w:divBdr>
                          <w:divsChild>
                            <w:div w:id="753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1066539046">
      <w:bodyDiv w:val="1"/>
      <w:marLeft w:val="0"/>
      <w:marRight w:val="0"/>
      <w:marTop w:val="0"/>
      <w:marBottom w:val="0"/>
      <w:divBdr>
        <w:top w:val="none" w:sz="0" w:space="0" w:color="auto"/>
        <w:left w:val="none" w:sz="0" w:space="0" w:color="auto"/>
        <w:bottom w:val="none" w:sz="0" w:space="0" w:color="auto"/>
        <w:right w:val="none" w:sz="0" w:space="0" w:color="auto"/>
      </w:divBdr>
      <w:divsChild>
        <w:div w:id="2044135610">
          <w:marLeft w:val="0"/>
          <w:marRight w:val="0"/>
          <w:marTop w:val="0"/>
          <w:marBottom w:val="0"/>
          <w:divBdr>
            <w:top w:val="none" w:sz="0" w:space="0" w:color="auto"/>
            <w:left w:val="none" w:sz="0" w:space="0" w:color="auto"/>
            <w:bottom w:val="none" w:sz="0" w:space="0" w:color="auto"/>
            <w:right w:val="none" w:sz="0" w:space="0" w:color="auto"/>
          </w:divBdr>
          <w:divsChild>
            <w:div w:id="1003511981">
              <w:marLeft w:val="0"/>
              <w:marRight w:val="0"/>
              <w:marTop w:val="0"/>
              <w:marBottom w:val="0"/>
              <w:divBdr>
                <w:top w:val="none" w:sz="0" w:space="0" w:color="auto"/>
                <w:left w:val="none" w:sz="0" w:space="0" w:color="auto"/>
                <w:bottom w:val="none" w:sz="0" w:space="0" w:color="auto"/>
                <w:right w:val="none" w:sz="0" w:space="0" w:color="auto"/>
              </w:divBdr>
              <w:divsChild>
                <w:div w:id="394083781">
                  <w:marLeft w:val="0"/>
                  <w:marRight w:val="0"/>
                  <w:marTop w:val="0"/>
                  <w:marBottom w:val="0"/>
                  <w:divBdr>
                    <w:top w:val="none" w:sz="0" w:space="0" w:color="auto"/>
                    <w:left w:val="none" w:sz="0" w:space="0" w:color="auto"/>
                    <w:bottom w:val="none" w:sz="0" w:space="0" w:color="auto"/>
                    <w:right w:val="none" w:sz="0" w:space="0" w:color="auto"/>
                  </w:divBdr>
                  <w:divsChild>
                    <w:div w:id="1536700974">
                      <w:marLeft w:val="0"/>
                      <w:marRight w:val="0"/>
                      <w:marTop w:val="0"/>
                      <w:marBottom w:val="0"/>
                      <w:divBdr>
                        <w:top w:val="none" w:sz="0" w:space="0" w:color="auto"/>
                        <w:left w:val="none" w:sz="0" w:space="0" w:color="auto"/>
                        <w:bottom w:val="none" w:sz="0" w:space="0" w:color="auto"/>
                        <w:right w:val="none" w:sz="0" w:space="0" w:color="auto"/>
                      </w:divBdr>
                      <w:divsChild>
                        <w:div w:id="1484083305">
                          <w:marLeft w:val="0"/>
                          <w:marRight w:val="0"/>
                          <w:marTop w:val="0"/>
                          <w:marBottom w:val="0"/>
                          <w:divBdr>
                            <w:top w:val="none" w:sz="0" w:space="0" w:color="auto"/>
                            <w:left w:val="none" w:sz="0" w:space="0" w:color="auto"/>
                            <w:bottom w:val="none" w:sz="0" w:space="0" w:color="auto"/>
                            <w:right w:val="none" w:sz="0" w:space="0" w:color="auto"/>
                          </w:divBdr>
                          <w:divsChild>
                            <w:div w:id="104794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88327">
      <w:bodyDiv w:val="1"/>
      <w:marLeft w:val="0"/>
      <w:marRight w:val="0"/>
      <w:marTop w:val="0"/>
      <w:marBottom w:val="0"/>
      <w:divBdr>
        <w:top w:val="none" w:sz="0" w:space="0" w:color="auto"/>
        <w:left w:val="none" w:sz="0" w:space="0" w:color="auto"/>
        <w:bottom w:val="none" w:sz="0" w:space="0" w:color="auto"/>
        <w:right w:val="none" w:sz="0" w:space="0" w:color="auto"/>
      </w:divBdr>
      <w:divsChild>
        <w:div w:id="1856726272">
          <w:marLeft w:val="0"/>
          <w:marRight w:val="0"/>
          <w:marTop w:val="0"/>
          <w:marBottom w:val="0"/>
          <w:divBdr>
            <w:top w:val="none" w:sz="0" w:space="0" w:color="auto"/>
            <w:left w:val="none" w:sz="0" w:space="0" w:color="auto"/>
            <w:bottom w:val="none" w:sz="0" w:space="0" w:color="auto"/>
            <w:right w:val="none" w:sz="0" w:space="0" w:color="auto"/>
          </w:divBdr>
          <w:divsChild>
            <w:div w:id="1750692188">
              <w:marLeft w:val="0"/>
              <w:marRight w:val="0"/>
              <w:marTop w:val="0"/>
              <w:marBottom w:val="0"/>
              <w:divBdr>
                <w:top w:val="none" w:sz="0" w:space="0" w:color="auto"/>
                <w:left w:val="none" w:sz="0" w:space="0" w:color="auto"/>
                <w:bottom w:val="none" w:sz="0" w:space="0" w:color="auto"/>
                <w:right w:val="none" w:sz="0" w:space="0" w:color="auto"/>
              </w:divBdr>
              <w:divsChild>
                <w:div w:id="399713642">
                  <w:marLeft w:val="0"/>
                  <w:marRight w:val="0"/>
                  <w:marTop w:val="0"/>
                  <w:marBottom w:val="0"/>
                  <w:divBdr>
                    <w:top w:val="none" w:sz="0" w:space="0" w:color="auto"/>
                    <w:left w:val="none" w:sz="0" w:space="0" w:color="auto"/>
                    <w:bottom w:val="none" w:sz="0" w:space="0" w:color="auto"/>
                    <w:right w:val="none" w:sz="0" w:space="0" w:color="auto"/>
                  </w:divBdr>
                  <w:divsChild>
                    <w:div w:id="178199334">
                      <w:marLeft w:val="0"/>
                      <w:marRight w:val="0"/>
                      <w:marTop w:val="0"/>
                      <w:marBottom w:val="0"/>
                      <w:divBdr>
                        <w:top w:val="none" w:sz="0" w:space="0" w:color="auto"/>
                        <w:left w:val="none" w:sz="0" w:space="0" w:color="auto"/>
                        <w:bottom w:val="none" w:sz="0" w:space="0" w:color="auto"/>
                        <w:right w:val="none" w:sz="0" w:space="0" w:color="auto"/>
                      </w:divBdr>
                      <w:divsChild>
                        <w:div w:id="1723553091">
                          <w:marLeft w:val="0"/>
                          <w:marRight w:val="0"/>
                          <w:marTop w:val="0"/>
                          <w:marBottom w:val="0"/>
                          <w:divBdr>
                            <w:top w:val="none" w:sz="0" w:space="0" w:color="auto"/>
                            <w:left w:val="none" w:sz="0" w:space="0" w:color="auto"/>
                            <w:bottom w:val="none" w:sz="0" w:space="0" w:color="auto"/>
                            <w:right w:val="none" w:sz="0" w:space="0" w:color="auto"/>
                          </w:divBdr>
                          <w:divsChild>
                            <w:div w:id="8662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193296">
      <w:bodyDiv w:val="1"/>
      <w:marLeft w:val="0"/>
      <w:marRight w:val="0"/>
      <w:marTop w:val="0"/>
      <w:marBottom w:val="0"/>
      <w:divBdr>
        <w:top w:val="none" w:sz="0" w:space="0" w:color="auto"/>
        <w:left w:val="none" w:sz="0" w:space="0" w:color="auto"/>
        <w:bottom w:val="none" w:sz="0" w:space="0" w:color="auto"/>
        <w:right w:val="none" w:sz="0" w:space="0" w:color="auto"/>
      </w:divBdr>
      <w:divsChild>
        <w:div w:id="491992517">
          <w:marLeft w:val="0"/>
          <w:marRight w:val="0"/>
          <w:marTop w:val="0"/>
          <w:marBottom w:val="0"/>
          <w:divBdr>
            <w:top w:val="none" w:sz="0" w:space="0" w:color="auto"/>
            <w:left w:val="none" w:sz="0" w:space="0" w:color="auto"/>
            <w:bottom w:val="none" w:sz="0" w:space="0" w:color="auto"/>
            <w:right w:val="none" w:sz="0" w:space="0" w:color="auto"/>
          </w:divBdr>
          <w:divsChild>
            <w:div w:id="1866475323">
              <w:marLeft w:val="0"/>
              <w:marRight w:val="0"/>
              <w:marTop w:val="0"/>
              <w:marBottom w:val="0"/>
              <w:divBdr>
                <w:top w:val="none" w:sz="0" w:space="0" w:color="auto"/>
                <w:left w:val="none" w:sz="0" w:space="0" w:color="auto"/>
                <w:bottom w:val="none" w:sz="0" w:space="0" w:color="auto"/>
                <w:right w:val="none" w:sz="0" w:space="0" w:color="auto"/>
              </w:divBdr>
              <w:divsChild>
                <w:div w:id="666598371">
                  <w:marLeft w:val="0"/>
                  <w:marRight w:val="0"/>
                  <w:marTop w:val="0"/>
                  <w:marBottom w:val="0"/>
                  <w:divBdr>
                    <w:top w:val="none" w:sz="0" w:space="0" w:color="auto"/>
                    <w:left w:val="none" w:sz="0" w:space="0" w:color="auto"/>
                    <w:bottom w:val="none" w:sz="0" w:space="0" w:color="auto"/>
                    <w:right w:val="none" w:sz="0" w:space="0" w:color="auto"/>
                  </w:divBdr>
                  <w:divsChild>
                    <w:div w:id="479811167">
                      <w:marLeft w:val="0"/>
                      <w:marRight w:val="0"/>
                      <w:marTop w:val="0"/>
                      <w:marBottom w:val="0"/>
                      <w:divBdr>
                        <w:top w:val="none" w:sz="0" w:space="0" w:color="auto"/>
                        <w:left w:val="none" w:sz="0" w:space="0" w:color="auto"/>
                        <w:bottom w:val="none" w:sz="0" w:space="0" w:color="auto"/>
                        <w:right w:val="none" w:sz="0" w:space="0" w:color="auto"/>
                      </w:divBdr>
                      <w:divsChild>
                        <w:div w:id="1857577701">
                          <w:marLeft w:val="0"/>
                          <w:marRight w:val="0"/>
                          <w:marTop w:val="0"/>
                          <w:marBottom w:val="0"/>
                          <w:divBdr>
                            <w:top w:val="none" w:sz="0" w:space="0" w:color="auto"/>
                            <w:left w:val="none" w:sz="0" w:space="0" w:color="auto"/>
                            <w:bottom w:val="none" w:sz="0" w:space="0" w:color="auto"/>
                            <w:right w:val="none" w:sz="0" w:space="0" w:color="auto"/>
                          </w:divBdr>
                          <w:divsChild>
                            <w:div w:id="19066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191911">
      <w:bodyDiv w:val="1"/>
      <w:marLeft w:val="0"/>
      <w:marRight w:val="0"/>
      <w:marTop w:val="0"/>
      <w:marBottom w:val="0"/>
      <w:divBdr>
        <w:top w:val="none" w:sz="0" w:space="0" w:color="auto"/>
        <w:left w:val="none" w:sz="0" w:space="0" w:color="auto"/>
        <w:bottom w:val="none" w:sz="0" w:space="0" w:color="auto"/>
        <w:right w:val="none" w:sz="0" w:space="0" w:color="auto"/>
      </w:divBdr>
      <w:divsChild>
        <w:div w:id="2024819112">
          <w:marLeft w:val="0"/>
          <w:marRight w:val="0"/>
          <w:marTop w:val="0"/>
          <w:marBottom w:val="0"/>
          <w:divBdr>
            <w:top w:val="none" w:sz="0" w:space="0" w:color="auto"/>
            <w:left w:val="none" w:sz="0" w:space="0" w:color="auto"/>
            <w:bottom w:val="none" w:sz="0" w:space="0" w:color="auto"/>
            <w:right w:val="none" w:sz="0" w:space="0" w:color="auto"/>
          </w:divBdr>
          <w:divsChild>
            <w:div w:id="1511991702">
              <w:marLeft w:val="0"/>
              <w:marRight w:val="0"/>
              <w:marTop w:val="0"/>
              <w:marBottom w:val="0"/>
              <w:divBdr>
                <w:top w:val="none" w:sz="0" w:space="0" w:color="auto"/>
                <w:left w:val="none" w:sz="0" w:space="0" w:color="auto"/>
                <w:bottom w:val="none" w:sz="0" w:space="0" w:color="auto"/>
                <w:right w:val="none" w:sz="0" w:space="0" w:color="auto"/>
              </w:divBdr>
              <w:divsChild>
                <w:div w:id="11928709">
                  <w:marLeft w:val="0"/>
                  <w:marRight w:val="0"/>
                  <w:marTop w:val="0"/>
                  <w:marBottom w:val="0"/>
                  <w:divBdr>
                    <w:top w:val="none" w:sz="0" w:space="0" w:color="auto"/>
                    <w:left w:val="none" w:sz="0" w:space="0" w:color="auto"/>
                    <w:bottom w:val="none" w:sz="0" w:space="0" w:color="auto"/>
                    <w:right w:val="none" w:sz="0" w:space="0" w:color="auto"/>
                  </w:divBdr>
                  <w:divsChild>
                    <w:div w:id="1110125127">
                      <w:marLeft w:val="0"/>
                      <w:marRight w:val="0"/>
                      <w:marTop w:val="0"/>
                      <w:marBottom w:val="0"/>
                      <w:divBdr>
                        <w:top w:val="none" w:sz="0" w:space="0" w:color="auto"/>
                        <w:left w:val="none" w:sz="0" w:space="0" w:color="auto"/>
                        <w:bottom w:val="none" w:sz="0" w:space="0" w:color="auto"/>
                        <w:right w:val="none" w:sz="0" w:space="0" w:color="auto"/>
                      </w:divBdr>
                      <w:divsChild>
                        <w:div w:id="939020886">
                          <w:marLeft w:val="0"/>
                          <w:marRight w:val="0"/>
                          <w:marTop w:val="0"/>
                          <w:marBottom w:val="0"/>
                          <w:divBdr>
                            <w:top w:val="none" w:sz="0" w:space="0" w:color="auto"/>
                            <w:left w:val="none" w:sz="0" w:space="0" w:color="auto"/>
                            <w:bottom w:val="none" w:sz="0" w:space="0" w:color="auto"/>
                            <w:right w:val="none" w:sz="0" w:space="0" w:color="auto"/>
                          </w:divBdr>
                          <w:divsChild>
                            <w:div w:id="6194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658578">
      <w:bodyDiv w:val="1"/>
      <w:marLeft w:val="0"/>
      <w:marRight w:val="0"/>
      <w:marTop w:val="0"/>
      <w:marBottom w:val="0"/>
      <w:divBdr>
        <w:top w:val="none" w:sz="0" w:space="0" w:color="auto"/>
        <w:left w:val="none" w:sz="0" w:space="0" w:color="auto"/>
        <w:bottom w:val="none" w:sz="0" w:space="0" w:color="auto"/>
        <w:right w:val="none" w:sz="0" w:space="0" w:color="auto"/>
      </w:divBdr>
      <w:divsChild>
        <w:div w:id="513496936">
          <w:marLeft w:val="0"/>
          <w:marRight w:val="0"/>
          <w:marTop w:val="0"/>
          <w:marBottom w:val="0"/>
          <w:divBdr>
            <w:top w:val="none" w:sz="0" w:space="0" w:color="auto"/>
            <w:left w:val="none" w:sz="0" w:space="0" w:color="auto"/>
            <w:bottom w:val="none" w:sz="0" w:space="0" w:color="auto"/>
            <w:right w:val="none" w:sz="0" w:space="0" w:color="auto"/>
          </w:divBdr>
          <w:divsChild>
            <w:div w:id="552349380">
              <w:marLeft w:val="0"/>
              <w:marRight w:val="0"/>
              <w:marTop w:val="0"/>
              <w:marBottom w:val="0"/>
              <w:divBdr>
                <w:top w:val="none" w:sz="0" w:space="0" w:color="auto"/>
                <w:left w:val="none" w:sz="0" w:space="0" w:color="auto"/>
                <w:bottom w:val="none" w:sz="0" w:space="0" w:color="auto"/>
                <w:right w:val="none" w:sz="0" w:space="0" w:color="auto"/>
              </w:divBdr>
              <w:divsChild>
                <w:div w:id="1279292061">
                  <w:marLeft w:val="0"/>
                  <w:marRight w:val="0"/>
                  <w:marTop w:val="0"/>
                  <w:marBottom w:val="0"/>
                  <w:divBdr>
                    <w:top w:val="none" w:sz="0" w:space="0" w:color="auto"/>
                    <w:left w:val="none" w:sz="0" w:space="0" w:color="auto"/>
                    <w:bottom w:val="none" w:sz="0" w:space="0" w:color="auto"/>
                    <w:right w:val="none" w:sz="0" w:space="0" w:color="auto"/>
                  </w:divBdr>
                  <w:divsChild>
                    <w:div w:id="295067189">
                      <w:marLeft w:val="0"/>
                      <w:marRight w:val="0"/>
                      <w:marTop w:val="0"/>
                      <w:marBottom w:val="0"/>
                      <w:divBdr>
                        <w:top w:val="none" w:sz="0" w:space="0" w:color="auto"/>
                        <w:left w:val="none" w:sz="0" w:space="0" w:color="auto"/>
                        <w:bottom w:val="none" w:sz="0" w:space="0" w:color="auto"/>
                        <w:right w:val="none" w:sz="0" w:space="0" w:color="auto"/>
                      </w:divBdr>
                      <w:divsChild>
                        <w:div w:id="582449471">
                          <w:marLeft w:val="0"/>
                          <w:marRight w:val="0"/>
                          <w:marTop w:val="0"/>
                          <w:marBottom w:val="0"/>
                          <w:divBdr>
                            <w:top w:val="none" w:sz="0" w:space="0" w:color="auto"/>
                            <w:left w:val="none" w:sz="0" w:space="0" w:color="auto"/>
                            <w:bottom w:val="none" w:sz="0" w:space="0" w:color="auto"/>
                            <w:right w:val="none" w:sz="0" w:space="0" w:color="auto"/>
                          </w:divBdr>
                          <w:divsChild>
                            <w:div w:id="21010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81144690">
      <w:bodyDiv w:val="1"/>
      <w:marLeft w:val="0"/>
      <w:marRight w:val="0"/>
      <w:marTop w:val="0"/>
      <w:marBottom w:val="0"/>
      <w:divBdr>
        <w:top w:val="none" w:sz="0" w:space="0" w:color="auto"/>
        <w:left w:val="none" w:sz="0" w:space="0" w:color="auto"/>
        <w:bottom w:val="none" w:sz="0" w:space="0" w:color="auto"/>
        <w:right w:val="none" w:sz="0" w:space="0" w:color="auto"/>
      </w:divBdr>
      <w:divsChild>
        <w:div w:id="971982395">
          <w:marLeft w:val="0"/>
          <w:marRight w:val="0"/>
          <w:marTop w:val="0"/>
          <w:marBottom w:val="0"/>
          <w:divBdr>
            <w:top w:val="none" w:sz="0" w:space="0" w:color="auto"/>
            <w:left w:val="none" w:sz="0" w:space="0" w:color="auto"/>
            <w:bottom w:val="none" w:sz="0" w:space="0" w:color="auto"/>
            <w:right w:val="none" w:sz="0" w:space="0" w:color="auto"/>
          </w:divBdr>
          <w:divsChild>
            <w:div w:id="2051606874">
              <w:marLeft w:val="0"/>
              <w:marRight w:val="0"/>
              <w:marTop w:val="0"/>
              <w:marBottom w:val="0"/>
              <w:divBdr>
                <w:top w:val="none" w:sz="0" w:space="0" w:color="auto"/>
                <w:left w:val="none" w:sz="0" w:space="0" w:color="auto"/>
                <w:bottom w:val="none" w:sz="0" w:space="0" w:color="auto"/>
                <w:right w:val="none" w:sz="0" w:space="0" w:color="auto"/>
              </w:divBdr>
              <w:divsChild>
                <w:div w:id="1560168680">
                  <w:marLeft w:val="0"/>
                  <w:marRight w:val="0"/>
                  <w:marTop w:val="0"/>
                  <w:marBottom w:val="0"/>
                  <w:divBdr>
                    <w:top w:val="none" w:sz="0" w:space="0" w:color="auto"/>
                    <w:left w:val="none" w:sz="0" w:space="0" w:color="auto"/>
                    <w:bottom w:val="none" w:sz="0" w:space="0" w:color="auto"/>
                    <w:right w:val="none" w:sz="0" w:space="0" w:color="auto"/>
                  </w:divBdr>
                  <w:divsChild>
                    <w:div w:id="1842506518">
                      <w:marLeft w:val="0"/>
                      <w:marRight w:val="0"/>
                      <w:marTop w:val="0"/>
                      <w:marBottom w:val="0"/>
                      <w:divBdr>
                        <w:top w:val="none" w:sz="0" w:space="0" w:color="auto"/>
                        <w:left w:val="none" w:sz="0" w:space="0" w:color="auto"/>
                        <w:bottom w:val="none" w:sz="0" w:space="0" w:color="auto"/>
                        <w:right w:val="none" w:sz="0" w:space="0" w:color="auto"/>
                      </w:divBdr>
                      <w:divsChild>
                        <w:div w:id="1209075879">
                          <w:marLeft w:val="0"/>
                          <w:marRight w:val="0"/>
                          <w:marTop w:val="0"/>
                          <w:marBottom w:val="0"/>
                          <w:divBdr>
                            <w:top w:val="none" w:sz="0" w:space="0" w:color="auto"/>
                            <w:left w:val="none" w:sz="0" w:space="0" w:color="auto"/>
                            <w:bottom w:val="none" w:sz="0" w:space="0" w:color="auto"/>
                            <w:right w:val="none" w:sz="0" w:space="0" w:color="auto"/>
                          </w:divBdr>
                          <w:divsChild>
                            <w:div w:id="7643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646239">
      <w:bodyDiv w:val="1"/>
      <w:marLeft w:val="0"/>
      <w:marRight w:val="0"/>
      <w:marTop w:val="0"/>
      <w:marBottom w:val="0"/>
      <w:divBdr>
        <w:top w:val="none" w:sz="0" w:space="0" w:color="auto"/>
        <w:left w:val="none" w:sz="0" w:space="0" w:color="auto"/>
        <w:bottom w:val="none" w:sz="0" w:space="0" w:color="auto"/>
        <w:right w:val="none" w:sz="0" w:space="0" w:color="auto"/>
      </w:divBdr>
      <w:divsChild>
        <w:div w:id="2087343176">
          <w:marLeft w:val="0"/>
          <w:marRight w:val="0"/>
          <w:marTop w:val="0"/>
          <w:marBottom w:val="0"/>
          <w:divBdr>
            <w:top w:val="none" w:sz="0" w:space="0" w:color="auto"/>
            <w:left w:val="none" w:sz="0" w:space="0" w:color="auto"/>
            <w:bottom w:val="none" w:sz="0" w:space="0" w:color="auto"/>
            <w:right w:val="none" w:sz="0" w:space="0" w:color="auto"/>
          </w:divBdr>
          <w:divsChild>
            <w:div w:id="206184874">
              <w:marLeft w:val="0"/>
              <w:marRight w:val="0"/>
              <w:marTop w:val="0"/>
              <w:marBottom w:val="0"/>
              <w:divBdr>
                <w:top w:val="none" w:sz="0" w:space="0" w:color="auto"/>
                <w:left w:val="none" w:sz="0" w:space="0" w:color="auto"/>
                <w:bottom w:val="none" w:sz="0" w:space="0" w:color="auto"/>
                <w:right w:val="none" w:sz="0" w:space="0" w:color="auto"/>
              </w:divBdr>
              <w:divsChild>
                <w:div w:id="2001493422">
                  <w:marLeft w:val="0"/>
                  <w:marRight w:val="0"/>
                  <w:marTop w:val="0"/>
                  <w:marBottom w:val="0"/>
                  <w:divBdr>
                    <w:top w:val="none" w:sz="0" w:space="0" w:color="auto"/>
                    <w:left w:val="none" w:sz="0" w:space="0" w:color="auto"/>
                    <w:bottom w:val="none" w:sz="0" w:space="0" w:color="auto"/>
                    <w:right w:val="none" w:sz="0" w:space="0" w:color="auto"/>
                  </w:divBdr>
                  <w:divsChild>
                    <w:div w:id="1627538994">
                      <w:marLeft w:val="0"/>
                      <w:marRight w:val="0"/>
                      <w:marTop w:val="0"/>
                      <w:marBottom w:val="0"/>
                      <w:divBdr>
                        <w:top w:val="none" w:sz="0" w:space="0" w:color="auto"/>
                        <w:left w:val="none" w:sz="0" w:space="0" w:color="auto"/>
                        <w:bottom w:val="none" w:sz="0" w:space="0" w:color="auto"/>
                        <w:right w:val="none" w:sz="0" w:space="0" w:color="auto"/>
                      </w:divBdr>
                      <w:divsChild>
                        <w:div w:id="256212496">
                          <w:marLeft w:val="0"/>
                          <w:marRight w:val="0"/>
                          <w:marTop w:val="0"/>
                          <w:marBottom w:val="0"/>
                          <w:divBdr>
                            <w:top w:val="none" w:sz="0" w:space="0" w:color="auto"/>
                            <w:left w:val="none" w:sz="0" w:space="0" w:color="auto"/>
                            <w:bottom w:val="none" w:sz="0" w:space="0" w:color="auto"/>
                            <w:right w:val="none" w:sz="0" w:space="0" w:color="auto"/>
                          </w:divBdr>
                          <w:divsChild>
                            <w:div w:id="357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404148">
      <w:bodyDiv w:val="1"/>
      <w:marLeft w:val="0"/>
      <w:marRight w:val="0"/>
      <w:marTop w:val="0"/>
      <w:marBottom w:val="0"/>
      <w:divBdr>
        <w:top w:val="none" w:sz="0" w:space="0" w:color="auto"/>
        <w:left w:val="none" w:sz="0" w:space="0" w:color="auto"/>
        <w:bottom w:val="none" w:sz="0" w:space="0" w:color="auto"/>
        <w:right w:val="none" w:sz="0" w:space="0" w:color="auto"/>
      </w:divBdr>
      <w:divsChild>
        <w:div w:id="1395202656">
          <w:marLeft w:val="0"/>
          <w:marRight w:val="0"/>
          <w:marTop w:val="0"/>
          <w:marBottom w:val="0"/>
          <w:divBdr>
            <w:top w:val="none" w:sz="0" w:space="0" w:color="auto"/>
            <w:left w:val="none" w:sz="0" w:space="0" w:color="auto"/>
            <w:bottom w:val="none" w:sz="0" w:space="0" w:color="auto"/>
            <w:right w:val="none" w:sz="0" w:space="0" w:color="auto"/>
          </w:divBdr>
          <w:divsChild>
            <w:div w:id="1209806179">
              <w:marLeft w:val="0"/>
              <w:marRight w:val="0"/>
              <w:marTop w:val="0"/>
              <w:marBottom w:val="0"/>
              <w:divBdr>
                <w:top w:val="none" w:sz="0" w:space="0" w:color="auto"/>
                <w:left w:val="none" w:sz="0" w:space="0" w:color="auto"/>
                <w:bottom w:val="none" w:sz="0" w:space="0" w:color="auto"/>
                <w:right w:val="none" w:sz="0" w:space="0" w:color="auto"/>
              </w:divBdr>
              <w:divsChild>
                <w:div w:id="1400320873">
                  <w:marLeft w:val="0"/>
                  <w:marRight w:val="0"/>
                  <w:marTop w:val="0"/>
                  <w:marBottom w:val="0"/>
                  <w:divBdr>
                    <w:top w:val="none" w:sz="0" w:space="0" w:color="auto"/>
                    <w:left w:val="none" w:sz="0" w:space="0" w:color="auto"/>
                    <w:bottom w:val="none" w:sz="0" w:space="0" w:color="auto"/>
                    <w:right w:val="none" w:sz="0" w:space="0" w:color="auto"/>
                  </w:divBdr>
                  <w:divsChild>
                    <w:div w:id="1459685702">
                      <w:marLeft w:val="0"/>
                      <w:marRight w:val="0"/>
                      <w:marTop w:val="0"/>
                      <w:marBottom w:val="0"/>
                      <w:divBdr>
                        <w:top w:val="none" w:sz="0" w:space="0" w:color="auto"/>
                        <w:left w:val="none" w:sz="0" w:space="0" w:color="auto"/>
                        <w:bottom w:val="none" w:sz="0" w:space="0" w:color="auto"/>
                        <w:right w:val="none" w:sz="0" w:space="0" w:color="auto"/>
                      </w:divBdr>
                      <w:divsChild>
                        <w:div w:id="719549424">
                          <w:marLeft w:val="0"/>
                          <w:marRight w:val="0"/>
                          <w:marTop w:val="0"/>
                          <w:marBottom w:val="0"/>
                          <w:divBdr>
                            <w:top w:val="none" w:sz="0" w:space="0" w:color="auto"/>
                            <w:left w:val="none" w:sz="0" w:space="0" w:color="auto"/>
                            <w:bottom w:val="none" w:sz="0" w:space="0" w:color="auto"/>
                            <w:right w:val="none" w:sz="0" w:space="0" w:color="auto"/>
                          </w:divBdr>
                          <w:divsChild>
                            <w:div w:id="13092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44389">
      <w:bodyDiv w:val="1"/>
      <w:marLeft w:val="0"/>
      <w:marRight w:val="0"/>
      <w:marTop w:val="0"/>
      <w:marBottom w:val="0"/>
      <w:divBdr>
        <w:top w:val="none" w:sz="0" w:space="0" w:color="auto"/>
        <w:left w:val="none" w:sz="0" w:space="0" w:color="auto"/>
        <w:bottom w:val="none" w:sz="0" w:space="0" w:color="auto"/>
        <w:right w:val="none" w:sz="0" w:space="0" w:color="auto"/>
      </w:divBdr>
      <w:divsChild>
        <w:div w:id="31346236">
          <w:marLeft w:val="0"/>
          <w:marRight w:val="0"/>
          <w:marTop w:val="0"/>
          <w:marBottom w:val="0"/>
          <w:divBdr>
            <w:top w:val="none" w:sz="0" w:space="0" w:color="auto"/>
            <w:left w:val="none" w:sz="0" w:space="0" w:color="auto"/>
            <w:bottom w:val="none" w:sz="0" w:space="0" w:color="auto"/>
            <w:right w:val="none" w:sz="0" w:space="0" w:color="auto"/>
          </w:divBdr>
          <w:divsChild>
            <w:div w:id="802425059">
              <w:marLeft w:val="0"/>
              <w:marRight w:val="0"/>
              <w:marTop w:val="0"/>
              <w:marBottom w:val="0"/>
              <w:divBdr>
                <w:top w:val="none" w:sz="0" w:space="0" w:color="auto"/>
                <w:left w:val="none" w:sz="0" w:space="0" w:color="auto"/>
                <w:bottom w:val="none" w:sz="0" w:space="0" w:color="auto"/>
                <w:right w:val="none" w:sz="0" w:space="0" w:color="auto"/>
              </w:divBdr>
              <w:divsChild>
                <w:div w:id="759987186">
                  <w:marLeft w:val="0"/>
                  <w:marRight w:val="0"/>
                  <w:marTop w:val="0"/>
                  <w:marBottom w:val="0"/>
                  <w:divBdr>
                    <w:top w:val="none" w:sz="0" w:space="0" w:color="auto"/>
                    <w:left w:val="none" w:sz="0" w:space="0" w:color="auto"/>
                    <w:bottom w:val="none" w:sz="0" w:space="0" w:color="auto"/>
                    <w:right w:val="none" w:sz="0" w:space="0" w:color="auto"/>
                  </w:divBdr>
                  <w:divsChild>
                    <w:div w:id="251092613">
                      <w:marLeft w:val="0"/>
                      <w:marRight w:val="0"/>
                      <w:marTop w:val="0"/>
                      <w:marBottom w:val="0"/>
                      <w:divBdr>
                        <w:top w:val="none" w:sz="0" w:space="0" w:color="auto"/>
                        <w:left w:val="none" w:sz="0" w:space="0" w:color="auto"/>
                        <w:bottom w:val="none" w:sz="0" w:space="0" w:color="auto"/>
                        <w:right w:val="none" w:sz="0" w:space="0" w:color="auto"/>
                      </w:divBdr>
                      <w:divsChild>
                        <w:div w:id="1264680866">
                          <w:marLeft w:val="0"/>
                          <w:marRight w:val="0"/>
                          <w:marTop w:val="0"/>
                          <w:marBottom w:val="0"/>
                          <w:divBdr>
                            <w:top w:val="none" w:sz="0" w:space="0" w:color="auto"/>
                            <w:left w:val="none" w:sz="0" w:space="0" w:color="auto"/>
                            <w:bottom w:val="none" w:sz="0" w:space="0" w:color="auto"/>
                            <w:right w:val="none" w:sz="0" w:space="0" w:color="auto"/>
                          </w:divBdr>
                          <w:divsChild>
                            <w:div w:id="12257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7E3DD2-0738-4DB4-B2E1-A12F32E14FAE}"/>
</file>

<file path=customXml/itemProps2.xml><?xml version="1.0" encoding="utf-8"?>
<ds:datastoreItem xmlns:ds="http://schemas.openxmlformats.org/officeDocument/2006/customXml" ds:itemID="{0066A0D4-A800-44B9-883A-DC382FEA31E6}"/>
</file>

<file path=customXml/itemProps3.xml><?xml version="1.0" encoding="utf-8"?>
<ds:datastoreItem xmlns:ds="http://schemas.openxmlformats.org/officeDocument/2006/customXml" ds:itemID="{60247D54-2002-474A-B1FA-2B6026A00FFC}"/>
</file>

<file path=customXml/itemProps4.xml><?xml version="1.0" encoding="utf-8"?>
<ds:datastoreItem xmlns:ds="http://schemas.openxmlformats.org/officeDocument/2006/customXml" ds:itemID="{623FFA37-100C-4D90-A689-64867787E135}"/>
</file>

<file path=docProps/app.xml><?xml version="1.0" encoding="utf-8"?>
<Properties xmlns="http://schemas.openxmlformats.org/officeDocument/2006/extended-properties" xmlns:vt="http://schemas.openxmlformats.org/officeDocument/2006/docPropsVTypes">
  <Template>Normal.dotm</Template>
  <TotalTime>0</TotalTime>
  <Pages>1</Pages>
  <Words>16307</Words>
  <Characters>92954</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109043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2019-10-15T12:34:00Z</dcterms:created>
  <dcterms:modified xsi:type="dcterms:W3CDTF">2019-10-15T12:34:00Z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64098/09</vt:lpwstr>
  </property>
  <property fmtid="{D5CDD505-2E9C-101B-9397-08002B2CF9AE}" pid="4" name="CASEID">
    <vt:lpwstr>610360</vt:lpwstr>
  </property>
  <property fmtid="{D5CDD505-2E9C-101B-9397-08002B2CF9AE}" pid="5" name="ContentTypeId">
    <vt:lpwstr>0x010100558EB02BDB9E204AB350EDD385B68E10</vt:lpwstr>
  </property>
</Properties>
</file>