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32FF" w:rsidR="0098410D" w:rsidP="007732FF" w:rsidRDefault="0098410D">
      <w:pPr>
        <w:jc w:val="center"/>
      </w:pPr>
      <w:bookmarkStart w:name="_GoBack" w:id="0"/>
      <w:bookmarkEnd w:id="0"/>
    </w:p>
    <w:p w:rsidRPr="007732FF" w:rsidR="0098410D" w:rsidP="007732FF" w:rsidRDefault="00427856">
      <w:pPr>
        <w:pStyle w:val="DecHCase"/>
      </w:pPr>
      <w:r w:rsidRPr="007732FF">
        <w:t>THIRD SECTION</w:t>
      </w:r>
    </w:p>
    <w:p w:rsidRPr="007732FF" w:rsidR="008E6217" w:rsidP="007732FF" w:rsidRDefault="008E6217">
      <w:pPr>
        <w:pStyle w:val="JuTitle"/>
      </w:pPr>
      <w:bookmarkStart w:name="To" w:id="1"/>
      <w:r w:rsidRPr="007732FF">
        <w:rPr>
          <w:color w:val="000000" w:themeColor="text1"/>
        </w:rPr>
        <w:t xml:space="preserve">CASE OF </w:t>
      </w:r>
      <w:bookmarkEnd w:id="1"/>
      <w:r w:rsidRPr="007732FF" w:rsidR="00427856">
        <w:t xml:space="preserve">STARKOV </w:t>
      </w:r>
      <w:r w:rsidRPr="007732FF" w:rsidR="00E07E95">
        <w:t xml:space="preserve">AND TISHCHENKO </w:t>
      </w:r>
      <w:r w:rsidRPr="007732FF" w:rsidR="00427856">
        <w:t>v. RUSSIA</w:t>
      </w:r>
    </w:p>
    <w:p w:rsidRPr="007732FF" w:rsidR="00D74888" w:rsidP="007732FF" w:rsidRDefault="008E6217">
      <w:pPr>
        <w:pStyle w:val="ECHRCoverTitle4"/>
      </w:pPr>
      <w:r w:rsidRPr="007732FF">
        <w:t>(</w:t>
      </w:r>
      <w:r w:rsidRPr="007732FF" w:rsidR="00427856">
        <w:t>Applications nos.</w:t>
      </w:r>
      <w:r w:rsidRPr="007732FF">
        <w:t xml:space="preserve"> </w:t>
      </w:r>
      <w:r w:rsidRPr="007732FF" w:rsidR="00427856">
        <w:t>54424/14 and</w:t>
      </w:r>
      <w:r w:rsidRPr="007732FF" w:rsidR="00E07E95">
        <w:t xml:space="preserve"> 43797/16</w:t>
      </w:r>
      <w:r w:rsidRPr="007732FF">
        <w:t>)</w:t>
      </w:r>
    </w:p>
    <w:p w:rsidRPr="007732FF" w:rsidR="0098410D" w:rsidP="007732FF" w:rsidRDefault="0098410D">
      <w:pPr>
        <w:pStyle w:val="DecHCase"/>
      </w:pPr>
    </w:p>
    <w:p w:rsidRPr="007732FF" w:rsidR="0098410D" w:rsidP="007732FF" w:rsidRDefault="0098410D">
      <w:pPr>
        <w:pStyle w:val="DecHCase"/>
      </w:pPr>
    </w:p>
    <w:p w:rsidRPr="007732FF" w:rsidR="00AC4CD4" w:rsidP="007732FF" w:rsidRDefault="00AC4CD4">
      <w:pPr>
        <w:pStyle w:val="DecHCase"/>
      </w:pPr>
    </w:p>
    <w:p w:rsidRPr="007732FF" w:rsidR="007732FF" w:rsidP="007732FF" w:rsidRDefault="007732FF">
      <w:pPr>
        <w:pStyle w:val="DecHCase"/>
      </w:pPr>
    </w:p>
    <w:p w:rsidRPr="007732FF" w:rsidR="007732FF" w:rsidP="007732FF" w:rsidRDefault="007732FF">
      <w:pPr>
        <w:pStyle w:val="DecHCase"/>
      </w:pPr>
    </w:p>
    <w:p w:rsidRPr="007732FF" w:rsidR="0098410D" w:rsidP="007732FF" w:rsidRDefault="0098410D">
      <w:pPr>
        <w:pStyle w:val="DecHCase"/>
      </w:pPr>
    </w:p>
    <w:p w:rsidRPr="007732FF" w:rsidR="0098410D" w:rsidP="007732FF" w:rsidRDefault="0098410D">
      <w:pPr>
        <w:pStyle w:val="DecHCase"/>
      </w:pPr>
      <w:r w:rsidRPr="007732FF">
        <w:t>JUDGMENT</w:t>
      </w:r>
      <w:r w:rsidRPr="007732FF" w:rsidR="00AC4CD4">
        <w:br/>
      </w:r>
    </w:p>
    <w:p w:rsidRPr="007732FF" w:rsidR="0098410D" w:rsidP="007732FF" w:rsidRDefault="0098410D">
      <w:pPr>
        <w:pStyle w:val="DecHCase"/>
      </w:pPr>
      <w:r w:rsidRPr="007732FF">
        <w:t>STRASBOURG</w:t>
      </w:r>
    </w:p>
    <w:p w:rsidRPr="007732FF" w:rsidR="0098410D" w:rsidP="007732FF" w:rsidRDefault="00427856">
      <w:pPr>
        <w:pStyle w:val="DecHCase"/>
        <w:rPr>
          <w:szCs w:val="24"/>
        </w:rPr>
      </w:pPr>
      <w:r w:rsidRPr="007732FF">
        <w:rPr>
          <w:rFonts w:ascii="Times New Roman" w:hAnsi="Times New Roman" w:cs="Times New Roman"/>
        </w:rPr>
        <w:t>17 December 2019</w:t>
      </w:r>
    </w:p>
    <w:p w:rsidRPr="007732FF" w:rsidR="00AC4CD4" w:rsidP="007732FF" w:rsidRDefault="00AC4CD4">
      <w:pPr>
        <w:pStyle w:val="JuPara"/>
      </w:pPr>
    </w:p>
    <w:p w:rsidRPr="007732FF" w:rsidR="002422B6" w:rsidP="007732FF" w:rsidRDefault="0098410D">
      <w:pPr>
        <w:rPr>
          <w:i/>
          <w:sz w:val="22"/>
        </w:rPr>
      </w:pPr>
      <w:r w:rsidRPr="007732FF">
        <w:rPr>
          <w:i/>
          <w:sz w:val="22"/>
        </w:rPr>
        <w:t xml:space="preserve">This judgment </w:t>
      </w:r>
      <w:r w:rsidRPr="007732FF" w:rsidR="00427856">
        <w:rPr>
          <w:i/>
          <w:sz w:val="22"/>
        </w:rPr>
        <w:t>is final but it</w:t>
      </w:r>
      <w:r w:rsidRPr="007732FF">
        <w:rPr>
          <w:i/>
          <w:sz w:val="22"/>
        </w:rPr>
        <w:t xml:space="preserve"> may be subject to editorial revision.</w:t>
      </w:r>
    </w:p>
    <w:p w:rsidRPr="007732FF" w:rsidR="0098410D" w:rsidP="007732FF" w:rsidRDefault="0098410D">
      <w:pPr>
        <w:sectPr w:rsidRPr="007732FF"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7732FF" w:rsidR="0098410D" w:rsidP="007732FF" w:rsidRDefault="0098410D">
      <w:pPr>
        <w:pStyle w:val="JuCase"/>
      </w:pPr>
      <w:r w:rsidRPr="007732FF">
        <w:t xml:space="preserve">In the case of </w:t>
      </w:r>
      <w:proofErr w:type="spellStart"/>
      <w:r w:rsidRPr="007732FF" w:rsidR="00427856">
        <w:t>Starkov</w:t>
      </w:r>
      <w:proofErr w:type="spellEnd"/>
      <w:r w:rsidRPr="007732FF" w:rsidR="00427856">
        <w:t xml:space="preserve"> </w:t>
      </w:r>
      <w:r w:rsidRPr="007732FF" w:rsidR="00E07E95">
        <w:t xml:space="preserve">and </w:t>
      </w:r>
      <w:proofErr w:type="spellStart"/>
      <w:r w:rsidRPr="007732FF" w:rsidR="00E07E95">
        <w:t>Tishchenko</w:t>
      </w:r>
      <w:proofErr w:type="spellEnd"/>
      <w:r w:rsidRPr="007732FF" w:rsidR="00E07E95">
        <w:t xml:space="preserve"> </w:t>
      </w:r>
      <w:r w:rsidRPr="007732FF" w:rsidR="00427856">
        <w:t>v. Russia</w:t>
      </w:r>
      <w:r w:rsidRPr="007732FF">
        <w:t>,</w:t>
      </w:r>
    </w:p>
    <w:p w:rsidRPr="007732FF" w:rsidR="009F4C8F" w:rsidP="007732FF" w:rsidRDefault="009F4C8F">
      <w:pPr>
        <w:pStyle w:val="JuPara"/>
      </w:pPr>
      <w:r w:rsidRPr="007732FF">
        <w:t>The European Court of Human Rights (</w:t>
      </w:r>
      <w:r w:rsidRPr="007732FF" w:rsidR="00427856">
        <w:t>Third Section</w:t>
      </w:r>
      <w:r w:rsidRPr="007732FF">
        <w:t xml:space="preserve">), sitting as a </w:t>
      </w:r>
      <w:r w:rsidRPr="007732FF" w:rsidR="00427856">
        <w:t>Committee</w:t>
      </w:r>
      <w:r w:rsidRPr="007732FF">
        <w:t xml:space="preserve"> composed of:</w:t>
      </w:r>
    </w:p>
    <w:p w:rsidRPr="007732FF" w:rsidR="009F4C8F" w:rsidP="007732FF" w:rsidRDefault="00E07E95">
      <w:pPr>
        <w:pStyle w:val="JuJudges"/>
      </w:pPr>
      <w:r w:rsidRPr="007732FF">
        <w:tab/>
        <w:t xml:space="preserve">Alena </w:t>
      </w:r>
      <w:proofErr w:type="spellStart"/>
      <w:r w:rsidRPr="007732FF">
        <w:t>Poláčková</w:t>
      </w:r>
      <w:proofErr w:type="spellEnd"/>
      <w:r w:rsidRPr="007732FF">
        <w:t>,</w:t>
      </w:r>
      <w:r w:rsidRPr="007732FF">
        <w:rPr>
          <w:i/>
        </w:rPr>
        <w:t xml:space="preserve"> President,</w:t>
      </w:r>
      <w:r w:rsidRPr="007732FF">
        <w:rPr>
          <w:i/>
        </w:rPr>
        <w:br/>
      </w:r>
      <w:r w:rsidRPr="007732FF">
        <w:tab/>
        <w:t xml:space="preserve">Dmitry </w:t>
      </w:r>
      <w:proofErr w:type="spellStart"/>
      <w:r w:rsidRPr="007732FF">
        <w:t>Dedov</w:t>
      </w:r>
      <w:proofErr w:type="spellEnd"/>
      <w:r w:rsidRPr="007732FF">
        <w:t>,</w:t>
      </w:r>
      <w:r w:rsidRPr="007732FF">
        <w:rPr>
          <w:i/>
        </w:rPr>
        <w:br/>
      </w:r>
      <w:r w:rsidRPr="007732FF">
        <w:tab/>
        <w:t xml:space="preserve">Gilberto </w:t>
      </w:r>
      <w:proofErr w:type="spellStart"/>
      <w:r w:rsidRPr="007732FF">
        <w:t>Felici</w:t>
      </w:r>
      <w:proofErr w:type="spellEnd"/>
      <w:r w:rsidRPr="007732FF">
        <w:t>,</w:t>
      </w:r>
      <w:r w:rsidRPr="007732FF">
        <w:rPr>
          <w:i/>
        </w:rPr>
        <w:t xml:space="preserve"> judges</w:t>
      </w:r>
      <w:proofErr w:type="gramStart"/>
      <w:r w:rsidRPr="007732FF">
        <w:rPr>
          <w:i/>
        </w:rPr>
        <w:t>,</w:t>
      </w:r>
      <w:proofErr w:type="gramEnd"/>
      <w:r w:rsidRPr="007732FF" w:rsidR="009F4C8F">
        <w:rPr>
          <w:szCs w:val="24"/>
        </w:rPr>
        <w:br/>
      </w:r>
      <w:r w:rsidRPr="007732FF" w:rsidR="009F4C8F">
        <w:t>and</w:t>
      </w:r>
      <w:r w:rsidRPr="007732FF" w:rsidR="00427856">
        <w:t xml:space="preserve"> </w:t>
      </w:r>
      <w:r w:rsidRPr="007732FF">
        <w:t>Stephen Phillips</w:t>
      </w:r>
      <w:r w:rsidRPr="007732FF" w:rsidR="009F4C8F">
        <w:t xml:space="preserve">, </w:t>
      </w:r>
      <w:r w:rsidRPr="007732FF" w:rsidR="00427856">
        <w:rPr>
          <w:i/>
        </w:rPr>
        <w:t xml:space="preserve">Section </w:t>
      </w:r>
      <w:r w:rsidRPr="007732FF" w:rsidR="00427856">
        <w:rPr>
          <w:i/>
          <w:iCs/>
        </w:rPr>
        <w:t>Registrar</w:t>
      </w:r>
      <w:r w:rsidRPr="007732FF" w:rsidR="009F4C8F">
        <w:rPr>
          <w:i/>
        </w:rPr>
        <w:t>,</w:t>
      </w:r>
    </w:p>
    <w:p w:rsidRPr="007732FF" w:rsidR="009F4C8F" w:rsidP="007732FF" w:rsidRDefault="009F4C8F">
      <w:pPr>
        <w:pStyle w:val="JuPara"/>
      </w:pPr>
      <w:r w:rsidRPr="007732FF">
        <w:t xml:space="preserve">Having deliberated in private on </w:t>
      </w:r>
      <w:r w:rsidRPr="007732FF" w:rsidR="00427856">
        <w:rPr>
          <w:szCs w:val="24"/>
        </w:rPr>
        <w:t>26 November 2019</w:t>
      </w:r>
      <w:r w:rsidRPr="007732FF">
        <w:t>,</w:t>
      </w:r>
    </w:p>
    <w:p w:rsidRPr="007732FF" w:rsidR="009F4C8F" w:rsidP="007732FF" w:rsidRDefault="009F4C8F">
      <w:pPr>
        <w:pStyle w:val="JuPara"/>
      </w:pPr>
      <w:r w:rsidRPr="007732FF">
        <w:t>Delivers the following judgment, which was adopted on that date:</w:t>
      </w:r>
    </w:p>
    <w:p w:rsidRPr="007732FF" w:rsidR="00427856" w:rsidP="007732FF" w:rsidRDefault="00427856">
      <w:pPr>
        <w:pStyle w:val="JuHHead"/>
      </w:pPr>
      <w:r w:rsidRPr="007732FF">
        <w:t>PROCEDURE</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w:t>
      </w:r>
      <w:r w:rsidRPr="007732FF">
        <w:fldChar w:fldCharType="end"/>
      </w:r>
      <w:r w:rsidRPr="007732FF">
        <w:t xml:space="preserve">.  The case originated in two applications (nos. 54424/14 and 43797/16) against the Russian Federation lodged with the Court under Article 34 of the Convention for the Protection of Human Rights and Fundamental Freedoms (“the Convention”) by two Russian nationals, Mr Aleksey Vladimirovich </w:t>
      </w:r>
      <w:proofErr w:type="spellStart"/>
      <w:r w:rsidRPr="007732FF">
        <w:t>Starkov</w:t>
      </w:r>
      <w:proofErr w:type="spellEnd"/>
      <w:r w:rsidRPr="007732FF">
        <w:t xml:space="preserve"> and Mr </w:t>
      </w:r>
      <w:proofErr w:type="spellStart"/>
      <w:r w:rsidRPr="007732FF">
        <w:t>Vladislav</w:t>
      </w:r>
      <w:proofErr w:type="spellEnd"/>
      <w:r w:rsidRPr="007732FF">
        <w:t xml:space="preserve"> </w:t>
      </w:r>
      <w:proofErr w:type="spellStart"/>
      <w:r w:rsidRPr="007732FF">
        <w:t>Anatolyevich</w:t>
      </w:r>
      <w:proofErr w:type="spellEnd"/>
      <w:r w:rsidRPr="007732FF">
        <w:t xml:space="preserve"> </w:t>
      </w:r>
      <w:proofErr w:type="spellStart"/>
      <w:r w:rsidRPr="007732FF">
        <w:t>Tishchenko</w:t>
      </w:r>
      <w:proofErr w:type="spellEnd"/>
      <w:r w:rsidRPr="007732FF">
        <w:t xml:space="preserve"> (“the applicants”), on 14 July 2014 and 13 July 2016 respectively.</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w:t>
      </w:r>
      <w:r w:rsidRPr="007732FF">
        <w:fldChar w:fldCharType="end"/>
      </w:r>
      <w:r w:rsidRPr="007732FF">
        <w:t>.  The Russian Government (“the Government”) were represented by Mr M. </w:t>
      </w:r>
      <w:proofErr w:type="spellStart"/>
      <w:r w:rsidRPr="007732FF">
        <w:t>Galperin</w:t>
      </w:r>
      <w:proofErr w:type="spellEnd"/>
      <w:r w:rsidRPr="007732FF">
        <w:t>, Representative of the Russian Federation to the European Court of Human Rights.</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3</w:t>
      </w:r>
      <w:r w:rsidRPr="007732FF">
        <w:fldChar w:fldCharType="end"/>
      </w:r>
      <w:r w:rsidRPr="007732FF">
        <w:t xml:space="preserve">.  On </w:t>
      </w:r>
      <w:r w:rsidRPr="007732FF">
        <w:rPr>
          <w:szCs w:val="24"/>
        </w:rPr>
        <w:t>2 February 2018</w:t>
      </w:r>
      <w:r w:rsidRPr="007732FF">
        <w:t xml:space="preserve"> notice of the complaints concerning the fairness of the administrative proceedings was given to the Government, and the remainder of the applications was declared inadmissible</w:t>
      </w:r>
      <w:r w:rsidRPr="007732FF">
        <w:rPr>
          <w:szCs w:val="24"/>
        </w:rPr>
        <w:t xml:space="preserve"> </w:t>
      </w:r>
      <w:r w:rsidRPr="007732FF" w:rsidR="007732FF">
        <w:t xml:space="preserve">pursuant to Rule 54 </w:t>
      </w:r>
      <w:r w:rsidRPr="007732FF">
        <w:t>§ 3 of the Rules of Court.</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4</w:t>
      </w:r>
      <w:r w:rsidRPr="007732FF">
        <w:fldChar w:fldCharType="end"/>
      </w:r>
      <w:r w:rsidRPr="007732FF">
        <w:t>.  The Government objected to the examination of the application by a Committee. Having considered the Government</w:t>
      </w:r>
      <w:r w:rsidRPr="007732FF" w:rsidR="007732FF">
        <w:t>’</w:t>
      </w:r>
      <w:r w:rsidRPr="007732FF">
        <w:t>s objection, the Court rejects it.</w:t>
      </w:r>
    </w:p>
    <w:p w:rsidRPr="007732FF" w:rsidR="00427856" w:rsidP="007732FF" w:rsidRDefault="00427856">
      <w:pPr>
        <w:pStyle w:val="JuHHead"/>
      </w:pPr>
      <w:r w:rsidRPr="007732FF">
        <w:t>THE FACTS</w:t>
      </w:r>
    </w:p>
    <w:p w:rsidRPr="007732FF" w:rsidR="00427856" w:rsidP="007732FF" w:rsidRDefault="00427856">
      <w:pPr>
        <w:pStyle w:val="JuHIRoman"/>
        <w:numPr>
          <w:ilvl w:val="0"/>
          <w:numId w:val="0"/>
        </w:numPr>
        <w:ind w:left="357" w:hanging="357"/>
      </w:pPr>
      <w:r w:rsidRPr="007732FF">
        <w:t>THE CIRCUMSTANCES OF THE CASE</w:t>
      </w:r>
    </w:p>
    <w:p w:rsidRPr="007732FF" w:rsidR="00427856" w:rsidP="007732FF" w:rsidRDefault="00427856">
      <w:pPr>
        <w:pStyle w:val="JuHA"/>
      </w:pPr>
      <w:proofErr w:type="spellStart"/>
      <w:r w:rsidRPr="007732FF">
        <w:t>Starkov</w:t>
      </w:r>
      <w:proofErr w:type="spellEnd"/>
      <w:r w:rsidRPr="007732FF">
        <w:t xml:space="preserve"> v. Russia, application no. 54424/14</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5</w:t>
      </w:r>
      <w:r w:rsidRPr="007732FF">
        <w:fldChar w:fldCharType="end"/>
      </w:r>
      <w:r w:rsidRPr="007732FF">
        <w:t xml:space="preserve">.  The applicant was born in 1982 and lives in </w:t>
      </w:r>
      <w:proofErr w:type="spellStart"/>
      <w:r w:rsidRPr="007732FF">
        <w:t>Shirokiy</w:t>
      </w:r>
      <w:proofErr w:type="spellEnd"/>
      <w:r w:rsidRPr="007732FF">
        <w:t xml:space="preserve"> </w:t>
      </w:r>
      <w:proofErr w:type="spellStart"/>
      <w:r w:rsidRPr="007732FF">
        <w:t>Buyerak</w:t>
      </w:r>
      <w:proofErr w:type="spellEnd"/>
      <w:r w:rsidRPr="007732FF">
        <w:t>, Saratov Region.</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6</w:t>
      </w:r>
      <w:r w:rsidRPr="007732FF">
        <w:fldChar w:fldCharType="end"/>
      </w:r>
      <w:r w:rsidRPr="007732FF">
        <w:t>.  On 12 August 2013 the police stopped the applicant and subjected him to a breathalyser test. They prepared an administrative record accusing him of drink-driving.</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7</w:t>
      </w:r>
      <w:r w:rsidRPr="007732FF">
        <w:fldChar w:fldCharType="end"/>
      </w:r>
      <w:r w:rsidRPr="007732FF">
        <w:t xml:space="preserve">.  On an unspecified date the justice of the peace of Circuit no. 1 of the </w:t>
      </w:r>
      <w:proofErr w:type="spellStart"/>
      <w:r w:rsidRPr="007732FF">
        <w:t>Volsk</w:t>
      </w:r>
      <w:proofErr w:type="spellEnd"/>
      <w:r w:rsidRPr="007732FF">
        <w:t xml:space="preserve"> District of the Saratov Region opened a trial against the applicant. He denied the charges. He claimed that he had undergone a breathalyser test which had shown that he was sober and that no attesting witnesses had been present during the test. He asked the court to summon two police officers, Bar. </w:t>
      </w:r>
      <w:proofErr w:type="gramStart"/>
      <w:r w:rsidRPr="007732FF">
        <w:t>and</w:t>
      </w:r>
      <w:proofErr w:type="gramEnd"/>
      <w:r w:rsidRPr="007732FF">
        <w:t xml:space="preserve"> </w:t>
      </w:r>
      <w:proofErr w:type="spellStart"/>
      <w:r w:rsidRPr="007732FF">
        <w:t>Bazh</w:t>
      </w:r>
      <w:proofErr w:type="spellEnd"/>
      <w:r w:rsidRPr="007732FF">
        <w:t xml:space="preserve">., and the attesting witnesses, L. and </w:t>
      </w:r>
      <w:proofErr w:type="spellStart"/>
      <w:r w:rsidRPr="007732FF">
        <w:t>Zh</w:t>
      </w:r>
      <w:proofErr w:type="spellEnd"/>
      <w:r w:rsidRPr="007732FF">
        <w:t>., for questioning. The justice of the peace agreed to summon the police officers but refused to summon the attesting witnesses. When questioned, both police officers stated that they had tried to stop the applicant for speeding. He had ignored them and they had pursued his car. The car had stopped after colliding with another vehicle. The police officers had taken the applicant to the police station, where he had undergone a breathalyser test which had shown that he was drunk.</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8</w:t>
      </w:r>
      <w:r w:rsidRPr="007732FF">
        <w:fldChar w:fldCharType="end"/>
      </w:r>
      <w:r w:rsidRPr="007732FF">
        <w:t xml:space="preserve">.  On 12 November 2013 the justice of the peace found the applicant guilty of drink-driving, ordered him to pay a fine of 30,000 Russian roubles and suspended his driving licence for a year and eleven months. The justice of the peace based her findings on the material in the administrative case file and the statements made by the police officers. The applicant appealed, noting, </w:t>
      </w:r>
      <w:r w:rsidRPr="007732FF">
        <w:rPr>
          <w:i/>
        </w:rPr>
        <w:t>inter alia</w:t>
      </w:r>
      <w:r w:rsidRPr="007732FF">
        <w:t xml:space="preserve">, that the justice of the peace had refused to obtain the attendance of the attesting witnesses and </w:t>
      </w:r>
      <w:proofErr w:type="gramStart"/>
      <w:r w:rsidRPr="007732FF">
        <w:t>that,</w:t>
      </w:r>
      <w:proofErr w:type="gramEnd"/>
      <w:r w:rsidRPr="007732FF">
        <w:t xml:space="preserve"> as a result, he had been deprived of the opportunity to contest the allegations against him.</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9</w:t>
      </w:r>
      <w:r w:rsidRPr="007732FF">
        <w:fldChar w:fldCharType="end"/>
      </w:r>
      <w:r w:rsidRPr="007732FF">
        <w:t xml:space="preserve">.  On 5 December 2013 the </w:t>
      </w:r>
      <w:proofErr w:type="spellStart"/>
      <w:r w:rsidRPr="007732FF">
        <w:t>Volsk</w:t>
      </w:r>
      <w:proofErr w:type="spellEnd"/>
      <w:r w:rsidRPr="007732FF">
        <w:t xml:space="preserve"> District Court of the Saratov Region held an appeal hearing. The court granted the applicant</w:t>
      </w:r>
      <w:r w:rsidRPr="007732FF" w:rsidR="007732FF">
        <w:t>’</w:t>
      </w:r>
      <w:r w:rsidRPr="007732FF">
        <w:t xml:space="preserve">s request to question witnesses L. and </w:t>
      </w:r>
      <w:proofErr w:type="spellStart"/>
      <w:r w:rsidRPr="007732FF">
        <w:t>Zh</w:t>
      </w:r>
      <w:proofErr w:type="spellEnd"/>
      <w:r w:rsidRPr="007732FF">
        <w:t>. and summoned them to the next hearing. The court reasoned that it was impossible to examine the case without questioning them. It appears that the court adjourned several subsequent hearings because of the witnesses</w:t>
      </w:r>
      <w:r w:rsidRPr="007732FF" w:rsidR="007732FF">
        <w:t>’</w:t>
      </w:r>
      <w:r w:rsidRPr="007732FF">
        <w:t xml:space="preserve"> failure to appear.</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10</w:t>
      </w:r>
      <w:r w:rsidRPr="007732FF">
        <w:fldChar w:fldCharType="end"/>
      </w:r>
      <w:r w:rsidRPr="007732FF">
        <w:t>.  On 20 January 2014 the District Court upheld the judgment of 12 November 2013 on appeal. The attesting witnesses summoned by the court had failed to appear at the hearing and the appellate court proceeded with the examination of the case in their absence.</w:t>
      </w:r>
    </w:p>
    <w:p w:rsidRPr="007732FF" w:rsidR="00427856" w:rsidP="007732FF" w:rsidRDefault="00427856">
      <w:pPr>
        <w:pStyle w:val="JuHA"/>
      </w:pPr>
      <w:proofErr w:type="spellStart"/>
      <w:r w:rsidRPr="007732FF">
        <w:t>Tishchenko</w:t>
      </w:r>
      <w:proofErr w:type="spellEnd"/>
      <w:r w:rsidRPr="007732FF">
        <w:t xml:space="preserve"> v. Russia, application no. 43797/16</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11</w:t>
      </w:r>
      <w:r w:rsidRPr="007732FF">
        <w:fldChar w:fldCharType="end"/>
      </w:r>
      <w:r w:rsidRPr="007732FF">
        <w:t xml:space="preserve">.  The applicant was born in 1972 and lives in </w:t>
      </w:r>
      <w:proofErr w:type="spellStart"/>
      <w:r w:rsidRPr="007732FF">
        <w:t>Volsk</w:t>
      </w:r>
      <w:proofErr w:type="spellEnd"/>
      <w:r w:rsidRPr="007732FF">
        <w:t>, Saratov Region.</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12</w:t>
      </w:r>
      <w:r w:rsidRPr="007732FF">
        <w:fldChar w:fldCharType="end"/>
      </w:r>
      <w:r w:rsidRPr="007732FF">
        <w:t xml:space="preserve">.  On 17 October 2015 a traffic police officer, M., drew up an administrative-offence record which indicated that the applicant had refused to undergo a breathalyser test in </w:t>
      </w:r>
      <w:proofErr w:type="spellStart"/>
      <w:r w:rsidRPr="007732FF">
        <w:t>Kovdor</w:t>
      </w:r>
      <w:proofErr w:type="spellEnd"/>
      <w:r w:rsidRPr="007732FF">
        <w:t xml:space="preserve">, Murmansk Region. M. prepared the record in the presence of two attesting witnesses, B. and </w:t>
      </w:r>
      <w:proofErr w:type="spellStart"/>
      <w:r w:rsidRPr="007732FF">
        <w:t>Mak</w:t>
      </w:r>
      <w:proofErr w:type="spellEnd"/>
      <w:r w:rsidRPr="007732FF">
        <w:t>.</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13</w:t>
      </w:r>
      <w:r w:rsidRPr="007732FF">
        <w:fldChar w:fldCharType="end"/>
      </w:r>
      <w:r w:rsidRPr="007732FF">
        <w:t xml:space="preserve">.  On an unspecified date the justice of the peace of Circuit no. 5 of the </w:t>
      </w:r>
      <w:proofErr w:type="spellStart"/>
      <w:r w:rsidRPr="007732FF">
        <w:t>Volsk</w:t>
      </w:r>
      <w:proofErr w:type="spellEnd"/>
      <w:r w:rsidRPr="007732FF">
        <w:t xml:space="preserve"> District of the Saratov Region opened a trial against the applicant. The applicant claimed that the police officer had not asked him to undergo a medical examination. In support of his position, he asked the court to question the police officer who had prepared the administrative-offence record and the attesting witnesses. The justice of the peace asked her counterpart in the Murmansk Region to question the witnesses, noting that their statements were necessary for the “comprehensive, complete and objective” consideration of the applicant</w:t>
      </w:r>
      <w:r w:rsidRPr="007732FF" w:rsidR="007732FF">
        <w:t>’</w:t>
      </w:r>
      <w:r w:rsidRPr="007732FF">
        <w:t>s case.</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14</w:t>
      </w:r>
      <w:r w:rsidRPr="007732FF">
        <w:fldChar w:fldCharType="end"/>
      </w:r>
      <w:r w:rsidRPr="007732FF">
        <w:t xml:space="preserve">.  On 28 December 2015 the justice of the peace in </w:t>
      </w:r>
      <w:proofErr w:type="spellStart"/>
      <w:r w:rsidRPr="007732FF">
        <w:t>Kovdor</w:t>
      </w:r>
      <w:proofErr w:type="spellEnd"/>
      <w:r w:rsidRPr="007732FF">
        <w:t xml:space="preserve"> questioned M., but B. and </w:t>
      </w:r>
      <w:proofErr w:type="spellStart"/>
      <w:r w:rsidRPr="007732FF">
        <w:t>Mak</w:t>
      </w:r>
      <w:proofErr w:type="spellEnd"/>
      <w:r w:rsidRPr="007732FF">
        <w:t xml:space="preserve">. </w:t>
      </w:r>
      <w:proofErr w:type="gramStart"/>
      <w:r w:rsidRPr="007732FF">
        <w:t>did</w:t>
      </w:r>
      <w:proofErr w:type="gramEnd"/>
      <w:r w:rsidRPr="007732FF">
        <w:t xml:space="preserve"> not appear for questioning.</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15</w:t>
      </w:r>
      <w:r w:rsidRPr="007732FF">
        <w:fldChar w:fldCharType="end"/>
      </w:r>
      <w:r w:rsidRPr="007732FF">
        <w:t>.  On 26 January 2016 the justice of the peace found the applicant guilty as charged, ordered him to pay a fine of RUB 30,000 and withdrew his driving licence for a year and nine months. The justice of the peace referred to the statement made by M. and the material in the administrative case file. The applicant appealed.</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16</w:t>
      </w:r>
      <w:r w:rsidRPr="007732FF">
        <w:fldChar w:fldCharType="end"/>
      </w:r>
      <w:r w:rsidRPr="007732FF">
        <w:t xml:space="preserve">.  On 4 March 2016 the </w:t>
      </w:r>
      <w:proofErr w:type="spellStart"/>
      <w:r w:rsidRPr="007732FF">
        <w:t>Volsk</w:t>
      </w:r>
      <w:proofErr w:type="spellEnd"/>
      <w:r w:rsidRPr="007732FF">
        <w:t xml:space="preserve"> District Court of the Saratov Region upheld the judgment of 26 January 2016 on appeal.</w:t>
      </w:r>
    </w:p>
    <w:p w:rsidRPr="007732FF" w:rsidR="00427856" w:rsidP="007732FF" w:rsidRDefault="00427856">
      <w:pPr>
        <w:pStyle w:val="JuHHead"/>
      </w:pPr>
      <w:r w:rsidRPr="007732FF">
        <w:t>THE LAW</w:t>
      </w:r>
    </w:p>
    <w:p w:rsidRPr="007732FF" w:rsidR="00427856" w:rsidP="007732FF" w:rsidRDefault="00427856">
      <w:pPr>
        <w:pStyle w:val="JuHIRoman"/>
      </w:pPr>
      <w:r w:rsidRPr="007732FF">
        <w:t>JOINDER OF THE APPLICATIONS</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17</w:t>
      </w:r>
      <w:r w:rsidRPr="007732FF">
        <w:fldChar w:fldCharType="end"/>
      </w:r>
      <w:r w:rsidRPr="007732FF">
        <w:t>.  Having regard to the similar subject matter of the applications, the Court finds it appropriate to examine them jointly in a single judgment.</w:t>
      </w:r>
    </w:p>
    <w:p w:rsidRPr="007732FF" w:rsidR="00427856" w:rsidP="007732FF" w:rsidRDefault="00427856">
      <w:pPr>
        <w:pStyle w:val="JuHIRoman"/>
      </w:pPr>
      <w:r w:rsidRPr="007732FF">
        <w:t>ALLEGED VIOLATION OF ARTICLE 6 OF THE CONVENTION</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18</w:t>
      </w:r>
      <w:r w:rsidRPr="007732FF">
        <w:fldChar w:fldCharType="end"/>
      </w:r>
      <w:r w:rsidRPr="007732FF">
        <w:t xml:space="preserve">.  The applicants complained that the administrative proceedings against them had been unfair. In particular, they alleged that they had been unable to examine the attesting witnesses in court. Mr </w:t>
      </w:r>
      <w:proofErr w:type="spellStart"/>
      <w:r w:rsidRPr="007732FF">
        <w:t>Starkov</w:t>
      </w:r>
      <w:proofErr w:type="spellEnd"/>
      <w:r w:rsidRPr="007732FF">
        <w:t xml:space="preserve"> (application no. 54424/14) also claimed that he had not been provided with free legal assistance. The applicants relied on Article 6 of the Convention, the relevant parts of which read as follows:</w:t>
      </w:r>
    </w:p>
    <w:p w:rsidRPr="007732FF" w:rsidR="00427856" w:rsidP="007732FF" w:rsidRDefault="00427856">
      <w:pPr>
        <w:pStyle w:val="JuQuot"/>
      </w:pPr>
      <w:r w:rsidRPr="007732FF">
        <w:t>“1.</w:t>
      </w:r>
      <w:proofErr w:type="gramStart"/>
      <w:r w:rsidRPr="007732FF">
        <w:t>  In</w:t>
      </w:r>
      <w:proofErr w:type="gramEnd"/>
      <w:r w:rsidRPr="007732FF">
        <w:t xml:space="preserve"> the determination of ... any criminal charge against him, everyone is entitled to a fair ... hearing ... by [a] ... tribunal ...</w:t>
      </w:r>
    </w:p>
    <w:p w:rsidRPr="007732FF" w:rsidR="00427856" w:rsidP="007732FF" w:rsidRDefault="00427856">
      <w:pPr>
        <w:pStyle w:val="JuQuot"/>
      </w:pPr>
      <w:r w:rsidRPr="007732FF">
        <w:t>3.  Everyone charged with a criminal offence has the following minimum rights:</w:t>
      </w:r>
    </w:p>
    <w:p w:rsidRPr="007732FF" w:rsidR="00427856" w:rsidP="007732FF" w:rsidRDefault="00427856">
      <w:pPr>
        <w:pStyle w:val="JuQuot"/>
      </w:pPr>
      <w:r w:rsidRPr="007732FF">
        <w:t>...</w:t>
      </w:r>
    </w:p>
    <w:p w:rsidRPr="007732FF" w:rsidR="00427856" w:rsidP="007732FF" w:rsidRDefault="00427856">
      <w:pPr>
        <w:pStyle w:val="JuQuot"/>
      </w:pPr>
      <w:r w:rsidRPr="007732FF">
        <w:t>(c)  </w:t>
      </w:r>
      <w:proofErr w:type="gramStart"/>
      <w:r w:rsidRPr="007732FF">
        <w:t>to</w:t>
      </w:r>
      <w:proofErr w:type="gramEnd"/>
      <w:r w:rsidRPr="007732FF">
        <w:t xml:space="preserve"> defend himself in person or through legal assistance of his own choosing or, if he has not sufficient means to pay for legal assistance, to be given it free when the interests of justice so require;</w:t>
      </w:r>
    </w:p>
    <w:p w:rsidRPr="007732FF" w:rsidR="00427856" w:rsidP="007732FF" w:rsidRDefault="00427856">
      <w:pPr>
        <w:pStyle w:val="JuQuot"/>
      </w:pPr>
      <w:r w:rsidRPr="007732FF">
        <w:t>(d)</w:t>
      </w:r>
      <w:proofErr w:type="gramStart"/>
      <w:r w:rsidRPr="007732FF">
        <w:t>  to</w:t>
      </w:r>
      <w:proofErr w:type="gramEnd"/>
      <w:r w:rsidRPr="007732FF">
        <w:t xml:space="preserve"> examine or have examined witnesses against him and to obtain the attendance and examination of witnesses on his behalf under the same conditions as witnesses against him ...”</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19</w:t>
      </w:r>
      <w:r w:rsidRPr="007732FF">
        <w:fldChar w:fldCharType="end"/>
      </w:r>
      <w:r w:rsidRPr="007732FF">
        <w:t>.  The Government contested that argument. They considered that the administrative proceedings against the applicants had been compatible with the provisions of the Convention. In their view, it had been impossible for the national judicial authorities to ensure the witnesses</w:t>
      </w:r>
      <w:r w:rsidRPr="007732FF" w:rsidR="007732FF">
        <w:t>’</w:t>
      </w:r>
      <w:r w:rsidRPr="007732FF">
        <w:t xml:space="preserve"> presence in court. In any event, the national judicial authorities had based their findings on the evidence examined during the trial. Both applicants had been duly informed of their rights. They had been represented by a lawyer of their own choosing in court. The fact that Mr </w:t>
      </w:r>
      <w:proofErr w:type="spellStart"/>
      <w:r w:rsidRPr="007732FF">
        <w:t>Starkov</w:t>
      </w:r>
      <w:proofErr w:type="spellEnd"/>
      <w:r w:rsidRPr="007732FF">
        <w:t xml:space="preserve"> had not been provided with free legal assistance when he had been stopped by the police could not be construed as detrimental to the fairness of the proceedings against him.</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20</w:t>
      </w:r>
      <w:r w:rsidRPr="007732FF">
        <w:fldChar w:fldCharType="end"/>
      </w:r>
      <w:r w:rsidRPr="007732FF">
        <w:t>.  The applicants maintained their complaints.</w:t>
      </w:r>
    </w:p>
    <w:p w:rsidRPr="007732FF" w:rsidR="00427856" w:rsidP="007732FF" w:rsidRDefault="00427856">
      <w:pPr>
        <w:pStyle w:val="JuHA"/>
      </w:pPr>
      <w:r w:rsidRPr="007732FF">
        <w:t>Admissibility</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21</w:t>
      </w:r>
      <w:r w:rsidRPr="007732FF">
        <w:fldChar w:fldCharType="end"/>
      </w:r>
      <w:r w:rsidRPr="007732FF">
        <w:t xml:space="preserve">.  The Court accepts, and the Government have not argued otherwise, that Article 6 of the Convention applies in the present case under its criminal limb. In this connection, it takes into account that the penalties imposed on the applicants </w:t>
      </w:r>
      <w:r w:rsidRPr="007732FF">
        <w:rPr>
          <w:rFonts w:cstheme="minorHAnsi"/>
        </w:rPr>
        <w:t xml:space="preserve">– </w:t>
      </w:r>
      <w:r w:rsidRPr="007732FF">
        <w:t xml:space="preserve">a monetary fine and driving licence suspension </w:t>
      </w:r>
      <w:r w:rsidRPr="007732FF">
        <w:rPr>
          <w:rFonts w:cstheme="minorHAnsi"/>
        </w:rPr>
        <w:t>–</w:t>
      </w:r>
      <w:r w:rsidRPr="007732FF">
        <w:t xml:space="preserve"> were punitive and deterrent in nature (compare </w:t>
      </w:r>
      <w:proofErr w:type="spellStart"/>
      <w:r w:rsidRPr="007732FF">
        <w:rPr>
          <w:i/>
        </w:rPr>
        <w:t>Mikhaylova</w:t>
      </w:r>
      <w:proofErr w:type="spellEnd"/>
      <w:r w:rsidRPr="007732FF">
        <w:rPr>
          <w:i/>
        </w:rPr>
        <w:t xml:space="preserve"> v. Russia</w:t>
      </w:r>
      <w:r w:rsidRPr="007732FF">
        <w:t>, no. 46998/08</w:t>
      </w:r>
      <w:r w:rsidRPr="007732FF">
        <w:rPr>
          <w:snapToGrid w:val="0"/>
        </w:rPr>
        <w:t>, § 64, 1</w:t>
      </w:r>
      <w:r w:rsidRPr="007732FF">
        <w:t>9</w:t>
      </w:r>
      <w:r w:rsidRPr="007732FF">
        <w:rPr>
          <w:snapToGrid w:val="0"/>
        </w:rPr>
        <w:t xml:space="preserve"> </w:t>
      </w:r>
      <w:r w:rsidRPr="007732FF">
        <w:t>November</w:t>
      </w:r>
      <w:r w:rsidRPr="007732FF">
        <w:rPr>
          <w:snapToGrid w:val="0"/>
        </w:rPr>
        <w:t xml:space="preserve"> 2015).</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22</w:t>
      </w:r>
      <w:r w:rsidRPr="007732FF">
        <w:fldChar w:fldCharType="end"/>
      </w:r>
      <w:r w:rsidRPr="007732FF">
        <w:t>.  The Court notes that this complaint is not manifestly ill-founded within the meaning of Article 35 § 3 (a) of the Convention. It further notes that it is not inadmissible on any other grounds. It must therefore be declared admissible.</w:t>
      </w:r>
    </w:p>
    <w:p w:rsidRPr="007732FF" w:rsidR="00427856" w:rsidP="007732FF" w:rsidRDefault="00427856">
      <w:pPr>
        <w:pStyle w:val="JuHA"/>
      </w:pPr>
      <w:r w:rsidRPr="007732FF">
        <w:t>Merits</w:t>
      </w:r>
    </w:p>
    <w:p w:rsidRPr="007732FF" w:rsidR="00427856" w:rsidP="007732FF" w:rsidRDefault="00427856">
      <w:pPr>
        <w:pStyle w:val="JuH1"/>
      </w:pPr>
      <w:r w:rsidRPr="007732FF">
        <w:t>Non-attendance of the witnesses</w:t>
      </w:r>
    </w:p>
    <w:p w:rsidRPr="007732FF" w:rsidR="00427856" w:rsidP="007732FF" w:rsidRDefault="00427856">
      <w:pPr>
        <w:pStyle w:val="JuHa0"/>
      </w:pPr>
      <w:r w:rsidRPr="007732FF">
        <w:t>General principles</w:t>
      </w:r>
    </w:p>
    <w:p w:rsidRPr="007732FF" w:rsidR="00427856" w:rsidP="007732FF" w:rsidRDefault="00427856">
      <w:pPr>
        <w:pStyle w:val="JuPara"/>
        <w:rPr>
          <w:i/>
        </w:rPr>
      </w:pPr>
      <w:r w:rsidRPr="007732FF">
        <w:fldChar w:fldCharType="begin"/>
      </w:r>
      <w:r w:rsidRPr="007732FF">
        <w:instrText xml:space="preserve"> SEQ level0 \*arabic </w:instrText>
      </w:r>
      <w:r w:rsidRPr="007732FF">
        <w:fldChar w:fldCharType="separate"/>
      </w:r>
      <w:r w:rsidRPr="007732FF" w:rsidR="007732FF">
        <w:rPr>
          <w:noProof/>
        </w:rPr>
        <w:t>23</w:t>
      </w:r>
      <w:r w:rsidRPr="007732FF">
        <w:fldChar w:fldCharType="end"/>
      </w:r>
      <w:r w:rsidRPr="007732FF">
        <w:t>.  The general principles concerning the right of an accused to obtain the attendance and examination of witnesses on his or her behalf are well established in the Court</w:t>
      </w:r>
      <w:r w:rsidRPr="007732FF" w:rsidR="007732FF">
        <w:t>’</w:t>
      </w:r>
      <w:r w:rsidRPr="007732FF">
        <w:t xml:space="preserve">s case-law and have been summarised in the judgment of </w:t>
      </w:r>
      <w:proofErr w:type="spellStart"/>
      <w:r w:rsidRPr="007732FF">
        <w:rPr>
          <w:i/>
        </w:rPr>
        <w:t>Murtazaliyeva</w:t>
      </w:r>
      <w:proofErr w:type="spellEnd"/>
      <w:r w:rsidRPr="007732FF">
        <w:rPr>
          <w:i/>
        </w:rPr>
        <w:t xml:space="preserve"> </w:t>
      </w:r>
      <w:r w:rsidRPr="007732FF">
        <w:rPr>
          <w:i/>
          <w:iCs/>
        </w:rPr>
        <w:t xml:space="preserve">v. Russia </w:t>
      </w:r>
      <w:r w:rsidRPr="007732FF">
        <w:rPr>
          <w:iCs/>
        </w:rPr>
        <w:t>(</w:t>
      </w:r>
      <w:r w:rsidRPr="007732FF">
        <w:t xml:space="preserve">[GC], </w:t>
      </w:r>
      <w:r w:rsidRPr="007732FF">
        <w:rPr>
          <w:lang w:eastAsia="en-GB"/>
        </w:rPr>
        <w:t xml:space="preserve">no. </w:t>
      </w:r>
      <w:r w:rsidRPr="007732FF">
        <w:t>36658/05, §§ 150-68).</w:t>
      </w:r>
    </w:p>
    <w:p w:rsidRPr="007732FF" w:rsidR="00427856" w:rsidP="007732FF" w:rsidRDefault="00427856">
      <w:pPr>
        <w:pStyle w:val="JuHa0"/>
      </w:pPr>
      <w:r w:rsidRPr="007732FF">
        <w:t>Application of the principles in the present case</w:t>
      </w:r>
    </w:p>
    <w:bookmarkStart w:name="para23" w:id="2"/>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24</w:t>
      </w:r>
      <w:r w:rsidRPr="007732FF">
        <w:fldChar w:fldCharType="end"/>
      </w:r>
      <w:bookmarkEnd w:id="2"/>
      <w:r w:rsidRPr="007732FF">
        <w:t>.  According to the material submitted by the parties, the domestic judicial authorities accepted that the witnesses</w:t>
      </w:r>
      <w:r w:rsidRPr="007732FF" w:rsidR="007732FF">
        <w:t>’</w:t>
      </w:r>
      <w:r w:rsidRPr="007732FF">
        <w:t xml:space="preserve"> statements were, as claimed by the applicants, relevant and necessary for the proper examination of their respective cases. The Court sees no reason to hold otherwise. It accepts that the applicants</w:t>
      </w:r>
      <w:r w:rsidRPr="007732FF" w:rsidR="007732FF">
        <w:t>’</w:t>
      </w:r>
      <w:r w:rsidRPr="007732FF">
        <w:t xml:space="preserve"> request to examine the witnesses was sufficiently reasoned and relevant to the subject matter of the charges against them.</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25</w:t>
      </w:r>
      <w:r w:rsidRPr="007732FF">
        <w:fldChar w:fldCharType="end"/>
      </w:r>
      <w:r w:rsidRPr="007732FF">
        <w:t>.  It further notes that the material submitted by the Government remains silent as to what measures the domestic judicial authorities employed, apart from sending the summonses by post, to ensure the witnesses</w:t>
      </w:r>
      <w:r w:rsidRPr="007732FF" w:rsidR="007732FF">
        <w:t>’</w:t>
      </w:r>
      <w:r w:rsidRPr="007732FF">
        <w:t xml:space="preserve"> presence. When the witnesses failed to appear, the domestic judicial authorities decided to proceed with hearing the case without providing any reason for their decision to do so. The domestic judicial authorities thus failed to make every reasonable effort to obtain the attendance of those witnesses.</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26</w:t>
      </w:r>
      <w:r w:rsidRPr="007732FF">
        <w:fldChar w:fldCharType="end"/>
      </w:r>
      <w:r w:rsidRPr="007732FF">
        <w:t>.  Lastly, the Court takes into account that in the case under consideration, the only evidence referred to by the courts, when finding the applicants guilty, was the administrative-offence record and the statements made by the police officers. It considers that the failure on the part of the national judicial authorities to obtain the testimony of independent observers of the contested events undermined the overall fairness of the proceedings.</w:t>
      </w:r>
    </w:p>
    <w:bookmarkStart w:name="para33" w:id="3"/>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27</w:t>
      </w:r>
      <w:r w:rsidRPr="007732FF">
        <w:fldChar w:fldCharType="end"/>
      </w:r>
      <w:bookmarkEnd w:id="3"/>
      <w:r w:rsidRPr="007732FF">
        <w:t>.  In view of the above findings, the Court concludes that the administrative proceedings against the applicant were unfair. There has therefore been a violation of Article 6 §§ 1 and 3 (d) of the Convention.</w:t>
      </w:r>
    </w:p>
    <w:p w:rsidRPr="007732FF" w:rsidR="00427856" w:rsidP="007732FF" w:rsidRDefault="00427856">
      <w:pPr>
        <w:pStyle w:val="JuH1"/>
      </w:pPr>
      <w:r w:rsidRPr="007732FF">
        <w:t xml:space="preserve">Mr </w:t>
      </w:r>
      <w:proofErr w:type="spellStart"/>
      <w:r w:rsidRPr="007732FF">
        <w:t>Starkov</w:t>
      </w:r>
      <w:r w:rsidRPr="007732FF" w:rsidR="007732FF">
        <w:t>’</w:t>
      </w:r>
      <w:r w:rsidRPr="007732FF">
        <w:t>s</w:t>
      </w:r>
      <w:proofErr w:type="spellEnd"/>
      <w:r w:rsidRPr="007732FF">
        <w:t xml:space="preserve"> complaints concerning free legal assistance</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28</w:t>
      </w:r>
      <w:r w:rsidRPr="007732FF">
        <w:fldChar w:fldCharType="end"/>
      </w:r>
      <w:r w:rsidRPr="007732FF">
        <w:t>.  Regard being had to the Court</w:t>
      </w:r>
      <w:r w:rsidRPr="007732FF" w:rsidR="007732FF">
        <w:t>’</w:t>
      </w:r>
      <w:r w:rsidRPr="007732FF">
        <w:t xml:space="preserve">s findings in paragraphs </w:t>
      </w:r>
      <w:r w:rsidRPr="007732FF">
        <w:fldChar w:fldCharType="begin"/>
      </w:r>
      <w:r w:rsidRPr="007732FF">
        <w:instrText xml:space="preserve"> REF para23 \h </w:instrText>
      </w:r>
      <w:r w:rsidRPr="007732FF">
        <w:fldChar w:fldCharType="separate"/>
      </w:r>
      <w:r w:rsidRPr="007732FF" w:rsidR="007732FF">
        <w:rPr>
          <w:noProof/>
        </w:rPr>
        <w:t>24</w:t>
      </w:r>
      <w:r w:rsidRPr="007732FF">
        <w:fldChar w:fldCharType="end"/>
      </w:r>
      <w:r w:rsidRPr="007732FF">
        <w:t xml:space="preserve"> to </w:t>
      </w:r>
      <w:r w:rsidRPr="007732FF">
        <w:fldChar w:fldCharType="begin"/>
      </w:r>
      <w:r w:rsidRPr="007732FF">
        <w:instrText xml:space="preserve"> REF para33 \h </w:instrText>
      </w:r>
      <w:r w:rsidRPr="007732FF">
        <w:fldChar w:fldCharType="separate"/>
      </w:r>
      <w:r w:rsidRPr="007732FF" w:rsidR="007732FF">
        <w:rPr>
          <w:noProof/>
        </w:rPr>
        <w:t>27</w:t>
      </w:r>
      <w:r w:rsidRPr="007732FF">
        <w:fldChar w:fldCharType="end"/>
      </w:r>
      <w:r w:rsidRPr="007732FF">
        <w:t xml:space="preserve"> above, the Court considers it unnecessary to examine the remainder of Mr </w:t>
      </w:r>
      <w:proofErr w:type="spellStart"/>
      <w:r w:rsidRPr="007732FF">
        <w:t>Starkov</w:t>
      </w:r>
      <w:r w:rsidRPr="007732FF" w:rsidR="007732FF">
        <w:t>’</w:t>
      </w:r>
      <w:r w:rsidRPr="007732FF">
        <w:t>s</w:t>
      </w:r>
      <w:proofErr w:type="spellEnd"/>
      <w:r w:rsidRPr="007732FF">
        <w:t xml:space="preserve"> complaints about the fairness of the criminal proceedings against him.</w:t>
      </w:r>
    </w:p>
    <w:p w:rsidRPr="007732FF" w:rsidR="00427856" w:rsidP="007732FF" w:rsidRDefault="00427856">
      <w:pPr>
        <w:pStyle w:val="JuHIRoman"/>
      </w:pPr>
      <w:r w:rsidRPr="007732FF">
        <w:t>APPLICATION OF ARTICLE 41 OF THE CONVENTION</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29</w:t>
      </w:r>
      <w:r w:rsidRPr="007732FF">
        <w:fldChar w:fldCharType="end"/>
      </w:r>
      <w:r w:rsidRPr="007732FF">
        <w:t>.  Article 41 of the Convention provides:</w:t>
      </w:r>
    </w:p>
    <w:p w:rsidRPr="007732FF" w:rsidR="00427856" w:rsidP="007732FF" w:rsidRDefault="00427856">
      <w:pPr>
        <w:pStyle w:val="JuQuot"/>
        <w:keepNext/>
        <w:keepLines/>
      </w:pPr>
      <w:r w:rsidRPr="007732F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732FF" w:rsidR="00427856" w:rsidP="007732FF" w:rsidRDefault="00427856">
      <w:pPr>
        <w:pStyle w:val="JuHA"/>
      </w:pPr>
      <w:r w:rsidRPr="007732FF">
        <w:t>Damage</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30</w:t>
      </w:r>
      <w:r w:rsidRPr="007732FF">
        <w:fldChar w:fldCharType="end"/>
      </w:r>
      <w:r w:rsidRPr="007732FF">
        <w:t xml:space="preserve">.  Mr </w:t>
      </w:r>
      <w:proofErr w:type="spellStart"/>
      <w:r w:rsidRPr="007732FF">
        <w:t>Starkov</w:t>
      </w:r>
      <w:proofErr w:type="spellEnd"/>
      <w:r w:rsidRPr="007732FF">
        <w:t xml:space="preserve"> (application no. 54424/14) claimed 105,000 euros (EUR) in respect of non-pecuniary damage. Mr </w:t>
      </w:r>
      <w:proofErr w:type="spellStart"/>
      <w:r w:rsidRPr="007732FF">
        <w:t>Tishchenko</w:t>
      </w:r>
      <w:proofErr w:type="spellEnd"/>
      <w:r w:rsidRPr="007732FF">
        <w:t xml:space="preserve"> (application no. 43797/16) claimed EUR 379.75 and EUR 60,000 in respect of pecuniary and non-pecuniary damage respectively.</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31</w:t>
      </w:r>
      <w:r w:rsidRPr="007732FF">
        <w:fldChar w:fldCharType="end"/>
      </w:r>
      <w:r w:rsidRPr="007732FF">
        <w:t xml:space="preserve">.  The Government considered Mr </w:t>
      </w:r>
      <w:proofErr w:type="spellStart"/>
      <w:r w:rsidRPr="007732FF">
        <w:t>Tishchenko</w:t>
      </w:r>
      <w:r w:rsidRPr="007732FF" w:rsidR="007732FF">
        <w:t>’</w:t>
      </w:r>
      <w:r w:rsidRPr="007732FF">
        <w:t>s</w:t>
      </w:r>
      <w:proofErr w:type="spellEnd"/>
      <w:r w:rsidRPr="007732FF">
        <w:t xml:space="preserve"> claim in respect of pecuniary damage to be unfounded. They further submitted that the applicants</w:t>
      </w:r>
      <w:r w:rsidRPr="007732FF" w:rsidR="007732FF">
        <w:t>’</w:t>
      </w:r>
      <w:r w:rsidRPr="007732FF">
        <w:t xml:space="preserve"> claims in respect of non-pecuniary damage were excessive and unreasonable.</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32</w:t>
      </w:r>
      <w:r w:rsidRPr="007732FF">
        <w:fldChar w:fldCharType="end"/>
      </w:r>
      <w:r w:rsidRPr="007732FF">
        <w:t xml:space="preserve">.  The Court notes that in the present case an award of just satisfaction can only be based on the fact that the applicants did not have the benefit of the guarantees of Article 6 § 1 of the Convention. It cannot speculate as to what the outcome of the proceedings compatible with Article 6 § 1 might have been, had the requirements of this provision not been violated (compare </w:t>
      </w:r>
      <w:proofErr w:type="spellStart"/>
      <w:r w:rsidRPr="007732FF">
        <w:rPr>
          <w:i/>
        </w:rPr>
        <w:t>Menchinskaya</w:t>
      </w:r>
      <w:proofErr w:type="spellEnd"/>
      <w:r w:rsidRPr="007732FF">
        <w:rPr>
          <w:i/>
        </w:rPr>
        <w:t xml:space="preserve"> v. Russia</w:t>
      </w:r>
      <w:r w:rsidRPr="007732FF">
        <w:t xml:space="preserve">, no. 42454/02, § 46, 15 January 2009, and </w:t>
      </w:r>
      <w:r w:rsidRPr="007732FF">
        <w:rPr>
          <w:i/>
        </w:rPr>
        <w:t>Popov v. Russia</w:t>
      </w:r>
      <w:r w:rsidRPr="007732FF">
        <w:t xml:space="preserve">, no. 26853/04, § 260, 13 July 2006). It therefore rejects Mr </w:t>
      </w:r>
      <w:proofErr w:type="spellStart"/>
      <w:r w:rsidRPr="007732FF">
        <w:t>Tishchenko</w:t>
      </w:r>
      <w:r w:rsidRPr="007732FF" w:rsidR="007732FF">
        <w:t>’</w:t>
      </w:r>
      <w:r w:rsidRPr="007732FF">
        <w:t>s</w:t>
      </w:r>
      <w:proofErr w:type="spellEnd"/>
      <w:r w:rsidRPr="007732FF">
        <w:t xml:space="preserve"> claim in respect of pecuniary damage. As to the applicants</w:t>
      </w:r>
      <w:r w:rsidRPr="007732FF" w:rsidR="007732FF">
        <w:t>’</w:t>
      </w:r>
      <w:r w:rsidRPr="007732FF">
        <w:t xml:space="preserve"> claims in respect of non-pecuniar</w:t>
      </w:r>
      <w:r w:rsidRPr="007732FF" w:rsidR="007732FF">
        <w:t xml:space="preserve">y damage, the Court awards them </w:t>
      </w:r>
      <w:r w:rsidRPr="007732FF">
        <w:t>EUR 1,000 each.</w:t>
      </w:r>
    </w:p>
    <w:p w:rsidRPr="007732FF" w:rsidR="00427856" w:rsidP="007732FF" w:rsidRDefault="00427856">
      <w:pPr>
        <w:pStyle w:val="JuHA"/>
      </w:pPr>
      <w:r w:rsidRPr="007732FF">
        <w:t>Costs and expenses</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33</w:t>
      </w:r>
      <w:r w:rsidRPr="007732FF">
        <w:fldChar w:fldCharType="end"/>
      </w:r>
      <w:r w:rsidRPr="007732FF">
        <w:t>.  The applicants did not submit a claim for costs and expenses. Accordingly, the Court considers that there is no call to award them any sum on that account.</w:t>
      </w:r>
    </w:p>
    <w:p w:rsidRPr="007732FF" w:rsidR="00427856" w:rsidP="007732FF" w:rsidRDefault="00427856">
      <w:pPr>
        <w:pStyle w:val="JuHA"/>
      </w:pPr>
      <w:r w:rsidRPr="007732FF">
        <w:t>Default interest</w:t>
      </w:r>
    </w:p>
    <w:p w:rsidRPr="007732FF" w:rsidR="00427856" w:rsidP="007732FF" w:rsidRDefault="00427856">
      <w:pPr>
        <w:pStyle w:val="JuPara"/>
      </w:pPr>
      <w:r w:rsidRPr="007732FF">
        <w:fldChar w:fldCharType="begin"/>
      </w:r>
      <w:r w:rsidRPr="007732FF">
        <w:instrText xml:space="preserve"> SEQ level0 \*arabic </w:instrText>
      </w:r>
      <w:r w:rsidRPr="007732FF">
        <w:fldChar w:fldCharType="separate"/>
      </w:r>
      <w:r w:rsidRPr="007732FF" w:rsidR="007732FF">
        <w:rPr>
          <w:noProof/>
        </w:rPr>
        <w:t>34</w:t>
      </w:r>
      <w:r w:rsidRPr="007732FF">
        <w:fldChar w:fldCharType="end"/>
      </w:r>
      <w:r w:rsidRPr="007732FF">
        <w:t>.  The Court considers it appropriate that the default interest rate should be based on the marginal lending rate of the European Central Bank, to which should be added three percentage points.</w:t>
      </w:r>
    </w:p>
    <w:p w:rsidRPr="007732FF" w:rsidR="00427856" w:rsidP="007732FF" w:rsidRDefault="00427856">
      <w:pPr>
        <w:pStyle w:val="JuHHead"/>
      </w:pPr>
      <w:r w:rsidRPr="007732FF">
        <w:t>FOR THESE REASONS, THE COURT, UNANIMOUSLY,</w:t>
      </w:r>
    </w:p>
    <w:p w:rsidRPr="007732FF" w:rsidR="00427856" w:rsidP="007732FF" w:rsidRDefault="00427856">
      <w:pPr>
        <w:pStyle w:val="JuList"/>
        <w:ind w:left="0" w:firstLine="0"/>
      </w:pPr>
      <w:r w:rsidRPr="007732FF">
        <w:rPr>
          <w:i/>
        </w:rPr>
        <w:t xml:space="preserve">Decides </w:t>
      </w:r>
      <w:r w:rsidRPr="007732FF">
        <w:t>to join the applications;</w:t>
      </w:r>
    </w:p>
    <w:p w:rsidRPr="007732FF" w:rsidR="00427856" w:rsidP="007732FF" w:rsidRDefault="00427856">
      <w:pPr>
        <w:pStyle w:val="JuList"/>
      </w:pPr>
      <w:r w:rsidRPr="007732FF">
        <w:rPr>
          <w:i/>
        </w:rPr>
        <w:t>Declares</w:t>
      </w:r>
      <w:r w:rsidRPr="007732FF">
        <w:rPr>
          <w:color w:val="000000"/>
        </w:rPr>
        <w:t xml:space="preserve"> </w:t>
      </w:r>
      <w:r w:rsidRPr="007732FF">
        <w:t>the applications admissible;</w:t>
      </w:r>
    </w:p>
    <w:p w:rsidRPr="007732FF" w:rsidR="00427856" w:rsidP="007732FF" w:rsidRDefault="00427856">
      <w:pPr>
        <w:pStyle w:val="JuList"/>
      </w:pPr>
      <w:r w:rsidRPr="007732FF">
        <w:rPr>
          <w:i/>
        </w:rPr>
        <w:t>Holds</w:t>
      </w:r>
      <w:r w:rsidRPr="007732FF">
        <w:rPr>
          <w:color w:val="000000"/>
        </w:rPr>
        <w:t xml:space="preserve"> </w:t>
      </w:r>
      <w:r w:rsidRPr="007732FF">
        <w:t>that there has been a violation of Article 6 </w:t>
      </w:r>
      <w:r w:rsidRPr="007732FF">
        <w:rPr>
          <w:lang w:val="en-US"/>
        </w:rPr>
        <w:t>§§ </w:t>
      </w:r>
      <w:r w:rsidRPr="007732FF">
        <w:t>1 and 3 (d) of the Convention;</w:t>
      </w:r>
    </w:p>
    <w:p w:rsidRPr="007732FF" w:rsidR="00427856" w:rsidP="007732FF" w:rsidRDefault="00427856">
      <w:pPr>
        <w:pStyle w:val="JuList"/>
      </w:pPr>
      <w:r w:rsidRPr="007732FF">
        <w:rPr>
          <w:i/>
        </w:rPr>
        <w:t>Holds</w:t>
      </w:r>
      <w:r w:rsidRPr="007732FF">
        <w:rPr>
          <w:color w:val="000000"/>
        </w:rPr>
        <w:t xml:space="preserve"> </w:t>
      </w:r>
      <w:r w:rsidRPr="007732FF">
        <w:t xml:space="preserve">that it is not necessary to </w:t>
      </w:r>
      <w:bookmarkStart w:name="_1000007" w:id="4"/>
      <w:bookmarkEnd w:id="4"/>
      <w:r w:rsidRPr="007732FF">
        <w:t xml:space="preserve">examine </w:t>
      </w:r>
      <w:bookmarkStart w:name="_1000008" w:id="5"/>
      <w:bookmarkEnd w:id="5"/>
      <w:r w:rsidRPr="007732FF">
        <w:t>separately the remainder of Mr </w:t>
      </w:r>
      <w:proofErr w:type="spellStart"/>
      <w:r w:rsidRPr="007732FF">
        <w:t>Starkov</w:t>
      </w:r>
      <w:r w:rsidRPr="007732FF" w:rsidR="007732FF">
        <w:t>’</w:t>
      </w:r>
      <w:r w:rsidRPr="007732FF">
        <w:t>s</w:t>
      </w:r>
      <w:proofErr w:type="spellEnd"/>
      <w:r w:rsidRPr="007732FF">
        <w:t xml:space="preserve"> grievances under Article 6 §§ 1 and 3 (c) of the Convention;</w:t>
      </w:r>
    </w:p>
    <w:p w:rsidRPr="007732FF" w:rsidR="00427856" w:rsidP="007732FF" w:rsidRDefault="00427856">
      <w:pPr>
        <w:pStyle w:val="JuList"/>
      </w:pPr>
      <w:r w:rsidRPr="007732FF">
        <w:rPr>
          <w:i/>
        </w:rPr>
        <w:t>Holds</w:t>
      </w:r>
    </w:p>
    <w:p w:rsidRPr="007732FF" w:rsidR="00427856" w:rsidP="007732FF" w:rsidRDefault="00427856">
      <w:pPr>
        <w:pStyle w:val="JuLista"/>
      </w:pPr>
      <w:r w:rsidRPr="007732FF">
        <w:t>that the respondent State is to pay each of the applicants, within three months EUR 1,000 (one thousand euros) plus any tax that may be chargeable, in respect of non-pecuniary damage,</w:t>
      </w:r>
      <w:r w:rsidRPr="007732FF">
        <w:rPr>
          <w:b/>
        </w:rPr>
        <w:t xml:space="preserve"> </w:t>
      </w:r>
      <w:r w:rsidRPr="007732FF">
        <w:t xml:space="preserve">to be converted into </w:t>
      </w:r>
      <w:r w:rsidRPr="007732FF">
        <w:rPr>
          <w:color w:val="000000"/>
        </w:rPr>
        <w:t>the currency of the respondent State</w:t>
      </w:r>
      <w:r w:rsidRPr="007732FF">
        <w:t xml:space="preserve"> at the rate applicable at the date of settlement:</w:t>
      </w:r>
    </w:p>
    <w:p w:rsidRPr="007732FF" w:rsidR="00427856" w:rsidP="007732FF" w:rsidRDefault="00427856">
      <w:pPr>
        <w:pStyle w:val="JuLista"/>
      </w:pPr>
      <w:r w:rsidRPr="007732FF">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7732FF" w:rsidR="004D0EC7" w:rsidP="007732FF" w:rsidRDefault="00427856">
      <w:pPr>
        <w:pStyle w:val="JuList"/>
      </w:pPr>
      <w:r w:rsidRPr="007732FF">
        <w:rPr>
          <w:i/>
        </w:rPr>
        <w:t>Dismisses</w:t>
      </w:r>
      <w:r w:rsidRPr="007732FF">
        <w:rPr>
          <w:color w:val="000000"/>
        </w:rPr>
        <w:t xml:space="preserve"> </w:t>
      </w:r>
      <w:r w:rsidRPr="007732FF">
        <w:t>the remainder of the applicants claim for just satisfaction.</w:t>
      </w:r>
    </w:p>
    <w:p w:rsidRPr="007732FF" w:rsidR="008E3A08" w:rsidP="007732FF" w:rsidRDefault="007E2C8C">
      <w:pPr>
        <w:pStyle w:val="JuParaLast"/>
      </w:pPr>
      <w:r w:rsidRPr="007732FF">
        <w:t xml:space="preserve">Done in English, and notified in writing on </w:t>
      </w:r>
      <w:r w:rsidRPr="007732FF" w:rsidR="00427856">
        <w:rPr>
          <w:rFonts w:ascii="Times New Roman" w:hAnsi="Times New Roman" w:cs="Times New Roman"/>
        </w:rPr>
        <w:t>17 December 2019</w:t>
      </w:r>
      <w:r w:rsidRPr="007732FF">
        <w:t>, pursuant to Rule 77 §§ 2 and 3 of the Rules of Court.</w:t>
      </w:r>
    </w:p>
    <w:p w:rsidRPr="007732FF" w:rsidR="002A613A" w:rsidP="007732FF" w:rsidRDefault="00427856">
      <w:pPr>
        <w:pStyle w:val="JuSigned"/>
      </w:pPr>
      <w:r w:rsidRPr="007732FF">
        <w:t xml:space="preserve"> </w:t>
      </w:r>
      <w:r w:rsidRPr="007732FF" w:rsidR="00E07E95">
        <w:tab/>
        <w:t>Stephen Phillips</w:t>
      </w:r>
      <w:r w:rsidRPr="007732FF" w:rsidR="009F4C8F">
        <w:tab/>
      </w:r>
      <w:r w:rsidRPr="007732FF">
        <w:rPr>
          <w:szCs w:val="24"/>
        </w:rPr>
        <w:t xml:space="preserve">Alena </w:t>
      </w:r>
      <w:proofErr w:type="spellStart"/>
      <w:r w:rsidRPr="007732FF">
        <w:rPr>
          <w:szCs w:val="24"/>
        </w:rPr>
        <w:t>Poláčková</w:t>
      </w:r>
      <w:proofErr w:type="spellEnd"/>
      <w:r w:rsidRPr="007732FF" w:rsidR="009F4C8F">
        <w:rPr>
          <w:szCs w:val="24"/>
        </w:rPr>
        <w:br/>
      </w:r>
      <w:r w:rsidRPr="007732FF" w:rsidR="009F4C8F">
        <w:tab/>
      </w:r>
      <w:r w:rsidRPr="007732FF">
        <w:rPr>
          <w:iCs/>
        </w:rPr>
        <w:t>Registrar</w:t>
      </w:r>
      <w:r w:rsidRPr="007732FF" w:rsidR="009F4C8F">
        <w:tab/>
        <w:t>President</w:t>
      </w:r>
    </w:p>
    <w:sectPr w:rsidRPr="007732FF" w:rsidR="002A61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56" w:rsidRPr="00085457" w:rsidRDefault="00427856" w:rsidP="0098410D">
      <w:r w:rsidRPr="00085457">
        <w:separator/>
      </w:r>
    </w:p>
  </w:endnote>
  <w:endnote w:type="continuationSeparator" w:id="0">
    <w:p w:rsidR="00427856" w:rsidRPr="00085457" w:rsidRDefault="00427856"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56" w:rsidRPr="00150BFA" w:rsidRDefault="00427856" w:rsidP="0020718E">
    <w:pPr>
      <w:jc w:val="center"/>
    </w:pPr>
    <w:r>
      <w:rPr>
        <w:noProof/>
        <w:lang w:val="en-US" w:eastAsia="ja-JP"/>
      </w:rPr>
      <w:drawing>
        <wp:inline distT="0" distB="0" distL="0" distR="0" wp14:anchorId="143B8BE2" wp14:editId="4B720D3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BA1B0E">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BA1B0E"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56" w:rsidRPr="00085457" w:rsidRDefault="00427856" w:rsidP="0098410D">
      <w:r w:rsidRPr="00085457">
        <w:separator/>
      </w:r>
    </w:p>
  </w:footnote>
  <w:footnote w:type="continuationSeparator" w:id="0">
    <w:p w:rsidR="00427856" w:rsidRPr="00085457" w:rsidRDefault="00427856"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56" w:rsidRPr="00A45145" w:rsidRDefault="00427856" w:rsidP="00A45145">
    <w:pPr>
      <w:jc w:val="center"/>
    </w:pPr>
    <w:r>
      <w:rPr>
        <w:noProof/>
        <w:lang w:val="en-US" w:eastAsia="ja-JP"/>
      </w:rPr>
      <w:drawing>
        <wp:inline distT="0" distB="0" distL="0" distR="0" wp14:anchorId="19A43C47" wp14:editId="4CA9415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56" w:rsidRPr="00A45145" w:rsidRDefault="00427856" w:rsidP="00A45145">
    <w:pPr>
      <w:jc w:val="center"/>
    </w:pPr>
    <w:r>
      <w:rPr>
        <w:noProof/>
        <w:lang w:val="en-US" w:eastAsia="ja-JP"/>
      </w:rPr>
      <w:drawing>
        <wp:inline distT="0" distB="0" distL="0" distR="0" wp14:anchorId="71717541" wp14:editId="28AC3800">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427856" w:rsidP="004D0EC7">
    <w:pPr>
      <w:pStyle w:val="JuHeader"/>
    </w:pPr>
    <w:r>
      <w:rPr>
        <w:rStyle w:val="PageNumber"/>
      </w:rPr>
      <w:fldChar w:fldCharType="begin"/>
    </w:r>
    <w:r>
      <w:rPr>
        <w:rStyle w:val="PageNumber"/>
      </w:rPr>
      <w:instrText xml:space="preserve"> PAGE </w:instrText>
    </w:r>
    <w:r>
      <w:rPr>
        <w:rStyle w:val="PageNumber"/>
      </w:rPr>
      <w:fldChar w:fldCharType="separate"/>
    </w:r>
    <w:r w:rsidR="007732FF">
      <w:rPr>
        <w:rStyle w:val="PageNumber"/>
        <w:noProof/>
      </w:rPr>
      <w:t>6</w:t>
    </w:r>
    <w:r>
      <w:rPr>
        <w:rStyle w:val="PageNumber"/>
      </w:rPr>
      <w:fldChar w:fldCharType="end"/>
    </w:r>
    <w:r w:rsidR="00882CD5" w:rsidRPr="004D0EC7">
      <w:tab/>
    </w:r>
    <w:r>
      <w:t xml:space="preserve">STARKOV </w:t>
    </w:r>
    <w:r w:rsidR="00E07E95" w:rsidRPr="00E07E95">
      <w:t xml:space="preserve">AND TISHCHENKO </w:t>
    </w:r>
    <w:r>
      <w:t>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427856">
      <w:t xml:space="preserve">STARKOV </w:t>
    </w:r>
    <w:r w:rsidR="00E07E95">
      <w:t xml:space="preserve">AND TISHCHENKO </w:t>
    </w:r>
    <w:r w:rsidR="00427856">
      <w:t>v. RUSSIA</w:t>
    </w:r>
    <w:r w:rsidRPr="00882CD5">
      <w:t xml:space="preserve"> JUDGMENT</w:t>
    </w:r>
    <w:r w:rsidRPr="00882CD5">
      <w:tab/>
    </w:r>
    <w:r w:rsidR="00427856">
      <w:rPr>
        <w:rStyle w:val="PageNumber"/>
      </w:rPr>
      <w:fldChar w:fldCharType="begin"/>
    </w:r>
    <w:r w:rsidR="00427856">
      <w:rPr>
        <w:rStyle w:val="PageNumber"/>
      </w:rPr>
      <w:instrText xml:space="preserve"> PAGE </w:instrText>
    </w:r>
    <w:r w:rsidR="00427856">
      <w:rPr>
        <w:rStyle w:val="PageNumber"/>
      </w:rPr>
      <w:fldChar w:fldCharType="separate"/>
    </w:r>
    <w:r w:rsidR="007732FF">
      <w:rPr>
        <w:rStyle w:val="PageNumber"/>
        <w:noProof/>
      </w:rPr>
      <w:t>7</w:t>
    </w:r>
    <w:r w:rsidR="0042785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69B170C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5"/>
  </w:num>
  <w:num w:numId="2">
    <w:abstractNumId w:val="12"/>
  </w:num>
  <w:num w:numId="3">
    <w:abstractNumId w:val="10"/>
  </w:num>
  <w:num w:numId="4">
    <w:abstractNumId w:val="9"/>
  </w:num>
  <w:num w:numId="5">
    <w:abstractNumId w:val="13"/>
  </w:num>
  <w:num w:numId="6">
    <w:abstractNumId w:val="11"/>
  </w:num>
  <w:num w:numId="7">
    <w:abstractNumId w:val="14"/>
  </w:num>
  <w:num w:numId="8">
    <w:abstractNumId w:val="17"/>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s>
  <w:rsids>
    <w:rsidRoot w:val="00427856"/>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68A9"/>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856"/>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32F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0C5E"/>
    <w:rsid w:val="00A1726E"/>
    <w:rsid w:val="00A204CF"/>
    <w:rsid w:val="00A21D2B"/>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13B"/>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07E95"/>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36267"/>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732FF"/>
    <w:rPr>
      <w:rFonts w:eastAsiaTheme="minorEastAsia"/>
      <w:sz w:val="24"/>
      <w:lang w:val="en-GB"/>
    </w:rPr>
  </w:style>
  <w:style w:type="paragraph" w:styleId="Heading1">
    <w:name w:val="heading 1"/>
    <w:basedOn w:val="Normal"/>
    <w:next w:val="Normal"/>
    <w:link w:val="Heading1Char"/>
    <w:uiPriority w:val="98"/>
    <w:semiHidden/>
    <w:rsid w:val="007732FF"/>
    <w:pPr>
      <w:numPr>
        <w:numId w:val="8"/>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732FF"/>
    <w:pPr>
      <w:numPr>
        <w:ilvl w:val="1"/>
        <w:numId w:val="8"/>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732FF"/>
    <w:pPr>
      <w:numPr>
        <w:ilvl w:val="2"/>
        <w:numId w:val="8"/>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7732FF"/>
    <w:pPr>
      <w:numPr>
        <w:ilvl w:val="3"/>
        <w:numId w:val="8"/>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7732FF"/>
    <w:pPr>
      <w:numPr>
        <w:ilvl w:val="4"/>
        <w:numId w:val="8"/>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7732FF"/>
    <w:pPr>
      <w:numPr>
        <w:ilvl w:val="5"/>
        <w:numId w:val="8"/>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7732FF"/>
    <w:pPr>
      <w:numPr>
        <w:ilvl w:val="6"/>
        <w:numId w:val="8"/>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7732FF"/>
    <w:pPr>
      <w:numPr>
        <w:ilvl w:val="7"/>
        <w:numId w:val="8"/>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732FF"/>
    <w:pPr>
      <w:numPr>
        <w:ilvl w:val="8"/>
        <w:numId w:val="8"/>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732FF"/>
    <w:rPr>
      <w:rFonts w:ascii="Tahoma" w:hAnsi="Tahoma" w:cs="Tahoma"/>
      <w:sz w:val="16"/>
      <w:szCs w:val="16"/>
    </w:rPr>
  </w:style>
  <w:style w:type="character" w:customStyle="1" w:styleId="BalloonTextChar">
    <w:name w:val="Balloon Text Char"/>
    <w:basedOn w:val="DefaultParagraphFont"/>
    <w:link w:val="BalloonText"/>
    <w:uiPriority w:val="98"/>
    <w:semiHidden/>
    <w:rsid w:val="007732FF"/>
    <w:rPr>
      <w:rFonts w:ascii="Tahoma" w:eastAsiaTheme="minorEastAsia" w:hAnsi="Tahoma" w:cs="Tahoma"/>
      <w:sz w:val="16"/>
      <w:szCs w:val="16"/>
      <w:lang w:val="en-GB"/>
    </w:rPr>
  </w:style>
  <w:style w:type="character" w:styleId="BookTitle">
    <w:name w:val="Book Title"/>
    <w:uiPriority w:val="98"/>
    <w:semiHidden/>
    <w:qFormat/>
    <w:rsid w:val="007732FF"/>
    <w:rPr>
      <w:i/>
      <w:iCs/>
      <w:smallCaps/>
      <w:spacing w:val="5"/>
    </w:rPr>
  </w:style>
  <w:style w:type="paragraph" w:customStyle="1" w:styleId="JuHeader">
    <w:name w:val="Ju_Header"/>
    <w:aliases w:val="_Header"/>
    <w:basedOn w:val="Header"/>
    <w:uiPriority w:val="29"/>
    <w:qFormat/>
    <w:rsid w:val="007732FF"/>
    <w:pPr>
      <w:tabs>
        <w:tab w:val="clear" w:pos="4536"/>
        <w:tab w:val="clear" w:pos="9072"/>
        <w:tab w:val="center" w:pos="3686"/>
        <w:tab w:val="right" w:pos="7371"/>
      </w:tabs>
    </w:pPr>
    <w:rPr>
      <w:sz w:val="18"/>
    </w:rPr>
  </w:style>
  <w:style w:type="paragraph" w:customStyle="1" w:styleId="NormalJustified">
    <w:name w:val="Normal_Justified"/>
    <w:basedOn w:val="Normal"/>
    <w:semiHidden/>
    <w:rsid w:val="007732FF"/>
    <w:pPr>
      <w:jc w:val="both"/>
    </w:pPr>
  </w:style>
  <w:style w:type="character" w:styleId="Strong">
    <w:name w:val="Strong"/>
    <w:uiPriority w:val="98"/>
    <w:semiHidden/>
    <w:qFormat/>
    <w:rsid w:val="007732FF"/>
    <w:rPr>
      <w:b/>
      <w:bCs/>
    </w:rPr>
  </w:style>
  <w:style w:type="paragraph" w:styleId="NoSpacing">
    <w:name w:val="No Spacing"/>
    <w:basedOn w:val="Normal"/>
    <w:link w:val="NoSpacingChar"/>
    <w:uiPriority w:val="98"/>
    <w:semiHidden/>
    <w:qFormat/>
    <w:rsid w:val="007732FF"/>
  </w:style>
  <w:style w:type="character" w:customStyle="1" w:styleId="NoSpacingChar">
    <w:name w:val="No Spacing Char"/>
    <w:basedOn w:val="DefaultParagraphFont"/>
    <w:link w:val="NoSpacing"/>
    <w:uiPriority w:val="98"/>
    <w:semiHidden/>
    <w:rsid w:val="007732FF"/>
    <w:rPr>
      <w:rFonts w:eastAsiaTheme="minorEastAsia"/>
      <w:sz w:val="24"/>
      <w:lang w:val="en-GB"/>
    </w:rPr>
  </w:style>
  <w:style w:type="paragraph" w:customStyle="1" w:styleId="JuQuot">
    <w:name w:val="Ju_Quot"/>
    <w:aliases w:val="_Quote"/>
    <w:basedOn w:val="NormalJustified"/>
    <w:uiPriority w:val="20"/>
    <w:qFormat/>
    <w:rsid w:val="007732FF"/>
    <w:pPr>
      <w:spacing w:before="120" w:after="120"/>
      <w:ind w:left="425" w:firstLine="142"/>
    </w:pPr>
    <w:rPr>
      <w:sz w:val="20"/>
    </w:rPr>
  </w:style>
  <w:style w:type="paragraph" w:customStyle="1" w:styleId="ECHRBullet1">
    <w:name w:val="ECHR_Bullet_1"/>
    <w:aliases w:val="_Bul_1"/>
    <w:basedOn w:val="NormalJustified"/>
    <w:uiPriority w:val="23"/>
    <w:semiHidden/>
    <w:qFormat/>
    <w:rsid w:val="007732FF"/>
    <w:pPr>
      <w:numPr>
        <w:numId w:val="5"/>
      </w:numPr>
      <w:spacing w:before="60" w:after="60"/>
    </w:pPr>
    <w:rPr>
      <w:sz w:val="22"/>
    </w:rPr>
  </w:style>
  <w:style w:type="paragraph" w:customStyle="1" w:styleId="JuList">
    <w:name w:val="Ju_List"/>
    <w:aliases w:val="_List_1"/>
    <w:basedOn w:val="NormalJustified"/>
    <w:uiPriority w:val="23"/>
    <w:qFormat/>
    <w:rsid w:val="007732FF"/>
    <w:pPr>
      <w:numPr>
        <w:numId w:val="6"/>
      </w:numPr>
      <w:spacing w:before="280" w:after="60"/>
    </w:pPr>
    <w:rPr>
      <w:rFonts w:eastAsiaTheme="minorHAnsi"/>
    </w:rPr>
  </w:style>
  <w:style w:type="paragraph" w:customStyle="1" w:styleId="JuLista">
    <w:name w:val="Ju_List_a"/>
    <w:aliases w:val="_List_2"/>
    <w:basedOn w:val="NormalJustified"/>
    <w:uiPriority w:val="23"/>
    <w:rsid w:val="007732FF"/>
    <w:pPr>
      <w:numPr>
        <w:ilvl w:val="1"/>
        <w:numId w:val="6"/>
      </w:numPr>
    </w:pPr>
  </w:style>
  <w:style w:type="paragraph" w:customStyle="1" w:styleId="JuListi">
    <w:name w:val="Ju_List_i"/>
    <w:aliases w:val="_List_3"/>
    <w:basedOn w:val="NormalJustified"/>
    <w:uiPriority w:val="23"/>
    <w:rsid w:val="007732FF"/>
    <w:pPr>
      <w:numPr>
        <w:ilvl w:val="2"/>
        <w:numId w:val="6"/>
      </w:numPr>
    </w:pPr>
  </w:style>
  <w:style w:type="paragraph" w:customStyle="1" w:styleId="JuHArticle">
    <w:name w:val="Ju_H_Article"/>
    <w:aliases w:val="_Title_Quote"/>
    <w:basedOn w:val="Normal"/>
    <w:next w:val="JuQuot"/>
    <w:uiPriority w:val="19"/>
    <w:qFormat/>
    <w:rsid w:val="007732FF"/>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8"/>
    <w:qFormat/>
    <w:rsid w:val="007732FF"/>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732FF"/>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7"/>
    <w:qFormat/>
    <w:rsid w:val="007732FF"/>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7732FF"/>
    <w:pPr>
      <w:numPr>
        <w:numId w:val="5"/>
      </w:numPr>
    </w:pPr>
  </w:style>
  <w:style w:type="paragraph" w:customStyle="1" w:styleId="JuSigned">
    <w:name w:val="Ju_Signed"/>
    <w:aliases w:val="_Signature"/>
    <w:basedOn w:val="Normal"/>
    <w:next w:val="JuPara"/>
    <w:uiPriority w:val="31"/>
    <w:qFormat/>
    <w:rsid w:val="007732FF"/>
    <w:pPr>
      <w:tabs>
        <w:tab w:val="center" w:pos="851"/>
        <w:tab w:val="center" w:pos="6407"/>
      </w:tabs>
      <w:spacing w:before="720"/>
    </w:pPr>
  </w:style>
  <w:style w:type="paragraph" w:styleId="Title">
    <w:name w:val="Title"/>
    <w:basedOn w:val="Normal"/>
    <w:next w:val="Normal"/>
    <w:link w:val="TitleChar"/>
    <w:uiPriority w:val="98"/>
    <w:semiHidden/>
    <w:qFormat/>
    <w:rsid w:val="007732F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732FF"/>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732FF"/>
    <w:pPr>
      <w:numPr>
        <w:numId w:val="6"/>
      </w:numPr>
    </w:pPr>
  </w:style>
  <w:style w:type="numbering" w:customStyle="1" w:styleId="ECHRA1StyleNumberedList">
    <w:name w:val="ECHR_A1_Style_Numbered_List"/>
    <w:basedOn w:val="NoList"/>
    <w:rsid w:val="007732FF"/>
    <w:pPr>
      <w:numPr>
        <w:numId w:val="7"/>
      </w:numPr>
    </w:pPr>
  </w:style>
  <w:style w:type="table" w:customStyle="1" w:styleId="ECHRTable2019">
    <w:name w:val="ECHR_Table_2019"/>
    <w:basedOn w:val="TableNormal"/>
    <w:uiPriority w:val="99"/>
    <w:rsid w:val="007732FF"/>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732FF"/>
    <w:rPr>
      <w:sz w:val="8"/>
    </w:rPr>
  </w:style>
  <w:style w:type="paragraph" w:customStyle="1" w:styleId="JuCourt">
    <w:name w:val="Ju_Court"/>
    <w:aliases w:val="_Court_Names"/>
    <w:basedOn w:val="Normal"/>
    <w:next w:val="Normal"/>
    <w:uiPriority w:val="32"/>
    <w:qFormat/>
    <w:rsid w:val="007732F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7"/>
    <w:qFormat/>
    <w:rsid w:val="007732FF"/>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7732FF"/>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7"/>
    <w:rsid w:val="007732FF"/>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98"/>
    <w:semiHidden/>
    <w:rsid w:val="007732FF"/>
    <w:pPr>
      <w:tabs>
        <w:tab w:val="center" w:pos="4536"/>
        <w:tab w:val="right" w:pos="9072"/>
      </w:tabs>
    </w:pPr>
    <w:rPr>
      <w:rFonts w:eastAsiaTheme="minorHAnsi"/>
    </w:rPr>
  </w:style>
  <w:style w:type="character" w:customStyle="1" w:styleId="HeaderChar">
    <w:name w:val="Header Char"/>
    <w:basedOn w:val="DefaultParagraphFont"/>
    <w:link w:val="Header"/>
    <w:uiPriority w:val="98"/>
    <w:semiHidden/>
    <w:rsid w:val="007732FF"/>
    <w:rPr>
      <w:sz w:val="24"/>
      <w:lang w:val="en-GB"/>
    </w:rPr>
  </w:style>
  <w:style w:type="character" w:customStyle="1" w:styleId="Heading1Char">
    <w:name w:val="Heading 1 Char"/>
    <w:basedOn w:val="DefaultParagraphFont"/>
    <w:link w:val="Heading1"/>
    <w:uiPriority w:val="98"/>
    <w:semiHidden/>
    <w:rsid w:val="007732F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7"/>
    <w:rsid w:val="007732FF"/>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7732FF"/>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7732F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7"/>
    <w:rsid w:val="007732FF"/>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7"/>
    <w:rsid w:val="007732FF"/>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7732FF"/>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5"/>
    <w:qFormat/>
    <w:rsid w:val="007732FF"/>
    <w:pPr>
      <w:keepNext/>
      <w:keepLines/>
      <w:spacing w:before="240" w:after="240"/>
      <w:ind w:firstLine="284"/>
    </w:pPr>
    <w:rPr>
      <w:rFonts w:eastAsiaTheme="minorHAnsi"/>
    </w:rPr>
  </w:style>
  <w:style w:type="paragraph" w:customStyle="1" w:styleId="JuJudges">
    <w:name w:val="Ju_Judges"/>
    <w:aliases w:val="_Judges"/>
    <w:basedOn w:val="Normal"/>
    <w:uiPriority w:val="32"/>
    <w:qFormat/>
    <w:rsid w:val="007732FF"/>
    <w:pPr>
      <w:tabs>
        <w:tab w:val="left" w:pos="567"/>
        <w:tab w:val="left" w:pos="1134"/>
      </w:tabs>
    </w:pPr>
  </w:style>
  <w:style w:type="character" w:customStyle="1" w:styleId="Heading4Char">
    <w:name w:val="Heading 4 Char"/>
    <w:basedOn w:val="DefaultParagraphFont"/>
    <w:link w:val="Heading4"/>
    <w:uiPriority w:val="98"/>
    <w:semiHidden/>
    <w:rsid w:val="007732FF"/>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1"/>
    <w:qFormat/>
    <w:rsid w:val="007732FF"/>
    <w:pPr>
      <w:tabs>
        <w:tab w:val="center" w:pos="6407"/>
      </w:tabs>
      <w:spacing w:before="720"/>
      <w:jc w:val="right"/>
    </w:pPr>
  </w:style>
  <w:style w:type="character" w:customStyle="1" w:styleId="Heading5Char">
    <w:name w:val="Heading 5 Char"/>
    <w:basedOn w:val="DefaultParagraphFont"/>
    <w:link w:val="Heading5"/>
    <w:uiPriority w:val="98"/>
    <w:semiHidden/>
    <w:rsid w:val="007732FF"/>
    <w:rPr>
      <w:rFonts w:asciiTheme="majorHAnsi" w:eastAsiaTheme="majorEastAsia" w:hAnsiTheme="majorHAnsi" w:cstheme="majorBidi"/>
      <w:b/>
      <w:bCs/>
      <w:color w:val="808080"/>
      <w:sz w:val="24"/>
      <w:lang w:val="en-GB"/>
    </w:rPr>
  </w:style>
  <w:style w:type="character" w:customStyle="1" w:styleId="JuITMark">
    <w:name w:val="Ju_ITMark"/>
    <w:aliases w:val="_ITMark"/>
    <w:basedOn w:val="DefaultParagraphFont"/>
    <w:uiPriority w:val="43"/>
    <w:qFormat/>
    <w:rsid w:val="007732F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732FF"/>
    <w:rPr>
      <w:caps w:val="0"/>
      <w:smallCaps/>
    </w:rPr>
  </w:style>
  <w:style w:type="character" w:styleId="SubtleEmphasis">
    <w:name w:val="Subtle Emphasis"/>
    <w:uiPriority w:val="98"/>
    <w:semiHidden/>
    <w:qFormat/>
    <w:rsid w:val="007732FF"/>
    <w:rPr>
      <w:i/>
      <w:iCs/>
    </w:rPr>
  </w:style>
  <w:style w:type="table" w:customStyle="1" w:styleId="ECHRTable">
    <w:name w:val="ECHR_Table"/>
    <w:basedOn w:val="TableNormal"/>
    <w:rsid w:val="007732F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732F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732FF"/>
    <w:rPr>
      <w:b/>
      <w:bCs/>
      <w:i/>
      <w:iCs/>
      <w:spacing w:val="10"/>
      <w:bdr w:val="none" w:sz="0" w:space="0" w:color="auto"/>
      <w:shd w:val="clear" w:color="auto" w:fill="auto"/>
    </w:rPr>
  </w:style>
  <w:style w:type="paragraph" w:styleId="Footer0">
    <w:name w:val="footer"/>
    <w:basedOn w:val="Normal"/>
    <w:link w:val="FooterChar"/>
    <w:uiPriority w:val="98"/>
    <w:semiHidden/>
    <w:rsid w:val="007732FF"/>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98"/>
    <w:semiHidden/>
    <w:rsid w:val="007732FF"/>
    <w:rPr>
      <w:sz w:val="24"/>
      <w:lang w:val="en-GB"/>
    </w:rPr>
  </w:style>
  <w:style w:type="character" w:styleId="FootnoteReference">
    <w:name w:val="footnote reference"/>
    <w:basedOn w:val="DefaultParagraphFont"/>
    <w:uiPriority w:val="98"/>
    <w:semiHidden/>
    <w:rsid w:val="007732FF"/>
    <w:rPr>
      <w:vertAlign w:val="superscript"/>
    </w:rPr>
  </w:style>
  <w:style w:type="paragraph" w:styleId="FootnoteText">
    <w:name w:val="footnote text"/>
    <w:basedOn w:val="Normal"/>
    <w:link w:val="FootnoteTextChar"/>
    <w:uiPriority w:val="98"/>
    <w:semiHidden/>
    <w:rsid w:val="007732FF"/>
    <w:rPr>
      <w:sz w:val="20"/>
      <w:szCs w:val="20"/>
    </w:rPr>
  </w:style>
  <w:style w:type="character" w:customStyle="1" w:styleId="FootnoteTextChar">
    <w:name w:val="Footnote Text Char"/>
    <w:basedOn w:val="DefaultParagraphFont"/>
    <w:link w:val="FootnoteText"/>
    <w:uiPriority w:val="98"/>
    <w:semiHidden/>
    <w:rsid w:val="007732FF"/>
    <w:rPr>
      <w:rFonts w:eastAsiaTheme="minorEastAsia"/>
      <w:sz w:val="20"/>
      <w:szCs w:val="20"/>
      <w:lang w:val="en-GB"/>
    </w:rPr>
  </w:style>
  <w:style w:type="character" w:customStyle="1" w:styleId="Heading6Char">
    <w:name w:val="Heading 6 Char"/>
    <w:basedOn w:val="DefaultParagraphFont"/>
    <w:link w:val="Heading6"/>
    <w:uiPriority w:val="98"/>
    <w:semiHidden/>
    <w:rsid w:val="007732FF"/>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8"/>
    <w:semiHidden/>
    <w:rsid w:val="007732FF"/>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8"/>
    <w:semiHidden/>
    <w:rsid w:val="007732FF"/>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732FF"/>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732FF"/>
    <w:rPr>
      <w:color w:val="0072BC" w:themeColor="hyperlink"/>
      <w:u w:val="single"/>
    </w:rPr>
  </w:style>
  <w:style w:type="character" w:styleId="IntenseEmphasis">
    <w:name w:val="Intense Emphasis"/>
    <w:uiPriority w:val="98"/>
    <w:semiHidden/>
    <w:qFormat/>
    <w:rsid w:val="007732FF"/>
    <w:rPr>
      <w:b/>
      <w:bCs/>
    </w:rPr>
  </w:style>
  <w:style w:type="paragraph" w:styleId="IntenseQuote">
    <w:name w:val="Intense Quote"/>
    <w:basedOn w:val="Normal"/>
    <w:next w:val="Normal"/>
    <w:link w:val="IntenseQuoteChar"/>
    <w:uiPriority w:val="98"/>
    <w:semiHidden/>
    <w:qFormat/>
    <w:rsid w:val="007732F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732FF"/>
    <w:rPr>
      <w:rFonts w:eastAsiaTheme="minorEastAsia"/>
      <w:b/>
      <w:bCs/>
      <w:i/>
      <w:iCs/>
      <w:sz w:val="24"/>
      <w:lang w:val="en-GB" w:bidi="en-US"/>
    </w:rPr>
  </w:style>
  <w:style w:type="character" w:styleId="IntenseReference">
    <w:name w:val="Intense Reference"/>
    <w:uiPriority w:val="98"/>
    <w:semiHidden/>
    <w:qFormat/>
    <w:rsid w:val="007732FF"/>
    <w:rPr>
      <w:smallCaps/>
      <w:spacing w:val="5"/>
      <w:u w:val="single"/>
    </w:rPr>
  </w:style>
  <w:style w:type="paragraph" w:styleId="ListParagraph">
    <w:name w:val="List Paragraph"/>
    <w:basedOn w:val="Normal"/>
    <w:uiPriority w:val="98"/>
    <w:semiHidden/>
    <w:qFormat/>
    <w:rsid w:val="007732FF"/>
    <w:pPr>
      <w:ind w:left="720"/>
      <w:contextualSpacing/>
    </w:pPr>
  </w:style>
  <w:style w:type="table" w:customStyle="1" w:styleId="LtrTableAddress">
    <w:name w:val="Ltr_Table_Address"/>
    <w:aliases w:val="ECHR_Ltr_Table_Address"/>
    <w:basedOn w:val="TableNormal"/>
    <w:uiPriority w:val="99"/>
    <w:rsid w:val="007732FF"/>
    <w:tblPr>
      <w:tblInd w:w="5103" w:type="dxa"/>
    </w:tblPr>
  </w:style>
  <w:style w:type="paragraph" w:styleId="Quote">
    <w:name w:val="Quote"/>
    <w:basedOn w:val="Normal"/>
    <w:next w:val="Normal"/>
    <w:link w:val="QuoteChar"/>
    <w:uiPriority w:val="98"/>
    <w:semiHidden/>
    <w:qFormat/>
    <w:rsid w:val="007732FF"/>
    <w:pPr>
      <w:spacing w:before="200"/>
      <w:ind w:left="360" w:right="360"/>
    </w:pPr>
    <w:rPr>
      <w:i/>
      <w:iCs/>
      <w:lang w:bidi="en-US"/>
    </w:rPr>
  </w:style>
  <w:style w:type="character" w:customStyle="1" w:styleId="QuoteChar">
    <w:name w:val="Quote Char"/>
    <w:basedOn w:val="DefaultParagraphFont"/>
    <w:link w:val="Quote"/>
    <w:uiPriority w:val="98"/>
    <w:semiHidden/>
    <w:rsid w:val="007732FF"/>
    <w:rPr>
      <w:rFonts w:eastAsiaTheme="minorEastAsia"/>
      <w:i/>
      <w:iCs/>
      <w:sz w:val="24"/>
      <w:lang w:val="en-GB" w:bidi="en-US"/>
    </w:rPr>
  </w:style>
  <w:style w:type="character" w:styleId="SubtleReference">
    <w:name w:val="Subtle Reference"/>
    <w:uiPriority w:val="98"/>
    <w:semiHidden/>
    <w:qFormat/>
    <w:rsid w:val="007732FF"/>
    <w:rPr>
      <w:smallCaps/>
    </w:rPr>
  </w:style>
  <w:style w:type="table" w:styleId="TableGrid">
    <w:name w:val="Table Grid"/>
    <w:basedOn w:val="TableNormal"/>
    <w:uiPriority w:val="59"/>
    <w:semiHidden/>
    <w:rsid w:val="007732F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732F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732F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732F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732F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732F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732F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aliases w:val="ECHR_UG_Table"/>
    <w:basedOn w:val="TableNormal"/>
    <w:uiPriority w:val="99"/>
    <w:rsid w:val="007732FF"/>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732FF"/>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732FF"/>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732FF"/>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732FF"/>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732FF"/>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732F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8"/>
    <w:semiHidden/>
    <w:qFormat/>
    <w:rsid w:val="007732F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8"/>
    <w:semiHidden/>
    <w:rsid w:val="007732FF"/>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732FF"/>
    <w:pPr>
      <w:numPr>
        <w:numId w:val="2"/>
      </w:numPr>
    </w:pPr>
  </w:style>
  <w:style w:type="paragraph" w:customStyle="1" w:styleId="JuPara">
    <w:name w:val="Ju_Para"/>
    <w:aliases w:val="_Para"/>
    <w:basedOn w:val="NormalJustified"/>
    <w:link w:val="JuParaChar"/>
    <w:uiPriority w:val="4"/>
    <w:qFormat/>
    <w:rsid w:val="007732FF"/>
    <w:pPr>
      <w:ind w:firstLine="284"/>
    </w:pPr>
  </w:style>
  <w:style w:type="numbering" w:styleId="1ai">
    <w:name w:val="Outline List 1"/>
    <w:basedOn w:val="NoList"/>
    <w:uiPriority w:val="99"/>
    <w:semiHidden/>
    <w:unhideWhenUsed/>
    <w:rsid w:val="007732FF"/>
    <w:pPr>
      <w:numPr>
        <w:numId w:val="3"/>
      </w:numPr>
    </w:pPr>
  </w:style>
  <w:style w:type="table" w:customStyle="1" w:styleId="ECHRTableSimpleBox">
    <w:name w:val="ECHR_Table_Simple_Box"/>
    <w:basedOn w:val="TableNormal"/>
    <w:uiPriority w:val="99"/>
    <w:rsid w:val="007732FF"/>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732F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732FF"/>
    <w:pPr>
      <w:numPr>
        <w:numId w:val="4"/>
      </w:numPr>
    </w:pPr>
  </w:style>
  <w:style w:type="table" w:customStyle="1" w:styleId="ECHRTableForInternalUse">
    <w:name w:val="ECHR_Table_For_Internal_Use"/>
    <w:basedOn w:val="TableNormal"/>
    <w:uiPriority w:val="99"/>
    <w:rsid w:val="007732FF"/>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732F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732FF"/>
  </w:style>
  <w:style w:type="paragraph" w:styleId="BlockText">
    <w:name w:val="Block Text"/>
    <w:basedOn w:val="Normal"/>
    <w:uiPriority w:val="98"/>
    <w:semiHidden/>
    <w:rsid w:val="007732F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732FF"/>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732FF"/>
    <w:pPr>
      <w:spacing w:after="120"/>
    </w:pPr>
  </w:style>
  <w:style w:type="character" w:customStyle="1" w:styleId="BodyTextChar">
    <w:name w:val="Body Text Char"/>
    <w:basedOn w:val="DefaultParagraphFont"/>
    <w:link w:val="BodyText"/>
    <w:uiPriority w:val="98"/>
    <w:semiHidden/>
    <w:rsid w:val="007732FF"/>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732FF"/>
    <w:pPr>
      <w:spacing w:after="120" w:line="480" w:lineRule="auto"/>
    </w:pPr>
  </w:style>
  <w:style w:type="table" w:customStyle="1" w:styleId="ECHRHeaderTableReduced">
    <w:name w:val="ECHR_Header_Table_Reduced"/>
    <w:basedOn w:val="TableNormal"/>
    <w:uiPriority w:val="99"/>
    <w:rsid w:val="007732FF"/>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732FF"/>
    <w:pPr>
      <w:ind w:firstLine="284"/>
    </w:pPr>
    <w:rPr>
      <w:b/>
    </w:rPr>
  </w:style>
  <w:style w:type="character" w:styleId="PageNumber">
    <w:name w:val="page number"/>
    <w:uiPriority w:val="98"/>
    <w:semiHidden/>
    <w:rsid w:val="007732FF"/>
    <w:rPr>
      <w:sz w:val="18"/>
    </w:rPr>
  </w:style>
  <w:style w:type="paragraph" w:styleId="ListBullet">
    <w:name w:val="List Bullet"/>
    <w:basedOn w:val="Normal"/>
    <w:uiPriority w:val="98"/>
    <w:semiHidden/>
    <w:rsid w:val="007732FF"/>
    <w:pPr>
      <w:numPr>
        <w:numId w:val="9"/>
      </w:numPr>
    </w:pPr>
  </w:style>
  <w:style w:type="paragraph" w:styleId="ListBullet3">
    <w:name w:val="List Bullet 3"/>
    <w:basedOn w:val="Normal"/>
    <w:uiPriority w:val="98"/>
    <w:semiHidden/>
    <w:rsid w:val="007732FF"/>
    <w:pPr>
      <w:numPr>
        <w:numId w:val="11"/>
      </w:numPr>
      <w:contextualSpacing/>
    </w:pPr>
  </w:style>
  <w:style w:type="character" w:customStyle="1" w:styleId="BodyText2Char">
    <w:name w:val="Body Text 2 Char"/>
    <w:basedOn w:val="DefaultParagraphFont"/>
    <w:link w:val="BodyText2"/>
    <w:uiPriority w:val="98"/>
    <w:semiHidden/>
    <w:rsid w:val="007732FF"/>
    <w:rPr>
      <w:rFonts w:eastAsiaTheme="minorEastAsia"/>
      <w:sz w:val="24"/>
      <w:lang w:val="en-GB"/>
    </w:rPr>
  </w:style>
  <w:style w:type="paragraph" w:styleId="BodyText3">
    <w:name w:val="Body Text 3"/>
    <w:basedOn w:val="Normal"/>
    <w:link w:val="BodyText3Char"/>
    <w:uiPriority w:val="98"/>
    <w:semiHidden/>
    <w:rsid w:val="007732FF"/>
    <w:pPr>
      <w:spacing w:after="120"/>
    </w:pPr>
    <w:rPr>
      <w:sz w:val="16"/>
      <w:szCs w:val="16"/>
    </w:rPr>
  </w:style>
  <w:style w:type="character" w:customStyle="1" w:styleId="BodyText3Char">
    <w:name w:val="Body Text 3 Char"/>
    <w:basedOn w:val="DefaultParagraphFont"/>
    <w:link w:val="BodyText3"/>
    <w:uiPriority w:val="98"/>
    <w:semiHidden/>
    <w:rsid w:val="007732FF"/>
    <w:rPr>
      <w:rFonts w:eastAsiaTheme="minorEastAsia"/>
      <w:sz w:val="16"/>
      <w:szCs w:val="16"/>
      <w:lang w:val="en-GB"/>
    </w:rPr>
  </w:style>
  <w:style w:type="paragraph" w:styleId="BodyTextFirstIndent">
    <w:name w:val="Body Text First Indent"/>
    <w:basedOn w:val="BodyText"/>
    <w:link w:val="BodyTextFirstIndentChar"/>
    <w:uiPriority w:val="98"/>
    <w:semiHidden/>
    <w:rsid w:val="007732FF"/>
    <w:pPr>
      <w:spacing w:after="0"/>
      <w:ind w:firstLine="360"/>
    </w:pPr>
  </w:style>
  <w:style w:type="character" w:customStyle="1" w:styleId="BodyTextFirstIndentChar">
    <w:name w:val="Body Text First Indent Char"/>
    <w:basedOn w:val="BodyTextChar"/>
    <w:link w:val="BodyTextFirstIndent"/>
    <w:uiPriority w:val="98"/>
    <w:semiHidden/>
    <w:rsid w:val="007732FF"/>
    <w:rPr>
      <w:rFonts w:eastAsiaTheme="minorEastAsia"/>
      <w:sz w:val="24"/>
      <w:lang w:val="en-GB"/>
    </w:rPr>
  </w:style>
  <w:style w:type="paragraph" w:styleId="BodyTextIndent">
    <w:name w:val="Body Text Indent"/>
    <w:basedOn w:val="Normal"/>
    <w:link w:val="BodyTextIndentChar"/>
    <w:uiPriority w:val="98"/>
    <w:semiHidden/>
    <w:rsid w:val="007732FF"/>
    <w:pPr>
      <w:spacing w:after="120"/>
      <w:ind w:left="283"/>
    </w:pPr>
  </w:style>
  <w:style w:type="character" w:customStyle="1" w:styleId="BodyTextIndentChar">
    <w:name w:val="Body Text Indent Char"/>
    <w:basedOn w:val="DefaultParagraphFont"/>
    <w:link w:val="BodyTextIndent"/>
    <w:uiPriority w:val="98"/>
    <w:semiHidden/>
    <w:rsid w:val="007732FF"/>
    <w:rPr>
      <w:rFonts w:eastAsiaTheme="minorEastAsia"/>
      <w:sz w:val="24"/>
      <w:lang w:val="en-GB"/>
    </w:rPr>
  </w:style>
  <w:style w:type="paragraph" w:styleId="BodyTextFirstIndent2">
    <w:name w:val="Body Text First Indent 2"/>
    <w:basedOn w:val="BodyTextIndent"/>
    <w:link w:val="BodyTextFirstIndent2Char"/>
    <w:uiPriority w:val="98"/>
    <w:semiHidden/>
    <w:rsid w:val="007732FF"/>
    <w:pPr>
      <w:spacing w:after="0"/>
      <w:ind w:left="360" w:firstLine="360"/>
    </w:pPr>
  </w:style>
  <w:style w:type="character" w:customStyle="1" w:styleId="BodyTextFirstIndent2Char">
    <w:name w:val="Body Text First Indent 2 Char"/>
    <w:basedOn w:val="BodyTextIndentChar"/>
    <w:link w:val="BodyTextFirstIndent2"/>
    <w:uiPriority w:val="98"/>
    <w:semiHidden/>
    <w:rsid w:val="007732FF"/>
    <w:rPr>
      <w:rFonts w:eastAsiaTheme="minorEastAsia"/>
      <w:sz w:val="24"/>
      <w:lang w:val="en-GB"/>
    </w:rPr>
  </w:style>
  <w:style w:type="paragraph" w:styleId="BodyTextIndent2">
    <w:name w:val="Body Text Indent 2"/>
    <w:basedOn w:val="Normal"/>
    <w:link w:val="BodyTextIndent2Char"/>
    <w:uiPriority w:val="98"/>
    <w:semiHidden/>
    <w:rsid w:val="007732FF"/>
    <w:pPr>
      <w:spacing w:after="120" w:line="480" w:lineRule="auto"/>
      <w:ind w:left="283"/>
    </w:pPr>
  </w:style>
  <w:style w:type="character" w:customStyle="1" w:styleId="BodyTextIndent2Char">
    <w:name w:val="Body Text Indent 2 Char"/>
    <w:basedOn w:val="DefaultParagraphFont"/>
    <w:link w:val="BodyTextIndent2"/>
    <w:uiPriority w:val="98"/>
    <w:semiHidden/>
    <w:rsid w:val="007732FF"/>
    <w:rPr>
      <w:rFonts w:eastAsiaTheme="minorEastAsia"/>
      <w:sz w:val="24"/>
      <w:lang w:val="en-GB"/>
    </w:rPr>
  </w:style>
  <w:style w:type="paragraph" w:styleId="BodyTextIndent3">
    <w:name w:val="Body Text Indent 3"/>
    <w:basedOn w:val="Normal"/>
    <w:link w:val="BodyTextIndent3Char"/>
    <w:uiPriority w:val="98"/>
    <w:semiHidden/>
    <w:rsid w:val="007732F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732FF"/>
    <w:rPr>
      <w:rFonts w:eastAsiaTheme="minorEastAsia"/>
      <w:sz w:val="16"/>
      <w:szCs w:val="16"/>
      <w:lang w:val="en-GB"/>
    </w:rPr>
  </w:style>
  <w:style w:type="paragraph" w:styleId="Caption">
    <w:name w:val="caption"/>
    <w:basedOn w:val="Normal"/>
    <w:next w:val="Normal"/>
    <w:uiPriority w:val="98"/>
    <w:semiHidden/>
    <w:qFormat/>
    <w:rsid w:val="007732FF"/>
    <w:pPr>
      <w:spacing w:after="200"/>
    </w:pPr>
    <w:rPr>
      <w:b/>
      <w:bCs/>
      <w:color w:val="0072BC" w:themeColor="accent1"/>
      <w:sz w:val="18"/>
      <w:szCs w:val="18"/>
    </w:rPr>
  </w:style>
  <w:style w:type="paragraph" w:styleId="Closing">
    <w:name w:val="Closing"/>
    <w:basedOn w:val="Normal"/>
    <w:link w:val="ClosingChar"/>
    <w:uiPriority w:val="98"/>
    <w:semiHidden/>
    <w:rsid w:val="007732FF"/>
    <w:pPr>
      <w:ind w:left="4252"/>
    </w:pPr>
  </w:style>
  <w:style w:type="character" w:customStyle="1" w:styleId="ClosingChar">
    <w:name w:val="Closing Char"/>
    <w:basedOn w:val="DefaultParagraphFont"/>
    <w:link w:val="Closing"/>
    <w:uiPriority w:val="98"/>
    <w:semiHidden/>
    <w:rsid w:val="007732FF"/>
    <w:rPr>
      <w:rFonts w:eastAsiaTheme="minorEastAsia"/>
      <w:sz w:val="24"/>
      <w:lang w:val="en-GB"/>
    </w:rPr>
  </w:style>
  <w:style w:type="table" w:styleId="ColorfulGrid">
    <w:name w:val="Colorful Grid"/>
    <w:basedOn w:val="TableNormal"/>
    <w:uiPriority w:val="73"/>
    <w:semiHidden/>
    <w:rsid w:val="007732FF"/>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732FF"/>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732FF"/>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732FF"/>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732FF"/>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732FF"/>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732FF"/>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732FF"/>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732FF"/>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732FF"/>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732FF"/>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732FF"/>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732FF"/>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732FF"/>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732FF"/>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732FF"/>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732FF"/>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732FF"/>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732FF"/>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732FF"/>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732FF"/>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732FF"/>
    <w:rPr>
      <w:sz w:val="16"/>
      <w:szCs w:val="16"/>
    </w:rPr>
  </w:style>
  <w:style w:type="paragraph" w:styleId="CommentText">
    <w:name w:val="annotation text"/>
    <w:basedOn w:val="Normal"/>
    <w:link w:val="CommentTextChar"/>
    <w:uiPriority w:val="98"/>
    <w:semiHidden/>
    <w:rsid w:val="007732FF"/>
    <w:rPr>
      <w:sz w:val="20"/>
      <w:szCs w:val="20"/>
    </w:rPr>
  </w:style>
  <w:style w:type="character" w:customStyle="1" w:styleId="CommentTextChar">
    <w:name w:val="Comment Text Char"/>
    <w:basedOn w:val="DefaultParagraphFont"/>
    <w:link w:val="CommentText"/>
    <w:uiPriority w:val="98"/>
    <w:semiHidden/>
    <w:rsid w:val="007732FF"/>
    <w:rPr>
      <w:rFonts w:eastAsiaTheme="minorEastAsia"/>
      <w:sz w:val="20"/>
      <w:szCs w:val="20"/>
      <w:lang w:val="en-GB"/>
    </w:rPr>
  </w:style>
  <w:style w:type="paragraph" w:styleId="CommentSubject">
    <w:name w:val="annotation subject"/>
    <w:basedOn w:val="CommentText"/>
    <w:next w:val="CommentText"/>
    <w:link w:val="CommentSubjectChar"/>
    <w:uiPriority w:val="98"/>
    <w:semiHidden/>
    <w:rsid w:val="007732FF"/>
    <w:rPr>
      <w:b/>
      <w:bCs/>
    </w:rPr>
  </w:style>
  <w:style w:type="character" w:customStyle="1" w:styleId="CommentSubjectChar">
    <w:name w:val="Comment Subject Char"/>
    <w:basedOn w:val="CommentTextChar"/>
    <w:link w:val="CommentSubject"/>
    <w:uiPriority w:val="98"/>
    <w:semiHidden/>
    <w:rsid w:val="007732FF"/>
    <w:rPr>
      <w:rFonts w:eastAsiaTheme="minorEastAsia"/>
      <w:b/>
      <w:bCs/>
      <w:sz w:val="20"/>
      <w:szCs w:val="20"/>
      <w:lang w:val="en-GB"/>
    </w:rPr>
  </w:style>
  <w:style w:type="table" w:styleId="DarkList">
    <w:name w:val="Dark List"/>
    <w:basedOn w:val="TableNormal"/>
    <w:uiPriority w:val="70"/>
    <w:semiHidden/>
    <w:rsid w:val="007732FF"/>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732FF"/>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732FF"/>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732FF"/>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732FF"/>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732FF"/>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732FF"/>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732FF"/>
  </w:style>
  <w:style w:type="character" w:customStyle="1" w:styleId="DateChar">
    <w:name w:val="Date Char"/>
    <w:basedOn w:val="DefaultParagraphFont"/>
    <w:link w:val="Date"/>
    <w:uiPriority w:val="98"/>
    <w:semiHidden/>
    <w:rsid w:val="007732FF"/>
    <w:rPr>
      <w:rFonts w:eastAsiaTheme="minorEastAsia"/>
      <w:sz w:val="24"/>
      <w:lang w:val="en-GB"/>
    </w:rPr>
  </w:style>
  <w:style w:type="paragraph" w:styleId="DocumentMap">
    <w:name w:val="Document Map"/>
    <w:basedOn w:val="Normal"/>
    <w:link w:val="DocumentMapChar"/>
    <w:uiPriority w:val="98"/>
    <w:semiHidden/>
    <w:rsid w:val="007732FF"/>
    <w:rPr>
      <w:rFonts w:ascii="Tahoma" w:hAnsi="Tahoma" w:cs="Tahoma"/>
      <w:sz w:val="16"/>
      <w:szCs w:val="16"/>
    </w:rPr>
  </w:style>
  <w:style w:type="character" w:customStyle="1" w:styleId="DocumentMapChar">
    <w:name w:val="Document Map Char"/>
    <w:basedOn w:val="DefaultParagraphFont"/>
    <w:link w:val="DocumentMap"/>
    <w:uiPriority w:val="98"/>
    <w:semiHidden/>
    <w:rsid w:val="007732FF"/>
    <w:rPr>
      <w:rFonts w:ascii="Tahoma" w:eastAsiaTheme="minorEastAsia" w:hAnsi="Tahoma" w:cs="Tahoma"/>
      <w:sz w:val="16"/>
      <w:szCs w:val="16"/>
      <w:lang w:val="en-GB"/>
    </w:rPr>
  </w:style>
  <w:style w:type="paragraph" w:styleId="E-mailSignature">
    <w:name w:val="E-mail Signature"/>
    <w:basedOn w:val="Normal"/>
    <w:link w:val="E-mailSignatureChar"/>
    <w:uiPriority w:val="98"/>
    <w:semiHidden/>
    <w:rsid w:val="007732FF"/>
  </w:style>
  <w:style w:type="character" w:customStyle="1" w:styleId="E-mailSignatureChar">
    <w:name w:val="E-mail Signature Char"/>
    <w:basedOn w:val="DefaultParagraphFont"/>
    <w:link w:val="E-mailSignature"/>
    <w:uiPriority w:val="98"/>
    <w:semiHidden/>
    <w:rsid w:val="007732FF"/>
    <w:rPr>
      <w:rFonts w:eastAsiaTheme="minorEastAsia"/>
      <w:sz w:val="24"/>
      <w:lang w:val="en-GB"/>
    </w:rPr>
  </w:style>
  <w:style w:type="character" w:styleId="EndnoteReference">
    <w:name w:val="endnote reference"/>
    <w:basedOn w:val="DefaultParagraphFont"/>
    <w:uiPriority w:val="98"/>
    <w:semiHidden/>
    <w:rsid w:val="007732FF"/>
    <w:rPr>
      <w:vertAlign w:val="superscript"/>
    </w:rPr>
  </w:style>
  <w:style w:type="paragraph" w:styleId="EndnoteText">
    <w:name w:val="endnote text"/>
    <w:basedOn w:val="Normal"/>
    <w:link w:val="EndnoteTextChar"/>
    <w:uiPriority w:val="98"/>
    <w:semiHidden/>
    <w:rsid w:val="007732FF"/>
    <w:rPr>
      <w:sz w:val="20"/>
      <w:szCs w:val="20"/>
    </w:rPr>
  </w:style>
  <w:style w:type="character" w:customStyle="1" w:styleId="EndnoteTextChar">
    <w:name w:val="Endnote Text Char"/>
    <w:basedOn w:val="DefaultParagraphFont"/>
    <w:link w:val="EndnoteText"/>
    <w:uiPriority w:val="98"/>
    <w:semiHidden/>
    <w:rsid w:val="007732FF"/>
    <w:rPr>
      <w:rFonts w:eastAsiaTheme="minorEastAsia"/>
      <w:sz w:val="20"/>
      <w:szCs w:val="20"/>
      <w:lang w:val="en-GB"/>
    </w:rPr>
  </w:style>
  <w:style w:type="paragraph" w:styleId="EnvelopeAddress">
    <w:name w:val="envelope address"/>
    <w:basedOn w:val="Normal"/>
    <w:uiPriority w:val="98"/>
    <w:semiHidden/>
    <w:rsid w:val="007732FF"/>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8"/>
    <w:semiHidden/>
    <w:rsid w:val="007732F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732FF"/>
    <w:rPr>
      <w:color w:val="7030A0" w:themeColor="followedHyperlink"/>
      <w:u w:val="single"/>
    </w:rPr>
  </w:style>
  <w:style w:type="character" w:styleId="HTMLAcronym">
    <w:name w:val="HTML Acronym"/>
    <w:basedOn w:val="DefaultParagraphFont"/>
    <w:uiPriority w:val="98"/>
    <w:semiHidden/>
    <w:rsid w:val="007732FF"/>
  </w:style>
  <w:style w:type="paragraph" w:styleId="HTMLAddress">
    <w:name w:val="HTML Address"/>
    <w:basedOn w:val="Normal"/>
    <w:link w:val="HTMLAddressChar"/>
    <w:uiPriority w:val="98"/>
    <w:semiHidden/>
    <w:rsid w:val="007732FF"/>
    <w:rPr>
      <w:i/>
      <w:iCs/>
    </w:rPr>
  </w:style>
  <w:style w:type="character" w:customStyle="1" w:styleId="HTMLAddressChar">
    <w:name w:val="HTML Address Char"/>
    <w:basedOn w:val="DefaultParagraphFont"/>
    <w:link w:val="HTMLAddress"/>
    <w:uiPriority w:val="98"/>
    <w:semiHidden/>
    <w:rsid w:val="007732FF"/>
    <w:rPr>
      <w:rFonts w:eastAsiaTheme="minorEastAsia"/>
      <w:i/>
      <w:iCs/>
      <w:sz w:val="24"/>
      <w:lang w:val="en-GB"/>
    </w:rPr>
  </w:style>
  <w:style w:type="character" w:styleId="HTMLCite">
    <w:name w:val="HTML Cite"/>
    <w:basedOn w:val="DefaultParagraphFont"/>
    <w:uiPriority w:val="98"/>
    <w:semiHidden/>
    <w:rsid w:val="007732FF"/>
    <w:rPr>
      <w:i/>
      <w:iCs/>
    </w:rPr>
  </w:style>
  <w:style w:type="character" w:styleId="HTMLCode">
    <w:name w:val="HTML Code"/>
    <w:basedOn w:val="DefaultParagraphFont"/>
    <w:uiPriority w:val="98"/>
    <w:semiHidden/>
    <w:rsid w:val="007732FF"/>
    <w:rPr>
      <w:rFonts w:ascii="Consolas" w:hAnsi="Consolas" w:cs="Consolas"/>
      <w:sz w:val="20"/>
      <w:szCs w:val="20"/>
    </w:rPr>
  </w:style>
  <w:style w:type="character" w:styleId="HTMLDefinition">
    <w:name w:val="HTML Definition"/>
    <w:basedOn w:val="DefaultParagraphFont"/>
    <w:uiPriority w:val="98"/>
    <w:semiHidden/>
    <w:rsid w:val="007732FF"/>
    <w:rPr>
      <w:i/>
      <w:iCs/>
    </w:rPr>
  </w:style>
  <w:style w:type="character" w:styleId="HTMLKeyboard">
    <w:name w:val="HTML Keyboard"/>
    <w:basedOn w:val="DefaultParagraphFont"/>
    <w:uiPriority w:val="98"/>
    <w:semiHidden/>
    <w:rsid w:val="007732FF"/>
    <w:rPr>
      <w:rFonts w:ascii="Consolas" w:hAnsi="Consolas" w:cs="Consolas"/>
      <w:sz w:val="20"/>
      <w:szCs w:val="20"/>
    </w:rPr>
  </w:style>
  <w:style w:type="paragraph" w:styleId="HTMLPreformatted">
    <w:name w:val="HTML Preformatted"/>
    <w:basedOn w:val="Normal"/>
    <w:link w:val="HTMLPreformattedChar"/>
    <w:uiPriority w:val="98"/>
    <w:semiHidden/>
    <w:rsid w:val="007732F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732FF"/>
    <w:rPr>
      <w:rFonts w:ascii="Consolas" w:eastAsiaTheme="minorEastAsia" w:hAnsi="Consolas" w:cs="Consolas"/>
      <w:sz w:val="20"/>
      <w:szCs w:val="20"/>
      <w:lang w:val="en-GB"/>
    </w:rPr>
  </w:style>
  <w:style w:type="character" w:styleId="HTMLSample">
    <w:name w:val="HTML Sample"/>
    <w:basedOn w:val="DefaultParagraphFont"/>
    <w:uiPriority w:val="98"/>
    <w:semiHidden/>
    <w:rsid w:val="007732FF"/>
    <w:rPr>
      <w:rFonts w:ascii="Consolas" w:hAnsi="Consolas" w:cs="Consolas"/>
      <w:sz w:val="24"/>
      <w:szCs w:val="24"/>
    </w:rPr>
  </w:style>
  <w:style w:type="character" w:styleId="HTMLTypewriter">
    <w:name w:val="HTML Typewriter"/>
    <w:basedOn w:val="DefaultParagraphFont"/>
    <w:uiPriority w:val="98"/>
    <w:semiHidden/>
    <w:rsid w:val="007732FF"/>
    <w:rPr>
      <w:rFonts w:ascii="Consolas" w:hAnsi="Consolas" w:cs="Consolas"/>
      <w:sz w:val="20"/>
      <w:szCs w:val="20"/>
    </w:rPr>
  </w:style>
  <w:style w:type="character" w:styleId="HTMLVariable">
    <w:name w:val="HTML Variable"/>
    <w:basedOn w:val="DefaultParagraphFont"/>
    <w:uiPriority w:val="98"/>
    <w:semiHidden/>
    <w:rsid w:val="007732FF"/>
    <w:rPr>
      <w:i/>
      <w:iCs/>
    </w:rPr>
  </w:style>
  <w:style w:type="paragraph" w:styleId="Index1">
    <w:name w:val="index 1"/>
    <w:basedOn w:val="Normal"/>
    <w:next w:val="Normal"/>
    <w:autoRedefine/>
    <w:uiPriority w:val="98"/>
    <w:semiHidden/>
    <w:rsid w:val="007732FF"/>
    <w:pPr>
      <w:ind w:left="240" w:hanging="240"/>
    </w:pPr>
  </w:style>
  <w:style w:type="paragraph" w:styleId="Index2">
    <w:name w:val="index 2"/>
    <w:basedOn w:val="Normal"/>
    <w:next w:val="Normal"/>
    <w:autoRedefine/>
    <w:uiPriority w:val="98"/>
    <w:semiHidden/>
    <w:rsid w:val="007732FF"/>
    <w:pPr>
      <w:ind w:left="480" w:hanging="240"/>
    </w:pPr>
  </w:style>
  <w:style w:type="paragraph" w:styleId="Index3">
    <w:name w:val="index 3"/>
    <w:basedOn w:val="Normal"/>
    <w:next w:val="Normal"/>
    <w:autoRedefine/>
    <w:uiPriority w:val="98"/>
    <w:semiHidden/>
    <w:rsid w:val="007732FF"/>
    <w:pPr>
      <w:ind w:left="720" w:hanging="240"/>
    </w:pPr>
  </w:style>
  <w:style w:type="paragraph" w:styleId="Index4">
    <w:name w:val="index 4"/>
    <w:basedOn w:val="Normal"/>
    <w:next w:val="Normal"/>
    <w:autoRedefine/>
    <w:uiPriority w:val="98"/>
    <w:semiHidden/>
    <w:rsid w:val="007732FF"/>
    <w:pPr>
      <w:ind w:left="960" w:hanging="240"/>
    </w:pPr>
  </w:style>
  <w:style w:type="paragraph" w:styleId="Index5">
    <w:name w:val="index 5"/>
    <w:basedOn w:val="Normal"/>
    <w:next w:val="Normal"/>
    <w:autoRedefine/>
    <w:uiPriority w:val="98"/>
    <w:semiHidden/>
    <w:rsid w:val="007732FF"/>
    <w:pPr>
      <w:ind w:left="1200" w:hanging="240"/>
    </w:pPr>
  </w:style>
  <w:style w:type="paragraph" w:styleId="Index6">
    <w:name w:val="index 6"/>
    <w:basedOn w:val="Normal"/>
    <w:next w:val="Normal"/>
    <w:autoRedefine/>
    <w:uiPriority w:val="98"/>
    <w:semiHidden/>
    <w:rsid w:val="007732FF"/>
    <w:pPr>
      <w:ind w:left="1440" w:hanging="240"/>
    </w:pPr>
  </w:style>
  <w:style w:type="paragraph" w:styleId="Index7">
    <w:name w:val="index 7"/>
    <w:basedOn w:val="Normal"/>
    <w:next w:val="Normal"/>
    <w:autoRedefine/>
    <w:uiPriority w:val="98"/>
    <w:semiHidden/>
    <w:rsid w:val="007732FF"/>
    <w:pPr>
      <w:ind w:left="1680" w:hanging="240"/>
    </w:pPr>
  </w:style>
  <w:style w:type="paragraph" w:styleId="Index8">
    <w:name w:val="index 8"/>
    <w:basedOn w:val="Normal"/>
    <w:next w:val="Normal"/>
    <w:autoRedefine/>
    <w:uiPriority w:val="98"/>
    <w:semiHidden/>
    <w:rsid w:val="007732FF"/>
    <w:pPr>
      <w:ind w:left="1920" w:hanging="240"/>
    </w:pPr>
  </w:style>
  <w:style w:type="paragraph" w:styleId="Index9">
    <w:name w:val="index 9"/>
    <w:basedOn w:val="Normal"/>
    <w:next w:val="Normal"/>
    <w:autoRedefine/>
    <w:uiPriority w:val="98"/>
    <w:semiHidden/>
    <w:rsid w:val="007732FF"/>
    <w:pPr>
      <w:ind w:left="2160" w:hanging="240"/>
    </w:pPr>
  </w:style>
  <w:style w:type="paragraph" w:styleId="IndexHeading">
    <w:name w:val="index heading"/>
    <w:basedOn w:val="Normal"/>
    <w:next w:val="Index1"/>
    <w:uiPriority w:val="98"/>
    <w:semiHidden/>
    <w:rsid w:val="007732FF"/>
    <w:rPr>
      <w:rFonts w:asciiTheme="majorHAnsi" w:eastAsiaTheme="majorEastAsia" w:hAnsiTheme="majorHAnsi" w:cstheme="majorBidi"/>
      <w:b/>
      <w:bCs/>
    </w:rPr>
  </w:style>
  <w:style w:type="table" w:styleId="LightGrid">
    <w:name w:val="Light Grid"/>
    <w:basedOn w:val="TableNormal"/>
    <w:uiPriority w:val="62"/>
    <w:semiHidden/>
    <w:rsid w:val="007732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732F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732F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732F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732F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732F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732F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732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732F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732F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732F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732F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732F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732F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732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732FF"/>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732FF"/>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732FF"/>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732FF"/>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732FF"/>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732F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732FF"/>
  </w:style>
  <w:style w:type="paragraph" w:styleId="List">
    <w:name w:val="List"/>
    <w:basedOn w:val="Normal"/>
    <w:uiPriority w:val="98"/>
    <w:semiHidden/>
    <w:rsid w:val="007732FF"/>
    <w:pPr>
      <w:ind w:left="283" w:hanging="283"/>
      <w:contextualSpacing/>
    </w:pPr>
  </w:style>
  <w:style w:type="paragraph" w:styleId="List2">
    <w:name w:val="List 2"/>
    <w:basedOn w:val="Normal"/>
    <w:uiPriority w:val="98"/>
    <w:semiHidden/>
    <w:rsid w:val="007732FF"/>
    <w:pPr>
      <w:ind w:left="566" w:hanging="283"/>
      <w:contextualSpacing/>
    </w:pPr>
  </w:style>
  <w:style w:type="paragraph" w:styleId="List3">
    <w:name w:val="List 3"/>
    <w:basedOn w:val="Normal"/>
    <w:uiPriority w:val="98"/>
    <w:semiHidden/>
    <w:rsid w:val="007732FF"/>
    <w:pPr>
      <w:ind w:left="849" w:hanging="283"/>
      <w:contextualSpacing/>
    </w:pPr>
  </w:style>
  <w:style w:type="paragraph" w:styleId="List4">
    <w:name w:val="List 4"/>
    <w:basedOn w:val="Normal"/>
    <w:uiPriority w:val="98"/>
    <w:semiHidden/>
    <w:rsid w:val="007732FF"/>
    <w:pPr>
      <w:ind w:left="1132" w:hanging="283"/>
      <w:contextualSpacing/>
    </w:pPr>
  </w:style>
  <w:style w:type="paragraph" w:styleId="List5">
    <w:name w:val="List 5"/>
    <w:basedOn w:val="Normal"/>
    <w:uiPriority w:val="98"/>
    <w:semiHidden/>
    <w:rsid w:val="007732FF"/>
    <w:pPr>
      <w:ind w:left="1415" w:hanging="283"/>
      <w:contextualSpacing/>
    </w:pPr>
  </w:style>
  <w:style w:type="paragraph" w:styleId="ListBullet2">
    <w:name w:val="List Bullet 2"/>
    <w:basedOn w:val="Normal"/>
    <w:uiPriority w:val="98"/>
    <w:semiHidden/>
    <w:rsid w:val="007732FF"/>
    <w:pPr>
      <w:numPr>
        <w:numId w:val="10"/>
      </w:numPr>
      <w:contextualSpacing/>
    </w:pPr>
  </w:style>
  <w:style w:type="paragraph" w:styleId="ListBullet4">
    <w:name w:val="List Bullet 4"/>
    <w:basedOn w:val="Normal"/>
    <w:uiPriority w:val="98"/>
    <w:semiHidden/>
    <w:rsid w:val="007732FF"/>
    <w:pPr>
      <w:numPr>
        <w:numId w:val="12"/>
      </w:numPr>
      <w:contextualSpacing/>
    </w:pPr>
  </w:style>
  <w:style w:type="paragraph" w:styleId="ListBullet5">
    <w:name w:val="List Bullet 5"/>
    <w:basedOn w:val="Normal"/>
    <w:uiPriority w:val="98"/>
    <w:semiHidden/>
    <w:rsid w:val="007732FF"/>
    <w:pPr>
      <w:numPr>
        <w:numId w:val="13"/>
      </w:numPr>
      <w:contextualSpacing/>
    </w:pPr>
  </w:style>
  <w:style w:type="paragraph" w:styleId="ListContinue">
    <w:name w:val="List Continue"/>
    <w:basedOn w:val="Normal"/>
    <w:uiPriority w:val="98"/>
    <w:semiHidden/>
    <w:rsid w:val="007732FF"/>
    <w:pPr>
      <w:spacing w:after="120"/>
      <w:ind w:left="283"/>
      <w:contextualSpacing/>
    </w:pPr>
  </w:style>
  <w:style w:type="paragraph" w:styleId="ListContinue2">
    <w:name w:val="List Continue 2"/>
    <w:basedOn w:val="Normal"/>
    <w:uiPriority w:val="98"/>
    <w:semiHidden/>
    <w:rsid w:val="007732FF"/>
    <w:pPr>
      <w:spacing w:after="120"/>
      <w:ind w:left="566"/>
      <w:contextualSpacing/>
    </w:pPr>
  </w:style>
  <w:style w:type="paragraph" w:styleId="ListContinue3">
    <w:name w:val="List Continue 3"/>
    <w:basedOn w:val="Normal"/>
    <w:uiPriority w:val="98"/>
    <w:semiHidden/>
    <w:rsid w:val="007732FF"/>
    <w:pPr>
      <w:spacing w:after="120"/>
      <w:ind w:left="849"/>
      <w:contextualSpacing/>
    </w:pPr>
  </w:style>
  <w:style w:type="paragraph" w:styleId="ListContinue4">
    <w:name w:val="List Continue 4"/>
    <w:basedOn w:val="Normal"/>
    <w:uiPriority w:val="98"/>
    <w:semiHidden/>
    <w:rsid w:val="007732FF"/>
    <w:pPr>
      <w:spacing w:after="120"/>
      <w:ind w:left="1132"/>
      <w:contextualSpacing/>
    </w:pPr>
  </w:style>
  <w:style w:type="paragraph" w:styleId="ListContinue5">
    <w:name w:val="List Continue 5"/>
    <w:basedOn w:val="Normal"/>
    <w:uiPriority w:val="98"/>
    <w:semiHidden/>
    <w:rsid w:val="007732FF"/>
    <w:pPr>
      <w:spacing w:after="120"/>
      <w:ind w:left="1415"/>
      <w:contextualSpacing/>
    </w:pPr>
  </w:style>
  <w:style w:type="paragraph" w:styleId="ListNumber">
    <w:name w:val="List Number"/>
    <w:basedOn w:val="Normal"/>
    <w:uiPriority w:val="98"/>
    <w:semiHidden/>
    <w:rsid w:val="007732FF"/>
    <w:pPr>
      <w:numPr>
        <w:numId w:val="14"/>
      </w:numPr>
      <w:contextualSpacing/>
    </w:pPr>
  </w:style>
  <w:style w:type="paragraph" w:styleId="ListNumber2">
    <w:name w:val="List Number 2"/>
    <w:basedOn w:val="Normal"/>
    <w:uiPriority w:val="98"/>
    <w:semiHidden/>
    <w:rsid w:val="007732FF"/>
    <w:pPr>
      <w:numPr>
        <w:numId w:val="15"/>
      </w:numPr>
      <w:contextualSpacing/>
    </w:pPr>
  </w:style>
  <w:style w:type="paragraph" w:styleId="ListNumber3">
    <w:name w:val="List Number 3"/>
    <w:basedOn w:val="Normal"/>
    <w:uiPriority w:val="98"/>
    <w:semiHidden/>
    <w:rsid w:val="007732FF"/>
    <w:pPr>
      <w:numPr>
        <w:numId w:val="16"/>
      </w:numPr>
      <w:contextualSpacing/>
    </w:pPr>
  </w:style>
  <w:style w:type="paragraph" w:styleId="ListNumber4">
    <w:name w:val="List Number 4"/>
    <w:basedOn w:val="Normal"/>
    <w:uiPriority w:val="98"/>
    <w:semiHidden/>
    <w:rsid w:val="007732FF"/>
    <w:pPr>
      <w:numPr>
        <w:numId w:val="17"/>
      </w:numPr>
      <w:contextualSpacing/>
    </w:pPr>
  </w:style>
  <w:style w:type="paragraph" w:styleId="ListNumber5">
    <w:name w:val="List Number 5"/>
    <w:basedOn w:val="Normal"/>
    <w:uiPriority w:val="98"/>
    <w:semiHidden/>
    <w:rsid w:val="007732FF"/>
    <w:pPr>
      <w:numPr>
        <w:numId w:val="18"/>
      </w:numPr>
      <w:contextualSpacing/>
    </w:pPr>
  </w:style>
  <w:style w:type="paragraph" w:styleId="MacroText">
    <w:name w:val="macro"/>
    <w:link w:val="MacroTextChar"/>
    <w:uiPriority w:val="98"/>
    <w:semiHidden/>
    <w:rsid w:val="007732F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732FF"/>
    <w:rPr>
      <w:rFonts w:ascii="Consolas" w:eastAsiaTheme="minorEastAsia" w:hAnsi="Consolas" w:cs="Consolas"/>
      <w:sz w:val="20"/>
      <w:szCs w:val="20"/>
    </w:rPr>
  </w:style>
  <w:style w:type="table" w:styleId="MediumGrid1">
    <w:name w:val="Medium Grid 1"/>
    <w:basedOn w:val="TableNormal"/>
    <w:uiPriority w:val="67"/>
    <w:semiHidden/>
    <w:rsid w:val="007732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732F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732F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732F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732F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732F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732F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732F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732F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732F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732F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732F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732F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732F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732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732FF"/>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732FF"/>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732FF"/>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732FF"/>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732FF"/>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732FF"/>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732F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732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732F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732F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732F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732F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732F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732F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732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732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732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732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732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732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732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732F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8"/>
    <w:semiHidden/>
    <w:rsid w:val="007732F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732FF"/>
    <w:rPr>
      <w:rFonts w:ascii="Times New Roman" w:hAnsi="Times New Roman" w:cs="Times New Roman"/>
      <w:szCs w:val="24"/>
    </w:rPr>
  </w:style>
  <w:style w:type="paragraph" w:styleId="NormalIndent">
    <w:name w:val="Normal Indent"/>
    <w:basedOn w:val="Normal"/>
    <w:uiPriority w:val="98"/>
    <w:semiHidden/>
    <w:rsid w:val="007732FF"/>
    <w:pPr>
      <w:ind w:left="720"/>
    </w:pPr>
  </w:style>
  <w:style w:type="paragraph" w:styleId="NoteHeading">
    <w:name w:val="Note Heading"/>
    <w:basedOn w:val="Normal"/>
    <w:next w:val="Normal"/>
    <w:link w:val="NoteHeadingChar"/>
    <w:uiPriority w:val="98"/>
    <w:semiHidden/>
    <w:rsid w:val="007732FF"/>
  </w:style>
  <w:style w:type="character" w:customStyle="1" w:styleId="NoteHeadingChar">
    <w:name w:val="Note Heading Char"/>
    <w:basedOn w:val="DefaultParagraphFont"/>
    <w:link w:val="NoteHeading"/>
    <w:uiPriority w:val="98"/>
    <w:semiHidden/>
    <w:rsid w:val="007732FF"/>
    <w:rPr>
      <w:rFonts w:eastAsiaTheme="minorEastAsia"/>
      <w:sz w:val="24"/>
      <w:lang w:val="en-GB"/>
    </w:rPr>
  </w:style>
  <w:style w:type="character" w:styleId="PlaceholderText">
    <w:name w:val="Placeholder Text"/>
    <w:basedOn w:val="DefaultParagraphFont"/>
    <w:uiPriority w:val="98"/>
    <w:semiHidden/>
    <w:rsid w:val="007732F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732FF"/>
    <w:rPr>
      <w:rFonts w:ascii="Consolas" w:hAnsi="Consolas" w:cs="Consolas"/>
      <w:sz w:val="21"/>
      <w:szCs w:val="21"/>
    </w:rPr>
  </w:style>
  <w:style w:type="character" w:customStyle="1" w:styleId="PlainTextChar">
    <w:name w:val="Plain Text Char"/>
    <w:basedOn w:val="DefaultParagraphFont"/>
    <w:link w:val="PlainText"/>
    <w:uiPriority w:val="98"/>
    <w:semiHidden/>
    <w:rsid w:val="007732FF"/>
    <w:rPr>
      <w:rFonts w:ascii="Consolas" w:eastAsiaTheme="minorEastAsia" w:hAnsi="Consolas" w:cs="Consolas"/>
      <w:sz w:val="21"/>
      <w:szCs w:val="21"/>
      <w:lang w:val="en-GB"/>
    </w:rPr>
  </w:style>
  <w:style w:type="paragraph" w:styleId="Salutation">
    <w:name w:val="Salutation"/>
    <w:basedOn w:val="Normal"/>
    <w:next w:val="Normal"/>
    <w:link w:val="SalutationChar"/>
    <w:uiPriority w:val="98"/>
    <w:semiHidden/>
    <w:rsid w:val="007732FF"/>
  </w:style>
  <w:style w:type="character" w:customStyle="1" w:styleId="SalutationChar">
    <w:name w:val="Salutation Char"/>
    <w:basedOn w:val="DefaultParagraphFont"/>
    <w:link w:val="Salutation"/>
    <w:uiPriority w:val="98"/>
    <w:semiHidden/>
    <w:rsid w:val="007732FF"/>
    <w:rPr>
      <w:rFonts w:eastAsiaTheme="minorEastAsia"/>
      <w:sz w:val="24"/>
      <w:lang w:val="en-GB"/>
    </w:rPr>
  </w:style>
  <w:style w:type="paragraph" w:styleId="Signature">
    <w:name w:val="Signature"/>
    <w:basedOn w:val="Normal"/>
    <w:link w:val="SignatureChar"/>
    <w:uiPriority w:val="98"/>
    <w:semiHidden/>
    <w:rsid w:val="007732FF"/>
    <w:pPr>
      <w:ind w:left="4252"/>
    </w:pPr>
  </w:style>
  <w:style w:type="character" w:customStyle="1" w:styleId="SignatureChar">
    <w:name w:val="Signature Char"/>
    <w:basedOn w:val="DefaultParagraphFont"/>
    <w:link w:val="Signature"/>
    <w:uiPriority w:val="98"/>
    <w:semiHidden/>
    <w:rsid w:val="007732FF"/>
    <w:rPr>
      <w:rFonts w:eastAsiaTheme="minorEastAsia"/>
      <w:sz w:val="24"/>
      <w:lang w:val="en-GB"/>
    </w:rPr>
  </w:style>
  <w:style w:type="table" w:styleId="Table3Deffects1">
    <w:name w:val="Table 3D effects 1"/>
    <w:basedOn w:val="TableNormal"/>
    <w:uiPriority w:val="99"/>
    <w:semiHidden/>
    <w:unhideWhenUsed/>
    <w:rsid w:val="007732F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32F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32F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32F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32F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32F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32F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32F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32F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32F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732F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732F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32F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32F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32F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32F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32F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32F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32F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32F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32F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32F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32F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32F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32F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732F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732F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32F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32F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32F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32F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32F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32F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732FF"/>
    <w:pPr>
      <w:ind w:left="240" w:hanging="240"/>
    </w:pPr>
  </w:style>
  <w:style w:type="paragraph" w:styleId="TableofFigures">
    <w:name w:val="table of figures"/>
    <w:basedOn w:val="Normal"/>
    <w:next w:val="Normal"/>
    <w:uiPriority w:val="98"/>
    <w:semiHidden/>
    <w:rsid w:val="007732FF"/>
  </w:style>
  <w:style w:type="table" w:styleId="TableProfessional">
    <w:name w:val="Table Professional"/>
    <w:basedOn w:val="TableNormal"/>
    <w:uiPriority w:val="99"/>
    <w:semiHidden/>
    <w:unhideWhenUsed/>
    <w:rsid w:val="007732F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732F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732F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32F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32F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32F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32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732F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32F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32F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732F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732F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732FF"/>
    <w:pPr>
      <w:spacing w:after="100"/>
      <w:ind w:left="1680"/>
    </w:pPr>
  </w:style>
  <w:style w:type="paragraph" w:styleId="TOC9">
    <w:name w:val="toc 9"/>
    <w:basedOn w:val="Normal"/>
    <w:next w:val="Normal"/>
    <w:autoRedefine/>
    <w:uiPriority w:val="98"/>
    <w:semiHidden/>
    <w:rsid w:val="007732FF"/>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732FF"/>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8"/>
    <w:qFormat/>
    <w:rsid w:val="007732FF"/>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29"/>
    <w:qFormat/>
    <w:rsid w:val="007732FF"/>
    <w:pPr>
      <w:tabs>
        <w:tab w:val="clear" w:pos="3686"/>
        <w:tab w:val="clear" w:pos="7371"/>
        <w:tab w:val="center" w:pos="6146"/>
        <w:tab w:val="right" w:pos="12293"/>
      </w:tabs>
    </w:pPr>
  </w:style>
  <w:style w:type="paragraph" w:customStyle="1" w:styleId="JuTitle">
    <w:name w:val="Ju_Title"/>
    <w:aliases w:val="_Title_2"/>
    <w:basedOn w:val="Normal"/>
    <w:next w:val="JuPara"/>
    <w:uiPriority w:val="38"/>
    <w:qFormat/>
    <w:rsid w:val="007732FF"/>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4"/>
    <w:rsid w:val="00427856"/>
    <w:rPr>
      <w:rFonts w:eastAsiaTheme="minorEastAsia"/>
      <w:sz w:val="24"/>
      <w:lang w:val="en-GB"/>
    </w:rPr>
  </w:style>
  <w:style w:type="paragraph" w:customStyle="1" w:styleId="ECHRBullet2">
    <w:name w:val="ECHR_Bullet_2"/>
    <w:aliases w:val="_Bul_2"/>
    <w:basedOn w:val="ECHRBullet1"/>
    <w:uiPriority w:val="23"/>
    <w:semiHidden/>
    <w:rsid w:val="007732FF"/>
    <w:pPr>
      <w:numPr>
        <w:ilvl w:val="1"/>
      </w:numPr>
    </w:pPr>
  </w:style>
  <w:style w:type="paragraph" w:customStyle="1" w:styleId="ECHRBullet3">
    <w:name w:val="ECHR_Bullet_3"/>
    <w:aliases w:val="_Bul_3"/>
    <w:basedOn w:val="ECHRBullet2"/>
    <w:uiPriority w:val="23"/>
    <w:semiHidden/>
    <w:rsid w:val="007732FF"/>
    <w:pPr>
      <w:numPr>
        <w:ilvl w:val="2"/>
      </w:numPr>
    </w:pPr>
  </w:style>
  <w:style w:type="paragraph" w:customStyle="1" w:styleId="ECHRBullet4">
    <w:name w:val="ECHR_Bullet_4"/>
    <w:aliases w:val="_Bul_4"/>
    <w:basedOn w:val="ECHRBullet3"/>
    <w:uiPriority w:val="23"/>
    <w:semiHidden/>
    <w:rsid w:val="007732FF"/>
    <w:pPr>
      <w:numPr>
        <w:ilvl w:val="3"/>
      </w:numPr>
    </w:pPr>
  </w:style>
  <w:style w:type="paragraph" w:customStyle="1" w:styleId="ECHRConfidential">
    <w:name w:val="ECHR_Confidential"/>
    <w:aliases w:val="_Confidential"/>
    <w:basedOn w:val="Normal"/>
    <w:next w:val="Normal"/>
    <w:uiPriority w:val="42"/>
    <w:semiHidden/>
    <w:qFormat/>
    <w:rsid w:val="007732FF"/>
    <w:pPr>
      <w:jc w:val="right"/>
    </w:pPr>
    <w:rPr>
      <w:rFonts w:eastAsiaTheme="minorHAnsi"/>
      <w:color w:val="C00000"/>
      <w:sz w:val="20"/>
    </w:rPr>
  </w:style>
  <w:style w:type="paragraph" w:customStyle="1" w:styleId="ECHRDecisionBody">
    <w:name w:val="ECHR_Decision_Body"/>
    <w:aliases w:val="_Decision_Body"/>
    <w:basedOn w:val="NormalJustified"/>
    <w:uiPriority w:val="54"/>
    <w:semiHidden/>
    <w:rsid w:val="007732F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732FF"/>
    <w:pPr>
      <w:contextualSpacing/>
      <w:jc w:val="center"/>
    </w:pPr>
    <w:rPr>
      <w:rFonts w:ascii="Arial" w:eastAsiaTheme="minorHAnsi"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732FF"/>
    <w:rPr>
      <w:rFonts w:ascii="Arial" w:hAnsi="Arial"/>
      <w:i/>
      <w:color w:val="0072BC" w:themeColor="accent1"/>
      <w:sz w:val="32"/>
      <w:lang w:val="en-GB"/>
    </w:rPr>
  </w:style>
  <w:style w:type="paragraph" w:customStyle="1" w:styleId="DummyStyle">
    <w:name w:val="Dummy_Style"/>
    <w:aliases w:val="_Dummy"/>
    <w:basedOn w:val="Normal"/>
    <w:semiHidden/>
    <w:qFormat/>
    <w:rsid w:val="007732FF"/>
    <w:rPr>
      <w:rFonts w:eastAsiaTheme="minorHAnsi"/>
      <w:color w:val="00B050"/>
      <w:sz w:val="22"/>
    </w:rPr>
  </w:style>
  <w:style w:type="paragraph" w:customStyle="1" w:styleId="ECHRFooterLineLandscape">
    <w:name w:val="ECHR_Footer_Line_Landscape"/>
    <w:aliases w:val="_Footer_Line_Landscape"/>
    <w:basedOn w:val="Normal"/>
    <w:uiPriority w:val="30"/>
    <w:semiHidden/>
    <w:rsid w:val="007732FF"/>
    <w:pPr>
      <w:pBdr>
        <w:top w:val="single" w:sz="8" w:space="1" w:color="7F7F7F" w:themeColor="text1" w:themeTint="80"/>
      </w:pBdr>
      <w:tabs>
        <w:tab w:val="center" w:pos="6787"/>
        <w:tab w:val="right" w:pos="14640"/>
      </w:tabs>
      <w:ind w:left="-680" w:right="-680"/>
    </w:pPr>
    <w:rPr>
      <w:rFonts w:eastAsiaTheme="minorHAnsi"/>
      <w:color w:val="474747" w:themeColor="accent3" w:themeShade="BF"/>
      <w:sz w:val="22"/>
    </w:rPr>
  </w:style>
  <w:style w:type="paragraph" w:customStyle="1" w:styleId="ECHRParaHanging">
    <w:name w:val="ECHR_Para_Hanging"/>
    <w:aliases w:val="_Hanging"/>
    <w:basedOn w:val="Normal"/>
    <w:uiPriority w:val="8"/>
    <w:semiHidden/>
    <w:qFormat/>
    <w:rsid w:val="007732FF"/>
    <w:pPr>
      <w:ind w:left="567" w:hanging="567"/>
      <w:jc w:val="both"/>
    </w:pPr>
    <w:rPr>
      <w:rFonts w:eastAsiaTheme="minorHAnsi"/>
      <w:sz w:val="22"/>
    </w:rPr>
  </w:style>
  <w:style w:type="paragraph" w:customStyle="1" w:styleId="ECHRHeading9">
    <w:name w:val="ECHR_Heading_9"/>
    <w:aliases w:val="_Head_9"/>
    <w:basedOn w:val="Heading9"/>
    <w:next w:val="Normal"/>
    <w:uiPriority w:val="19"/>
    <w:semiHidden/>
    <w:rsid w:val="007732FF"/>
    <w:pPr>
      <w:numPr>
        <w:numId w:val="1"/>
      </w:numPr>
    </w:pPr>
    <w:rPr>
      <w:i w:val="0"/>
      <w:sz w:val="18"/>
    </w:rPr>
  </w:style>
  <w:style w:type="paragraph" w:customStyle="1" w:styleId="ECHRParaIndent">
    <w:name w:val="ECHR_Para_Indent"/>
    <w:aliases w:val="_Indent"/>
    <w:basedOn w:val="Normal"/>
    <w:uiPriority w:val="7"/>
    <w:semiHidden/>
    <w:qFormat/>
    <w:rsid w:val="007732FF"/>
    <w:pPr>
      <w:spacing w:before="120" w:after="120"/>
      <w:ind w:left="567"/>
      <w:jc w:val="both"/>
    </w:pPr>
    <w:rPr>
      <w:rFonts w:eastAsiaTheme="minorHAnsi"/>
      <w:sz w:val="22"/>
    </w:rPr>
  </w:style>
  <w:style w:type="paragraph" w:customStyle="1" w:styleId="ECHRLine">
    <w:name w:val="ECHR_Line"/>
    <w:aliases w:val="_Line"/>
    <w:basedOn w:val="NormalJustified"/>
    <w:next w:val="Normal"/>
    <w:uiPriority w:val="46"/>
    <w:semiHidden/>
    <w:rsid w:val="007732FF"/>
    <w:pPr>
      <w:pBdr>
        <w:bottom w:val="single" w:sz="12" w:space="1" w:color="949494" w:themeColor="text2" w:themeShade="BF"/>
      </w:pBdr>
      <w:spacing w:after="120"/>
    </w:pPr>
    <w:rPr>
      <w:rFonts w:eastAsiaTheme="minorHAnsi"/>
      <w:sz w:val="12"/>
    </w:rPr>
  </w:style>
  <w:style w:type="paragraph" w:customStyle="1" w:styleId="DecList">
    <w:name w:val="Dec_List"/>
    <w:aliases w:val="_List"/>
    <w:basedOn w:val="JuList"/>
    <w:uiPriority w:val="22"/>
    <w:rsid w:val="007732FF"/>
    <w:pPr>
      <w:numPr>
        <w:numId w:val="0"/>
      </w:numPr>
      <w:ind w:left="284"/>
    </w:pPr>
  </w:style>
  <w:style w:type="paragraph" w:customStyle="1" w:styleId="ECHRNumberedList1">
    <w:name w:val="ECHR_Numbered_List_1"/>
    <w:aliases w:val="_Num_1"/>
    <w:basedOn w:val="Normal"/>
    <w:uiPriority w:val="23"/>
    <w:semiHidden/>
    <w:qFormat/>
    <w:rsid w:val="007732FF"/>
    <w:pPr>
      <w:numPr>
        <w:numId w:val="7"/>
      </w:numPr>
      <w:spacing w:before="60" w:after="60"/>
    </w:pPr>
    <w:rPr>
      <w:sz w:val="22"/>
    </w:rPr>
  </w:style>
  <w:style w:type="paragraph" w:customStyle="1" w:styleId="ECHRNumberedList2">
    <w:name w:val="ECHR_Numbered_List_2"/>
    <w:aliases w:val="_Num_2"/>
    <w:basedOn w:val="ECHRNumberedList1"/>
    <w:uiPriority w:val="23"/>
    <w:semiHidden/>
    <w:rsid w:val="007732FF"/>
    <w:pPr>
      <w:numPr>
        <w:ilvl w:val="1"/>
      </w:numPr>
    </w:pPr>
  </w:style>
  <w:style w:type="paragraph" w:customStyle="1" w:styleId="ECHRNumberedList3">
    <w:name w:val="ECHR_Numbered_List_3"/>
    <w:aliases w:val="_Num_3"/>
    <w:basedOn w:val="ECHRNumberedList2"/>
    <w:uiPriority w:val="23"/>
    <w:semiHidden/>
    <w:rsid w:val="007732FF"/>
    <w:pPr>
      <w:numPr>
        <w:ilvl w:val="2"/>
      </w:numPr>
    </w:pPr>
  </w:style>
  <w:style w:type="character" w:customStyle="1" w:styleId="ECHRRed">
    <w:name w:val="ECHR_Red"/>
    <w:aliases w:val="_Red"/>
    <w:basedOn w:val="DefaultParagraphFont"/>
    <w:uiPriority w:val="15"/>
    <w:semiHidden/>
    <w:qFormat/>
    <w:rsid w:val="007732FF"/>
    <w:rPr>
      <w:color w:val="C00000" w:themeColor="accent2"/>
    </w:rPr>
  </w:style>
  <w:style w:type="paragraph" w:customStyle="1" w:styleId="ECHRHeaderDate">
    <w:name w:val="ECHR_Header_Date"/>
    <w:aliases w:val="_Ref_Date"/>
    <w:basedOn w:val="Normal"/>
    <w:uiPriority w:val="44"/>
    <w:semiHidden/>
    <w:qFormat/>
    <w:rsid w:val="007732FF"/>
    <w:pPr>
      <w:jc w:val="right"/>
    </w:pPr>
    <w:rPr>
      <w:rFonts w:eastAsiaTheme="minorHAnsi"/>
      <w:sz w:val="20"/>
    </w:rPr>
  </w:style>
  <w:style w:type="paragraph" w:customStyle="1" w:styleId="ECHRHeaderRefIt">
    <w:name w:val="ECHR_Header_Ref_It"/>
    <w:aliases w:val="_Ref_Ital"/>
    <w:basedOn w:val="Normal"/>
    <w:next w:val="ECHRHeaderDate"/>
    <w:uiPriority w:val="43"/>
    <w:semiHidden/>
    <w:qFormat/>
    <w:rsid w:val="007732FF"/>
    <w:pPr>
      <w:jc w:val="right"/>
    </w:pPr>
    <w:rPr>
      <w:rFonts w:eastAsiaTheme="minorHAnsi"/>
      <w:i/>
      <w:sz w:val="20"/>
    </w:rPr>
  </w:style>
  <w:style w:type="paragraph" w:customStyle="1" w:styleId="ECHRSpacer">
    <w:name w:val="ECHR_Spacer"/>
    <w:aliases w:val="_Spacer"/>
    <w:basedOn w:val="Normal"/>
    <w:uiPriority w:val="45"/>
    <w:semiHidden/>
    <w:rsid w:val="007732FF"/>
    <w:rPr>
      <w:rFonts w:eastAsiaTheme="minorHAnsi"/>
      <w:sz w:val="4"/>
    </w:rPr>
  </w:style>
  <w:style w:type="paragraph" w:customStyle="1" w:styleId="ECHRTitleCentre1">
    <w:name w:val="ECHR_Title_Centre_1"/>
    <w:aliases w:val="_Title_C_1"/>
    <w:basedOn w:val="Normal"/>
    <w:next w:val="Normal"/>
    <w:uiPriority w:val="26"/>
    <w:semiHidden/>
    <w:qFormat/>
    <w:rsid w:val="007732FF"/>
    <w:pPr>
      <w:keepNext/>
      <w:keepLines/>
      <w:spacing w:before="240"/>
      <w:contextualSpacing/>
      <w:jc w:val="center"/>
    </w:pPr>
    <w:rPr>
      <w:rFonts w:asciiTheme="majorHAnsi" w:eastAsiaTheme="min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732FF"/>
    <w:pPr>
      <w:keepNext/>
      <w:keepLines/>
      <w:spacing w:before="240"/>
      <w:contextualSpacing/>
      <w:jc w:val="center"/>
    </w:pPr>
    <w:rPr>
      <w:rFonts w:asciiTheme="majorHAnsi" w:eastAsiaTheme="min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732FF"/>
    <w:pPr>
      <w:keepNext/>
      <w:keepLines/>
      <w:spacing w:before="240"/>
      <w:contextualSpacing/>
      <w:jc w:val="center"/>
    </w:pPr>
    <w:rPr>
      <w:rFonts w:asciiTheme="majorHAnsi" w:eastAsiaTheme="min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732FF"/>
    <w:pPr>
      <w:outlineLvl w:val="0"/>
    </w:pPr>
  </w:style>
  <w:style w:type="paragraph" w:customStyle="1" w:styleId="ECHRTitle1">
    <w:name w:val="ECHR_Title_1"/>
    <w:aliases w:val="_Title_L_1"/>
    <w:basedOn w:val="Normal"/>
    <w:next w:val="Normal"/>
    <w:uiPriority w:val="28"/>
    <w:semiHidden/>
    <w:qFormat/>
    <w:rsid w:val="007732FF"/>
    <w:pPr>
      <w:keepNext/>
      <w:keepLines/>
      <w:spacing w:before="240"/>
      <w:contextualSpacing/>
    </w:pPr>
    <w:rPr>
      <w:rFonts w:asciiTheme="majorHAnsi" w:eastAsiaTheme="min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732FF"/>
    <w:pPr>
      <w:keepNext/>
      <w:keepLines/>
      <w:spacing w:before="240"/>
      <w:contextualSpacing/>
    </w:pPr>
    <w:rPr>
      <w:rFonts w:asciiTheme="majorHAnsi" w:eastAsiaTheme="min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732FF"/>
    <w:pPr>
      <w:keepNext/>
      <w:keepLines/>
      <w:spacing w:before="240"/>
      <w:contextualSpacing/>
    </w:pPr>
    <w:rPr>
      <w:rFonts w:asciiTheme="majorHAnsi" w:eastAsiaTheme="min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7732FF"/>
    <w:pPr>
      <w:outlineLvl w:val="0"/>
    </w:pPr>
  </w:style>
  <w:style w:type="table" w:customStyle="1" w:styleId="ECHRTable2">
    <w:name w:val="ECHR_Table_2"/>
    <w:basedOn w:val="TableNormal"/>
    <w:uiPriority w:val="99"/>
    <w:rsid w:val="007732FF"/>
    <w:pPr>
      <w:tabs>
        <w:tab w:val="left" w:pos="567"/>
        <w:tab w:val="left" w:pos="851"/>
        <w:tab w:val="right" w:pos="5273"/>
      </w:tabs>
    </w:pPr>
    <w:rPr>
      <w:color w:val="262626" w:themeColor="text1" w:themeTint="D9"/>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732FF"/>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EBC38-79F3-4568-9D23-4984BAAC9ACC}"/>
</file>

<file path=customXml/itemProps2.xml><?xml version="1.0" encoding="utf-8"?>
<ds:datastoreItem xmlns:ds="http://schemas.openxmlformats.org/officeDocument/2006/customXml" ds:itemID="{7E5373F0-2775-4EDD-9F07-9A6284D5EA0C}"/>
</file>

<file path=customXml/itemProps3.xml><?xml version="1.0" encoding="utf-8"?>
<ds:datastoreItem xmlns:ds="http://schemas.openxmlformats.org/officeDocument/2006/customXml" ds:itemID="{24D25681-7E7C-4676-BF53-3D6096F40187}"/>
</file>

<file path=customXml/itemProps4.xml><?xml version="1.0" encoding="utf-8"?>
<ds:datastoreItem xmlns:ds="http://schemas.openxmlformats.org/officeDocument/2006/customXml" ds:itemID="{ECD4DB70-EF3C-486C-9976-772F0660EB14}"/>
</file>

<file path=docProps/app.xml><?xml version="1.0" encoding="utf-8"?>
<Properties xmlns="http://schemas.openxmlformats.org/officeDocument/2006/extended-properties" xmlns:vt="http://schemas.openxmlformats.org/officeDocument/2006/docPropsVTypes">
  <Template>Normal.dotm</Template>
  <TotalTime>0</TotalTime>
  <Pages>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2019-12-17T08:50:00Z</dcterms:created>
  <dcterms:modified xsi:type="dcterms:W3CDTF">2019-12-17T08:50:00Z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54424/14</vt:lpwstr>
  </property>
  <property fmtid="{D5CDD505-2E9C-101B-9397-08002B2CF9AE}" pid="4" name="CASEID">
    <vt:lpwstr>1066100</vt:lpwstr>
  </property>
  <property fmtid="{D5CDD505-2E9C-101B-9397-08002B2CF9AE}" pid="5" name="ContentTypeId">
    <vt:lpwstr>0x010100558EB02BDB9E204AB350EDD385B68E10</vt:lpwstr>
  </property>
</Properties>
</file>