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6083" w:rsidR="00135D76" w:rsidP="00C16083" w:rsidRDefault="00135D76">
      <w:pPr>
        <w:pStyle w:val="JuJudges"/>
        <w:jc w:val="center"/>
      </w:pPr>
      <w:bookmarkStart w:name="_GoBack" w:id="0"/>
      <w:bookmarkEnd w:id="0"/>
    </w:p>
    <w:p w:rsidRPr="00C16083" w:rsidR="006368BA" w:rsidP="00C16083" w:rsidRDefault="006368BA">
      <w:pPr>
        <w:pStyle w:val="JuJudges"/>
        <w:jc w:val="center"/>
      </w:pPr>
    </w:p>
    <w:p w:rsidRPr="00C16083" w:rsidR="00135D76" w:rsidP="00C16083" w:rsidRDefault="00135D76">
      <w:pPr>
        <w:pStyle w:val="JuJudges"/>
        <w:jc w:val="center"/>
      </w:pPr>
    </w:p>
    <w:p w:rsidRPr="00C16083" w:rsidR="00D420F3" w:rsidP="00C16083" w:rsidRDefault="00793C42">
      <w:pPr>
        <w:jc w:val="center"/>
      </w:pPr>
      <w:r w:rsidRPr="00C16083">
        <w:t>THIRD SECTION</w:t>
      </w:r>
    </w:p>
    <w:p w:rsidRPr="00C16083" w:rsidR="00D420F3" w:rsidP="00C16083" w:rsidRDefault="00D420F3">
      <w:pPr>
        <w:jc w:val="center"/>
      </w:pPr>
    </w:p>
    <w:p w:rsidRPr="00C16083" w:rsidR="00135D76" w:rsidP="00C16083" w:rsidRDefault="00135D76">
      <w:pPr>
        <w:jc w:val="center"/>
      </w:pPr>
    </w:p>
    <w:p w:rsidRPr="00C16083" w:rsidR="00135D76" w:rsidP="00C16083" w:rsidRDefault="00135D76">
      <w:pPr>
        <w:jc w:val="center"/>
      </w:pPr>
    </w:p>
    <w:p w:rsidRPr="00C16083" w:rsidR="00135D76" w:rsidP="00C16083" w:rsidRDefault="00135D76">
      <w:pPr>
        <w:jc w:val="center"/>
      </w:pPr>
    </w:p>
    <w:p w:rsidRPr="00C16083" w:rsidR="00135D76" w:rsidP="00C16083" w:rsidRDefault="00135D76">
      <w:pPr>
        <w:jc w:val="center"/>
      </w:pPr>
    </w:p>
    <w:p w:rsidRPr="00C16083" w:rsidR="00135D76" w:rsidP="00C16083" w:rsidRDefault="00135D76">
      <w:pPr>
        <w:jc w:val="center"/>
      </w:pPr>
    </w:p>
    <w:p w:rsidRPr="00C16083" w:rsidR="00135D76" w:rsidP="00C16083" w:rsidRDefault="00135D76">
      <w:pPr>
        <w:jc w:val="center"/>
      </w:pPr>
    </w:p>
    <w:p w:rsidRPr="00C16083" w:rsidR="00135D76" w:rsidP="00C16083" w:rsidRDefault="00135D76">
      <w:pPr>
        <w:jc w:val="center"/>
      </w:pPr>
    </w:p>
    <w:p w:rsidRPr="00C16083" w:rsidR="00D420F3" w:rsidP="00C16083" w:rsidRDefault="0077175D">
      <w:pPr>
        <w:jc w:val="center"/>
        <w:rPr>
          <w:b/>
        </w:rPr>
      </w:pPr>
      <w:bookmarkStart w:name="To" w:id="1"/>
      <w:r w:rsidRPr="00C16083">
        <w:rPr>
          <w:b/>
        </w:rPr>
        <w:t xml:space="preserve">CASE OF </w:t>
      </w:r>
      <w:bookmarkEnd w:id="1"/>
      <w:r w:rsidRPr="00C16083" w:rsidR="00793C42">
        <w:rPr>
          <w:b/>
        </w:rPr>
        <w:t xml:space="preserve">KRUGLOV </w:t>
      </w:r>
      <w:r w:rsidRPr="00C16083" w:rsidR="00843BB9">
        <w:rPr>
          <w:b/>
        </w:rPr>
        <w:t xml:space="preserve">AND OTHERS </w:t>
      </w:r>
      <w:r w:rsidRPr="00C16083" w:rsidR="00793C42">
        <w:rPr>
          <w:b/>
        </w:rPr>
        <w:t>v. RUSSIA</w:t>
      </w:r>
    </w:p>
    <w:p w:rsidRPr="00C16083" w:rsidR="00D420F3" w:rsidP="00C16083" w:rsidRDefault="00D420F3">
      <w:pPr>
        <w:jc w:val="center"/>
      </w:pPr>
    </w:p>
    <w:p w:rsidRPr="00C16083" w:rsidR="00D420F3" w:rsidP="00C16083" w:rsidRDefault="0077175D">
      <w:pPr>
        <w:jc w:val="center"/>
        <w:rPr>
          <w:i/>
        </w:rPr>
      </w:pPr>
      <w:r w:rsidRPr="00C16083">
        <w:rPr>
          <w:i/>
        </w:rPr>
        <w:t>(</w:t>
      </w:r>
      <w:r w:rsidRPr="00C16083" w:rsidR="00793C42">
        <w:rPr>
          <w:i/>
        </w:rPr>
        <w:t>Applications nos. 11264/04 and 15 others – see appended list</w:t>
      </w:r>
      <w:r w:rsidRPr="00C16083">
        <w:rPr>
          <w:i/>
        </w:rPr>
        <w:t>)</w:t>
      </w:r>
    </w:p>
    <w:p w:rsidRPr="00C16083" w:rsidR="00D420F3" w:rsidP="00C16083" w:rsidRDefault="00D420F3">
      <w:pPr>
        <w:jc w:val="center"/>
      </w:pPr>
    </w:p>
    <w:p w:rsidRPr="00C16083" w:rsidR="00D420F3" w:rsidP="00C16083" w:rsidRDefault="00D420F3">
      <w:pPr>
        <w:jc w:val="center"/>
      </w:pPr>
    </w:p>
    <w:p w:rsidRPr="00C16083" w:rsidR="00D420F3" w:rsidP="00C16083" w:rsidRDefault="00D420F3">
      <w:pPr>
        <w:jc w:val="center"/>
      </w:pPr>
    </w:p>
    <w:p w:rsidRPr="00C16083" w:rsidR="00D420F3" w:rsidP="00C16083" w:rsidRDefault="00D420F3">
      <w:pPr>
        <w:jc w:val="center"/>
      </w:pPr>
    </w:p>
    <w:p w:rsidRPr="00C16083" w:rsidR="00135D76" w:rsidP="00C16083" w:rsidRDefault="00135D76">
      <w:pPr>
        <w:pStyle w:val="JuPara"/>
        <w:ind w:firstLine="0"/>
        <w:jc w:val="center"/>
      </w:pPr>
      <w:r w:rsidRPr="00C16083">
        <w:t>JUDGMENT</w:t>
      </w:r>
    </w:p>
    <w:p w:rsidRPr="00C16083" w:rsidR="00135D76" w:rsidP="00C16083" w:rsidRDefault="00135D76">
      <w:pPr>
        <w:pStyle w:val="JuPara"/>
        <w:ind w:firstLine="0"/>
        <w:jc w:val="center"/>
      </w:pPr>
    </w:p>
    <w:p w:rsidRPr="00C16083" w:rsidR="00C63625" w:rsidP="00C16083" w:rsidRDefault="00C63625">
      <w:pPr>
        <w:pStyle w:val="JuPara"/>
        <w:pBdr>
          <w:top w:val="single" w:color="auto" w:sz="4" w:space="1"/>
          <w:left w:val="single" w:color="auto" w:sz="4" w:space="4"/>
          <w:bottom w:val="single" w:color="auto" w:sz="4" w:space="1"/>
          <w:right w:val="single" w:color="auto" w:sz="4" w:space="4"/>
        </w:pBdr>
        <w:jc w:val="center"/>
      </w:pPr>
      <w:r w:rsidRPr="00C16083">
        <w:rPr>
          <w:lang w:val="en-GB"/>
        </w:rPr>
        <w:t>Art 8 • Respect for home and correspondence • Search of lawyers</w:t>
      </w:r>
      <w:r w:rsidRPr="00C16083" w:rsidR="00C16083">
        <w:rPr>
          <w:lang w:val="en-GB"/>
        </w:rPr>
        <w:t>’</w:t>
      </w:r>
      <w:r w:rsidRPr="00C16083">
        <w:rPr>
          <w:lang w:val="en-GB"/>
        </w:rPr>
        <w:t xml:space="preserve"> homes and offices and seizure of electronic devices • </w:t>
      </w:r>
      <w:r w:rsidRPr="00C16083">
        <w:t>Courts</w:t>
      </w:r>
      <w:r w:rsidRPr="00C16083" w:rsidR="00C16083">
        <w:t>’</w:t>
      </w:r>
      <w:r w:rsidRPr="00C16083">
        <w:t xml:space="preserve"> failure to assess necessity and proportionality of investigating authorities</w:t>
      </w:r>
      <w:r w:rsidRPr="00C16083" w:rsidR="00C16083">
        <w:t>’</w:t>
      </w:r>
      <w:r w:rsidRPr="00C16083">
        <w:t xml:space="preserve"> actions  </w:t>
      </w:r>
      <w:r w:rsidRPr="00C16083">
        <w:rPr>
          <w:lang w:val="en-GB"/>
        </w:rPr>
        <w:t xml:space="preserve">• </w:t>
      </w:r>
      <w:r w:rsidRPr="00C16083">
        <w:t xml:space="preserve">Domestic law lacking procedural safeguards to prevent interference with professional secrecy </w:t>
      </w:r>
      <w:r w:rsidRPr="00C16083">
        <w:rPr>
          <w:lang w:val="en-GB"/>
        </w:rPr>
        <w:t>• Total lack of safeguards to protect professional confidentiality of legal advisers who are not members of a Bar</w:t>
      </w:r>
    </w:p>
    <w:p w:rsidRPr="00C16083" w:rsidR="00135D76" w:rsidP="00C16083" w:rsidRDefault="00C63625">
      <w:pPr>
        <w:pStyle w:val="JuPara"/>
        <w:pBdr>
          <w:top w:val="single" w:color="auto" w:sz="4" w:space="1"/>
          <w:left w:val="single" w:color="auto" w:sz="4" w:space="4"/>
          <w:bottom w:val="single" w:color="auto" w:sz="4" w:space="1"/>
          <w:right w:val="single" w:color="auto" w:sz="4" w:space="4"/>
        </w:pBdr>
        <w:jc w:val="center"/>
      </w:pPr>
      <w:r w:rsidRPr="00C16083">
        <w:rPr>
          <w:lang w:val="en-GB"/>
        </w:rPr>
        <w:t xml:space="preserve">Art 1 P 1 • Control of the use of property • Unjustified </w:t>
      </w:r>
      <w:r w:rsidRPr="00C16083">
        <w:t>lengthy retention of seized data-storage electronic devices</w:t>
      </w:r>
    </w:p>
    <w:p w:rsidRPr="00C16083" w:rsidR="00135D76" w:rsidP="00C16083" w:rsidRDefault="00135D76">
      <w:pPr>
        <w:pStyle w:val="JuPara"/>
        <w:ind w:firstLine="0"/>
        <w:jc w:val="center"/>
      </w:pPr>
    </w:p>
    <w:p w:rsidRPr="00C16083" w:rsidR="00135D76" w:rsidP="00C16083" w:rsidRDefault="00135D76">
      <w:pPr>
        <w:pStyle w:val="JuPara"/>
        <w:ind w:firstLine="0"/>
        <w:jc w:val="center"/>
      </w:pPr>
      <w:r w:rsidRPr="00C16083">
        <w:t>STRASBOURG</w:t>
      </w:r>
    </w:p>
    <w:p w:rsidRPr="00C16083" w:rsidR="00135D76" w:rsidP="00C16083" w:rsidRDefault="00135D76">
      <w:pPr>
        <w:pStyle w:val="JuPara"/>
        <w:ind w:firstLine="0"/>
        <w:jc w:val="center"/>
      </w:pPr>
    </w:p>
    <w:p w:rsidRPr="00C16083" w:rsidR="00135D76" w:rsidP="00C16083" w:rsidRDefault="00135D76">
      <w:pPr>
        <w:pStyle w:val="JuPara"/>
        <w:ind w:firstLine="0"/>
        <w:jc w:val="center"/>
      </w:pPr>
      <w:r w:rsidRPr="00C16083">
        <w:t>4 February 2020</w:t>
      </w:r>
    </w:p>
    <w:p w:rsidRPr="00C16083" w:rsidR="00135D76" w:rsidP="00C16083" w:rsidRDefault="00135D76">
      <w:pPr>
        <w:pStyle w:val="JuPara"/>
        <w:ind w:firstLine="0"/>
        <w:jc w:val="center"/>
        <w:rPr>
          <w:sz w:val="22"/>
        </w:rPr>
      </w:pPr>
    </w:p>
    <w:p w:rsidRPr="00C16083" w:rsidR="00135D76" w:rsidP="00C16083" w:rsidRDefault="00135D76">
      <w:pPr>
        <w:pStyle w:val="JuPara"/>
        <w:ind w:firstLine="0"/>
        <w:jc w:val="center"/>
        <w:rPr>
          <w:sz w:val="22"/>
        </w:rPr>
      </w:pPr>
    </w:p>
    <w:p w:rsidRPr="00C16083" w:rsidR="00C63625" w:rsidP="00C16083" w:rsidRDefault="00C63625">
      <w:pPr>
        <w:pStyle w:val="JuPara"/>
        <w:ind w:firstLine="0"/>
        <w:jc w:val="center"/>
        <w:rPr>
          <w:sz w:val="22"/>
        </w:rPr>
      </w:pPr>
    </w:p>
    <w:p w:rsidRPr="00C16083" w:rsidR="00843BB9" w:rsidP="00C16083" w:rsidRDefault="00135D76">
      <w:pPr>
        <w:pStyle w:val="JuPara"/>
        <w:ind w:firstLine="0"/>
        <w:jc w:val="left"/>
        <w:rPr>
          <w:sz w:val="20"/>
          <w:szCs w:val="20"/>
        </w:rPr>
      </w:pPr>
      <w:r w:rsidRPr="00C16083">
        <w:rPr>
          <w:i/>
          <w:sz w:val="22"/>
          <w:szCs w:val="22"/>
        </w:rPr>
        <w:t>This judgment will become final in the circumstances set out in Article 44 § 2 of the Convention. It may be subject to editorial revision</w:t>
      </w:r>
      <w:r w:rsidRPr="00C16083">
        <w:rPr>
          <w:i/>
          <w:sz w:val="20"/>
          <w:szCs w:val="20"/>
        </w:rPr>
        <w:t>.</w:t>
      </w:r>
    </w:p>
    <w:p w:rsidRPr="00C16083" w:rsidR="00135D76" w:rsidP="00C16083" w:rsidRDefault="00135D76">
      <w:pPr>
        <w:ind w:left="284"/>
        <w:sectPr w:rsidRPr="00C16083" w:rsidR="00135D76" w:rsidSect="00135D76">
          <w:headerReference w:type="even" r:id="rId8"/>
          <w:headerReference w:type="default" r:id="rId9"/>
          <w:headerReference w:type="first" r:id="rId10"/>
          <w:footerReference w:type="first" r:id="rId11"/>
          <w:footnotePr>
            <w:numRestart w:val="eachSect"/>
          </w:footnotePr>
          <w:pgSz w:w="11906" w:h="16838" w:code="9"/>
          <w:pgMar w:top="2274" w:right="2274" w:bottom="2274" w:left="2274" w:header="1701" w:footer="720" w:gutter="0"/>
          <w:pgNumType w:start="1"/>
          <w:cols w:space="720"/>
          <w:titlePg/>
          <w:docGrid w:linePitch="326"/>
        </w:sectPr>
      </w:pPr>
    </w:p>
    <w:p w:rsidRPr="00C16083" w:rsidR="00D420F3" w:rsidP="00C16083" w:rsidRDefault="0077175D">
      <w:pPr>
        <w:pStyle w:val="JuCase"/>
        <w:rPr>
          <w:bCs/>
        </w:rPr>
      </w:pPr>
      <w:r w:rsidRPr="00C16083">
        <w:t xml:space="preserve">In the case of </w:t>
      </w:r>
      <w:r w:rsidRPr="00C16083" w:rsidR="00793C42">
        <w:t xml:space="preserve">Kruglov </w:t>
      </w:r>
      <w:r w:rsidRPr="00C16083" w:rsidR="00FD6263">
        <w:t xml:space="preserve">and Others </w:t>
      </w:r>
      <w:r w:rsidRPr="00C16083" w:rsidR="00793C42">
        <w:t>v. Russia</w:t>
      </w:r>
      <w:r w:rsidRPr="00C16083">
        <w:t>,</w:t>
      </w:r>
    </w:p>
    <w:p w:rsidRPr="00C16083" w:rsidR="00D420F3" w:rsidP="00C16083" w:rsidRDefault="0077175D">
      <w:pPr>
        <w:pStyle w:val="JuPara"/>
      </w:pPr>
      <w:r w:rsidRPr="00C16083">
        <w:t>The European Court of Human Rights (</w:t>
      </w:r>
      <w:r w:rsidRPr="00C16083" w:rsidR="00793C42">
        <w:t>Third Section</w:t>
      </w:r>
      <w:r w:rsidRPr="00C16083">
        <w:t xml:space="preserve">), sitting as a </w:t>
      </w:r>
      <w:r w:rsidRPr="00C16083" w:rsidR="00793C42">
        <w:t>Chamber</w:t>
      </w:r>
      <w:r w:rsidRPr="00C16083">
        <w:t xml:space="preserve"> composed of:</w:t>
      </w:r>
    </w:p>
    <w:p w:rsidRPr="00C16083" w:rsidR="00D420F3" w:rsidP="00C16083" w:rsidRDefault="00ED2852">
      <w:pPr>
        <w:pStyle w:val="JuJudges"/>
      </w:pPr>
      <w:r w:rsidRPr="00C16083">
        <w:tab/>
        <w:t>Paul Lemmens,</w:t>
      </w:r>
      <w:r w:rsidRPr="00C16083">
        <w:rPr>
          <w:i/>
        </w:rPr>
        <w:t xml:space="preserve"> President,</w:t>
      </w:r>
      <w:r w:rsidRPr="00C16083">
        <w:rPr>
          <w:i/>
        </w:rPr>
        <w:br/>
      </w:r>
      <w:r w:rsidRPr="00C16083">
        <w:tab/>
        <w:t>Paulo Pinto de Albuquerque,</w:t>
      </w:r>
      <w:r w:rsidRPr="00C16083">
        <w:rPr>
          <w:i/>
        </w:rPr>
        <w:br/>
      </w:r>
      <w:r w:rsidRPr="00C16083">
        <w:tab/>
        <w:t>Dmitry Dedov,</w:t>
      </w:r>
      <w:r w:rsidRPr="00C16083">
        <w:rPr>
          <w:i/>
        </w:rPr>
        <w:br/>
      </w:r>
      <w:r w:rsidRPr="00C16083">
        <w:tab/>
        <w:t>Alena Poláčková,</w:t>
      </w:r>
      <w:r w:rsidRPr="00C16083">
        <w:rPr>
          <w:i/>
        </w:rPr>
        <w:br/>
      </w:r>
      <w:r w:rsidRPr="00C16083">
        <w:tab/>
        <w:t>María Elósegui,</w:t>
      </w:r>
      <w:r w:rsidRPr="00C16083">
        <w:rPr>
          <w:i/>
        </w:rPr>
        <w:br/>
      </w:r>
      <w:r w:rsidRPr="00C16083">
        <w:tab/>
        <w:t>Gilberto Felici,</w:t>
      </w:r>
      <w:r w:rsidRPr="00C16083">
        <w:rPr>
          <w:i/>
        </w:rPr>
        <w:br/>
      </w:r>
      <w:r w:rsidRPr="00C16083">
        <w:tab/>
        <w:t>Lorraine Schembri Orland,</w:t>
      </w:r>
      <w:r w:rsidRPr="00C16083">
        <w:rPr>
          <w:i/>
        </w:rPr>
        <w:t xml:space="preserve"> judges,</w:t>
      </w:r>
      <w:r w:rsidRPr="00C16083" w:rsidR="0077175D">
        <w:br/>
        <w:t xml:space="preserve">and </w:t>
      </w:r>
      <w:r w:rsidRPr="00C16083" w:rsidR="00793C42">
        <w:t>Stephen Phillips</w:t>
      </w:r>
      <w:r w:rsidRPr="00C16083" w:rsidR="0077175D">
        <w:t xml:space="preserve">, </w:t>
      </w:r>
      <w:r w:rsidRPr="00C16083" w:rsidR="00793C42">
        <w:rPr>
          <w:i/>
        </w:rPr>
        <w:t xml:space="preserve">Section </w:t>
      </w:r>
      <w:r w:rsidRPr="00C16083" w:rsidR="00793C42">
        <w:rPr>
          <w:i/>
          <w:iCs/>
        </w:rPr>
        <w:t>Registrar</w:t>
      </w:r>
      <w:r w:rsidRPr="00C16083" w:rsidR="0077175D">
        <w:rPr>
          <w:i/>
        </w:rPr>
        <w:t>,</w:t>
      </w:r>
    </w:p>
    <w:p w:rsidRPr="00C16083" w:rsidR="00D420F3" w:rsidP="00C16083" w:rsidRDefault="0077175D">
      <w:pPr>
        <w:pStyle w:val="JuPara"/>
      </w:pPr>
      <w:r w:rsidRPr="00C16083">
        <w:t xml:space="preserve">Having deliberated in private on </w:t>
      </w:r>
      <w:r w:rsidRPr="00C16083" w:rsidR="00046F44">
        <w:t>14</w:t>
      </w:r>
      <w:r w:rsidRPr="00C16083" w:rsidR="00ED2852">
        <w:t xml:space="preserve"> January 2020</w:t>
      </w:r>
      <w:r w:rsidRPr="00C16083">
        <w:t>,</w:t>
      </w:r>
    </w:p>
    <w:p w:rsidRPr="00C16083" w:rsidR="00D420F3" w:rsidP="00C16083" w:rsidRDefault="0077175D">
      <w:pPr>
        <w:pStyle w:val="JuPara"/>
      </w:pPr>
      <w:r w:rsidRPr="00C16083">
        <w:t>Delivers the following judgment, which was adopted on that date:</w:t>
      </w:r>
    </w:p>
    <w:p w:rsidRPr="00C16083" w:rsidR="00D420F3" w:rsidP="00C16083" w:rsidRDefault="0077175D">
      <w:pPr>
        <w:pStyle w:val="JuHHead"/>
      </w:pPr>
      <w:r w:rsidRPr="00C16083">
        <w:t>PROCEDURE</w:t>
      </w:r>
    </w:p>
    <w:p w:rsidRPr="00C16083" w:rsidR="00461CD2" w:rsidP="00C16083" w:rsidRDefault="006368BA">
      <w:pPr>
        <w:pStyle w:val="JuPara"/>
      </w:pPr>
      <w:fldSimple w:instr=" SEQ level0 \*arabic ">
        <w:r w:rsidRPr="00C16083" w:rsidR="00C16083">
          <w:rPr>
            <w:noProof/>
          </w:rPr>
          <w:t>1</w:t>
        </w:r>
      </w:fldSimple>
      <w:r w:rsidRPr="00C16083" w:rsidR="0077175D">
        <w:t xml:space="preserve">.  The case originated in </w:t>
      </w:r>
      <w:r w:rsidRPr="00C16083" w:rsidR="00461CD2">
        <w:t>sixteen</w:t>
      </w:r>
      <w:r w:rsidRPr="00C16083" w:rsidR="00793C42">
        <w:t xml:space="preserve"> applications (nos. 11264/04 and </w:t>
      </w:r>
      <w:r w:rsidRPr="00C16083" w:rsidR="00461CD2">
        <w:t>fifteen others</w:t>
      </w:r>
      <w:r w:rsidRPr="00C16083" w:rsidR="00793C42">
        <w:t>)</w:t>
      </w:r>
      <w:r w:rsidRPr="00C16083" w:rsidR="0077175D">
        <w:t xml:space="preserve"> against </w:t>
      </w:r>
      <w:r w:rsidRPr="00C16083" w:rsidR="00793C42">
        <w:t>the Russian Federation</w:t>
      </w:r>
      <w:r w:rsidRPr="00C16083" w:rsidR="0077175D">
        <w:t xml:space="preserve"> lodged with the </w:t>
      </w:r>
      <w:r w:rsidRPr="00C16083" w:rsidR="00461CD2">
        <w:t>Court under Article </w:t>
      </w:r>
      <w:r w:rsidRPr="00C16083" w:rsidR="00793C42">
        <w:t>34</w:t>
      </w:r>
      <w:r w:rsidRPr="00C16083" w:rsidR="0077175D">
        <w:t xml:space="preserve"> of the Convention for the Protection of Human Rights and Fundamental Freedoms (“the Convention”) by </w:t>
      </w:r>
      <w:r w:rsidRPr="00C16083" w:rsidR="0050014A">
        <w:t>twenty-</w:t>
      </w:r>
      <w:r w:rsidRPr="00C16083" w:rsidR="00F459E2">
        <w:t>five</w:t>
      </w:r>
      <w:r w:rsidRPr="00C16083" w:rsidR="0050014A">
        <w:t xml:space="preserve"> </w:t>
      </w:r>
      <w:r w:rsidRPr="00C16083" w:rsidR="00793C42">
        <w:t>Russian nationals</w:t>
      </w:r>
      <w:r w:rsidRPr="00C16083" w:rsidR="00461CD2">
        <w:t>. A list of the applicants</w:t>
      </w:r>
      <w:r w:rsidRPr="00C16083" w:rsidR="000D5C07">
        <w:t>, their representatives</w:t>
      </w:r>
      <w:r w:rsidRPr="00C16083" w:rsidR="00461CD2">
        <w:t xml:space="preserve"> and their personal details </w:t>
      </w:r>
      <w:r w:rsidRPr="00C16083" w:rsidR="00D9461A">
        <w:t>is</w:t>
      </w:r>
      <w:r w:rsidRPr="00C16083" w:rsidR="00461CD2">
        <w:t xml:space="preserve"> set out in the Appendix</w:t>
      </w:r>
      <w:r w:rsidRPr="00C16083" w:rsidR="0077175D">
        <w:t>.</w:t>
      </w:r>
    </w:p>
    <w:p w:rsidRPr="00C16083" w:rsidR="00843BB9" w:rsidP="00C16083" w:rsidRDefault="006368BA">
      <w:pPr>
        <w:pStyle w:val="JuPara"/>
      </w:pPr>
      <w:fldSimple w:instr=" SEQ level0 \*arabic ">
        <w:r w:rsidRPr="00C16083" w:rsidR="00C16083">
          <w:rPr>
            <w:noProof/>
          </w:rPr>
          <w:t>2</w:t>
        </w:r>
      </w:fldSimple>
      <w:r w:rsidRPr="00C16083" w:rsidR="0077175D">
        <w:t xml:space="preserve">.  The </w:t>
      </w:r>
      <w:r w:rsidRPr="00C16083" w:rsidR="00793C42">
        <w:t>Russian</w:t>
      </w:r>
      <w:r w:rsidRPr="00C16083" w:rsidR="0077175D">
        <w:t xml:space="preserve"> Government (“the Government”) were represented </w:t>
      </w:r>
      <w:r w:rsidRPr="00C16083" w:rsidR="00452F8F">
        <w:t xml:space="preserve">initially </w:t>
      </w:r>
      <w:r w:rsidRPr="00C16083" w:rsidR="0077175D">
        <w:t xml:space="preserve">by </w:t>
      </w:r>
      <w:r w:rsidRPr="00C16083" w:rsidR="00461CD2">
        <w:t>Mr G. Matyushkin, former Representative of the Russian Federation to the European Court of Human Rights, and then by his successor in that office, Mr M. Galperin</w:t>
      </w:r>
      <w:r w:rsidRPr="00C16083" w:rsidR="0077175D">
        <w:t>.</w:t>
      </w:r>
    </w:p>
    <w:p w:rsidRPr="00C16083" w:rsidR="00843BB9" w:rsidP="00C16083" w:rsidRDefault="006368BA">
      <w:pPr>
        <w:pStyle w:val="JuPara"/>
      </w:pPr>
      <w:fldSimple w:instr=" SEQ level0 \*arabic ">
        <w:r w:rsidRPr="00C16083" w:rsidR="00C16083">
          <w:rPr>
            <w:noProof/>
          </w:rPr>
          <w:t>3</w:t>
        </w:r>
      </w:fldSimple>
      <w:r w:rsidRPr="00C16083" w:rsidR="00793C42">
        <w:t>.  </w:t>
      </w:r>
      <w:r w:rsidRPr="00C16083" w:rsidR="003B5CC1">
        <w:t xml:space="preserve">The </w:t>
      </w:r>
      <w:r w:rsidRPr="00C16083" w:rsidR="00461CD2">
        <w:t xml:space="preserve">applicants complained </w:t>
      </w:r>
      <w:r w:rsidRPr="00C16083" w:rsidR="003C4AA1">
        <w:t xml:space="preserve">of </w:t>
      </w:r>
      <w:r w:rsidRPr="00C16083" w:rsidR="00461CD2">
        <w:t xml:space="preserve">searches </w:t>
      </w:r>
      <w:r w:rsidRPr="00C16083" w:rsidR="003B5CC1">
        <w:t xml:space="preserve">in </w:t>
      </w:r>
      <w:r w:rsidRPr="00C16083" w:rsidR="00461CD2">
        <w:t>their premises</w:t>
      </w:r>
      <w:r w:rsidRPr="00C16083" w:rsidR="005C3DD2">
        <w:t xml:space="preserve"> and </w:t>
      </w:r>
      <w:r w:rsidRPr="00C16083" w:rsidR="003C4AA1">
        <w:t>seizure and continued retention of</w:t>
      </w:r>
      <w:r w:rsidRPr="00C16083" w:rsidR="003B5CC1">
        <w:t xml:space="preserve"> </w:t>
      </w:r>
      <w:r w:rsidRPr="00C16083" w:rsidR="00452F8F">
        <w:t>data</w:t>
      </w:r>
      <w:r w:rsidRPr="00C16083" w:rsidR="005C3DD2">
        <w:t>-</w:t>
      </w:r>
      <w:r w:rsidRPr="00C16083" w:rsidR="003B5CC1">
        <w:t xml:space="preserve">storage </w:t>
      </w:r>
      <w:r w:rsidRPr="00C16083" w:rsidR="00452F8F">
        <w:t>devices</w:t>
      </w:r>
      <w:r w:rsidRPr="00C16083" w:rsidR="005C3DD2">
        <w:t>.</w:t>
      </w:r>
      <w:r w:rsidRPr="00C16083" w:rsidR="003B5CC1">
        <w:t xml:space="preserve"> </w:t>
      </w:r>
      <w:r w:rsidRPr="00C16083" w:rsidR="005C3DD2">
        <w:t xml:space="preserve">They also complained of </w:t>
      </w:r>
      <w:r w:rsidRPr="00C16083" w:rsidR="003B5CC1">
        <w:t xml:space="preserve">the absence of </w:t>
      </w:r>
      <w:r w:rsidRPr="00C16083" w:rsidR="00461CD2">
        <w:t xml:space="preserve">effective remedies </w:t>
      </w:r>
      <w:r w:rsidRPr="00C16083" w:rsidR="003B5CC1">
        <w:t>for those complaints</w:t>
      </w:r>
      <w:r w:rsidRPr="00C16083" w:rsidR="00461CD2">
        <w:t>.</w:t>
      </w:r>
    </w:p>
    <w:p w:rsidRPr="00C16083" w:rsidR="00843BB9" w:rsidP="00C16083" w:rsidRDefault="006368BA">
      <w:pPr>
        <w:pStyle w:val="JuPara"/>
      </w:pPr>
      <w:fldSimple w:instr=" SEQ level0 \*arabic ">
        <w:r w:rsidRPr="00C16083" w:rsidR="00C16083">
          <w:rPr>
            <w:noProof/>
          </w:rPr>
          <w:t>4</w:t>
        </w:r>
      </w:fldSimple>
      <w:r w:rsidRPr="00C16083" w:rsidR="0077175D">
        <w:t>.  </w:t>
      </w:r>
      <w:r w:rsidRPr="00C16083" w:rsidR="00461CD2">
        <w:t xml:space="preserve">Between </w:t>
      </w:r>
      <w:r w:rsidRPr="00C16083" w:rsidR="00D27CB4">
        <w:t>11 February 2008</w:t>
      </w:r>
      <w:r w:rsidRPr="00C16083" w:rsidR="00461CD2">
        <w:t xml:space="preserve"> and </w:t>
      </w:r>
      <w:r w:rsidRPr="00C16083" w:rsidR="00D27CB4">
        <w:t>9 February 2017</w:t>
      </w:r>
      <w:r w:rsidRPr="00C16083" w:rsidR="00461CD2">
        <w:t xml:space="preserve"> the </w:t>
      </w:r>
      <w:r w:rsidRPr="00C16083" w:rsidR="005C3DD2">
        <w:t xml:space="preserve">Government were given notice of </w:t>
      </w:r>
      <w:r w:rsidRPr="00C16083" w:rsidR="00461CD2">
        <w:t>above complaints. The remain</w:t>
      </w:r>
      <w:r w:rsidRPr="00C16083" w:rsidR="00C306FD">
        <w:t>ing</w:t>
      </w:r>
      <w:r w:rsidRPr="00C16083" w:rsidR="00461CD2">
        <w:t xml:space="preserve"> complaints in applications nos. </w:t>
      </w:r>
      <w:r w:rsidRPr="00C16083" w:rsidR="000B57A1">
        <w:t>60648/08, 14244/11, 18403/13 and 29786/15</w:t>
      </w:r>
      <w:r w:rsidRPr="00C16083" w:rsidR="00461CD2">
        <w:t xml:space="preserve"> w</w:t>
      </w:r>
      <w:r w:rsidRPr="00C16083" w:rsidR="00C306FD">
        <w:t>ere</w:t>
      </w:r>
      <w:r w:rsidRPr="00C16083" w:rsidR="00461CD2">
        <w:t xml:space="preserve"> declared inadmissible pursuant to Ru</w:t>
      </w:r>
      <w:r w:rsidRPr="00C16083" w:rsidR="00D27CB4">
        <w:t>le 54 § </w:t>
      </w:r>
      <w:r w:rsidRPr="00C16083" w:rsidR="00461CD2">
        <w:t>3 of the Rules of Court</w:t>
      </w:r>
      <w:r w:rsidRPr="00C16083" w:rsidR="0077175D">
        <w:t>.</w:t>
      </w:r>
    </w:p>
    <w:p w:rsidRPr="00C16083" w:rsidR="00D420F3" w:rsidP="00C16083" w:rsidRDefault="0077175D">
      <w:pPr>
        <w:pStyle w:val="JuHHead"/>
      </w:pPr>
      <w:r w:rsidRPr="00C16083">
        <w:t>THE FACTS</w:t>
      </w:r>
    </w:p>
    <w:p w:rsidRPr="00C16083" w:rsidR="00D420F3" w:rsidP="00C16083" w:rsidRDefault="0077175D">
      <w:pPr>
        <w:pStyle w:val="JuHIRoman"/>
      </w:pPr>
      <w:r w:rsidRPr="00C16083">
        <w:t>THE CIRCUMSTANCES OF THE CASE</w:t>
      </w:r>
    </w:p>
    <w:p w:rsidRPr="00C16083" w:rsidR="00843BB9" w:rsidP="00C16083" w:rsidRDefault="00712312">
      <w:pPr>
        <w:pStyle w:val="JuHA"/>
      </w:pPr>
      <w:r w:rsidRPr="00C16083">
        <w:t>Summary</w:t>
      </w:r>
    </w:p>
    <w:p w:rsidRPr="00C16083" w:rsidR="00843BB9" w:rsidP="00C16083" w:rsidRDefault="006368BA">
      <w:pPr>
        <w:pStyle w:val="JuPara"/>
      </w:pPr>
      <w:fldSimple w:instr=" SEQ level0 \*arabic ">
        <w:r w:rsidRPr="00C16083" w:rsidR="00C16083">
          <w:rPr>
            <w:noProof/>
          </w:rPr>
          <w:t>5</w:t>
        </w:r>
      </w:fldSimple>
      <w:r w:rsidRPr="00C16083" w:rsidR="00712312">
        <w:t xml:space="preserve">.  The applicants are practising lawyers (with the exception of </w:t>
      </w:r>
      <w:r w:rsidRPr="00C16083" w:rsidR="00351055">
        <w:t>Mr Sokolov, Mr Burykin and Mr Makovoz,</w:t>
      </w:r>
      <w:r w:rsidRPr="00C16083" w:rsidR="00712312">
        <w:t xml:space="preserve"> who are clients of </w:t>
      </w:r>
      <w:r w:rsidRPr="00C16083" w:rsidR="00DC4CAC">
        <w:t>Ms </w:t>
      </w:r>
      <w:r w:rsidRPr="00C16083" w:rsidR="00351055">
        <w:t>Belinskaya,</w:t>
      </w:r>
      <w:r w:rsidRPr="00C16083" w:rsidR="00712312">
        <w:t xml:space="preserve"> a lawyer</w:t>
      </w:r>
      <w:r w:rsidRPr="00C16083" w:rsidR="00351055">
        <w:t>, application no. 14244/11</w:t>
      </w:r>
      <w:r w:rsidRPr="00C16083" w:rsidR="00712312">
        <w:t>).</w:t>
      </w:r>
      <w:r w:rsidRPr="00C16083" w:rsidR="00CB7782">
        <w:t xml:space="preserve"> </w:t>
      </w:r>
      <w:r w:rsidRPr="00C16083" w:rsidR="0064770A">
        <w:t>W</w:t>
      </w:r>
      <w:r w:rsidRPr="00C16083" w:rsidR="00CB7782">
        <w:t xml:space="preserve">ith the exception of </w:t>
      </w:r>
      <w:r w:rsidRPr="00C16083" w:rsidR="00351055">
        <w:t>Mr Fedorov, Mr </w:t>
      </w:r>
      <w:r w:rsidRPr="00C16083" w:rsidR="008B1DCE">
        <w:t>Silivanov and Mr Mezentsev</w:t>
      </w:r>
      <w:r w:rsidRPr="00C16083" w:rsidR="0064770A">
        <w:t xml:space="preserve"> </w:t>
      </w:r>
      <w:r w:rsidRPr="00C16083" w:rsidR="007C6474">
        <w:t>(</w:t>
      </w:r>
      <w:r w:rsidRPr="00C16083" w:rsidR="00CB7782">
        <w:t>application</w:t>
      </w:r>
      <w:r w:rsidRPr="00C16083" w:rsidR="0064770A">
        <w:t>s</w:t>
      </w:r>
      <w:r w:rsidRPr="00C16083" w:rsidR="00CB7782">
        <w:t xml:space="preserve"> nos. 58290/08, 10825/11 and 73629/13</w:t>
      </w:r>
      <w:r w:rsidRPr="00C16083" w:rsidR="007C6474">
        <w:t>)</w:t>
      </w:r>
      <w:r w:rsidRPr="00C16083" w:rsidR="0064770A">
        <w:t>, they are members of the Bar</w:t>
      </w:r>
      <w:r w:rsidRPr="00C16083" w:rsidR="00CB7782">
        <w:t>.</w:t>
      </w:r>
      <w:r w:rsidRPr="00C16083" w:rsidR="00712312">
        <w:t xml:space="preserve"> Police </w:t>
      </w:r>
      <w:r w:rsidRPr="00C16083" w:rsidR="007C6474">
        <w:t xml:space="preserve">officers </w:t>
      </w:r>
      <w:r w:rsidRPr="00C16083" w:rsidR="00712312">
        <w:t>searched the lawyers</w:t>
      </w:r>
      <w:r w:rsidRPr="00C16083" w:rsidR="00C16083">
        <w:t>’</w:t>
      </w:r>
      <w:r w:rsidRPr="00C16083" w:rsidR="00712312">
        <w:t xml:space="preserve"> homes or offices. The applicants </w:t>
      </w:r>
      <w:r w:rsidRPr="00C16083" w:rsidR="00354ABB">
        <w:t xml:space="preserve">complained </w:t>
      </w:r>
      <w:r w:rsidRPr="00C16083" w:rsidR="00712312">
        <w:t xml:space="preserve">to the national courts of </w:t>
      </w:r>
      <w:r w:rsidRPr="00C16083" w:rsidR="007C6474">
        <w:t xml:space="preserve">the </w:t>
      </w:r>
      <w:r w:rsidRPr="00C16083" w:rsidR="00712312">
        <w:t xml:space="preserve">unlawfulness </w:t>
      </w:r>
      <w:r w:rsidRPr="00C16083" w:rsidR="007C6474">
        <w:t xml:space="preserve">of the search warrants </w:t>
      </w:r>
      <w:r w:rsidRPr="00C16083" w:rsidR="00712312">
        <w:t xml:space="preserve">and/or of </w:t>
      </w:r>
      <w:r w:rsidRPr="00C16083" w:rsidR="007C6474">
        <w:t xml:space="preserve">the </w:t>
      </w:r>
      <w:r w:rsidRPr="00C16083" w:rsidR="00712312">
        <w:t xml:space="preserve">manner </w:t>
      </w:r>
      <w:r w:rsidRPr="00C16083" w:rsidR="00F96B31">
        <w:t xml:space="preserve">in which </w:t>
      </w:r>
      <w:r w:rsidRPr="00C16083" w:rsidR="00712312">
        <w:t>the search</w:t>
      </w:r>
      <w:r w:rsidRPr="00C16083" w:rsidR="00F96B31">
        <w:t>es</w:t>
      </w:r>
      <w:r w:rsidRPr="00C16083" w:rsidR="00712312">
        <w:t xml:space="preserve"> </w:t>
      </w:r>
      <w:r w:rsidRPr="00C16083" w:rsidR="00F96B31">
        <w:t>had been carried out</w:t>
      </w:r>
      <w:r w:rsidRPr="00C16083" w:rsidR="00354ABB">
        <w:t>.</w:t>
      </w:r>
      <w:r w:rsidRPr="00C16083" w:rsidR="00F96B31">
        <w:t xml:space="preserve"> </w:t>
      </w:r>
      <w:r w:rsidRPr="00C16083" w:rsidR="00354ABB">
        <w:t xml:space="preserve">Their complaints </w:t>
      </w:r>
      <w:r w:rsidRPr="00C16083" w:rsidR="00F96B31">
        <w:t xml:space="preserve">were </w:t>
      </w:r>
      <w:r w:rsidRPr="00C16083" w:rsidR="00712312">
        <w:t>unsuccessful.</w:t>
      </w:r>
    </w:p>
    <w:p w:rsidRPr="00C16083" w:rsidR="00843BB9" w:rsidP="00C16083" w:rsidRDefault="00712312">
      <w:pPr>
        <w:pStyle w:val="JuHA"/>
      </w:pPr>
      <w:r w:rsidRPr="00C16083">
        <w:t>Particular applications</w:t>
      </w:r>
    </w:p>
    <w:p w:rsidRPr="00C16083" w:rsidR="00712312" w:rsidP="00C16083" w:rsidRDefault="00712312">
      <w:pPr>
        <w:pStyle w:val="JuH1"/>
      </w:pPr>
      <w:r w:rsidRPr="00C16083">
        <w:t>Application no. 11264/04, Kruglov v. Russia</w:t>
      </w:r>
    </w:p>
    <w:p w:rsidRPr="00C16083" w:rsidR="00843BB9" w:rsidP="00C16083" w:rsidRDefault="006368BA">
      <w:pPr>
        <w:pStyle w:val="JuPara"/>
      </w:pPr>
      <w:fldSimple w:instr=" SEQ level0 \*arabic ">
        <w:r w:rsidRPr="00C16083" w:rsidR="00C16083">
          <w:rPr>
            <w:noProof/>
          </w:rPr>
          <w:t>6</w:t>
        </w:r>
      </w:fldSimple>
      <w:r w:rsidRPr="00C16083" w:rsidR="00712312">
        <w:t>.  </w:t>
      </w:r>
      <w:r w:rsidRPr="00C16083" w:rsidR="00C63625">
        <w:t xml:space="preserve">Mr </w:t>
      </w:r>
      <w:r w:rsidRPr="00C16083" w:rsidR="008B1DCE">
        <w:t>Kruglov</w:t>
      </w:r>
      <w:r w:rsidRPr="00C16083" w:rsidR="005A1858">
        <w:t xml:space="preserve"> (formerly Mr Krug)</w:t>
      </w:r>
      <w:r w:rsidRPr="00C16083" w:rsidR="00712312">
        <w:t xml:space="preserve"> was suspected of </w:t>
      </w:r>
      <w:r w:rsidRPr="00C16083" w:rsidR="0050014A">
        <w:t xml:space="preserve">libel </w:t>
      </w:r>
      <w:r w:rsidRPr="00C16083" w:rsidR="00712312">
        <w:t>of a high</w:t>
      </w:r>
      <w:r w:rsidRPr="00C16083" w:rsidR="00562B5F">
        <w:noBreakHyphen/>
      </w:r>
      <w:r w:rsidRPr="00C16083" w:rsidR="00712312">
        <w:t>ranking judge.</w:t>
      </w:r>
    </w:p>
    <w:bookmarkStart w:name="search_warrant_Kruglov" w:id="2"/>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7</w:t>
      </w:r>
      <w:r w:rsidRPr="00C16083">
        <w:rPr>
          <w:noProof/>
        </w:rPr>
        <w:fldChar w:fldCharType="end"/>
      </w:r>
      <w:bookmarkEnd w:id="2"/>
      <w:r w:rsidRPr="00C16083" w:rsidR="00712312">
        <w:t xml:space="preserve">.  On 20 October 2003 the Samarskiy District Court of Samara authorised </w:t>
      </w:r>
      <w:r w:rsidRPr="00C16083" w:rsidR="00F96B31">
        <w:t xml:space="preserve">a </w:t>
      </w:r>
      <w:r w:rsidRPr="00C16083" w:rsidR="00712312">
        <w:t xml:space="preserve">search </w:t>
      </w:r>
      <w:r w:rsidRPr="00C16083" w:rsidR="00F96B31">
        <w:t xml:space="preserve">of </w:t>
      </w:r>
      <w:r w:rsidRPr="00C16083" w:rsidR="008B1DCE">
        <w:t>Mr Kruglov</w:t>
      </w:r>
      <w:r w:rsidRPr="00C16083" w:rsidR="00C16083">
        <w:t>’</w:t>
      </w:r>
      <w:r w:rsidRPr="00C16083" w:rsidR="00712312">
        <w:t>s flat</w:t>
      </w:r>
      <w:r w:rsidRPr="00C16083" w:rsidR="00A3760E">
        <w:t xml:space="preserve">. It found that based on the submitted material there </w:t>
      </w:r>
      <w:r w:rsidRPr="00C16083" w:rsidR="008E7B7C">
        <w:t xml:space="preserve">were </w:t>
      </w:r>
      <w:r w:rsidRPr="00C16083" w:rsidR="00A3760E">
        <w:t>sufficient grounds to believe</w:t>
      </w:r>
      <w:r w:rsidRPr="00C16083" w:rsidR="00712312">
        <w:t xml:space="preserve"> </w:t>
      </w:r>
      <w:r w:rsidRPr="00C16083" w:rsidR="00A3760E">
        <w:t xml:space="preserve">that the instruments of the crime might be located at </w:t>
      </w:r>
      <w:r w:rsidRPr="00C16083" w:rsidR="00F96B31">
        <w:t xml:space="preserve">his </w:t>
      </w:r>
      <w:r w:rsidRPr="00C16083" w:rsidR="00A3760E">
        <w:t>home.</w:t>
      </w:r>
    </w:p>
    <w:p w:rsidRPr="00C16083" w:rsidR="00843BB9" w:rsidP="00C16083" w:rsidRDefault="006368BA">
      <w:pPr>
        <w:pStyle w:val="JuPara"/>
      </w:pPr>
      <w:fldSimple w:instr=" SEQ level0 \*arabic ">
        <w:r w:rsidRPr="00C16083" w:rsidR="00C16083">
          <w:rPr>
            <w:noProof/>
          </w:rPr>
          <w:t>8</w:t>
        </w:r>
      </w:fldSimple>
      <w:r w:rsidRPr="00C16083" w:rsidR="00712312">
        <w:t xml:space="preserve">.  On 21 October 2003 </w:t>
      </w:r>
      <w:r w:rsidRPr="00C16083" w:rsidR="00F96B31">
        <w:t xml:space="preserve">the </w:t>
      </w:r>
      <w:r w:rsidRPr="00C16083" w:rsidR="00712312">
        <w:t xml:space="preserve">police searched the flat indicated in the court </w:t>
      </w:r>
      <w:r w:rsidRPr="00C16083" w:rsidR="00354ABB">
        <w:t xml:space="preserve">search </w:t>
      </w:r>
      <w:r w:rsidRPr="00C16083" w:rsidR="00712312">
        <w:t xml:space="preserve">warrant. As </w:t>
      </w:r>
      <w:r w:rsidRPr="00C16083" w:rsidR="00F96B31">
        <w:t xml:space="preserve">that </w:t>
      </w:r>
      <w:r w:rsidRPr="00C16083" w:rsidR="000D5C07">
        <w:t>was in fact</w:t>
      </w:r>
      <w:r w:rsidRPr="00C16083" w:rsidR="00712312">
        <w:t xml:space="preserve"> </w:t>
      </w:r>
      <w:r w:rsidRPr="00C16083" w:rsidR="008B1DCE">
        <w:t>Mr Kruglov</w:t>
      </w:r>
      <w:r w:rsidRPr="00C16083" w:rsidR="00C16083">
        <w:t>’</w:t>
      </w:r>
      <w:r w:rsidRPr="00C16083" w:rsidR="00712312">
        <w:t xml:space="preserve">s </w:t>
      </w:r>
      <w:r w:rsidRPr="00C16083" w:rsidR="001B6251">
        <w:t>parents</w:t>
      </w:r>
      <w:r w:rsidRPr="00C16083" w:rsidR="00C16083">
        <w:t>’</w:t>
      </w:r>
      <w:r w:rsidRPr="00C16083" w:rsidR="001B6251">
        <w:t xml:space="preserve"> </w:t>
      </w:r>
      <w:r w:rsidRPr="00C16083" w:rsidR="00712312">
        <w:t xml:space="preserve">residence, </w:t>
      </w:r>
      <w:r w:rsidRPr="00C16083" w:rsidR="00F96B31">
        <w:t xml:space="preserve">the </w:t>
      </w:r>
      <w:r w:rsidRPr="00C16083" w:rsidR="00712312">
        <w:t xml:space="preserve">police searched another flat where </w:t>
      </w:r>
      <w:r w:rsidRPr="00C16083" w:rsidR="008B1DCE">
        <w:t>Mr Kruglov</w:t>
      </w:r>
      <w:r w:rsidRPr="00C16083" w:rsidR="00712312">
        <w:t xml:space="preserve"> actually lived</w:t>
      </w:r>
      <w:r w:rsidRPr="00C16083" w:rsidR="00F96B31">
        <w:t>.</w:t>
      </w:r>
      <w:r w:rsidRPr="00C16083" w:rsidR="00712312">
        <w:t xml:space="preserve"> </w:t>
      </w:r>
      <w:r w:rsidRPr="00C16083" w:rsidR="00F96B31">
        <w:t xml:space="preserve">They did so under </w:t>
      </w:r>
      <w:r w:rsidRPr="00C16083" w:rsidR="00712312">
        <w:t xml:space="preserve">the “urgent procedure” without seeking a court </w:t>
      </w:r>
      <w:r w:rsidRPr="00C16083" w:rsidR="00F96B31">
        <w:t xml:space="preserve">search </w:t>
      </w:r>
      <w:r w:rsidRPr="00C16083" w:rsidR="00712312">
        <w:t>warrant in respect of that flat.</w:t>
      </w:r>
    </w:p>
    <w:bookmarkStart w:name="court_dec_manner_search_Kruglov" w:id="3"/>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9</w:t>
      </w:r>
      <w:r w:rsidRPr="00C16083">
        <w:rPr>
          <w:noProof/>
        </w:rPr>
        <w:fldChar w:fldCharType="end"/>
      </w:r>
      <w:bookmarkEnd w:id="3"/>
      <w:r w:rsidRPr="00C16083" w:rsidR="00712312">
        <w:t>.  </w:t>
      </w:r>
      <w:r w:rsidRPr="00C16083" w:rsidR="008B1DCE">
        <w:t>Mr Kruglov</w:t>
      </w:r>
      <w:r w:rsidRPr="00C16083" w:rsidR="00712312">
        <w:t xml:space="preserve"> </w:t>
      </w:r>
      <w:r w:rsidRPr="00C16083" w:rsidR="00AF406D">
        <w:t xml:space="preserve">brought proceedings </w:t>
      </w:r>
      <w:r w:rsidRPr="00C16083" w:rsidR="00712312">
        <w:t>under Article 125 of the C</w:t>
      </w:r>
      <w:r w:rsidRPr="00C16083" w:rsidR="00541393">
        <w:t xml:space="preserve">ode of </w:t>
      </w:r>
      <w:r w:rsidRPr="00C16083" w:rsidR="00712312">
        <w:t>Cr</w:t>
      </w:r>
      <w:r w:rsidRPr="00C16083" w:rsidR="00541393">
        <w:t xml:space="preserve">iminal </w:t>
      </w:r>
      <w:r w:rsidRPr="00C16083" w:rsidR="00712312">
        <w:t>P</w:t>
      </w:r>
      <w:r w:rsidRPr="00C16083" w:rsidR="00541393">
        <w:t>rocedure</w:t>
      </w:r>
      <w:r w:rsidRPr="00C16083" w:rsidR="00712312">
        <w:t xml:space="preserve"> (</w:t>
      </w:r>
      <w:r w:rsidRPr="00C16083" w:rsidR="00407737">
        <w:t xml:space="preserve">the </w:t>
      </w:r>
      <w:r w:rsidRPr="00C16083" w:rsidR="00541393">
        <w:t xml:space="preserve">“CCrP”, </w:t>
      </w:r>
      <w:r w:rsidRPr="00C16083" w:rsidR="00712312">
        <w:t xml:space="preserve">see below) </w:t>
      </w:r>
      <w:r w:rsidRPr="00C16083" w:rsidR="00AF406D">
        <w:t>alleging that the police</w:t>
      </w:r>
      <w:r w:rsidRPr="00C16083" w:rsidR="00C16083">
        <w:t>’</w:t>
      </w:r>
      <w:r w:rsidRPr="00C16083" w:rsidR="00AF406D">
        <w:t xml:space="preserve">s actions </w:t>
      </w:r>
      <w:r w:rsidRPr="00C16083" w:rsidR="00712312">
        <w:t>in respect of the search of his second flat</w:t>
      </w:r>
      <w:r w:rsidRPr="00C16083" w:rsidR="00AF406D">
        <w:t xml:space="preserve"> had been unlawful</w:t>
      </w:r>
      <w:r w:rsidRPr="00C16083" w:rsidR="00712312">
        <w:t xml:space="preserve">. </w:t>
      </w:r>
      <w:r w:rsidRPr="00C16083" w:rsidR="003465E0">
        <w:t>O</w:t>
      </w:r>
      <w:r w:rsidRPr="00C16083" w:rsidR="00712312">
        <w:t>n 28</w:t>
      </w:r>
      <w:r w:rsidRPr="00C16083" w:rsidR="001C17B6">
        <w:t> </w:t>
      </w:r>
      <w:r w:rsidRPr="00C16083" w:rsidR="00712312">
        <w:t>October 2003</w:t>
      </w:r>
      <w:r w:rsidRPr="00C16083" w:rsidR="00A3760E">
        <w:t xml:space="preserve"> </w:t>
      </w:r>
      <w:r w:rsidRPr="00C16083" w:rsidR="003465E0">
        <w:t>t</w:t>
      </w:r>
      <w:r w:rsidRPr="00C16083" w:rsidR="00A3760E">
        <w:t xml:space="preserve">he court </w:t>
      </w:r>
      <w:r w:rsidRPr="00C16083" w:rsidR="003465E0">
        <w:t xml:space="preserve">dismissed his complaint, holding </w:t>
      </w:r>
      <w:r w:rsidRPr="00C16083" w:rsidR="00A3760E">
        <w:t xml:space="preserve">that the </w:t>
      </w:r>
      <w:r w:rsidRPr="00C16083" w:rsidR="003465E0">
        <w:t xml:space="preserve">search </w:t>
      </w:r>
      <w:r w:rsidRPr="00C16083" w:rsidR="00A3760E">
        <w:t xml:space="preserve">procedure had been complied with; that the search had been based on a valid court search warrant and that there had been no information that the authorities had seized any private or professional confidential information </w:t>
      </w:r>
      <w:r w:rsidRPr="00C16083" w:rsidR="003465E0">
        <w:t xml:space="preserve">belonging to </w:t>
      </w:r>
      <w:r w:rsidRPr="00C16083" w:rsidR="008B1DCE">
        <w:t>Mr Kruglov</w:t>
      </w:r>
      <w:r w:rsidRPr="00C16083" w:rsidR="00A3760E">
        <w:t>.</w:t>
      </w:r>
    </w:p>
    <w:p w:rsidRPr="00C16083" w:rsidR="00843BB9" w:rsidP="00C16083" w:rsidRDefault="006368BA">
      <w:pPr>
        <w:pStyle w:val="JuPara"/>
      </w:pPr>
      <w:fldSimple w:instr=" SEQ level0 \*arabic ">
        <w:r w:rsidRPr="00C16083" w:rsidR="00C16083">
          <w:rPr>
            <w:noProof/>
          </w:rPr>
          <w:t>10</w:t>
        </w:r>
      </w:fldSimple>
      <w:r w:rsidRPr="00C16083" w:rsidR="00712312">
        <w:t>.  </w:t>
      </w:r>
      <w:r w:rsidRPr="00C16083" w:rsidR="008B1DCE">
        <w:t>Mr Kruglov</w:t>
      </w:r>
      <w:r w:rsidRPr="00C16083" w:rsidR="003465E0">
        <w:t xml:space="preserve"> </w:t>
      </w:r>
      <w:r w:rsidRPr="00C16083" w:rsidR="00712312">
        <w:t>appeal</w:t>
      </w:r>
      <w:r w:rsidRPr="00C16083" w:rsidR="003465E0">
        <w:t>ed</w:t>
      </w:r>
      <w:r w:rsidRPr="00C16083" w:rsidR="00712312">
        <w:t xml:space="preserve"> against the court</w:t>
      </w:r>
      <w:r w:rsidRPr="00C16083" w:rsidR="003465E0">
        <w:t xml:space="preserve"> decision </w:t>
      </w:r>
      <w:r w:rsidRPr="00C16083" w:rsidR="00712312">
        <w:t xml:space="preserve">of 20 October 2003 </w:t>
      </w:r>
      <w:r w:rsidRPr="00C16083" w:rsidR="003465E0">
        <w:t xml:space="preserve">to issue a search warrant </w:t>
      </w:r>
      <w:r w:rsidRPr="00C16083" w:rsidR="00712312">
        <w:t>and the court decision under Article 125 of the CCrP of 28 October 2003</w:t>
      </w:r>
      <w:r w:rsidRPr="00C16083" w:rsidR="003465E0">
        <w:t>. His appeals</w:t>
      </w:r>
      <w:r w:rsidRPr="00C16083" w:rsidR="00712312">
        <w:t xml:space="preserve"> were </w:t>
      </w:r>
      <w:r w:rsidRPr="00C16083" w:rsidR="00AF406D">
        <w:t xml:space="preserve">dismissed </w:t>
      </w:r>
      <w:r w:rsidRPr="00C16083" w:rsidR="00712312">
        <w:t>on 5 December 2003.</w:t>
      </w:r>
    </w:p>
    <w:p w:rsidRPr="00C16083" w:rsidR="00843BB9" w:rsidP="00C16083" w:rsidRDefault="00712312">
      <w:pPr>
        <w:pStyle w:val="JuH1"/>
      </w:pPr>
      <w:r w:rsidRPr="00C16083">
        <w:t>Application no. 32324/06, Buraga v. Russia</w:t>
      </w:r>
    </w:p>
    <w:p w:rsidRPr="00C16083" w:rsidR="00843BB9" w:rsidP="00C16083" w:rsidRDefault="006368BA">
      <w:pPr>
        <w:pStyle w:val="JuPara"/>
      </w:pPr>
      <w:fldSimple w:instr=" SEQ level0 \*arabic ">
        <w:r w:rsidRPr="00C16083" w:rsidR="00C16083">
          <w:rPr>
            <w:noProof/>
          </w:rPr>
          <w:t>11</w:t>
        </w:r>
      </w:fldSimple>
      <w:r w:rsidRPr="00C16083" w:rsidR="00712312">
        <w:t>.  </w:t>
      </w:r>
      <w:r w:rsidRPr="00C16083" w:rsidR="00DC4CAC">
        <w:t>Ms</w:t>
      </w:r>
      <w:r w:rsidRPr="00C16083" w:rsidR="008B1DCE">
        <w:t xml:space="preserve"> Buraga</w:t>
      </w:r>
      <w:r w:rsidRPr="00C16083" w:rsidR="00C16083">
        <w:t>’</w:t>
      </w:r>
      <w:r w:rsidRPr="00C16083" w:rsidR="00712312">
        <w:t>s husband was suspected of theft.</w:t>
      </w:r>
    </w:p>
    <w:bookmarkStart w:name="search_warrant_Buraga" w:id="4"/>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12</w:t>
      </w:r>
      <w:r w:rsidRPr="00C16083">
        <w:rPr>
          <w:noProof/>
        </w:rPr>
        <w:fldChar w:fldCharType="end"/>
      </w:r>
      <w:bookmarkEnd w:id="4"/>
      <w:r w:rsidRPr="00C16083" w:rsidR="00712312">
        <w:t xml:space="preserve">.  On 1 November 2005 the Verkh-Isetskiy District Court </w:t>
      </w:r>
      <w:r w:rsidRPr="00C16083" w:rsidR="009646EB">
        <w:t>of Yekaterinburg</w:t>
      </w:r>
      <w:r w:rsidRPr="00C16083" w:rsidR="00003E5C">
        <w:t xml:space="preserve"> authorised </w:t>
      </w:r>
      <w:r w:rsidRPr="00C16083" w:rsidR="00E814BB">
        <w:t xml:space="preserve">a </w:t>
      </w:r>
      <w:r w:rsidRPr="00C16083" w:rsidR="00003E5C">
        <w:t xml:space="preserve">search </w:t>
      </w:r>
      <w:r w:rsidRPr="00C16083" w:rsidR="00E814BB">
        <w:t xml:space="preserve">of </w:t>
      </w:r>
      <w:r w:rsidRPr="00C16083" w:rsidR="00DC4CAC">
        <w:t>Ms</w:t>
      </w:r>
      <w:r w:rsidRPr="00C16083" w:rsidR="008B1DCE">
        <w:t xml:space="preserve"> Buraga</w:t>
      </w:r>
      <w:r w:rsidRPr="00C16083" w:rsidR="00C16083">
        <w:t>’</w:t>
      </w:r>
      <w:r w:rsidRPr="00C16083" w:rsidR="00003E5C">
        <w:t xml:space="preserve">s flat. It held that based on the submitted material there </w:t>
      </w:r>
      <w:r w:rsidRPr="00C16083" w:rsidR="00E814BB">
        <w:t xml:space="preserve">were </w:t>
      </w:r>
      <w:r w:rsidRPr="00C16083" w:rsidR="00003E5C">
        <w:t xml:space="preserve">sufficient grounds to believe that documents relevant to the criminal case might be located at </w:t>
      </w:r>
      <w:r w:rsidRPr="00C16083" w:rsidR="00DC4CAC">
        <w:t>Ms</w:t>
      </w:r>
      <w:r w:rsidRPr="00C16083" w:rsidR="008B1DCE">
        <w:t xml:space="preserve"> Buraga</w:t>
      </w:r>
      <w:r w:rsidRPr="00C16083" w:rsidR="00C16083">
        <w:t>’</w:t>
      </w:r>
      <w:r w:rsidRPr="00C16083" w:rsidR="00003E5C">
        <w:t>s home.</w:t>
      </w:r>
    </w:p>
    <w:p w:rsidRPr="00C16083" w:rsidR="00843BB9" w:rsidP="00C16083" w:rsidRDefault="006368BA">
      <w:pPr>
        <w:pStyle w:val="JuPara"/>
      </w:pPr>
      <w:fldSimple w:instr=" SEQ level0 \*arabic ">
        <w:r w:rsidRPr="00C16083" w:rsidR="00C16083">
          <w:rPr>
            <w:noProof/>
          </w:rPr>
          <w:t>13</w:t>
        </w:r>
      </w:fldSimple>
      <w:r w:rsidRPr="00C16083" w:rsidR="00712312">
        <w:t>.  </w:t>
      </w:r>
      <w:r w:rsidRPr="00C16083" w:rsidR="001C17B6">
        <w:t>The search was performed</w:t>
      </w:r>
      <w:r w:rsidRPr="00C16083" w:rsidR="00712312">
        <w:t xml:space="preserve"> on 22 November 2005. </w:t>
      </w:r>
      <w:r w:rsidRPr="00C16083" w:rsidR="006647A8">
        <w:t>During the search</w:t>
      </w:r>
      <w:r w:rsidRPr="00C16083" w:rsidR="00E814BB">
        <w:t>,</w:t>
      </w:r>
      <w:r w:rsidRPr="00C16083" w:rsidR="006647A8">
        <w:t xml:space="preserve"> </w:t>
      </w:r>
      <w:r w:rsidRPr="00C16083" w:rsidR="00E814BB">
        <w:t xml:space="preserve">the </w:t>
      </w:r>
      <w:r w:rsidRPr="00C16083" w:rsidR="006647A8">
        <w:t>police seized two computer</w:t>
      </w:r>
      <w:r w:rsidRPr="00C16083" w:rsidR="001E2293">
        <w:t xml:space="preserve"> </w:t>
      </w:r>
      <w:r w:rsidRPr="00C16083" w:rsidR="00354ABB">
        <w:t xml:space="preserve">central processing </w:t>
      </w:r>
      <w:r w:rsidRPr="00C16083" w:rsidR="001E2293">
        <w:t>units</w:t>
      </w:r>
      <w:r w:rsidRPr="00C16083" w:rsidR="006647A8">
        <w:t xml:space="preserve">, </w:t>
      </w:r>
      <w:r w:rsidRPr="00C16083" w:rsidR="001E2293">
        <w:t xml:space="preserve">two </w:t>
      </w:r>
      <w:r w:rsidRPr="00C16083" w:rsidR="006647A8">
        <w:t>mobile</w:t>
      </w:r>
      <w:r w:rsidRPr="00C16083" w:rsidR="00E814BB">
        <w:t xml:space="preserve"> phone</w:t>
      </w:r>
      <w:r w:rsidRPr="00C16083" w:rsidR="006647A8">
        <w:t>s</w:t>
      </w:r>
      <w:r w:rsidRPr="00C16083" w:rsidR="00991505">
        <w:t xml:space="preserve">, a </w:t>
      </w:r>
      <w:r w:rsidRPr="00C16083" w:rsidR="00E814BB">
        <w:t>compact disc</w:t>
      </w:r>
      <w:r w:rsidRPr="00C16083" w:rsidR="006647A8">
        <w:t xml:space="preserve"> and a </w:t>
      </w:r>
      <w:r w:rsidRPr="00C16083" w:rsidR="00E814BB">
        <w:t xml:space="preserve">red </w:t>
      </w:r>
      <w:r w:rsidRPr="00C16083" w:rsidR="006647A8">
        <w:t xml:space="preserve">file </w:t>
      </w:r>
      <w:r w:rsidRPr="00C16083" w:rsidR="00E814BB">
        <w:t xml:space="preserve">containing </w:t>
      </w:r>
      <w:r w:rsidRPr="00C16083" w:rsidR="006647A8">
        <w:t>some documents</w:t>
      </w:r>
      <w:r w:rsidRPr="00C16083" w:rsidR="00E814BB">
        <w:t>, all belonging to Ms Buraga</w:t>
      </w:r>
      <w:r w:rsidRPr="00C16083" w:rsidR="006647A8">
        <w:t xml:space="preserve">. </w:t>
      </w:r>
      <w:r w:rsidRPr="00C16083" w:rsidR="00960F87">
        <w:t>A</w:t>
      </w:r>
      <w:r w:rsidRPr="00C16083" w:rsidR="00B44637">
        <w:t>n expert examined the content of the seized computer units on 24 November 2005.</w:t>
      </w:r>
    </w:p>
    <w:p w:rsidRPr="00C16083" w:rsidR="00843BB9" w:rsidP="00C16083" w:rsidRDefault="006368BA">
      <w:pPr>
        <w:pStyle w:val="JuPara"/>
      </w:pPr>
      <w:fldSimple w:instr=" SEQ level0 \*arabic ">
        <w:r w:rsidRPr="00C16083" w:rsidR="00C16083">
          <w:rPr>
            <w:noProof/>
          </w:rPr>
          <w:t>14</w:t>
        </w:r>
      </w:fldSimple>
      <w:r w:rsidRPr="00C16083" w:rsidR="00EC364F">
        <w:t>.  </w:t>
      </w:r>
      <w:r w:rsidRPr="00C16083" w:rsidR="00E14977">
        <w:t xml:space="preserve">On 30 November 2005 </w:t>
      </w:r>
      <w:r w:rsidRPr="00C16083" w:rsidR="00DC4CAC">
        <w:t>Ms</w:t>
      </w:r>
      <w:r w:rsidRPr="00C16083" w:rsidR="008B1DCE">
        <w:t xml:space="preserve"> Buraga</w:t>
      </w:r>
      <w:r w:rsidRPr="00C16083" w:rsidR="00E14977">
        <w:t xml:space="preserve"> </w:t>
      </w:r>
      <w:r w:rsidRPr="00C16083" w:rsidR="00E814BB">
        <w:t xml:space="preserve">asked </w:t>
      </w:r>
      <w:r w:rsidRPr="00C16083" w:rsidR="00A76D0D">
        <w:t>the investigator to return the objects seized during the search of her flat</w:t>
      </w:r>
      <w:r w:rsidRPr="00C16083" w:rsidR="00E814BB">
        <w:t>,</w:t>
      </w:r>
      <w:r w:rsidRPr="00C16083" w:rsidR="00A76D0D">
        <w:t xml:space="preserve"> as she used them for her professional activities </w:t>
      </w:r>
      <w:r w:rsidRPr="00C16083" w:rsidR="00D14E1F">
        <w:t xml:space="preserve">as </w:t>
      </w:r>
      <w:r w:rsidRPr="00C16083" w:rsidR="00A76D0D">
        <w:t xml:space="preserve">an advocate. On 5 December 2005 the investigator replied that the seized objects would be returned </w:t>
      </w:r>
      <w:r w:rsidRPr="00C16083" w:rsidR="00E814BB">
        <w:t xml:space="preserve">once </w:t>
      </w:r>
      <w:r w:rsidRPr="00C16083" w:rsidR="00A76D0D">
        <w:t>the investigating authorities no longer need</w:t>
      </w:r>
      <w:r w:rsidRPr="00C16083" w:rsidR="00C11880">
        <w:t>ed</w:t>
      </w:r>
      <w:r w:rsidRPr="00C16083" w:rsidR="00A76D0D">
        <w:t xml:space="preserve"> them.</w:t>
      </w:r>
      <w:r w:rsidRPr="00C16083" w:rsidR="00E14977">
        <w:t xml:space="preserve"> </w:t>
      </w:r>
      <w:r w:rsidRPr="00C16083" w:rsidR="001E2293">
        <w:t xml:space="preserve">On 13 December 2005 the vice-president of </w:t>
      </w:r>
      <w:r w:rsidRPr="00C16083" w:rsidR="00E814BB">
        <w:t xml:space="preserve">the Bar of which </w:t>
      </w:r>
      <w:r w:rsidRPr="00C16083" w:rsidR="00DC4CAC">
        <w:t>Ms</w:t>
      </w:r>
      <w:r w:rsidRPr="00C16083" w:rsidR="008B1DCE">
        <w:t xml:space="preserve"> Buraga</w:t>
      </w:r>
      <w:r w:rsidRPr="00C16083" w:rsidR="00E814BB">
        <w:t xml:space="preserve"> was a member</w:t>
      </w:r>
      <w:r w:rsidRPr="00C16083" w:rsidR="001E2293">
        <w:t xml:space="preserve"> </w:t>
      </w:r>
      <w:r w:rsidRPr="00C16083" w:rsidR="00E814BB">
        <w:t xml:space="preserve">asked </w:t>
      </w:r>
      <w:r w:rsidRPr="00C16083" w:rsidR="001E2293">
        <w:t xml:space="preserve">the investigating authorities to return material </w:t>
      </w:r>
      <w:r w:rsidRPr="00C16083" w:rsidR="00D14E1F">
        <w:t xml:space="preserve">covered by professional legal privilege which had been </w:t>
      </w:r>
      <w:r w:rsidRPr="00C16083" w:rsidR="001E2293">
        <w:t>seized during the search.</w:t>
      </w:r>
    </w:p>
    <w:p w:rsidRPr="00C16083" w:rsidR="00843BB9" w:rsidP="00C16083" w:rsidRDefault="006368BA">
      <w:pPr>
        <w:pStyle w:val="JuPara"/>
      </w:pPr>
      <w:fldSimple w:instr=" SEQ level0 \*arabic ">
        <w:r w:rsidRPr="00C16083" w:rsidR="00C16083">
          <w:rPr>
            <w:noProof/>
          </w:rPr>
          <w:t>15</w:t>
        </w:r>
      </w:fldSimple>
      <w:r w:rsidRPr="00C16083" w:rsidR="00B44637">
        <w:t>.  On 19 December 2005</w:t>
      </w:r>
      <w:r w:rsidRPr="00C16083" w:rsidR="007713EE">
        <w:t xml:space="preserve"> </w:t>
      </w:r>
      <w:r w:rsidRPr="00C16083" w:rsidR="006870BA">
        <w:t xml:space="preserve">the </w:t>
      </w:r>
      <w:r w:rsidRPr="00C16083" w:rsidR="007713EE">
        <w:t>two computer units and mobile</w:t>
      </w:r>
      <w:r w:rsidRPr="00C16083" w:rsidR="00E814BB">
        <w:t xml:space="preserve"> phones</w:t>
      </w:r>
      <w:r w:rsidRPr="00C16083" w:rsidR="007713EE">
        <w:t xml:space="preserve"> were</w:t>
      </w:r>
      <w:r w:rsidRPr="00C16083" w:rsidR="00B44637">
        <w:t xml:space="preserve"> </w:t>
      </w:r>
      <w:r w:rsidRPr="00C16083" w:rsidR="007713EE">
        <w:t xml:space="preserve">returned to </w:t>
      </w:r>
      <w:r w:rsidRPr="00C16083" w:rsidR="00DC4CAC">
        <w:t>Ms</w:t>
      </w:r>
      <w:r w:rsidRPr="00C16083" w:rsidR="008B1DCE">
        <w:t xml:space="preserve"> Buraga</w:t>
      </w:r>
      <w:r w:rsidRPr="00C16083" w:rsidR="007713EE">
        <w:t>. The remainder of the seized objects was</w:t>
      </w:r>
      <w:r w:rsidRPr="00C16083" w:rsidR="006647A8">
        <w:t xml:space="preserve"> joined to the criminal case.</w:t>
      </w:r>
    </w:p>
    <w:p w:rsidRPr="00C16083" w:rsidR="00843BB9" w:rsidP="00C16083" w:rsidRDefault="006368BA">
      <w:pPr>
        <w:pStyle w:val="JuPara"/>
      </w:pPr>
      <w:fldSimple w:instr=" SEQ level0 \*arabic ">
        <w:r w:rsidRPr="00C16083" w:rsidR="00C16083">
          <w:rPr>
            <w:noProof/>
          </w:rPr>
          <w:t>16</w:t>
        </w:r>
      </w:fldSimple>
      <w:r w:rsidRPr="00C16083" w:rsidR="006647A8">
        <w:t>.  </w:t>
      </w:r>
      <w:r w:rsidRPr="00C16083" w:rsidR="003A0F43">
        <w:t>Meanwhile</w:t>
      </w:r>
      <w:r w:rsidRPr="00C16083" w:rsidR="00E814BB">
        <w:t>,</w:t>
      </w:r>
      <w:r w:rsidRPr="00C16083" w:rsidR="003A0F43">
        <w:t xml:space="preserve"> </w:t>
      </w:r>
      <w:r w:rsidRPr="00C16083" w:rsidR="00DC4CAC">
        <w:t>Ms</w:t>
      </w:r>
      <w:r w:rsidRPr="00C16083" w:rsidR="008B1DCE">
        <w:t xml:space="preserve"> Buraga</w:t>
      </w:r>
      <w:r w:rsidRPr="00C16083" w:rsidR="00EC364F">
        <w:t xml:space="preserve"> </w:t>
      </w:r>
      <w:r w:rsidRPr="00C16083" w:rsidR="00712312">
        <w:t>appeal</w:t>
      </w:r>
      <w:r w:rsidRPr="00C16083" w:rsidR="00EC364F">
        <w:t>ed</w:t>
      </w:r>
      <w:r w:rsidRPr="00C16083" w:rsidR="00712312">
        <w:t xml:space="preserve"> against the court </w:t>
      </w:r>
      <w:r w:rsidRPr="00C16083" w:rsidR="00E814BB">
        <w:t xml:space="preserve">decision to issue a </w:t>
      </w:r>
      <w:r w:rsidRPr="00C16083" w:rsidR="00712312">
        <w:t>search warrant</w:t>
      </w:r>
      <w:r w:rsidRPr="00C16083" w:rsidR="00EC364F">
        <w:t xml:space="preserve"> of 1 November 2005. She</w:t>
      </w:r>
      <w:r w:rsidRPr="00C16083" w:rsidR="00E814BB">
        <w:t xml:space="preserve"> argued</w:t>
      </w:r>
      <w:r w:rsidRPr="00C16083" w:rsidR="00EC364F">
        <w:t xml:space="preserve">, in particular, that the </w:t>
      </w:r>
      <w:r w:rsidRPr="00C16083" w:rsidR="00E814BB">
        <w:t xml:space="preserve">court </w:t>
      </w:r>
      <w:r w:rsidRPr="00C16083" w:rsidR="00EC364F">
        <w:t xml:space="preserve">had not taken into account that the flat belonged to her and </w:t>
      </w:r>
      <w:r w:rsidRPr="00C16083" w:rsidR="00114292">
        <w:t xml:space="preserve">that </w:t>
      </w:r>
      <w:r w:rsidRPr="00C16083" w:rsidR="00EC364F">
        <w:t xml:space="preserve">she was a lawyer admitted to </w:t>
      </w:r>
      <w:r w:rsidRPr="00C16083" w:rsidR="00E814BB">
        <w:t>the</w:t>
      </w:r>
      <w:r w:rsidRPr="00C16083" w:rsidR="00EC364F">
        <w:t xml:space="preserve"> Bar,</w:t>
      </w:r>
      <w:r w:rsidRPr="00C16083" w:rsidR="006870BA">
        <w:t xml:space="preserve"> </w:t>
      </w:r>
      <w:r w:rsidRPr="00C16083" w:rsidR="00693008">
        <w:t>with the result that</w:t>
      </w:r>
      <w:r w:rsidRPr="00C16083" w:rsidR="00EC364F">
        <w:t xml:space="preserve"> information</w:t>
      </w:r>
      <w:r w:rsidRPr="00C16083" w:rsidR="00FB1EAA">
        <w:t xml:space="preserve"> </w:t>
      </w:r>
      <w:r w:rsidRPr="00C16083" w:rsidR="00FB5EDD">
        <w:t xml:space="preserve">covered by </w:t>
      </w:r>
      <w:r w:rsidRPr="00C16083" w:rsidR="00114292">
        <w:t xml:space="preserve">professional </w:t>
      </w:r>
      <w:r w:rsidRPr="00C16083" w:rsidR="00FB5EDD">
        <w:t xml:space="preserve">legal privilege </w:t>
      </w:r>
      <w:r w:rsidRPr="00C16083" w:rsidR="00FB1EAA">
        <w:t>had been seized</w:t>
      </w:r>
      <w:r w:rsidRPr="00C16083" w:rsidR="00EC364F">
        <w:t>.</w:t>
      </w:r>
      <w:r w:rsidRPr="00C16083" w:rsidR="00712312">
        <w:t xml:space="preserve"> </w:t>
      </w:r>
      <w:r w:rsidRPr="00C16083" w:rsidR="00EC364F">
        <w:t>O</w:t>
      </w:r>
      <w:r w:rsidRPr="00C16083" w:rsidR="00712312">
        <w:t>n 23 December 2005</w:t>
      </w:r>
      <w:r w:rsidRPr="00C16083" w:rsidR="00EC364F">
        <w:t xml:space="preserve"> the Sverdlovsk Regional Court </w:t>
      </w:r>
      <w:r w:rsidRPr="00C16083" w:rsidR="006870BA">
        <w:t xml:space="preserve">dismissed </w:t>
      </w:r>
      <w:r w:rsidRPr="00C16083" w:rsidR="00EC364F">
        <w:t xml:space="preserve">the </w:t>
      </w:r>
      <w:r w:rsidRPr="00C16083" w:rsidR="006870BA">
        <w:t xml:space="preserve">appeal </w:t>
      </w:r>
      <w:r w:rsidRPr="00C16083" w:rsidR="00EC364F">
        <w:t>on the ground</w:t>
      </w:r>
      <w:r w:rsidRPr="00C16083" w:rsidR="00FB1EAA">
        <w:t>s</w:t>
      </w:r>
      <w:r w:rsidRPr="00C16083" w:rsidR="00EC364F">
        <w:t xml:space="preserve"> that </w:t>
      </w:r>
      <w:r w:rsidRPr="00C16083" w:rsidR="00DC4CAC">
        <w:t>Ms</w:t>
      </w:r>
      <w:r w:rsidRPr="00C16083" w:rsidR="00396146">
        <w:t> </w:t>
      </w:r>
      <w:r w:rsidRPr="00C16083" w:rsidR="008B1DCE">
        <w:t>Buraga</w:t>
      </w:r>
      <w:r w:rsidRPr="00C16083" w:rsidR="00EC364F">
        <w:t xml:space="preserve"> had not proved that she had been using her flat for </w:t>
      </w:r>
      <w:r w:rsidRPr="00C16083" w:rsidR="00B44637">
        <w:t>professional activities</w:t>
      </w:r>
      <w:r w:rsidRPr="00C16083" w:rsidR="00712312">
        <w:t>.</w:t>
      </w:r>
    </w:p>
    <w:bookmarkStart w:name="Buraga_lawyer_refused" w:id="5"/>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17</w:t>
      </w:r>
      <w:r w:rsidRPr="00C16083">
        <w:rPr>
          <w:noProof/>
        </w:rPr>
        <w:fldChar w:fldCharType="end"/>
      </w:r>
      <w:bookmarkEnd w:id="5"/>
      <w:r w:rsidRPr="00C16083" w:rsidR="00712312">
        <w:t>.  </w:t>
      </w:r>
      <w:r w:rsidRPr="00C16083" w:rsidR="00DC4CAC">
        <w:t>Ms</w:t>
      </w:r>
      <w:r w:rsidRPr="00C16083" w:rsidR="008B1DCE">
        <w:t xml:space="preserve"> Buraga</w:t>
      </w:r>
      <w:r w:rsidRPr="00C16083" w:rsidR="00712312">
        <w:t xml:space="preserve"> also </w:t>
      </w:r>
      <w:r w:rsidRPr="00C16083" w:rsidR="009276F1">
        <w:t xml:space="preserve">brought proceedings </w:t>
      </w:r>
      <w:r w:rsidRPr="00C16083" w:rsidR="00712312">
        <w:t>under Article 125 of the CCrP</w:t>
      </w:r>
      <w:r w:rsidRPr="00C16083" w:rsidR="009276F1">
        <w:t>, complaining</w:t>
      </w:r>
      <w:r w:rsidRPr="00C16083" w:rsidR="00B44637">
        <w:t xml:space="preserve"> about </w:t>
      </w:r>
      <w:r w:rsidRPr="00C16083" w:rsidR="00FB1EAA">
        <w:t xml:space="preserve">the </w:t>
      </w:r>
      <w:r w:rsidRPr="00C16083" w:rsidR="00B44637">
        <w:t>police</w:t>
      </w:r>
      <w:r w:rsidRPr="00C16083" w:rsidR="00C16083">
        <w:t>’</w:t>
      </w:r>
      <w:r w:rsidRPr="00C16083" w:rsidR="00FB1EAA">
        <w:t>s</w:t>
      </w:r>
      <w:r w:rsidRPr="00C16083" w:rsidR="00B44637">
        <w:t xml:space="preserve"> actions </w:t>
      </w:r>
      <w:r w:rsidRPr="00C16083" w:rsidR="00FB1EAA">
        <w:t xml:space="preserve">when carrying out </w:t>
      </w:r>
      <w:r w:rsidRPr="00C16083" w:rsidR="00B44637">
        <w:t>the search</w:t>
      </w:r>
      <w:r w:rsidRPr="00C16083" w:rsidR="00712312">
        <w:t>. She argued, among other</w:t>
      </w:r>
      <w:r w:rsidRPr="00C16083" w:rsidR="00FB1EAA">
        <w:t xml:space="preserve"> thing</w:t>
      </w:r>
      <w:r w:rsidRPr="00C16083" w:rsidR="00712312">
        <w:t>s, that upon learning that she was an advocate</w:t>
      </w:r>
      <w:r w:rsidRPr="00C16083" w:rsidR="00FB1EAA">
        <w:t>,</w:t>
      </w:r>
      <w:r w:rsidRPr="00C16083" w:rsidR="00712312">
        <w:t xml:space="preserve"> </w:t>
      </w:r>
      <w:r w:rsidRPr="00C16083" w:rsidR="005F667F">
        <w:t xml:space="preserve">the </w:t>
      </w:r>
      <w:r w:rsidRPr="00C16083" w:rsidR="00712312">
        <w:t>police should have stopped the search.</w:t>
      </w:r>
      <w:r w:rsidRPr="00C16083" w:rsidR="001E2293">
        <w:t xml:space="preserve"> </w:t>
      </w:r>
      <w:r w:rsidRPr="00C16083" w:rsidR="00DC4CAC">
        <w:t>Ms</w:t>
      </w:r>
      <w:r w:rsidRPr="00C16083" w:rsidR="008B1DCE">
        <w:t xml:space="preserve"> Buraga</w:t>
      </w:r>
      <w:r w:rsidRPr="00C16083" w:rsidR="001E2293">
        <w:t xml:space="preserve"> </w:t>
      </w:r>
      <w:r w:rsidRPr="00C16083" w:rsidR="00960F87">
        <w:t xml:space="preserve">further </w:t>
      </w:r>
      <w:r w:rsidRPr="00C16083" w:rsidR="001E2293">
        <w:t xml:space="preserve">complained </w:t>
      </w:r>
      <w:r w:rsidRPr="00C16083" w:rsidR="005F667F">
        <w:t xml:space="preserve">of </w:t>
      </w:r>
      <w:r w:rsidRPr="00C16083" w:rsidR="001E2293">
        <w:t xml:space="preserve">the unlawful seizure of her computer </w:t>
      </w:r>
      <w:r w:rsidRPr="00C16083" w:rsidR="00FB5EDD">
        <w:t xml:space="preserve">processing </w:t>
      </w:r>
      <w:r w:rsidRPr="00C16083" w:rsidR="001E2293">
        <w:t>units and documents</w:t>
      </w:r>
      <w:r w:rsidRPr="00C16083" w:rsidR="005F667F">
        <w:t>,</w:t>
      </w:r>
      <w:r w:rsidRPr="00C16083" w:rsidR="001E2293">
        <w:t xml:space="preserve"> which contained legally privileged information </w:t>
      </w:r>
      <w:r w:rsidRPr="00C16083" w:rsidR="00FB5EDD">
        <w:t xml:space="preserve">concerning </w:t>
      </w:r>
      <w:r w:rsidRPr="00C16083" w:rsidR="001E2293">
        <w:t>her clients.</w:t>
      </w:r>
      <w:r w:rsidRPr="00C16083" w:rsidR="00712312">
        <w:t xml:space="preserve"> </w:t>
      </w:r>
      <w:r w:rsidRPr="00C16083" w:rsidR="001E2293">
        <w:t xml:space="preserve">She also complained that </w:t>
      </w:r>
      <w:r w:rsidRPr="00C16083" w:rsidR="005F667F">
        <w:t xml:space="preserve">the </w:t>
      </w:r>
      <w:r w:rsidRPr="00C16083" w:rsidR="001E2293">
        <w:t xml:space="preserve">police had refused to permit her lawyer to assist her during the search. </w:t>
      </w:r>
      <w:r w:rsidRPr="00C16083" w:rsidR="00712312">
        <w:t>The court decisions on that complaint were quashed on two occasions, and on 3</w:t>
      </w:r>
      <w:r w:rsidRPr="00C16083" w:rsidR="001E2293">
        <w:t> </w:t>
      </w:r>
      <w:r w:rsidRPr="00C16083" w:rsidR="00712312">
        <w:t xml:space="preserve">February 2009 </w:t>
      </w:r>
      <w:r w:rsidRPr="00C16083" w:rsidR="00E44F51">
        <w:t>her complaint was eventually dismissed.</w:t>
      </w:r>
      <w:r w:rsidRPr="00C16083" w:rsidR="00EC7AEB">
        <w:t xml:space="preserve"> The court established that the search had been lawful and well</w:t>
      </w:r>
      <w:r w:rsidRPr="00C16083" w:rsidR="00396146">
        <w:noBreakHyphen/>
      </w:r>
      <w:r w:rsidRPr="00C16083" w:rsidR="00EC7AEB">
        <w:t xml:space="preserve">founded; it had been based on a valid court search </w:t>
      </w:r>
      <w:r w:rsidRPr="00C16083" w:rsidR="005F667F">
        <w:t>warrant</w:t>
      </w:r>
      <w:r w:rsidRPr="00C16083" w:rsidR="00FB5EDD">
        <w:t>,</w:t>
      </w:r>
      <w:r w:rsidRPr="00C16083" w:rsidR="005F667F">
        <w:t xml:space="preserve"> </w:t>
      </w:r>
      <w:r w:rsidRPr="00C16083" w:rsidR="00EC7AEB">
        <w:t xml:space="preserve">which had been issued not in respect of </w:t>
      </w:r>
      <w:r w:rsidRPr="00C16083" w:rsidR="00DC4CAC">
        <w:t>Ms</w:t>
      </w:r>
      <w:r w:rsidRPr="00C16083" w:rsidR="008B1DCE">
        <w:t xml:space="preserve"> Buraga</w:t>
      </w:r>
      <w:r w:rsidRPr="00C16083" w:rsidR="00EC7AEB">
        <w:t xml:space="preserve">, but </w:t>
      </w:r>
      <w:r w:rsidRPr="00C16083" w:rsidR="005F667F">
        <w:t xml:space="preserve">in respect of </w:t>
      </w:r>
      <w:r w:rsidRPr="00C16083" w:rsidR="00EC7AEB">
        <w:t xml:space="preserve">her husband; </w:t>
      </w:r>
      <w:r w:rsidRPr="00C16083" w:rsidR="00DC4CAC">
        <w:t>Ms</w:t>
      </w:r>
      <w:r w:rsidRPr="00C16083" w:rsidR="0044460D">
        <w:t> </w:t>
      </w:r>
      <w:r w:rsidRPr="00C16083" w:rsidR="008B1DCE">
        <w:t>Buraga</w:t>
      </w:r>
      <w:r w:rsidRPr="00C16083" w:rsidR="00EC7AEB">
        <w:t xml:space="preserve"> had not </w:t>
      </w:r>
      <w:r w:rsidRPr="00C16083" w:rsidR="005F667F">
        <w:t xml:space="preserve">mentioned </w:t>
      </w:r>
      <w:r w:rsidRPr="00C16083" w:rsidR="00EC7AEB">
        <w:t xml:space="preserve">her status </w:t>
      </w:r>
      <w:r w:rsidRPr="00C16083" w:rsidR="00AF085A">
        <w:t xml:space="preserve">as </w:t>
      </w:r>
      <w:r w:rsidRPr="00C16083" w:rsidR="00FB5EDD">
        <w:t xml:space="preserve">an advocate </w:t>
      </w:r>
      <w:r w:rsidRPr="00C16083" w:rsidR="00EC7AEB">
        <w:t xml:space="preserve">in the search record; there had been no information that any legally privileged material had been seized; and her </w:t>
      </w:r>
      <w:r w:rsidRPr="00C16083" w:rsidR="005F667F">
        <w:t xml:space="preserve">lawyer, Mr </w:t>
      </w:r>
      <w:r w:rsidRPr="00C16083" w:rsidR="00EC7AEB">
        <w:t>K.</w:t>
      </w:r>
      <w:r w:rsidRPr="00C16083" w:rsidR="005F667F">
        <w:t>,</w:t>
      </w:r>
      <w:r w:rsidRPr="00C16083" w:rsidR="00EC7AEB">
        <w:t xml:space="preserve"> had not been allowed to attend the search because by the </w:t>
      </w:r>
      <w:r w:rsidRPr="00C16083" w:rsidR="005F667F">
        <w:t xml:space="preserve">time he had arrived, </w:t>
      </w:r>
      <w:r w:rsidRPr="00C16083" w:rsidR="00EC7AEB">
        <w:t>the search had already begun.</w:t>
      </w:r>
    </w:p>
    <w:p w:rsidRPr="00C16083" w:rsidR="00843BB9" w:rsidP="00C16083" w:rsidRDefault="006368BA">
      <w:pPr>
        <w:pStyle w:val="JuPara"/>
      </w:pPr>
      <w:fldSimple w:instr=" SEQ level0 \*arabic ">
        <w:r w:rsidRPr="00C16083" w:rsidR="00C16083">
          <w:rPr>
            <w:noProof/>
          </w:rPr>
          <w:t>18</w:t>
        </w:r>
      </w:fldSimple>
      <w:r w:rsidRPr="00C16083" w:rsidR="00712312">
        <w:t>.  The court decision of 3 February 2005 was upheld on appeal on 6 March 2005.</w:t>
      </w:r>
    </w:p>
    <w:p w:rsidRPr="00C16083" w:rsidR="00843BB9" w:rsidP="00C16083" w:rsidRDefault="00712312">
      <w:pPr>
        <w:pStyle w:val="JuH1"/>
      </w:pPr>
      <w:r w:rsidRPr="00C16083">
        <w:t>Application no. 26067/08, Belinskaya v. Russia</w:t>
      </w:r>
    </w:p>
    <w:p w:rsidRPr="00C16083" w:rsidR="00843BB9" w:rsidP="00C16083" w:rsidRDefault="006368BA">
      <w:pPr>
        <w:pStyle w:val="JuPara"/>
      </w:pPr>
      <w:fldSimple w:instr=" SEQ level0 \*arabic ">
        <w:r w:rsidRPr="00C16083" w:rsidR="00C16083">
          <w:rPr>
            <w:noProof/>
          </w:rPr>
          <w:t>19</w:t>
        </w:r>
      </w:fldSimple>
      <w:r w:rsidRPr="00C16083" w:rsidR="00712312">
        <w:t>.  Mr L.</w:t>
      </w:r>
      <w:r w:rsidRPr="00C16083" w:rsidR="000E65F8">
        <w:t>,</w:t>
      </w:r>
      <w:r w:rsidRPr="00C16083" w:rsidR="00712312">
        <w:t xml:space="preserve"> who resided with </w:t>
      </w:r>
      <w:r w:rsidRPr="00C16083" w:rsidR="00DC4CAC">
        <w:t>Ms</w:t>
      </w:r>
      <w:r w:rsidRPr="00C16083" w:rsidR="008B1DCE">
        <w:t xml:space="preserve"> Belinskaya</w:t>
      </w:r>
      <w:r w:rsidRPr="00C16083" w:rsidR="00712312">
        <w:t xml:space="preserve"> in her flat, was suspected of drug dealing.</w:t>
      </w:r>
    </w:p>
    <w:bookmarkStart w:name="search_warrant_Belinskaya" w:id="6"/>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20</w:t>
      </w:r>
      <w:r w:rsidRPr="00C16083">
        <w:rPr>
          <w:noProof/>
        </w:rPr>
        <w:fldChar w:fldCharType="end"/>
      </w:r>
      <w:bookmarkEnd w:id="6"/>
      <w:r w:rsidRPr="00C16083" w:rsidR="00712312">
        <w:t xml:space="preserve">.  On 26 July 2006 the Vyborgskiy District Court of St Petersburg </w:t>
      </w:r>
      <w:r w:rsidRPr="00C16083" w:rsidR="00302914">
        <w:t xml:space="preserve">authorised </w:t>
      </w:r>
      <w:r w:rsidRPr="00C16083" w:rsidR="000E65F8">
        <w:t xml:space="preserve">a </w:t>
      </w:r>
      <w:r w:rsidRPr="00C16083" w:rsidR="00302914">
        <w:t xml:space="preserve">search </w:t>
      </w:r>
      <w:r w:rsidRPr="00C16083" w:rsidR="000E65F8">
        <w:t xml:space="preserve">of </w:t>
      </w:r>
      <w:r w:rsidRPr="00C16083" w:rsidR="00DC4CAC">
        <w:t>Ms</w:t>
      </w:r>
      <w:r w:rsidRPr="00C16083" w:rsidR="008B1DCE">
        <w:t xml:space="preserve"> Belinskaya</w:t>
      </w:r>
      <w:r w:rsidRPr="00C16083" w:rsidR="00C16083">
        <w:t>’</w:t>
      </w:r>
      <w:r w:rsidRPr="00C16083" w:rsidR="00302914">
        <w:t xml:space="preserve">s flat. It held that </w:t>
      </w:r>
      <w:r w:rsidRPr="00C16083" w:rsidR="000E65F8">
        <w:t xml:space="preserve">since </w:t>
      </w:r>
      <w:r w:rsidRPr="00C16083" w:rsidR="00302914">
        <w:t>L. resided in that flat</w:t>
      </w:r>
      <w:r w:rsidRPr="00C16083" w:rsidR="000E65F8">
        <w:t>,</w:t>
      </w:r>
      <w:r w:rsidRPr="00C16083" w:rsidR="00302914">
        <w:t xml:space="preserve"> objects and documents which could be used as evidence and to identify the perpetrator(s) of </w:t>
      </w:r>
      <w:r w:rsidRPr="00C16083" w:rsidR="000E65F8">
        <w:t xml:space="preserve">the </w:t>
      </w:r>
      <w:r w:rsidRPr="00C16083" w:rsidR="00302914">
        <w:t>offence could be located there.</w:t>
      </w:r>
    </w:p>
    <w:bookmarkStart w:name="court_dec_manner_search_Belinskaya" w:id="7"/>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21</w:t>
      </w:r>
      <w:r w:rsidRPr="00C16083">
        <w:rPr>
          <w:noProof/>
        </w:rPr>
        <w:fldChar w:fldCharType="end"/>
      </w:r>
      <w:bookmarkEnd w:id="7"/>
      <w:r w:rsidRPr="00C16083" w:rsidR="00712312">
        <w:t xml:space="preserve">.  On 30 March 2007 </w:t>
      </w:r>
      <w:r w:rsidRPr="00C16083" w:rsidR="00DC4CAC">
        <w:t>Ms</w:t>
      </w:r>
      <w:r w:rsidRPr="00C16083" w:rsidR="008B1DCE">
        <w:t xml:space="preserve"> Belinskaya</w:t>
      </w:r>
      <w:r w:rsidRPr="00C16083" w:rsidR="00C16083">
        <w:t>’</w:t>
      </w:r>
      <w:r w:rsidRPr="00C16083" w:rsidR="00712312">
        <w:t xml:space="preserve">s home was searched. </w:t>
      </w:r>
      <w:r w:rsidRPr="00C16083" w:rsidR="00863773">
        <w:t>She</w:t>
      </w:r>
      <w:r w:rsidRPr="00C16083" w:rsidR="00712312">
        <w:t xml:space="preserve"> </w:t>
      </w:r>
      <w:r w:rsidRPr="00C16083" w:rsidR="00927A5C">
        <w:t xml:space="preserve">brought proceedings </w:t>
      </w:r>
      <w:r w:rsidRPr="00C16083" w:rsidR="00712312">
        <w:t xml:space="preserve">under Article 125 of the CCrP </w:t>
      </w:r>
      <w:r w:rsidRPr="00C16083" w:rsidR="00927A5C">
        <w:t xml:space="preserve">complaining of the </w:t>
      </w:r>
      <w:r w:rsidRPr="00C16083" w:rsidR="00712312">
        <w:t>authorities</w:t>
      </w:r>
      <w:r w:rsidRPr="00C16083" w:rsidR="00C16083">
        <w:t>’</w:t>
      </w:r>
      <w:r w:rsidRPr="00C16083" w:rsidR="00712312">
        <w:t xml:space="preserve"> unlawful actions during the search of her flat</w:t>
      </w:r>
      <w:r w:rsidRPr="00C16083" w:rsidR="000A52F6">
        <w:t xml:space="preserve">. In particular, </w:t>
      </w:r>
      <w:r w:rsidRPr="00C16083" w:rsidR="000E65F8">
        <w:t xml:space="preserve">she </w:t>
      </w:r>
      <w:r w:rsidRPr="00C16083" w:rsidR="000A52F6">
        <w:t>argued that after she had told the police officers that she was an advocate</w:t>
      </w:r>
      <w:r w:rsidRPr="00C16083" w:rsidR="000E65F8">
        <w:t xml:space="preserve">, </w:t>
      </w:r>
      <w:r w:rsidRPr="00C16083" w:rsidR="000A52F6">
        <w:t>they should have stopped the search</w:t>
      </w:r>
      <w:r w:rsidRPr="00C16083" w:rsidR="00712312">
        <w:t xml:space="preserve">. On 25 July 2007 the </w:t>
      </w:r>
      <w:r w:rsidRPr="00C16083" w:rsidR="00863773">
        <w:t>Vyborgskiy District Court</w:t>
      </w:r>
      <w:r w:rsidRPr="00C16083" w:rsidR="00712312">
        <w:t xml:space="preserve"> dismissed </w:t>
      </w:r>
      <w:r w:rsidRPr="00C16083" w:rsidR="00863773">
        <w:t>her complaint</w:t>
      </w:r>
      <w:r w:rsidRPr="00C16083" w:rsidR="000A52F6">
        <w:t xml:space="preserve">. It </w:t>
      </w:r>
      <w:r w:rsidRPr="00C16083" w:rsidR="00114292">
        <w:t xml:space="preserve">held </w:t>
      </w:r>
      <w:r w:rsidRPr="00C16083" w:rsidR="000A52F6">
        <w:t xml:space="preserve">that the search had been based on a valid court search warrant issued </w:t>
      </w:r>
      <w:r w:rsidRPr="00C16083" w:rsidR="006637C9">
        <w:t>as part</w:t>
      </w:r>
      <w:r w:rsidRPr="00C16083" w:rsidR="000A52F6">
        <w:t xml:space="preserve"> of an ongoing criminal investigation </w:t>
      </w:r>
      <w:r w:rsidRPr="00C16083" w:rsidR="00114292">
        <w:t xml:space="preserve">not against Ms Belinskaya but against D., who was suspected of </w:t>
      </w:r>
      <w:r w:rsidRPr="00C16083" w:rsidR="000A52F6">
        <w:t xml:space="preserve">drug offences; </w:t>
      </w:r>
      <w:r w:rsidRPr="00C16083" w:rsidR="002570FA">
        <w:t xml:space="preserve">that </w:t>
      </w:r>
      <w:r w:rsidRPr="00C16083" w:rsidR="00DC4CAC">
        <w:t>Ms</w:t>
      </w:r>
      <w:r w:rsidRPr="00C16083" w:rsidR="008B1DCE">
        <w:t xml:space="preserve"> Belinskaya</w:t>
      </w:r>
      <w:r w:rsidRPr="00C16083" w:rsidR="002570FA">
        <w:t xml:space="preserve"> had not made any comments, including about her advocate status, in the search record; and that no documents </w:t>
      </w:r>
      <w:r w:rsidRPr="00C16083" w:rsidR="00FB5EDD">
        <w:t xml:space="preserve">subject to legal privilege </w:t>
      </w:r>
      <w:r w:rsidRPr="00C16083" w:rsidR="002570FA">
        <w:t>had been seized.</w:t>
      </w:r>
    </w:p>
    <w:p w:rsidRPr="00C16083" w:rsidR="00843BB9" w:rsidP="00C16083" w:rsidRDefault="006368BA">
      <w:pPr>
        <w:pStyle w:val="JuPara"/>
      </w:pPr>
      <w:fldSimple w:instr=" SEQ level0 \*arabic ">
        <w:r w:rsidRPr="00C16083" w:rsidR="00C16083">
          <w:rPr>
            <w:noProof/>
          </w:rPr>
          <w:t>22</w:t>
        </w:r>
      </w:fldSimple>
      <w:r w:rsidRPr="00C16083" w:rsidR="00712312">
        <w:t>.  The above</w:t>
      </w:r>
      <w:r w:rsidRPr="00C16083" w:rsidR="00AF085A">
        <w:t>-mentioned</w:t>
      </w:r>
      <w:r w:rsidRPr="00C16083" w:rsidR="00712312">
        <w:t xml:space="preserve"> court decision was upheld on appeal on 17 October 2007.</w:t>
      </w:r>
    </w:p>
    <w:p w:rsidRPr="00C16083" w:rsidR="00843BB9" w:rsidP="00C16083" w:rsidRDefault="00184695">
      <w:pPr>
        <w:pStyle w:val="JuH1"/>
      </w:pPr>
      <w:r w:rsidRPr="00C16083">
        <w:t>Application no. 58290/08, Fedo</w:t>
      </w:r>
      <w:r w:rsidRPr="00C16083" w:rsidR="00712312">
        <w:t>rov v. Russia</w:t>
      </w:r>
    </w:p>
    <w:p w:rsidRPr="00C16083" w:rsidR="00843BB9" w:rsidP="00C16083" w:rsidRDefault="007A478E">
      <w:pPr>
        <w:pStyle w:val="JuHa0"/>
      </w:pPr>
      <w:r w:rsidRPr="00C16083">
        <w:t>Court s</w:t>
      </w:r>
      <w:r w:rsidRPr="00C16083" w:rsidR="00712312">
        <w:t>earch warrant</w:t>
      </w:r>
    </w:p>
    <w:p w:rsidRPr="00C16083" w:rsidR="00843BB9" w:rsidP="00C16083" w:rsidRDefault="006368BA">
      <w:pPr>
        <w:pStyle w:val="JuPara"/>
      </w:pPr>
      <w:fldSimple w:instr=" SEQ level0 \*arabic ">
        <w:r w:rsidRPr="00C16083" w:rsidR="00C16083">
          <w:rPr>
            <w:noProof/>
          </w:rPr>
          <w:t>23</w:t>
        </w:r>
      </w:fldSimple>
      <w:r w:rsidRPr="00C16083" w:rsidR="00712312">
        <w:t>.  </w:t>
      </w:r>
      <w:r w:rsidRPr="00C16083" w:rsidR="008B1DCE">
        <w:t>Mr Fedorov</w:t>
      </w:r>
      <w:r w:rsidRPr="00C16083" w:rsidR="00712312">
        <w:t xml:space="preserve"> is a lawyer working for a human rights organisation. He is not a member of a Bar</w:t>
      </w:r>
      <w:r w:rsidRPr="00C16083" w:rsidR="00AF085A">
        <w:t xml:space="preserve"> association</w:t>
      </w:r>
      <w:r w:rsidRPr="00C16083" w:rsidR="00712312">
        <w:t>.</w:t>
      </w:r>
    </w:p>
    <w:bookmarkStart w:name="search_warrant_Federov" w:id="8"/>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24</w:t>
      </w:r>
      <w:r w:rsidRPr="00C16083">
        <w:rPr>
          <w:noProof/>
        </w:rPr>
        <w:fldChar w:fldCharType="end"/>
      </w:r>
      <w:bookmarkEnd w:id="8"/>
      <w:r w:rsidRPr="00C16083" w:rsidR="00712312">
        <w:t>.  </w:t>
      </w:r>
      <w:r w:rsidRPr="00C16083" w:rsidR="00EF023B">
        <w:t xml:space="preserve">On 6 August 2007 </w:t>
      </w:r>
      <w:r w:rsidRPr="00C16083" w:rsidR="008B1DCE">
        <w:t>Mr Fedorov</w:t>
      </w:r>
      <w:r w:rsidRPr="00C16083" w:rsidR="00EF023B">
        <w:t xml:space="preserve"> </w:t>
      </w:r>
      <w:r w:rsidRPr="00C16083" w:rsidR="007A478E">
        <w:t xml:space="preserve">was </w:t>
      </w:r>
      <w:r w:rsidRPr="00C16083" w:rsidR="00EF023B">
        <w:t>engaged to defend Mr.</w:t>
      </w:r>
      <w:r w:rsidRPr="00C16083" w:rsidR="006F35FD">
        <w:t> </w:t>
      </w:r>
      <w:r w:rsidRPr="00C16083" w:rsidR="00EF023B">
        <w:t>Ye</w:t>
      </w:r>
      <w:r w:rsidRPr="00C16083" w:rsidR="00CE7545">
        <w:t>.</w:t>
      </w:r>
      <w:r w:rsidRPr="00C16083" w:rsidR="00AF085A">
        <w:t>, who was</w:t>
      </w:r>
      <w:r w:rsidRPr="00C16083" w:rsidR="00EF023B">
        <w:t xml:space="preserve"> suspected of theft. </w:t>
      </w:r>
      <w:r w:rsidRPr="00C16083" w:rsidR="00712312">
        <w:t xml:space="preserve">On 13 August 2007 the Ibresinskiy District Court of the Republic of Chuvashiya authorised a search of </w:t>
      </w:r>
      <w:r w:rsidRPr="00C16083" w:rsidR="008B1DCE">
        <w:t>Mr Fedorov</w:t>
      </w:r>
      <w:r w:rsidRPr="00C16083" w:rsidR="00C16083">
        <w:t>’</w:t>
      </w:r>
      <w:r w:rsidRPr="00C16083" w:rsidR="00712312">
        <w:t>s flat</w:t>
      </w:r>
      <w:r w:rsidRPr="00C16083" w:rsidR="00326248">
        <w:t xml:space="preserve">. It found that there were reasons to believe that the objects stolen by Z. could be located at </w:t>
      </w:r>
      <w:r w:rsidRPr="00C16083" w:rsidR="008B1DCE">
        <w:t>Mr Fedorov</w:t>
      </w:r>
      <w:r w:rsidRPr="00C16083" w:rsidR="00C16083">
        <w:t>’</w:t>
      </w:r>
      <w:r w:rsidRPr="00C16083" w:rsidR="00326248">
        <w:t>s home and thus the search would help uncover evidence relevant for the criminal investigation.</w:t>
      </w:r>
    </w:p>
    <w:p w:rsidRPr="00C16083" w:rsidR="00843BB9" w:rsidP="00C16083" w:rsidRDefault="006368BA">
      <w:pPr>
        <w:pStyle w:val="JuPara"/>
      </w:pPr>
      <w:fldSimple w:instr=" SEQ level0 \*arabic ">
        <w:r w:rsidRPr="00C16083" w:rsidR="00C16083">
          <w:rPr>
            <w:noProof/>
          </w:rPr>
          <w:t>25</w:t>
        </w:r>
      </w:fldSimple>
      <w:r w:rsidRPr="00C16083" w:rsidR="00712312">
        <w:t xml:space="preserve">.  On 14 August 2007 </w:t>
      </w:r>
      <w:r w:rsidRPr="00C16083" w:rsidR="007A478E">
        <w:t xml:space="preserve">an </w:t>
      </w:r>
      <w:r w:rsidRPr="00C16083" w:rsidR="00712312">
        <w:t xml:space="preserve">investigator searched </w:t>
      </w:r>
      <w:r w:rsidRPr="00C16083" w:rsidR="008B1DCE">
        <w:t>Mr Fedorov</w:t>
      </w:r>
      <w:r w:rsidRPr="00C16083" w:rsidR="00C16083">
        <w:t>’</w:t>
      </w:r>
      <w:r w:rsidRPr="00C16083" w:rsidR="00712312">
        <w:t xml:space="preserve">s flat in the presence of </w:t>
      </w:r>
      <w:r w:rsidRPr="00C16083" w:rsidR="008B1DCE">
        <w:t>Mr Fedorov</w:t>
      </w:r>
      <w:r w:rsidRPr="00C16083" w:rsidR="00712312">
        <w:t xml:space="preserve"> and two witnesses. He found and seized two bracelets, a ring, a car radio and a notepad.</w:t>
      </w:r>
    </w:p>
    <w:p w:rsidRPr="00C16083" w:rsidR="00843BB9" w:rsidP="00C16083" w:rsidRDefault="00712312">
      <w:pPr>
        <w:pStyle w:val="JuHa0"/>
      </w:pPr>
      <w:r w:rsidRPr="00C16083">
        <w:rPr>
          <w:i/>
        </w:rPr>
        <w:t>Ex post facto</w:t>
      </w:r>
      <w:r w:rsidRPr="00C16083">
        <w:t xml:space="preserve"> judicial review of the </w:t>
      </w:r>
      <w:r w:rsidRPr="00C16083" w:rsidR="00FB5EDD">
        <w:t xml:space="preserve">decision to issue a </w:t>
      </w:r>
      <w:r w:rsidRPr="00C16083">
        <w:t>search warrant</w:t>
      </w:r>
    </w:p>
    <w:bookmarkStart w:name="Federov_appeal_successful" w:id="9"/>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26</w:t>
      </w:r>
      <w:r w:rsidRPr="00C16083">
        <w:rPr>
          <w:noProof/>
        </w:rPr>
        <w:fldChar w:fldCharType="end"/>
      </w:r>
      <w:bookmarkEnd w:id="9"/>
      <w:r w:rsidRPr="00C16083" w:rsidR="00712312">
        <w:t xml:space="preserve">.  On 18 September 2007 the Supreme Court of the Republic of Chuvashiya quashed the </w:t>
      </w:r>
      <w:r w:rsidRPr="00C16083" w:rsidR="00AF085A">
        <w:t xml:space="preserve">decision </w:t>
      </w:r>
      <w:r w:rsidRPr="00C16083" w:rsidR="00712312">
        <w:t xml:space="preserve">of 13 August 2007 and remitted the matter </w:t>
      </w:r>
      <w:r w:rsidRPr="00C16083" w:rsidR="00AF085A">
        <w:t xml:space="preserve">to </w:t>
      </w:r>
      <w:r w:rsidRPr="00C16083" w:rsidR="00712312">
        <w:t>the first-instance court</w:t>
      </w:r>
      <w:r w:rsidRPr="00C16083" w:rsidR="00AF085A">
        <w:t xml:space="preserve"> for fresh </w:t>
      </w:r>
      <w:r w:rsidRPr="00C16083" w:rsidR="00927A5C">
        <w:t>examination</w:t>
      </w:r>
      <w:r w:rsidRPr="00C16083" w:rsidR="00712312">
        <w:t>. It held, in particular, that the first-instance court</w:t>
      </w:r>
      <w:r w:rsidRPr="00C16083" w:rsidR="00C16083">
        <w:t>’</w:t>
      </w:r>
      <w:r w:rsidRPr="00C16083" w:rsidR="00712312">
        <w:t xml:space="preserve">s conclusion as to the possible presence of stolen property at </w:t>
      </w:r>
      <w:r w:rsidRPr="00C16083" w:rsidR="008B1DCE">
        <w:t>Mr Fedorov</w:t>
      </w:r>
      <w:r w:rsidRPr="00C16083" w:rsidR="00C16083">
        <w:t>’</w:t>
      </w:r>
      <w:r w:rsidRPr="00C16083" w:rsidR="00712312">
        <w:t>s home had not been consistent with the facts of the criminal case.</w:t>
      </w:r>
    </w:p>
    <w:p w:rsidRPr="00C16083" w:rsidR="00843BB9" w:rsidP="00C16083" w:rsidRDefault="006368BA">
      <w:pPr>
        <w:pStyle w:val="JuPara"/>
      </w:pPr>
      <w:fldSimple w:instr=" SEQ level0 \*arabic ">
        <w:r w:rsidRPr="00C16083" w:rsidR="00C16083">
          <w:rPr>
            <w:noProof/>
          </w:rPr>
          <w:t>27</w:t>
        </w:r>
      </w:fldSimple>
      <w:r w:rsidRPr="00C16083" w:rsidR="00712312">
        <w:t>.  On 3 October 2007 the Ibresinskiy District Court</w:t>
      </w:r>
      <w:r w:rsidRPr="00C16083" w:rsidR="006F35FD">
        <w:t xml:space="preserve"> of the Republic of Chuvashiya</w:t>
      </w:r>
      <w:r w:rsidRPr="00C16083" w:rsidR="00712312">
        <w:t xml:space="preserve">, </w:t>
      </w:r>
      <w:r w:rsidRPr="00C16083" w:rsidR="00AF085A">
        <w:t xml:space="preserve">having examined </w:t>
      </w:r>
      <w:r w:rsidRPr="00C16083" w:rsidR="00712312">
        <w:t xml:space="preserve">the case anew, held that the investigating authorities had not provided sufficient information to support their request for a search of </w:t>
      </w:r>
      <w:r w:rsidRPr="00C16083" w:rsidR="008B1DCE">
        <w:t>Mr Fedorov</w:t>
      </w:r>
      <w:r w:rsidRPr="00C16083" w:rsidR="00C16083">
        <w:t>’</w:t>
      </w:r>
      <w:r w:rsidRPr="00C16083" w:rsidR="00712312">
        <w:t xml:space="preserve">s flat and accordingly dismissed the request. On the same day the items seized from </w:t>
      </w:r>
      <w:r w:rsidRPr="00C16083" w:rsidR="008B1DCE">
        <w:t>Mr Fedorov</w:t>
      </w:r>
      <w:r w:rsidRPr="00C16083" w:rsidR="00C16083">
        <w:t>’</w:t>
      </w:r>
      <w:r w:rsidRPr="00C16083" w:rsidR="00712312">
        <w:t>s flat were returned to him.</w:t>
      </w:r>
    </w:p>
    <w:p w:rsidRPr="00C16083" w:rsidR="00843BB9" w:rsidP="00C16083" w:rsidRDefault="006368BA">
      <w:pPr>
        <w:pStyle w:val="JuPara"/>
      </w:pPr>
      <w:fldSimple w:instr=" SEQ level0 \*arabic ">
        <w:r w:rsidRPr="00C16083" w:rsidR="00C16083">
          <w:rPr>
            <w:noProof/>
          </w:rPr>
          <w:t>28</w:t>
        </w:r>
      </w:fldSimple>
      <w:r w:rsidRPr="00C16083" w:rsidR="00712312">
        <w:t>.  On 13 November 2007 the Supreme Court of the Republic of Chuvashiya upheld that decision.</w:t>
      </w:r>
    </w:p>
    <w:p w:rsidRPr="00C16083" w:rsidR="00843BB9" w:rsidP="00C16083" w:rsidRDefault="00AF085A">
      <w:pPr>
        <w:pStyle w:val="JuHa0"/>
      </w:pPr>
      <w:r w:rsidRPr="00C16083">
        <w:t xml:space="preserve">Compensation </w:t>
      </w:r>
      <w:r w:rsidRPr="00C16083" w:rsidR="007A478E">
        <w:t>p</w:t>
      </w:r>
      <w:r w:rsidRPr="00C16083" w:rsidR="00712312">
        <w:t>roceedings</w:t>
      </w:r>
    </w:p>
    <w:p w:rsidRPr="00C16083" w:rsidR="00843BB9" w:rsidP="00C16083" w:rsidRDefault="006368BA">
      <w:pPr>
        <w:pStyle w:val="JuPara"/>
      </w:pPr>
      <w:fldSimple w:instr=" SEQ level0 \*arabic ">
        <w:r w:rsidRPr="00C16083" w:rsidR="00C16083">
          <w:rPr>
            <w:noProof/>
          </w:rPr>
          <w:t>29</w:t>
        </w:r>
      </w:fldSimple>
      <w:r w:rsidRPr="00C16083" w:rsidR="00712312">
        <w:t xml:space="preserve">.  On 31 March 2008 </w:t>
      </w:r>
      <w:r w:rsidRPr="00C16083" w:rsidR="008B1DCE">
        <w:t>Mr Fedorov</w:t>
      </w:r>
      <w:r w:rsidRPr="00C16083" w:rsidR="00712312">
        <w:t xml:space="preserve"> brought court proceedings against the Ministry of Finance of the Russian Federation before the Leninskiy District Court of Cheboksary, Republic of Chuvashiya (“the Leninskiy District Court”). He </w:t>
      </w:r>
      <w:r w:rsidRPr="00C16083" w:rsidR="00753A1B">
        <w:t xml:space="preserve">sought compensation for non-pecuniary damage on the grounds </w:t>
      </w:r>
      <w:r w:rsidRPr="00C16083" w:rsidR="00712312">
        <w:t xml:space="preserve">that the search of his flat had been </w:t>
      </w:r>
      <w:r w:rsidRPr="00C16083" w:rsidR="00ED4CEC">
        <w:t xml:space="preserve">declared </w:t>
      </w:r>
      <w:r w:rsidRPr="00C16083" w:rsidR="00712312">
        <w:t>unlawful.</w:t>
      </w:r>
    </w:p>
    <w:bookmarkStart w:name="Federov_compensation_unsuccessful" w:id="10"/>
    <w:p w:rsidRPr="00C16083" w:rsidR="00160559" w:rsidP="00C16083" w:rsidRDefault="00712312">
      <w:pPr>
        <w:pStyle w:val="JuPara"/>
      </w:pPr>
      <w:r w:rsidRPr="00C16083">
        <w:fldChar w:fldCharType="begin"/>
      </w:r>
      <w:r w:rsidRPr="00C16083">
        <w:instrText xml:space="preserve"> SEQ level0 \*arabic </w:instrText>
      </w:r>
      <w:r w:rsidRPr="00C16083">
        <w:fldChar w:fldCharType="separate"/>
      </w:r>
      <w:r w:rsidRPr="00C16083" w:rsidR="00C16083">
        <w:rPr>
          <w:noProof/>
        </w:rPr>
        <w:t>30</w:t>
      </w:r>
      <w:r w:rsidRPr="00C16083">
        <w:fldChar w:fldCharType="end"/>
      </w:r>
      <w:bookmarkEnd w:id="10"/>
      <w:r w:rsidRPr="00C16083">
        <w:t xml:space="preserve">.  On 22 May 2008 the Leninskiy District Court dismissed </w:t>
      </w:r>
      <w:r w:rsidRPr="00C16083" w:rsidR="008B1DCE">
        <w:t>Mr Fedorov</w:t>
      </w:r>
      <w:r w:rsidRPr="00C16083" w:rsidR="00C16083">
        <w:t>’</w:t>
      </w:r>
      <w:r w:rsidRPr="00C16083">
        <w:t>s claim</w:t>
      </w:r>
      <w:r w:rsidRPr="00C16083" w:rsidR="00047B49">
        <w:t xml:space="preserve"> as unsubstantiated</w:t>
      </w:r>
      <w:r w:rsidRPr="00C16083">
        <w:t xml:space="preserve">. On 25 June 2008 the Supreme Court of the Republic of Chuvashiya </w:t>
      </w:r>
      <w:r w:rsidRPr="00C16083" w:rsidR="00047B49">
        <w:t xml:space="preserve">upheld that judgment on </w:t>
      </w:r>
      <w:r w:rsidRPr="00C16083">
        <w:t>an appeal</w:t>
      </w:r>
      <w:r w:rsidRPr="00C16083" w:rsidR="00B4283D">
        <w:t>.</w:t>
      </w:r>
    </w:p>
    <w:p w:rsidRPr="00C16083" w:rsidR="00843BB9" w:rsidP="00C16083" w:rsidRDefault="00712312">
      <w:pPr>
        <w:pStyle w:val="JuH1"/>
      </w:pPr>
      <w:r w:rsidRPr="00C16083">
        <w:t>Application no. 60648/08, Fast v. Russia</w:t>
      </w:r>
    </w:p>
    <w:p w:rsidRPr="00C16083" w:rsidR="00843BB9" w:rsidP="00C16083" w:rsidRDefault="006368BA">
      <w:pPr>
        <w:pStyle w:val="JuPara"/>
      </w:pPr>
      <w:fldSimple w:instr=" SEQ level0 \*arabic ">
        <w:r w:rsidRPr="00C16083" w:rsidR="00C16083">
          <w:rPr>
            <w:noProof/>
          </w:rPr>
          <w:t>31</w:t>
        </w:r>
      </w:fldSimple>
      <w:r w:rsidRPr="00C16083" w:rsidR="00712312">
        <w:t>.  </w:t>
      </w:r>
      <w:r w:rsidRPr="00C16083" w:rsidR="004C3CE3">
        <w:t>The p</w:t>
      </w:r>
      <w:r w:rsidRPr="00C16083" w:rsidR="00712312">
        <w:t xml:space="preserve">olice </w:t>
      </w:r>
      <w:r w:rsidRPr="00C16083" w:rsidR="004C3CE3">
        <w:t xml:space="preserve">had been investigating </w:t>
      </w:r>
      <w:r w:rsidRPr="00C16083" w:rsidR="00712312">
        <w:t xml:space="preserve">allegedly fraudulent claims for damages and legal expenses from </w:t>
      </w:r>
      <w:r w:rsidRPr="00C16083" w:rsidR="004C3CE3">
        <w:t xml:space="preserve">the </w:t>
      </w:r>
      <w:r w:rsidRPr="00C16083" w:rsidR="00712312">
        <w:t xml:space="preserve">Russian Railways </w:t>
      </w:r>
      <w:r w:rsidRPr="00C16083" w:rsidR="004C3CE3">
        <w:t xml:space="preserve">using </w:t>
      </w:r>
      <w:r w:rsidRPr="00C16083" w:rsidR="00712312">
        <w:t>forged documents – bills for legal services provided by the l</w:t>
      </w:r>
      <w:r w:rsidRPr="00C16083" w:rsidR="00326248">
        <w:t>aw</w:t>
      </w:r>
      <w:r w:rsidRPr="00C16083" w:rsidR="00712312">
        <w:t xml:space="preserve"> firm Pravovoye Sodeystviye</w:t>
      </w:r>
      <w:r w:rsidRPr="00C16083" w:rsidR="004C3CE3">
        <w:t>,</w:t>
      </w:r>
      <w:r w:rsidRPr="00C16083" w:rsidR="00712312">
        <w:t xml:space="preserve"> where </w:t>
      </w:r>
      <w:r w:rsidRPr="00C16083" w:rsidR="00DC4CAC">
        <w:t>Ms</w:t>
      </w:r>
      <w:r w:rsidRPr="00C16083" w:rsidR="008B1DCE">
        <w:t> Fast</w:t>
      </w:r>
      <w:r w:rsidRPr="00C16083" w:rsidR="00712312">
        <w:t xml:space="preserve"> worked.</w:t>
      </w:r>
    </w:p>
    <w:bookmarkStart w:name="search_warrant_Fast" w:id="11"/>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32</w:t>
      </w:r>
      <w:r w:rsidRPr="00C16083">
        <w:rPr>
          <w:noProof/>
        </w:rPr>
        <w:fldChar w:fldCharType="end"/>
      </w:r>
      <w:bookmarkEnd w:id="11"/>
      <w:r w:rsidRPr="00C16083" w:rsidR="009D67B7">
        <w:t>.  </w:t>
      </w:r>
      <w:r w:rsidRPr="00C16083" w:rsidR="00712312">
        <w:t xml:space="preserve">On 3 September 2008 the Leninskiy District Court of Nizhniy Novgorod </w:t>
      </w:r>
      <w:r w:rsidRPr="00C16083" w:rsidR="00326248">
        <w:t xml:space="preserve">granted </w:t>
      </w:r>
      <w:r w:rsidRPr="00C16083" w:rsidR="004C3CE3">
        <w:t xml:space="preserve">an application lodged by </w:t>
      </w:r>
      <w:r w:rsidRPr="00C16083" w:rsidR="00326248">
        <w:t xml:space="preserve">the investigator for a warrant </w:t>
      </w:r>
      <w:r w:rsidRPr="00C16083" w:rsidR="004C3CE3">
        <w:t xml:space="preserve">to search the premises of </w:t>
      </w:r>
      <w:r w:rsidRPr="00C16083" w:rsidR="00326248">
        <w:t>the law firm</w:t>
      </w:r>
      <w:r w:rsidRPr="00C16083" w:rsidR="00076020">
        <w:t>, having found it “well-founded”</w:t>
      </w:r>
      <w:r w:rsidRPr="00C16083" w:rsidR="004C3CE3">
        <w:t>.</w:t>
      </w:r>
    </w:p>
    <w:p w:rsidRPr="00C16083" w:rsidR="00843BB9" w:rsidP="00C16083" w:rsidRDefault="006368BA">
      <w:pPr>
        <w:pStyle w:val="JuPara"/>
      </w:pPr>
      <w:fldSimple w:instr=" SEQ level0 \*arabic ">
        <w:r w:rsidRPr="00C16083" w:rsidR="00C16083">
          <w:rPr>
            <w:noProof/>
          </w:rPr>
          <w:t>33</w:t>
        </w:r>
      </w:fldSimple>
      <w:r w:rsidRPr="00C16083" w:rsidR="00712312">
        <w:t xml:space="preserve">.  On 5 September 2008 </w:t>
      </w:r>
      <w:r w:rsidRPr="00C16083" w:rsidR="004C3CE3">
        <w:t xml:space="preserve">the </w:t>
      </w:r>
      <w:r w:rsidRPr="00C16083" w:rsidR="00712312">
        <w:t xml:space="preserve">police searched </w:t>
      </w:r>
      <w:r w:rsidRPr="00C16083" w:rsidR="00DC4CAC">
        <w:t>Ms</w:t>
      </w:r>
      <w:r w:rsidRPr="00C16083" w:rsidR="008B1DCE">
        <w:t xml:space="preserve"> Fast</w:t>
      </w:r>
      <w:r w:rsidRPr="00C16083" w:rsidR="00C16083">
        <w:t>’</w:t>
      </w:r>
      <w:r w:rsidRPr="00C16083" w:rsidR="00712312">
        <w:t xml:space="preserve">s office. During the search </w:t>
      </w:r>
      <w:r w:rsidRPr="00C16083" w:rsidR="004C3CE3">
        <w:t xml:space="preserve">they </w:t>
      </w:r>
      <w:r w:rsidRPr="00C16083" w:rsidR="00712312">
        <w:t xml:space="preserve">seized seven </w:t>
      </w:r>
      <w:r w:rsidRPr="00C16083" w:rsidR="00392EA5">
        <w:t xml:space="preserve">computer </w:t>
      </w:r>
      <w:r w:rsidRPr="00C16083" w:rsidR="00927A5C">
        <w:t xml:space="preserve">central </w:t>
      </w:r>
      <w:r w:rsidRPr="00C16083" w:rsidR="00FB5EDD">
        <w:t xml:space="preserve">processing </w:t>
      </w:r>
      <w:r w:rsidRPr="00C16083" w:rsidR="00392EA5">
        <w:t>units</w:t>
      </w:r>
      <w:r w:rsidRPr="00C16083" w:rsidR="00712312">
        <w:t xml:space="preserve"> from </w:t>
      </w:r>
      <w:r w:rsidRPr="00C16083" w:rsidR="004C3CE3">
        <w:t xml:space="preserve">her </w:t>
      </w:r>
      <w:r w:rsidRPr="00C16083" w:rsidR="00712312">
        <w:t>office.</w:t>
      </w:r>
    </w:p>
    <w:p w:rsidRPr="00C16083" w:rsidR="00843BB9" w:rsidP="00C16083" w:rsidRDefault="006368BA">
      <w:pPr>
        <w:pStyle w:val="JuPara"/>
      </w:pPr>
      <w:fldSimple w:instr=" SEQ level0 \*arabic ">
        <w:r w:rsidRPr="00C16083" w:rsidR="00C16083">
          <w:rPr>
            <w:noProof/>
          </w:rPr>
          <w:t>34</w:t>
        </w:r>
      </w:fldSimple>
      <w:r w:rsidRPr="00C16083" w:rsidR="00712312">
        <w:t xml:space="preserve">.  On 17 October 2008 </w:t>
      </w:r>
      <w:r w:rsidRPr="00C16083" w:rsidR="002C2100">
        <w:t>a</w:t>
      </w:r>
      <w:r w:rsidRPr="00C16083" w:rsidR="008A34EA">
        <w:t>n appeal</w:t>
      </w:r>
      <w:r w:rsidRPr="00C16083" w:rsidR="002C2100">
        <w:t xml:space="preserve"> </w:t>
      </w:r>
      <w:r w:rsidRPr="00C16083" w:rsidR="00712312">
        <w:t xml:space="preserve">complaint </w:t>
      </w:r>
      <w:r w:rsidRPr="00C16083" w:rsidR="002630E2">
        <w:t xml:space="preserve">lodged by Ms Fast arguing that </w:t>
      </w:r>
      <w:r w:rsidRPr="00C16083" w:rsidR="00712312">
        <w:t>the search warrant</w:t>
      </w:r>
      <w:r w:rsidRPr="00C16083" w:rsidR="009D67B7">
        <w:t xml:space="preserve"> of 3 September 2008</w:t>
      </w:r>
      <w:r w:rsidRPr="00C16083" w:rsidR="00712312">
        <w:t xml:space="preserve"> </w:t>
      </w:r>
      <w:r w:rsidRPr="00C16083" w:rsidR="00392EA5">
        <w:t xml:space="preserve">and </w:t>
      </w:r>
      <w:r w:rsidRPr="00C16083" w:rsidR="002630E2">
        <w:t xml:space="preserve">the </w:t>
      </w:r>
      <w:r w:rsidRPr="00C16083" w:rsidR="00392EA5">
        <w:t xml:space="preserve">seizure of </w:t>
      </w:r>
      <w:r w:rsidRPr="00C16083" w:rsidR="00A33C0A">
        <w:t xml:space="preserve">the </w:t>
      </w:r>
      <w:r w:rsidRPr="00C16083" w:rsidR="00392EA5">
        <w:t xml:space="preserve">computer units </w:t>
      </w:r>
      <w:r w:rsidRPr="00C16083" w:rsidR="002630E2">
        <w:t xml:space="preserve">had been unlawful </w:t>
      </w:r>
      <w:r w:rsidRPr="00C16083" w:rsidR="00712312">
        <w:t>was</w:t>
      </w:r>
      <w:r w:rsidRPr="00C16083" w:rsidR="002C2100">
        <w:t xml:space="preserve"> dismissed</w:t>
      </w:r>
      <w:r w:rsidRPr="00C16083" w:rsidR="00712312">
        <w:t>.</w:t>
      </w:r>
    </w:p>
    <w:p w:rsidRPr="00C16083" w:rsidR="00843BB9" w:rsidP="00C16083" w:rsidRDefault="006368BA">
      <w:pPr>
        <w:pStyle w:val="JuPara"/>
      </w:pPr>
      <w:fldSimple w:instr=" SEQ level0 \*arabic ">
        <w:r w:rsidRPr="00C16083" w:rsidR="00C16083">
          <w:rPr>
            <w:noProof/>
          </w:rPr>
          <w:t>35</w:t>
        </w:r>
      </w:fldSimple>
      <w:r w:rsidRPr="00C16083" w:rsidR="001A4199">
        <w:t xml:space="preserve">.  On 29 May 2009 the criminal case within the framework of which </w:t>
      </w:r>
      <w:r w:rsidRPr="00C16083" w:rsidR="00DC4CAC">
        <w:t>Ms</w:t>
      </w:r>
      <w:r w:rsidRPr="00C16083" w:rsidR="00592613">
        <w:t> </w:t>
      </w:r>
      <w:r w:rsidRPr="00C16083" w:rsidR="008B1DCE">
        <w:t>Fast</w:t>
      </w:r>
      <w:r w:rsidRPr="00C16083" w:rsidR="00C16083">
        <w:t>’</w:t>
      </w:r>
      <w:r w:rsidRPr="00C16083" w:rsidR="001A4199">
        <w:t xml:space="preserve">s office had been searched was closed for lack of </w:t>
      </w:r>
      <w:r w:rsidRPr="00C16083" w:rsidR="001A4199">
        <w:rPr>
          <w:i/>
        </w:rPr>
        <w:t>corpus delicti</w:t>
      </w:r>
      <w:r w:rsidRPr="00C16083" w:rsidR="001A4199">
        <w:t xml:space="preserve">. </w:t>
      </w:r>
      <w:r w:rsidRPr="00C16083" w:rsidR="002630E2">
        <w:t xml:space="preserve">On an </w:t>
      </w:r>
      <w:r w:rsidRPr="00C16083" w:rsidR="001A4199">
        <w:t xml:space="preserve">unspecified day </w:t>
      </w:r>
      <w:r w:rsidRPr="00C16083" w:rsidR="002630E2">
        <w:t>thereafter</w:t>
      </w:r>
      <w:r w:rsidRPr="00C16083" w:rsidR="002C2100">
        <w:t>,</w:t>
      </w:r>
      <w:r w:rsidRPr="00C16083" w:rsidR="002630E2">
        <w:t xml:space="preserve"> </w:t>
      </w:r>
      <w:r w:rsidRPr="00C16083" w:rsidR="001A4199">
        <w:t xml:space="preserve">the seized computer units were returned to </w:t>
      </w:r>
      <w:r w:rsidRPr="00C16083" w:rsidR="00DC4CAC">
        <w:t>Ms</w:t>
      </w:r>
      <w:r w:rsidRPr="00C16083" w:rsidR="003266EC">
        <w:t> </w:t>
      </w:r>
      <w:r w:rsidRPr="00C16083" w:rsidR="008B1DCE">
        <w:t>Fast</w:t>
      </w:r>
      <w:r w:rsidRPr="00C16083" w:rsidR="001A4199">
        <w:t>.</w:t>
      </w:r>
    </w:p>
    <w:p w:rsidRPr="00C16083" w:rsidR="00843BB9" w:rsidP="00C16083" w:rsidRDefault="00712312">
      <w:pPr>
        <w:pStyle w:val="JuH1"/>
      </w:pPr>
      <w:r w:rsidRPr="00C16083">
        <w:t>Application no. 2397/11, Balyan and others v. Russia</w:t>
      </w:r>
    </w:p>
    <w:p w:rsidRPr="00C16083" w:rsidR="00843BB9" w:rsidP="00C16083" w:rsidRDefault="006368BA">
      <w:pPr>
        <w:pStyle w:val="JuPara"/>
      </w:pPr>
      <w:fldSimple w:instr=" SEQ level0 \*arabic ">
        <w:r w:rsidRPr="00C16083" w:rsidR="00C16083">
          <w:rPr>
            <w:noProof/>
          </w:rPr>
          <w:t>36</w:t>
        </w:r>
      </w:fldSimple>
      <w:r w:rsidRPr="00C16083" w:rsidR="00A74154">
        <w:t>.  </w:t>
      </w:r>
      <w:r w:rsidRPr="00C16083" w:rsidR="00FB5EDD">
        <w:t>The a</w:t>
      </w:r>
      <w:r w:rsidRPr="00C16083" w:rsidR="00712312">
        <w:t xml:space="preserve">uthorities opened a criminal investigation against G. and B. and other unidentified people </w:t>
      </w:r>
      <w:r w:rsidRPr="00C16083" w:rsidR="00124849">
        <w:t xml:space="preserve">who were suspected </w:t>
      </w:r>
      <w:r w:rsidRPr="00C16083" w:rsidR="00712312">
        <w:t xml:space="preserve">of carrying out business activities without a proper </w:t>
      </w:r>
      <w:r w:rsidRPr="00C16083" w:rsidR="00124849">
        <w:t xml:space="preserve">licence </w:t>
      </w:r>
      <w:r w:rsidRPr="00C16083" w:rsidR="00712312">
        <w:t xml:space="preserve">and with the use of fictitious companies. It appears that the investigating authorities believed </w:t>
      </w:r>
      <w:r w:rsidRPr="00C16083" w:rsidR="00124849">
        <w:t xml:space="preserve">that </w:t>
      </w:r>
      <w:r w:rsidRPr="00C16083" w:rsidR="00712312">
        <w:t xml:space="preserve">a law firm, ZAO </w:t>
      </w:r>
      <w:r w:rsidRPr="00C16083" w:rsidR="00CE7545">
        <w:t>“</w:t>
      </w:r>
      <w:r w:rsidRPr="00C16083" w:rsidR="00712312">
        <w:t>Printsip prava”, could have had information about those fictitious companies</w:t>
      </w:r>
      <w:r w:rsidRPr="00C16083" w:rsidR="00124849">
        <w:t>.</w:t>
      </w:r>
      <w:r w:rsidRPr="00C16083" w:rsidR="00712312">
        <w:t xml:space="preserve"> </w:t>
      </w:r>
      <w:r w:rsidRPr="00C16083" w:rsidR="00124849">
        <w:t xml:space="preserve">It applied to </w:t>
      </w:r>
      <w:r w:rsidRPr="00C16083" w:rsidR="00712312">
        <w:t xml:space="preserve">a court </w:t>
      </w:r>
      <w:r w:rsidRPr="00C16083" w:rsidR="00124849">
        <w:t xml:space="preserve">for a </w:t>
      </w:r>
      <w:r w:rsidRPr="00C16083" w:rsidR="00712312">
        <w:t xml:space="preserve">warrant to search the </w:t>
      </w:r>
      <w:r w:rsidRPr="00C16083" w:rsidR="00124849">
        <w:t>firm</w:t>
      </w:r>
      <w:r w:rsidRPr="00C16083" w:rsidR="00C16083">
        <w:t>’</w:t>
      </w:r>
      <w:r w:rsidRPr="00C16083" w:rsidR="00124849">
        <w:t xml:space="preserve">s </w:t>
      </w:r>
      <w:r w:rsidRPr="00C16083" w:rsidR="00712312">
        <w:t>premises.</w:t>
      </w:r>
    </w:p>
    <w:bookmarkStart w:name="search_warrant_Balyan" w:id="12"/>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37</w:t>
      </w:r>
      <w:r w:rsidRPr="00C16083">
        <w:rPr>
          <w:noProof/>
        </w:rPr>
        <w:fldChar w:fldCharType="end"/>
      </w:r>
      <w:bookmarkEnd w:id="12"/>
      <w:r w:rsidRPr="00C16083" w:rsidR="00A74154">
        <w:t>.  </w:t>
      </w:r>
      <w:r w:rsidRPr="00C16083" w:rsidR="00712312">
        <w:t xml:space="preserve">On 17 December 2009 the Tverskoy District Court of Moscow issued </w:t>
      </w:r>
      <w:r w:rsidRPr="00C16083" w:rsidR="002C2100">
        <w:t xml:space="preserve">a </w:t>
      </w:r>
      <w:r w:rsidRPr="00C16083" w:rsidR="00712312">
        <w:t>search warrant</w:t>
      </w:r>
      <w:r w:rsidRPr="00C16083" w:rsidR="00A74154">
        <w:t xml:space="preserve"> in respect of the law firm</w:t>
      </w:r>
      <w:r w:rsidRPr="00C16083" w:rsidR="00712312">
        <w:t>.</w:t>
      </w:r>
      <w:r w:rsidRPr="00C16083" w:rsidR="003140B3">
        <w:t xml:space="preserve"> It held that the investigator</w:t>
      </w:r>
      <w:r w:rsidRPr="00C16083" w:rsidR="00C16083">
        <w:t>’</w:t>
      </w:r>
      <w:r w:rsidRPr="00C16083" w:rsidR="003140B3">
        <w:t xml:space="preserve">s application for </w:t>
      </w:r>
      <w:r w:rsidRPr="00C16083" w:rsidR="00EE54DF">
        <w:t xml:space="preserve">a </w:t>
      </w:r>
      <w:r w:rsidRPr="00C16083" w:rsidR="003140B3">
        <w:t>search warrant had complied with the criminal procedural requirements to its form and content, and that the investigator had had sufficient grounds to believe that objects and documents relevant for the investigation could have been located at the law firm</w:t>
      </w:r>
      <w:r w:rsidRPr="00C16083" w:rsidR="00C16083">
        <w:t>’</w:t>
      </w:r>
      <w:r w:rsidRPr="00C16083" w:rsidR="003140B3">
        <w:t>s premises.</w:t>
      </w:r>
      <w:r w:rsidRPr="00C16083" w:rsidR="00712312">
        <w:t xml:space="preserve"> On 25 December 2009 the search was carried out.</w:t>
      </w:r>
    </w:p>
    <w:p w:rsidRPr="00C16083" w:rsidR="00843BB9" w:rsidP="00C16083" w:rsidRDefault="006368BA">
      <w:pPr>
        <w:pStyle w:val="JuPara"/>
      </w:pPr>
      <w:fldSimple w:instr=" SEQ level0 \*arabic ">
        <w:r w:rsidRPr="00C16083" w:rsidR="00C16083">
          <w:rPr>
            <w:noProof/>
          </w:rPr>
          <w:t>38</w:t>
        </w:r>
      </w:fldSimple>
      <w:r w:rsidRPr="00C16083" w:rsidR="00712312">
        <w:t>. </w:t>
      </w:r>
      <w:r w:rsidRPr="00C16083" w:rsidR="00843BB9">
        <w:t> </w:t>
      </w:r>
      <w:r w:rsidRPr="00C16083" w:rsidR="002C2100">
        <w:t xml:space="preserve">The offices of </w:t>
      </w:r>
      <w:r w:rsidRPr="00C16083" w:rsidR="00306FDB">
        <w:t xml:space="preserve">the applicants </w:t>
      </w:r>
      <w:r w:rsidRPr="00C16083" w:rsidR="00736760">
        <w:t>Mr Balyan, Mr Sokolov and Mr </w:t>
      </w:r>
      <w:r w:rsidRPr="00C16083" w:rsidR="001A14AB">
        <w:t>Solovyev</w:t>
      </w:r>
      <w:r w:rsidRPr="00C16083" w:rsidR="00712312">
        <w:t xml:space="preserve"> </w:t>
      </w:r>
      <w:r w:rsidRPr="00C16083" w:rsidR="00306FDB">
        <w:t xml:space="preserve">(who are all advocates) </w:t>
      </w:r>
      <w:r w:rsidRPr="00C16083" w:rsidR="002C2100">
        <w:t xml:space="preserve">were </w:t>
      </w:r>
      <w:r w:rsidRPr="00C16083" w:rsidR="00712312">
        <w:t>located on the premises of that law firm</w:t>
      </w:r>
      <w:r w:rsidRPr="00C16083" w:rsidR="00B8584F">
        <w:t>,</w:t>
      </w:r>
      <w:r w:rsidRPr="00C16083" w:rsidR="00712312">
        <w:t xml:space="preserve"> and during the search of the firm their offices were also inspected.</w:t>
      </w:r>
    </w:p>
    <w:p w:rsidRPr="00C16083" w:rsidR="00843BB9" w:rsidP="00C16083" w:rsidRDefault="006368BA">
      <w:pPr>
        <w:pStyle w:val="JuPara"/>
      </w:pPr>
      <w:fldSimple w:instr=" SEQ level0 \*arabic ">
        <w:r w:rsidRPr="00C16083" w:rsidR="00C16083">
          <w:rPr>
            <w:noProof/>
          </w:rPr>
          <w:t>39</w:t>
        </w:r>
      </w:fldSimple>
      <w:r w:rsidRPr="00C16083" w:rsidR="00731C89">
        <w:t xml:space="preserve">.  During the search </w:t>
      </w:r>
      <w:r w:rsidRPr="00C16083" w:rsidR="00B8584F">
        <w:t xml:space="preserve">the </w:t>
      </w:r>
      <w:r w:rsidRPr="00C16083" w:rsidR="00731C89">
        <w:t>p</w:t>
      </w:r>
      <w:r w:rsidRPr="00C16083" w:rsidR="00A941E6">
        <w:t xml:space="preserve">olice seized </w:t>
      </w:r>
      <w:r w:rsidRPr="00C16083" w:rsidR="00F0540E">
        <w:t>a</w:t>
      </w:r>
      <w:r w:rsidRPr="00C16083" w:rsidR="00A941E6">
        <w:t xml:space="preserve"> computer </w:t>
      </w:r>
      <w:r w:rsidRPr="00C16083" w:rsidR="004165BE">
        <w:t xml:space="preserve">central </w:t>
      </w:r>
      <w:r w:rsidRPr="00C16083" w:rsidR="00870F6D">
        <w:t xml:space="preserve">processing </w:t>
      </w:r>
      <w:r w:rsidRPr="00C16083" w:rsidR="00A941E6">
        <w:t>unit and two hard drives.</w:t>
      </w:r>
      <w:r w:rsidRPr="00C16083" w:rsidR="00712312">
        <w:t xml:space="preserve"> </w:t>
      </w:r>
      <w:r w:rsidRPr="00C16083" w:rsidR="008C10AB">
        <w:t>A</w:t>
      </w:r>
      <w:r w:rsidRPr="00C16083" w:rsidR="00712312">
        <w:t xml:space="preserve"> metal safe with money </w:t>
      </w:r>
      <w:r w:rsidRPr="00C16083" w:rsidR="00870F6D">
        <w:t xml:space="preserve">was </w:t>
      </w:r>
      <w:r w:rsidRPr="00C16083" w:rsidR="00712312">
        <w:t xml:space="preserve">seized from </w:t>
      </w:r>
      <w:r w:rsidRPr="00C16083" w:rsidR="00F0540E">
        <w:t>Mr</w:t>
      </w:r>
      <w:r w:rsidRPr="00C16083" w:rsidR="003266EC">
        <w:t> </w:t>
      </w:r>
      <w:r w:rsidRPr="00C16083" w:rsidR="00F0540E">
        <w:t>Balyan</w:t>
      </w:r>
      <w:r w:rsidRPr="00C16083" w:rsidR="00C16083">
        <w:t>’</w:t>
      </w:r>
      <w:r w:rsidRPr="00C16083" w:rsidR="00870F6D">
        <w:t>s office</w:t>
      </w:r>
      <w:r w:rsidRPr="00C16083" w:rsidR="00712312">
        <w:t xml:space="preserve">. </w:t>
      </w:r>
      <w:r w:rsidRPr="00C16083" w:rsidR="008C10AB">
        <w:t xml:space="preserve">On 14 January 2010 </w:t>
      </w:r>
      <w:r w:rsidRPr="00C16083" w:rsidR="00F0540E">
        <w:t>he</w:t>
      </w:r>
      <w:r w:rsidRPr="00C16083" w:rsidR="008C10AB">
        <w:t xml:space="preserve"> </w:t>
      </w:r>
      <w:r w:rsidRPr="00C16083" w:rsidR="00870F6D">
        <w:t xml:space="preserve">asked </w:t>
      </w:r>
      <w:r w:rsidRPr="00C16083" w:rsidR="008C10AB">
        <w:t xml:space="preserve">the investigator to return his safe with its contents. On 19 January 2010 the investigating authorities examined the objects and documents contained in the safe and concluded that they were unrelated to the criminal case being investigated. On 19 March 2010 the investigator issued a decision to return the safe with its contents to </w:t>
      </w:r>
      <w:r w:rsidRPr="00C16083" w:rsidR="00F0540E">
        <w:t>Mr Balyan</w:t>
      </w:r>
      <w:r w:rsidRPr="00C16083" w:rsidR="008C10AB">
        <w:t>. The decision was enforced on the same day.</w:t>
      </w:r>
    </w:p>
    <w:p w:rsidRPr="00C16083" w:rsidR="00843BB9" w:rsidP="00C16083" w:rsidRDefault="006368BA">
      <w:pPr>
        <w:pStyle w:val="JuPara"/>
      </w:pPr>
      <w:fldSimple w:instr=" SEQ level0 \*arabic ">
        <w:r w:rsidRPr="00C16083" w:rsidR="00C16083">
          <w:rPr>
            <w:noProof/>
          </w:rPr>
          <w:t>40</w:t>
        </w:r>
      </w:fldSimple>
      <w:r w:rsidRPr="00C16083" w:rsidR="00712312">
        <w:t xml:space="preserve">.  On 24 March 2010 the Moscow City Court quashed the </w:t>
      </w:r>
      <w:r w:rsidRPr="00C16083" w:rsidR="00BC7AE8">
        <w:t xml:space="preserve">court </w:t>
      </w:r>
      <w:r w:rsidRPr="00C16083" w:rsidR="00870F6D">
        <w:t xml:space="preserve">decision </w:t>
      </w:r>
      <w:r w:rsidRPr="00C16083" w:rsidR="00712312">
        <w:t xml:space="preserve">of 17 December 2009 </w:t>
      </w:r>
      <w:r w:rsidRPr="00C16083" w:rsidR="00BF184F">
        <w:t xml:space="preserve">because </w:t>
      </w:r>
      <w:r w:rsidRPr="00C16083" w:rsidR="00870F6D">
        <w:t xml:space="preserve">the search warrant </w:t>
      </w:r>
      <w:r w:rsidRPr="00C16083" w:rsidR="00BF184F">
        <w:t xml:space="preserve">had not indicated </w:t>
      </w:r>
      <w:r w:rsidRPr="00C16083" w:rsidR="00870F6D">
        <w:t xml:space="preserve">the </w:t>
      </w:r>
      <w:r w:rsidRPr="00C16083" w:rsidR="00BF184F">
        <w:t xml:space="preserve">particular grounds for the search </w:t>
      </w:r>
      <w:r w:rsidRPr="00C16083" w:rsidR="00870F6D">
        <w:t xml:space="preserve">or the </w:t>
      </w:r>
      <w:r w:rsidRPr="00C16083" w:rsidR="00BF184F">
        <w:t xml:space="preserve">exact documents and objects to be </w:t>
      </w:r>
      <w:r w:rsidRPr="00C16083" w:rsidR="00870F6D">
        <w:t xml:space="preserve">seized. It </w:t>
      </w:r>
      <w:r w:rsidRPr="00C16083" w:rsidR="00712312">
        <w:t>remitted the case for a new examination.</w:t>
      </w:r>
    </w:p>
    <w:p w:rsidRPr="00C16083" w:rsidR="00843BB9" w:rsidP="00C16083" w:rsidRDefault="006368BA">
      <w:pPr>
        <w:pStyle w:val="JuPara"/>
      </w:pPr>
      <w:fldSimple w:instr=" SEQ level0 \*arabic ">
        <w:r w:rsidRPr="00C16083" w:rsidR="00C16083">
          <w:rPr>
            <w:noProof/>
          </w:rPr>
          <w:t>41</w:t>
        </w:r>
      </w:fldSimple>
      <w:r w:rsidRPr="00C16083" w:rsidR="00A31FB6">
        <w:t>.  </w:t>
      </w:r>
      <w:r w:rsidRPr="00C16083" w:rsidR="001F6E8D">
        <w:t xml:space="preserve">Based on the </w:t>
      </w:r>
      <w:r w:rsidRPr="00C16083" w:rsidR="00A31FB6">
        <w:t xml:space="preserve">fact </w:t>
      </w:r>
      <w:r w:rsidRPr="00C16083" w:rsidR="00870F6D">
        <w:t xml:space="preserve">that the court decision </w:t>
      </w:r>
      <w:r w:rsidRPr="00C16083" w:rsidR="00A31FB6">
        <w:t xml:space="preserve">of 17 December 2009 </w:t>
      </w:r>
      <w:r w:rsidRPr="00C16083" w:rsidR="00870F6D">
        <w:t xml:space="preserve">had been quashed, </w:t>
      </w:r>
      <w:r w:rsidRPr="00C16083" w:rsidR="001A14AB">
        <w:t>Mr Balyan, Mr Sokolov and Mr Solovyev</w:t>
      </w:r>
      <w:r w:rsidRPr="00C16083" w:rsidR="001F6E8D">
        <w:t xml:space="preserve"> </w:t>
      </w:r>
      <w:r w:rsidRPr="00C16083" w:rsidR="00870F6D">
        <w:t xml:space="preserve">asked </w:t>
      </w:r>
      <w:r w:rsidRPr="00C16083" w:rsidR="001F6E8D">
        <w:t>the investigator</w:t>
      </w:r>
      <w:r w:rsidRPr="00C16083" w:rsidR="00870F6D">
        <w:t>, on at least four occasions,</w:t>
      </w:r>
      <w:r w:rsidRPr="00C16083" w:rsidR="001F6E8D">
        <w:t xml:space="preserve"> to return the seized objects. On 29 March, </w:t>
      </w:r>
      <w:r w:rsidRPr="00C16083" w:rsidR="00870F6D">
        <w:t xml:space="preserve">and </w:t>
      </w:r>
      <w:r w:rsidRPr="00C16083" w:rsidR="001F6E8D">
        <w:t>5</w:t>
      </w:r>
      <w:r w:rsidRPr="00C16083" w:rsidR="00B55234">
        <w:t>,</w:t>
      </w:r>
      <w:r w:rsidRPr="00C16083" w:rsidR="001F6E8D">
        <w:t xml:space="preserve"> 9 </w:t>
      </w:r>
      <w:r w:rsidRPr="00C16083" w:rsidR="00B55234">
        <w:t xml:space="preserve">and 16 </w:t>
      </w:r>
      <w:r w:rsidRPr="00C16083" w:rsidR="001F6E8D">
        <w:t>April 2010 the investigator refused their requests.</w:t>
      </w:r>
      <w:r w:rsidRPr="00C16083" w:rsidR="00712312">
        <w:t xml:space="preserve"> </w:t>
      </w:r>
      <w:r w:rsidRPr="00C16083" w:rsidR="00B55234">
        <w:t>The investigator</w:t>
      </w:r>
      <w:r w:rsidRPr="00C16083" w:rsidR="00C16083">
        <w:t>’</w:t>
      </w:r>
      <w:r w:rsidRPr="00C16083" w:rsidR="00B55234">
        <w:t xml:space="preserve">s decisions indicated that </w:t>
      </w:r>
      <w:r w:rsidRPr="00C16083" w:rsidR="001A14AB">
        <w:t>Mr Balyan, Mr Sokolov and Mr</w:t>
      </w:r>
      <w:r w:rsidRPr="00C16083" w:rsidR="003266EC">
        <w:t> </w:t>
      </w:r>
      <w:r w:rsidRPr="00C16083" w:rsidR="001A14AB">
        <w:t>Solovyev</w:t>
      </w:r>
      <w:r w:rsidRPr="00C16083" w:rsidR="00B55234">
        <w:t xml:space="preserve"> were entitled to challenge before the courts the refusals to return their computer unit and two hard drives. </w:t>
      </w:r>
      <w:r w:rsidRPr="00C16083" w:rsidR="00582FBF">
        <w:t xml:space="preserve">It appears that </w:t>
      </w:r>
      <w:r w:rsidRPr="00C16083" w:rsidR="00EC004F">
        <w:t xml:space="preserve">those devices have </w:t>
      </w:r>
      <w:r w:rsidRPr="00C16083" w:rsidR="00870F6D">
        <w:t xml:space="preserve">still </w:t>
      </w:r>
      <w:r w:rsidRPr="00C16083" w:rsidR="00EC004F">
        <w:t>not been returned.</w:t>
      </w:r>
    </w:p>
    <w:bookmarkStart w:name="Balyan_no_particip_court_hearing" w:id="13"/>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42</w:t>
      </w:r>
      <w:r w:rsidRPr="00C16083">
        <w:rPr>
          <w:noProof/>
        </w:rPr>
        <w:fldChar w:fldCharType="end"/>
      </w:r>
      <w:bookmarkEnd w:id="13"/>
      <w:r w:rsidRPr="00C16083" w:rsidR="00712312">
        <w:t xml:space="preserve">.  On 16 April 2010 the Tverskoy District Court of Moscow </w:t>
      </w:r>
      <w:r w:rsidRPr="00C16083" w:rsidR="00731C89">
        <w:t>held a fresh hearing on the investigator</w:t>
      </w:r>
      <w:r w:rsidRPr="00C16083" w:rsidR="00C16083">
        <w:t>’</w:t>
      </w:r>
      <w:r w:rsidRPr="00C16083" w:rsidR="00731C89">
        <w:t xml:space="preserve">s </w:t>
      </w:r>
      <w:r w:rsidRPr="00C16083" w:rsidR="00DF0FF7">
        <w:t>application</w:t>
      </w:r>
      <w:r w:rsidRPr="00C16083" w:rsidR="00731C89">
        <w:t xml:space="preserve"> </w:t>
      </w:r>
      <w:r w:rsidRPr="00C16083" w:rsidR="00D41E37">
        <w:t xml:space="preserve">for a </w:t>
      </w:r>
      <w:r w:rsidRPr="00C16083" w:rsidR="00731C89">
        <w:t>search</w:t>
      </w:r>
      <w:r w:rsidRPr="00C16083" w:rsidR="00D41E37">
        <w:t xml:space="preserve"> warrant</w:t>
      </w:r>
      <w:r w:rsidRPr="00C16083" w:rsidR="00731C89">
        <w:t xml:space="preserve">. Although </w:t>
      </w:r>
      <w:r w:rsidRPr="00C16083" w:rsidR="001A14AB">
        <w:t>Mr Balyan</w:t>
      </w:r>
      <w:r w:rsidRPr="00C16083" w:rsidR="00C16083">
        <w:t>’</w:t>
      </w:r>
      <w:r w:rsidRPr="00C16083" w:rsidR="00F0540E">
        <w:t xml:space="preserve">s </w:t>
      </w:r>
      <w:r w:rsidRPr="00C16083" w:rsidR="00306FDB">
        <w:t xml:space="preserve">then </w:t>
      </w:r>
      <w:r w:rsidRPr="00C16083" w:rsidR="00F0540E">
        <w:t>representative (Mr Nikolayev), Mr Sokolov and Mr </w:t>
      </w:r>
      <w:r w:rsidRPr="00C16083" w:rsidR="001A14AB">
        <w:t>Solovyev</w:t>
      </w:r>
      <w:r w:rsidRPr="00C16083" w:rsidR="00731C89">
        <w:t xml:space="preserve"> </w:t>
      </w:r>
      <w:r w:rsidRPr="00C16083" w:rsidR="00DF0FF7">
        <w:t xml:space="preserve">arrived </w:t>
      </w:r>
      <w:r w:rsidRPr="00C16083" w:rsidR="00120DA9">
        <w:t>at</w:t>
      </w:r>
      <w:r w:rsidRPr="00C16083" w:rsidR="00731C89">
        <w:t xml:space="preserve"> the hearing</w:t>
      </w:r>
      <w:r w:rsidRPr="00C16083" w:rsidR="00246693">
        <w:t xml:space="preserve"> and the judge allowed them</w:t>
      </w:r>
      <w:r w:rsidRPr="00C16083" w:rsidR="009F3599">
        <w:t xml:space="preserve"> to remain</w:t>
      </w:r>
      <w:r w:rsidRPr="00C16083" w:rsidR="00731C89">
        <w:t>, they were not permitted to make any submissions</w:t>
      </w:r>
      <w:r w:rsidRPr="00C16083" w:rsidR="00D41E37">
        <w:t>.</w:t>
      </w:r>
      <w:r w:rsidRPr="00C16083" w:rsidR="00731C89">
        <w:t xml:space="preserve"> </w:t>
      </w:r>
      <w:r w:rsidRPr="00C16083" w:rsidR="00D41E37">
        <w:t xml:space="preserve">The court referred </w:t>
      </w:r>
      <w:r w:rsidRPr="00C16083" w:rsidR="00F0540E">
        <w:t>to</w:t>
      </w:r>
      <w:r w:rsidRPr="00C16083" w:rsidR="00731C89">
        <w:t xml:space="preserve"> Article 165</w:t>
      </w:r>
      <w:r w:rsidRPr="00C16083" w:rsidR="00DF0FF7">
        <w:t xml:space="preserve"> § 3</w:t>
      </w:r>
      <w:r w:rsidRPr="00C16083" w:rsidR="00731C89">
        <w:t xml:space="preserve"> of the CCrP </w:t>
      </w:r>
      <w:r w:rsidRPr="00C16083" w:rsidR="00DF0FF7">
        <w:t xml:space="preserve">(see paragraph </w:t>
      </w:r>
      <w:r w:rsidRPr="00C16083" w:rsidR="00DF0FF7">
        <w:fldChar w:fldCharType="begin"/>
      </w:r>
      <w:r w:rsidRPr="00C16083" w:rsidR="00DF0FF7">
        <w:instrText xml:space="preserve"> REF A165_scope \h </w:instrText>
      </w:r>
      <w:r w:rsidRPr="00C16083" w:rsidR="00DF0FF7">
        <w:fldChar w:fldCharType="separate"/>
      </w:r>
      <w:r w:rsidRPr="00C16083" w:rsidR="00C16083">
        <w:rPr>
          <w:noProof/>
          <w:lang w:eastAsia="fr-FR"/>
        </w:rPr>
        <w:t>90</w:t>
      </w:r>
      <w:r w:rsidRPr="00C16083" w:rsidR="00DF0FF7">
        <w:fldChar w:fldCharType="end"/>
      </w:r>
      <w:r w:rsidRPr="00C16083" w:rsidR="00DF0FF7">
        <w:t xml:space="preserve"> below)</w:t>
      </w:r>
      <w:r w:rsidRPr="00C16083" w:rsidR="004165BE">
        <w:t>,</w:t>
      </w:r>
      <w:r w:rsidRPr="00C16083" w:rsidR="00DF0FF7">
        <w:t xml:space="preserve"> </w:t>
      </w:r>
      <w:r w:rsidRPr="00C16083" w:rsidR="004165BE">
        <w:t xml:space="preserve">which only provided for </w:t>
      </w:r>
      <w:r w:rsidRPr="00C16083" w:rsidR="00F0540E">
        <w:t xml:space="preserve">the right of </w:t>
      </w:r>
      <w:r w:rsidRPr="00C16083" w:rsidR="00246693">
        <w:t xml:space="preserve">a prosecutor and </w:t>
      </w:r>
      <w:r w:rsidRPr="00C16083" w:rsidR="00F0540E">
        <w:t xml:space="preserve">an </w:t>
      </w:r>
      <w:r w:rsidRPr="00C16083" w:rsidR="00246693">
        <w:t xml:space="preserve">investigator </w:t>
      </w:r>
      <w:r w:rsidRPr="00C16083" w:rsidR="00F0540E">
        <w:t xml:space="preserve">to </w:t>
      </w:r>
      <w:r w:rsidRPr="00C16083" w:rsidR="00246693">
        <w:t>participate in court hearing</w:t>
      </w:r>
      <w:r w:rsidRPr="00C16083" w:rsidR="004165BE">
        <w:t>s</w:t>
      </w:r>
      <w:r w:rsidRPr="00C16083" w:rsidR="00F0540E">
        <w:t xml:space="preserve"> on search warrants</w:t>
      </w:r>
      <w:r w:rsidRPr="00C16083" w:rsidR="00246693">
        <w:t xml:space="preserve">. The court </w:t>
      </w:r>
      <w:r w:rsidRPr="00C16083" w:rsidR="00712312">
        <w:t>again authorised the search of the law firm</w:t>
      </w:r>
      <w:r w:rsidRPr="00C16083" w:rsidR="00326248">
        <w:t>. It found that the investigator</w:t>
      </w:r>
      <w:r w:rsidRPr="00C16083" w:rsidR="00C16083">
        <w:t>’</w:t>
      </w:r>
      <w:r w:rsidRPr="00C16083" w:rsidR="00326248">
        <w:t>s application for a search warrant complied with criminal</w:t>
      </w:r>
      <w:r w:rsidRPr="00C16083" w:rsidR="00870119">
        <w:t>-</w:t>
      </w:r>
      <w:r w:rsidRPr="00C16083" w:rsidR="00326248">
        <w:t>procedure requirements and that there were sufficient grounds to believe that objects and documents relevant to the criminal case could be located at the law firm</w:t>
      </w:r>
      <w:r w:rsidRPr="00C16083" w:rsidR="00C16083">
        <w:t>’</w:t>
      </w:r>
      <w:r w:rsidRPr="00C16083" w:rsidR="00326248">
        <w:t xml:space="preserve">s office. The court also noted that given </w:t>
      </w:r>
      <w:r w:rsidRPr="00C16083" w:rsidR="001A14AB">
        <w:t>Mr Balyan, Mr Sokolov and Mr Solovyev</w:t>
      </w:r>
      <w:r w:rsidRPr="00C16083" w:rsidR="00326248">
        <w:t xml:space="preserve"> </w:t>
      </w:r>
      <w:r w:rsidRPr="00C16083" w:rsidR="004165BE">
        <w:t xml:space="preserve">had the </w:t>
      </w:r>
      <w:r w:rsidRPr="00C16083" w:rsidR="00326248">
        <w:t>status of advocates, the search of their law firm had been possible on the basis of the court search warrant.</w:t>
      </w:r>
    </w:p>
    <w:p w:rsidRPr="00C16083" w:rsidR="00843BB9" w:rsidP="00C16083" w:rsidRDefault="006368BA">
      <w:pPr>
        <w:pStyle w:val="JuPara"/>
      </w:pPr>
      <w:fldSimple w:instr=" SEQ level0 \*arabic ">
        <w:r w:rsidRPr="00C16083" w:rsidR="00C16083">
          <w:rPr>
            <w:noProof/>
          </w:rPr>
          <w:t>43</w:t>
        </w:r>
      </w:fldSimple>
      <w:r w:rsidRPr="00C16083" w:rsidR="00712312">
        <w:t xml:space="preserve">.  On 23 June 2010 </w:t>
      </w:r>
      <w:r w:rsidRPr="00C16083" w:rsidR="000F1749">
        <w:t xml:space="preserve">an appeal lodged by </w:t>
      </w:r>
      <w:r w:rsidRPr="00C16083" w:rsidR="001A14AB">
        <w:t>Mr Balyan, Mr Sokolov and Mr Solovyev</w:t>
      </w:r>
      <w:r w:rsidRPr="00C16083" w:rsidR="007364AB">
        <w:t xml:space="preserve"> </w:t>
      </w:r>
      <w:r w:rsidRPr="00C16083" w:rsidR="000F1749">
        <w:t xml:space="preserve">complaining about </w:t>
      </w:r>
      <w:r w:rsidRPr="00C16083" w:rsidR="00B00807">
        <w:t>the search warrant</w:t>
      </w:r>
      <w:r w:rsidRPr="00C16083" w:rsidR="00C9230C">
        <w:t xml:space="preserve"> of 16 April 2010</w:t>
      </w:r>
      <w:r w:rsidRPr="00C16083" w:rsidR="00712312">
        <w:t xml:space="preserve"> was dismissed.</w:t>
      </w:r>
    </w:p>
    <w:bookmarkStart w:name="court_dec_manner_search_Balyan" w:id="14"/>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44</w:t>
      </w:r>
      <w:r w:rsidRPr="00C16083">
        <w:rPr>
          <w:noProof/>
        </w:rPr>
        <w:fldChar w:fldCharType="end"/>
      </w:r>
      <w:bookmarkEnd w:id="14"/>
      <w:r w:rsidRPr="00C16083" w:rsidR="00712312">
        <w:t>.  </w:t>
      </w:r>
      <w:r w:rsidRPr="00C16083" w:rsidR="00120DA9">
        <w:t>Meanwhile</w:t>
      </w:r>
      <w:r w:rsidRPr="00C16083" w:rsidR="000F1749">
        <w:t>,</w:t>
      </w:r>
      <w:r w:rsidRPr="00C16083" w:rsidR="00120DA9">
        <w:t xml:space="preserve"> </w:t>
      </w:r>
      <w:r w:rsidRPr="00C16083" w:rsidR="00F0540E">
        <w:t>Mr Balyan</w:t>
      </w:r>
      <w:r w:rsidRPr="00C16083" w:rsidR="00712312">
        <w:t xml:space="preserve"> also </w:t>
      </w:r>
      <w:r w:rsidRPr="00C16083" w:rsidR="006C12BD">
        <w:t xml:space="preserve">brought proceedings under Article 125 of the CCrP, complaining </w:t>
      </w:r>
      <w:r w:rsidRPr="00C16083" w:rsidR="00712312">
        <w:t xml:space="preserve">about the manner </w:t>
      </w:r>
      <w:r w:rsidRPr="00C16083" w:rsidR="000F1749">
        <w:t xml:space="preserve">in which </w:t>
      </w:r>
      <w:r w:rsidRPr="00C16083" w:rsidR="00712312">
        <w:t>the search</w:t>
      </w:r>
      <w:r w:rsidRPr="00C16083" w:rsidR="001F6E8D">
        <w:t xml:space="preserve"> </w:t>
      </w:r>
      <w:r w:rsidRPr="00C16083" w:rsidR="000F1749">
        <w:t xml:space="preserve">had been carried out </w:t>
      </w:r>
      <w:r w:rsidRPr="00C16083" w:rsidR="001F6E8D">
        <w:t xml:space="preserve">and </w:t>
      </w:r>
      <w:r w:rsidRPr="00C16083" w:rsidR="00A621BF">
        <w:t xml:space="preserve">the </w:t>
      </w:r>
      <w:r w:rsidRPr="00C16083" w:rsidR="001F6E8D">
        <w:t xml:space="preserve">seizure of </w:t>
      </w:r>
      <w:r w:rsidRPr="00C16083" w:rsidR="00DE4AF0">
        <w:t xml:space="preserve">documents and </w:t>
      </w:r>
      <w:r w:rsidRPr="00C16083" w:rsidR="001F6E8D">
        <w:t>objects</w:t>
      </w:r>
      <w:r w:rsidRPr="00C16083" w:rsidR="006C12BD">
        <w:t>.</w:t>
      </w:r>
      <w:r w:rsidRPr="00C16083" w:rsidR="00843BB9">
        <w:t xml:space="preserve"> </w:t>
      </w:r>
      <w:r w:rsidRPr="00C16083" w:rsidR="006637C9">
        <w:t>In particular, he argued that the court search warrant of 17 December 2009 had been issued in respect of the law firm, but had not covered his advocate</w:t>
      </w:r>
      <w:r w:rsidRPr="00C16083" w:rsidR="00C16083">
        <w:t>’</w:t>
      </w:r>
      <w:r w:rsidRPr="00C16083" w:rsidR="006637C9">
        <w:t>s office, a search of which should have been authorised on an individual basis.</w:t>
      </w:r>
      <w:r w:rsidRPr="00C16083" w:rsidR="00712312">
        <w:t xml:space="preserve"> </w:t>
      </w:r>
      <w:r w:rsidRPr="00C16083" w:rsidR="00C9230C">
        <w:t>O</w:t>
      </w:r>
      <w:r w:rsidRPr="00C16083" w:rsidR="00712312">
        <w:t xml:space="preserve">n 4 June 2010 </w:t>
      </w:r>
      <w:r w:rsidRPr="00C16083" w:rsidR="00C9230C">
        <w:t>his complaint</w:t>
      </w:r>
      <w:r w:rsidRPr="00C16083" w:rsidR="00712312">
        <w:t xml:space="preserve"> was dismissed</w:t>
      </w:r>
      <w:r w:rsidRPr="00C16083" w:rsidR="006637C9">
        <w:t>. The court held that the search had been performed in compliance with the criminal</w:t>
      </w:r>
      <w:r w:rsidRPr="00C16083" w:rsidR="00870119">
        <w:t>-</w:t>
      </w:r>
      <w:r w:rsidRPr="00C16083" w:rsidR="006637C9">
        <w:t>procedure requirements</w:t>
      </w:r>
      <w:r w:rsidRPr="00C16083" w:rsidR="006C12BD">
        <w:t xml:space="preserve"> and</w:t>
      </w:r>
      <w:r w:rsidRPr="00C16083" w:rsidR="006637C9">
        <w:t xml:space="preserve"> that it had been based on a valid court search warrant issued as part of an ongoing criminal investigation.</w:t>
      </w:r>
    </w:p>
    <w:p w:rsidRPr="00C16083" w:rsidR="00843BB9" w:rsidP="00C16083" w:rsidRDefault="006368BA">
      <w:pPr>
        <w:pStyle w:val="JuPara"/>
      </w:pPr>
      <w:fldSimple w:instr=" SEQ level0 \*arabic ">
        <w:r w:rsidRPr="00C16083" w:rsidR="00C16083">
          <w:rPr>
            <w:noProof/>
          </w:rPr>
          <w:t>45</w:t>
        </w:r>
      </w:fldSimple>
      <w:r w:rsidRPr="00C16083" w:rsidR="00CA2613">
        <w:t>.  </w:t>
      </w:r>
      <w:r w:rsidRPr="00C16083" w:rsidR="00712312">
        <w:t>On 2 August 2010 the above decision was upheld</w:t>
      </w:r>
      <w:r w:rsidRPr="00C16083" w:rsidR="00120DA9">
        <w:t xml:space="preserve"> on appeal</w:t>
      </w:r>
      <w:r w:rsidRPr="00C16083" w:rsidR="00712312">
        <w:t>.</w:t>
      </w:r>
    </w:p>
    <w:p w:rsidRPr="00C16083" w:rsidR="00843BB9" w:rsidP="00C16083" w:rsidRDefault="00712312">
      <w:pPr>
        <w:pStyle w:val="JuH1"/>
      </w:pPr>
      <w:r w:rsidRPr="00C16083">
        <w:t>Application no. 10825/11, Silivanov v. Russia</w:t>
      </w:r>
    </w:p>
    <w:p w:rsidRPr="00C16083" w:rsidR="00843BB9" w:rsidP="00C16083" w:rsidRDefault="006368BA">
      <w:pPr>
        <w:pStyle w:val="JuPara"/>
      </w:pPr>
      <w:fldSimple w:instr=" SEQ level0 \*arabic ">
        <w:r w:rsidRPr="00C16083" w:rsidR="00C16083">
          <w:rPr>
            <w:noProof/>
          </w:rPr>
          <w:t>46</w:t>
        </w:r>
      </w:fldSimple>
      <w:r w:rsidRPr="00C16083" w:rsidR="00712312">
        <w:t>.  </w:t>
      </w:r>
      <w:r w:rsidRPr="00C16083" w:rsidR="00963B7B">
        <w:t>Mr Silivanov</w:t>
      </w:r>
      <w:r w:rsidRPr="00C16083" w:rsidR="00712312">
        <w:t xml:space="preserve"> is a practising lawyer, but is not a member of a Bar</w:t>
      </w:r>
      <w:r w:rsidRPr="00C16083" w:rsidR="00870119">
        <w:t xml:space="preserve"> association</w:t>
      </w:r>
      <w:r w:rsidRPr="00C16083" w:rsidR="00712312">
        <w:t xml:space="preserve">. He </w:t>
      </w:r>
      <w:r w:rsidRPr="00C16083" w:rsidR="000F1749">
        <w:t xml:space="preserve">had </w:t>
      </w:r>
      <w:r w:rsidRPr="00C16083" w:rsidR="00306FDB">
        <w:t>provided</w:t>
      </w:r>
      <w:r w:rsidRPr="00C16083" w:rsidR="00712312">
        <w:t xml:space="preserve"> legal services to </w:t>
      </w:r>
      <w:r w:rsidRPr="00C16083" w:rsidR="00DC4CAC">
        <w:t>Ms</w:t>
      </w:r>
      <w:r w:rsidRPr="00C16083" w:rsidR="00712312">
        <w:t xml:space="preserve"> M., who later became </w:t>
      </w:r>
      <w:r w:rsidRPr="00C16083" w:rsidR="00870119">
        <w:t xml:space="preserve">the </w:t>
      </w:r>
      <w:r w:rsidRPr="00C16083" w:rsidR="00712312">
        <w:t xml:space="preserve">subject </w:t>
      </w:r>
      <w:r w:rsidRPr="00C16083" w:rsidR="00870119">
        <w:t xml:space="preserve">of </w:t>
      </w:r>
      <w:r w:rsidRPr="00C16083" w:rsidR="00712312">
        <w:t>a criminal investigation in respect of illegal real</w:t>
      </w:r>
      <w:r w:rsidRPr="00C16083" w:rsidR="000F1749">
        <w:t>-</w:t>
      </w:r>
      <w:r w:rsidRPr="00C16083" w:rsidR="00712312">
        <w:t>estate transactions.</w:t>
      </w:r>
    </w:p>
    <w:bookmarkStart w:name="search_warrant_Silivanov" w:id="15"/>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47</w:t>
      </w:r>
      <w:r w:rsidRPr="00C16083">
        <w:rPr>
          <w:noProof/>
        </w:rPr>
        <w:fldChar w:fldCharType="end"/>
      </w:r>
      <w:bookmarkEnd w:id="15"/>
      <w:r w:rsidRPr="00C16083" w:rsidR="00712312">
        <w:t xml:space="preserve">.  On 16 July 2010 the Kirovskiy District Court of Yekaterinburg </w:t>
      </w:r>
      <w:r w:rsidRPr="00C16083" w:rsidR="008846D6">
        <w:t xml:space="preserve">granted </w:t>
      </w:r>
      <w:r w:rsidRPr="00C16083" w:rsidR="000F1749">
        <w:t xml:space="preserve">an </w:t>
      </w:r>
      <w:r w:rsidRPr="00C16083" w:rsidR="008846D6">
        <w:t xml:space="preserve">application </w:t>
      </w:r>
      <w:r w:rsidRPr="00C16083" w:rsidR="000F1749">
        <w:t xml:space="preserve">lodged by the investigator </w:t>
      </w:r>
      <w:r w:rsidRPr="00C16083" w:rsidR="00870119">
        <w:t xml:space="preserve">for a warrant </w:t>
      </w:r>
      <w:r w:rsidRPr="00C16083" w:rsidR="008846D6">
        <w:t xml:space="preserve">to search </w:t>
      </w:r>
      <w:r w:rsidRPr="00C16083" w:rsidR="00963B7B">
        <w:t>Mr</w:t>
      </w:r>
      <w:r w:rsidRPr="00C16083" w:rsidR="003266EC">
        <w:t> </w:t>
      </w:r>
      <w:r w:rsidRPr="00C16083" w:rsidR="00963B7B">
        <w:t>Silivanov</w:t>
      </w:r>
      <w:r w:rsidRPr="00C16083" w:rsidR="00C16083">
        <w:t>’</w:t>
      </w:r>
      <w:r w:rsidRPr="00C16083" w:rsidR="008846D6">
        <w:t>s flat</w:t>
      </w:r>
      <w:r w:rsidRPr="00C16083" w:rsidR="000F1749">
        <w:t>,</w:t>
      </w:r>
      <w:r w:rsidRPr="00C16083" w:rsidR="008846D6">
        <w:t xml:space="preserve"> having found it well-founded. It held that as </w:t>
      </w:r>
      <w:r w:rsidRPr="00C16083" w:rsidR="00963B7B">
        <w:t>Mr</w:t>
      </w:r>
      <w:r w:rsidRPr="00C16083" w:rsidR="00396146">
        <w:t> </w:t>
      </w:r>
      <w:r w:rsidRPr="00C16083" w:rsidR="00963B7B">
        <w:t>Silivanov</w:t>
      </w:r>
      <w:r w:rsidRPr="00C16083" w:rsidR="008846D6">
        <w:t xml:space="preserve"> had a close relationship with </w:t>
      </w:r>
      <w:r w:rsidRPr="00C16083" w:rsidR="00DC4CAC">
        <w:t>Ms</w:t>
      </w:r>
      <w:r w:rsidRPr="00C16083" w:rsidR="008846D6">
        <w:t xml:space="preserve"> M., objects and documents about her real</w:t>
      </w:r>
      <w:r w:rsidRPr="00C16083" w:rsidR="000F1749">
        <w:t>-</w:t>
      </w:r>
      <w:r w:rsidRPr="00C16083" w:rsidR="008846D6">
        <w:t xml:space="preserve">estate transactions relevant to the investigation could be located at </w:t>
      </w:r>
      <w:r w:rsidRPr="00C16083" w:rsidR="00963B7B">
        <w:t>Mr</w:t>
      </w:r>
      <w:r w:rsidRPr="00C16083" w:rsidR="003266EC">
        <w:t> </w:t>
      </w:r>
      <w:r w:rsidRPr="00C16083" w:rsidR="00963B7B">
        <w:t>Silivanov</w:t>
      </w:r>
      <w:r w:rsidRPr="00C16083" w:rsidR="00C16083">
        <w:t>’</w:t>
      </w:r>
      <w:r w:rsidRPr="00C16083" w:rsidR="008846D6">
        <w:t>s home</w:t>
      </w:r>
      <w:r w:rsidRPr="00C16083" w:rsidR="00712312">
        <w:t xml:space="preserve">.  On 20 July 2010 </w:t>
      </w:r>
      <w:r w:rsidRPr="00C16083" w:rsidR="00963B7B">
        <w:t>Mr Silivanov</w:t>
      </w:r>
      <w:r w:rsidRPr="00C16083" w:rsidR="00C16083">
        <w:t>’</w:t>
      </w:r>
      <w:r w:rsidRPr="00C16083" w:rsidR="00712312">
        <w:t>s home was searched.</w:t>
      </w:r>
    </w:p>
    <w:p w:rsidRPr="00C16083" w:rsidR="00843BB9" w:rsidP="00C16083" w:rsidRDefault="006368BA">
      <w:pPr>
        <w:pStyle w:val="JuPara"/>
      </w:pPr>
      <w:fldSimple w:instr=" SEQ level0 \*arabic ">
        <w:r w:rsidRPr="00C16083" w:rsidR="00C16083">
          <w:rPr>
            <w:noProof/>
          </w:rPr>
          <w:t>48</w:t>
        </w:r>
      </w:fldSimple>
      <w:r w:rsidRPr="00C16083" w:rsidR="00712312">
        <w:t>.  </w:t>
      </w:r>
      <w:r w:rsidRPr="00C16083" w:rsidR="00963B7B">
        <w:t>Mr Silivanov</w:t>
      </w:r>
      <w:r w:rsidRPr="00C16083" w:rsidR="00712312">
        <w:t xml:space="preserve"> appealed against the court</w:t>
      </w:r>
      <w:r w:rsidRPr="00C16083" w:rsidR="00C16083">
        <w:t>’</w:t>
      </w:r>
      <w:r w:rsidRPr="00C16083" w:rsidR="000F1749">
        <w:t>s decision of 16 July 2010 to issue a</w:t>
      </w:r>
      <w:r w:rsidRPr="00C16083" w:rsidR="00712312">
        <w:t xml:space="preserve"> search warrant</w:t>
      </w:r>
      <w:r w:rsidRPr="00C16083" w:rsidR="000F1749">
        <w:t>,</w:t>
      </w:r>
      <w:r w:rsidRPr="00C16083" w:rsidR="00712312">
        <w:t xml:space="preserve"> claiming that it </w:t>
      </w:r>
      <w:r w:rsidRPr="00C16083" w:rsidR="00870119">
        <w:t xml:space="preserve">was </w:t>
      </w:r>
      <w:r w:rsidRPr="00C16083" w:rsidR="00712312">
        <w:t>grou</w:t>
      </w:r>
      <w:r w:rsidRPr="00C16083" w:rsidR="00736760">
        <w:t>ndless, excessively wide</w:t>
      </w:r>
      <w:r w:rsidRPr="00C16083" w:rsidR="00736760">
        <w:noBreakHyphen/>
      </w:r>
      <w:r w:rsidRPr="00C16083" w:rsidR="00712312">
        <w:t xml:space="preserve">ranging and disproportionate. </w:t>
      </w:r>
      <w:r w:rsidRPr="00C16083" w:rsidR="00963B7B">
        <w:t>Mr Silivanov</w:t>
      </w:r>
      <w:r w:rsidRPr="00C16083" w:rsidR="00712312">
        <w:t xml:space="preserve"> also relied on the Court</w:t>
      </w:r>
      <w:r w:rsidRPr="00C16083" w:rsidR="00C16083">
        <w:t>’</w:t>
      </w:r>
      <w:r w:rsidRPr="00C16083" w:rsidR="00712312">
        <w:t>s case</w:t>
      </w:r>
      <w:r w:rsidRPr="00C16083" w:rsidR="00396146">
        <w:noBreakHyphen/>
      </w:r>
      <w:r w:rsidRPr="00C16083" w:rsidR="00712312">
        <w:t>law requiring special procedural safeguards to be available in respect of searches of lawyers</w:t>
      </w:r>
      <w:r w:rsidRPr="00C16083" w:rsidR="00C16083">
        <w:t>’</w:t>
      </w:r>
      <w:r w:rsidRPr="00C16083" w:rsidR="00712312">
        <w:t xml:space="preserve"> premises. On 11 August 2010 the Sverdlovsk Regional Court upheld the </w:t>
      </w:r>
      <w:r w:rsidRPr="00C16083" w:rsidR="000F1749">
        <w:t>decision to issue</w:t>
      </w:r>
      <w:r w:rsidRPr="00C16083" w:rsidR="00712312">
        <w:t xml:space="preserve"> </w:t>
      </w:r>
      <w:r w:rsidRPr="00C16083" w:rsidR="000F1749">
        <w:t xml:space="preserve">a </w:t>
      </w:r>
      <w:r w:rsidRPr="00C16083" w:rsidR="00712312">
        <w:t>search warrant.</w:t>
      </w:r>
    </w:p>
    <w:p w:rsidRPr="00C16083" w:rsidR="00843BB9" w:rsidP="00C16083" w:rsidRDefault="00712312">
      <w:pPr>
        <w:pStyle w:val="JuH1"/>
      </w:pPr>
      <w:r w:rsidRPr="00C16083">
        <w:t>Application no. 14244/11, Belinskaya and others v. Russia</w:t>
      </w:r>
    </w:p>
    <w:p w:rsidRPr="00C16083" w:rsidR="00843BB9" w:rsidP="00C16083" w:rsidRDefault="006368BA">
      <w:pPr>
        <w:pStyle w:val="JuPara"/>
      </w:pPr>
      <w:fldSimple w:instr=" SEQ level0 \*arabic ">
        <w:r w:rsidRPr="00C16083" w:rsidR="00C16083">
          <w:rPr>
            <w:noProof/>
          </w:rPr>
          <w:t>49</w:t>
        </w:r>
      </w:fldSimple>
      <w:r w:rsidRPr="00C16083" w:rsidR="00712312">
        <w:t>.  </w:t>
      </w:r>
      <w:r w:rsidRPr="00C16083" w:rsidR="00DC4CAC">
        <w:t>Ms</w:t>
      </w:r>
      <w:r w:rsidRPr="00C16083" w:rsidR="00CA1B88">
        <w:t xml:space="preserve"> Belinskaya</w:t>
      </w:r>
      <w:r w:rsidRPr="00C16083" w:rsidR="00712312">
        <w:t xml:space="preserve"> was suspected of having been involved in the production of an allegedly forged medical report about the state of health of </w:t>
      </w:r>
      <w:r w:rsidRPr="00C16083" w:rsidR="00C12052">
        <w:t xml:space="preserve">a </w:t>
      </w:r>
      <w:r w:rsidRPr="00C16083" w:rsidR="00712312">
        <w:t>client</w:t>
      </w:r>
      <w:r w:rsidRPr="00C16083" w:rsidR="00C12052">
        <w:t xml:space="preserve"> of hers</w:t>
      </w:r>
      <w:r w:rsidRPr="00C16083" w:rsidR="00712312">
        <w:t xml:space="preserve">, </w:t>
      </w:r>
      <w:r w:rsidRPr="00C16083" w:rsidR="00CA1B88">
        <w:t>Mr Makovoz</w:t>
      </w:r>
      <w:r w:rsidRPr="00C16083" w:rsidR="00712312">
        <w:t xml:space="preserve">. </w:t>
      </w:r>
      <w:r w:rsidRPr="00C16083" w:rsidR="00CA1B88">
        <w:t>Mr Sokolov and Mr Burykin</w:t>
      </w:r>
      <w:r w:rsidRPr="00C16083" w:rsidR="00712312">
        <w:t xml:space="preserve"> were </w:t>
      </w:r>
      <w:r w:rsidRPr="00C16083" w:rsidR="00BE646D">
        <w:t>other</w:t>
      </w:r>
      <w:r w:rsidRPr="00C16083" w:rsidR="00712312">
        <w:t xml:space="preserve"> </w:t>
      </w:r>
      <w:r w:rsidRPr="00C16083" w:rsidR="00BE646D">
        <w:t xml:space="preserve">clients of </w:t>
      </w:r>
      <w:r w:rsidRPr="00C16083" w:rsidR="00DC4CAC">
        <w:t>Ms</w:t>
      </w:r>
      <w:r w:rsidRPr="00C16083" w:rsidR="00CA1B88">
        <w:t xml:space="preserve"> Belinskaya</w:t>
      </w:r>
      <w:r w:rsidRPr="00C16083" w:rsidR="00BE646D">
        <w:t xml:space="preserve"> at the relevant time</w:t>
      </w:r>
      <w:r w:rsidRPr="00C16083" w:rsidR="00712312">
        <w:t>.</w:t>
      </w:r>
    </w:p>
    <w:bookmarkStart w:name="Belinskaya_search_warrant" w:id="16"/>
    <w:p w:rsidRPr="00C16083" w:rsidR="00843BB9" w:rsidP="00C16083" w:rsidRDefault="00712312">
      <w:pPr>
        <w:pStyle w:val="JuPara"/>
      </w:pPr>
      <w:r w:rsidRPr="00C16083">
        <w:fldChar w:fldCharType="begin"/>
      </w:r>
      <w:r w:rsidRPr="00C16083">
        <w:instrText xml:space="preserve"> SEQ level0 \*arabic </w:instrText>
      </w:r>
      <w:r w:rsidRPr="00C16083">
        <w:fldChar w:fldCharType="separate"/>
      </w:r>
      <w:r w:rsidRPr="00C16083" w:rsidR="00C16083">
        <w:rPr>
          <w:noProof/>
        </w:rPr>
        <w:t>50</w:t>
      </w:r>
      <w:r w:rsidRPr="00C16083">
        <w:fldChar w:fldCharType="end"/>
      </w:r>
      <w:bookmarkEnd w:id="16"/>
      <w:r w:rsidRPr="00C16083">
        <w:t>.  On 25 March 2010 the Kalininskiy District Court of St Petersburg</w:t>
      </w:r>
      <w:r w:rsidRPr="00C16083" w:rsidR="00BD20AE">
        <w:t xml:space="preserve"> authorised </w:t>
      </w:r>
      <w:r w:rsidRPr="00C16083" w:rsidR="00C12052">
        <w:t xml:space="preserve">a </w:t>
      </w:r>
      <w:r w:rsidRPr="00C16083" w:rsidR="00BD20AE">
        <w:t xml:space="preserve">search </w:t>
      </w:r>
      <w:r w:rsidRPr="00C16083" w:rsidR="00C12052">
        <w:t xml:space="preserve">of </w:t>
      </w:r>
      <w:r w:rsidRPr="00C16083" w:rsidR="00DC4CAC">
        <w:t>Ms</w:t>
      </w:r>
      <w:r w:rsidRPr="00C16083" w:rsidR="00CA1B88">
        <w:t xml:space="preserve"> Belinskaya</w:t>
      </w:r>
      <w:r w:rsidRPr="00C16083" w:rsidR="00C16083">
        <w:t>’</w:t>
      </w:r>
      <w:r w:rsidRPr="00C16083" w:rsidR="00BD20AE">
        <w:t xml:space="preserve">s office. It found that </w:t>
      </w:r>
      <w:r w:rsidRPr="00C16083" w:rsidR="00377026">
        <w:t>the</w:t>
      </w:r>
      <w:r w:rsidRPr="00C16083" w:rsidR="00BD20AE">
        <w:t xml:space="preserve"> forged medical report had been issued </w:t>
      </w:r>
      <w:r w:rsidRPr="00C16083" w:rsidR="00870119">
        <w:t xml:space="preserve">at the request of </w:t>
      </w:r>
      <w:r w:rsidRPr="00C16083" w:rsidR="00DC4CAC">
        <w:t>Ms</w:t>
      </w:r>
      <w:r w:rsidRPr="00C16083" w:rsidR="00CA1B88">
        <w:t xml:space="preserve"> Belinskaya</w:t>
      </w:r>
      <w:r w:rsidRPr="00C16083" w:rsidR="00BD20AE">
        <w:t xml:space="preserve"> </w:t>
      </w:r>
      <w:r w:rsidRPr="00C16083" w:rsidR="00870119">
        <w:t xml:space="preserve">as an </w:t>
      </w:r>
      <w:r w:rsidRPr="00C16083" w:rsidR="00BD20AE">
        <w:t>advocate</w:t>
      </w:r>
      <w:r w:rsidRPr="00C16083" w:rsidR="00870119">
        <w:t>,</w:t>
      </w:r>
      <w:r w:rsidRPr="00C16083" w:rsidR="00377026">
        <w:t xml:space="preserve"> and</w:t>
      </w:r>
      <w:r w:rsidRPr="00C16083">
        <w:t xml:space="preserve"> </w:t>
      </w:r>
      <w:r w:rsidRPr="00C16083" w:rsidR="00377026">
        <w:t xml:space="preserve">thus objects and documents relevant to the ongoing criminal investigation could be located at her office. The court </w:t>
      </w:r>
      <w:r w:rsidRPr="00C16083" w:rsidR="00C12052">
        <w:t xml:space="preserve">ordered the seizure of </w:t>
      </w:r>
      <w:r w:rsidRPr="00C16083" w:rsidR="00377026">
        <w:t>all data</w:t>
      </w:r>
      <w:r w:rsidRPr="00C16083" w:rsidR="00C12052">
        <w:t>-</w:t>
      </w:r>
      <w:r w:rsidRPr="00C16083" w:rsidR="00377026">
        <w:t>storage devices with information about the medical report.</w:t>
      </w:r>
    </w:p>
    <w:bookmarkStart w:name="Belinskaya_appeal_warrant" w:id="17"/>
    <w:p w:rsidRPr="00C16083" w:rsidR="00843BB9" w:rsidP="00C16083" w:rsidRDefault="00712312">
      <w:pPr>
        <w:pStyle w:val="JuPara"/>
      </w:pPr>
      <w:r w:rsidRPr="00C16083">
        <w:fldChar w:fldCharType="begin"/>
      </w:r>
      <w:r w:rsidRPr="00C16083">
        <w:instrText xml:space="preserve"> SEQ level0 \*arabic </w:instrText>
      </w:r>
      <w:r w:rsidRPr="00C16083">
        <w:fldChar w:fldCharType="separate"/>
      </w:r>
      <w:r w:rsidRPr="00C16083" w:rsidR="00C16083">
        <w:rPr>
          <w:noProof/>
        </w:rPr>
        <w:t>51</w:t>
      </w:r>
      <w:r w:rsidRPr="00C16083">
        <w:fldChar w:fldCharType="end"/>
      </w:r>
      <w:bookmarkEnd w:id="17"/>
      <w:r w:rsidRPr="00C16083">
        <w:t xml:space="preserve">.  On 26 March 2010 </w:t>
      </w:r>
      <w:r w:rsidRPr="00C16083" w:rsidR="00870119">
        <w:t xml:space="preserve">the </w:t>
      </w:r>
      <w:r w:rsidRPr="00C16083">
        <w:t xml:space="preserve">police searched </w:t>
      </w:r>
      <w:r w:rsidRPr="00C16083" w:rsidR="00DC4CAC">
        <w:t>Ms</w:t>
      </w:r>
      <w:r w:rsidRPr="00C16083" w:rsidR="00CA1B88">
        <w:t xml:space="preserve"> Belinskaya</w:t>
      </w:r>
      <w:r w:rsidRPr="00C16083" w:rsidR="00C16083">
        <w:t>’</w:t>
      </w:r>
      <w:r w:rsidRPr="00C16083">
        <w:t>s office. During the search</w:t>
      </w:r>
      <w:r w:rsidRPr="00C16083" w:rsidR="00C12052">
        <w:t>, the</w:t>
      </w:r>
      <w:r w:rsidRPr="00C16083" w:rsidR="00870119">
        <w:t>y</w:t>
      </w:r>
      <w:r w:rsidRPr="00C16083">
        <w:t xml:space="preserve"> seized a hard drive</w:t>
      </w:r>
      <w:r w:rsidRPr="00C16083" w:rsidR="00981AF1">
        <w:t xml:space="preserve"> and</w:t>
      </w:r>
      <w:r w:rsidRPr="00C16083">
        <w:t xml:space="preserve"> </w:t>
      </w:r>
      <w:r w:rsidRPr="00C16083" w:rsidR="00981AF1">
        <w:t>two</w:t>
      </w:r>
      <w:r w:rsidRPr="00C16083">
        <w:t xml:space="preserve"> computer</w:t>
      </w:r>
      <w:r w:rsidRPr="00C16083" w:rsidR="00981AF1">
        <w:t>s</w:t>
      </w:r>
      <w:r w:rsidRPr="00C16083">
        <w:t xml:space="preserve"> belonging to her. </w:t>
      </w:r>
      <w:r w:rsidRPr="00C16083" w:rsidR="00DC4CAC">
        <w:t>Ms</w:t>
      </w:r>
      <w:r w:rsidRPr="00C16083" w:rsidR="00CA1B88">
        <w:t xml:space="preserve"> Belinskaya</w:t>
      </w:r>
      <w:r w:rsidRPr="00C16083" w:rsidR="008A24E0">
        <w:t xml:space="preserve"> appealed,</w:t>
      </w:r>
      <w:r w:rsidRPr="00C16083">
        <w:t xml:space="preserve"> </w:t>
      </w:r>
      <w:r w:rsidRPr="00C16083" w:rsidR="008A24E0">
        <w:t xml:space="preserve">alleging that the </w:t>
      </w:r>
      <w:r w:rsidRPr="00C16083" w:rsidR="00AD1DFA">
        <w:t xml:space="preserve">court search warrant of 25 March 2010 </w:t>
      </w:r>
      <w:r w:rsidRPr="00C16083" w:rsidR="00396146">
        <w:t xml:space="preserve">had been unlawful. </w:t>
      </w:r>
      <w:r w:rsidRPr="00C16083" w:rsidR="008A24E0">
        <w:t xml:space="preserve">Her appeal </w:t>
      </w:r>
      <w:r w:rsidRPr="00C16083">
        <w:t>was dismissed on 11 May 2010.</w:t>
      </w:r>
    </w:p>
    <w:bookmarkStart w:name="Belinskaya_A125_start" w:id="18"/>
    <w:p w:rsidRPr="00C16083" w:rsidR="00843BB9" w:rsidP="00C16083" w:rsidRDefault="00712312">
      <w:pPr>
        <w:pStyle w:val="JuPara"/>
      </w:pPr>
      <w:r w:rsidRPr="00C16083">
        <w:fldChar w:fldCharType="begin"/>
      </w:r>
      <w:r w:rsidRPr="00C16083">
        <w:instrText xml:space="preserve"> SEQ level0 \*arabic </w:instrText>
      </w:r>
      <w:r w:rsidRPr="00C16083">
        <w:fldChar w:fldCharType="separate"/>
      </w:r>
      <w:r w:rsidRPr="00C16083" w:rsidR="00C16083">
        <w:rPr>
          <w:noProof/>
        </w:rPr>
        <w:t>52</w:t>
      </w:r>
      <w:r w:rsidRPr="00C16083">
        <w:fldChar w:fldCharType="end"/>
      </w:r>
      <w:bookmarkEnd w:id="18"/>
      <w:r w:rsidRPr="00C16083">
        <w:t>.  </w:t>
      </w:r>
      <w:r w:rsidRPr="00C16083" w:rsidR="00DC4CAC">
        <w:t>Ms</w:t>
      </w:r>
      <w:r w:rsidRPr="00C16083" w:rsidR="00CA1B88">
        <w:t xml:space="preserve"> Belinskaya</w:t>
      </w:r>
      <w:r w:rsidRPr="00C16083">
        <w:t xml:space="preserve"> and </w:t>
      </w:r>
      <w:r w:rsidRPr="00C16083" w:rsidR="00CA1B88">
        <w:t>Mr Makovoz</w:t>
      </w:r>
      <w:r w:rsidRPr="00C16083">
        <w:t xml:space="preserve"> also </w:t>
      </w:r>
      <w:r w:rsidRPr="00C16083" w:rsidR="00B103DC">
        <w:t xml:space="preserve">brought proceedings </w:t>
      </w:r>
      <w:r w:rsidRPr="00C16083">
        <w:t>under Article</w:t>
      </w:r>
      <w:r w:rsidRPr="00C16083" w:rsidR="001D0964">
        <w:t> </w:t>
      </w:r>
      <w:r w:rsidRPr="00C16083">
        <w:t>125 of the CCrP.</w:t>
      </w:r>
      <w:r w:rsidRPr="00C16083" w:rsidR="00981AF1">
        <w:t xml:space="preserve"> They complained </w:t>
      </w:r>
      <w:r w:rsidRPr="00C16083" w:rsidR="00C12052">
        <w:t xml:space="preserve">that no </w:t>
      </w:r>
      <w:r w:rsidRPr="00C16083" w:rsidR="00981AF1">
        <w:t xml:space="preserve">special procedural safeguards </w:t>
      </w:r>
      <w:r w:rsidRPr="00C16083" w:rsidR="00C12052">
        <w:t xml:space="preserve">had been put in place </w:t>
      </w:r>
      <w:r w:rsidRPr="00C16083" w:rsidR="00981AF1">
        <w:t xml:space="preserve">during the search and </w:t>
      </w:r>
      <w:r w:rsidRPr="00C16083" w:rsidR="00C12052">
        <w:t xml:space="preserve">that </w:t>
      </w:r>
      <w:r w:rsidRPr="00C16083" w:rsidR="00DC4CAC">
        <w:t>Ms </w:t>
      </w:r>
      <w:r w:rsidRPr="00C16083" w:rsidR="00CA1B88">
        <w:t>Belinskaya</w:t>
      </w:r>
      <w:r w:rsidRPr="00C16083" w:rsidR="00C16083">
        <w:t>’</w:t>
      </w:r>
      <w:r w:rsidRPr="00C16083" w:rsidR="00981AF1">
        <w:t>s hard drive and computers</w:t>
      </w:r>
      <w:r w:rsidRPr="00C16083" w:rsidR="00C12052">
        <w:t xml:space="preserve"> had been seized</w:t>
      </w:r>
      <w:r w:rsidRPr="00C16083" w:rsidR="00981AF1">
        <w:t>.</w:t>
      </w:r>
      <w:r w:rsidRPr="00C16083">
        <w:t xml:space="preserve"> </w:t>
      </w:r>
      <w:r w:rsidRPr="00C16083" w:rsidR="00C12052">
        <w:t xml:space="preserve">The complaint </w:t>
      </w:r>
      <w:r w:rsidRPr="00C16083">
        <w:t>was dismissed on 15 June 2010</w:t>
      </w:r>
      <w:r w:rsidRPr="00C16083" w:rsidR="001D0964">
        <w:t>.</w:t>
      </w:r>
      <w:r w:rsidRPr="00C16083">
        <w:t xml:space="preserve"> </w:t>
      </w:r>
      <w:r w:rsidRPr="00C16083" w:rsidR="001D0964">
        <w:t>T</w:t>
      </w:r>
      <w:r w:rsidRPr="00C16083">
        <w:t xml:space="preserve">he </w:t>
      </w:r>
      <w:r w:rsidRPr="00C16083" w:rsidR="001D0964">
        <w:t>Kalininskiy District Court of St Petersburg</w:t>
      </w:r>
      <w:r w:rsidRPr="00C16083">
        <w:t xml:space="preserve"> established that a criminal case against Mr </w:t>
      </w:r>
      <w:r w:rsidRPr="00C16083" w:rsidR="00CA1B88">
        <w:t>Makovoz</w:t>
      </w:r>
      <w:r w:rsidRPr="00C16083">
        <w:t xml:space="preserve"> had been opened; the investigator had had “grounds to believe that </w:t>
      </w:r>
      <w:r w:rsidRPr="00C16083" w:rsidR="00DC4CAC">
        <w:t>Ms</w:t>
      </w:r>
      <w:r w:rsidRPr="00C16083" w:rsidR="00CA1B88">
        <w:t xml:space="preserve"> Belinskaya</w:t>
      </w:r>
      <w:r w:rsidRPr="00C16083">
        <w:t xml:space="preserve"> had been involved in the offence committed”; the search</w:t>
      </w:r>
      <w:r w:rsidRPr="00C16083" w:rsidR="00981AF1">
        <w:t xml:space="preserve"> of the advocate</w:t>
      </w:r>
      <w:r w:rsidRPr="00C16083" w:rsidR="00C16083">
        <w:t>’</w:t>
      </w:r>
      <w:r w:rsidRPr="00C16083" w:rsidR="00981AF1">
        <w:t>s flat</w:t>
      </w:r>
      <w:r w:rsidRPr="00C16083" w:rsidR="00870119">
        <w:t xml:space="preserve"> had been duly authorised by the court</w:t>
      </w:r>
      <w:r w:rsidRPr="00C16083">
        <w:t xml:space="preserve">; “the search warrant had not contained any limitations”; </w:t>
      </w:r>
      <w:r w:rsidRPr="00C16083" w:rsidR="00DC4CAC">
        <w:t>Ms</w:t>
      </w:r>
      <w:r w:rsidRPr="00C16083" w:rsidR="00CA1B88">
        <w:t xml:space="preserve"> Belinskaya</w:t>
      </w:r>
      <w:r w:rsidRPr="00C16083">
        <w:t xml:space="preserve"> had not made any comments in the search record; </w:t>
      </w:r>
      <w:r w:rsidRPr="00C16083" w:rsidR="00C12052">
        <w:t xml:space="preserve">and that </w:t>
      </w:r>
      <w:r w:rsidRPr="00C16083">
        <w:t xml:space="preserve">the refusal to return the seized objects had been justified by the need to perform expert examinations of those objects. </w:t>
      </w:r>
      <w:r w:rsidRPr="00C16083" w:rsidR="00DC4CAC">
        <w:t>Ms</w:t>
      </w:r>
      <w:r w:rsidRPr="00C16083" w:rsidR="00CA1B88">
        <w:t xml:space="preserve"> Belinskaya</w:t>
      </w:r>
      <w:r w:rsidRPr="00C16083" w:rsidR="00C16083">
        <w:t>’</w:t>
      </w:r>
      <w:r w:rsidRPr="00C16083">
        <w:t xml:space="preserve">s computer had already been returned to her. Thus, the court found no evidence of </w:t>
      </w:r>
      <w:r w:rsidRPr="00C16083" w:rsidR="001D0964">
        <w:t xml:space="preserve">an </w:t>
      </w:r>
      <w:r w:rsidRPr="00C16083">
        <w:t xml:space="preserve">unlawful interference with </w:t>
      </w:r>
      <w:r w:rsidRPr="00C16083" w:rsidR="00DC4CAC">
        <w:t>Ms</w:t>
      </w:r>
      <w:r w:rsidRPr="00C16083" w:rsidR="00CA1B88">
        <w:t> Belinskaya</w:t>
      </w:r>
      <w:r w:rsidRPr="00C16083" w:rsidR="00C16083">
        <w:t>’</w:t>
      </w:r>
      <w:r w:rsidRPr="00C16083">
        <w:t>s activities as an advocate or with her private and family life. On 30 August 2010 the above court decision was upheld</w:t>
      </w:r>
      <w:r w:rsidRPr="00C16083" w:rsidR="00AD4C82">
        <w:t xml:space="preserve"> on appeal</w:t>
      </w:r>
      <w:r w:rsidRPr="00C16083">
        <w:t>.</w:t>
      </w:r>
    </w:p>
    <w:p w:rsidRPr="00C16083" w:rsidR="00712312" w:rsidP="00C16083" w:rsidRDefault="006368BA">
      <w:pPr>
        <w:pStyle w:val="JuPara"/>
      </w:pPr>
      <w:fldSimple w:instr=" SEQ level0 \*arabic ">
        <w:r w:rsidRPr="00C16083" w:rsidR="00C16083">
          <w:rPr>
            <w:noProof/>
          </w:rPr>
          <w:t>53</w:t>
        </w:r>
      </w:fldSimple>
      <w:r w:rsidRPr="00C16083" w:rsidR="00712312">
        <w:t>.  </w:t>
      </w:r>
      <w:r w:rsidRPr="00C16083" w:rsidR="00B103DC">
        <w:t xml:space="preserve">Proceedings brought by </w:t>
      </w:r>
      <w:r w:rsidRPr="00C16083" w:rsidR="00CA1B88">
        <w:t>Mr Sokolov</w:t>
      </w:r>
      <w:r w:rsidRPr="00C16083" w:rsidR="00712312">
        <w:t xml:space="preserve"> under Article 125 of the CCrP</w:t>
      </w:r>
      <w:r w:rsidRPr="00C16083" w:rsidR="00B103DC">
        <w:t xml:space="preserve"> were</w:t>
      </w:r>
      <w:r w:rsidRPr="00C16083" w:rsidR="00712312">
        <w:t xml:space="preserve"> dismissed on 16 August 2010</w:t>
      </w:r>
      <w:r w:rsidRPr="00C16083" w:rsidR="001D0964">
        <w:t>.</w:t>
      </w:r>
      <w:r w:rsidRPr="00C16083" w:rsidR="00712312">
        <w:t xml:space="preserve"> </w:t>
      </w:r>
      <w:r w:rsidRPr="00C16083" w:rsidR="001D0964">
        <w:t>T</w:t>
      </w:r>
      <w:r w:rsidRPr="00C16083" w:rsidR="00712312">
        <w:t>he</w:t>
      </w:r>
      <w:r w:rsidRPr="00C16083" w:rsidR="001D0964">
        <w:t xml:space="preserve"> Kalininskiy District Court of St</w:t>
      </w:r>
      <w:r w:rsidRPr="00C16083" w:rsidR="003266EC">
        <w:t> </w:t>
      </w:r>
      <w:r w:rsidRPr="00C16083" w:rsidR="001D0964">
        <w:t xml:space="preserve">Petersburg </w:t>
      </w:r>
      <w:r w:rsidRPr="00C16083" w:rsidR="006733DE">
        <w:t xml:space="preserve">declined </w:t>
      </w:r>
      <w:r w:rsidRPr="00C16083" w:rsidR="00712312">
        <w:t xml:space="preserve">to examine the complaint </w:t>
      </w:r>
      <w:r w:rsidRPr="00C16083" w:rsidR="006733DE">
        <w:t xml:space="preserve">on the grounds that </w:t>
      </w:r>
      <w:r w:rsidRPr="00C16083" w:rsidR="00712312">
        <w:t xml:space="preserve">there had been no interference with </w:t>
      </w:r>
      <w:r w:rsidRPr="00C16083" w:rsidR="00CA1B88">
        <w:t>Mr Sokolov</w:t>
      </w:r>
      <w:r w:rsidRPr="00C16083" w:rsidR="00C16083">
        <w:t>’</w:t>
      </w:r>
      <w:r w:rsidRPr="00C16083" w:rsidR="00712312">
        <w:t xml:space="preserve">s rights and freedoms </w:t>
      </w:r>
      <w:r w:rsidRPr="00C16083" w:rsidR="00161694">
        <w:t>as no</w:t>
      </w:r>
      <w:r w:rsidRPr="00C16083" w:rsidR="00712312">
        <w:t xml:space="preserve"> documents or objects related to him had been searched for or seized</w:t>
      </w:r>
      <w:r w:rsidRPr="00C16083" w:rsidR="00AD4C82">
        <w:t xml:space="preserve"> and</w:t>
      </w:r>
      <w:r w:rsidRPr="00C16083" w:rsidR="00712312">
        <w:t xml:space="preserve"> </w:t>
      </w:r>
      <w:r w:rsidRPr="00C16083" w:rsidR="00DC4CAC">
        <w:t>Ms</w:t>
      </w:r>
      <w:r w:rsidRPr="00C16083" w:rsidR="00CA1B88">
        <w:t> Belinskaya</w:t>
      </w:r>
      <w:r w:rsidRPr="00C16083" w:rsidR="00C16083">
        <w:t>’</w:t>
      </w:r>
      <w:r w:rsidRPr="00C16083" w:rsidR="00712312">
        <w:t xml:space="preserve">s computer had already </w:t>
      </w:r>
      <w:r w:rsidRPr="00C16083" w:rsidR="00AD4C82">
        <w:t xml:space="preserve">been </w:t>
      </w:r>
      <w:r w:rsidRPr="00C16083" w:rsidR="00712312">
        <w:t xml:space="preserve">returned to her. On 30 September 2010 </w:t>
      </w:r>
      <w:r w:rsidRPr="00C16083" w:rsidR="006733DE">
        <w:t xml:space="preserve">that </w:t>
      </w:r>
      <w:r w:rsidRPr="00C16083" w:rsidR="00712312">
        <w:t>decision was upheld</w:t>
      </w:r>
      <w:r w:rsidRPr="00C16083" w:rsidR="00AD4C82">
        <w:t xml:space="preserve"> on appeal</w:t>
      </w:r>
      <w:r w:rsidRPr="00C16083" w:rsidR="00712312">
        <w:t>.</w:t>
      </w:r>
    </w:p>
    <w:bookmarkStart w:name="Belinskaya_A125_end" w:id="19"/>
    <w:p w:rsidRPr="00C16083" w:rsidR="00843BB9" w:rsidP="00C16083" w:rsidRDefault="00712312">
      <w:pPr>
        <w:pStyle w:val="JuPara"/>
      </w:pPr>
      <w:r w:rsidRPr="00C16083">
        <w:fldChar w:fldCharType="begin"/>
      </w:r>
      <w:r w:rsidRPr="00C16083">
        <w:instrText xml:space="preserve"> SEQ level0 \*arabic </w:instrText>
      </w:r>
      <w:r w:rsidRPr="00C16083">
        <w:fldChar w:fldCharType="separate"/>
      </w:r>
      <w:r w:rsidRPr="00C16083" w:rsidR="00C16083">
        <w:rPr>
          <w:noProof/>
        </w:rPr>
        <w:t>54</w:t>
      </w:r>
      <w:r w:rsidRPr="00C16083">
        <w:fldChar w:fldCharType="end"/>
      </w:r>
      <w:bookmarkEnd w:id="19"/>
      <w:r w:rsidRPr="00C16083">
        <w:t>.  </w:t>
      </w:r>
      <w:r w:rsidRPr="00C16083" w:rsidR="00B103DC">
        <w:t xml:space="preserve">Proceedings brought by </w:t>
      </w:r>
      <w:r w:rsidRPr="00C16083" w:rsidR="00CA1B88">
        <w:t>Mr Burykin</w:t>
      </w:r>
      <w:r w:rsidRPr="00C16083">
        <w:t xml:space="preserve"> under Article 125 of the CCrP </w:t>
      </w:r>
      <w:r w:rsidRPr="00C16083" w:rsidR="00184695">
        <w:t>were</w:t>
      </w:r>
      <w:r w:rsidRPr="00C16083">
        <w:t xml:space="preserve"> dismissed on 10 August 2010</w:t>
      </w:r>
      <w:r w:rsidRPr="00C16083" w:rsidR="001D0964">
        <w:t>. The Kalininskiy District Court of St</w:t>
      </w:r>
      <w:r w:rsidRPr="00C16083" w:rsidR="003266EC">
        <w:t> </w:t>
      </w:r>
      <w:r w:rsidRPr="00C16083" w:rsidR="001D0964">
        <w:t xml:space="preserve">Petersburg </w:t>
      </w:r>
      <w:r w:rsidRPr="00C16083">
        <w:t>established that a criminal case against Mr</w:t>
      </w:r>
      <w:r w:rsidRPr="00C16083" w:rsidR="00C50D36">
        <w:t> </w:t>
      </w:r>
      <w:r w:rsidRPr="00C16083">
        <w:t>M</w:t>
      </w:r>
      <w:r w:rsidRPr="00C16083" w:rsidR="00CA1B88">
        <w:t>akovoz</w:t>
      </w:r>
      <w:r w:rsidRPr="00C16083">
        <w:t xml:space="preserve"> had been opened; that the investigator had had grounds to believe that </w:t>
      </w:r>
      <w:r w:rsidRPr="00C16083" w:rsidR="00DC4CAC">
        <w:t>Ms</w:t>
      </w:r>
      <w:r w:rsidRPr="00C16083" w:rsidR="00CA1B88">
        <w:t xml:space="preserve"> Belinskaya</w:t>
      </w:r>
      <w:r w:rsidRPr="00C16083">
        <w:t xml:space="preserve"> had been involved in the offence committed; the search</w:t>
      </w:r>
      <w:r w:rsidRPr="00C16083" w:rsidR="00161694">
        <w:t xml:space="preserve"> of </w:t>
      </w:r>
      <w:r w:rsidRPr="00C16083" w:rsidR="006733DE">
        <w:t xml:space="preserve">her </w:t>
      </w:r>
      <w:r w:rsidRPr="00C16083" w:rsidR="00161694">
        <w:t>flat</w:t>
      </w:r>
      <w:r w:rsidRPr="00C16083" w:rsidR="00AD4C82">
        <w:t xml:space="preserve"> had been duly authorised by the court</w:t>
      </w:r>
      <w:r w:rsidRPr="00C16083">
        <w:t xml:space="preserve">; </w:t>
      </w:r>
      <w:r w:rsidRPr="00C16083" w:rsidR="00DC4CAC">
        <w:t>Ms</w:t>
      </w:r>
      <w:r w:rsidRPr="00C16083" w:rsidR="00CA1B88">
        <w:t xml:space="preserve"> Belinskaya</w:t>
      </w:r>
      <w:r w:rsidRPr="00C16083">
        <w:t xml:space="preserve"> had not made any comments in the search record, thus there had been no evidence that the seized documents or objects contained information</w:t>
      </w:r>
      <w:r w:rsidRPr="00C16083" w:rsidR="00AD4C82">
        <w:t xml:space="preserve"> covered by professional legal privilege</w:t>
      </w:r>
      <w:r w:rsidRPr="00C16083">
        <w:t>. On 23 September 2010 the above court decision was upheld</w:t>
      </w:r>
      <w:r w:rsidRPr="00C16083" w:rsidR="00AD4C82">
        <w:t xml:space="preserve"> on appeal</w:t>
      </w:r>
      <w:r w:rsidRPr="00C16083">
        <w:t>.</w:t>
      </w:r>
    </w:p>
    <w:p w:rsidRPr="00C16083" w:rsidR="00712312" w:rsidP="00C16083" w:rsidRDefault="00712312">
      <w:pPr>
        <w:pStyle w:val="JuH1"/>
      </w:pPr>
      <w:r w:rsidRPr="00C16083">
        <w:t>Application no. 78187/11, Bulycheva v. Russia</w:t>
      </w:r>
    </w:p>
    <w:p w:rsidRPr="00C16083" w:rsidR="00843BB9" w:rsidP="00C16083" w:rsidRDefault="006368BA">
      <w:pPr>
        <w:pStyle w:val="JuPara"/>
      </w:pPr>
      <w:fldSimple w:instr=" SEQ level0 \*arabic ">
        <w:r w:rsidRPr="00C16083" w:rsidR="00C16083">
          <w:rPr>
            <w:noProof/>
          </w:rPr>
          <w:t>55</w:t>
        </w:r>
      </w:fldSimple>
      <w:r w:rsidRPr="00C16083" w:rsidR="00712312">
        <w:t>.  </w:t>
      </w:r>
      <w:r w:rsidRPr="00C16083" w:rsidR="00DC4CAC">
        <w:t>Ms</w:t>
      </w:r>
      <w:r w:rsidRPr="00C16083" w:rsidR="00CA1B88">
        <w:t xml:space="preserve"> Bulycheva</w:t>
      </w:r>
      <w:r w:rsidRPr="00C16083" w:rsidR="00C16083">
        <w:t>’</w:t>
      </w:r>
      <w:r w:rsidRPr="00C16083" w:rsidR="00712312">
        <w:t xml:space="preserve">s office was located on the premises of a company </w:t>
      </w:r>
      <w:r w:rsidRPr="00C16083" w:rsidR="00F1002C">
        <w:t xml:space="preserve">belonging to </w:t>
      </w:r>
      <w:r w:rsidRPr="00C16083" w:rsidR="00DC4CAC">
        <w:t>Ms</w:t>
      </w:r>
      <w:r w:rsidRPr="00C16083" w:rsidR="00712312">
        <w:t xml:space="preserve"> M. </w:t>
      </w:r>
      <w:r w:rsidRPr="00C16083" w:rsidR="00F1002C">
        <w:t>The p</w:t>
      </w:r>
      <w:r w:rsidRPr="00C16083" w:rsidR="00712312">
        <w:t xml:space="preserve">olice suspected the latter of being involved in illegal money transfers. As </w:t>
      </w:r>
      <w:r w:rsidRPr="00C16083" w:rsidR="00DC4CAC">
        <w:t>Ms</w:t>
      </w:r>
      <w:r w:rsidRPr="00C16083" w:rsidR="00CA1B88">
        <w:t xml:space="preserve"> Bulycheva</w:t>
      </w:r>
      <w:r w:rsidRPr="00C16083" w:rsidR="00712312">
        <w:t xml:space="preserve"> worked on the premises of </w:t>
      </w:r>
      <w:r w:rsidRPr="00C16083" w:rsidR="00DC4CAC">
        <w:t>Ms</w:t>
      </w:r>
      <w:r w:rsidRPr="00C16083" w:rsidR="003266EC">
        <w:t> </w:t>
      </w:r>
      <w:r w:rsidRPr="00C16083" w:rsidR="00712312">
        <w:t>M.</w:t>
      </w:r>
      <w:r w:rsidRPr="00C16083" w:rsidR="00C16083">
        <w:t>’</w:t>
      </w:r>
      <w:r w:rsidRPr="00C16083" w:rsidR="00712312">
        <w:t xml:space="preserve">s company, </w:t>
      </w:r>
      <w:r w:rsidRPr="00C16083" w:rsidR="00F1002C">
        <w:t xml:space="preserve">the </w:t>
      </w:r>
      <w:r w:rsidRPr="00C16083" w:rsidR="00712312">
        <w:t xml:space="preserve">police also suspected </w:t>
      </w:r>
      <w:r w:rsidRPr="00C16083" w:rsidR="00CA1B88">
        <w:t>her</w:t>
      </w:r>
      <w:r w:rsidRPr="00C16083" w:rsidR="00712312">
        <w:t xml:space="preserve"> of being involved.</w:t>
      </w:r>
    </w:p>
    <w:bookmarkStart w:name="search_warrant_Bulycheva" w:id="20"/>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56</w:t>
      </w:r>
      <w:r w:rsidRPr="00C16083">
        <w:rPr>
          <w:noProof/>
        </w:rPr>
        <w:fldChar w:fldCharType="end"/>
      </w:r>
      <w:bookmarkEnd w:id="20"/>
      <w:r w:rsidRPr="00C16083" w:rsidR="00712312">
        <w:t xml:space="preserve">.  On 22 April 2011 the Kirovskiy District Court of Khabarovsk </w:t>
      </w:r>
      <w:r w:rsidRPr="00C16083" w:rsidR="00027FD6">
        <w:t xml:space="preserve">authorised </w:t>
      </w:r>
      <w:r w:rsidRPr="00C16083" w:rsidR="00F1002C">
        <w:t xml:space="preserve">a </w:t>
      </w:r>
      <w:r w:rsidRPr="00C16083" w:rsidR="00027FD6">
        <w:t xml:space="preserve">search </w:t>
      </w:r>
      <w:r w:rsidRPr="00C16083" w:rsidR="00F1002C">
        <w:t xml:space="preserve">of </w:t>
      </w:r>
      <w:r w:rsidRPr="00C16083" w:rsidR="00DC4CAC">
        <w:t>Ms</w:t>
      </w:r>
      <w:r w:rsidRPr="00C16083" w:rsidR="00CA1B88">
        <w:t xml:space="preserve"> Bulycheva</w:t>
      </w:r>
      <w:r w:rsidRPr="00C16083" w:rsidR="00C16083">
        <w:t>’</w:t>
      </w:r>
      <w:r w:rsidRPr="00C16083" w:rsidR="00027FD6">
        <w:t xml:space="preserve">s office </w:t>
      </w:r>
      <w:r w:rsidRPr="00C16083" w:rsidR="00D76167">
        <w:t xml:space="preserve">on the grounds that </w:t>
      </w:r>
      <w:r w:rsidRPr="00C16083" w:rsidR="00027FD6">
        <w:t>objects and documents relevant to the criminal case could be located</w:t>
      </w:r>
      <w:r w:rsidRPr="00C16083" w:rsidR="00D76167">
        <w:t xml:space="preserve"> there</w:t>
      </w:r>
      <w:r w:rsidRPr="00C16083" w:rsidR="00027FD6">
        <w:t>.</w:t>
      </w:r>
    </w:p>
    <w:p w:rsidRPr="00C16083" w:rsidR="00843BB9" w:rsidP="00C16083" w:rsidRDefault="006368BA">
      <w:pPr>
        <w:pStyle w:val="JuPara"/>
      </w:pPr>
      <w:fldSimple w:instr=" SEQ level0 \*arabic ">
        <w:r w:rsidRPr="00C16083" w:rsidR="00C16083">
          <w:rPr>
            <w:noProof/>
          </w:rPr>
          <w:t>57</w:t>
        </w:r>
      </w:fldSimple>
      <w:r w:rsidRPr="00C16083" w:rsidR="00712312">
        <w:t xml:space="preserve">.  A search of </w:t>
      </w:r>
      <w:r w:rsidRPr="00C16083" w:rsidR="00DC4CAC">
        <w:t>Ms</w:t>
      </w:r>
      <w:r w:rsidRPr="00C16083" w:rsidR="00CA1B88">
        <w:t xml:space="preserve"> Bulycheva</w:t>
      </w:r>
      <w:r w:rsidRPr="00C16083" w:rsidR="00C16083">
        <w:t>’</w:t>
      </w:r>
      <w:r w:rsidRPr="00C16083" w:rsidR="00712312">
        <w:t xml:space="preserve">s office was conducted on </w:t>
      </w:r>
      <w:r w:rsidRPr="00C16083" w:rsidR="009367ED">
        <w:t>2</w:t>
      </w:r>
      <w:r w:rsidRPr="00C16083" w:rsidR="00712312">
        <w:t>5 April 2011.</w:t>
      </w:r>
    </w:p>
    <w:p w:rsidRPr="00C16083" w:rsidR="00843BB9" w:rsidP="00C16083" w:rsidRDefault="006368BA">
      <w:pPr>
        <w:pStyle w:val="JuPara"/>
      </w:pPr>
      <w:fldSimple w:instr=" SEQ level0 \*arabic ">
        <w:r w:rsidRPr="00C16083" w:rsidR="00C16083">
          <w:rPr>
            <w:noProof/>
          </w:rPr>
          <w:t>58</w:t>
        </w:r>
      </w:fldSimple>
      <w:r w:rsidRPr="00C16083" w:rsidR="00712312">
        <w:t>.  On 7</w:t>
      </w:r>
      <w:r w:rsidRPr="00C16083" w:rsidR="001D174C">
        <w:t xml:space="preserve"> June </w:t>
      </w:r>
      <w:r w:rsidRPr="00C16083" w:rsidR="00712312">
        <w:t xml:space="preserve">2011 </w:t>
      </w:r>
      <w:r w:rsidRPr="00C16083" w:rsidR="0066425E">
        <w:t xml:space="preserve">an appeal lodged by </w:t>
      </w:r>
      <w:r w:rsidRPr="00C16083" w:rsidR="00DC4CAC">
        <w:t>Ms</w:t>
      </w:r>
      <w:r w:rsidRPr="00C16083" w:rsidR="00CA1B88">
        <w:t xml:space="preserve"> Bulycheva</w:t>
      </w:r>
      <w:r w:rsidRPr="00C16083" w:rsidR="0066425E">
        <w:t xml:space="preserve"> complaining of the</w:t>
      </w:r>
      <w:r w:rsidRPr="00C16083" w:rsidR="001D174C">
        <w:t xml:space="preserve"> unlawfulness of the court search warrant of 22 April 2011 </w:t>
      </w:r>
      <w:r w:rsidRPr="00C16083" w:rsidR="00712312">
        <w:t>was dismissed.</w:t>
      </w:r>
    </w:p>
    <w:p w:rsidRPr="00C16083" w:rsidR="00843BB9" w:rsidP="00C16083" w:rsidRDefault="00C63625">
      <w:pPr>
        <w:pStyle w:val="JuH1"/>
      </w:pPr>
      <w:r w:rsidRPr="00C16083">
        <w:t>  </w:t>
      </w:r>
      <w:r w:rsidRPr="00C16083" w:rsidR="00712312">
        <w:t>Application no. 18403/13, Moiseyeva v. Russia</w:t>
      </w:r>
    </w:p>
    <w:bookmarkStart w:name="search_warrant_Moiseyeva" w:id="21"/>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59</w:t>
      </w:r>
      <w:r w:rsidRPr="00C16083">
        <w:rPr>
          <w:noProof/>
        </w:rPr>
        <w:fldChar w:fldCharType="end"/>
      </w:r>
      <w:bookmarkEnd w:id="21"/>
      <w:r w:rsidRPr="00C16083" w:rsidR="00712312">
        <w:t>.  </w:t>
      </w:r>
      <w:r w:rsidRPr="00C16083" w:rsidR="00DC4CAC">
        <w:t>Ms</w:t>
      </w:r>
      <w:r w:rsidRPr="00C16083" w:rsidR="00CA1B88">
        <w:t xml:space="preserve"> Moiseyeva</w:t>
      </w:r>
      <w:r w:rsidRPr="00C16083" w:rsidR="00712312">
        <w:t xml:space="preserve"> was suspected of stealing three volumes of her client</w:t>
      </w:r>
      <w:r w:rsidRPr="00C16083" w:rsidR="00C16083">
        <w:t>’</w:t>
      </w:r>
      <w:r w:rsidRPr="00C16083" w:rsidR="00712312">
        <w:t>s criminal case</w:t>
      </w:r>
      <w:r w:rsidRPr="00C16083" w:rsidR="007032A6">
        <w:t xml:space="preserve"> file</w:t>
      </w:r>
      <w:r w:rsidRPr="00C16083" w:rsidR="00712312">
        <w:t xml:space="preserve">. On 13 July 2012 the Pervorechenskiy District Court of Vladivostok issued two identical search warrants, </w:t>
      </w:r>
      <w:r w:rsidRPr="00C16083" w:rsidR="007032A6">
        <w:t xml:space="preserve">one </w:t>
      </w:r>
      <w:r w:rsidRPr="00C16083" w:rsidR="00712312">
        <w:t xml:space="preserve">for </w:t>
      </w:r>
      <w:r w:rsidRPr="00C16083" w:rsidR="00DC4CAC">
        <w:t>Ms</w:t>
      </w:r>
      <w:r w:rsidRPr="00C16083" w:rsidR="003266EC">
        <w:t> </w:t>
      </w:r>
      <w:r w:rsidRPr="00C16083" w:rsidR="00CA1B88">
        <w:t>Moiseyeva</w:t>
      </w:r>
      <w:r w:rsidRPr="00C16083" w:rsidR="00C16083">
        <w:t>’</w:t>
      </w:r>
      <w:r w:rsidRPr="00C16083" w:rsidR="00712312">
        <w:t xml:space="preserve">s home and </w:t>
      </w:r>
      <w:r w:rsidRPr="00C16083" w:rsidR="007032A6">
        <w:t xml:space="preserve">another for her </w:t>
      </w:r>
      <w:r w:rsidRPr="00C16083" w:rsidR="00712312">
        <w:t>office</w:t>
      </w:r>
      <w:r w:rsidRPr="00C16083" w:rsidR="00643C9E">
        <w:t xml:space="preserve">. It </w:t>
      </w:r>
      <w:r w:rsidRPr="00C16083" w:rsidR="00D76167">
        <w:t xml:space="preserve">held </w:t>
      </w:r>
      <w:r w:rsidRPr="00C16083" w:rsidR="00643C9E">
        <w:t>that the search</w:t>
      </w:r>
      <w:r w:rsidRPr="00C16083" w:rsidR="007032A6">
        <w:t xml:space="preserve">es were </w:t>
      </w:r>
      <w:r w:rsidRPr="00C16083" w:rsidR="00643C9E">
        <w:t>necessary to find the stolen documents.</w:t>
      </w:r>
    </w:p>
    <w:p w:rsidRPr="00C16083" w:rsidR="00843BB9" w:rsidP="00C16083" w:rsidRDefault="006368BA">
      <w:pPr>
        <w:pStyle w:val="JuPara"/>
      </w:pPr>
      <w:fldSimple w:instr=" SEQ level0 \*arabic ">
        <w:r w:rsidRPr="00C16083" w:rsidR="00C16083">
          <w:rPr>
            <w:noProof/>
          </w:rPr>
          <w:t>60</w:t>
        </w:r>
      </w:fldSimple>
      <w:r w:rsidRPr="00C16083" w:rsidR="00712312">
        <w:t xml:space="preserve">.  On 28 August 2012 </w:t>
      </w:r>
      <w:r w:rsidRPr="00C16083" w:rsidR="007032A6">
        <w:t xml:space="preserve">an appeal lodged by </w:t>
      </w:r>
      <w:r w:rsidRPr="00C16083" w:rsidR="00DC4CAC">
        <w:t>Ms</w:t>
      </w:r>
      <w:r w:rsidRPr="00C16083" w:rsidR="00CA1B88">
        <w:t xml:space="preserve"> Moiseyeva</w:t>
      </w:r>
      <w:r w:rsidRPr="00C16083" w:rsidR="00D76167">
        <w:t xml:space="preserve"> challenging the</w:t>
      </w:r>
      <w:r w:rsidRPr="00C16083" w:rsidR="00026A5A">
        <w:t xml:space="preserve"> lawfulness of the court search warrant of 13 July 2012 </w:t>
      </w:r>
      <w:r w:rsidRPr="00C16083" w:rsidR="00712312">
        <w:t>was</w:t>
      </w:r>
      <w:r w:rsidRPr="00C16083" w:rsidR="004C1412">
        <w:t xml:space="preserve"> dismissed</w:t>
      </w:r>
      <w:r w:rsidRPr="00C16083" w:rsidR="00712312">
        <w:t>.</w:t>
      </w:r>
    </w:p>
    <w:p w:rsidRPr="00C16083" w:rsidR="00843BB9" w:rsidP="00C16083" w:rsidRDefault="00C63625">
      <w:pPr>
        <w:pStyle w:val="JuH1"/>
      </w:pPr>
      <w:r w:rsidRPr="00C16083">
        <w:t>  </w:t>
      </w:r>
      <w:r w:rsidRPr="00C16083" w:rsidR="00712312">
        <w:t>Application no. 73629/13, Mezentsev v. Russia</w:t>
      </w:r>
    </w:p>
    <w:p w:rsidRPr="00C16083" w:rsidR="00843BB9" w:rsidP="00C16083" w:rsidRDefault="006368BA">
      <w:pPr>
        <w:pStyle w:val="JuPara"/>
      </w:pPr>
      <w:fldSimple w:instr=" SEQ level0 \*arabic ">
        <w:r w:rsidRPr="00C16083" w:rsidR="00C16083">
          <w:rPr>
            <w:noProof/>
          </w:rPr>
          <w:t>61</w:t>
        </w:r>
      </w:fldSimple>
      <w:r w:rsidRPr="00C16083" w:rsidR="00712312">
        <w:t>.  </w:t>
      </w:r>
      <w:r w:rsidRPr="00C16083" w:rsidR="00CA1B88">
        <w:t>Mr Mezentsev</w:t>
      </w:r>
      <w:r w:rsidRPr="00C16083" w:rsidR="00712312">
        <w:t xml:space="preserve"> is a practising lawyer, but is not a Bar member. In 2011 he represented company P. in a tax dispute. In 2012 the tax authorities reported to the police an alleged offence of tax evasion by Mr M., a director of company P.</w:t>
      </w:r>
    </w:p>
    <w:p w:rsidRPr="00C16083" w:rsidR="00843BB9" w:rsidP="00C16083" w:rsidRDefault="006368BA">
      <w:pPr>
        <w:pStyle w:val="JuPara"/>
      </w:pPr>
      <w:fldSimple w:instr=" SEQ level0 \*arabic ">
        <w:r w:rsidRPr="00C16083" w:rsidR="00C16083">
          <w:rPr>
            <w:noProof/>
          </w:rPr>
          <w:t>62</w:t>
        </w:r>
      </w:fldSimple>
      <w:r w:rsidRPr="00C16083" w:rsidR="00712312">
        <w:t xml:space="preserve">.  On 10 October 2012 </w:t>
      </w:r>
      <w:r w:rsidRPr="00C16083" w:rsidR="003B3494">
        <w:t xml:space="preserve">the </w:t>
      </w:r>
      <w:r w:rsidRPr="00C16083" w:rsidR="00712312">
        <w:t xml:space="preserve">police performed </w:t>
      </w:r>
      <w:r w:rsidRPr="00C16083" w:rsidR="00F36DF5">
        <w:t>a crime-scene examination</w:t>
      </w:r>
      <w:r w:rsidRPr="00C16083" w:rsidR="00712312">
        <w:t xml:space="preserve"> (</w:t>
      </w:r>
      <w:r w:rsidRPr="00C16083" w:rsidR="00712312">
        <w:rPr>
          <w:i/>
        </w:rPr>
        <w:t>осмотр места происшествия</w:t>
      </w:r>
      <w:r w:rsidRPr="00C16083" w:rsidR="00712312">
        <w:t xml:space="preserve">) in </w:t>
      </w:r>
      <w:r w:rsidRPr="00C16083" w:rsidR="00CA1B88">
        <w:t>Mr Mezentsev</w:t>
      </w:r>
      <w:r w:rsidRPr="00C16083" w:rsidR="00C16083">
        <w:t>’</w:t>
      </w:r>
      <w:r w:rsidRPr="00C16083" w:rsidR="00712312">
        <w:t xml:space="preserve">s office. </w:t>
      </w:r>
      <w:r w:rsidRPr="00C16083" w:rsidR="003B3494">
        <w:t xml:space="preserve">They </w:t>
      </w:r>
      <w:r w:rsidRPr="00C16083" w:rsidR="00712312">
        <w:t xml:space="preserve">seized two documents and </w:t>
      </w:r>
      <w:r w:rsidRPr="00C16083" w:rsidR="00CA1B88">
        <w:t>Mr Mezentsev</w:t>
      </w:r>
      <w:r w:rsidRPr="00C16083" w:rsidR="00C16083">
        <w:t>’</w:t>
      </w:r>
      <w:r w:rsidRPr="00C16083" w:rsidR="00712312">
        <w:t xml:space="preserve">s </w:t>
      </w:r>
      <w:r w:rsidRPr="00C16083" w:rsidR="003B3494">
        <w:t xml:space="preserve">computer </w:t>
      </w:r>
      <w:r w:rsidRPr="00C16083" w:rsidR="00712312">
        <w:t xml:space="preserve">hard drive containing information about company P., as well as other companies and businessmen represented by </w:t>
      </w:r>
      <w:r w:rsidRPr="00C16083" w:rsidR="00CA1B88">
        <w:t>Mr Mezentsev</w:t>
      </w:r>
      <w:r w:rsidRPr="00C16083" w:rsidR="00712312">
        <w:t xml:space="preserve"> in other tax disputes. The tax authorities subsequently used the information from the hard drive as evidence in at least three of their disputes with </w:t>
      </w:r>
      <w:r w:rsidRPr="00C16083" w:rsidR="00CA1B88">
        <w:t>Mr Mezentsev</w:t>
      </w:r>
      <w:r w:rsidRPr="00C16083" w:rsidR="00C16083">
        <w:t>’</w:t>
      </w:r>
      <w:r w:rsidRPr="00C16083" w:rsidR="00712312">
        <w:t xml:space="preserve">s clients. At the end of March 2013 </w:t>
      </w:r>
      <w:r w:rsidRPr="00C16083" w:rsidR="003B3494">
        <w:t xml:space="preserve">the </w:t>
      </w:r>
      <w:r w:rsidRPr="00C16083" w:rsidR="00712312">
        <w:t xml:space="preserve">police returned the hard drive to </w:t>
      </w:r>
      <w:r w:rsidRPr="00C16083" w:rsidR="00CA1B88">
        <w:t>Mr Mezentsev</w:t>
      </w:r>
      <w:r w:rsidRPr="00C16083" w:rsidR="00712312">
        <w:t xml:space="preserve">. No criminal charges were ever brought against </w:t>
      </w:r>
      <w:r w:rsidRPr="00C16083" w:rsidR="002A13F7">
        <w:t xml:space="preserve">Mr </w:t>
      </w:r>
      <w:r w:rsidRPr="00C16083" w:rsidR="00712312">
        <w:t>M.</w:t>
      </w:r>
    </w:p>
    <w:p w:rsidRPr="00C16083" w:rsidR="00843BB9" w:rsidP="00C16083" w:rsidRDefault="006368BA">
      <w:pPr>
        <w:pStyle w:val="JuPara"/>
      </w:pPr>
      <w:fldSimple w:instr=" SEQ level0 \*arabic ">
        <w:r w:rsidRPr="00C16083" w:rsidR="00C16083">
          <w:rPr>
            <w:noProof/>
          </w:rPr>
          <w:t>63</w:t>
        </w:r>
      </w:fldSimple>
      <w:r w:rsidRPr="00C16083" w:rsidR="00712312">
        <w:t>.  </w:t>
      </w:r>
      <w:r w:rsidRPr="00C16083" w:rsidR="00CA1B88">
        <w:t>Mr Mezentsev</w:t>
      </w:r>
      <w:r w:rsidRPr="00C16083" w:rsidR="00712312">
        <w:t xml:space="preserve"> </w:t>
      </w:r>
      <w:r w:rsidRPr="00C16083" w:rsidR="00B21589">
        <w:t xml:space="preserve">brought proceedings under Article 125 of the CCrP, </w:t>
      </w:r>
      <w:r w:rsidRPr="00C16083" w:rsidR="00712312">
        <w:t>complain</w:t>
      </w:r>
      <w:r w:rsidRPr="00C16083" w:rsidR="00B21589">
        <w:t>ing</w:t>
      </w:r>
      <w:r w:rsidRPr="00C16083" w:rsidR="00712312">
        <w:t xml:space="preserve"> that the police actions </w:t>
      </w:r>
      <w:r w:rsidRPr="00C16083" w:rsidR="003B3494">
        <w:t xml:space="preserve">had been </w:t>
      </w:r>
      <w:r w:rsidRPr="00C16083" w:rsidR="00712312">
        <w:t xml:space="preserve">unlawful. </w:t>
      </w:r>
      <w:r w:rsidRPr="00C16083" w:rsidR="003B3494">
        <w:t xml:space="preserve">He </w:t>
      </w:r>
      <w:r w:rsidRPr="00C16083" w:rsidR="00712312">
        <w:t>argued, in particular, that although he was not a Bar member</w:t>
      </w:r>
      <w:r w:rsidRPr="00C16083" w:rsidR="003B3494">
        <w:t>,</w:t>
      </w:r>
      <w:r w:rsidRPr="00C16083" w:rsidR="00712312">
        <w:t xml:space="preserve"> he was a lawyer permitted by law to render legal services and that he owed a duty of confidentiality to his clients. Therefore, during the search of his office special procedural safeguards, such as prior court authorisation, should have been complied with.</w:t>
      </w:r>
    </w:p>
    <w:bookmarkStart w:name="court_dec_manner_search_Mezentsev" w:id="22"/>
    <w:p w:rsidRPr="00C16083" w:rsidR="00712312"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64</w:t>
      </w:r>
      <w:r w:rsidRPr="00C16083">
        <w:rPr>
          <w:noProof/>
        </w:rPr>
        <w:fldChar w:fldCharType="end"/>
      </w:r>
      <w:bookmarkEnd w:id="22"/>
      <w:r w:rsidRPr="00C16083" w:rsidR="00712312">
        <w:t xml:space="preserve">.  On 18 March 2013 the </w:t>
      </w:r>
      <w:r w:rsidRPr="00C16083" w:rsidR="002A13F7">
        <w:t xml:space="preserve">Leninskiy </w:t>
      </w:r>
      <w:r w:rsidRPr="00C16083" w:rsidR="00712312">
        <w:t>District Court</w:t>
      </w:r>
      <w:r w:rsidRPr="00C16083" w:rsidR="002A13F7">
        <w:t xml:space="preserve"> of the town of Orsk</w:t>
      </w:r>
      <w:r w:rsidRPr="00C16083" w:rsidR="00712312">
        <w:t xml:space="preserve"> dismissed </w:t>
      </w:r>
      <w:r w:rsidRPr="00C16083" w:rsidR="00B21589">
        <w:t>Mr Mezentsev</w:t>
      </w:r>
      <w:r w:rsidRPr="00C16083" w:rsidR="00C16083">
        <w:t>’</w:t>
      </w:r>
      <w:r w:rsidRPr="00C16083" w:rsidR="00B21589">
        <w:t xml:space="preserve">s </w:t>
      </w:r>
      <w:r w:rsidRPr="00C16083" w:rsidR="00712312">
        <w:t>complaint</w:t>
      </w:r>
      <w:r w:rsidRPr="00C16083" w:rsidR="00B21589">
        <w:t xml:space="preserve">, finding </w:t>
      </w:r>
      <w:r w:rsidRPr="00C16083" w:rsidR="00712312">
        <w:t xml:space="preserve">no irregularities in the conduct of the </w:t>
      </w:r>
      <w:r w:rsidRPr="00C16083" w:rsidR="00D76167">
        <w:t xml:space="preserve">crime-scene </w:t>
      </w:r>
      <w:r w:rsidRPr="00C16083" w:rsidR="00712312">
        <w:t xml:space="preserve">examination of </w:t>
      </w:r>
      <w:r w:rsidRPr="00C16083" w:rsidR="00B21589">
        <w:t xml:space="preserve">his </w:t>
      </w:r>
      <w:r w:rsidRPr="00C16083" w:rsidR="00712312">
        <w:t xml:space="preserve">office. In particular, the </w:t>
      </w:r>
      <w:r w:rsidRPr="00C16083" w:rsidR="003F6A3D">
        <w:t>c</w:t>
      </w:r>
      <w:r w:rsidRPr="00C16083" w:rsidR="00712312">
        <w:t xml:space="preserve">ourt found that </w:t>
      </w:r>
      <w:r w:rsidRPr="00C16083" w:rsidR="003F6A3D">
        <w:t xml:space="preserve">the </w:t>
      </w:r>
      <w:r w:rsidRPr="00C16083" w:rsidR="00712312">
        <w:t xml:space="preserve">police had been seeking information about criminal activities at company P. They had received “sufficient information giving grounds to believe that objects and documents concerning </w:t>
      </w:r>
      <w:r w:rsidRPr="00C16083" w:rsidR="003F6A3D">
        <w:t xml:space="preserve">the </w:t>
      </w:r>
      <w:r w:rsidRPr="00C16083" w:rsidR="00712312">
        <w:t>activities of company P. might be located in the office</w:t>
      </w:r>
      <w:r w:rsidRPr="00C16083" w:rsidR="003F6A3D">
        <w:t xml:space="preserve"> </w:t>
      </w:r>
      <w:r w:rsidRPr="00C16083" w:rsidR="00712312">
        <w:t xml:space="preserve">...”. </w:t>
      </w:r>
      <w:r w:rsidRPr="00C16083" w:rsidR="003F6A3D">
        <w:t>The p</w:t>
      </w:r>
      <w:r w:rsidRPr="00C16083" w:rsidR="00712312">
        <w:t xml:space="preserve">olice </w:t>
      </w:r>
      <w:r w:rsidRPr="00C16083" w:rsidR="003F6A3D">
        <w:t xml:space="preserve">had </w:t>
      </w:r>
      <w:r w:rsidRPr="00C16083" w:rsidR="00712312">
        <w:t>conducted a “</w:t>
      </w:r>
      <w:r w:rsidRPr="00C16083" w:rsidR="00D76167">
        <w:t xml:space="preserve">crime-scene </w:t>
      </w:r>
      <w:r w:rsidRPr="00C16083" w:rsidR="00712312">
        <w:t xml:space="preserve">examination” of </w:t>
      </w:r>
      <w:r w:rsidRPr="00C16083" w:rsidR="00CA1B88">
        <w:t>Mr Mezentsev</w:t>
      </w:r>
      <w:r w:rsidRPr="00C16083" w:rsidR="00C16083">
        <w:t>’</w:t>
      </w:r>
      <w:r w:rsidRPr="00C16083" w:rsidR="00712312">
        <w:t xml:space="preserve">s office which did not require prior judicial authorisation under the CCrP; </w:t>
      </w:r>
      <w:r w:rsidRPr="00C16083" w:rsidR="00CA1B88">
        <w:t>Mr Mezentsev</w:t>
      </w:r>
      <w:r w:rsidRPr="00C16083" w:rsidR="00712312">
        <w:t xml:space="preserve"> </w:t>
      </w:r>
      <w:r w:rsidRPr="00C16083" w:rsidR="003F6A3D">
        <w:t xml:space="preserve">had been </w:t>
      </w:r>
      <w:r w:rsidRPr="00C16083" w:rsidR="00712312">
        <w:t xml:space="preserve">apprised of his rights; two attesting witnesses </w:t>
      </w:r>
      <w:r w:rsidRPr="00C16083" w:rsidR="003F6A3D">
        <w:t xml:space="preserve">had been </w:t>
      </w:r>
      <w:r w:rsidRPr="00C16083" w:rsidR="00712312">
        <w:t xml:space="preserve">present; </w:t>
      </w:r>
      <w:r w:rsidRPr="00C16083" w:rsidR="003F6A3D">
        <w:t xml:space="preserve">and </w:t>
      </w:r>
      <w:r w:rsidRPr="00C16083" w:rsidR="00712312">
        <w:t xml:space="preserve">they and </w:t>
      </w:r>
      <w:r w:rsidRPr="00C16083" w:rsidR="00CA1B88">
        <w:t>Mr</w:t>
      </w:r>
      <w:r w:rsidRPr="00C16083" w:rsidR="003266EC">
        <w:t> </w:t>
      </w:r>
      <w:r w:rsidRPr="00C16083" w:rsidR="00CA1B88">
        <w:t>Mezentsev</w:t>
      </w:r>
      <w:r w:rsidRPr="00C16083" w:rsidR="00712312">
        <w:t xml:space="preserve"> had </w:t>
      </w:r>
      <w:r w:rsidRPr="00C16083" w:rsidR="003F6A3D">
        <w:t xml:space="preserve">had </w:t>
      </w:r>
      <w:r w:rsidRPr="00C16083" w:rsidR="00712312">
        <w:t xml:space="preserve">the opportunity to add their comments to the record of the </w:t>
      </w:r>
      <w:r w:rsidRPr="00C16083" w:rsidR="00D76167">
        <w:t xml:space="preserve">crime-scene </w:t>
      </w:r>
      <w:r w:rsidRPr="00C16083" w:rsidR="00712312">
        <w:t xml:space="preserve">examination. The </w:t>
      </w:r>
      <w:r w:rsidRPr="00C16083" w:rsidR="003F6A3D">
        <w:t>c</w:t>
      </w:r>
      <w:r w:rsidRPr="00C16083" w:rsidR="00712312">
        <w:t xml:space="preserve">ourt further held that prior authorisation </w:t>
      </w:r>
      <w:r w:rsidRPr="00C16083" w:rsidR="003F6A3D">
        <w:t xml:space="preserve">for </w:t>
      </w:r>
      <w:r w:rsidRPr="00C16083" w:rsidR="00712312">
        <w:t xml:space="preserve">a search was required </w:t>
      </w:r>
      <w:r w:rsidRPr="00C16083" w:rsidR="003F6A3D">
        <w:t xml:space="preserve">from a court </w:t>
      </w:r>
      <w:r w:rsidRPr="00C16083" w:rsidR="00712312">
        <w:t xml:space="preserve">only in respect of Bar members, which </w:t>
      </w:r>
      <w:r w:rsidRPr="00C16083" w:rsidR="00CA1B88">
        <w:t>Mr Mezentsev</w:t>
      </w:r>
      <w:r w:rsidRPr="00C16083" w:rsidR="00712312">
        <w:t xml:space="preserve"> was not. Finally, </w:t>
      </w:r>
      <w:r w:rsidRPr="00C16083" w:rsidR="003F6A3D">
        <w:t xml:space="preserve">the court had found no </w:t>
      </w:r>
      <w:r w:rsidRPr="00C16083" w:rsidR="00712312">
        <w:t xml:space="preserve">evidence that </w:t>
      </w:r>
      <w:r w:rsidRPr="00C16083" w:rsidR="00CA1B88">
        <w:t>Mr Mezentsev</w:t>
      </w:r>
      <w:r w:rsidRPr="00C16083" w:rsidR="00C16083">
        <w:t>’</w:t>
      </w:r>
      <w:r w:rsidRPr="00C16083" w:rsidR="00712312">
        <w:t xml:space="preserve">s rights had been breached by the search and </w:t>
      </w:r>
      <w:r w:rsidRPr="00C16083" w:rsidR="003F6A3D">
        <w:t xml:space="preserve">the </w:t>
      </w:r>
      <w:r w:rsidRPr="00C16083" w:rsidR="00712312">
        <w:t>seizure of his computer. On 30 April 2013 the Orenburg Regional Court upheld the decision on appeal</w:t>
      </w:r>
      <w:r w:rsidRPr="00C16083" w:rsidR="003F6A3D">
        <w:t>,</w:t>
      </w:r>
      <w:r w:rsidRPr="00C16083" w:rsidR="00712312">
        <w:t xml:space="preserve"> endorsing the reasoning of the first-instance court.</w:t>
      </w:r>
    </w:p>
    <w:p w:rsidRPr="00C16083" w:rsidR="00843BB9" w:rsidP="00C16083" w:rsidRDefault="00C63625">
      <w:pPr>
        <w:pStyle w:val="JuH1"/>
      </w:pPr>
      <w:r w:rsidRPr="00C16083">
        <w:t>  </w:t>
      </w:r>
      <w:r w:rsidRPr="00C16083" w:rsidR="00712312">
        <w:t>Application no. 7101/15, Lazutkin v. Russia</w:t>
      </w:r>
    </w:p>
    <w:p w:rsidRPr="00C16083" w:rsidR="00843BB9" w:rsidP="00C16083" w:rsidRDefault="006368BA">
      <w:pPr>
        <w:pStyle w:val="JuPara"/>
      </w:pPr>
      <w:fldSimple w:instr=" SEQ level0 \*arabic ">
        <w:r w:rsidRPr="00C16083" w:rsidR="00C16083">
          <w:rPr>
            <w:noProof/>
          </w:rPr>
          <w:t>65</w:t>
        </w:r>
      </w:fldSimple>
      <w:r w:rsidRPr="00C16083" w:rsidR="00712312">
        <w:t>.  </w:t>
      </w:r>
      <w:r w:rsidRPr="00C16083" w:rsidR="004C33A6">
        <w:t>Mr Lazutkin</w:t>
      </w:r>
      <w:r w:rsidRPr="00C16083" w:rsidR="00712312">
        <w:t xml:space="preserve"> represented the interests of company A.</w:t>
      </w:r>
      <w:r w:rsidRPr="00C16083" w:rsidR="00843BB9">
        <w:t xml:space="preserve"> </w:t>
      </w:r>
      <w:r w:rsidRPr="00C16083" w:rsidR="00712312">
        <w:t>The Federal Security Service (“</w:t>
      </w:r>
      <w:r w:rsidRPr="00C16083" w:rsidR="001D46EB">
        <w:t xml:space="preserve">the </w:t>
      </w:r>
      <w:r w:rsidRPr="00C16083" w:rsidR="00712312">
        <w:t xml:space="preserve">FSB”) suspected unidentified people of transferring money via company A. On 23 September 2014 the Sverdlovsk Regional Court of Yekaterinburg granted requests by an FSB officer for </w:t>
      </w:r>
      <w:r w:rsidRPr="00C16083" w:rsidR="00DB0BF5">
        <w:t xml:space="preserve">authorisation of </w:t>
      </w:r>
      <w:r w:rsidRPr="00C16083" w:rsidR="00712312">
        <w:t>operational-search activities</w:t>
      </w:r>
      <w:r w:rsidRPr="00C16083" w:rsidR="00203773">
        <w:t xml:space="preserve"> (under the Operational-Search Activities Act, see paragraph </w:t>
      </w:r>
      <w:r w:rsidRPr="00C16083" w:rsidR="00203773">
        <w:fldChar w:fldCharType="begin"/>
      </w:r>
      <w:r w:rsidRPr="00C16083" w:rsidR="00203773">
        <w:instrText xml:space="preserve"> REF OSAA_inspection_of_premises \h </w:instrText>
      </w:r>
      <w:r w:rsidRPr="00C16083" w:rsidR="00203773">
        <w:fldChar w:fldCharType="separate"/>
      </w:r>
      <w:r w:rsidRPr="00C16083" w:rsidR="00C16083">
        <w:rPr>
          <w:noProof/>
          <w:lang w:eastAsia="fr-FR"/>
        </w:rPr>
        <w:t>88</w:t>
      </w:r>
      <w:r w:rsidRPr="00C16083" w:rsidR="00203773">
        <w:fldChar w:fldCharType="end"/>
      </w:r>
      <w:r w:rsidRPr="00C16083" w:rsidR="00203773">
        <w:t xml:space="preserve"> below)</w:t>
      </w:r>
      <w:r w:rsidRPr="00C16083" w:rsidR="00712312">
        <w:t xml:space="preserve"> in the form of an “inspection” (</w:t>
      </w:r>
      <w:r w:rsidRPr="00C16083" w:rsidR="00712312">
        <w:rPr>
          <w:i/>
        </w:rPr>
        <w:t>обследование</w:t>
      </w:r>
      <w:r w:rsidRPr="00C16083" w:rsidR="00712312">
        <w:t xml:space="preserve">) of </w:t>
      </w:r>
      <w:r w:rsidRPr="00C16083" w:rsidR="004C33A6">
        <w:t>Mr Lazutkin</w:t>
      </w:r>
      <w:r w:rsidRPr="00C16083" w:rsidR="00C16083">
        <w:t>’</w:t>
      </w:r>
      <w:r w:rsidRPr="00C16083" w:rsidR="00712312">
        <w:t xml:space="preserve">s home, his office, and his workplace at company A. </w:t>
      </w:r>
      <w:r w:rsidRPr="00C16083" w:rsidR="00DB0BF5">
        <w:t>The court</w:t>
      </w:r>
      <w:r w:rsidRPr="00C16083" w:rsidR="001D46EB">
        <w:t xml:space="preserve"> held that the FSB had information about </w:t>
      </w:r>
      <w:r w:rsidRPr="00C16083" w:rsidR="004C33A6">
        <w:t>Mr</w:t>
      </w:r>
      <w:r w:rsidRPr="00C16083" w:rsidR="006D63F1">
        <w:t> </w:t>
      </w:r>
      <w:r w:rsidRPr="00C16083" w:rsidR="004C33A6">
        <w:t>Lazutkin</w:t>
      </w:r>
      <w:r w:rsidRPr="00C16083" w:rsidR="00C16083">
        <w:t>’</w:t>
      </w:r>
      <w:r w:rsidRPr="00C16083" w:rsidR="001D46EB">
        <w:t>s involvement in illegal foreign</w:t>
      </w:r>
      <w:r w:rsidRPr="00C16083" w:rsidR="005A523B">
        <w:t>-</w:t>
      </w:r>
      <w:r w:rsidRPr="00C16083" w:rsidR="001D46EB">
        <w:t>currency transactions with the use of forged documents</w:t>
      </w:r>
      <w:r w:rsidRPr="00C16083" w:rsidR="003F6A3D">
        <w:t>,</w:t>
      </w:r>
      <w:r w:rsidRPr="00C16083" w:rsidR="001D46EB">
        <w:t xml:space="preserve"> and thus documents and objects used for criminal activities could be located at his premises.</w:t>
      </w:r>
    </w:p>
    <w:p w:rsidRPr="00C16083" w:rsidR="00843BB9" w:rsidP="00C16083" w:rsidRDefault="006368BA">
      <w:pPr>
        <w:pStyle w:val="JuPara"/>
      </w:pPr>
      <w:fldSimple w:instr=" SEQ level0 \*arabic ">
        <w:r w:rsidRPr="00C16083" w:rsidR="00C16083">
          <w:rPr>
            <w:noProof/>
          </w:rPr>
          <w:t>66</w:t>
        </w:r>
      </w:fldSimple>
      <w:r w:rsidRPr="00C16083" w:rsidR="00712312">
        <w:t xml:space="preserve">.  During the searches on 25 September 2014 </w:t>
      </w:r>
      <w:r w:rsidRPr="00C16083" w:rsidR="003F6A3D">
        <w:t xml:space="preserve">the </w:t>
      </w:r>
      <w:r w:rsidRPr="00C16083" w:rsidR="00712312">
        <w:t xml:space="preserve">police seized two of </w:t>
      </w:r>
      <w:r w:rsidRPr="00C16083" w:rsidR="004C33A6">
        <w:t>Mr Lazutkin</w:t>
      </w:r>
      <w:r w:rsidRPr="00C16083" w:rsidR="00C16083">
        <w:t>’</w:t>
      </w:r>
      <w:r w:rsidRPr="00C16083" w:rsidR="00712312">
        <w:t>s notebooks and four computers</w:t>
      </w:r>
      <w:r w:rsidRPr="00C16083" w:rsidR="00DB0BF5">
        <w:t xml:space="preserve"> belonging to company A.</w:t>
      </w:r>
      <w:r w:rsidRPr="00C16083" w:rsidR="00712312">
        <w:t xml:space="preserve"> containing, among other</w:t>
      </w:r>
      <w:r w:rsidRPr="00C16083" w:rsidR="00DB0BF5">
        <w:t xml:space="preserve"> thing</w:t>
      </w:r>
      <w:r w:rsidRPr="00C16083" w:rsidR="00712312">
        <w:t xml:space="preserve">s, </w:t>
      </w:r>
      <w:r w:rsidRPr="00C16083" w:rsidR="007C224D">
        <w:t xml:space="preserve">documents subject to </w:t>
      </w:r>
      <w:r w:rsidRPr="00C16083" w:rsidR="00712312">
        <w:t xml:space="preserve">legal privilege. </w:t>
      </w:r>
      <w:r w:rsidRPr="00C16083" w:rsidR="00B6510A">
        <w:t xml:space="preserve">On 27 April 2016 the </w:t>
      </w:r>
      <w:r w:rsidRPr="00C16083" w:rsidR="00C853C6">
        <w:t xml:space="preserve">investigator issued a decision to retain the seized objects as physical evidence. </w:t>
      </w:r>
      <w:r w:rsidRPr="00C16083" w:rsidR="00F73CB7">
        <w:t>It appears that the seized objects have not been returned</w:t>
      </w:r>
      <w:r w:rsidRPr="00C16083" w:rsidR="00A60E4F">
        <w:t xml:space="preserve"> to </w:t>
      </w:r>
      <w:r w:rsidRPr="00C16083" w:rsidR="004C33A6">
        <w:t>Mr Lazutkin</w:t>
      </w:r>
      <w:r w:rsidRPr="00C16083" w:rsidR="00F73CB7">
        <w:t>.</w:t>
      </w:r>
    </w:p>
    <w:p w:rsidRPr="00C16083" w:rsidR="00843BB9" w:rsidP="00C16083" w:rsidRDefault="00C63625">
      <w:pPr>
        <w:pStyle w:val="JuH1"/>
      </w:pPr>
      <w:r w:rsidRPr="00C16083">
        <w:t>  </w:t>
      </w:r>
      <w:r w:rsidRPr="00C16083" w:rsidR="00712312">
        <w:t>Application no. 29786/15, Parnachev and others v. Russia</w:t>
      </w:r>
    </w:p>
    <w:bookmarkStart w:name="search_warrant_Parnachev" w:id="23"/>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67</w:t>
      </w:r>
      <w:r w:rsidRPr="00C16083">
        <w:rPr>
          <w:noProof/>
        </w:rPr>
        <w:fldChar w:fldCharType="end"/>
      </w:r>
      <w:bookmarkEnd w:id="23"/>
      <w:r w:rsidRPr="00C16083" w:rsidR="00712312">
        <w:t>.  </w:t>
      </w:r>
      <w:r w:rsidRPr="00C16083" w:rsidR="00146FF8">
        <w:t xml:space="preserve">The applicants, Mr Parnachev, Mr Prokhorov, Mr Pestov and Mr Rozhkov (who are all advocates) were members of the Novosibirsk Town </w:t>
      </w:r>
      <w:r w:rsidRPr="00C16083" w:rsidR="003F3331">
        <w:t>Advocate</w:t>
      </w:r>
      <w:r w:rsidRPr="00C16083" w:rsidR="00146FF8">
        <w:t xml:space="preserve"> Association (“the NT</w:t>
      </w:r>
      <w:r w:rsidRPr="00C16083" w:rsidR="003F3331">
        <w:t>A</w:t>
      </w:r>
      <w:r w:rsidRPr="00C16083" w:rsidR="00146FF8">
        <w:t xml:space="preserve">A”). A </w:t>
      </w:r>
      <w:r w:rsidRPr="00C16083" w:rsidR="004C33A6">
        <w:t>Mr Prokhorov</w:t>
      </w:r>
      <w:r w:rsidRPr="00C16083" w:rsidR="00C16083">
        <w:t>’</w:t>
      </w:r>
      <w:r w:rsidRPr="00C16083" w:rsidR="00712312">
        <w:t xml:space="preserve">s client was suspected of misappropriation of funds by means of transferring money for consulting and legal services to </w:t>
      </w:r>
      <w:r w:rsidRPr="00C16083" w:rsidR="002431D5">
        <w:t xml:space="preserve">a </w:t>
      </w:r>
      <w:r w:rsidRPr="00C16083" w:rsidR="00712312">
        <w:t xml:space="preserve">firm </w:t>
      </w:r>
      <w:r w:rsidRPr="00C16083" w:rsidR="002431D5">
        <w:t xml:space="preserve">of auditors, company </w:t>
      </w:r>
      <w:r w:rsidRPr="00C16083" w:rsidR="00712312">
        <w:t>N.</w:t>
      </w:r>
      <w:r w:rsidRPr="00C16083" w:rsidR="002431D5">
        <w:t>,</w:t>
      </w:r>
      <w:r w:rsidRPr="00C16083" w:rsidR="00712312">
        <w:t xml:space="preserve"> and to</w:t>
      </w:r>
      <w:r w:rsidRPr="00C16083" w:rsidR="00146FF8">
        <w:t xml:space="preserve"> the NT</w:t>
      </w:r>
      <w:r w:rsidRPr="00C16083" w:rsidR="00236B00">
        <w:t>A</w:t>
      </w:r>
      <w:r w:rsidRPr="00C16083" w:rsidR="00146FF8">
        <w:t>A</w:t>
      </w:r>
      <w:r w:rsidRPr="00C16083" w:rsidR="00712312">
        <w:t>. On 5 October 2014 the Oktyabrskiy District Court of Novosibirsk authorised a search of premises (located in one building) occupied by the NT</w:t>
      </w:r>
      <w:r w:rsidRPr="00C16083" w:rsidR="00236B00">
        <w:t>A</w:t>
      </w:r>
      <w:r w:rsidRPr="00C16083" w:rsidR="00712312">
        <w:t xml:space="preserve">A, company N. and other lawyers to find and seize documents related to </w:t>
      </w:r>
      <w:r w:rsidRPr="00C16083" w:rsidR="002431D5">
        <w:t xml:space="preserve">the </w:t>
      </w:r>
      <w:r w:rsidRPr="00C16083" w:rsidR="00712312">
        <w:t xml:space="preserve">provision of consulting and legal services by company N. and </w:t>
      </w:r>
      <w:r w:rsidRPr="00C16083" w:rsidR="00CF0648">
        <w:t xml:space="preserve">the </w:t>
      </w:r>
      <w:r w:rsidRPr="00C16083" w:rsidR="00712312">
        <w:t>NT</w:t>
      </w:r>
      <w:r w:rsidRPr="00C16083" w:rsidR="00236B00">
        <w:t>A</w:t>
      </w:r>
      <w:r w:rsidRPr="00C16083" w:rsidR="00712312">
        <w:t xml:space="preserve">A. The court search warrant contained a detailed list of the exact documents that the investigators were looking for. The court also </w:t>
      </w:r>
      <w:r w:rsidRPr="00C16083" w:rsidR="005A523B">
        <w:t xml:space="preserve">ordered </w:t>
      </w:r>
      <w:r w:rsidRPr="00C16083" w:rsidR="002431D5">
        <w:t xml:space="preserve">the </w:t>
      </w:r>
      <w:r w:rsidRPr="00C16083" w:rsidR="00712312">
        <w:t>seizure of all devices and mobile</w:t>
      </w:r>
      <w:r w:rsidRPr="00C16083" w:rsidR="002431D5">
        <w:t xml:space="preserve"> phone</w:t>
      </w:r>
      <w:r w:rsidRPr="00C16083" w:rsidR="00712312">
        <w:t xml:space="preserve">s containing correspondence related to </w:t>
      </w:r>
      <w:r w:rsidRPr="00C16083" w:rsidR="00821381">
        <w:t xml:space="preserve">the </w:t>
      </w:r>
      <w:r w:rsidRPr="00C16083" w:rsidR="00712312">
        <w:t xml:space="preserve">provision of consulting and legal services by company N. and </w:t>
      </w:r>
      <w:r w:rsidRPr="00C16083" w:rsidR="00821381">
        <w:t xml:space="preserve">the </w:t>
      </w:r>
      <w:r w:rsidRPr="00C16083" w:rsidR="00712312">
        <w:t>NT</w:t>
      </w:r>
      <w:r w:rsidRPr="00C16083" w:rsidR="009E60E4">
        <w:t>A</w:t>
      </w:r>
      <w:r w:rsidRPr="00C16083" w:rsidR="00712312">
        <w:t xml:space="preserve">A. </w:t>
      </w:r>
      <w:r w:rsidRPr="00C16083" w:rsidR="00A21401">
        <w:t>T</w:t>
      </w:r>
      <w:r w:rsidRPr="00C16083" w:rsidR="00712312">
        <w:t xml:space="preserve">he search </w:t>
      </w:r>
      <w:r w:rsidRPr="00C16083" w:rsidR="00A21401">
        <w:t xml:space="preserve">took place </w:t>
      </w:r>
      <w:r w:rsidRPr="00C16083" w:rsidR="00712312">
        <w:t>from 4 p.m. on 6</w:t>
      </w:r>
      <w:r w:rsidRPr="00C16083" w:rsidR="00A21401">
        <w:t xml:space="preserve"> October </w:t>
      </w:r>
      <w:r w:rsidRPr="00C16083" w:rsidR="00736760">
        <w:t>2014 until 11 </w:t>
      </w:r>
      <w:r w:rsidRPr="00C16083" w:rsidR="00712312">
        <w:t>a.m. on 8</w:t>
      </w:r>
      <w:r w:rsidRPr="00C16083" w:rsidR="00A21401">
        <w:t xml:space="preserve"> October </w:t>
      </w:r>
      <w:r w:rsidRPr="00C16083" w:rsidR="00712312">
        <w:t xml:space="preserve">2014 </w:t>
      </w:r>
      <w:r w:rsidRPr="00C16083" w:rsidR="00A21401">
        <w:t xml:space="preserve">as a result of which </w:t>
      </w:r>
      <w:r w:rsidRPr="00C16083" w:rsidR="00821381">
        <w:t xml:space="preserve">the </w:t>
      </w:r>
      <w:r w:rsidRPr="00C16083" w:rsidR="00712312">
        <w:t xml:space="preserve">police seized </w:t>
      </w:r>
      <w:r w:rsidRPr="00C16083" w:rsidR="00DD064F">
        <w:t>all computer</w:t>
      </w:r>
      <w:r w:rsidRPr="00C16083" w:rsidR="00712312">
        <w:t xml:space="preserve">s and hard drives. </w:t>
      </w:r>
      <w:r w:rsidRPr="00C16083" w:rsidR="00DD064F">
        <w:t>It appears that the seized objects have not been returned.</w:t>
      </w:r>
    </w:p>
    <w:p w:rsidRPr="00C16083" w:rsidR="00F607D0" w:rsidP="00C16083" w:rsidRDefault="006368BA">
      <w:pPr>
        <w:pStyle w:val="JuPara"/>
      </w:pPr>
      <w:fldSimple w:instr=" SEQ level0 \*arabic ">
        <w:r w:rsidRPr="00C16083" w:rsidR="00C16083">
          <w:rPr>
            <w:noProof/>
          </w:rPr>
          <w:t>68</w:t>
        </w:r>
      </w:fldSimple>
      <w:r w:rsidRPr="00C16083" w:rsidR="00CC36E0">
        <w:t>.  </w:t>
      </w:r>
      <w:r w:rsidRPr="00C16083" w:rsidR="004C33A6">
        <w:t>Mr Parnachev, Mr Prokhorov, Mr Pestov and Mr Rozhkov</w:t>
      </w:r>
      <w:r w:rsidRPr="00C16083" w:rsidR="00F607D0">
        <w:t xml:space="preserve"> appealed against the </w:t>
      </w:r>
      <w:r w:rsidRPr="00C16083" w:rsidR="00821381">
        <w:t>court</w:t>
      </w:r>
      <w:r w:rsidRPr="00C16083" w:rsidR="00C16083">
        <w:t>’</w:t>
      </w:r>
      <w:r w:rsidRPr="00C16083" w:rsidR="00821381">
        <w:t xml:space="preserve">s decision to issue a </w:t>
      </w:r>
      <w:r w:rsidRPr="00C16083" w:rsidR="00F607D0">
        <w:t>search</w:t>
      </w:r>
      <w:r w:rsidRPr="00C16083" w:rsidR="005A523B">
        <w:t>-</w:t>
      </w:r>
      <w:r w:rsidRPr="00C16083" w:rsidR="00F148EF">
        <w:t>and</w:t>
      </w:r>
      <w:r w:rsidRPr="00C16083" w:rsidR="005A523B">
        <w:t>-</w:t>
      </w:r>
      <w:r w:rsidRPr="00C16083" w:rsidR="00F148EF">
        <w:t xml:space="preserve">seizure </w:t>
      </w:r>
      <w:r w:rsidRPr="00C16083" w:rsidR="00F607D0">
        <w:t>order of 5 October 2014</w:t>
      </w:r>
      <w:r w:rsidRPr="00C16083" w:rsidR="00F148EF">
        <w:t xml:space="preserve">. </w:t>
      </w:r>
      <w:r w:rsidRPr="00C16083" w:rsidR="00E65978">
        <w:t>In particular, t</w:t>
      </w:r>
      <w:r w:rsidRPr="00C16083" w:rsidR="00F148EF">
        <w:t>hey argued that a search in respect of a lawyer</w:t>
      </w:r>
      <w:r w:rsidRPr="00C16083" w:rsidR="00C16083">
        <w:t>’</w:t>
      </w:r>
      <w:r w:rsidRPr="00C16083" w:rsidR="00F148EF">
        <w:t>s premises should relate to a</w:t>
      </w:r>
      <w:r w:rsidRPr="00C16083" w:rsidR="00E65978">
        <w:t>n</w:t>
      </w:r>
      <w:r w:rsidRPr="00C16083" w:rsidR="00F148EF">
        <w:t xml:space="preserve"> </w:t>
      </w:r>
      <w:r w:rsidRPr="00C16083" w:rsidR="00E65978">
        <w:t>individual</w:t>
      </w:r>
      <w:r w:rsidRPr="00C16083" w:rsidR="00F148EF">
        <w:t xml:space="preserve"> lawyer</w:t>
      </w:r>
      <w:r w:rsidRPr="00C16083" w:rsidR="00821381">
        <w:t>,</w:t>
      </w:r>
      <w:r w:rsidRPr="00C16083" w:rsidR="00F148EF">
        <w:t xml:space="preserve"> rather than</w:t>
      </w:r>
      <w:r w:rsidRPr="00C16083" w:rsidR="00CA25EB">
        <w:t xml:space="preserve"> to</w:t>
      </w:r>
      <w:r w:rsidRPr="00C16083" w:rsidR="00F148EF">
        <w:t xml:space="preserve"> </w:t>
      </w:r>
      <w:r w:rsidRPr="00C16083" w:rsidR="00821381">
        <w:t xml:space="preserve">premises </w:t>
      </w:r>
      <w:r w:rsidRPr="00C16083" w:rsidR="00F148EF">
        <w:t>including all lawyers work</w:t>
      </w:r>
      <w:r w:rsidRPr="00C16083" w:rsidR="00E65978">
        <w:t>ing</w:t>
      </w:r>
      <w:r w:rsidRPr="00C16083" w:rsidR="00F148EF">
        <w:t xml:space="preserve"> there. </w:t>
      </w:r>
      <w:r w:rsidRPr="00C16083" w:rsidR="004C33A6">
        <w:t>Mr Parnachev, Mr Prokhorov, Mr</w:t>
      </w:r>
      <w:r w:rsidRPr="00C16083" w:rsidR="006D63F1">
        <w:t> </w:t>
      </w:r>
      <w:r w:rsidRPr="00C16083" w:rsidR="004C33A6">
        <w:t>Pestov and Mr Rozhkov</w:t>
      </w:r>
      <w:r w:rsidRPr="00C16083" w:rsidR="00E65978">
        <w:t xml:space="preserve"> considered that the searches of their </w:t>
      </w:r>
      <w:r w:rsidRPr="00C16083" w:rsidR="00960A50">
        <w:t>offices</w:t>
      </w:r>
      <w:r w:rsidRPr="00C16083" w:rsidR="00E65978">
        <w:t xml:space="preserve"> had constituted a disproportionate interference with their rights under Article 8 of the Convention</w:t>
      </w:r>
      <w:r w:rsidRPr="00C16083" w:rsidR="00821381">
        <w:t>,</w:t>
      </w:r>
      <w:r w:rsidRPr="00C16083" w:rsidR="00E65978">
        <w:t xml:space="preserve"> as it had breached professional secrecy without </w:t>
      </w:r>
      <w:r w:rsidRPr="00C16083" w:rsidR="00821381">
        <w:t xml:space="preserve">applying </w:t>
      </w:r>
      <w:r w:rsidRPr="00C16083" w:rsidR="00E65978">
        <w:t xml:space="preserve">any procedural safeguards </w:t>
      </w:r>
      <w:r w:rsidRPr="00C16083" w:rsidR="00821381">
        <w:t xml:space="preserve">as </w:t>
      </w:r>
      <w:r w:rsidRPr="00C16083" w:rsidR="00E65978">
        <w:t>required by the Court</w:t>
      </w:r>
      <w:r w:rsidRPr="00C16083" w:rsidR="00C16083">
        <w:t>’</w:t>
      </w:r>
      <w:r w:rsidRPr="00C16083" w:rsidR="00E65978">
        <w:t xml:space="preserve">s case-law. On 3 December 2014 the Novosibirsk Regional Court dismissed the appeal. On 25 February 2015 </w:t>
      </w:r>
      <w:r w:rsidRPr="00C16083" w:rsidR="00821381">
        <w:t xml:space="preserve">an appeal in cassation lodged by them </w:t>
      </w:r>
      <w:r w:rsidRPr="00C16083" w:rsidR="00E65978">
        <w:t>was also</w:t>
      </w:r>
      <w:r w:rsidRPr="00C16083" w:rsidR="00821381">
        <w:t xml:space="preserve"> dismissed</w:t>
      </w:r>
      <w:r w:rsidRPr="00C16083" w:rsidR="00E65978">
        <w:t xml:space="preserve">. </w:t>
      </w:r>
      <w:r w:rsidRPr="00C16083" w:rsidR="00821381">
        <w:t xml:space="preserve">A </w:t>
      </w:r>
      <w:r w:rsidRPr="00C16083" w:rsidR="00C947A4">
        <w:t xml:space="preserve">second </w:t>
      </w:r>
      <w:r w:rsidRPr="00C16083" w:rsidR="00821381">
        <w:t xml:space="preserve">appeal in </w:t>
      </w:r>
      <w:r w:rsidRPr="00C16083" w:rsidR="00C947A4">
        <w:t xml:space="preserve">cassation was successful and the </w:t>
      </w:r>
      <w:r w:rsidRPr="00C16083" w:rsidR="0020542E">
        <w:t>first</w:t>
      </w:r>
      <w:r w:rsidRPr="00C16083" w:rsidR="00396146">
        <w:noBreakHyphen/>
      </w:r>
      <w:r w:rsidRPr="00C16083" w:rsidR="0020542E">
        <w:t>instance court</w:t>
      </w:r>
      <w:r w:rsidRPr="00C16083" w:rsidR="00C16083">
        <w:t>’</w:t>
      </w:r>
      <w:r w:rsidRPr="00C16083" w:rsidR="0020542E">
        <w:t xml:space="preserve">s </w:t>
      </w:r>
      <w:r w:rsidRPr="00C16083" w:rsidR="00821381">
        <w:t xml:space="preserve">decision to issue a </w:t>
      </w:r>
      <w:r w:rsidRPr="00C16083" w:rsidR="0020542E">
        <w:t>search warrant</w:t>
      </w:r>
      <w:r w:rsidRPr="00C16083" w:rsidR="00C947A4">
        <w:t xml:space="preserve"> was </w:t>
      </w:r>
      <w:r w:rsidRPr="00C16083" w:rsidR="00821381">
        <w:t xml:space="preserve">remitted to the appellate court </w:t>
      </w:r>
      <w:r w:rsidRPr="00C16083" w:rsidR="00C947A4">
        <w:t xml:space="preserve">for fresh examination. </w:t>
      </w:r>
      <w:r w:rsidRPr="00C16083" w:rsidR="00CC36E0">
        <w:t xml:space="preserve">On 9 December 2016 the Novosibirsk Regional Court </w:t>
      </w:r>
      <w:r w:rsidRPr="00C16083" w:rsidR="00821381">
        <w:t xml:space="preserve">decided to </w:t>
      </w:r>
      <w:r w:rsidRPr="00C16083" w:rsidR="00F708A6">
        <w:t xml:space="preserve">amend </w:t>
      </w:r>
      <w:r w:rsidRPr="00C16083" w:rsidR="00CC36E0">
        <w:t>the initial search warrant of 5 October 2014</w:t>
      </w:r>
      <w:r w:rsidRPr="00C16083" w:rsidR="00821381">
        <w:t>,</w:t>
      </w:r>
      <w:r w:rsidRPr="00C16083" w:rsidR="00CC36E0">
        <w:t xml:space="preserve"> </w:t>
      </w:r>
      <w:r w:rsidRPr="00C16083" w:rsidR="00821381">
        <w:t xml:space="preserve">specifying </w:t>
      </w:r>
      <w:r w:rsidRPr="00C16083" w:rsidR="00CC36E0">
        <w:t xml:space="preserve">in more detail the documents </w:t>
      </w:r>
      <w:r w:rsidRPr="00C16083" w:rsidR="00821381">
        <w:t xml:space="preserve">to be </w:t>
      </w:r>
      <w:r w:rsidRPr="00C16083" w:rsidR="00CC36E0">
        <w:t>sought by the investigating authorities.</w:t>
      </w:r>
    </w:p>
    <w:p w:rsidRPr="00C16083" w:rsidR="00712312" w:rsidP="00C16083" w:rsidRDefault="00C63625">
      <w:pPr>
        <w:pStyle w:val="JuH1"/>
      </w:pPr>
      <w:bookmarkStart w:name="Ponyayeva" w:id="24"/>
      <w:bookmarkEnd w:id="24"/>
      <w:r w:rsidRPr="00C16083">
        <w:t>  </w:t>
      </w:r>
      <w:r w:rsidRPr="00C16083" w:rsidR="00712312">
        <w:t>Application no. 19667/16, Ponyayeva v. Russia</w:t>
      </w:r>
    </w:p>
    <w:p w:rsidRPr="00C16083" w:rsidR="00712312" w:rsidP="00C16083" w:rsidRDefault="006368BA">
      <w:pPr>
        <w:pStyle w:val="JuPara"/>
      </w:pPr>
      <w:fldSimple w:instr=" SEQ level0 \*arabic ">
        <w:r w:rsidRPr="00C16083" w:rsidR="00C16083">
          <w:rPr>
            <w:noProof/>
          </w:rPr>
          <w:t>69</w:t>
        </w:r>
      </w:fldSimple>
      <w:r w:rsidRPr="00C16083" w:rsidR="00D21083">
        <w:t>.  </w:t>
      </w:r>
      <w:r w:rsidRPr="00C16083" w:rsidR="0017246B">
        <w:t>The p</w:t>
      </w:r>
      <w:r w:rsidRPr="00C16083" w:rsidR="00712312">
        <w:t xml:space="preserve">olice investigated Mr N. </w:t>
      </w:r>
      <w:r w:rsidRPr="00C16083" w:rsidR="0017246B">
        <w:t xml:space="preserve">on suspicion of </w:t>
      </w:r>
      <w:r w:rsidRPr="00C16083" w:rsidR="00712312">
        <w:t xml:space="preserve">fraud. </w:t>
      </w:r>
      <w:r w:rsidRPr="00C16083" w:rsidR="00DC4CAC">
        <w:t>Ms</w:t>
      </w:r>
      <w:r w:rsidRPr="00C16083" w:rsidR="004C33A6">
        <w:t xml:space="preserve"> Ponyayeva</w:t>
      </w:r>
      <w:r w:rsidRPr="00C16083" w:rsidR="00712312">
        <w:t xml:space="preserve"> provided legal services to Mr N.</w:t>
      </w:r>
      <w:r w:rsidRPr="00C16083" w:rsidR="00C16083">
        <w:t>’</w:t>
      </w:r>
      <w:r w:rsidRPr="00C16083" w:rsidR="00712312">
        <w:t>s companies</w:t>
      </w:r>
      <w:r w:rsidRPr="00C16083" w:rsidR="0017246B">
        <w:t xml:space="preserve"> and the police suspected her of involvement in the alleged fraud</w:t>
      </w:r>
      <w:r w:rsidRPr="00C16083" w:rsidR="00712312">
        <w:t xml:space="preserve">. Neither Mr N. nor </w:t>
      </w:r>
      <w:r w:rsidRPr="00C16083" w:rsidR="00DC4CAC">
        <w:t>Ms</w:t>
      </w:r>
      <w:r w:rsidRPr="00C16083" w:rsidR="004C33A6">
        <w:t xml:space="preserve"> Ponyayeva</w:t>
      </w:r>
      <w:r w:rsidRPr="00C16083" w:rsidR="00712312">
        <w:t xml:space="preserve"> have ever </w:t>
      </w:r>
      <w:r w:rsidRPr="00C16083" w:rsidR="0017246B">
        <w:t xml:space="preserve">been </w:t>
      </w:r>
      <w:r w:rsidRPr="00C16083" w:rsidR="00712312">
        <w:t xml:space="preserve">officially accused of </w:t>
      </w:r>
      <w:r w:rsidRPr="00C16083" w:rsidR="00396146">
        <w:t>having committed any offences.</w:t>
      </w:r>
    </w:p>
    <w:p w:rsidRPr="00C16083" w:rsidR="00843BB9" w:rsidP="00C16083" w:rsidRDefault="0060662B">
      <w:pPr>
        <w:pStyle w:val="JuHa0"/>
      </w:pPr>
      <w:r w:rsidRPr="00C16083">
        <w:t>S</w:t>
      </w:r>
      <w:r w:rsidRPr="00C16083" w:rsidR="00712312">
        <w:t xml:space="preserve">earch of </w:t>
      </w:r>
      <w:r w:rsidRPr="00C16083" w:rsidR="00DC4CAC">
        <w:t>Ms</w:t>
      </w:r>
      <w:r w:rsidRPr="00C16083" w:rsidR="004C33A6">
        <w:t xml:space="preserve"> Ponyayeva</w:t>
      </w:r>
      <w:r w:rsidRPr="00C16083" w:rsidR="00C16083">
        <w:t>’</w:t>
      </w:r>
      <w:r w:rsidRPr="00C16083" w:rsidR="00712312">
        <w:t>s office</w:t>
      </w:r>
    </w:p>
    <w:bookmarkStart w:name="search_warrant_Ponyayeva" w:id="25"/>
    <w:p w:rsidRPr="00C16083" w:rsidR="00712312" w:rsidP="00C16083" w:rsidRDefault="00EF56ED">
      <w:pPr>
        <w:pStyle w:val="JuPara"/>
        <w:tabs>
          <w:tab w:val="left" w:pos="0"/>
        </w:tabs>
      </w:pPr>
      <w:r w:rsidRPr="00C16083">
        <w:fldChar w:fldCharType="begin"/>
      </w:r>
      <w:r w:rsidRPr="00C16083">
        <w:instrText xml:space="preserve"> SEQ level0 \*arabic </w:instrText>
      </w:r>
      <w:r w:rsidRPr="00C16083">
        <w:fldChar w:fldCharType="separate"/>
      </w:r>
      <w:r w:rsidRPr="00C16083" w:rsidR="00C16083">
        <w:rPr>
          <w:noProof/>
        </w:rPr>
        <w:t>70</w:t>
      </w:r>
      <w:r w:rsidRPr="00C16083">
        <w:rPr>
          <w:noProof/>
        </w:rPr>
        <w:fldChar w:fldCharType="end"/>
      </w:r>
      <w:bookmarkEnd w:id="25"/>
      <w:r w:rsidRPr="00C16083" w:rsidR="00712312">
        <w:t>.  On 26</w:t>
      </w:r>
      <w:r w:rsidRPr="00C16083" w:rsidR="00AE30DF">
        <w:t xml:space="preserve"> January </w:t>
      </w:r>
      <w:r w:rsidRPr="00C16083" w:rsidR="00712312">
        <w:t xml:space="preserve">2015 the Moskovskiy District Court of St Petersburg authorised a search of the office of </w:t>
      </w:r>
      <w:r w:rsidRPr="00C16083" w:rsidR="004919ED">
        <w:t xml:space="preserve">a </w:t>
      </w:r>
      <w:r w:rsidRPr="00C16083" w:rsidR="00712312">
        <w:t xml:space="preserve">company which was a client of </w:t>
      </w:r>
      <w:r w:rsidRPr="00C16083" w:rsidR="00DC4CAC">
        <w:t>Ms</w:t>
      </w:r>
      <w:r w:rsidRPr="00C16083" w:rsidR="006D63F1">
        <w:t> </w:t>
      </w:r>
      <w:r w:rsidRPr="00C16083" w:rsidR="004C33A6">
        <w:t>Ponyayeva</w:t>
      </w:r>
      <w:r w:rsidRPr="00C16083" w:rsidR="00712312">
        <w:t xml:space="preserve"> and where she rented a room</w:t>
      </w:r>
      <w:r w:rsidRPr="00C16083" w:rsidR="004919ED">
        <w:t xml:space="preserve"> in which to work</w:t>
      </w:r>
      <w:r w:rsidRPr="00C16083" w:rsidR="00712312">
        <w:t>.</w:t>
      </w:r>
      <w:r w:rsidRPr="00C16083" w:rsidR="00A55D3F">
        <w:t xml:space="preserve"> It held that the investigator</w:t>
      </w:r>
      <w:r w:rsidRPr="00C16083" w:rsidR="00C16083">
        <w:t>’</w:t>
      </w:r>
      <w:r w:rsidRPr="00C16083" w:rsidR="00A55D3F">
        <w:t>s application for search warrant had been lawful, well-founded and reasoned and, thus, had had to be granted. The court noted that the materials submitted to it demonstrated objectively that the investigator had had sufficient grounds to believe that objects and documents relevant for the investigation could have been located on the premises of a company belonging to Mr N.</w:t>
      </w:r>
      <w:r w:rsidRPr="00C16083" w:rsidR="00712312">
        <w:t xml:space="preserve"> The judge </w:t>
      </w:r>
      <w:r w:rsidRPr="00C16083" w:rsidR="00B46424">
        <w:t xml:space="preserve">was aware that Ms Ponyayeva represented the interests of Mr N. before courts and other authorities, but </w:t>
      </w:r>
      <w:r w:rsidRPr="00C16083" w:rsidR="00712312">
        <w:t xml:space="preserve">found it unsubstantiated that </w:t>
      </w:r>
      <w:r w:rsidRPr="00C16083" w:rsidR="00DC4CAC">
        <w:t>Ms</w:t>
      </w:r>
      <w:r w:rsidRPr="00C16083" w:rsidR="004C33A6">
        <w:t xml:space="preserve"> Ponyayeva</w:t>
      </w:r>
      <w:r w:rsidRPr="00C16083" w:rsidR="00712312">
        <w:t xml:space="preserve"> </w:t>
      </w:r>
      <w:r w:rsidRPr="00C16083" w:rsidR="004919ED">
        <w:t xml:space="preserve">was </w:t>
      </w:r>
      <w:r w:rsidRPr="00C16083" w:rsidR="00712312">
        <w:t>a member of the Bar and that she indeed had a workplace at the company.</w:t>
      </w:r>
    </w:p>
    <w:p w:rsidRPr="00C16083" w:rsidR="00843BB9" w:rsidP="00C16083" w:rsidRDefault="006368BA">
      <w:pPr>
        <w:pStyle w:val="JuPara"/>
        <w:tabs>
          <w:tab w:val="left" w:pos="0"/>
        </w:tabs>
      </w:pPr>
      <w:fldSimple w:instr=" SEQ level0 \*arabic ">
        <w:r w:rsidRPr="00C16083" w:rsidR="00C16083">
          <w:rPr>
            <w:noProof/>
          </w:rPr>
          <w:t>71</w:t>
        </w:r>
      </w:fldSimple>
      <w:r w:rsidRPr="00C16083" w:rsidR="00712312">
        <w:t>.  </w:t>
      </w:r>
      <w:r w:rsidRPr="00C16083" w:rsidR="00DC4CAC">
        <w:t>Ms</w:t>
      </w:r>
      <w:r w:rsidRPr="00C16083" w:rsidR="004C33A6">
        <w:t xml:space="preserve"> Ponyayeva</w:t>
      </w:r>
      <w:r w:rsidRPr="00C16083" w:rsidR="00712312">
        <w:t xml:space="preserve"> </w:t>
      </w:r>
      <w:r w:rsidRPr="00C16083" w:rsidR="004919ED">
        <w:t xml:space="preserve">brought proceedings </w:t>
      </w:r>
      <w:r w:rsidRPr="00C16083" w:rsidR="00712312">
        <w:t>under Article 125 of the CCrP</w:t>
      </w:r>
      <w:r w:rsidRPr="00C16083" w:rsidR="004919ED">
        <w:t>,</w:t>
      </w:r>
      <w:r w:rsidRPr="00C16083" w:rsidR="00712312">
        <w:t xml:space="preserve"> complaining that </w:t>
      </w:r>
      <w:r w:rsidRPr="00C16083" w:rsidR="004919ED">
        <w:t xml:space="preserve">the </w:t>
      </w:r>
      <w:r w:rsidRPr="00C16083" w:rsidR="00712312">
        <w:t>police, while searching the company</w:t>
      </w:r>
      <w:r w:rsidRPr="00C16083" w:rsidR="00C16083">
        <w:t>’</w:t>
      </w:r>
      <w:r w:rsidRPr="00C16083" w:rsidR="00712312">
        <w:t xml:space="preserve">s office, had also searched </w:t>
      </w:r>
      <w:r w:rsidRPr="00C16083" w:rsidR="004919ED">
        <w:t xml:space="preserve">the </w:t>
      </w:r>
      <w:r w:rsidRPr="00C16083" w:rsidR="00712312">
        <w:t xml:space="preserve">individual workplace </w:t>
      </w:r>
      <w:r w:rsidRPr="00C16083" w:rsidR="004919ED">
        <w:t xml:space="preserve">that she </w:t>
      </w:r>
      <w:r w:rsidRPr="00C16083" w:rsidR="00712312">
        <w:t>rented there</w:t>
      </w:r>
      <w:r w:rsidRPr="00C16083" w:rsidR="004919ED">
        <w:t>,</w:t>
      </w:r>
      <w:r w:rsidRPr="00C16083" w:rsidR="00712312">
        <w:t xml:space="preserve"> despite her status as an advocate.</w:t>
      </w:r>
    </w:p>
    <w:bookmarkStart w:name="court_dec_manner_search_Ponyayeva" w:id="26"/>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72</w:t>
      </w:r>
      <w:r w:rsidRPr="00C16083">
        <w:rPr>
          <w:noProof/>
        </w:rPr>
        <w:fldChar w:fldCharType="end"/>
      </w:r>
      <w:bookmarkEnd w:id="26"/>
      <w:r w:rsidRPr="00C16083" w:rsidR="00712312">
        <w:t xml:space="preserve">.  On 15 April 2015 </w:t>
      </w:r>
      <w:r w:rsidRPr="00C16083" w:rsidR="004919ED">
        <w:t>Ms Ponyayeva</w:t>
      </w:r>
      <w:r w:rsidRPr="00C16083" w:rsidR="00C16083">
        <w:t>’</w:t>
      </w:r>
      <w:r w:rsidRPr="00C16083" w:rsidR="004919ED">
        <w:t xml:space="preserve">s </w:t>
      </w:r>
      <w:r w:rsidRPr="00C16083" w:rsidR="00712312">
        <w:t>complaint was</w:t>
      </w:r>
      <w:r w:rsidRPr="00C16083" w:rsidR="004919ED">
        <w:t xml:space="preserve"> dismissed</w:t>
      </w:r>
      <w:r w:rsidRPr="00C16083" w:rsidR="00712312">
        <w:t>. The court found that the search had been based on a valid court order. It further examined the search record</w:t>
      </w:r>
      <w:r w:rsidRPr="00C16083" w:rsidR="004919ED">
        <w:t>,</w:t>
      </w:r>
      <w:r w:rsidRPr="00C16083" w:rsidR="00712312">
        <w:t xml:space="preserve"> </w:t>
      </w:r>
      <w:r w:rsidRPr="00C16083" w:rsidR="004919ED">
        <w:t xml:space="preserve">which contained a </w:t>
      </w:r>
      <w:r w:rsidRPr="00C16083" w:rsidR="00712312">
        <w:t xml:space="preserve">comment about </w:t>
      </w:r>
      <w:r w:rsidRPr="00C16083" w:rsidR="004919ED">
        <w:t xml:space="preserve">the </w:t>
      </w:r>
      <w:r w:rsidRPr="00C16083" w:rsidR="00712312">
        <w:t xml:space="preserve">seizure of </w:t>
      </w:r>
      <w:r w:rsidRPr="00C16083" w:rsidR="00DC4CAC">
        <w:t>Ms</w:t>
      </w:r>
      <w:r w:rsidRPr="00C16083" w:rsidR="004C33A6">
        <w:t xml:space="preserve"> Ponyayeva</w:t>
      </w:r>
      <w:r w:rsidRPr="00C16083" w:rsidR="00C16083">
        <w:t>’</w:t>
      </w:r>
      <w:r w:rsidRPr="00C16083" w:rsidR="00712312">
        <w:t>s legally privileged</w:t>
      </w:r>
      <w:r w:rsidRPr="00C16083" w:rsidR="004919ED">
        <w:t xml:space="preserve"> documents</w:t>
      </w:r>
      <w:r w:rsidRPr="00C16083" w:rsidR="00712312">
        <w:t xml:space="preserve">. The court questioned a witness </w:t>
      </w:r>
      <w:r w:rsidRPr="00C16083" w:rsidR="004919ED">
        <w:t xml:space="preserve">who confirmed </w:t>
      </w:r>
      <w:r w:rsidRPr="00C16083" w:rsidR="00DC4CAC">
        <w:t>Ms</w:t>
      </w:r>
      <w:r w:rsidRPr="00C16083" w:rsidR="004C33A6">
        <w:t xml:space="preserve"> Ponyayeva</w:t>
      </w:r>
      <w:r w:rsidRPr="00C16083" w:rsidR="00C16083">
        <w:t>’</w:t>
      </w:r>
      <w:r w:rsidRPr="00C16083" w:rsidR="00712312">
        <w:t>s position</w:t>
      </w:r>
      <w:r w:rsidRPr="00C16083" w:rsidR="004919ED">
        <w:t>,</w:t>
      </w:r>
      <w:r w:rsidRPr="00C16083" w:rsidR="00712312">
        <w:t xml:space="preserve"> but </w:t>
      </w:r>
      <w:r w:rsidRPr="00C16083" w:rsidR="004919ED">
        <w:t xml:space="preserve">it </w:t>
      </w:r>
      <w:r w:rsidRPr="00C16083" w:rsidR="00712312">
        <w:t xml:space="preserve">dismissed her statements as unreliable. It thus concluded that there </w:t>
      </w:r>
      <w:r w:rsidRPr="00C16083" w:rsidR="00AE58F1">
        <w:t xml:space="preserve">was </w:t>
      </w:r>
      <w:r w:rsidRPr="00C16083" w:rsidR="00712312">
        <w:t xml:space="preserve">no evidence that documents </w:t>
      </w:r>
      <w:r w:rsidRPr="00C16083" w:rsidR="00AE58F1">
        <w:t xml:space="preserve">covered by professional legal privilege </w:t>
      </w:r>
      <w:r w:rsidRPr="00C16083" w:rsidR="00712312">
        <w:t xml:space="preserve">had been seized. The court considered that the remainder of </w:t>
      </w:r>
      <w:r w:rsidRPr="00C16083" w:rsidR="00DC4CAC">
        <w:t>Ms</w:t>
      </w:r>
      <w:r w:rsidRPr="00C16083" w:rsidR="004C33A6">
        <w:t xml:space="preserve"> Ponyayeva</w:t>
      </w:r>
      <w:r w:rsidRPr="00C16083" w:rsidR="00C16083">
        <w:t>’</w:t>
      </w:r>
      <w:r w:rsidRPr="00C16083" w:rsidR="00712312">
        <w:t xml:space="preserve">s complaint related rather to admissibility of evidence, and </w:t>
      </w:r>
      <w:r w:rsidRPr="00C16083" w:rsidR="00AE58F1">
        <w:t xml:space="preserve">was </w:t>
      </w:r>
      <w:r w:rsidRPr="00C16083" w:rsidR="00712312">
        <w:t>thus outside its competence.</w:t>
      </w:r>
    </w:p>
    <w:p w:rsidRPr="00C16083" w:rsidR="00712312" w:rsidP="00C16083" w:rsidRDefault="006368BA">
      <w:pPr>
        <w:pStyle w:val="JuPara"/>
        <w:tabs>
          <w:tab w:val="left" w:pos="0"/>
        </w:tabs>
      </w:pPr>
      <w:fldSimple w:instr=" SEQ level0 \*arabic ">
        <w:r w:rsidRPr="00C16083" w:rsidR="00C16083">
          <w:rPr>
            <w:noProof/>
          </w:rPr>
          <w:t>73</w:t>
        </w:r>
      </w:fldSimple>
      <w:r w:rsidRPr="00C16083" w:rsidR="00712312">
        <w:t>.  The above court decision was uphel</w:t>
      </w:r>
      <w:r w:rsidRPr="00C16083" w:rsidR="00396146">
        <w:t>d on appeal on 25 August 2015.</w:t>
      </w:r>
    </w:p>
    <w:p w:rsidRPr="00C16083" w:rsidR="00843BB9" w:rsidP="00C16083" w:rsidRDefault="0060662B">
      <w:pPr>
        <w:pStyle w:val="JuHa0"/>
      </w:pPr>
      <w:r w:rsidRPr="00C16083">
        <w:t>S</w:t>
      </w:r>
      <w:r w:rsidRPr="00C16083" w:rsidR="00712312">
        <w:t xml:space="preserve">earch of </w:t>
      </w:r>
      <w:r w:rsidRPr="00C16083" w:rsidR="00DC4CAC">
        <w:t>Ms</w:t>
      </w:r>
      <w:r w:rsidRPr="00C16083" w:rsidR="004C33A6">
        <w:t xml:space="preserve"> Ponyayeva</w:t>
      </w:r>
      <w:r w:rsidRPr="00C16083" w:rsidR="00C16083">
        <w:t>’</w:t>
      </w:r>
      <w:r w:rsidRPr="00C16083" w:rsidR="00712312">
        <w:t>s flat</w:t>
      </w:r>
    </w:p>
    <w:bookmarkStart w:name="search_warrant_Ponyayeva_2" w:id="27"/>
    <w:p w:rsidRPr="00C16083" w:rsidR="00843BB9" w:rsidP="00C16083" w:rsidRDefault="00EF56ED">
      <w:pPr>
        <w:pStyle w:val="JuPara"/>
        <w:tabs>
          <w:tab w:val="left" w:pos="0"/>
        </w:tabs>
      </w:pPr>
      <w:r w:rsidRPr="00C16083">
        <w:fldChar w:fldCharType="begin"/>
      </w:r>
      <w:r w:rsidRPr="00C16083">
        <w:instrText xml:space="preserve"> SEQ level0 \*arabic </w:instrText>
      </w:r>
      <w:r w:rsidRPr="00C16083">
        <w:fldChar w:fldCharType="separate"/>
      </w:r>
      <w:r w:rsidRPr="00C16083" w:rsidR="00C16083">
        <w:rPr>
          <w:noProof/>
        </w:rPr>
        <w:t>74</w:t>
      </w:r>
      <w:r w:rsidRPr="00C16083">
        <w:rPr>
          <w:noProof/>
        </w:rPr>
        <w:fldChar w:fldCharType="end"/>
      </w:r>
      <w:bookmarkEnd w:id="27"/>
      <w:r w:rsidRPr="00C16083" w:rsidR="00712312">
        <w:t>.  On 13 February 2015 the Primorskiy District Court of St Petersburg</w:t>
      </w:r>
      <w:r w:rsidRPr="00C16083" w:rsidR="00EE39F2">
        <w:t xml:space="preserve"> authorised </w:t>
      </w:r>
      <w:r w:rsidRPr="00C16083" w:rsidR="00AE58F1">
        <w:t xml:space="preserve">a </w:t>
      </w:r>
      <w:r w:rsidRPr="00C16083" w:rsidR="00EE39F2">
        <w:t xml:space="preserve">search </w:t>
      </w:r>
      <w:r w:rsidRPr="00C16083" w:rsidR="00AE58F1">
        <w:t xml:space="preserve">of </w:t>
      </w:r>
      <w:r w:rsidRPr="00C16083" w:rsidR="00DC4CAC">
        <w:t>Ms</w:t>
      </w:r>
      <w:r w:rsidRPr="00C16083" w:rsidR="004C33A6">
        <w:t xml:space="preserve"> Ponyayeva</w:t>
      </w:r>
      <w:r w:rsidRPr="00C16083" w:rsidR="00C16083">
        <w:t>’</w:t>
      </w:r>
      <w:r w:rsidRPr="00C16083" w:rsidR="00EE39F2">
        <w:t>s flat</w:t>
      </w:r>
      <w:r w:rsidRPr="00C16083" w:rsidR="00AE58F1">
        <w:t>,</w:t>
      </w:r>
      <w:r w:rsidRPr="00C16083" w:rsidR="00EE39F2">
        <w:t xml:space="preserve"> having found “an objective necessity” to allow it.</w:t>
      </w:r>
    </w:p>
    <w:bookmarkStart w:name="no_appeal_re_search_Ponyayeva_2" w:id="28"/>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75</w:t>
      </w:r>
      <w:r w:rsidRPr="00C16083">
        <w:rPr>
          <w:noProof/>
        </w:rPr>
        <w:fldChar w:fldCharType="end"/>
      </w:r>
      <w:bookmarkEnd w:id="28"/>
      <w:r w:rsidRPr="00C16083" w:rsidR="00712312">
        <w:t xml:space="preserve">.  On 8 September 2016 the </w:t>
      </w:r>
      <w:r w:rsidRPr="00C16083" w:rsidR="00D13249">
        <w:t>St Petersburg City</w:t>
      </w:r>
      <w:r w:rsidRPr="00C16083" w:rsidR="00712312">
        <w:t xml:space="preserve"> </w:t>
      </w:r>
      <w:r w:rsidRPr="00C16083" w:rsidR="00D13249">
        <w:t>C</w:t>
      </w:r>
      <w:r w:rsidRPr="00C16083" w:rsidR="00712312">
        <w:t xml:space="preserve">ourt </w:t>
      </w:r>
      <w:r w:rsidRPr="00C16083" w:rsidR="00AE58F1">
        <w:t xml:space="preserve">declined </w:t>
      </w:r>
      <w:r w:rsidRPr="00C16083" w:rsidR="00712312">
        <w:t xml:space="preserve">to examine </w:t>
      </w:r>
      <w:r w:rsidRPr="00C16083" w:rsidR="00AE58F1">
        <w:t xml:space="preserve">an </w:t>
      </w:r>
      <w:r w:rsidRPr="00C16083" w:rsidR="00AE30DF">
        <w:t xml:space="preserve">appeal </w:t>
      </w:r>
      <w:r w:rsidRPr="00C16083" w:rsidR="00AE58F1">
        <w:t xml:space="preserve">lodged by Ms Ponyayeva </w:t>
      </w:r>
      <w:r w:rsidRPr="00C16083" w:rsidR="00712312">
        <w:t xml:space="preserve">against the </w:t>
      </w:r>
      <w:r w:rsidRPr="00C16083" w:rsidR="00AE58F1">
        <w:t xml:space="preserve">decision to </w:t>
      </w:r>
      <w:r w:rsidRPr="00C16083" w:rsidR="005A523B">
        <w:t xml:space="preserve">issue </w:t>
      </w:r>
      <w:r w:rsidRPr="00C16083" w:rsidR="00AE58F1">
        <w:t xml:space="preserve">a </w:t>
      </w:r>
      <w:r w:rsidRPr="00C16083" w:rsidR="00712312">
        <w:t>search warrant</w:t>
      </w:r>
      <w:r w:rsidRPr="00C16083" w:rsidR="00AE58F1">
        <w:t>,</w:t>
      </w:r>
      <w:r w:rsidRPr="00C16083" w:rsidR="00712312">
        <w:t xml:space="preserve"> and terminated the proceedings </w:t>
      </w:r>
      <w:r w:rsidRPr="00C16083" w:rsidR="00AE58F1">
        <w:t xml:space="preserve">as </w:t>
      </w:r>
      <w:r w:rsidRPr="00C16083" w:rsidR="00712312">
        <w:t xml:space="preserve">the criminal case </w:t>
      </w:r>
      <w:r w:rsidRPr="00C16083" w:rsidR="00AE58F1">
        <w:t xml:space="preserve">– in </w:t>
      </w:r>
      <w:r w:rsidRPr="00C16083" w:rsidR="00712312">
        <w:t xml:space="preserve">which </w:t>
      </w:r>
      <w:r w:rsidRPr="00C16083" w:rsidR="00DC4CAC">
        <w:t>Ms</w:t>
      </w:r>
      <w:r w:rsidRPr="00C16083" w:rsidR="004C33A6">
        <w:t xml:space="preserve"> Ponyayeva</w:t>
      </w:r>
      <w:r w:rsidRPr="00C16083" w:rsidR="00C16083">
        <w:t>’</w:t>
      </w:r>
      <w:r w:rsidRPr="00C16083" w:rsidR="00712312">
        <w:t xml:space="preserve">s flat had been searched </w:t>
      </w:r>
      <w:r w:rsidRPr="00C16083" w:rsidR="00AE58F1">
        <w:t xml:space="preserve">– </w:t>
      </w:r>
      <w:r w:rsidRPr="00C16083" w:rsidR="00D13249">
        <w:t xml:space="preserve">had </w:t>
      </w:r>
      <w:r w:rsidRPr="00C16083" w:rsidR="001965C3">
        <w:t xml:space="preserve">already </w:t>
      </w:r>
      <w:r w:rsidRPr="00C16083" w:rsidR="005A523B">
        <w:t xml:space="preserve">been </w:t>
      </w:r>
      <w:r w:rsidRPr="00C16083" w:rsidR="00712312">
        <w:t>sent for trial.</w:t>
      </w:r>
    </w:p>
    <w:p w:rsidRPr="00C16083" w:rsidR="00843BB9" w:rsidP="00C16083" w:rsidRDefault="00C63625">
      <w:pPr>
        <w:pStyle w:val="JuH1"/>
      </w:pPr>
      <w:r w:rsidRPr="00C16083">
        <w:t>  </w:t>
      </w:r>
      <w:r w:rsidRPr="00C16083" w:rsidR="00712312">
        <w:t>Application no. 36833/16, Levchenko v. Russia</w:t>
      </w:r>
    </w:p>
    <w:bookmarkStart w:name="search_warrant_Levchenko" w:id="29"/>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76</w:t>
      </w:r>
      <w:r w:rsidRPr="00C16083">
        <w:rPr>
          <w:noProof/>
        </w:rPr>
        <w:fldChar w:fldCharType="end"/>
      </w:r>
      <w:bookmarkEnd w:id="29"/>
      <w:r w:rsidRPr="00C16083" w:rsidR="00712312">
        <w:t>.  </w:t>
      </w:r>
      <w:r w:rsidRPr="00C16083" w:rsidR="00CF0BE6">
        <w:t>The a</w:t>
      </w:r>
      <w:r w:rsidRPr="00C16083" w:rsidR="008C123A">
        <w:t xml:space="preserve">uthorities </w:t>
      </w:r>
      <w:r w:rsidRPr="00C16083" w:rsidR="00CF0BE6">
        <w:t xml:space="preserve">were investigating </w:t>
      </w:r>
      <w:r w:rsidRPr="00C16083" w:rsidR="00712312">
        <w:t xml:space="preserve">illegal transfers of money based on an allegedly fraudulent arbitral award. They decided to </w:t>
      </w:r>
      <w:r w:rsidRPr="00C16083" w:rsidR="00517FD5">
        <w:t xml:space="preserve">apply for a warrant to </w:t>
      </w:r>
      <w:r w:rsidRPr="00C16083" w:rsidR="00712312">
        <w:t xml:space="preserve">search the office of the </w:t>
      </w:r>
      <w:r w:rsidRPr="00C16083" w:rsidR="0016181F">
        <w:t>arbitral tribunal</w:t>
      </w:r>
      <w:r w:rsidRPr="00C16083" w:rsidR="00712312">
        <w:t xml:space="preserve"> located at </w:t>
      </w:r>
      <w:r w:rsidRPr="00C16083" w:rsidR="00146FF8">
        <w:t>an advocate</w:t>
      </w:r>
      <w:r w:rsidRPr="00C16083" w:rsidR="00350CA7">
        <w:t>s</w:t>
      </w:r>
      <w:r w:rsidRPr="00C16083" w:rsidR="00C16083">
        <w:t>’</w:t>
      </w:r>
      <w:r w:rsidRPr="00C16083" w:rsidR="00146FF8">
        <w:t xml:space="preserve"> association </w:t>
      </w:r>
      <w:r w:rsidRPr="00C16083" w:rsidR="006D63F1">
        <w:t>“Gorodskaya”</w:t>
      </w:r>
      <w:r w:rsidRPr="00C16083" w:rsidR="00712312">
        <w:t xml:space="preserve">, headed by </w:t>
      </w:r>
      <w:r w:rsidRPr="00C16083" w:rsidR="004C33A6">
        <w:t>Mr Levchenko</w:t>
      </w:r>
      <w:r w:rsidRPr="00C16083" w:rsidR="00712312">
        <w:t xml:space="preserve">. On 15 April 2015 the Leninskiy District Court of Orenburg </w:t>
      </w:r>
      <w:r w:rsidRPr="00C16083" w:rsidR="008C123A">
        <w:t xml:space="preserve">granted </w:t>
      </w:r>
      <w:r w:rsidRPr="00C16083" w:rsidR="0003344F">
        <w:t xml:space="preserve">an </w:t>
      </w:r>
      <w:r w:rsidRPr="00C16083" w:rsidR="008C123A">
        <w:t xml:space="preserve">application for a search warrant </w:t>
      </w:r>
      <w:r w:rsidRPr="00C16083" w:rsidR="0003344F">
        <w:t xml:space="preserve">on the grounds that </w:t>
      </w:r>
      <w:r w:rsidRPr="00C16083" w:rsidR="008C123A">
        <w:t xml:space="preserve">it would contribute to </w:t>
      </w:r>
      <w:r w:rsidRPr="00C16083" w:rsidR="0003344F">
        <w:t xml:space="preserve">the </w:t>
      </w:r>
      <w:r w:rsidRPr="00C16083" w:rsidR="008C123A">
        <w:t>finding of additional information relevant to the criminal investigation.</w:t>
      </w:r>
    </w:p>
    <w:p w:rsidRPr="00C16083" w:rsidR="00843BB9" w:rsidP="00C16083" w:rsidRDefault="006368BA">
      <w:pPr>
        <w:pStyle w:val="JuPara"/>
      </w:pPr>
      <w:fldSimple w:instr=" SEQ level0 \*arabic ">
        <w:r w:rsidRPr="00C16083" w:rsidR="00C16083">
          <w:rPr>
            <w:noProof/>
          </w:rPr>
          <w:t>77</w:t>
        </w:r>
      </w:fldSimple>
      <w:r w:rsidRPr="00C16083" w:rsidR="00712312">
        <w:t>.  </w:t>
      </w:r>
      <w:r w:rsidRPr="00C16083" w:rsidR="0003344F">
        <w:t>O</w:t>
      </w:r>
      <w:r w:rsidRPr="00C16083" w:rsidR="00712312">
        <w:t xml:space="preserve">n 16 April 2015 </w:t>
      </w:r>
      <w:r w:rsidRPr="00C16083" w:rsidR="0003344F">
        <w:t xml:space="preserve">the </w:t>
      </w:r>
      <w:r w:rsidRPr="00C16083" w:rsidR="00712312">
        <w:t>police searched the office of the arbitra</w:t>
      </w:r>
      <w:r w:rsidRPr="00C16083" w:rsidR="00353963">
        <w:t>l</w:t>
      </w:r>
      <w:r w:rsidRPr="00C16083" w:rsidR="00712312">
        <w:t xml:space="preserve"> </w:t>
      </w:r>
      <w:r w:rsidRPr="00C16083" w:rsidR="00353963">
        <w:t>tribunal</w:t>
      </w:r>
      <w:r w:rsidRPr="00C16083" w:rsidR="009F648D">
        <w:t>,</w:t>
      </w:r>
      <w:r w:rsidRPr="00C16083" w:rsidR="00712312">
        <w:t xml:space="preserve"> </w:t>
      </w:r>
      <w:r w:rsidRPr="00C16083" w:rsidR="009F648D">
        <w:t>allegedly also shared by</w:t>
      </w:r>
      <w:r w:rsidRPr="00C16083" w:rsidR="00712312">
        <w:t xml:space="preserve"> the </w:t>
      </w:r>
      <w:r w:rsidRPr="00C16083" w:rsidR="00CA25EB">
        <w:t>c</w:t>
      </w:r>
      <w:r w:rsidRPr="00C16083" w:rsidR="00712312">
        <w:t xml:space="preserve">ollegium of </w:t>
      </w:r>
      <w:r w:rsidRPr="00C16083" w:rsidR="00CA25EB">
        <w:t>a</w:t>
      </w:r>
      <w:r w:rsidRPr="00C16083" w:rsidR="00712312">
        <w:t>dvocates</w:t>
      </w:r>
      <w:r w:rsidRPr="00C16083" w:rsidR="006D63F1">
        <w:t xml:space="preserve"> “Gorodskaya”</w:t>
      </w:r>
      <w:r w:rsidRPr="00C16083" w:rsidR="00712312">
        <w:t>. They seized advocates</w:t>
      </w:r>
      <w:r w:rsidRPr="00C16083" w:rsidR="00C16083">
        <w:t>’</w:t>
      </w:r>
      <w:r w:rsidRPr="00C16083" w:rsidR="00712312">
        <w:t xml:space="preserve"> notebooks and returned them one year and three months later. The case file indicates that a lawyer from another </w:t>
      </w:r>
      <w:r w:rsidRPr="00C16083" w:rsidR="00146FF8">
        <w:t>advocates</w:t>
      </w:r>
      <w:r w:rsidRPr="00C16083" w:rsidR="00C16083">
        <w:t>’</w:t>
      </w:r>
      <w:r w:rsidRPr="00C16083" w:rsidR="00146FF8">
        <w:t xml:space="preserve"> association</w:t>
      </w:r>
      <w:r w:rsidRPr="00C16083" w:rsidR="00712312">
        <w:t xml:space="preserve"> </w:t>
      </w:r>
      <w:r w:rsidRPr="00C16083" w:rsidR="004C33A6">
        <w:t>was</w:t>
      </w:r>
      <w:r w:rsidRPr="00C16083" w:rsidR="00712312">
        <w:t xml:space="preserve"> eventually </w:t>
      </w:r>
      <w:r w:rsidRPr="00C16083" w:rsidR="004C33A6">
        <w:t xml:space="preserve">convicted in relation to the illegal </w:t>
      </w:r>
      <w:r w:rsidRPr="00C16083" w:rsidR="0003344F">
        <w:t xml:space="preserve">money </w:t>
      </w:r>
      <w:r w:rsidRPr="00C16083" w:rsidR="004C33A6">
        <w:t>transfers</w:t>
      </w:r>
      <w:r w:rsidRPr="00C16083" w:rsidR="0003344F">
        <w:t xml:space="preserve"> under investigation</w:t>
      </w:r>
      <w:r w:rsidRPr="00C16083" w:rsidR="00712312">
        <w:t>.</w:t>
      </w:r>
    </w:p>
    <w:bookmarkStart w:name="Levchenko_appeal_and_cassations" w:id="30"/>
    <w:p w:rsidRPr="00C16083" w:rsidR="00843BB9" w:rsidP="00C16083" w:rsidRDefault="00712312">
      <w:pPr>
        <w:pStyle w:val="JuPara"/>
      </w:pPr>
      <w:r w:rsidRPr="00C16083">
        <w:fldChar w:fldCharType="begin"/>
      </w:r>
      <w:r w:rsidRPr="00C16083">
        <w:instrText xml:space="preserve"> SEQ level0 \*arabic </w:instrText>
      </w:r>
      <w:r w:rsidRPr="00C16083">
        <w:fldChar w:fldCharType="separate"/>
      </w:r>
      <w:r w:rsidRPr="00C16083" w:rsidR="00C16083">
        <w:rPr>
          <w:noProof/>
        </w:rPr>
        <w:t>78</w:t>
      </w:r>
      <w:r w:rsidRPr="00C16083">
        <w:fldChar w:fldCharType="end"/>
      </w:r>
      <w:bookmarkEnd w:id="30"/>
      <w:r w:rsidRPr="00C16083">
        <w:t>.  </w:t>
      </w:r>
      <w:r w:rsidRPr="00C16083" w:rsidR="004C33A6">
        <w:t>Mr Levchenko</w:t>
      </w:r>
      <w:r w:rsidRPr="00C16083">
        <w:t xml:space="preserve"> </w:t>
      </w:r>
      <w:r w:rsidRPr="00C16083" w:rsidR="00CA25EB">
        <w:t xml:space="preserve">brought proceedings </w:t>
      </w:r>
      <w:r w:rsidRPr="00C16083">
        <w:t>under Article 125 of the CCrP</w:t>
      </w:r>
      <w:r w:rsidRPr="00C16083" w:rsidR="00CA25EB">
        <w:t>, complaining</w:t>
      </w:r>
      <w:r w:rsidRPr="00C16083">
        <w:t xml:space="preserve"> </w:t>
      </w:r>
      <w:r w:rsidRPr="00C16083" w:rsidR="00114916">
        <w:t xml:space="preserve">that the search </w:t>
      </w:r>
      <w:r w:rsidRPr="00C16083" w:rsidR="0003344F">
        <w:t xml:space="preserve">warrant </w:t>
      </w:r>
      <w:r w:rsidRPr="00C16083" w:rsidR="00114916">
        <w:t>had concerned only the office of the arbitra</w:t>
      </w:r>
      <w:r w:rsidRPr="00C16083" w:rsidR="00EF5F40">
        <w:t>l</w:t>
      </w:r>
      <w:r w:rsidRPr="00C16083" w:rsidR="00114916">
        <w:t xml:space="preserve"> </w:t>
      </w:r>
      <w:r w:rsidRPr="00C16083" w:rsidR="00EF5F40">
        <w:t xml:space="preserve">tribunal </w:t>
      </w:r>
      <w:r w:rsidRPr="00C16083" w:rsidR="00114916">
        <w:t xml:space="preserve">and, thus, the search of the </w:t>
      </w:r>
      <w:r w:rsidRPr="00C16083" w:rsidR="003B311D">
        <w:t>office</w:t>
      </w:r>
      <w:r w:rsidRPr="00C16083" w:rsidR="00114916">
        <w:t xml:space="preserve"> of the advocates</w:t>
      </w:r>
      <w:r w:rsidRPr="00C16083" w:rsidR="00C16083">
        <w:t>’</w:t>
      </w:r>
      <w:r w:rsidRPr="00C16083" w:rsidR="00114916">
        <w:t xml:space="preserve"> </w:t>
      </w:r>
      <w:r w:rsidRPr="00C16083" w:rsidR="00350CA7">
        <w:t xml:space="preserve">association </w:t>
      </w:r>
      <w:r w:rsidRPr="00C16083" w:rsidR="00114916">
        <w:t xml:space="preserve">had been unlawful. He also complained </w:t>
      </w:r>
      <w:r w:rsidRPr="00C16083" w:rsidR="0003344F">
        <w:t xml:space="preserve">of </w:t>
      </w:r>
      <w:r w:rsidRPr="00C16083" w:rsidR="00313E45">
        <w:t xml:space="preserve">the </w:t>
      </w:r>
      <w:r w:rsidRPr="00C16083" w:rsidR="00114916">
        <w:t xml:space="preserve">unlawful seizure of </w:t>
      </w:r>
      <w:r w:rsidRPr="00C16083" w:rsidR="002C2BAC">
        <w:t>his notebook containing information</w:t>
      </w:r>
      <w:r w:rsidRPr="00C16083" w:rsidR="0003344F">
        <w:t xml:space="preserve"> subject to professional legal privilege</w:t>
      </w:r>
      <w:r w:rsidRPr="00C16083">
        <w:t xml:space="preserve">. </w:t>
      </w:r>
      <w:r w:rsidRPr="00C16083" w:rsidR="00114916">
        <w:t>On 13 May 2015 t</w:t>
      </w:r>
      <w:r w:rsidRPr="00C16083">
        <w:t xml:space="preserve">he </w:t>
      </w:r>
      <w:r w:rsidRPr="00C16083" w:rsidR="008D27FF">
        <w:t>Leninskiy District Court</w:t>
      </w:r>
      <w:r w:rsidRPr="00C16083">
        <w:t xml:space="preserve"> found, in particular, that </w:t>
      </w:r>
      <w:r w:rsidRPr="00C16083" w:rsidR="00CA25EB">
        <w:t xml:space="preserve">it had </w:t>
      </w:r>
      <w:r w:rsidRPr="00C16083" w:rsidR="008D27FF">
        <w:t xml:space="preserve">initially </w:t>
      </w:r>
      <w:r w:rsidRPr="00C16083">
        <w:t xml:space="preserve">authorised </w:t>
      </w:r>
      <w:r w:rsidRPr="00C16083" w:rsidR="00CA25EB">
        <w:t xml:space="preserve">the search </w:t>
      </w:r>
      <w:r w:rsidRPr="00C16083">
        <w:t>as part of a criminal investigation</w:t>
      </w:r>
      <w:r w:rsidRPr="00C16083" w:rsidR="00CA25EB">
        <w:t>;</w:t>
      </w:r>
      <w:r w:rsidRPr="00C16083">
        <w:t xml:space="preserve"> </w:t>
      </w:r>
      <w:r w:rsidRPr="00C16083" w:rsidR="00CA25EB">
        <w:t>t</w:t>
      </w:r>
      <w:r w:rsidRPr="00C16083">
        <w:t xml:space="preserve">he search </w:t>
      </w:r>
      <w:r w:rsidRPr="00C16083" w:rsidR="0003344F">
        <w:t xml:space="preserve">had been </w:t>
      </w:r>
      <w:r w:rsidRPr="00C16083">
        <w:t>attended by attesting witnesses</w:t>
      </w:r>
      <w:r w:rsidRPr="00C16083" w:rsidR="00CA25EB">
        <w:t>;</w:t>
      </w:r>
      <w:r w:rsidRPr="00C16083">
        <w:t xml:space="preserve"> </w:t>
      </w:r>
      <w:r w:rsidRPr="00C16083" w:rsidR="004C33A6">
        <w:t>Mr Levchenko</w:t>
      </w:r>
      <w:r w:rsidRPr="00C16083" w:rsidR="00C16083">
        <w:t>’</w:t>
      </w:r>
      <w:r w:rsidRPr="00C16083">
        <w:t xml:space="preserve">s workplace </w:t>
      </w:r>
      <w:r w:rsidRPr="00C16083" w:rsidR="0003344F">
        <w:t xml:space="preserve">had been </w:t>
      </w:r>
      <w:r w:rsidRPr="00C16083">
        <w:t>searched because there was no physical separation between it and the arbitra</w:t>
      </w:r>
      <w:r w:rsidRPr="00C16083" w:rsidR="00EF5F40">
        <w:t>l</w:t>
      </w:r>
      <w:r w:rsidRPr="00C16083">
        <w:t xml:space="preserve"> </w:t>
      </w:r>
      <w:r w:rsidRPr="00C16083" w:rsidR="00EF5F40">
        <w:t>tribunal</w:t>
      </w:r>
      <w:r w:rsidRPr="00C16083" w:rsidR="00C16083">
        <w:t>’</w:t>
      </w:r>
      <w:r w:rsidRPr="00C16083" w:rsidR="00EF5F40">
        <w:t xml:space="preserve">s </w:t>
      </w:r>
      <w:r w:rsidRPr="00C16083">
        <w:t>office</w:t>
      </w:r>
      <w:r w:rsidRPr="00C16083" w:rsidR="00EA4C3B">
        <w:t>;</w:t>
      </w:r>
      <w:r w:rsidRPr="00C16083">
        <w:t xml:space="preserve"> </w:t>
      </w:r>
      <w:r w:rsidRPr="00C16083" w:rsidR="00EA4C3B">
        <w:t>and t</w:t>
      </w:r>
      <w:r w:rsidRPr="00C16083">
        <w:t xml:space="preserve">he seizure of </w:t>
      </w:r>
      <w:r w:rsidRPr="00C16083" w:rsidR="004C33A6">
        <w:t>Mr</w:t>
      </w:r>
      <w:r w:rsidRPr="00C16083" w:rsidR="00350CA7">
        <w:t> </w:t>
      </w:r>
      <w:r w:rsidRPr="00C16083" w:rsidR="004C33A6">
        <w:t>Levchenko</w:t>
      </w:r>
      <w:r w:rsidRPr="00C16083" w:rsidR="00C16083">
        <w:t>’</w:t>
      </w:r>
      <w:r w:rsidRPr="00C16083">
        <w:t xml:space="preserve">s notebook </w:t>
      </w:r>
      <w:r w:rsidRPr="00C16083" w:rsidR="0003344F">
        <w:t xml:space="preserve">had </w:t>
      </w:r>
      <w:r w:rsidRPr="00C16083">
        <w:t xml:space="preserve">also </w:t>
      </w:r>
      <w:r w:rsidRPr="00C16083" w:rsidR="0003344F">
        <w:t xml:space="preserve">been </w:t>
      </w:r>
      <w:r w:rsidRPr="00C16083">
        <w:t xml:space="preserve">lawful. </w:t>
      </w:r>
      <w:r w:rsidRPr="00C16083" w:rsidR="005024E3">
        <w:t xml:space="preserve">An appeal lodged by </w:t>
      </w:r>
      <w:r w:rsidRPr="00C16083" w:rsidR="004C33A6">
        <w:t>Mr</w:t>
      </w:r>
      <w:r w:rsidRPr="00C16083" w:rsidR="00350CA7">
        <w:t> </w:t>
      </w:r>
      <w:r w:rsidRPr="00C16083" w:rsidR="004C33A6">
        <w:t>Levchenko</w:t>
      </w:r>
      <w:r w:rsidRPr="00C16083">
        <w:t xml:space="preserve"> was dismissed on 20 July 2015; two </w:t>
      </w:r>
      <w:r w:rsidRPr="00C16083" w:rsidR="0003344F">
        <w:t xml:space="preserve">appeals on </w:t>
      </w:r>
      <w:r w:rsidRPr="00C16083">
        <w:t>cassation were dismissed on 29 October 2015 and 24 December 2015</w:t>
      </w:r>
      <w:r w:rsidRPr="00C16083" w:rsidR="0003344F">
        <w:t xml:space="preserve"> respectively</w:t>
      </w:r>
      <w:r w:rsidRPr="00C16083">
        <w:t>.</w:t>
      </w:r>
    </w:p>
    <w:p w:rsidRPr="00C16083" w:rsidR="00843BB9" w:rsidP="00C16083" w:rsidRDefault="00C63625">
      <w:pPr>
        <w:pStyle w:val="JuH1"/>
      </w:pPr>
      <w:r w:rsidRPr="00C16083">
        <w:t>  </w:t>
      </w:r>
      <w:r w:rsidRPr="00C16083" w:rsidR="00712312">
        <w:t>Application no. 39456/16, Pashkina and others v. Russia</w:t>
      </w:r>
    </w:p>
    <w:bookmarkStart w:name="search_warrant_Pashkina" w:id="31"/>
    <w:p w:rsidRPr="00C16083" w:rsidR="00843BB9" w:rsidP="00C16083" w:rsidRDefault="00EF56ED">
      <w:pPr>
        <w:pStyle w:val="JuPara"/>
      </w:pPr>
      <w:r w:rsidRPr="00C16083">
        <w:fldChar w:fldCharType="begin"/>
      </w:r>
      <w:r w:rsidRPr="00C16083">
        <w:instrText xml:space="preserve"> SEQ level0 \*arabic </w:instrText>
      </w:r>
      <w:r w:rsidRPr="00C16083">
        <w:fldChar w:fldCharType="separate"/>
      </w:r>
      <w:r w:rsidRPr="00C16083" w:rsidR="00C16083">
        <w:rPr>
          <w:noProof/>
        </w:rPr>
        <w:t>79</w:t>
      </w:r>
      <w:r w:rsidRPr="00C16083">
        <w:rPr>
          <w:noProof/>
        </w:rPr>
        <w:fldChar w:fldCharType="end"/>
      </w:r>
      <w:bookmarkEnd w:id="31"/>
      <w:r w:rsidRPr="00C16083" w:rsidR="00712312">
        <w:t>.  </w:t>
      </w:r>
      <w:r w:rsidRPr="00C16083" w:rsidR="0003344F">
        <w:t>The a</w:t>
      </w:r>
      <w:r w:rsidRPr="00C16083" w:rsidR="006071EC">
        <w:t xml:space="preserve">uthorities </w:t>
      </w:r>
      <w:r w:rsidRPr="00C16083" w:rsidR="0003344F">
        <w:t xml:space="preserve">were investigating </w:t>
      </w:r>
      <w:r w:rsidRPr="00C16083" w:rsidR="00712312">
        <w:t xml:space="preserve">the allegedly deliberate </w:t>
      </w:r>
      <w:r w:rsidRPr="00C16083" w:rsidR="005024E3">
        <w:t xml:space="preserve">bankruptcy </w:t>
      </w:r>
      <w:r w:rsidRPr="00C16083" w:rsidR="00712312">
        <w:t xml:space="preserve">of company T. by its director, Mr M. On 24 March 2016 the Tsentralnyy District Court of Sochi </w:t>
      </w:r>
      <w:r w:rsidRPr="00C16083" w:rsidR="006071EC">
        <w:t xml:space="preserve">authorised </w:t>
      </w:r>
      <w:r w:rsidRPr="00C16083" w:rsidR="005024E3">
        <w:t xml:space="preserve">a </w:t>
      </w:r>
      <w:r w:rsidRPr="00C16083" w:rsidR="006071EC">
        <w:t xml:space="preserve">search </w:t>
      </w:r>
      <w:r w:rsidRPr="00C16083" w:rsidR="0003344F">
        <w:t xml:space="preserve">of </w:t>
      </w:r>
      <w:r w:rsidRPr="00C16083" w:rsidR="006071EC">
        <w:t>the office</w:t>
      </w:r>
      <w:r w:rsidRPr="00C16083" w:rsidR="00F14020">
        <w:t xml:space="preserve"> of </w:t>
      </w:r>
      <w:r w:rsidRPr="00C16083" w:rsidR="0003344F">
        <w:t xml:space="preserve">lawyers </w:t>
      </w:r>
      <w:r w:rsidRPr="00C16083" w:rsidR="00DC4CAC">
        <w:t>Ms</w:t>
      </w:r>
      <w:r w:rsidRPr="00C16083" w:rsidR="00F14020">
        <w:t xml:space="preserve"> Pashkina, Mr Privalov and Mr Levin</w:t>
      </w:r>
      <w:r w:rsidRPr="00C16083" w:rsidR="006071EC">
        <w:t>. The court referred to the FSB</w:t>
      </w:r>
      <w:r w:rsidRPr="00C16083" w:rsidR="00C16083">
        <w:t>’</w:t>
      </w:r>
      <w:r w:rsidRPr="00C16083" w:rsidR="006071EC">
        <w:t>s “results of operational-search activities” and the need to collect evidence for the criminal investigation.</w:t>
      </w:r>
    </w:p>
    <w:p w:rsidRPr="00C16083" w:rsidR="00461CD2" w:rsidP="00C16083" w:rsidRDefault="006368BA">
      <w:pPr>
        <w:pStyle w:val="JuPara"/>
      </w:pPr>
      <w:fldSimple w:instr=" SEQ level0 \*arabic ">
        <w:r w:rsidRPr="00C16083" w:rsidR="00C16083">
          <w:rPr>
            <w:noProof/>
          </w:rPr>
          <w:t>80</w:t>
        </w:r>
      </w:fldSimple>
      <w:r w:rsidRPr="00C16083" w:rsidR="00712312">
        <w:t xml:space="preserve">.  On 25 March 2016 </w:t>
      </w:r>
      <w:r w:rsidRPr="00C16083" w:rsidR="0003344F">
        <w:t xml:space="preserve">the </w:t>
      </w:r>
      <w:r w:rsidRPr="00C16083" w:rsidR="006071EC">
        <w:t>authorities</w:t>
      </w:r>
      <w:r w:rsidRPr="00C16083" w:rsidR="00396146">
        <w:t xml:space="preserve"> searched the</w:t>
      </w:r>
      <w:r w:rsidRPr="00C16083" w:rsidR="00712312">
        <w:t xml:space="preserve"> office and seized a number of litigation case files and the information database from all the office computers. On 12 May 2016 the </w:t>
      </w:r>
      <w:r w:rsidRPr="00C16083" w:rsidR="0003344F">
        <w:t>court</w:t>
      </w:r>
      <w:r w:rsidRPr="00C16083" w:rsidR="00C16083">
        <w:t>’</w:t>
      </w:r>
      <w:r w:rsidRPr="00C16083" w:rsidR="0003344F">
        <w:t xml:space="preserve">s decision to </w:t>
      </w:r>
      <w:r w:rsidRPr="00C16083" w:rsidR="005024E3">
        <w:t xml:space="preserve">issue </w:t>
      </w:r>
      <w:r w:rsidRPr="00C16083" w:rsidR="0003344F">
        <w:t xml:space="preserve">the </w:t>
      </w:r>
      <w:r w:rsidRPr="00C16083" w:rsidR="00712312">
        <w:t xml:space="preserve">search warrant was </w:t>
      </w:r>
      <w:r w:rsidRPr="00C16083" w:rsidR="00F14020">
        <w:t>upheld on appeal</w:t>
      </w:r>
      <w:r w:rsidRPr="00C16083" w:rsidR="00396146">
        <w:t>.</w:t>
      </w:r>
    </w:p>
    <w:p w:rsidRPr="00C16083" w:rsidR="00843BB9" w:rsidP="00C16083" w:rsidRDefault="0077175D">
      <w:pPr>
        <w:pStyle w:val="JuHIRoman"/>
      </w:pPr>
      <w:r w:rsidRPr="00C16083">
        <w:t xml:space="preserve">RELEVANT DOMESTIC </w:t>
      </w:r>
      <w:r w:rsidRPr="00C16083" w:rsidR="00AE15C0">
        <w:t xml:space="preserve">AND INTERNATIONAL </w:t>
      </w:r>
      <w:r w:rsidRPr="00C16083">
        <w:t>LAW AND PRACTICE</w:t>
      </w:r>
    </w:p>
    <w:p w:rsidRPr="00C16083" w:rsidR="00DD1E3D" w:rsidP="00C16083" w:rsidRDefault="00DD1E3D">
      <w:pPr>
        <w:pStyle w:val="JuHA"/>
        <w:rPr>
          <w:lang w:eastAsia="fr-FR"/>
        </w:rPr>
      </w:pPr>
      <w:r w:rsidRPr="00C16083">
        <w:rPr>
          <w:lang w:eastAsia="fr-FR"/>
        </w:rPr>
        <w:t xml:space="preserve">Provision of legal </w:t>
      </w:r>
      <w:r w:rsidRPr="00C16083" w:rsidR="00C637EF">
        <w:rPr>
          <w:lang w:eastAsia="fr-FR"/>
        </w:rPr>
        <w:t xml:space="preserve">assistance and </w:t>
      </w:r>
      <w:r w:rsidRPr="00C16083">
        <w:rPr>
          <w:lang w:eastAsia="fr-FR"/>
        </w:rPr>
        <w:t>services</w:t>
      </w:r>
    </w:p>
    <w:p w:rsidRPr="00C16083" w:rsidR="000F24F1" w:rsidP="00C16083" w:rsidRDefault="000F24F1">
      <w:pPr>
        <w:pStyle w:val="JuH1"/>
        <w:rPr>
          <w:lang w:eastAsia="fr-FR"/>
        </w:rPr>
      </w:pPr>
      <w:r w:rsidRPr="00C16083">
        <w:rPr>
          <w:lang w:eastAsia="fr-FR"/>
        </w:rPr>
        <w:t>Types of legal adviser</w:t>
      </w:r>
      <w:r w:rsidRPr="00C16083" w:rsidR="008A5AF4">
        <w:rPr>
          <w:lang w:eastAsia="fr-FR"/>
        </w:rPr>
        <w:t>s</w:t>
      </w:r>
    </w:p>
    <w:bookmarkStart w:name="types_legal_advice" w:id="32"/>
    <w:p w:rsidRPr="00C16083" w:rsidR="00843BB9" w:rsidP="00C16083" w:rsidRDefault="00C637EF">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81</w:t>
      </w:r>
      <w:r w:rsidRPr="00C16083">
        <w:rPr>
          <w:lang w:eastAsia="fr-FR"/>
        </w:rPr>
        <w:fldChar w:fldCharType="end"/>
      </w:r>
      <w:bookmarkEnd w:id="32"/>
      <w:r w:rsidRPr="00C16083">
        <w:rPr>
          <w:lang w:eastAsia="fr-FR"/>
        </w:rPr>
        <w:t>.  </w:t>
      </w:r>
      <w:r w:rsidRPr="00C16083" w:rsidR="008A5AF4">
        <w:rPr>
          <w:lang w:eastAsia="fr-FR"/>
        </w:rPr>
        <w:t xml:space="preserve">Where legal advice is concerned, </w:t>
      </w:r>
      <w:r w:rsidRPr="00C16083">
        <w:rPr>
          <w:lang w:eastAsia="fr-FR"/>
        </w:rPr>
        <w:t xml:space="preserve">Russian </w:t>
      </w:r>
      <w:r w:rsidRPr="00C16083" w:rsidR="008A5AF4">
        <w:rPr>
          <w:lang w:eastAsia="fr-FR"/>
        </w:rPr>
        <w:t xml:space="preserve">law </w:t>
      </w:r>
      <w:r w:rsidRPr="00C16083">
        <w:rPr>
          <w:lang w:eastAsia="fr-FR"/>
        </w:rPr>
        <w:t>distinguishes between legal assistance (</w:t>
      </w:r>
      <w:r w:rsidRPr="00C16083">
        <w:rPr>
          <w:i/>
          <w:lang w:eastAsia="fr-FR"/>
        </w:rPr>
        <w:t>юридическая помощь</w:t>
      </w:r>
      <w:r w:rsidRPr="00C16083">
        <w:rPr>
          <w:lang w:eastAsia="fr-FR"/>
        </w:rPr>
        <w:t>)</w:t>
      </w:r>
      <w:r w:rsidRPr="00C16083" w:rsidR="00187CE1">
        <w:rPr>
          <w:lang w:eastAsia="fr-FR"/>
        </w:rPr>
        <w:t>,</w:t>
      </w:r>
      <w:r w:rsidRPr="00C16083">
        <w:rPr>
          <w:lang w:eastAsia="fr-FR"/>
        </w:rPr>
        <w:t xml:space="preserve"> </w:t>
      </w:r>
      <w:r w:rsidRPr="00C16083" w:rsidR="008A5AF4">
        <w:rPr>
          <w:lang w:eastAsia="fr-FR"/>
        </w:rPr>
        <w:t>which is provided by qualified advocates</w:t>
      </w:r>
      <w:r w:rsidRPr="00C16083" w:rsidR="00187CE1">
        <w:rPr>
          <w:lang w:eastAsia="fr-FR"/>
        </w:rPr>
        <w:t>,</w:t>
      </w:r>
      <w:r w:rsidRPr="00C16083" w:rsidR="008A5AF4">
        <w:rPr>
          <w:lang w:eastAsia="fr-FR"/>
        </w:rPr>
        <w:t xml:space="preserve"> </w:t>
      </w:r>
      <w:r w:rsidRPr="00C16083">
        <w:rPr>
          <w:lang w:eastAsia="fr-FR"/>
        </w:rPr>
        <w:t>and legal services (</w:t>
      </w:r>
      <w:r w:rsidRPr="00C16083">
        <w:rPr>
          <w:i/>
          <w:lang w:eastAsia="fr-FR"/>
        </w:rPr>
        <w:t>юридические услуги</w:t>
      </w:r>
      <w:r w:rsidRPr="00C16083">
        <w:rPr>
          <w:lang w:eastAsia="fr-FR"/>
        </w:rPr>
        <w:t>)</w:t>
      </w:r>
      <w:r w:rsidRPr="00C16083" w:rsidR="00187CE1">
        <w:rPr>
          <w:lang w:eastAsia="fr-FR"/>
        </w:rPr>
        <w:t>,</w:t>
      </w:r>
      <w:r w:rsidRPr="00C16083" w:rsidR="00923DB3">
        <w:t xml:space="preserve"> </w:t>
      </w:r>
      <w:r w:rsidRPr="00C16083" w:rsidR="008A5AF4">
        <w:t xml:space="preserve">which may be rendered by “other people” such as </w:t>
      </w:r>
      <w:r w:rsidRPr="00C16083" w:rsidR="008A5AF4">
        <w:rPr>
          <w:lang w:eastAsia="fr-FR"/>
        </w:rPr>
        <w:t xml:space="preserve">in-house counsel, partners or employees of law firms or other organisations giving legal advice, </w:t>
      </w:r>
      <w:r w:rsidRPr="00C16083" w:rsidR="00187CE1">
        <w:rPr>
          <w:lang w:eastAsia="fr-FR"/>
        </w:rPr>
        <w:t xml:space="preserve">or </w:t>
      </w:r>
      <w:r w:rsidRPr="00C16083" w:rsidR="008A5AF4">
        <w:rPr>
          <w:lang w:eastAsia="fr-FR"/>
        </w:rPr>
        <w:t xml:space="preserve">independent legal advisers registered as individual businesses </w:t>
      </w:r>
      <w:r w:rsidRPr="00C16083" w:rsidR="00923DB3">
        <w:t>(</w:t>
      </w:r>
      <w:r w:rsidRPr="00C16083" w:rsidR="00CC3D3B">
        <w:t>s</w:t>
      </w:r>
      <w:r w:rsidRPr="00C16083" w:rsidR="00923DB3">
        <w:rPr>
          <w:lang w:eastAsia="fr-FR"/>
        </w:rPr>
        <w:t xml:space="preserve">ection 1 of </w:t>
      </w:r>
      <w:r w:rsidRPr="00C16083" w:rsidR="00187CE1">
        <w:rPr>
          <w:lang w:eastAsia="fr-FR"/>
        </w:rPr>
        <w:t>the Advocates Act (</w:t>
      </w:r>
      <w:r w:rsidRPr="00C16083" w:rsidR="008A5AF4">
        <w:rPr>
          <w:lang w:eastAsia="fr-FR"/>
        </w:rPr>
        <w:t>Law no. 63-FZ of 31 May 2002)</w:t>
      </w:r>
      <w:r w:rsidRPr="00C16083" w:rsidR="00923DB3">
        <w:rPr>
          <w:lang w:eastAsia="fr-FR"/>
        </w:rPr>
        <w:t>)</w:t>
      </w:r>
      <w:r w:rsidRPr="00C16083">
        <w:rPr>
          <w:lang w:eastAsia="fr-FR"/>
        </w:rPr>
        <w:t xml:space="preserve">. </w:t>
      </w:r>
      <w:r w:rsidRPr="00C16083" w:rsidR="008A5AF4">
        <w:rPr>
          <w:lang w:eastAsia="fr-FR"/>
        </w:rPr>
        <w:t>A</w:t>
      </w:r>
      <w:r w:rsidRPr="00C16083" w:rsidR="000F24F1">
        <w:rPr>
          <w:lang w:eastAsia="fr-FR"/>
        </w:rPr>
        <w:t>dvocate</w:t>
      </w:r>
      <w:r w:rsidRPr="00C16083" w:rsidR="008A5AF4">
        <w:rPr>
          <w:lang w:eastAsia="fr-FR"/>
        </w:rPr>
        <w:t>s</w:t>
      </w:r>
      <w:r w:rsidRPr="00C16083" w:rsidR="000F24F1">
        <w:rPr>
          <w:lang w:eastAsia="fr-FR"/>
        </w:rPr>
        <w:t xml:space="preserve"> </w:t>
      </w:r>
      <w:r w:rsidRPr="00C16083" w:rsidR="008A5AF4">
        <w:rPr>
          <w:lang w:eastAsia="fr-FR"/>
        </w:rPr>
        <w:t xml:space="preserve">are </w:t>
      </w:r>
      <w:r w:rsidRPr="00C16083" w:rsidR="000F24F1">
        <w:rPr>
          <w:lang w:eastAsia="fr-FR"/>
        </w:rPr>
        <w:t>independent legal adviser</w:t>
      </w:r>
      <w:r w:rsidRPr="00C16083" w:rsidR="008A5AF4">
        <w:rPr>
          <w:lang w:eastAsia="fr-FR"/>
        </w:rPr>
        <w:t xml:space="preserve">s who have been admitted to the Bar and who may not </w:t>
      </w:r>
      <w:r w:rsidRPr="00C16083" w:rsidR="000F24F1">
        <w:rPr>
          <w:lang w:eastAsia="fr-FR"/>
        </w:rPr>
        <w:t>be employed by an organisation (</w:t>
      </w:r>
      <w:r w:rsidRPr="00C16083" w:rsidR="0075681D">
        <w:rPr>
          <w:lang w:eastAsia="fr-FR"/>
        </w:rPr>
        <w:t>s</w:t>
      </w:r>
      <w:r w:rsidRPr="00C16083" w:rsidR="000F24F1">
        <w:rPr>
          <w:lang w:eastAsia="fr-FR"/>
        </w:rPr>
        <w:t>ection 2 of the Advocates Act).</w:t>
      </w:r>
      <w:r w:rsidRPr="00C16083" w:rsidR="001853EC">
        <w:rPr>
          <w:lang w:eastAsia="fr-FR"/>
        </w:rPr>
        <w:t xml:space="preserve"> </w:t>
      </w:r>
      <w:r w:rsidRPr="00C16083" w:rsidR="00730905">
        <w:rPr>
          <w:lang w:eastAsia="fr-FR"/>
        </w:rPr>
        <w:t xml:space="preserve">There are no </w:t>
      </w:r>
      <w:r w:rsidRPr="00C16083" w:rsidR="000F24F1">
        <w:rPr>
          <w:lang w:eastAsia="fr-FR"/>
        </w:rPr>
        <w:t xml:space="preserve">qualifying </w:t>
      </w:r>
      <w:r w:rsidRPr="00C16083" w:rsidR="00730905">
        <w:rPr>
          <w:lang w:eastAsia="fr-FR"/>
        </w:rPr>
        <w:t xml:space="preserve">requirements to satisfy </w:t>
      </w:r>
      <w:r w:rsidRPr="00C16083" w:rsidR="000F24F1">
        <w:rPr>
          <w:lang w:eastAsia="fr-FR"/>
        </w:rPr>
        <w:t>in order to be allowed to provide</w:t>
      </w:r>
      <w:r w:rsidRPr="00C16083" w:rsidR="00730905">
        <w:rPr>
          <w:lang w:eastAsia="fr-FR"/>
        </w:rPr>
        <w:t xml:space="preserve"> </w:t>
      </w:r>
      <w:r w:rsidRPr="00C16083" w:rsidR="000F24F1">
        <w:rPr>
          <w:lang w:eastAsia="fr-FR"/>
        </w:rPr>
        <w:t>legal services.</w:t>
      </w:r>
    </w:p>
    <w:p w:rsidRPr="00C16083" w:rsidR="00843BB9" w:rsidP="00C16083" w:rsidRDefault="000F24F1">
      <w:pPr>
        <w:pStyle w:val="JuH1"/>
        <w:rPr>
          <w:lang w:eastAsia="fr-FR"/>
        </w:rPr>
      </w:pPr>
      <w:r w:rsidRPr="00C16083">
        <w:rPr>
          <w:lang w:eastAsia="fr-FR"/>
        </w:rPr>
        <w:t xml:space="preserve">Right to represent </w:t>
      </w:r>
      <w:r w:rsidRPr="00C16083" w:rsidR="00354637">
        <w:rPr>
          <w:lang w:eastAsia="fr-FR"/>
        </w:rPr>
        <w:t xml:space="preserve">parties </w:t>
      </w:r>
      <w:r w:rsidRPr="00C16083">
        <w:rPr>
          <w:lang w:eastAsia="fr-FR"/>
        </w:rPr>
        <w:t>in court proceedings</w:t>
      </w:r>
    </w:p>
    <w:p w:rsidRPr="00C16083" w:rsidR="00843BB9" w:rsidP="00C16083" w:rsidRDefault="00DD1E3D">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82</w:t>
      </w:r>
      <w:r w:rsidRPr="00C16083">
        <w:rPr>
          <w:lang w:eastAsia="fr-FR"/>
        </w:rPr>
        <w:fldChar w:fldCharType="end"/>
      </w:r>
      <w:r w:rsidRPr="00C16083">
        <w:rPr>
          <w:lang w:eastAsia="fr-FR"/>
        </w:rPr>
        <w:t>.  </w:t>
      </w:r>
      <w:r w:rsidRPr="00C16083" w:rsidR="00BE0B0D">
        <w:rPr>
          <w:lang w:eastAsia="fr-FR"/>
        </w:rPr>
        <w:t xml:space="preserve">Parties to </w:t>
      </w:r>
      <w:r w:rsidRPr="00C16083" w:rsidR="00C36821">
        <w:rPr>
          <w:lang w:eastAsia="fr-FR"/>
        </w:rPr>
        <w:t xml:space="preserve">constitutional, </w:t>
      </w:r>
      <w:r w:rsidRPr="00C16083" w:rsidR="009E47EC">
        <w:rPr>
          <w:lang w:eastAsia="fr-FR"/>
        </w:rPr>
        <w:t>criminal, civil</w:t>
      </w:r>
      <w:r w:rsidRPr="00C16083" w:rsidR="000125B7">
        <w:rPr>
          <w:lang w:eastAsia="fr-FR"/>
        </w:rPr>
        <w:t>, commercial</w:t>
      </w:r>
      <w:r w:rsidRPr="00C16083" w:rsidR="009E47EC">
        <w:rPr>
          <w:lang w:eastAsia="fr-FR"/>
        </w:rPr>
        <w:t xml:space="preserve"> and administrative proceedings may be represented by an advocate or “another person”</w:t>
      </w:r>
      <w:r w:rsidRPr="00C16083" w:rsidR="0075681D">
        <w:rPr>
          <w:lang w:eastAsia="fr-FR"/>
        </w:rPr>
        <w:t>,</w:t>
      </w:r>
      <w:r w:rsidRPr="00C16083" w:rsidR="009E47EC">
        <w:rPr>
          <w:lang w:eastAsia="fr-FR"/>
        </w:rPr>
        <w:t xml:space="preserve"> as follows.</w:t>
      </w:r>
    </w:p>
    <w:p w:rsidRPr="00C16083" w:rsidR="00843BB9" w:rsidP="00C16083" w:rsidRDefault="00C36821">
      <w:pPr>
        <w:pStyle w:val="JuHa0"/>
        <w:rPr>
          <w:lang w:eastAsia="fr-FR"/>
        </w:rPr>
      </w:pPr>
      <w:r w:rsidRPr="00C16083">
        <w:rPr>
          <w:lang w:eastAsia="fr-FR"/>
        </w:rPr>
        <w:t>Criminal proceedings</w:t>
      </w:r>
    </w:p>
    <w:p w:rsidRPr="00C16083" w:rsidR="00843BB9" w:rsidP="00C16083" w:rsidRDefault="00C36821">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83</w:t>
      </w:r>
      <w:r w:rsidRPr="00C16083">
        <w:rPr>
          <w:lang w:eastAsia="fr-FR"/>
        </w:rPr>
        <w:fldChar w:fldCharType="end"/>
      </w:r>
      <w:r w:rsidRPr="00C16083">
        <w:rPr>
          <w:lang w:eastAsia="fr-FR"/>
        </w:rPr>
        <w:t>.  </w:t>
      </w:r>
      <w:r w:rsidRPr="00C16083" w:rsidR="00354637">
        <w:rPr>
          <w:lang w:eastAsia="fr-FR"/>
        </w:rPr>
        <w:t>Under Article 49 § 2 of</w:t>
      </w:r>
      <w:r w:rsidRPr="00C16083" w:rsidR="00DD1E3D">
        <w:rPr>
          <w:lang w:eastAsia="fr-FR"/>
        </w:rPr>
        <w:t xml:space="preserve"> the </w:t>
      </w:r>
      <w:r w:rsidRPr="00C16083" w:rsidR="00023D67">
        <w:rPr>
          <w:lang w:eastAsia="fr-FR"/>
        </w:rPr>
        <w:t>Code of Criminal Procedure (“the CCrP”)</w:t>
      </w:r>
      <w:r w:rsidRPr="00C16083" w:rsidR="00DD1E3D">
        <w:rPr>
          <w:lang w:eastAsia="fr-FR"/>
        </w:rPr>
        <w:t xml:space="preserve">, a </w:t>
      </w:r>
      <w:r w:rsidRPr="00C16083" w:rsidR="00BE0B0D">
        <w:rPr>
          <w:lang w:eastAsia="fr-FR"/>
        </w:rPr>
        <w:t xml:space="preserve">defendant </w:t>
      </w:r>
      <w:r w:rsidRPr="00C16083" w:rsidR="00DD1E3D">
        <w:rPr>
          <w:lang w:eastAsia="fr-FR"/>
        </w:rPr>
        <w:t xml:space="preserve">may be represented </w:t>
      </w:r>
      <w:r w:rsidRPr="00C16083" w:rsidR="00D91991">
        <w:rPr>
          <w:lang w:eastAsia="fr-FR"/>
        </w:rPr>
        <w:t xml:space="preserve">in </w:t>
      </w:r>
      <w:r w:rsidRPr="00C16083" w:rsidR="00DD1E3D">
        <w:rPr>
          <w:lang w:eastAsia="fr-FR"/>
        </w:rPr>
        <w:t>criminal proceedings</w:t>
      </w:r>
      <w:r w:rsidRPr="00C16083" w:rsidR="00D91991">
        <w:rPr>
          <w:lang w:eastAsia="fr-FR"/>
        </w:rPr>
        <w:t xml:space="preserve"> against him</w:t>
      </w:r>
      <w:r w:rsidRPr="00C16083" w:rsidR="00354637">
        <w:rPr>
          <w:lang w:eastAsia="fr-FR"/>
        </w:rPr>
        <w:t xml:space="preserve"> or </w:t>
      </w:r>
      <w:r w:rsidRPr="00C16083" w:rsidR="00D91991">
        <w:rPr>
          <w:lang w:eastAsia="fr-FR"/>
        </w:rPr>
        <w:t>her</w:t>
      </w:r>
      <w:r w:rsidRPr="00C16083" w:rsidR="00DD1E3D">
        <w:rPr>
          <w:lang w:eastAsia="fr-FR"/>
        </w:rPr>
        <w:t xml:space="preserve"> by an advocate. Subject to the court</w:t>
      </w:r>
      <w:r w:rsidRPr="00C16083" w:rsidR="00C16083">
        <w:rPr>
          <w:lang w:eastAsia="fr-FR"/>
        </w:rPr>
        <w:t>’</w:t>
      </w:r>
      <w:r w:rsidRPr="00C16083" w:rsidR="00DD1E3D">
        <w:rPr>
          <w:lang w:eastAsia="fr-FR"/>
        </w:rPr>
        <w:t>s</w:t>
      </w:r>
      <w:r w:rsidRPr="00C16083" w:rsidR="00EE54DF">
        <w:rPr>
          <w:lang w:eastAsia="fr-FR"/>
        </w:rPr>
        <w:t xml:space="preserve"> consent</w:t>
      </w:r>
      <w:r w:rsidRPr="00C16083" w:rsidR="00AF5AE1">
        <w:rPr>
          <w:lang w:eastAsia="fr-FR"/>
        </w:rPr>
        <w:t xml:space="preserve"> </w:t>
      </w:r>
      <w:r w:rsidRPr="00C16083" w:rsidR="00D91991">
        <w:rPr>
          <w:lang w:eastAsia="fr-FR"/>
        </w:rPr>
        <w:t>a</w:t>
      </w:r>
      <w:r w:rsidRPr="00C16083" w:rsidR="00DD1E3D">
        <w:rPr>
          <w:lang w:eastAsia="fr-FR"/>
        </w:rPr>
        <w:t xml:space="preserve"> </w:t>
      </w:r>
      <w:r w:rsidRPr="00C16083" w:rsidR="009A0CA3">
        <w:rPr>
          <w:lang w:eastAsia="fr-FR"/>
        </w:rPr>
        <w:t>defendant</w:t>
      </w:r>
      <w:r w:rsidRPr="00C16083" w:rsidR="00DD1E3D">
        <w:rPr>
          <w:lang w:eastAsia="fr-FR"/>
        </w:rPr>
        <w:t xml:space="preserve"> may also be represented by “another person”</w:t>
      </w:r>
      <w:r w:rsidRPr="00C16083" w:rsidR="00EF61A4">
        <w:rPr>
          <w:lang w:eastAsia="fr-FR"/>
        </w:rPr>
        <w:t xml:space="preserve"> together with an advocate</w:t>
      </w:r>
      <w:r w:rsidRPr="00C16083" w:rsidR="00DD1E3D">
        <w:rPr>
          <w:lang w:eastAsia="fr-FR"/>
        </w:rPr>
        <w:t xml:space="preserve">. In criminal proceedings before </w:t>
      </w:r>
      <w:r w:rsidRPr="00C16083" w:rsidR="00354637">
        <w:rPr>
          <w:lang w:eastAsia="fr-FR"/>
        </w:rPr>
        <w:t>j</w:t>
      </w:r>
      <w:r w:rsidRPr="00C16083" w:rsidR="00DD1E3D">
        <w:rPr>
          <w:lang w:eastAsia="fr-FR"/>
        </w:rPr>
        <w:t>ustices</w:t>
      </w:r>
      <w:r w:rsidRPr="00C16083" w:rsidR="009A0CA3">
        <w:rPr>
          <w:lang w:eastAsia="fr-FR"/>
        </w:rPr>
        <w:t xml:space="preserve"> of the</w:t>
      </w:r>
      <w:r w:rsidRPr="00C16083" w:rsidR="00DD1E3D">
        <w:rPr>
          <w:lang w:eastAsia="fr-FR"/>
        </w:rPr>
        <w:t xml:space="preserve"> </w:t>
      </w:r>
      <w:r w:rsidRPr="00C16083" w:rsidR="00354637">
        <w:rPr>
          <w:lang w:eastAsia="fr-FR"/>
        </w:rPr>
        <w:t>p</w:t>
      </w:r>
      <w:r w:rsidRPr="00C16083" w:rsidR="009A0CA3">
        <w:rPr>
          <w:lang w:eastAsia="fr-FR"/>
        </w:rPr>
        <w:t xml:space="preserve">eace </w:t>
      </w:r>
      <w:r w:rsidRPr="00C16083" w:rsidR="00F91AEE">
        <w:rPr>
          <w:lang w:eastAsia="fr-FR"/>
        </w:rPr>
        <w:t xml:space="preserve">“another person” may </w:t>
      </w:r>
      <w:r w:rsidRPr="00C16083" w:rsidR="00354637">
        <w:rPr>
          <w:lang w:eastAsia="fr-FR"/>
        </w:rPr>
        <w:t xml:space="preserve">take the place of </w:t>
      </w:r>
      <w:r w:rsidRPr="00C16083" w:rsidR="00F91AEE">
        <w:rPr>
          <w:lang w:eastAsia="fr-FR"/>
        </w:rPr>
        <w:t>an advocate</w:t>
      </w:r>
      <w:r w:rsidRPr="00C16083" w:rsidR="00DD1E3D">
        <w:rPr>
          <w:lang w:eastAsia="fr-FR"/>
        </w:rPr>
        <w:t>.</w:t>
      </w:r>
    </w:p>
    <w:p w:rsidRPr="00C16083" w:rsidR="00843BB9" w:rsidP="00C16083" w:rsidRDefault="00C36821">
      <w:pPr>
        <w:pStyle w:val="JuHa0"/>
        <w:rPr>
          <w:lang w:eastAsia="fr-FR"/>
        </w:rPr>
      </w:pPr>
      <w:r w:rsidRPr="00C16083">
        <w:rPr>
          <w:lang w:eastAsia="fr-FR"/>
        </w:rPr>
        <w:t>Civil proceedings</w:t>
      </w:r>
    </w:p>
    <w:p w:rsidRPr="00C16083" w:rsidR="00843BB9" w:rsidP="00C16083" w:rsidRDefault="00C36821">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84</w:t>
      </w:r>
      <w:r w:rsidRPr="00C16083">
        <w:rPr>
          <w:lang w:eastAsia="fr-FR"/>
        </w:rPr>
        <w:fldChar w:fldCharType="end"/>
      </w:r>
      <w:r w:rsidRPr="00C16083">
        <w:rPr>
          <w:lang w:eastAsia="fr-FR"/>
        </w:rPr>
        <w:t>.  </w:t>
      </w:r>
      <w:r w:rsidRPr="00C16083" w:rsidR="00354637">
        <w:rPr>
          <w:lang w:eastAsia="fr-FR"/>
        </w:rPr>
        <w:t>Under Article 49 of</w:t>
      </w:r>
      <w:r w:rsidRPr="00C16083" w:rsidR="00DD1E3D">
        <w:rPr>
          <w:lang w:eastAsia="fr-FR"/>
        </w:rPr>
        <w:t xml:space="preserve"> the Code </w:t>
      </w:r>
      <w:r w:rsidRPr="00C16083" w:rsidR="00BE0B0D">
        <w:rPr>
          <w:lang w:eastAsia="fr-FR"/>
        </w:rPr>
        <w:t xml:space="preserve">of Civil Procedure </w:t>
      </w:r>
      <w:r w:rsidRPr="00C16083" w:rsidR="00DD1E3D">
        <w:rPr>
          <w:lang w:eastAsia="fr-FR"/>
        </w:rPr>
        <w:t>(“the CC</w:t>
      </w:r>
      <w:r w:rsidRPr="00C16083" w:rsidR="00BE0B0D">
        <w:rPr>
          <w:lang w:eastAsia="fr-FR"/>
        </w:rPr>
        <w:t>P</w:t>
      </w:r>
      <w:r w:rsidRPr="00C16083" w:rsidR="00DD1E3D">
        <w:rPr>
          <w:lang w:eastAsia="fr-FR"/>
        </w:rPr>
        <w:t>”)</w:t>
      </w:r>
      <w:r w:rsidRPr="00C16083" w:rsidR="00354637">
        <w:rPr>
          <w:lang w:eastAsia="fr-FR"/>
        </w:rPr>
        <w:t>,</w:t>
      </w:r>
      <w:r w:rsidRPr="00C16083" w:rsidR="00DD1E3D">
        <w:rPr>
          <w:lang w:eastAsia="fr-FR"/>
        </w:rPr>
        <w:t xml:space="preserve"> representatives in civil proceedings should be legally capable and have power of attorney to pursue the case.</w:t>
      </w:r>
    </w:p>
    <w:p w:rsidRPr="00C16083" w:rsidR="00843BB9" w:rsidP="00C16083" w:rsidRDefault="00E35D76">
      <w:pPr>
        <w:pStyle w:val="JuHa0"/>
        <w:rPr>
          <w:lang w:eastAsia="fr-FR"/>
        </w:rPr>
      </w:pPr>
      <w:r w:rsidRPr="00C16083">
        <w:rPr>
          <w:lang w:eastAsia="fr-FR"/>
        </w:rPr>
        <w:t>Commercial proceedings</w:t>
      </w:r>
    </w:p>
    <w:p w:rsidRPr="00C16083" w:rsidR="00E35D76" w:rsidP="00C16083" w:rsidRDefault="00E35D76">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85</w:t>
      </w:r>
      <w:r w:rsidRPr="00C16083">
        <w:rPr>
          <w:lang w:eastAsia="fr-FR"/>
        </w:rPr>
        <w:fldChar w:fldCharType="end"/>
      </w:r>
      <w:r w:rsidRPr="00C16083">
        <w:rPr>
          <w:lang w:eastAsia="fr-FR"/>
        </w:rPr>
        <w:t>.  </w:t>
      </w:r>
      <w:r w:rsidRPr="00C16083" w:rsidR="00354637">
        <w:rPr>
          <w:lang w:eastAsia="fr-FR"/>
        </w:rPr>
        <w:t>Under Article 59 §§ 3 and 6 of</w:t>
      </w:r>
      <w:r w:rsidRPr="00C16083">
        <w:rPr>
          <w:lang w:eastAsia="fr-FR"/>
        </w:rPr>
        <w:t xml:space="preserve"> the Code </w:t>
      </w:r>
      <w:r w:rsidRPr="00C16083" w:rsidR="00BE0B0D">
        <w:rPr>
          <w:lang w:eastAsia="fr-FR"/>
        </w:rPr>
        <w:t xml:space="preserve">of Commercial Procedure </w:t>
      </w:r>
      <w:r w:rsidRPr="00C16083">
        <w:rPr>
          <w:lang w:eastAsia="fr-FR"/>
        </w:rPr>
        <w:t>(“th</w:t>
      </w:r>
      <w:r w:rsidRPr="00C16083" w:rsidR="00D0129B">
        <w:rPr>
          <w:lang w:eastAsia="fr-FR"/>
        </w:rPr>
        <w:t>e ComPC”)</w:t>
      </w:r>
      <w:r w:rsidRPr="00C16083">
        <w:rPr>
          <w:lang w:eastAsia="fr-FR"/>
        </w:rPr>
        <w:t xml:space="preserve">, parties may be represented by advocates and </w:t>
      </w:r>
      <w:r w:rsidRPr="00C16083" w:rsidR="00923DB3">
        <w:rPr>
          <w:lang w:eastAsia="fr-FR"/>
        </w:rPr>
        <w:t>“</w:t>
      </w:r>
      <w:r w:rsidRPr="00C16083">
        <w:rPr>
          <w:lang w:eastAsia="fr-FR"/>
        </w:rPr>
        <w:t>othe</w:t>
      </w:r>
      <w:r w:rsidRPr="00C16083" w:rsidR="00AF5AE1">
        <w:rPr>
          <w:lang w:eastAsia="fr-FR"/>
        </w:rPr>
        <w:t>r persons</w:t>
      </w:r>
      <w:r w:rsidRPr="00C16083" w:rsidR="00AD40C1">
        <w:rPr>
          <w:lang w:eastAsia="fr-FR"/>
        </w:rPr>
        <w:t>”</w:t>
      </w:r>
      <w:r w:rsidRPr="00C16083" w:rsidR="00AF5AE1">
        <w:rPr>
          <w:lang w:eastAsia="fr-FR"/>
        </w:rPr>
        <w:t xml:space="preserve"> </w:t>
      </w:r>
      <w:r w:rsidRPr="00C16083" w:rsidR="00354637">
        <w:rPr>
          <w:lang w:eastAsia="fr-FR"/>
        </w:rPr>
        <w:t xml:space="preserve">with </w:t>
      </w:r>
      <w:r w:rsidRPr="00C16083">
        <w:rPr>
          <w:lang w:eastAsia="fr-FR"/>
        </w:rPr>
        <w:t xml:space="preserve">legal capacity and </w:t>
      </w:r>
      <w:r w:rsidRPr="00C16083" w:rsidR="00385C9C">
        <w:rPr>
          <w:lang w:eastAsia="fr-FR"/>
        </w:rPr>
        <w:t>power of attorney</w:t>
      </w:r>
      <w:r w:rsidRPr="00C16083">
        <w:rPr>
          <w:lang w:eastAsia="fr-FR"/>
        </w:rPr>
        <w:t xml:space="preserve"> to pursue the case.</w:t>
      </w:r>
    </w:p>
    <w:p w:rsidRPr="00C16083" w:rsidR="00843BB9" w:rsidP="00C16083" w:rsidRDefault="00C36821">
      <w:pPr>
        <w:pStyle w:val="JuHa0"/>
        <w:rPr>
          <w:lang w:eastAsia="fr-FR"/>
        </w:rPr>
      </w:pPr>
      <w:r w:rsidRPr="00C16083">
        <w:rPr>
          <w:lang w:eastAsia="fr-FR"/>
        </w:rPr>
        <w:t>Administrative proceedings</w:t>
      </w:r>
    </w:p>
    <w:p w:rsidRPr="00C16083" w:rsidR="00843BB9" w:rsidP="00C16083" w:rsidRDefault="00C36821">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86</w:t>
      </w:r>
      <w:r w:rsidRPr="00C16083">
        <w:rPr>
          <w:lang w:eastAsia="fr-FR"/>
        </w:rPr>
        <w:fldChar w:fldCharType="end"/>
      </w:r>
      <w:r w:rsidRPr="00C16083">
        <w:rPr>
          <w:lang w:eastAsia="fr-FR"/>
        </w:rPr>
        <w:t>.  </w:t>
      </w:r>
      <w:r w:rsidRPr="00C16083" w:rsidR="009E47EC">
        <w:rPr>
          <w:lang w:eastAsia="fr-FR"/>
        </w:rPr>
        <w:t xml:space="preserve">Under </w:t>
      </w:r>
      <w:r w:rsidRPr="00C16083" w:rsidR="00354637">
        <w:rPr>
          <w:lang w:eastAsia="fr-FR"/>
        </w:rPr>
        <w:t xml:space="preserve">Article 55 §§ 1 and 3 of </w:t>
      </w:r>
      <w:r w:rsidRPr="00C16083" w:rsidR="009E47EC">
        <w:rPr>
          <w:lang w:eastAsia="fr-FR"/>
        </w:rPr>
        <w:t xml:space="preserve">the Code of Administrative Procedure (“the CAP”), representatives in administrative proceedings </w:t>
      </w:r>
      <w:r w:rsidRPr="00C16083" w:rsidR="00AF5AE1">
        <w:rPr>
          <w:lang w:eastAsia="fr-FR"/>
        </w:rPr>
        <w:t>may</w:t>
      </w:r>
      <w:r w:rsidRPr="00C16083" w:rsidR="009E47EC">
        <w:rPr>
          <w:lang w:eastAsia="fr-FR"/>
        </w:rPr>
        <w:t xml:space="preserve"> be advocates and </w:t>
      </w:r>
      <w:r w:rsidRPr="00C16083" w:rsidR="0021516E">
        <w:rPr>
          <w:lang w:eastAsia="fr-FR"/>
        </w:rPr>
        <w:t>“</w:t>
      </w:r>
      <w:r w:rsidRPr="00C16083" w:rsidR="009E47EC">
        <w:rPr>
          <w:lang w:eastAsia="fr-FR"/>
        </w:rPr>
        <w:t>other people</w:t>
      </w:r>
      <w:r w:rsidRPr="00C16083" w:rsidR="0021516E">
        <w:rPr>
          <w:lang w:eastAsia="fr-FR"/>
        </w:rPr>
        <w:t>”</w:t>
      </w:r>
      <w:r w:rsidRPr="00C16083" w:rsidR="009E47EC">
        <w:rPr>
          <w:lang w:eastAsia="fr-FR"/>
        </w:rPr>
        <w:t xml:space="preserve"> </w:t>
      </w:r>
      <w:r w:rsidRPr="00C16083" w:rsidR="00344367">
        <w:rPr>
          <w:lang w:eastAsia="fr-FR"/>
        </w:rPr>
        <w:t xml:space="preserve">with </w:t>
      </w:r>
      <w:r w:rsidRPr="00C16083" w:rsidR="009E47EC">
        <w:rPr>
          <w:lang w:eastAsia="fr-FR"/>
        </w:rPr>
        <w:t xml:space="preserve">full legal capacity, a law degree and power of attorney to </w:t>
      </w:r>
      <w:r w:rsidRPr="00C16083" w:rsidR="00344367">
        <w:rPr>
          <w:lang w:eastAsia="fr-FR"/>
        </w:rPr>
        <w:t xml:space="preserve">pursue </w:t>
      </w:r>
      <w:r w:rsidRPr="00C16083" w:rsidR="009E47EC">
        <w:rPr>
          <w:lang w:eastAsia="fr-FR"/>
        </w:rPr>
        <w:t>the case.</w:t>
      </w:r>
    </w:p>
    <w:p w:rsidRPr="00C16083" w:rsidR="00843BB9" w:rsidP="00C16083" w:rsidRDefault="000F24F1">
      <w:pPr>
        <w:pStyle w:val="JuH1"/>
        <w:rPr>
          <w:lang w:eastAsia="fr-FR"/>
        </w:rPr>
      </w:pPr>
      <w:r w:rsidRPr="00C16083">
        <w:rPr>
          <w:lang w:eastAsia="fr-FR"/>
        </w:rPr>
        <w:t xml:space="preserve">Professional </w:t>
      </w:r>
      <w:r w:rsidRPr="00C16083" w:rsidR="005369B6">
        <w:rPr>
          <w:lang w:eastAsia="fr-FR"/>
        </w:rPr>
        <w:t xml:space="preserve">confidentiality </w:t>
      </w:r>
      <w:r w:rsidRPr="00C16083">
        <w:rPr>
          <w:lang w:eastAsia="fr-FR"/>
        </w:rPr>
        <w:t>and other obligations</w:t>
      </w:r>
    </w:p>
    <w:bookmarkStart w:name="prof_secrecy_advocats_others" w:id="33"/>
    <w:p w:rsidRPr="00C16083" w:rsidR="00843BB9" w:rsidP="00C16083" w:rsidRDefault="00DD1E3D">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87</w:t>
      </w:r>
      <w:r w:rsidRPr="00C16083">
        <w:rPr>
          <w:lang w:eastAsia="fr-FR"/>
        </w:rPr>
        <w:fldChar w:fldCharType="end"/>
      </w:r>
      <w:bookmarkEnd w:id="33"/>
      <w:r w:rsidRPr="00C16083">
        <w:rPr>
          <w:lang w:eastAsia="fr-FR"/>
        </w:rPr>
        <w:t>.  </w:t>
      </w:r>
      <w:r w:rsidRPr="00C16083" w:rsidR="00BF23AC">
        <w:rPr>
          <w:lang w:eastAsia="fr-FR"/>
        </w:rPr>
        <w:t>Advocates are required</w:t>
      </w:r>
      <w:r w:rsidRPr="00C16083" w:rsidR="00730905">
        <w:rPr>
          <w:lang w:eastAsia="fr-FR"/>
        </w:rPr>
        <w:t xml:space="preserve"> to </w:t>
      </w:r>
      <w:r w:rsidRPr="00C16083" w:rsidR="00BE0B0D">
        <w:rPr>
          <w:lang w:eastAsia="fr-FR"/>
        </w:rPr>
        <w:t xml:space="preserve">abide by </w:t>
      </w:r>
      <w:r w:rsidRPr="00C16083" w:rsidR="00730905">
        <w:rPr>
          <w:lang w:eastAsia="fr-FR"/>
        </w:rPr>
        <w:t>the professional ethics code (</w:t>
      </w:r>
      <w:r w:rsidRPr="00C16083" w:rsidR="003275CF">
        <w:rPr>
          <w:lang w:eastAsia="fr-FR"/>
        </w:rPr>
        <w:t>s</w:t>
      </w:r>
      <w:r w:rsidRPr="00C16083" w:rsidR="00730905">
        <w:rPr>
          <w:lang w:eastAsia="fr-FR"/>
        </w:rPr>
        <w:t>ection 7</w:t>
      </w:r>
      <w:r w:rsidRPr="00C16083" w:rsidR="0066325A">
        <w:rPr>
          <w:lang w:eastAsia="fr-FR"/>
        </w:rPr>
        <w:t>(</w:t>
      </w:r>
      <w:r w:rsidRPr="00C16083" w:rsidR="00730905">
        <w:rPr>
          <w:lang w:eastAsia="fr-FR"/>
        </w:rPr>
        <w:t>4</w:t>
      </w:r>
      <w:r w:rsidRPr="00C16083" w:rsidR="0066325A">
        <w:rPr>
          <w:lang w:eastAsia="fr-FR"/>
        </w:rPr>
        <w:t>)</w:t>
      </w:r>
      <w:r w:rsidRPr="00C16083" w:rsidR="00BF23AC">
        <w:rPr>
          <w:lang w:eastAsia="fr-FR"/>
        </w:rPr>
        <w:t xml:space="preserve"> of the Advocates Act</w:t>
      </w:r>
      <w:r w:rsidRPr="00C16083" w:rsidR="00730905">
        <w:rPr>
          <w:lang w:eastAsia="fr-FR"/>
        </w:rPr>
        <w:t>)</w:t>
      </w:r>
      <w:r w:rsidRPr="00C16083" w:rsidR="00344367">
        <w:rPr>
          <w:lang w:eastAsia="fr-FR"/>
        </w:rPr>
        <w:t>; any breach of the code will be</w:t>
      </w:r>
      <w:r w:rsidRPr="00C16083" w:rsidR="00825D60">
        <w:rPr>
          <w:lang w:eastAsia="fr-FR"/>
        </w:rPr>
        <w:t xml:space="preserve"> subject to disciplinary liability</w:t>
      </w:r>
      <w:r w:rsidRPr="00C16083" w:rsidR="000F24F1">
        <w:rPr>
          <w:lang w:eastAsia="fr-FR"/>
        </w:rPr>
        <w:t xml:space="preserve">. </w:t>
      </w:r>
      <w:r w:rsidRPr="00C16083" w:rsidR="00BF23AC">
        <w:rPr>
          <w:lang w:eastAsia="fr-FR"/>
        </w:rPr>
        <w:t xml:space="preserve">Their obligations include </w:t>
      </w:r>
      <w:r w:rsidRPr="00C16083" w:rsidR="00344367">
        <w:rPr>
          <w:lang w:eastAsia="fr-FR"/>
        </w:rPr>
        <w:t xml:space="preserve">a </w:t>
      </w:r>
      <w:r w:rsidRPr="00C16083" w:rsidR="00BF23AC">
        <w:rPr>
          <w:lang w:eastAsia="fr-FR"/>
        </w:rPr>
        <w:t xml:space="preserve">duty of </w:t>
      </w:r>
      <w:r w:rsidRPr="00C16083" w:rsidR="0077697C">
        <w:rPr>
          <w:lang w:eastAsia="fr-FR"/>
        </w:rPr>
        <w:t xml:space="preserve">confidentiality </w:t>
      </w:r>
      <w:r w:rsidRPr="00C16083" w:rsidR="00BF23AC">
        <w:rPr>
          <w:lang w:eastAsia="fr-FR"/>
        </w:rPr>
        <w:t>to their clients (</w:t>
      </w:r>
      <w:r w:rsidRPr="00C16083" w:rsidR="003275CF">
        <w:rPr>
          <w:lang w:eastAsia="fr-FR"/>
        </w:rPr>
        <w:t>s</w:t>
      </w:r>
      <w:r w:rsidRPr="00C16083" w:rsidR="00BF23AC">
        <w:rPr>
          <w:lang w:eastAsia="fr-FR"/>
        </w:rPr>
        <w:t>ection 6</w:t>
      </w:r>
      <w:r w:rsidRPr="00C16083" w:rsidR="0066325A">
        <w:rPr>
          <w:lang w:eastAsia="fr-FR"/>
        </w:rPr>
        <w:t>(</w:t>
      </w:r>
      <w:r w:rsidRPr="00C16083" w:rsidR="00BF23AC">
        <w:rPr>
          <w:lang w:eastAsia="fr-FR"/>
        </w:rPr>
        <w:t>5</w:t>
      </w:r>
      <w:r w:rsidRPr="00C16083" w:rsidR="0066325A">
        <w:rPr>
          <w:lang w:eastAsia="fr-FR"/>
        </w:rPr>
        <w:t>)</w:t>
      </w:r>
      <w:r w:rsidRPr="00C16083" w:rsidR="00BF23AC">
        <w:rPr>
          <w:lang w:eastAsia="fr-FR"/>
        </w:rPr>
        <w:t xml:space="preserve"> of the Advocates Act). </w:t>
      </w:r>
      <w:r w:rsidRPr="00C16083" w:rsidR="00172921">
        <w:rPr>
          <w:lang w:eastAsia="fr-FR"/>
        </w:rPr>
        <w:t xml:space="preserve">Any </w:t>
      </w:r>
      <w:r w:rsidRPr="00C16083" w:rsidR="002E4DE7">
        <w:rPr>
          <w:lang w:eastAsia="fr-FR"/>
        </w:rPr>
        <w:t xml:space="preserve">search of </w:t>
      </w:r>
      <w:r w:rsidRPr="00C16083" w:rsidR="00172921">
        <w:rPr>
          <w:lang w:eastAsia="fr-FR"/>
        </w:rPr>
        <w:t xml:space="preserve">an </w:t>
      </w:r>
      <w:r w:rsidRPr="00C16083" w:rsidR="002E4DE7">
        <w:rPr>
          <w:lang w:eastAsia="fr-FR"/>
        </w:rPr>
        <w:t>advocate</w:t>
      </w:r>
      <w:r w:rsidRPr="00C16083" w:rsidR="00C16083">
        <w:rPr>
          <w:lang w:eastAsia="fr-FR"/>
        </w:rPr>
        <w:t>’</w:t>
      </w:r>
      <w:r w:rsidRPr="00C16083" w:rsidR="002E4DE7">
        <w:rPr>
          <w:lang w:eastAsia="fr-FR"/>
        </w:rPr>
        <w:t xml:space="preserve">s premises is subject to certain procedural safeguards (see paragraph </w:t>
      </w:r>
      <w:r w:rsidRPr="00C16083" w:rsidR="00FD7BB1">
        <w:rPr>
          <w:lang w:eastAsia="fr-FR"/>
        </w:rPr>
        <w:fldChar w:fldCharType="begin"/>
      </w:r>
      <w:r w:rsidRPr="00C16083" w:rsidR="00FD7BB1">
        <w:rPr>
          <w:lang w:eastAsia="fr-FR"/>
        </w:rPr>
        <w:instrText xml:space="preserve"> REF search_warrant_advocates \h </w:instrText>
      </w:r>
      <w:r w:rsidRPr="00C16083" w:rsidR="00FD7BB1">
        <w:rPr>
          <w:lang w:eastAsia="fr-FR"/>
        </w:rPr>
      </w:r>
      <w:r w:rsidRPr="00C16083" w:rsidR="00FD7BB1">
        <w:rPr>
          <w:lang w:eastAsia="fr-FR"/>
        </w:rPr>
        <w:fldChar w:fldCharType="separate"/>
      </w:r>
      <w:r w:rsidRPr="00C16083" w:rsidR="00C16083">
        <w:rPr>
          <w:noProof/>
          <w:lang w:eastAsia="fr-FR"/>
        </w:rPr>
        <w:t>93</w:t>
      </w:r>
      <w:r w:rsidRPr="00C16083" w:rsidR="00FD7BB1">
        <w:rPr>
          <w:lang w:eastAsia="fr-FR"/>
        </w:rPr>
        <w:fldChar w:fldCharType="end"/>
      </w:r>
      <w:r w:rsidRPr="00C16083" w:rsidR="002E4DE7">
        <w:rPr>
          <w:lang w:eastAsia="fr-FR"/>
        </w:rPr>
        <w:t xml:space="preserve"> below). There are no particular professional requirements or disciplinary liability </w:t>
      </w:r>
      <w:r w:rsidRPr="00C16083" w:rsidR="0077697C">
        <w:rPr>
          <w:lang w:eastAsia="fr-FR"/>
        </w:rPr>
        <w:t xml:space="preserve">in respect </w:t>
      </w:r>
      <w:r w:rsidRPr="00C16083" w:rsidR="002E4DE7">
        <w:rPr>
          <w:lang w:eastAsia="fr-FR"/>
        </w:rPr>
        <w:t xml:space="preserve">of other legal advisors. </w:t>
      </w:r>
      <w:r w:rsidRPr="00C16083" w:rsidR="0077697C">
        <w:rPr>
          <w:lang w:eastAsia="fr-FR"/>
        </w:rPr>
        <w:t>T</w:t>
      </w:r>
      <w:r w:rsidRPr="00C16083" w:rsidR="003275CF">
        <w:rPr>
          <w:lang w:eastAsia="fr-FR"/>
        </w:rPr>
        <w:t xml:space="preserve">heir premises </w:t>
      </w:r>
      <w:r w:rsidRPr="00C16083" w:rsidR="0077697C">
        <w:rPr>
          <w:lang w:eastAsia="fr-FR"/>
        </w:rPr>
        <w:t xml:space="preserve">do </w:t>
      </w:r>
      <w:r w:rsidRPr="00C16083" w:rsidR="003275CF">
        <w:rPr>
          <w:lang w:eastAsia="fr-FR"/>
        </w:rPr>
        <w:t xml:space="preserve">not </w:t>
      </w:r>
      <w:r w:rsidRPr="00C16083" w:rsidR="0077697C">
        <w:rPr>
          <w:lang w:eastAsia="fr-FR"/>
        </w:rPr>
        <w:t xml:space="preserve">have </w:t>
      </w:r>
      <w:r w:rsidRPr="00C16083" w:rsidR="003275CF">
        <w:rPr>
          <w:lang w:eastAsia="fr-FR"/>
        </w:rPr>
        <w:t xml:space="preserve">any </w:t>
      </w:r>
      <w:r w:rsidRPr="00C16083" w:rsidR="000C15A1">
        <w:rPr>
          <w:lang w:eastAsia="fr-FR"/>
        </w:rPr>
        <w:t xml:space="preserve">special </w:t>
      </w:r>
      <w:r w:rsidRPr="00C16083" w:rsidR="003275CF">
        <w:rPr>
          <w:lang w:eastAsia="fr-FR"/>
        </w:rPr>
        <w:t>protection</w:t>
      </w:r>
      <w:r w:rsidRPr="00C16083" w:rsidR="0077697C">
        <w:rPr>
          <w:lang w:eastAsia="fr-FR"/>
        </w:rPr>
        <w:t xml:space="preserve"> from search</w:t>
      </w:r>
      <w:r w:rsidRPr="00C16083" w:rsidR="00344367">
        <w:rPr>
          <w:lang w:eastAsia="fr-FR"/>
        </w:rPr>
        <w:t>es</w:t>
      </w:r>
      <w:r w:rsidRPr="00C16083" w:rsidR="003275CF">
        <w:rPr>
          <w:lang w:eastAsia="fr-FR"/>
        </w:rPr>
        <w:t>.</w:t>
      </w:r>
    </w:p>
    <w:p w:rsidRPr="00C16083" w:rsidR="00843BB9" w:rsidP="00C16083" w:rsidRDefault="00DD1E3D">
      <w:pPr>
        <w:pStyle w:val="JuHA"/>
        <w:rPr>
          <w:lang w:eastAsia="fr-FR"/>
        </w:rPr>
      </w:pPr>
      <w:r w:rsidRPr="00C16083">
        <w:rPr>
          <w:lang w:eastAsia="fr-FR"/>
        </w:rPr>
        <w:t>Authorisation of searches</w:t>
      </w:r>
    </w:p>
    <w:p w:rsidRPr="00C16083" w:rsidR="00843BB9" w:rsidP="00C16083" w:rsidRDefault="00644E3E">
      <w:pPr>
        <w:pStyle w:val="JuH1"/>
        <w:rPr>
          <w:lang w:eastAsia="fr-FR"/>
        </w:rPr>
      </w:pPr>
      <w:r w:rsidRPr="00C16083">
        <w:rPr>
          <w:lang w:eastAsia="fr-FR"/>
        </w:rPr>
        <w:t>General provisions</w:t>
      </w:r>
    </w:p>
    <w:bookmarkStart w:name="OSAA_inspection_of_premises" w:id="34"/>
    <w:p w:rsidRPr="00C16083" w:rsidR="00843BB9" w:rsidP="00C16083" w:rsidRDefault="00DD1E3D">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88</w:t>
      </w:r>
      <w:r w:rsidRPr="00C16083">
        <w:rPr>
          <w:lang w:eastAsia="fr-FR"/>
        </w:rPr>
        <w:fldChar w:fldCharType="end"/>
      </w:r>
      <w:bookmarkEnd w:id="34"/>
      <w:r w:rsidRPr="00C16083" w:rsidR="00396146">
        <w:rPr>
          <w:lang w:eastAsia="fr-FR"/>
        </w:rPr>
        <w:t>.  </w:t>
      </w:r>
      <w:r w:rsidRPr="00C16083">
        <w:rPr>
          <w:lang w:eastAsia="fr-FR"/>
        </w:rPr>
        <w:t>The Operational-Search Activities Act (</w:t>
      </w:r>
      <w:r w:rsidRPr="00C16083" w:rsidR="00344367">
        <w:rPr>
          <w:lang w:eastAsia="fr-FR"/>
        </w:rPr>
        <w:t xml:space="preserve">Law </w:t>
      </w:r>
      <w:r w:rsidRPr="00C16083" w:rsidR="00736760">
        <w:rPr>
          <w:lang w:eastAsia="fr-FR"/>
        </w:rPr>
        <w:t>no. 144­FZ of 12 </w:t>
      </w:r>
      <w:r w:rsidRPr="00C16083">
        <w:rPr>
          <w:lang w:eastAsia="fr-FR"/>
        </w:rPr>
        <w:t>August 1995</w:t>
      </w:r>
      <w:r w:rsidRPr="00C16083" w:rsidR="00344367">
        <w:rPr>
          <w:lang w:eastAsia="fr-FR"/>
        </w:rPr>
        <w:t xml:space="preserve"> – hereinafter</w:t>
      </w:r>
      <w:r w:rsidRPr="00C16083">
        <w:rPr>
          <w:lang w:eastAsia="fr-FR"/>
        </w:rPr>
        <w:t xml:space="preserve"> “the OSAA”) provides that investigating authorities may perform various operational-search measures, including “inspection of premises, buildings, constructions, plots of land and vehicles”</w:t>
      </w:r>
      <w:r w:rsidRPr="00C16083" w:rsidR="003275CF">
        <w:rPr>
          <w:lang w:eastAsia="fr-FR"/>
        </w:rPr>
        <w:t xml:space="preserve"> (section 6</w:t>
      </w:r>
      <w:r w:rsidRPr="00C16083" w:rsidR="00172921">
        <w:rPr>
          <w:lang w:eastAsia="fr-FR"/>
        </w:rPr>
        <w:t>(</w:t>
      </w:r>
      <w:r w:rsidRPr="00C16083">
        <w:rPr>
          <w:lang w:eastAsia="fr-FR"/>
        </w:rPr>
        <w:t>8)</w:t>
      </w:r>
      <w:r w:rsidRPr="00C16083" w:rsidR="006E72BF">
        <w:rPr>
          <w:lang w:eastAsia="fr-FR"/>
        </w:rPr>
        <w:t>)</w:t>
      </w:r>
      <w:r w:rsidRPr="00C16083">
        <w:rPr>
          <w:lang w:eastAsia="fr-FR"/>
        </w:rPr>
        <w:t xml:space="preserve">. Operational-search </w:t>
      </w:r>
      <w:r w:rsidRPr="00C16083" w:rsidR="00172921">
        <w:rPr>
          <w:lang w:eastAsia="fr-FR"/>
        </w:rPr>
        <w:t xml:space="preserve">measures </w:t>
      </w:r>
      <w:r w:rsidRPr="00C16083">
        <w:rPr>
          <w:lang w:eastAsia="fr-FR"/>
        </w:rPr>
        <w:t>involving interference with the constitutional right to, among other</w:t>
      </w:r>
      <w:r w:rsidRPr="00C16083" w:rsidR="00172921">
        <w:rPr>
          <w:lang w:eastAsia="fr-FR"/>
        </w:rPr>
        <w:t xml:space="preserve"> thing</w:t>
      </w:r>
      <w:r w:rsidRPr="00C16083">
        <w:rPr>
          <w:lang w:eastAsia="fr-FR"/>
        </w:rPr>
        <w:t>s, privacy of the home, may be conducted subject to judicial authorisation (section 8).</w:t>
      </w:r>
    </w:p>
    <w:bookmarkStart w:name="CCrP_crime_scene_examination" w:id="35"/>
    <w:p w:rsidRPr="00C16083" w:rsidR="00843BB9" w:rsidP="00C16083" w:rsidRDefault="00DD1E3D">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89</w:t>
      </w:r>
      <w:r w:rsidRPr="00C16083">
        <w:rPr>
          <w:lang w:eastAsia="fr-FR"/>
        </w:rPr>
        <w:fldChar w:fldCharType="end"/>
      </w:r>
      <w:bookmarkEnd w:id="35"/>
      <w:r w:rsidRPr="00C16083" w:rsidR="00396146">
        <w:rPr>
          <w:lang w:eastAsia="fr-FR"/>
        </w:rPr>
        <w:t>.  </w:t>
      </w:r>
      <w:r w:rsidRPr="00C16083">
        <w:rPr>
          <w:lang w:eastAsia="fr-FR"/>
        </w:rPr>
        <w:t xml:space="preserve">The </w:t>
      </w:r>
      <w:r w:rsidRPr="00C16083" w:rsidR="00023D67">
        <w:rPr>
          <w:lang w:eastAsia="fr-FR"/>
        </w:rPr>
        <w:t xml:space="preserve">CCrP </w:t>
      </w:r>
      <w:r w:rsidRPr="00C16083" w:rsidR="00344367">
        <w:rPr>
          <w:lang w:eastAsia="fr-FR"/>
        </w:rPr>
        <w:t xml:space="preserve">provides </w:t>
      </w:r>
      <w:r w:rsidRPr="00C16083">
        <w:rPr>
          <w:lang w:eastAsia="fr-FR"/>
        </w:rPr>
        <w:t>that examination of a crime scene, a</w:t>
      </w:r>
      <w:r w:rsidRPr="00C16083" w:rsidR="00344367">
        <w:rPr>
          <w:lang w:eastAsia="fr-FR"/>
        </w:rPr>
        <w:t xml:space="preserve"> plot of land</w:t>
      </w:r>
      <w:r w:rsidRPr="00C16083">
        <w:rPr>
          <w:lang w:eastAsia="fr-FR"/>
        </w:rPr>
        <w:t xml:space="preserve">, residential and other premises, objects and documents may be performed </w:t>
      </w:r>
      <w:r w:rsidRPr="00C16083" w:rsidR="00344367">
        <w:rPr>
          <w:lang w:eastAsia="fr-FR"/>
        </w:rPr>
        <w:t xml:space="preserve">in order </w:t>
      </w:r>
      <w:r w:rsidRPr="00C16083">
        <w:rPr>
          <w:lang w:eastAsia="fr-FR"/>
        </w:rPr>
        <w:t xml:space="preserve">to discover criminal traces or other </w:t>
      </w:r>
      <w:r w:rsidRPr="00C16083" w:rsidR="00656A04">
        <w:rPr>
          <w:lang w:eastAsia="fr-FR"/>
        </w:rPr>
        <w:t>circumstances</w:t>
      </w:r>
      <w:r w:rsidRPr="00C16083" w:rsidR="00787F8F">
        <w:rPr>
          <w:lang w:eastAsia="fr-FR"/>
        </w:rPr>
        <w:t xml:space="preserve"> which are </w:t>
      </w:r>
      <w:r w:rsidRPr="00C16083">
        <w:rPr>
          <w:lang w:eastAsia="fr-FR"/>
        </w:rPr>
        <w:t xml:space="preserve">relevant </w:t>
      </w:r>
      <w:r w:rsidRPr="00C16083" w:rsidR="00787F8F">
        <w:rPr>
          <w:lang w:eastAsia="fr-FR"/>
        </w:rPr>
        <w:t xml:space="preserve">to </w:t>
      </w:r>
      <w:r w:rsidRPr="00C16083">
        <w:rPr>
          <w:lang w:eastAsia="fr-FR"/>
        </w:rPr>
        <w:t xml:space="preserve">an investigation (Article 176 § 1). </w:t>
      </w:r>
      <w:r w:rsidRPr="00C16083" w:rsidR="006E72BF">
        <w:rPr>
          <w:lang w:eastAsia="fr-FR"/>
        </w:rPr>
        <w:t>Crime-scene examination</w:t>
      </w:r>
      <w:r w:rsidRPr="00C16083" w:rsidR="00C6446D">
        <w:rPr>
          <w:lang w:eastAsia="fr-FR"/>
        </w:rPr>
        <w:t xml:space="preserve"> </w:t>
      </w:r>
      <w:r w:rsidRPr="00C16083">
        <w:rPr>
          <w:lang w:eastAsia="fr-FR"/>
        </w:rPr>
        <w:t xml:space="preserve">of residential premises may be performed only with the consent of the residents or </w:t>
      </w:r>
      <w:r w:rsidRPr="00C16083" w:rsidR="00787F8F">
        <w:rPr>
          <w:lang w:eastAsia="fr-FR"/>
        </w:rPr>
        <w:t xml:space="preserve">on the basis of </w:t>
      </w:r>
      <w:r w:rsidRPr="00C16083">
        <w:rPr>
          <w:lang w:eastAsia="fr-FR"/>
        </w:rPr>
        <w:t xml:space="preserve">a court </w:t>
      </w:r>
      <w:r w:rsidRPr="00C16083" w:rsidR="006E72BF">
        <w:rPr>
          <w:lang w:eastAsia="fr-FR"/>
        </w:rPr>
        <w:t xml:space="preserve">warrant </w:t>
      </w:r>
      <w:r w:rsidRPr="00C16083">
        <w:rPr>
          <w:lang w:eastAsia="fr-FR"/>
        </w:rPr>
        <w:t xml:space="preserve">(Article 176 § 5). </w:t>
      </w:r>
      <w:r w:rsidRPr="00C16083" w:rsidR="00C326B3">
        <w:rPr>
          <w:lang w:eastAsia="fr-FR"/>
        </w:rPr>
        <w:t>In the latter case</w:t>
      </w:r>
      <w:r w:rsidRPr="00C16083" w:rsidR="00C6446D">
        <w:rPr>
          <w:lang w:eastAsia="fr-FR"/>
        </w:rPr>
        <w:t>,</w:t>
      </w:r>
      <w:r w:rsidRPr="00C16083" w:rsidR="00C326B3">
        <w:rPr>
          <w:lang w:eastAsia="fr-FR"/>
        </w:rPr>
        <w:t xml:space="preserve"> </w:t>
      </w:r>
      <w:r w:rsidRPr="00C16083" w:rsidR="00C6446D">
        <w:rPr>
          <w:lang w:eastAsia="fr-FR"/>
        </w:rPr>
        <w:t>an application</w:t>
      </w:r>
      <w:r w:rsidRPr="00C16083" w:rsidR="00C326B3">
        <w:rPr>
          <w:lang w:eastAsia="fr-FR"/>
        </w:rPr>
        <w:t xml:space="preserve"> for </w:t>
      </w:r>
      <w:r w:rsidRPr="00C16083" w:rsidR="00C6446D">
        <w:rPr>
          <w:lang w:eastAsia="fr-FR"/>
        </w:rPr>
        <w:t xml:space="preserve">a </w:t>
      </w:r>
      <w:r w:rsidRPr="00C16083" w:rsidR="00C326B3">
        <w:rPr>
          <w:lang w:eastAsia="fr-FR"/>
        </w:rPr>
        <w:t xml:space="preserve">court </w:t>
      </w:r>
      <w:r w:rsidRPr="00C16083" w:rsidR="006E72BF">
        <w:rPr>
          <w:lang w:eastAsia="fr-FR"/>
        </w:rPr>
        <w:t xml:space="preserve">warrant </w:t>
      </w:r>
      <w:r w:rsidRPr="00C16083" w:rsidR="00C326B3">
        <w:rPr>
          <w:lang w:eastAsia="fr-FR"/>
        </w:rPr>
        <w:t xml:space="preserve">is </w:t>
      </w:r>
      <w:r w:rsidRPr="00C16083" w:rsidR="00C6446D">
        <w:rPr>
          <w:lang w:eastAsia="fr-FR"/>
        </w:rPr>
        <w:t xml:space="preserve">made </w:t>
      </w:r>
      <w:r w:rsidRPr="00C16083" w:rsidR="00C326B3">
        <w:rPr>
          <w:lang w:eastAsia="fr-FR"/>
        </w:rPr>
        <w:t xml:space="preserve">in accordance with the procedure set </w:t>
      </w:r>
      <w:r w:rsidRPr="00C16083" w:rsidR="00787F8F">
        <w:rPr>
          <w:lang w:eastAsia="fr-FR"/>
        </w:rPr>
        <w:t xml:space="preserve">out in </w:t>
      </w:r>
      <w:r w:rsidRPr="00C16083" w:rsidR="00C326B3">
        <w:rPr>
          <w:lang w:eastAsia="fr-FR"/>
        </w:rPr>
        <w:t>Article 165.</w:t>
      </w:r>
    </w:p>
    <w:bookmarkStart w:name="A165_scope" w:id="36"/>
    <w:p w:rsidRPr="00C16083" w:rsidR="00843BB9" w:rsidP="00C16083" w:rsidRDefault="00C326B3">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90</w:t>
      </w:r>
      <w:r w:rsidRPr="00C16083">
        <w:rPr>
          <w:lang w:eastAsia="fr-FR"/>
        </w:rPr>
        <w:fldChar w:fldCharType="end"/>
      </w:r>
      <w:bookmarkEnd w:id="36"/>
      <w:r w:rsidRPr="00C16083">
        <w:rPr>
          <w:lang w:eastAsia="fr-FR"/>
        </w:rPr>
        <w:t xml:space="preserve">.  A search of a place of residence requires a </w:t>
      </w:r>
      <w:r w:rsidRPr="00C16083" w:rsidR="00C6446D">
        <w:rPr>
          <w:lang w:eastAsia="fr-FR"/>
        </w:rPr>
        <w:t xml:space="preserve">search </w:t>
      </w:r>
      <w:r w:rsidRPr="00C16083" w:rsidR="00335755">
        <w:rPr>
          <w:lang w:eastAsia="fr-FR"/>
        </w:rPr>
        <w:t xml:space="preserve">warrant </w:t>
      </w:r>
      <w:r w:rsidRPr="00C16083">
        <w:rPr>
          <w:lang w:eastAsia="fr-FR"/>
        </w:rPr>
        <w:t xml:space="preserve">issued </w:t>
      </w:r>
      <w:r w:rsidRPr="00C16083" w:rsidR="00C6446D">
        <w:rPr>
          <w:lang w:eastAsia="fr-FR"/>
        </w:rPr>
        <w:t xml:space="preserve">by a court </w:t>
      </w:r>
      <w:r w:rsidRPr="00C16083">
        <w:rPr>
          <w:lang w:eastAsia="fr-FR"/>
        </w:rPr>
        <w:t xml:space="preserve">on the basis of an application by </w:t>
      </w:r>
      <w:r w:rsidRPr="00C16083" w:rsidR="00C6446D">
        <w:rPr>
          <w:lang w:eastAsia="fr-FR"/>
        </w:rPr>
        <w:t xml:space="preserve">an </w:t>
      </w:r>
      <w:r w:rsidRPr="00C16083">
        <w:rPr>
          <w:lang w:eastAsia="fr-FR"/>
        </w:rPr>
        <w:t>investigator (Article 165).</w:t>
      </w:r>
      <w:r w:rsidRPr="00C16083" w:rsidR="00731C89">
        <w:rPr>
          <w:lang w:eastAsia="fr-FR"/>
        </w:rPr>
        <w:t xml:space="preserve"> A prosecutor and the investigator have the right to participate in the court hearing on the investigator</w:t>
      </w:r>
      <w:r w:rsidRPr="00C16083" w:rsidR="00C16083">
        <w:rPr>
          <w:lang w:eastAsia="fr-FR"/>
        </w:rPr>
        <w:t>’</w:t>
      </w:r>
      <w:r w:rsidRPr="00C16083" w:rsidR="00731C89">
        <w:rPr>
          <w:lang w:eastAsia="fr-FR"/>
        </w:rPr>
        <w:t>s application for a search warrant (Article 165 § 3).</w:t>
      </w:r>
    </w:p>
    <w:bookmarkStart w:name="ConstCourt_A165_scope" w:id="37"/>
    <w:p w:rsidRPr="00C16083" w:rsidR="00843BB9" w:rsidP="00C16083" w:rsidRDefault="00A31FB6">
      <w:pPr>
        <w:pStyle w:val="JuPara"/>
        <w:rPr>
          <w:lang w:eastAsia="fr-FR"/>
        </w:rPr>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91</w:t>
      </w:r>
      <w:r w:rsidRPr="00C16083">
        <w:rPr>
          <w:lang w:eastAsia="fr-FR"/>
        </w:rPr>
        <w:fldChar w:fldCharType="end"/>
      </w:r>
      <w:bookmarkEnd w:id="37"/>
      <w:r w:rsidRPr="00C16083">
        <w:rPr>
          <w:lang w:eastAsia="fr-FR"/>
        </w:rPr>
        <w:t>.  The Constitutional Court of Russia</w:t>
      </w:r>
      <w:r w:rsidRPr="00C16083" w:rsidR="00C6446D">
        <w:rPr>
          <w:lang w:eastAsia="fr-FR"/>
        </w:rPr>
        <w:t>,</w:t>
      </w:r>
      <w:r w:rsidRPr="00C16083">
        <w:rPr>
          <w:lang w:eastAsia="fr-FR"/>
        </w:rPr>
        <w:t xml:space="preserve"> in its decision no. 70-O of 10 March 2005</w:t>
      </w:r>
      <w:r w:rsidRPr="00C16083" w:rsidR="00C6446D">
        <w:rPr>
          <w:lang w:eastAsia="fr-FR"/>
        </w:rPr>
        <w:t>,</w:t>
      </w:r>
      <w:r w:rsidRPr="00C16083">
        <w:rPr>
          <w:lang w:eastAsia="fr-FR"/>
        </w:rPr>
        <w:t xml:space="preserve"> held that Article 165 § 3 does not deprive a person whose home was searched of the possibility to participate in </w:t>
      </w:r>
      <w:r w:rsidRPr="00C16083" w:rsidR="00C6446D">
        <w:rPr>
          <w:lang w:eastAsia="fr-FR"/>
        </w:rPr>
        <w:t xml:space="preserve">a </w:t>
      </w:r>
      <w:r w:rsidRPr="00C16083">
        <w:rPr>
          <w:lang w:eastAsia="fr-FR"/>
        </w:rPr>
        <w:t>judicial review of the lawfulness of the search.</w:t>
      </w:r>
    </w:p>
    <w:bookmarkStart w:name="grounds_for_search_A182CCrP" w:id="38"/>
    <w:p w:rsidRPr="00C16083" w:rsidR="00843BB9" w:rsidP="00C16083" w:rsidRDefault="00DD1E3D">
      <w:pPr>
        <w:pStyle w:val="JuPara"/>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92</w:t>
      </w:r>
      <w:r w:rsidRPr="00C16083">
        <w:rPr>
          <w:lang w:eastAsia="fr-FR"/>
        </w:rPr>
        <w:fldChar w:fldCharType="end"/>
      </w:r>
      <w:bookmarkEnd w:id="38"/>
      <w:r w:rsidRPr="00C16083" w:rsidR="00843BB9">
        <w:rPr>
          <w:lang w:eastAsia="fr-FR"/>
        </w:rPr>
        <w:t>.  </w:t>
      </w:r>
      <w:r w:rsidRPr="00C16083">
        <w:rPr>
          <w:lang w:eastAsia="fr-FR"/>
        </w:rPr>
        <w:t xml:space="preserve">The CCrP provides that </w:t>
      </w:r>
      <w:r w:rsidRPr="00C16083" w:rsidR="00E87564">
        <w:rPr>
          <w:lang w:eastAsia="fr-FR"/>
        </w:rPr>
        <w:t xml:space="preserve">there are grounds to carry out </w:t>
      </w:r>
      <w:r w:rsidRPr="00C16083">
        <w:rPr>
          <w:lang w:eastAsia="fr-FR"/>
        </w:rPr>
        <w:t>a search</w:t>
      </w:r>
      <w:r w:rsidRPr="00C16083" w:rsidR="001620F1">
        <w:rPr>
          <w:lang w:eastAsia="fr-FR"/>
        </w:rPr>
        <w:t xml:space="preserve"> if there is</w:t>
      </w:r>
      <w:r w:rsidRPr="00C16083">
        <w:rPr>
          <w:lang w:eastAsia="fr-FR"/>
        </w:rPr>
        <w:t xml:space="preserve"> sufficient </w:t>
      </w:r>
      <w:r w:rsidRPr="00C16083" w:rsidR="001620F1">
        <w:rPr>
          <w:lang w:eastAsia="fr-FR"/>
        </w:rPr>
        <w:t>information</w:t>
      </w:r>
      <w:r w:rsidRPr="00C16083">
        <w:rPr>
          <w:lang w:eastAsia="fr-FR"/>
        </w:rPr>
        <w:t xml:space="preserve"> </w:t>
      </w:r>
      <w:r w:rsidRPr="00C16083" w:rsidR="00C6446D">
        <w:rPr>
          <w:lang w:eastAsia="fr-FR"/>
        </w:rPr>
        <w:t xml:space="preserve">to believe </w:t>
      </w:r>
      <w:r w:rsidRPr="00C16083">
        <w:rPr>
          <w:lang w:eastAsia="fr-FR"/>
        </w:rPr>
        <w:t xml:space="preserve">that instruments of a crime or objects, documents or valuables </w:t>
      </w:r>
      <w:r w:rsidRPr="00C16083" w:rsidR="006C021E">
        <w:rPr>
          <w:lang w:eastAsia="fr-FR"/>
        </w:rPr>
        <w:t>relevant</w:t>
      </w:r>
      <w:r w:rsidRPr="00C16083">
        <w:rPr>
          <w:lang w:eastAsia="fr-FR"/>
        </w:rPr>
        <w:t xml:space="preserve"> to a criminal case might be found in a specific place or on a specific person (Article 182 § 1).</w:t>
      </w:r>
      <w:r w:rsidRPr="00C16083" w:rsidR="002954E2">
        <w:t xml:space="preserve"> </w:t>
      </w:r>
      <w:r w:rsidRPr="00C16083" w:rsidR="0091332B">
        <w:t>A lawyer of the person whose premises are searched may be present during the search (Article 182 § 11).</w:t>
      </w:r>
    </w:p>
    <w:p w:rsidRPr="00C16083" w:rsidR="00843BB9" w:rsidP="00C16083" w:rsidRDefault="001C4FE4">
      <w:pPr>
        <w:pStyle w:val="JuH1"/>
        <w:rPr>
          <w:lang w:eastAsia="fr-FR"/>
        </w:rPr>
      </w:pPr>
      <w:r w:rsidRPr="00C16083">
        <w:rPr>
          <w:lang w:eastAsia="fr-FR"/>
        </w:rPr>
        <w:t>Search of an advocate</w:t>
      </w:r>
      <w:r w:rsidRPr="00C16083" w:rsidR="00C16083">
        <w:rPr>
          <w:lang w:eastAsia="fr-FR"/>
        </w:rPr>
        <w:t>’</w:t>
      </w:r>
      <w:r w:rsidRPr="00C16083">
        <w:rPr>
          <w:lang w:eastAsia="fr-FR"/>
        </w:rPr>
        <w:t>s premises</w:t>
      </w:r>
    </w:p>
    <w:bookmarkStart w:name="search_warrant_advocates" w:id="39"/>
    <w:p w:rsidRPr="00C16083" w:rsidR="00843BB9" w:rsidP="00C16083" w:rsidRDefault="001C4FE4">
      <w:pPr>
        <w:pStyle w:val="JuPara"/>
      </w:pPr>
      <w:r w:rsidRPr="00C16083">
        <w:rPr>
          <w:lang w:eastAsia="fr-FR"/>
        </w:rPr>
        <w:fldChar w:fldCharType="begin"/>
      </w:r>
      <w:r w:rsidRPr="00C16083">
        <w:rPr>
          <w:lang w:eastAsia="fr-FR"/>
        </w:rPr>
        <w:instrText xml:space="preserve"> SEQ level0 \*arabic </w:instrText>
      </w:r>
      <w:r w:rsidRPr="00C16083">
        <w:rPr>
          <w:lang w:eastAsia="fr-FR"/>
        </w:rPr>
        <w:fldChar w:fldCharType="separate"/>
      </w:r>
      <w:r w:rsidRPr="00C16083" w:rsidR="00C16083">
        <w:rPr>
          <w:noProof/>
          <w:lang w:eastAsia="fr-FR"/>
        </w:rPr>
        <w:t>93</w:t>
      </w:r>
      <w:r w:rsidRPr="00C16083">
        <w:rPr>
          <w:lang w:eastAsia="fr-FR"/>
        </w:rPr>
        <w:fldChar w:fldCharType="end"/>
      </w:r>
      <w:bookmarkEnd w:id="39"/>
      <w:r w:rsidRPr="00C16083">
        <w:rPr>
          <w:lang w:eastAsia="fr-FR"/>
        </w:rPr>
        <w:t xml:space="preserve">.  A search of the residential and professional premises of an advocate must be authorised by a court </w:t>
      </w:r>
      <w:r w:rsidRPr="00C16083" w:rsidR="000A37A8">
        <w:rPr>
          <w:lang w:eastAsia="fr-FR"/>
        </w:rPr>
        <w:t>warrant</w:t>
      </w:r>
      <w:r w:rsidRPr="00C16083">
        <w:rPr>
          <w:lang w:eastAsia="fr-FR"/>
        </w:rPr>
        <w:t>. The information, objects and documents obtained during the search may be used in evidence only if they are not covered by lawyer-client confidentiality in a given criminal case (section 8</w:t>
      </w:r>
      <w:r w:rsidRPr="00C16083" w:rsidR="00172921">
        <w:rPr>
          <w:lang w:eastAsia="fr-FR"/>
        </w:rPr>
        <w:t>(</w:t>
      </w:r>
      <w:r w:rsidRPr="00C16083">
        <w:rPr>
          <w:lang w:eastAsia="fr-FR"/>
        </w:rPr>
        <w:t>3</w:t>
      </w:r>
      <w:r w:rsidRPr="00C16083" w:rsidR="00172921">
        <w:rPr>
          <w:lang w:eastAsia="fr-FR"/>
        </w:rPr>
        <w:t>)</w:t>
      </w:r>
      <w:r w:rsidRPr="00C16083">
        <w:rPr>
          <w:lang w:eastAsia="fr-FR"/>
        </w:rPr>
        <w:t xml:space="preserve"> of the Advocates Act).</w:t>
      </w:r>
    </w:p>
    <w:bookmarkStart w:name="new_safeguards_advocates_search" w:id="40"/>
    <w:p w:rsidRPr="00C16083" w:rsidR="001C4FE4" w:rsidP="00C16083" w:rsidRDefault="001C4FE4">
      <w:pPr>
        <w:pStyle w:val="JuPara"/>
        <w:rPr>
          <w:lang w:eastAsia="fr-FR"/>
        </w:rPr>
      </w:pPr>
      <w:r w:rsidRPr="00C16083">
        <w:fldChar w:fldCharType="begin"/>
      </w:r>
      <w:r w:rsidRPr="00C16083">
        <w:instrText xml:space="preserve"> SEQ level0 \*arabic </w:instrText>
      </w:r>
      <w:r w:rsidRPr="00C16083">
        <w:fldChar w:fldCharType="separate"/>
      </w:r>
      <w:r w:rsidRPr="00C16083" w:rsidR="00C16083">
        <w:rPr>
          <w:noProof/>
        </w:rPr>
        <w:t>94</w:t>
      </w:r>
      <w:r w:rsidRPr="00C16083">
        <w:fldChar w:fldCharType="end"/>
      </w:r>
      <w:bookmarkEnd w:id="40"/>
      <w:r w:rsidRPr="00C16083">
        <w:t>.  The Constitutional Court invited the legislator to adopt additional safeguards for searches of lawyers</w:t>
      </w:r>
      <w:r w:rsidRPr="00C16083" w:rsidR="00C16083">
        <w:t>’</w:t>
      </w:r>
      <w:r w:rsidRPr="00C16083">
        <w:t xml:space="preserve"> premises, in particular, to ensure </w:t>
      </w:r>
      <w:r w:rsidRPr="00C16083" w:rsidR="00172921">
        <w:t xml:space="preserve">that </w:t>
      </w:r>
      <w:r w:rsidRPr="00C16083" w:rsidR="00FF3504">
        <w:t xml:space="preserve">documents covered by </w:t>
      </w:r>
      <w:r w:rsidRPr="00C16083" w:rsidR="00172921">
        <w:t xml:space="preserve">professional </w:t>
      </w:r>
      <w:r w:rsidRPr="00C16083">
        <w:t>legal privilege</w:t>
      </w:r>
      <w:r w:rsidRPr="00C16083" w:rsidR="00FF3504">
        <w:t xml:space="preserve"> were treated differently from regular material </w:t>
      </w:r>
      <w:r w:rsidRPr="00C16083">
        <w:t>(Resolution 33</w:t>
      </w:r>
      <w:r w:rsidRPr="00C16083" w:rsidR="00E97A77">
        <w:t>P</w:t>
      </w:r>
      <w:r w:rsidRPr="00C16083">
        <w:t>/2015 of 17 December 2015). Since 17</w:t>
      </w:r>
      <w:r w:rsidRPr="00C16083" w:rsidR="00396146">
        <w:t> </w:t>
      </w:r>
      <w:r w:rsidRPr="00C16083">
        <w:t xml:space="preserve">April 2017 a new Article 450.1 of the CCrP </w:t>
      </w:r>
      <w:r w:rsidRPr="00C16083" w:rsidR="00FF3504">
        <w:t xml:space="preserve">provides </w:t>
      </w:r>
      <w:r w:rsidRPr="00C16083">
        <w:t>that an advocate</w:t>
      </w:r>
      <w:r w:rsidRPr="00C16083" w:rsidR="00C16083">
        <w:t>’</w:t>
      </w:r>
      <w:r w:rsidRPr="00C16083">
        <w:t xml:space="preserve">s premises may be searched only if he or she is a suspect in a criminal investigation, on the basis of a court </w:t>
      </w:r>
      <w:r w:rsidRPr="00C16083" w:rsidR="000A37A8">
        <w:t>warrant</w:t>
      </w:r>
      <w:r w:rsidRPr="00C16083">
        <w:t xml:space="preserve">, and in the presence of a representative </w:t>
      </w:r>
      <w:r w:rsidRPr="00C16083" w:rsidR="000635CD">
        <w:t xml:space="preserve">from the relevant </w:t>
      </w:r>
      <w:r w:rsidRPr="00C16083">
        <w:t>collegium</w:t>
      </w:r>
      <w:r w:rsidRPr="00C16083" w:rsidR="000635CD">
        <w:t xml:space="preserve"> of advocates</w:t>
      </w:r>
      <w:r w:rsidRPr="00C16083">
        <w:t xml:space="preserve">. </w:t>
      </w:r>
      <w:r w:rsidRPr="00C16083" w:rsidR="00FF3504">
        <w:t xml:space="preserve">A </w:t>
      </w:r>
      <w:r w:rsidRPr="00C16083">
        <w:t>crime</w:t>
      </w:r>
      <w:r w:rsidRPr="00C16083" w:rsidR="00952268">
        <w:t>-</w:t>
      </w:r>
      <w:r w:rsidRPr="00C16083">
        <w:t xml:space="preserve">scene </w:t>
      </w:r>
      <w:r w:rsidRPr="00C16083" w:rsidR="000A37A8">
        <w:t>examination</w:t>
      </w:r>
      <w:r w:rsidRPr="00C16083" w:rsidR="00FF3504">
        <w:t xml:space="preserve"> </w:t>
      </w:r>
      <w:r w:rsidRPr="00C16083">
        <w:t>at an advocate</w:t>
      </w:r>
      <w:r w:rsidRPr="00C16083" w:rsidR="00C16083">
        <w:t>’</w:t>
      </w:r>
      <w:r w:rsidRPr="00C16083">
        <w:t>s premises may exceptionally be carried out without those conditions being complied with.</w:t>
      </w:r>
    </w:p>
    <w:p w:rsidRPr="00C16083" w:rsidR="00843BB9" w:rsidP="00C16083" w:rsidRDefault="003460D7">
      <w:pPr>
        <w:pStyle w:val="JuHA"/>
      </w:pPr>
      <w:r w:rsidRPr="00C16083">
        <w:t xml:space="preserve">Seizure and retention as </w:t>
      </w:r>
      <w:r w:rsidRPr="00C16083" w:rsidR="00300667">
        <w:t>material</w:t>
      </w:r>
      <w:r w:rsidRPr="00C16083" w:rsidR="001C4FE4">
        <w:t xml:space="preserve"> evidence</w:t>
      </w:r>
    </w:p>
    <w:bookmarkStart w:name="amendts2012_CCrP_real_evidence" w:id="41"/>
    <w:p w:rsidRPr="00C16083" w:rsidR="00843BB9" w:rsidP="00C16083" w:rsidRDefault="003460D7">
      <w:pPr>
        <w:pStyle w:val="JuPara"/>
      </w:pPr>
      <w:r w:rsidRPr="00C16083">
        <w:fldChar w:fldCharType="begin"/>
      </w:r>
      <w:r w:rsidRPr="00C16083">
        <w:instrText xml:space="preserve"> SEQ level0 \*arabic </w:instrText>
      </w:r>
      <w:r w:rsidRPr="00C16083">
        <w:fldChar w:fldCharType="separate"/>
      </w:r>
      <w:r w:rsidRPr="00C16083" w:rsidR="00C16083">
        <w:rPr>
          <w:noProof/>
        </w:rPr>
        <w:t>95</w:t>
      </w:r>
      <w:r w:rsidRPr="00C16083">
        <w:fldChar w:fldCharType="end"/>
      </w:r>
      <w:bookmarkEnd w:id="41"/>
      <w:r w:rsidRPr="00C16083">
        <w:t>.  </w:t>
      </w:r>
      <w:r w:rsidRPr="00C16083" w:rsidR="001C4FE4">
        <w:t xml:space="preserve">Article 81 § 4 of the CCrP </w:t>
      </w:r>
      <w:r w:rsidRPr="00C16083" w:rsidR="00952268">
        <w:t xml:space="preserve">provides </w:t>
      </w:r>
      <w:r w:rsidRPr="00C16083" w:rsidR="001C4FE4">
        <w:t xml:space="preserve">that objects seized during </w:t>
      </w:r>
      <w:r w:rsidRPr="00C16083" w:rsidR="00952268">
        <w:t xml:space="preserve">an </w:t>
      </w:r>
      <w:r w:rsidRPr="00C16083" w:rsidR="001C4FE4">
        <w:t xml:space="preserve">investigation but not retained as </w:t>
      </w:r>
      <w:r w:rsidRPr="00C16083" w:rsidR="00300667">
        <w:t>material</w:t>
      </w:r>
      <w:r w:rsidRPr="00C16083" w:rsidR="001C4FE4">
        <w:t xml:space="preserve"> evidence should be returned to </w:t>
      </w:r>
      <w:r w:rsidRPr="00C16083" w:rsidR="00952268">
        <w:t xml:space="preserve">the </w:t>
      </w:r>
      <w:r w:rsidRPr="00C16083" w:rsidR="001C4FE4">
        <w:t xml:space="preserve">people from whom they </w:t>
      </w:r>
      <w:r w:rsidRPr="00C16083" w:rsidR="00952268">
        <w:t xml:space="preserve">were </w:t>
      </w:r>
      <w:r w:rsidRPr="00C16083" w:rsidR="001C4FE4">
        <w:t xml:space="preserve">seized. Since 28 June 2012 such objects </w:t>
      </w:r>
      <w:r w:rsidRPr="00C16083" w:rsidR="00E97A77">
        <w:t>include</w:t>
      </w:r>
      <w:r w:rsidRPr="00C16083" w:rsidR="001C4FE4">
        <w:t xml:space="preserve"> electronic data-stor</w:t>
      </w:r>
      <w:r w:rsidRPr="00C16083" w:rsidR="00172921">
        <w:t>age</w:t>
      </w:r>
      <w:r w:rsidRPr="00C16083" w:rsidR="001C4FE4">
        <w:t xml:space="preserve"> devices</w:t>
      </w:r>
      <w:r w:rsidRPr="00C16083" w:rsidR="00952268">
        <w:t>,</w:t>
      </w:r>
      <w:r w:rsidRPr="00C16083" w:rsidR="00E97A77">
        <w:t xml:space="preserve"> which </w:t>
      </w:r>
      <w:r w:rsidRPr="00C16083" w:rsidR="001C4FE4">
        <w:t xml:space="preserve">may be returned to their owner after </w:t>
      </w:r>
      <w:r w:rsidRPr="00C16083" w:rsidR="00952268">
        <w:t xml:space="preserve">inspection </w:t>
      </w:r>
      <w:r w:rsidRPr="00C16083" w:rsidR="001C4FE4">
        <w:t xml:space="preserve">and other necessary investigative actions, if this does not compromise </w:t>
      </w:r>
      <w:r w:rsidRPr="00C16083" w:rsidR="006C6CE0">
        <w:t>the</w:t>
      </w:r>
      <w:r w:rsidRPr="00C16083" w:rsidR="001C4FE4">
        <w:t xml:space="preserve"> evidence.</w:t>
      </w:r>
    </w:p>
    <w:bookmarkStart w:name="time_limits_retention_decision" w:id="42"/>
    <w:p w:rsidRPr="00C16083" w:rsidR="001C4FE4" w:rsidP="00C16083" w:rsidRDefault="003460D7">
      <w:pPr>
        <w:pStyle w:val="JuPara"/>
      </w:pPr>
      <w:r w:rsidRPr="00C16083">
        <w:fldChar w:fldCharType="begin"/>
      </w:r>
      <w:r w:rsidRPr="00C16083">
        <w:instrText xml:space="preserve"> SEQ level0 \*arabic </w:instrText>
      </w:r>
      <w:r w:rsidRPr="00C16083">
        <w:fldChar w:fldCharType="separate"/>
      </w:r>
      <w:r w:rsidRPr="00C16083" w:rsidR="00C16083">
        <w:rPr>
          <w:noProof/>
        </w:rPr>
        <w:t>96</w:t>
      </w:r>
      <w:r w:rsidRPr="00C16083">
        <w:fldChar w:fldCharType="end"/>
      </w:r>
      <w:bookmarkEnd w:id="42"/>
      <w:r w:rsidRPr="00C16083">
        <w:t xml:space="preserve">.  Since 3 July 2016 a new Article 81.1 of the CCrP provides that an investigator must take a decision to retain a seized object as </w:t>
      </w:r>
      <w:r w:rsidRPr="00C16083" w:rsidR="00751BC2">
        <w:t>material evidence</w:t>
      </w:r>
      <w:r w:rsidRPr="00C16083">
        <w:t xml:space="preserve"> within ten days </w:t>
      </w:r>
      <w:r w:rsidRPr="00C16083" w:rsidR="00952268">
        <w:t xml:space="preserve">of </w:t>
      </w:r>
      <w:r w:rsidRPr="00C16083">
        <w:t xml:space="preserve">the seizure. If the number of seized objects is considerable or </w:t>
      </w:r>
      <w:r w:rsidRPr="00C16083" w:rsidR="00952268">
        <w:t xml:space="preserve">if there are </w:t>
      </w:r>
      <w:r w:rsidRPr="00C16083">
        <w:t>other objective circumstances</w:t>
      </w:r>
      <w:r w:rsidRPr="00C16083" w:rsidR="00952268">
        <w:t>,</w:t>
      </w:r>
      <w:r w:rsidRPr="00C16083">
        <w:t xml:space="preserve"> the period may be extended to thirty days. Seized objects which </w:t>
      </w:r>
      <w:r w:rsidRPr="00C16083" w:rsidR="00172921">
        <w:t xml:space="preserve">are </w:t>
      </w:r>
      <w:r w:rsidRPr="00C16083">
        <w:t xml:space="preserve">not </w:t>
      </w:r>
      <w:r w:rsidRPr="00C16083" w:rsidR="00172921">
        <w:t xml:space="preserve">to be </w:t>
      </w:r>
      <w:r w:rsidRPr="00C16083">
        <w:t xml:space="preserve">retained as </w:t>
      </w:r>
      <w:r w:rsidRPr="00C16083" w:rsidR="00751BC2">
        <w:t>material evidence</w:t>
      </w:r>
      <w:r w:rsidRPr="00C16083">
        <w:t xml:space="preserve"> have to be returned within five days </w:t>
      </w:r>
      <w:r w:rsidRPr="00C16083" w:rsidR="00952268">
        <w:t xml:space="preserve">of </w:t>
      </w:r>
      <w:r w:rsidRPr="00C16083">
        <w:t>the expiry of the above</w:t>
      </w:r>
      <w:r w:rsidRPr="00C16083" w:rsidR="00952268">
        <w:t>-mentioned</w:t>
      </w:r>
      <w:r w:rsidRPr="00C16083">
        <w:t xml:space="preserve"> periods.</w:t>
      </w:r>
    </w:p>
    <w:bookmarkStart w:name="new_data_seizure_procedure" w:id="43"/>
    <w:p w:rsidRPr="00C16083" w:rsidR="00843BB9" w:rsidP="00C16083" w:rsidRDefault="001C4FE4">
      <w:pPr>
        <w:pStyle w:val="JuPara"/>
      </w:pPr>
      <w:r w:rsidRPr="00C16083">
        <w:fldChar w:fldCharType="begin"/>
      </w:r>
      <w:r w:rsidRPr="00C16083">
        <w:instrText xml:space="preserve"> SEQ level0 \*arabic </w:instrText>
      </w:r>
      <w:r w:rsidRPr="00C16083">
        <w:fldChar w:fldCharType="separate"/>
      </w:r>
      <w:r w:rsidRPr="00C16083" w:rsidR="00C16083">
        <w:rPr>
          <w:noProof/>
        </w:rPr>
        <w:t>97</w:t>
      </w:r>
      <w:r w:rsidRPr="00C16083">
        <w:fldChar w:fldCharType="end"/>
      </w:r>
      <w:bookmarkEnd w:id="43"/>
      <w:r w:rsidRPr="00C16083">
        <w:t>.  Since 27 December 2018 Article 164 § 4.1 of the CCrP prohibits an unreasonable use of measures which could interrupt lawful activities of legal persons or individual businessmen, including seizure of electronic data-stor</w:t>
      </w:r>
      <w:r w:rsidRPr="00C16083" w:rsidR="00172921">
        <w:t>age</w:t>
      </w:r>
      <w:r w:rsidRPr="00C16083">
        <w:t xml:space="preserve"> devices within the framework of investigations of certain offences, subject to a number of ex</w:t>
      </w:r>
      <w:r w:rsidRPr="00C16083" w:rsidR="00736760">
        <w:t>ceptions. Under Article 164.1 § </w:t>
      </w:r>
      <w:r w:rsidRPr="00C16083">
        <w:t>3 an investigator may copy information contained on electronic data-stor</w:t>
      </w:r>
      <w:r w:rsidRPr="00C16083" w:rsidR="00172921">
        <w:t>age</w:t>
      </w:r>
      <w:r w:rsidRPr="00C16083">
        <w:t xml:space="preserve"> devices.</w:t>
      </w:r>
    </w:p>
    <w:p w:rsidRPr="00C16083" w:rsidR="00843BB9" w:rsidP="00C16083" w:rsidRDefault="00807090">
      <w:pPr>
        <w:pStyle w:val="JuHA"/>
        <w:rPr>
          <w:lang w:eastAsia="fr-FR"/>
        </w:rPr>
      </w:pPr>
      <w:r w:rsidRPr="00C16083">
        <w:rPr>
          <w:lang w:eastAsia="fr-FR"/>
        </w:rPr>
        <w:t xml:space="preserve">Judicial </w:t>
      </w:r>
      <w:r w:rsidRPr="00C16083" w:rsidR="00172921">
        <w:rPr>
          <w:lang w:eastAsia="fr-FR"/>
        </w:rPr>
        <w:t>r</w:t>
      </w:r>
      <w:r w:rsidRPr="00C16083">
        <w:rPr>
          <w:lang w:eastAsia="fr-FR"/>
        </w:rPr>
        <w:t>eview</w:t>
      </w:r>
    </w:p>
    <w:p w:rsidRPr="00C16083" w:rsidR="00807090" w:rsidP="00C16083" w:rsidRDefault="00AD6C3F">
      <w:pPr>
        <w:pStyle w:val="JuH1"/>
        <w:rPr>
          <w:lang w:eastAsia="fr-FR"/>
        </w:rPr>
      </w:pPr>
      <w:r w:rsidRPr="00C16083">
        <w:t xml:space="preserve">The </w:t>
      </w:r>
      <w:r w:rsidRPr="00C16083" w:rsidR="0016506F">
        <w:t>OSAA</w:t>
      </w:r>
    </w:p>
    <w:bookmarkStart w:name="OSAA_no_appeal" w:id="44"/>
    <w:bookmarkStart w:name="Const_Court_re_OSAA_jud_rev_no_app" w:id="45"/>
    <w:p w:rsidRPr="00C16083" w:rsidR="00843BB9" w:rsidP="00C16083" w:rsidRDefault="00EF56ED">
      <w:pPr>
        <w:pStyle w:val="JuPara"/>
        <w:rPr>
          <w:lang w:bidi="en-US"/>
        </w:rPr>
      </w:pPr>
      <w:r w:rsidRPr="00C16083">
        <w:rPr>
          <w:lang w:bidi="en-US"/>
        </w:rPr>
        <w:fldChar w:fldCharType="begin"/>
      </w:r>
      <w:r w:rsidRPr="00C16083">
        <w:rPr>
          <w:lang w:bidi="en-US"/>
        </w:rPr>
        <w:instrText xml:space="preserve"> SEQ level0 \*arabic </w:instrText>
      </w:r>
      <w:r w:rsidRPr="00C16083">
        <w:rPr>
          <w:lang w:bidi="en-US"/>
        </w:rPr>
        <w:fldChar w:fldCharType="separate"/>
      </w:r>
      <w:r w:rsidRPr="00C16083" w:rsidR="00C16083">
        <w:rPr>
          <w:noProof/>
          <w:lang w:bidi="en-US"/>
        </w:rPr>
        <w:t>98</w:t>
      </w:r>
      <w:r w:rsidRPr="00C16083">
        <w:rPr>
          <w:lang w:bidi="en-US"/>
        </w:rPr>
        <w:fldChar w:fldCharType="end"/>
      </w:r>
      <w:bookmarkEnd w:id="44"/>
      <w:r w:rsidRPr="00C16083">
        <w:rPr>
          <w:lang w:bidi="en-US"/>
        </w:rPr>
        <w:t xml:space="preserve">.  A judicial </w:t>
      </w:r>
      <w:r w:rsidRPr="00C16083" w:rsidR="00172921">
        <w:rPr>
          <w:lang w:bidi="en-US"/>
        </w:rPr>
        <w:t xml:space="preserve">decision authorising </w:t>
      </w:r>
      <w:r w:rsidRPr="00C16083">
        <w:rPr>
          <w:lang w:bidi="en-US"/>
        </w:rPr>
        <w:t>operational-search</w:t>
      </w:r>
      <w:r w:rsidRPr="00C16083" w:rsidR="00172921">
        <w:rPr>
          <w:lang w:bidi="en-US"/>
        </w:rPr>
        <w:t xml:space="preserve"> measures</w:t>
      </w:r>
      <w:r w:rsidRPr="00C16083">
        <w:rPr>
          <w:lang w:bidi="en-US"/>
        </w:rPr>
        <w:t>, including a search of premises, is not amenable to appeal. However, a person concerned may challenge before a court the actions of the authorities carrying out operation</w:t>
      </w:r>
      <w:r w:rsidRPr="00C16083" w:rsidR="00952268">
        <w:rPr>
          <w:lang w:bidi="en-US"/>
        </w:rPr>
        <w:t>al</w:t>
      </w:r>
      <w:r w:rsidRPr="00C16083">
        <w:rPr>
          <w:lang w:bidi="en-US"/>
        </w:rPr>
        <w:t>-search activities</w:t>
      </w:r>
      <w:r w:rsidRPr="00C16083" w:rsidR="002B6255">
        <w:rPr>
          <w:lang w:bidi="en-US"/>
        </w:rPr>
        <w:t>, even where</w:t>
      </w:r>
      <w:r w:rsidRPr="00C16083">
        <w:rPr>
          <w:lang w:bidi="en-US"/>
        </w:rPr>
        <w:t xml:space="preserve"> those actions </w:t>
      </w:r>
      <w:r w:rsidRPr="00C16083" w:rsidR="005002E0">
        <w:rPr>
          <w:lang w:bidi="en-US"/>
        </w:rPr>
        <w:t xml:space="preserve">were </w:t>
      </w:r>
      <w:r w:rsidRPr="00C16083">
        <w:rPr>
          <w:lang w:bidi="en-US"/>
        </w:rPr>
        <w:t xml:space="preserve">authorised by a court (section 5(3) and (9), </w:t>
      </w:r>
      <w:r w:rsidRPr="00C16083" w:rsidR="00172921">
        <w:rPr>
          <w:lang w:bidi="en-US"/>
        </w:rPr>
        <w:t xml:space="preserve">and </w:t>
      </w:r>
      <w:r w:rsidRPr="00C16083">
        <w:rPr>
          <w:lang w:bidi="en-US"/>
        </w:rPr>
        <w:t>Constitutional Court decision no. 86-O of 14 July 1998).</w:t>
      </w:r>
    </w:p>
    <w:p w:rsidRPr="00C16083" w:rsidR="00AD6C3F" w:rsidP="00C16083" w:rsidRDefault="006368BA">
      <w:pPr>
        <w:pStyle w:val="JuPara"/>
      </w:pPr>
      <w:fldSimple w:instr=" SEQ level0 \*arabic ">
        <w:r w:rsidRPr="00C16083" w:rsidR="00C16083">
          <w:rPr>
            <w:noProof/>
          </w:rPr>
          <w:t>99</w:t>
        </w:r>
      </w:fldSimple>
      <w:r w:rsidRPr="00C16083" w:rsidR="009734D5">
        <w:t>.  The Plenary Supreme Court</w:t>
      </w:r>
      <w:r w:rsidRPr="00C16083" w:rsidR="00952268">
        <w:t>,</w:t>
      </w:r>
      <w:r w:rsidRPr="00C16083" w:rsidR="009734D5">
        <w:t xml:space="preserve"> in its Ruling no. 1 of 10 February 2009</w:t>
      </w:r>
      <w:r w:rsidRPr="00C16083" w:rsidR="00952268">
        <w:t>,</w:t>
      </w:r>
      <w:r w:rsidRPr="00C16083" w:rsidR="009734D5">
        <w:t xml:space="preserve"> held that actions of officials or State agencies conducting operational</w:t>
      </w:r>
      <w:r w:rsidRPr="00C16083" w:rsidR="00396146">
        <w:noBreakHyphen/>
      </w:r>
      <w:r w:rsidRPr="00C16083" w:rsidR="009734D5">
        <w:t xml:space="preserve">search activities at the request of an investigator could be challenged in accordance with the procedure prescribed by Article 125 </w:t>
      </w:r>
      <w:r w:rsidRPr="00C16083" w:rsidR="000B4765">
        <w:t xml:space="preserve">§ 4 </w:t>
      </w:r>
      <w:r w:rsidRPr="00C16083" w:rsidR="009734D5">
        <w:t>of the CCrP</w:t>
      </w:r>
      <w:r w:rsidRPr="00C16083" w:rsidR="000B4765">
        <w:t>.</w:t>
      </w:r>
      <w:bookmarkEnd w:id="45"/>
    </w:p>
    <w:p w:rsidRPr="00C16083" w:rsidR="00843BB9" w:rsidP="00C16083" w:rsidRDefault="0016506F">
      <w:pPr>
        <w:pStyle w:val="JuH1"/>
      </w:pPr>
      <w:r w:rsidRPr="00C16083">
        <w:t>The CCrP</w:t>
      </w:r>
    </w:p>
    <w:bookmarkStart w:name="A125_scope" w:id="46"/>
    <w:p w:rsidRPr="00C16083" w:rsidR="00EB4AFC" w:rsidP="00C16083" w:rsidRDefault="009734D5">
      <w:pPr>
        <w:pStyle w:val="JuPara"/>
      </w:pPr>
      <w:r w:rsidRPr="00C16083">
        <w:fldChar w:fldCharType="begin"/>
      </w:r>
      <w:r w:rsidRPr="00C16083">
        <w:instrText xml:space="preserve"> SEQ level0 \*arabic </w:instrText>
      </w:r>
      <w:r w:rsidRPr="00C16083">
        <w:fldChar w:fldCharType="separate"/>
      </w:r>
      <w:r w:rsidRPr="00C16083" w:rsidR="00C16083">
        <w:rPr>
          <w:noProof/>
        </w:rPr>
        <w:t>100</w:t>
      </w:r>
      <w:r w:rsidRPr="00C16083">
        <w:fldChar w:fldCharType="end"/>
      </w:r>
      <w:bookmarkEnd w:id="46"/>
      <w:r w:rsidRPr="00C16083">
        <w:t>.  </w:t>
      </w:r>
      <w:r w:rsidRPr="00C16083" w:rsidR="00F021ED">
        <w:t>D</w:t>
      </w:r>
      <w:r w:rsidRPr="00C16083" w:rsidR="00EB4AFC">
        <w:t xml:space="preserve">ecisions and acts or failures to act by an investigator or a prosecutor </w:t>
      </w:r>
      <w:r w:rsidRPr="00C16083" w:rsidR="00172921">
        <w:t xml:space="preserve">that </w:t>
      </w:r>
      <w:r w:rsidRPr="00C16083" w:rsidR="00EB4AFC">
        <w:t xml:space="preserve">are capable of adversely affecting the constitutional rights or freedoms of </w:t>
      </w:r>
      <w:r w:rsidRPr="00C16083" w:rsidR="00AE252E">
        <w:t>parties</w:t>
      </w:r>
      <w:r w:rsidRPr="00C16083" w:rsidR="00EB4AFC">
        <w:t xml:space="preserve"> to criminal proceedings</w:t>
      </w:r>
      <w:r w:rsidRPr="00C16083" w:rsidR="00F021ED">
        <w:t xml:space="preserve"> are amenable to a judicial review</w:t>
      </w:r>
      <w:r w:rsidRPr="00C16083" w:rsidR="00EB4AFC">
        <w:t xml:space="preserve">. Following examination of the complaint, the court either declares the challenged decision, act or failure to act unlawful or unjustified and instructs the responsible official to rectify the indicated shortcoming, or dismisses the complaint (Article 125 § 5). When instructing the official to rectify the indicated shortcoming, the court may not indicate any specific measures to be taken by the official or annul or </w:t>
      </w:r>
      <w:r w:rsidRPr="00C16083" w:rsidR="00F021ED">
        <w:t xml:space="preserve">require </w:t>
      </w:r>
      <w:r w:rsidRPr="00C16083" w:rsidR="00EB4AFC">
        <w:t xml:space="preserve">the official </w:t>
      </w:r>
      <w:r w:rsidRPr="00C16083" w:rsidR="000B4765">
        <w:t xml:space="preserve">to </w:t>
      </w:r>
      <w:r w:rsidRPr="00C16083" w:rsidR="00EB4AFC">
        <w:t>annul the decision that had been found to be unlawful or unjustified (par</w:t>
      </w:r>
      <w:r w:rsidRPr="00C16083" w:rsidR="00736760">
        <w:t>agraph </w:t>
      </w:r>
      <w:r w:rsidRPr="00C16083">
        <w:t>21 of Ruling no. 1 of 10 </w:t>
      </w:r>
      <w:r w:rsidRPr="00C16083" w:rsidR="00EB4AFC">
        <w:t>February 2009 of the Plenary Supreme Court of the Russian Federation).</w:t>
      </w:r>
    </w:p>
    <w:p w:rsidRPr="00C16083" w:rsidR="00160559" w:rsidP="00C16083" w:rsidRDefault="006368BA">
      <w:pPr>
        <w:pStyle w:val="JuPara"/>
      </w:pPr>
      <w:fldSimple w:instr=" SEQ level0 \*arabic ">
        <w:r w:rsidRPr="00C16083" w:rsidR="00C16083">
          <w:rPr>
            <w:noProof/>
          </w:rPr>
          <w:t>101</w:t>
        </w:r>
      </w:fldSimple>
      <w:r w:rsidRPr="00C16083" w:rsidR="00A474E3">
        <w:t>.  </w:t>
      </w:r>
      <w:r w:rsidRPr="00C16083" w:rsidR="00C97C85">
        <w:t>All c</w:t>
      </w:r>
      <w:r w:rsidRPr="00C16083" w:rsidR="0083498D">
        <w:t>ourt decisions taken during the pre-trial stage of a criminal case</w:t>
      </w:r>
      <w:r w:rsidRPr="00C16083" w:rsidR="00A474E3">
        <w:t xml:space="preserve">, including </w:t>
      </w:r>
      <w:r w:rsidRPr="00C16083" w:rsidR="000B4765">
        <w:t xml:space="preserve">decisions to authorise </w:t>
      </w:r>
      <w:r w:rsidRPr="00C16083" w:rsidR="00A474E3">
        <w:t>a search under Article 165 of the CCrP,</w:t>
      </w:r>
      <w:r w:rsidRPr="00C16083" w:rsidR="00306F5A">
        <w:t xml:space="preserve"> </w:t>
      </w:r>
      <w:r w:rsidRPr="00C16083" w:rsidR="000B4765">
        <w:t xml:space="preserve">are amenable to </w:t>
      </w:r>
      <w:r w:rsidRPr="00C16083" w:rsidR="0083498D">
        <w:t>appeal</w:t>
      </w:r>
      <w:r w:rsidRPr="00C16083" w:rsidR="00D87DDB">
        <w:t xml:space="preserve"> </w:t>
      </w:r>
      <w:r w:rsidRPr="00C16083" w:rsidR="0083498D">
        <w:t>(Article 127).</w:t>
      </w:r>
    </w:p>
    <w:p w:rsidRPr="00C16083" w:rsidR="00160559" w:rsidP="00C16083" w:rsidRDefault="00E565B9">
      <w:pPr>
        <w:pStyle w:val="JuHA"/>
      </w:pPr>
      <w:r w:rsidRPr="00C16083">
        <w:t>International Legal Materials</w:t>
      </w:r>
    </w:p>
    <w:bookmarkStart w:name="Int_law_start" w:id="47"/>
    <w:p w:rsidRPr="00C16083" w:rsidR="00160559" w:rsidP="00C16083" w:rsidRDefault="00AE15C0">
      <w:pPr>
        <w:pStyle w:val="JuPara"/>
      </w:pPr>
      <w:r w:rsidRPr="00C16083">
        <w:fldChar w:fldCharType="begin"/>
      </w:r>
      <w:r w:rsidRPr="00C16083">
        <w:instrText xml:space="preserve"> SEQ level0 \*arabic </w:instrText>
      </w:r>
      <w:r w:rsidRPr="00C16083">
        <w:fldChar w:fldCharType="separate"/>
      </w:r>
      <w:r w:rsidRPr="00C16083" w:rsidR="00C16083">
        <w:rPr>
          <w:noProof/>
        </w:rPr>
        <w:t>102</w:t>
      </w:r>
      <w:r w:rsidRPr="00C16083">
        <w:fldChar w:fldCharType="end"/>
      </w:r>
      <w:bookmarkEnd w:id="47"/>
      <w:r w:rsidRPr="00C16083">
        <w:t>.  According to paragraph 22 of the Basic Principles on the Role of Lawyers (adopted in 1990 by the Eighth United Nations Congress on the Prevention of Crime and the Treatment of Offenders), “</w:t>
      </w:r>
      <w:r w:rsidRPr="00C16083" w:rsidR="00AE735A">
        <w:t>Governments shall recognis</w:t>
      </w:r>
      <w:r w:rsidRPr="00C16083">
        <w:t>e and respect that all communications and consultations between lawyers and their clients within their professional relationship are confidential”.</w:t>
      </w:r>
    </w:p>
    <w:p w:rsidRPr="00C16083" w:rsidR="00160559" w:rsidP="00C16083" w:rsidRDefault="006368BA">
      <w:pPr>
        <w:pStyle w:val="JuPara"/>
      </w:pPr>
      <w:fldSimple w:instr=" SEQ level0 \*arabic ">
        <w:r w:rsidRPr="00C16083" w:rsidR="00C16083">
          <w:rPr>
            <w:noProof/>
          </w:rPr>
          <w:t>103</w:t>
        </w:r>
      </w:fldSimple>
      <w:r w:rsidRPr="00C16083" w:rsidR="00AE735A">
        <w:t>.  </w:t>
      </w:r>
      <w:r w:rsidRPr="00C16083" w:rsidR="00AE15C0">
        <w:t xml:space="preserve">In its Recommendation Rec(2000)21, the Committee of Ministers of the Council of Europe recommends the governments of member States </w:t>
      </w:r>
      <w:r w:rsidRPr="00C16083" w:rsidR="004873D8">
        <w:t>to take a</w:t>
      </w:r>
      <w:r w:rsidRPr="00C16083" w:rsidR="00AE15C0">
        <w:t xml:space="preserve">ll necessary measures </w:t>
      </w:r>
      <w:r w:rsidRPr="00C16083" w:rsidR="004873D8">
        <w:t>“</w:t>
      </w:r>
      <w:r w:rsidRPr="00C16083" w:rsidR="00AE15C0">
        <w:t>to ensure the respect of the confidentiality of the lawyer-client relationship</w:t>
      </w:r>
      <w:r w:rsidRPr="00C16083" w:rsidR="004873D8">
        <w:t>”</w:t>
      </w:r>
      <w:r w:rsidRPr="00C16083" w:rsidR="00AE15C0">
        <w:t>. Exceptions to th</w:t>
      </w:r>
      <w:r w:rsidRPr="00C16083" w:rsidR="004873D8">
        <w:t>at</w:t>
      </w:r>
      <w:r w:rsidRPr="00C16083" w:rsidR="00AE15C0">
        <w:t xml:space="preserve"> principle </w:t>
      </w:r>
      <w:r w:rsidRPr="00C16083" w:rsidR="004873D8">
        <w:t>c</w:t>
      </w:r>
      <w:r w:rsidRPr="00C16083" w:rsidR="00AE15C0">
        <w:t xml:space="preserve">ould be allowed </w:t>
      </w:r>
      <w:r w:rsidRPr="00C16083" w:rsidR="004873D8">
        <w:t>“</w:t>
      </w:r>
      <w:r w:rsidRPr="00C16083" w:rsidR="00AE15C0">
        <w:t>only if compatible with the Rule of Law</w:t>
      </w:r>
      <w:r w:rsidRPr="00C16083" w:rsidR="004873D8">
        <w:t>”</w:t>
      </w:r>
      <w:r w:rsidRPr="00C16083" w:rsidR="00AE15C0">
        <w:t>.</w:t>
      </w:r>
    </w:p>
    <w:p w:rsidRPr="00C16083" w:rsidR="00160559" w:rsidP="00C16083" w:rsidRDefault="006368BA">
      <w:pPr>
        <w:pStyle w:val="JuPara"/>
      </w:pPr>
      <w:fldSimple w:instr=" SEQ level0 \*arabic ">
        <w:r w:rsidRPr="00C16083" w:rsidR="00C16083">
          <w:rPr>
            <w:noProof/>
          </w:rPr>
          <w:t>104</w:t>
        </w:r>
      </w:fldSimple>
      <w:r w:rsidRPr="00C16083" w:rsidR="00E401BE">
        <w:t>.  In Recommendation 2085 (2016) and Resolution 2095 (2016) the Parliamentary Assembly of the Council of Europe reminded member States of the role of human rights defenders and the need to strengthen their protection.</w:t>
      </w:r>
    </w:p>
    <w:bookmarkStart w:name="Int_law_end" w:id="48"/>
    <w:p w:rsidRPr="00C16083" w:rsidR="00160559" w:rsidP="00C16083" w:rsidRDefault="00E401BE">
      <w:pPr>
        <w:pStyle w:val="JuPara"/>
      </w:pPr>
      <w:r w:rsidRPr="00C16083">
        <w:fldChar w:fldCharType="begin"/>
      </w:r>
      <w:r w:rsidRPr="00C16083">
        <w:instrText xml:space="preserve"> SEQ level0 \*arabic </w:instrText>
      </w:r>
      <w:r w:rsidRPr="00C16083">
        <w:fldChar w:fldCharType="separate"/>
      </w:r>
      <w:r w:rsidRPr="00C16083" w:rsidR="00C16083">
        <w:rPr>
          <w:noProof/>
        </w:rPr>
        <w:t>105</w:t>
      </w:r>
      <w:r w:rsidRPr="00C16083">
        <w:fldChar w:fldCharType="end"/>
      </w:r>
      <w:bookmarkEnd w:id="48"/>
      <w:r w:rsidRPr="00C16083">
        <w:t>.  </w:t>
      </w:r>
      <w:r w:rsidRPr="00C16083" w:rsidR="00AE735A">
        <w:t xml:space="preserve">In its Recommendation Rec 2121 (2018) the Parliamentary Assembly </w:t>
      </w:r>
      <w:r w:rsidRPr="00C16083">
        <w:t>further</w:t>
      </w:r>
      <w:r w:rsidRPr="00C16083" w:rsidR="00AE735A">
        <w:t xml:space="preserve"> invited the </w:t>
      </w:r>
      <w:r w:rsidRPr="00C16083">
        <w:t>Committee of Ministers</w:t>
      </w:r>
      <w:r w:rsidRPr="00C16083" w:rsidR="00AE735A">
        <w:t xml:space="preserve"> to draft and adopt a convention on the profession of lawyer, based on the standards set out in Recommendation No. R (2000) 21</w:t>
      </w:r>
      <w:r w:rsidRPr="00C16083" w:rsidR="00AE15C0">
        <w:t xml:space="preserve"> </w:t>
      </w:r>
      <w:r w:rsidRPr="00C16083" w:rsidR="00AE735A">
        <w:t>and other relevant instruments, including the Council of Bars and Law Societies of Europe</w:t>
      </w:r>
      <w:r w:rsidRPr="00C16083" w:rsidR="00C16083">
        <w:t>’</w:t>
      </w:r>
      <w:r w:rsidRPr="00C16083" w:rsidR="00AE735A">
        <w:t>s Charter of Core Principles of the European Legal Profession, the International Association of Lawyers</w:t>
      </w:r>
      <w:r w:rsidRPr="00C16083" w:rsidR="00C16083">
        <w:t>’</w:t>
      </w:r>
      <w:r w:rsidRPr="00C16083" w:rsidR="00AE735A">
        <w:t xml:space="preserve"> Turin Principles of Professional Conduct for the Legal Profession in the 21st Century and the International Bar Association</w:t>
      </w:r>
      <w:r w:rsidRPr="00C16083" w:rsidR="00C16083">
        <w:t>’</w:t>
      </w:r>
      <w:r w:rsidRPr="00C16083" w:rsidR="00AE735A">
        <w:t xml:space="preserve">s Standards for the Independence of the Legal Profession, International Principles on Conduct for the Legal Profession and Guide for Establishing and Maintaining Complaints and Discipline Procedures. </w:t>
      </w:r>
      <w:r w:rsidRPr="00C16083">
        <w:t xml:space="preserve">In the opinion of the Parliamentary Assembly, </w:t>
      </w:r>
      <w:r w:rsidRPr="00C16083" w:rsidR="006C48D1">
        <w:t>the</w:t>
      </w:r>
      <w:r w:rsidRPr="00C16083">
        <w:t xml:space="preserve"> convention would help to reinforce such fundamental guarantees as legal professional privilege and the confidentiality of lawyer-client communications.</w:t>
      </w:r>
    </w:p>
    <w:p w:rsidRPr="00C16083" w:rsidR="00D420F3" w:rsidP="00C16083" w:rsidRDefault="0077175D">
      <w:pPr>
        <w:pStyle w:val="JuHHead"/>
      </w:pPr>
      <w:r w:rsidRPr="00C16083">
        <w:t>THE LAW</w:t>
      </w:r>
    </w:p>
    <w:p w:rsidRPr="00C16083" w:rsidR="00843BB9" w:rsidP="00C16083" w:rsidRDefault="00166026">
      <w:pPr>
        <w:pStyle w:val="JuHIRoman"/>
      </w:pPr>
      <w:r w:rsidRPr="00C16083">
        <w:t>JOINDER OF THE APPLICATIONS</w:t>
      </w:r>
    </w:p>
    <w:p w:rsidRPr="00C16083" w:rsidR="00843BB9" w:rsidP="00C16083" w:rsidRDefault="006368BA">
      <w:pPr>
        <w:pStyle w:val="JuPara"/>
      </w:pPr>
      <w:fldSimple w:instr=" SEQ level0 \*arabic ">
        <w:r w:rsidRPr="00C16083" w:rsidR="00C16083">
          <w:rPr>
            <w:noProof/>
          </w:rPr>
          <w:t>106</w:t>
        </w:r>
      </w:fldSimple>
      <w:r w:rsidRPr="00C16083" w:rsidR="00166026">
        <w:t>.  In accordance with Rule 42 § 1 of the Rules of Court, the Court decides to join the applications.</w:t>
      </w:r>
    </w:p>
    <w:p w:rsidRPr="00C16083" w:rsidR="00D420F3" w:rsidP="00C16083" w:rsidRDefault="0077175D">
      <w:pPr>
        <w:pStyle w:val="JuHIRoman"/>
      </w:pPr>
      <w:r w:rsidRPr="00C16083">
        <w:t xml:space="preserve">ALLEGED VIOLATION OF ARTICLE </w:t>
      </w:r>
      <w:r w:rsidRPr="00C16083" w:rsidR="00D33FC8">
        <w:t>8</w:t>
      </w:r>
      <w:r w:rsidRPr="00C16083">
        <w:t xml:space="preserve"> OF THE CONVENTION</w:t>
      </w:r>
    </w:p>
    <w:p w:rsidRPr="00C16083" w:rsidR="00843BB9" w:rsidP="00C16083" w:rsidRDefault="006368BA">
      <w:pPr>
        <w:pStyle w:val="JuPara"/>
      </w:pPr>
      <w:fldSimple w:instr=" SEQ level0 \*arabic ">
        <w:r w:rsidRPr="00C16083" w:rsidR="00C16083">
          <w:rPr>
            <w:noProof/>
          </w:rPr>
          <w:t>107</w:t>
        </w:r>
      </w:fldSimple>
      <w:r w:rsidRPr="00C16083" w:rsidR="0077175D">
        <w:t>.  The applicant</w:t>
      </w:r>
      <w:r w:rsidRPr="00C16083" w:rsidR="00793C42">
        <w:t>s</w:t>
      </w:r>
      <w:r w:rsidRPr="00C16083" w:rsidR="0077175D">
        <w:t xml:space="preserve"> complained that </w:t>
      </w:r>
      <w:r w:rsidRPr="00C16083" w:rsidR="00D95ADB">
        <w:t xml:space="preserve">the searches of their residential or professional premises </w:t>
      </w:r>
      <w:r w:rsidRPr="00C16083" w:rsidR="00556AEB">
        <w:t xml:space="preserve">and </w:t>
      </w:r>
      <w:r w:rsidRPr="00C16083" w:rsidR="00EB2727">
        <w:t xml:space="preserve">the </w:t>
      </w:r>
      <w:r w:rsidRPr="00C16083" w:rsidR="00556AEB">
        <w:t xml:space="preserve">seizure of </w:t>
      </w:r>
      <w:r w:rsidRPr="00C16083" w:rsidR="00955F2F">
        <w:t>electronic</w:t>
      </w:r>
      <w:r w:rsidRPr="00C16083" w:rsidR="00DD1C81">
        <w:t xml:space="preserve"> devices containing personal </w:t>
      </w:r>
      <w:r w:rsidRPr="00C16083" w:rsidR="00EB2727">
        <w:t xml:space="preserve">information </w:t>
      </w:r>
      <w:r w:rsidRPr="00C16083" w:rsidR="00DD1C81">
        <w:t xml:space="preserve">or </w:t>
      </w:r>
      <w:r w:rsidRPr="00C16083" w:rsidR="00556AEB">
        <w:t xml:space="preserve">documents </w:t>
      </w:r>
      <w:r w:rsidRPr="00C16083" w:rsidR="00EB2727">
        <w:t xml:space="preserve">covered by professional legal privilege </w:t>
      </w:r>
      <w:r w:rsidRPr="00C16083" w:rsidR="00D95ADB">
        <w:t xml:space="preserve">amounted to a violation of </w:t>
      </w:r>
      <w:r w:rsidRPr="00C16083" w:rsidR="0077175D">
        <w:t xml:space="preserve">Article </w:t>
      </w:r>
      <w:r w:rsidRPr="00C16083" w:rsidR="00D95ADB">
        <w:t>8</w:t>
      </w:r>
      <w:r w:rsidRPr="00C16083" w:rsidR="0077175D">
        <w:t xml:space="preserve"> of the Convention</w:t>
      </w:r>
      <w:r w:rsidRPr="00C16083" w:rsidR="008A56E6">
        <w:t>. The</w:t>
      </w:r>
      <w:r w:rsidRPr="00C16083" w:rsidR="008D0586">
        <w:t>y</w:t>
      </w:r>
      <w:r w:rsidRPr="00C16083" w:rsidR="008A56E6">
        <w:t xml:space="preserve"> also complained that in breach of Article 13 of the Convention, taken together with Article 8, </w:t>
      </w:r>
      <w:r w:rsidRPr="00C16083" w:rsidR="003701B6">
        <w:t xml:space="preserve">there </w:t>
      </w:r>
      <w:r w:rsidRPr="00C16083" w:rsidR="008A56E6">
        <w:t xml:space="preserve">had </w:t>
      </w:r>
      <w:r w:rsidRPr="00C16083" w:rsidR="003701B6">
        <w:t xml:space="preserve">been </w:t>
      </w:r>
      <w:r w:rsidRPr="00C16083" w:rsidR="008A56E6">
        <w:t xml:space="preserve">no effective remedies </w:t>
      </w:r>
      <w:r w:rsidRPr="00C16083" w:rsidR="003701B6">
        <w:t xml:space="preserve">available to them </w:t>
      </w:r>
      <w:r w:rsidRPr="00C16083" w:rsidR="008A56E6">
        <w:t>in respect of the searches of their premises. The relevant parts of the Convention provisions read as follows</w:t>
      </w:r>
      <w:r w:rsidRPr="00C16083" w:rsidR="0077175D">
        <w:t>:</w:t>
      </w:r>
    </w:p>
    <w:p w:rsidRPr="00C16083" w:rsidR="00843BB9" w:rsidP="00C16083" w:rsidRDefault="008A56E6">
      <w:pPr>
        <w:pStyle w:val="JuHArticle"/>
      </w:pPr>
      <w:r w:rsidRPr="00C16083">
        <w:t>Article 8</w:t>
      </w:r>
    </w:p>
    <w:p w:rsidRPr="00C16083" w:rsidR="00D95ADB" w:rsidP="00C16083" w:rsidRDefault="00D95ADB">
      <w:pPr>
        <w:pStyle w:val="JuQuot"/>
      </w:pPr>
      <w:r w:rsidRPr="00C16083">
        <w:t>“1.  Everyone has the right to respect for his private and family life, his home and his correspondence.</w:t>
      </w:r>
    </w:p>
    <w:p w:rsidRPr="00C16083" w:rsidR="00843BB9" w:rsidP="00C16083" w:rsidRDefault="00D95ADB">
      <w:pPr>
        <w:pStyle w:val="JuQuot"/>
      </w:pPr>
      <w:r w:rsidRPr="00C16083">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C16083" w:rsidR="00843BB9" w:rsidP="00C16083" w:rsidRDefault="008A56E6">
      <w:pPr>
        <w:pStyle w:val="JuHArticle"/>
      </w:pPr>
      <w:r w:rsidRPr="00C16083">
        <w:t>Article 13</w:t>
      </w:r>
    </w:p>
    <w:p w:rsidRPr="00C16083" w:rsidR="00843BB9" w:rsidP="00C16083" w:rsidRDefault="00046356">
      <w:pPr>
        <w:pStyle w:val="JuQuot"/>
      </w:pPr>
      <w:r w:rsidRPr="00C16083">
        <w:t>“Everyone whose rights and freedoms as set forth in [the] Convention are violated shall have an effective remedy before a national authority notwithstanding that the violation has been committed by persons acting in an official capacity.”</w:t>
      </w:r>
    </w:p>
    <w:p w:rsidRPr="00C16083" w:rsidR="00D420F3" w:rsidP="00C16083" w:rsidRDefault="0077175D">
      <w:pPr>
        <w:pStyle w:val="JuHA"/>
      </w:pPr>
      <w:r w:rsidRPr="00C16083">
        <w:t>Admissibility</w:t>
      </w:r>
    </w:p>
    <w:p w:rsidRPr="00C16083" w:rsidR="00843BB9" w:rsidP="00C16083" w:rsidRDefault="006368BA">
      <w:pPr>
        <w:pStyle w:val="JuPara"/>
      </w:pPr>
      <w:fldSimple w:instr=" SEQ level0 \*arabic ">
        <w:r w:rsidRPr="00C16083" w:rsidR="00C16083">
          <w:rPr>
            <w:noProof/>
          </w:rPr>
          <w:t>108</w:t>
        </w:r>
      </w:fldSimple>
      <w:r w:rsidRPr="00C16083" w:rsidR="00294EAF">
        <w:t>.  </w:t>
      </w:r>
      <w:r w:rsidRPr="00C16083" w:rsidR="00A75D14">
        <w:t>T</w:t>
      </w:r>
      <w:r w:rsidRPr="00C16083" w:rsidR="00294EAF">
        <w:t xml:space="preserve">he Court </w:t>
      </w:r>
      <w:r w:rsidRPr="00C16083" w:rsidR="00C71251">
        <w:t xml:space="preserve">notes that the Government did not raise any objections as to the admissibility of this part of the application. Nevertheless, it </w:t>
      </w:r>
      <w:r w:rsidRPr="00C16083" w:rsidR="00A75D14">
        <w:t xml:space="preserve">will </w:t>
      </w:r>
      <w:r w:rsidRPr="00C16083" w:rsidR="00C71251">
        <w:t xml:space="preserve">need to </w:t>
      </w:r>
      <w:r w:rsidRPr="00C16083" w:rsidR="00294EAF">
        <w:t>ascertain whether the applicants submit</w:t>
      </w:r>
      <w:r w:rsidRPr="00C16083" w:rsidR="00A75D14">
        <w:t>ted</w:t>
      </w:r>
      <w:r w:rsidRPr="00C16083" w:rsidR="00294EAF">
        <w:t xml:space="preserve"> their complaints within six</w:t>
      </w:r>
      <w:r w:rsidRPr="00C16083" w:rsidR="0027060F">
        <w:t xml:space="preserve"> </w:t>
      </w:r>
      <w:r w:rsidRPr="00C16083" w:rsidR="00294EAF">
        <w:t>month</w:t>
      </w:r>
      <w:r w:rsidRPr="00C16083" w:rsidR="0027060F">
        <w:t>s</w:t>
      </w:r>
      <w:r w:rsidRPr="00C16083" w:rsidR="00294EAF">
        <w:t xml:space="preserve"> </w:t>
      </w:r>
      <w:r w:rsidRPr="00C16083" w:rsidR="0027060F">
        <w:t xml:space="preserve">of </w:t>
      </w:r>
      <w:r w:rsidRPr="00C16083" w:rsidR="00294EAF">
        <w:t>the final decision in the process of exhaustion of domestic remedies</w:t>
      </w:r>
      <w:r w:rsidRPr="00C16083" w:rsidR="00A75D14">
        <w:t xml:space="preserve">. To that end, it will have to establish which, if any, </w:t>
      </w:r>
      <w:r w:rsidRPr="00C16083" w:rsidR="00294EAF">
        <w:t>remedies were available to them</w:t>
      </w:r>
      <w:r w:rsidRPr="00C16083" w:rsidR="00183104">
        <w:t xml:space="preserve"> </w:t>
      </w:r>
      <w:r w:rsidRPr="00C16083" w:rsidR="00D54AF7">
        <w:t xml:space="preserve">and </w:t>
      </w:r>
      <w:r w:rsidRPr="00C16083" w:rsidR="00A75D14">
        <w:t>whether they had the features of an effective remedy</w:t>
      </w:r>
      <w:r w:rsidRPr="00C16083" w:rsidR="00294EAF">
        <w:t>.</w:t>
      </w:r>
    </w:p>
    <w:p w:rsidRPr="00C16083" w:rsidR="00EF7E27" w:rsidP="00C16083" w:rsidRDefault="00EF7E27">
      <w:pPr>
        <w:pStyle w:val="JuH1"/>
      </w:pPr>
      <w:r w:rsidRPr="00C16083">
        <w:t>Summary of the remedies used by the applicants in the present cases</w:t>
      </w:r>
    </w:p>
    <w:p w:rsidRPr="00C16083" w:rsidR="00160559" w:rsidP="00C16083" w:rsidRDefault="006368BA">
      <w:pPr>
        <w:pStyle w:val="JuPara"/>
      </w:pPr>
      <w:fldSimple w:instr=" SEQ level0 \*arabic ">
        <w:r w:rsidRPr="00C16083" w:rsidR="00C16083">
          <w:rPr>
            <w:noProof/>
          </w:rPr>
          <w:t>109</w:t>
        </w:r>
      </w:fldSimple>
      <w:r w:rsidRPr="00C16083" w:rsidR="00EF7E27">
        <w:t>.  The Court observes at the outset that one applicant did not use any remedies (application no. 7101/15). The other applicants used one or two remedies in respect of the searches of their premises. In particular, applicants</w:t>
      </w:r>
      <w:r w:rsidRPr="00C16083" w:rsidR="006753AF">
        <w:t xml:space="preserve"> in four applications contested</w:t>
      </w:r>
      <w:r w:rsidRPr="00C16083" w:rsidR="00EF7E27">
        <w:t xml:space="preserve"> only the investigating authorities</w:t>
      </w:r>
      <w:r w:rsidRPr="00C16083" w:rsidR="00C16083">
        <w:t>’</w:t>
      </w:r>
      <w:r w:rsidRPr="00C16083" w:rsidR="00EF7E27">
        <w:t xml:space="preserve"> actions during the searches (applications nos. 11264/04 (second search), 73629/13, 19667/16 (in respect of the office search) and 36833/16). </w:t>
      </w:r>
      <w:r w:rsidRPr="00C16083" w:rsidR="006753AF">
        <w:t>Applicants in nine applications</w:t>
      </w:r>
      <w:r w:rsidRPr="00C16083" w:rsidR="00EF7E27">
        <w:t xml:space="preserve"> challenged only the lawfulness of the search warrants (applications nos. 11264/04 (first search), 58290/08, 60648/08, 10825/11, 78187/11, 18403/13, 29786/15, 19667/16 (in respect of the flat search) and 39456/16). </w:t>
      </w:r>
      <w:r w:rsidRPr="00C16083" w:rsidR="00A8714C">
        <w:t>In f</w:t>
      </w:r>
      <w:r w:rsidRPr="00C16083" w:rsidR="00EF7E27">
        <w:t>our applica</w:t>
      </w:r>
      <w:r w:rsidRPr="00C16083" w:rsidR="00A8714C">
        <w:t>tions</w:t>
      </w:r>
      <w:r w:rsidRPr="00C16083" w:rsidR="00EF7E27">
        <w:t xml:space="preserve"> (applications nos. 32324/06, 26067/08, 2397/11 (first applicant) and 14244/11) </w:t>
      </w:r>
      <w:r w:rsidRPr="00C16083" w:rsidR="00A8714C">
        <w:t xml:space="preserve">the applicants </w:t>
      </w:r>
      <w:r w:rsidRPr="00C16083" w:rsidR="00EF7E27">
        <w:t>challenged both the lawfulness of the search warrants and the lawfulness of the authorities</w:t>
      </w:r>
      <w:r w:rsidRPr="00C16083" w:rsidR="00C16083">
        <w:t>’</w:t>
      </w:r>
      <w:r w:rsidRPr="00C16083" w:rsidR="00EF7E27">
        <w:t xml:space="preserve"> actions during the searches. The Court has to determine from the final decision in the exhaustion of which, if any, of those remedies the six-month period has been running and whether the applicants have complied with it.</w:t>
      </w:r>
    </w:p>
    <w:p w:rsidRPr="00C16083" w:rsidR="00160559" w:rsidP="00C16083" w:rsidRDefault="006368BA">
      <w:pPr>
        <w:pStyle w:val="JuPara"/>
      </w:pPr>
      <w:fldSimple w:instr=" SEQ level0 \*arabic ">
        <w:r w:rsidRPr="00C16083" w:rsidR="00C16083">
          <w:rPr>
            <w:noProof/>
          </w:rPr>
          <w:t>110</w:t>
        </w:r>
      </w:fldSimple>
      <w:r w:rsidRPr="00C16083" w:rsidR="00EF7E27">
        <w:t>.  Furthermore, one applicant was successful in challenging the lawfulness of the search warrant in respe</w:t>
      </w:r>
      <w:r w:rsidRPr="00C16083" w:rsidR="00736760">
        <w:t>ct of his flat (application no. </w:t>
      </w:r>
      <w:r w:rsidRPr="00C16083" w:rsidR="00EF7E27">
        <w:t xml:space="preserve">58290/08). However, when he subsequently applied for damages, his civil action claims were rejected. The Court has to determine whether this applicant </w:t>
      </w:r>
      <w:r w:rsidRPr="00C16083" w:rsidR="00E40637">
        <w:t>also</w:t>
      </w:r>
      <w:r w:rsidRPr="00C16083" w:rsidR="00EF7E27">
        <w:t xml:space="preserve"> has complied with the six-month rule.</w:t>
      </w:r>
    </w:p>
    <w:p w:rsidRPr="00C16083" w:rsidR="00843BB9" w:rsidP="00C16083" w:rsidRDefault="003701B6">
      <w:pPr>
        <w:pStyle w:val="JuH1"/>
      </w:pPr>
      <w:r w:rsidRPr="00C16083">
        <w:t>S</w:t>
      </w:r>
      <w:r w:rsidRPr="00C16083" w:rsidR="006E6627">
        <w:t>earch under the OSAA: no remedies have been used</w:t>
      </w:r>
    </w:p>
    <w:bookmarkStart w:name="OSAA_no_rem_start" w:id="49"/>
    <w:p w:rsidRPr="00C16083" w:rsidR="00BE5271" w:rsidP="00C16083" w:rsidRDefault="00294EAF">
      <w:pPr>
        <w:pStyle w:val="JuPara"/>
      </w:pPr>
      <w:r w:rsidRPr="00C16083">
        <w:fldChar w:fldCharType="begin"/>
      </w:r>
      <w:r w:rsidRPr="00C16083">
        <w:instrText xml:space="preserve"> SEQ level0 \*arabic </w:instrText>
      </w:r>
      <w:r w:rsidRPr="00C16083">
        <w:fldChar w:fldCharType="separate"/>
      </w:r>
      <w:r w:rsidRPr="00C16083" w:rsidR="00C16083">
        <w:rPr>
          <w:noProof/>
        </w:rPr>
        <w:t>111</w:t>
      </w:r>
      <w:r w:rsidRPr="00C16083">
        <w:fldChar w:fldCharType="end"/>
      </w:r>
      <w:bookmarkEnd w:id="49"/>
      <w:r w:rsidRPr="00C16083">
        <w:t>.  </w:t>
      </w:r>
      <w:r w:rsidRPr="00C16083" w:rsidR="0085287C">
        <w:t>The applicant</w:t>
      </w:r>
      <w:r w:rsidRPr="00C16083">
        <w:t xml:space="preserve"> </w:t>
      </w:r>
      <w:r w:rsidRPr="00C16083" w:rsidR="00BE5271">
        <w:t xml:space="preserve">in case no. 7101/15 </w:t>
      </w:r>
      <w:r w:rsidRPr="00C16083" w:rsidR="0085287C">
        <w:t xml:space="preserve">(Mr Lazutkin) </w:t>
      </w:r>
      <w:r w:rsidRPr="00C16083" w:rsidR="00BE5271">
        <w:t xml:space="preserve">did not make any complaints to the domestic authorities about the </w:t>
      </w:r>
      <w:r w:rsidRPr="00C16083">
        <w:t>search of his premises</w:t>
      </w:r>
      <w:r w:rsidRPr="00C16083" w:rsidR="0085287C">
        <w:t>,</w:t>
      </w:r>
      <w:r w:rsidRPr="00C16083">
        <w:t xml:space="preserve"> </w:t>
      </w:r>
      <w:r w:rsidRPr="00C16083" w:rsidR="00BE5271">
        <w:t xml:space="preserve">which </w:t>
      </w:r>
      <w:r w:rsidRPr="00C16083" w:rsidR="00827611">
        <w:t xml:space="preserve">had been authorised under the OSAA. </w:t>
      </w:r>
      <w:r w:rsidRPr="00C16083" w:rsidR="00BE5271">
        <w:t xml:space="preserve">He lodged </w:t>
      </w:r>
      <w:r w:rsidRPr="00C16083" w:rsidR="005002E0">
        <w:t>the</w:t>
      </w:r>
      <w:r w:rsidRPr="00C16083" w:rsidR="00BE5271">
        <w:t xml:space="preserve"> application with the Court within six months of the date of the search.</w:t>
      </w:r>
    </w:p>
    <w:p w:rsidRPr="00C16083" w:rsidR="00EE45A6" w:rsidP="00C16083" w:rsidRDefault="006368BA">
      <w:pPr>
        <w:pStyle w:val="JuPara"/>
      </w:pPr>
      <w:fldSimple w:instr=" SEQ level0 \*arabic ">
        <w:r w:rsidRPr="00C16083" w:rsidR="00C16083">
          <w:rPr>
            <w:noProof/>
          </w:rPr>
          <w:t>112</w:t>
        </w:r>
      </w:fldSimple>
      <w:r w:rsidRPr="00C16083" w:rsidR="001A541D">
        <w:t>.  </w:t>
      </w:r>
      <w:r w:rsidRPr="00C16083" w:rsidR="00933493">
        <w:t>T</w:t>
      </w:r>
      <w:r w:rsidRPr="00C16083" w:rsidR="00827611">
        <w:t xml:space="preserve">he Court has previously found that </w:t>
      </w:r>
      <w:r w:rsidRPr="00C16083" w:rsidR="003701B6">
        <w:t xml:space="preserve">a judicial decision authorising operational-search measures </w:t>
      </w:r>
      <w:r w:rsidRPr="00C16083" w:rsidR="00827611">
        <w:t xml:space="preserve">under the OSAA </w:t>
      </w:r>
      <w:r w:rsidRPr="00C16083" w:rsidR="003701B6">
        <w:t xml:space="preserve">was </w:t>
      </w:r>
      <w:r w:rsidRPr="00C16083" w:rsidR="00933493">
        <w:t xml:space="preserve">not amenable to a review by a higher court and that no other remedies </w:t>
      </w:r>
      <w:r w:rsidRPr="00C16083" w:rsidR="003701B6">
        <w:t xml:space="preserve">in respect of </w:t>
      </w:r>
      <w:r w:rsidRPr="00C16083" w:rsidR="00933493">
        <w:t xml:space="preserve">such </w:t>
      </w:r>
      <w:r w:rsidRPr="00C16083" w:rsidR="003701B6">
        <w:t xml:space="preserve">decisions </w:t>
      </w:r>
      <w:r w:rsidRPr="00C16083" w:rsidR="00933493">
        <w:t xml:space="preserve">were available </w:t>
      </w:r>
      <w:r w:rsidRPr="00C16083" w:rsidR="00827611">
        <w:t xml:space="preserve">(see </w:t>
      </w:r>
      <w:r w:rsidRPr="00C16083" w:rsidR="00827611">
        <w:rPr>
          <w:i/>
        </w:rPr>
        <w:t>Avanesyan v. Russia</w:t>
      </w:r>
      <w:r w:rsidRPr="00C16083" w:rsidR="00736760">
        <w:t>, no. 41152/06, §§ </w:t>
      </w:r>
      <w:r w:rsidRPr="00C16083" w:rsidR="00827611">
        <w:t xml:space="preserve">30-36, 18 September 2014). </w:t>
      </w:r>
      <w:r w:rsidRPr="00C16083" w:rsidR="005E1B3D">
        <w:t xml:space="preserve">These findings are applicable in Mr </w:t>
      </w:r>
      <w:r w:rsidRPr="00C16083" w:rsidR="007E7545">
        <w:t>Lazutkin</w:t>
      </w:r>
      <w:r w:rsidRPr="00C16083" w:rsidR="00C16083">
        <w:t>’</w:t>
      </w:r>
      <w:r w:rsidRPr="00C16083" w:rsidR="005E1B3D">
        <w:t xml:space="preserve">s case and the Government did not argue otherwise. This application cannot therefore be rejected for non-exhaustion or </w:t>
      </w:r>
      <w:r w:rsidRPr="00C16083" w:rsidR="0085287C">
        <w:t xml:space="preserve">for </w:t>
      </w:r>
      <w:r w:rsidRPr="00C16083" w:rsidR="005E1B3D">
        <w:t>failure to comply with the six-month time-limit.</w:t>
      </w:r>
    </w:p>
    <w:p w:rsidRPr="00C16083" w:rsidR="00843BB9" w:rsidP="00C16083" w:rsidRDefault="003B16E6">
      <w:pPr>
        <w:pStyle w:val="JuH1"/>
      </w:pPr>
      <w:r w:rsidRPr="00C16083">
        <w:t>Judicial review of the terms of search warrants</w:t>
      </w:r>
    </w:p>
    <w:p w:rsidRPr="00C16083" w:rsidR="00160559" w:rsidP="00C16083" w:rsidRDefault="006368BA">
      <w:pPr>
        <w:pStyle w:val="JuPara"/>
      </w:pPr>
      <w:fldSimple w:instr=" SEQ level0 \*arabic ">
        <w:r w:rsidRPr="00C16083" w:rsidR="00C16083">
          <w:rPr>
            <w:noProof/>
          </w:rPr>
          <w:t>113</w:t>
        </w:r>
      </w:fldSimple>
      <w:r w:rsidRPr="00C16083" w:rsidR="003231A7">
        <w:t>.  </w:t>
      </w:r>
      <w:r w:rsidRPr="00C16083" w:rsidR="006753AF">
        <w:t>Applicants in t</w:t>
      </w:r>
      <w:r w:rsidRPr="00C16083" w:rsidR="003231A7">
        <w:t>welve</w:t>
      </w:r>
      <w:r w:rsidRPr="00C16083" w:rsidR="006753AF">
        <w:t xml:space="preserve"> applications (applications nos. 11264/04 (first search), 32324/06, 26067/08, 58290/08, 60648/08, 2397/11 (first applicant), 10825/11, 14244/11, 78187/11, 18403/13, 29786/15, 19667/16 (in respect of the flat search) and 39456/16) </w:t>
      </w:r>
      <w:r w:rsidRPr="00C16083" w:rsidR="006664C4">
        <w:t xml:space="preserve">– some of them </w:t>
      </w:r>
      <w:r w:rsidRPr="00C16083" w:rsidR="003231A7">
        <w:t xml:space="preserve">in addition to </w:t>
      </w:r>
      <w:r w:rsidRPr="00C16083" w:rsidR="006664C4">
        <w:t xml:space="preserve">using </w:t>
      </w:r>
      <w:r w:rsidRPr="00C16083" w:rsidR="003231A7">
        <w:t>another remedy</w:t>
      </w:r>
      <w:r w:rsidRPr="00C16083" w:rsidR="006664C4">
        <w:t xml:space="preserve"> –</w:t>
      </w:r>
      <w:r w:rsidRPr="00C16083" w:rsidR="0085287C">
        <w:t xml:space="preserve"> appealed to </w:t>
      </w:r>
      <w:r w:rsidRPr="00C16083" w:rsidR="006664C4">
        <w:t xml:space="preserve">a higher court </w:t>
      </w:r>
      <w:r w:rsidRPr="00C16083" w:rsidR="0085287C">
        <w:t xml:space="preserve">seeking </w:t>
      </w:r>
      <w:r w:rsidRPr="00C16083" w:rsidR="006664C4">
        <w:t xml:space="preserve">a full review </w:t>
      </w:r>
      <w:r w:rsidRPr="00C16083" w:rsidR="003231A7">
        <w:t xml:space="preserve">of the </w:t>
      </w:r>
      <w:r w:rsidRPr="00C16083" w:rsidR="0085287C">
        <w:t xml:space="preserve">decision to issue a </w:t>
      </w:r>
      <w:r w:rsidRPr="00C16083" w:rsidR="003231A7">
        <w:t xml:space="preserve">search warrant. </w:t>
      </w:r>
      <w:r w:rsidRPr="00C16083" w:rsidR="006664C4">
        <w:t xml:space="preserve">The Court accepts that an appeal against </w:t>
      </w:r>
      <w:r w:rsidRPr="00C16083" w:rsidR="0085287C">
        <w:t xml:space="preserve">a decision to issue </w:t>
      </w:r>
      <w:r w:rsidRPr="00C16083" w:rsidR="006664C4">
        <w:t xml:space="preserve">a </w:t>
      </w:r>
      <w:r w:rsidRPr="00C16083" w:rsidR="003231A7">
        <w:t xml:space="preserve">search warrant </w:t>
      </w:r>
      <w:r w:rsidRPr="00C16083" w:rsidR="006664C4">
        <w:t>is a prima facie effective remedy. T</w:t>
      </w:r>
      <w:r w:rsidRPr="00C16083" w:rsidR="003231A7">
        <w:t xml:space="preserve">he six-month period should be calculated from </w:t>
      </w:r>
      <w:r w:rsidRPr="00C16083" w:rsidR="0085287C">
        <w:t xml:space="preserve">the </w:t>
      </w:r>
      <w:r w:rsidRPr="00C16083" w:rsidR="006664C4">
        <w:t xml:space="preserve">date of </w:t>
      </w:r>
      <w:r w:rsidRPr="00C16083" w:rsidR="003231A7">
        <w:t xml:space="preserve">the appeal decision. </w:t>
      </w:r>
      <w:r w:rsidRPr="00C16083" w:rsidR="0042532D">
        <w:t>A</w:t>
      </w:r>
      <w:r w:rsidRPr="00C16083" w:rsidR="006664C4">
        <w:t xml:space="preserve">ll </w:t>
      </w:r>
      <w:r w:rsidRPr="00C16083" w:rsidR="0054282D">
        <w:t xml:space="preserve">of the </w:t>
      </w:r>
      <w:r w:rsidRPr="00C16083" w:rsidR="0042532D">
        <w:t xml:space="preserve">applications </w:t>
      </w:r>
      <w:r w:rsidRPr="00C16083" w:rsidR="006664C4">
        <w:t>but one</w:t>
      </w:r>
      <w:r w:rsidRPr="00C16083" w:rsidR="006753AF">
        <w:t xml:space="preserve"> (application no. 58290/08, see below)</w:t>
      </w:r>
      <w:r w:rsidRPr="00C16083" w:rsidR="006664C4">
        <w:t xml:space="preserve"> </w:t>
      </w:r>
      <w:r w:rsidRPr="00C16083" w:rsidR="0085287C">
        <w:t xml:space="preserve">were </w:t>
      </w:r>
      <w:r w:rsidRPr="00C16083" w:rsidR="006664C4">
        <w:t>lodged with the Court within six months of the appeal decision</w:t>
      </w:r>
      <w:r w:rsidRPr="00C16083" w:rsidR="0054282D">
        <w:t>;</w:t>
      </w:r>
      <w:r w:rsidRPr="00C16083" w:rsidR="006664C4">
        <w:t xml:space="preserve"> they were </w:t>
      </w:r>
      <w:r w:rsidRPr="00C16083" w:rsidR="0054282D">
        <w:t xml:space="preserve">therefore </w:t>
      </w:r>
      <w:r w:rsidRPr="00C16083" w:rsidR="006664C4">
        <w:t>not belated</w:t>
      </w:r>
      <w:r w:rsidRPr="00C16083" w:rsidR="003231A7">
        <w:t>.</w:t>
      </w:r>
    </w:p>
    <w:p w:rsidRPr="00C16083" w:rsidR="00160559" w:rsidP="00C16083" w:rsidRDefault="006368BA">
      <w:pPr>
        <w:pStyle w:val="JuPara"/>
      </w:pPr>
      <w:fldSimple w:instr=" SEQ level0 \*arabic ">
        <w:r w:rsidRPr="00C16083" w:rsidR="00C16083">
          <w:rPr>
            <w:noProof/>
          </w:rPr>
          <w:t>114</w:t>
        </w:r>
      </w:fldSimple>
      <w:r w:rsidRPr="00C16083" w:rsidR="003231A7">
        <w:t>.  </w:t>
      </w:r>
      <w:r w:rsidRPr="00C16083" w:rsidR="004D595D">
        <w:t>In a</w:t>
      </w:r>
      <w:r w:rsidRPr="00C16083" w:rsidR="003231A7">
        <w:t>pplication no. 58290/08</w:t>
      </w:r>
      <w:r w:rsidRPr="00C16083" w:rsidR="006664C4">
        <w:t xml:space="preserve"> </w:t>
      </w:r>
      <w:r w:rsidRPr="00C16083" w:rsidR="003C6BFB">
        <w:t>the applicant</w:t>
      </w:r>
      <w:r w:rsidRPr="00C16083" w:rsidR="004D595D">
        <w:t xml:space="preserve"> successfully appealed </w:t>
      </w:r>
      <w:r w:rsidRPr="00C16083" w:rsidR="003C6BFB">
        <w:t>against the search warrant</w:t>
      </w:r>
      <w:r w:rsidRPr="00C16083" w:rsidR="004D595D">
        <w:t>.</w:t>
      </w:r>
      <w:r w:rsidRPr="00C16083" w:rsidR="003C6BFB">
        <w:t xml:space="preserve"> </w:t>
      </w:r>
      <w:r w:rsidRPr="00C16083" w:rsidR="008E2345">
        <w:t>He then</w:t>
      </w:r>
      <w:r w:rsidRPr="00C16083" w:rsidR="003C6BFB">
        <w:t xml:space="preserve"> made a claim for compensation in the civil courts, which was eventually dismissed. </w:t>
      </w:r>
      <w:r w:rsidRPr="00C16083" w:rsidR="000B59B5">
        <w:t xml:space="preserve">The Court finds it </w:t>
      </w:r>
      <w:r w:rsidRPr="00C16083" w:rsidR="003231A7">
        <w:t>appropriate</w:t>
      </w:r>
      <w:r w:rsidRPr="00C16083" w:rsidR="004D595D">
        <w:t xml:space="preserve"> </w:t>
      </w:r>
      <w:r w:rsidRPr="00C16083" w:rsidR="003231A7">
        <w:t xml:space="preserve">to take the start of the six-month period from the date of the final decision of 25 June 2008 </w:t>
      </w:r>
      <w:r w:rsidRPr="00C16083" w:rsidR="003701B6">
        <w:t xml:space="preserve">dismissing </w:t>
      </w:r>
      <w:r w:rsidRPr="00C16083" w:rsidR="003231A7">
        <w:t>the applicant</w:t>
      </w:r>
      <w:r w:rsidRPr="00C16083" w:rsidR="00C16083">
        <w:t>’</w:t>
      </w:r>
      <w:r w:rsidRPr="00C16083" w:rsidR="003231A7">
        <w:t xml:space="preserve">s claims for non-pecuniary damages for the unlawful search. </w:t>
      </w:r>
      <w:r w:rsidRPr="00C16083" w:rsidR="008A5671">
        <w:t>As he lodged his application within six months of that decision, it was not belated.</w:t>
      </w:r>
    </w:p>
    <w:p w:rsidRPr="00C16083" w:rsidR="00C72DC4" w:rsidP="00C16083" w:rsidRDefault="003B16E6">
      <w:pPr>
        <w:pStyle w:val="JuH1"/>
      </w:pPr>
      <w:r w:rsidRPr="00C16083">
        <w:t>Judicial review of the manner of conducting the search (</w:t>
      </w:r>
      <w:r w:rsidRPr="00C16083" w:rsidR="00E54DB1">
        <w:t>Article </w:t>
      </w:r>
      <w:r w:rsidRPr="00C16083" w:rsidR="00C72DC4">
        <w:t>125 of the CCrP</w:t>
      </w:r>
      <w:r w:rsidRPr="00C16083">
        <w:t>)</w:t>
      </w:r>
    </w:p>
    <w:p w:rsidRPr="00C16083" w:rsidR="00160559" w:rsidP="00C16083" w:rsidRDefault="006368BA">
      <w:pPr>
        <w:pStyle w:val="JuPara"/>
      </w:pPr>
      <w:fldSimple w:instr=" SEQ level0 \*arabic ">
        <w:r w:rsidRPr="00C16083" w:rsidR="00C16083">
          <w:rPr>
            <w:noProof/>
          </w:rPr>
          <w:t>115</w:t>
        </w:r>
      </w:fldSimple>
      <w:r w:rsidRPr="00C16083" w:rsidR="000B59B5">
        <w:t>.  </w:t>
      </w:r>
      <w:r w:rsidRPr="00C16083" w:rsidR="0001551C">
        <w:t>The a</w:t>
      </w:r>
      <w:r w:rsidRPr="00C16083" w:rsidR="005C7007">
        <w:t>pplicants in e</w:t>
      </w:r>
      <w:r w:rsidRPr="00C16083" w:rsidR="002C5A06">
        <w:t>ight</w:t>
      </w:r>
      <w:r w:rsidRPr="00C16083" w:rsidR="005C7007">
        <w:t xml:space="preserve"> applications (applications nos. 11264/04 (second search), 32324/06, 26067/08, 2397/11 (first applicant), 14244/11, 73629/13, 19667/16 (in respect of the office search) and 36833/16)</w:t>
      </w:r>
      <w:r w:rsidRPr="00C16083" w:rsidR="00346CD3">
        <w:t xml:space="preserve"> </w:t>
      </w:r>
      <w:r w:rsidRPr="00C16083" w:rsidR="005F2566">
        <w:t xml:space="preserve">applied for a judicial review under </w:t>
      </w:r>
      <w:r w:rsidRPr="00C16083" w:rsidR="00346CD3">
        <w:t xml:space="preserve">Article 125 of the CCrP. The Court </w:t>
      </w:r>
      <w:r w:rsidRPr="00C16083" w:rsidR="00C1513D">
        <w:t>notes</w:t>
      </w:r>
      <w:r w:rsidRPr="00C16083" w:rsidR="00346CD3">
        <w:t xml:space="preserve"> that the scope of </w:t>
      </w:r>
      <w:r w:rsidRPr="00C16083" w:rsidR="009D37E5">
        <w:t xml:space="preserve">a </w:t>
      </w:r>
      <w:r w:rsidRPr="00C16083" w:rsidR="00346CD3">
        <w:t xml:space="preserve">judicial review under </w:t>
      </w:r>
      <w:r w:rsidRPr="00C16083" w:rsidR="004F1FCC">
        <w:t xml:space="preserve">that provision </w:t>
      </w:r>
      <w:r w:rsidRPr="00C16083" w:rsidR="00346CD3">
        <w:t xml:space="preserve">was limited to reviewing </w:t>
      </w:r>
      <w:r w:rsidRPr="00C16083" w:rsidR="005F2566">
        <w:t xml:space="preserve">the manner </w:t>
      </w:r>
      <w:r w:rsidRPr="00C16083" w:rsidR="009D37E5">
        <w:t xml:space="preserve">in which </w:t>
      </w:r>
      <w:r w:rsidRPr="00C16083" w:rsidR="00346CD3">
        <w:t>State officials</w:t>
      </w:r>
      <w:r w:rsidRPr="00C16083" w:rsidR="009D37E5">
        <w:t xml:space="preserve"> had acted</w:t>
      </w:r>
      <w:r w:rsidRPr="00C16083" w:rsidR="00346CD3">
        <w:t xml:space="preserve">. </w:t>
      </w:r>
      <w:r w:rsidRPr="00C16083" w:rsidR="005F2566">
        <w:t>A</w:t>
      </w:r>
      <w:r w:rsidRPr="00C16083" w:rsidR="00346CD3">
        <w:t xml:space="preserve"> judge examin</w:t>
      </w:r>
      <w:r w:rsidRPr="00C16083" w:rsidR="005F2566">
        <w:t xml:space="preserve">ing such </w:t>
      </w:r>
      <w:r w:rsidRPr="00C16083" w:rsidR="009D37E5">
        <w:t xml:space="preserve">a </w:t>
      </w:r>
      <w:r w:rsidRPr="00C16083" w:rsidR="00346CD3">
        <w:t xml:space="preserve">complaint </w:t>
      </w:r>
      <w:r w:rsidRPr="00C16083" w:rsidR="005F2566">
        <w:t xml:space="preserve">was </w:t>
      </w:r>
      <w:r w:rsidRPr="00C16083" w:rsidR="009D37E5">
        <w:t xml:space="preserve">required </w:t>
      </w:r>
      <w:r w:rsidRPr="00C16083" w:rsidR="005F2566">
        <w:t xml:space="preserve">to </w:t>
      </w:r>
      <w:r w:rsidRPr="00C16083" w:rsidR="00346CD3">
        <w:t xml:space="preserve">establish whether or not the investigating authorities had </w:t>
      </w:r>
      <w:r w:rsidRPr="00C16083" w:rsidR="005F2566">
        <w:t xml:space="preserve">complied with </w:t>
      </w:r>
      <w:r w:rsidRPr="00C16083" w:rsidR="00346CD3">
        <w:t>the applicable legal requirements and whether they had abided by the terms of the judicial authorisation.</w:t>
      </w:r>
      <w:r w:rsidRPr="00C16083" w:rsidR="00CE3A5A">
        <w:t xml:space="preserve"> T</w:t>
      </w:r>
      <w:r w:rsidRPr="00C16083" w:rsidR="00C25A01">
        <w:t xml:space="preserve">he </w:t>
      </w:r>
      <w:r w:rsidRPr="00C16083" w:rsidR="00346CD3">
        <w:t xml:space="preserve">review under Article 125 of the CCrP did not touch upon the legal and factual grounds for the underlying judicial authorisation, that is </w:t>
      </w:r>
      <w:r w:rsidRPr="00C16083" w:rsidR="005F2566">
        <w:t xml:space="preserve">to say, </w:t>
      </w:r>
      <w:r w:rsidRPr="00C16083" w:rsidR="00346CD3">
        <w:t xml:space="preserve">whether there had been relevant and sufficient reasons for </w:t>
      </w:r>
      <w:r w:rsidRPr="00C16083" w:rsidR="005F2566">
        <w:t xml:space="preserve">granting </w:t>
      </w:r>
      <w:r w:rsidRPr="00C16083" w:rsidR="00346CD3">
        <w:t xml:space="preserve">that judicial authorisation and whether it was compatible with the legal requirements (see </w:t>
      </w:r>
      <w:r w:rsidRPr="00C16083" w:rsidR="00346CD3">
        <w:rPr>
          <w:i/>
        </w:rPr>
        <w:t>Avanesyan</w:t>
      </w:r>
      <w:r w:rsidRPr="00C16083" w:rsidR="00346CD3">
        <w:t xml:space="preserve">, </w:t>
      </w:r>
      <w:r w:rsidRPr="00C16083" w:rsidR="00A823AC">
        <w:t xml:space="preserve">cited above, </w:t>
      </w:r>
      <w:r w:rsidRPr="00C16083" w:rsidR="00346CD3">
        <w:t>§§</w:t>
      </w:r>
      <w:r w:rsidRPr="00C16083" w:rsidR="00960CD3">
        <w:t> </w:t>
      </w:r>
      <w:r w:rsidRPr="00C16083" w:rsidR="00346CD3">
        <w:t>31</w:t>
      </w:r>
      <w:r w:rsidRPr="00C16083" w:rsidR="00960CD3">
        <w:noBreakHyphen/>
      </w:r>
      <w:r w:rsidRPr="00C16083" w:rsidR="00346CD3">
        <w:t xml:space="preserve">33, in respect of searches, and </w:t>
      </w:r>
      <w:r w:rsidRPr="00C16083" w:rsidR="00346CD3">
        <w:rPr>
          <w:i/>
          <w:iCs/>
        </w:rPr>
        <w:t>Zubkov and Others v. Russia</w:t>
      </w:r>
      <w:r w:rsidRPr="00C16083" w:rsidR="00346CD3">
        <w:t>, nos.</w:t>
      </w:r>
      <w:r w:rsidRPr="00C16083" w:rsidR="00960CD3">
        <w:t> </w:t>
      </w:r>
      <w:r w:rsidRPr="00C16083" w:rsidR="00346CD3">
        <w:t>29431/05 and 2 others, §§ 9</w:t>
      </w:r>
      <w:r w:rsidRPr="00C16083" w:rsidR="00C57393">
        <w:t>5</w:t>
      </w:r>
      <w:r w:rsidRPr="00C16083" w:rsidR="00346CD3">
        <w:t>-97, 7</w:t>
      </w:r>
      <w:r w:rsidRPr="00C16083" w:rsidR="000B59B5">
        <w:t> </w:t>
      </w:r>
      <w:r w:rsidRPr="00C16083" w:rsidR="00346CD3">
        <w:t xml:space="preserve">November 2017, in respect of surveillance activities). Even if a judge had </w:t>
      </w:r>
      <w:r w:rsidRPr="00C16083" w:rsidR="00F576EF">
        <w:t xml:space="preserve">detected </w:t>
      </w:r>
      <w:r w:rsidRPr="00C16083" w:rsidR="00346CD3">
        <w:t xml:space="preserve">irregularities in the </w:t>
      </w:r>
      <w:r w:rsidRPr="00C16083" w:rsidR="00F576EF">
        <w:t xml:space="preserve">manner in which the search </w:t>
      </w:r>
      <w:r w:rsidRPr="00C16083" w:rsidR="009D37E5">
        <w:t xml:space="preserve">had been </w:t>
      </w:r>
      <w:r w:rsidRPr="00C16083" w:rsidR="00F576EF">
        <w:t>performed</w:t>
      </w:r>
      <w:r w:rsidRPr="00C16083" w:rsidR="00346CD3">
        <w:t xml:space="preserve">, this would not have affected the validity of the underlying judicial authorisation. </w:t>
      </w:r>
      <w:r w:rsidRPr="00C16083" w:rsidR="005B6D7D">
        <w:t>T</w:t>
      </w:r>
      <w:r w:rsidRPr="00C16083" w:rsidR="00346CD3">
        <w:t>he Court conclude</w:t>
      </w:r>
      <w:r w:rsidRPr="00C16083" w:rsidR="00C1513D">
        <w:t>s</w:t>
      </w:r>
      <w:r w:rsidRPr="00C16083" w:rsidR="00346CD3">
        <w:t xml:space="preserve"> that </w:t>
      </w:r>
      <w:r w:rsidRPr="00C16083" w:rsidR="009D37E5">
        <w:t xml:space="preserve">a </w:t>
      </w:r>
      <w:r w:rsidRPr="00C16083" w:rsidR="000A3EF3">
        <w:t>judicial review under</w:t>
      </w:r>
      <w:r w:rsidRPr="00C16083" w:rsidR="00346CD3">
        <w:t xml:space="preserve"> Article 125 of the CCrP could not provide relief in respect of complaints about </w:t>
      </w:r>
      <w:r w:rsidRPr="00C16083" w:rsidR="000A3EF3">
        <w:t xml:space="preserve">allegedly </w:t>
      </w:r>
      <w:r w:rsidRPr="00C16083" w:rsidR="00346CD3">
        <w:t>unlawful</w:t>
      </w:r>
      <w:r w:rsidRPr="00C16083" w:rsidR="000A3EF3">
        <w:t xml:space="preserve"> judicial </w:t>
      </w:r>
      <w:r w:rsidRPr="00C16083" w:rsidR="003701B6">
        <w:t xml:space="preserve">decisions authorising </w:t>
      </w:r>
      <w:r w:rsidRPr="00C16083" w:rsidR="000A3EF3">
        <w:t xml:space="preserve">investigative </w:t>
      </w:r>
      <w:r w:rsidRPr="00C16083" w:rsidR="003701B6">
        <w:t xml:space="preserve">measures </w:t>
      </w:r>
      <w:r w:rsidRPr="00C16083" w:rsidR="000A3EF3">
        <w:t xml:space="preserve">such as </w:t>
      </w:r>
      <w:r w:rsidRPr="00C16083" w:rsidR="00346CD3">
        <w:t>search</w:t>
      </w:r>
      <w:r w:rsidRPr="00C16083" w:rsidR="000A3EF3">
        <w:t>es</w:t>
      </w:r>
      <w:r w:rsidRPr="00C16083" w:rsidR="00346CD3">
        <w:t xml:space="preserve"> </w:t>
      </w:r>
      <w:r w:rsidRPr="00C16083" w:rsidR="000A3EF3">
        <w:t>or surveillance activities</w:t>
      </w:r>
      <w:r w:rsidRPr="00C16083" w:rsidR="00346CD3">
        <w:t>.</w:t>
      </w:r>
    </w:p>
    <w:p w:rsidRPr="00C16083" w:rsidR="00160559" w:rsidP="00C16083" w:rsidRDefault="00B80C63">
      <w:pPr>
        <w:pStyle w:val="JuPara"/>
      </w:pPr>
      <w:r w:rsidRPr="00C16083">
        <w:rPr>
          <w:rFonts w:asciiTheme="majorHAnsi" w:hAnsiTheme="majorHAnsi" w:eastAsiaTheme="majorEastAsia" w:cstheme="majorBidi"/>
          <w:sz w:val="20"/>
        </w:rPr>
        <w:fldChar w:fldCharType="begin"/>
      </w:r>
      <w:r w:rsidRPr="00C16083">
        <w:rPr>
          <w:rFonts w:asciiTheme="majorHAnsi" w:hAnsiTheme="majorHAnsi" w:eastAsiaTheme="majorEastAsia" w:cstheme="majorBidi"/>
          <w:sz w:val="20"/>
        </w:rPr>
        <w:instrText xml:space="preserve"> SEQ level0 \*arabic </w:instrText>
      </w:r>
      <w:r w:rsidRPr="00C16083">
        <w:rPr>
          <w:rFonts w:asciiTheme="majorHAnsi" w:hAnsiTheme="majorHAnsi" w:eastAsiaTheme="majorEastAsia" w:cstheme="majorBidi"/>
          <w:sz w:val="20"/>
        </w:rPr>
        <w:fldChar w:fldCharType="separate"/>
      </w:r>
      <w:r w:rsidRPr="00C16083" w:rsidR="00C16083">
        <w:rPr>
          <w:rFonts w:asciiTheme="majorHAnsi" w:hAnsiTheme="majorHAnsi" w:eastAsiaTheme="majorEastAsia" w:cstheme="majorBidi"/>
          <w:noProof/>
          <w:sz w:val="20"/>
        </w:rPr>
        <w:t>116</w:t>
      </w:r>
      <w:r w:rsidRPr="00C16083">
        <w:rPr>
          <w:rFonts w:asciiTheme="majorHAnsi" w:hAnsiTheme="majorHAnsi" w:eastAsiaTheme="majorEastAsia" w:cstheme="majorBidi"/>
          <w:sz w:val="20"/>
        </w:rPr>
        <w:fldChar w:fldCharType="end"/>
      </w:r>
      <w:r w:rsidRPr="00C16083">
        <w:rPr>
          <w:rFonts w:asciiTheme="majorHAnsi" w:hAnsiTheme="majorHAnsi" w:eastAsiaTheme="majorEastAsia" w:cstheme="majorBidi"/>
          <w:sz w:val="20"/>
        </w:rPr>
        <w:t>.  </w:t>
      </w:r>
      <w:r w:rsidRPr="00C16083">
        <w:t>The Court observes that in one of those eight cases (application no. 14244/11) the applicants complained about the search of the first applicant</w:t>
      </w:r>
      <w:r w:rsidRPr="00C16083" w:rsidR="00C16083">
        <w:t>’</w:t>
      </w:r>
      <w:r w:rsidRPr="00C16083">
        <w:t>s office and seizure of her electronic devices both in the appeal complaint against the court search warrant and in the complaints about the authorities</w:t>
      </w:r>
      <w:r w:rsidRPr="00C16083" w:rsidR="00C16083">
        <w:t>’</w:t>
      </w:r>
      <w:r w:rsidRPr="00C16083">
        <w:t xml:space="preserve"> allegedly unlawful actions under Article 125 of the CCrP. The applicants submitted their application to the Court on 5 February 2011, which was outside the six-month period </w:t>
      </w:r>
      <w:r w:rsidRPr="00C16083" w:rsidR="0001551C">
        <w:t>as regards</w:t>
      </w:r>
      <w:r w:rsidRPr="00C16083">
        <w:t xml:space="preserve"> the appeal decision of 11 May 2010 on the lawfulness of the court search warrant (see § </w:t>
      </w:r>
      <w:r w:rsidRPr="00C16083">
        <w:fldChar w:fldCharType="begin"/>
      </w:r>
      <w:r w:rsidRPr="00C16083">
        <w:instrText xml:space="preserve"> REF Belinskaya_appeal_warrant \h </w:instrText>
      </w:r>
      <w:r w:rsidRPr="00C16083">
        <w:fldChar w:fldCharType="separate"/>
      </w:r>
      <w:r w:rsidRPr="00C16083" w:rsidR="00C16083">
        <w:rPr>
          <w:noProof/>
        </w:rPr>
        <w:t>51</w:t>
      </w:r>
      <w:r w:rsidRPr="00C16083">
        <w:fldChar w:fldCharType="end"/>
      </w:r>
      <w:r w:rsidRPr="00C16083">
        <w:t xml:space="preserve"> above) and within the six-month period </w:t>
      </w:r>
      <w:r w:rsidRPr="00C16083" w:rsidR="0001551C">
        <w:t>as regards</w:t>
      </w:r>
      <w:r w:rsidRPr="00C16083">
        <w:t xml:space="preserve"> the final decisions on the complaints under Article 125 of the CCrP (30 August, 23 and 30 September 2010, see §§ </w:t>
      </w:r>
      <w:r w:rsidRPr="00C16083">
        <w:fldChar w:fldCharType="begin"/>
      </w:r>
      <w:r w:rsidRPr="00C16083">
        <w:instrText xml:space="preserve"> REF Belinskaya_A125_start \h </w:instrText>
      </w:r>
      <w:r w:rsidRPr="00C16083">
        <w:fldChar w:fldCharType="separate"/>
      </w:r>
      <w:r w:rsidRPr="00C16083" w:rsidR="00C16083">
        <w:rPr>
          <w:noProof/>
        </w:rPr>
        <w:t>52</w:t>
      </w:r>
      <w:r w:rsidRPr="00C16083">
        <w:fldChar w:fldCharType="end"/>
      </w:r>
      <w:r w:rsidRPr="00C16083">
        <w:t xml:space="preserve"> – </w:t>
      </w:r>
      <w:r w:rsidRPr="00C16083">
        <w:fldChar w:fldCharType="begin"/>
      </w:r>
      <w:r w:rsidRPr="00C16083">
        <w:instrText xml:space="preserve"> REF Belinskaya_A125_end \h </w:instrText>
      </w:r>
      <w:r w:rsidRPr="00C16083">
        <w:fldChar w:fldCharType="separate"/>
      </w:r>
      <w:r w:rsidRPr="00C16083" w:rsidR="00C16083">
        <w:rPr>
          <w:noProof/>
        </w:rPr>
        <w:t>54</w:t>
      </w:r>
      <w:r w:rsidRPr="00C16083">
        <w:fldChar w:fldCharType="end"/>
      </w:r>
      <w:r w:rsidRPr="00C16083">
        <w:t xml:space="preserve"> above). The Court notes that the court search warrant of 25 March 2010 had imposed “no limitations” on the investigator</w:t>
      </w:r>
      <w:r w:rsidRPr="00C16083" w:rsidR="00C16083">
        <w:t>’</w:t>
      </w:r>
      <w:r w:rsidRPr="00C16083">
        <w:t xml:space="preserve">s discretion during the performance of the search (see § </w:t>
      </w:r>
      <w:r w:rsidRPr="00C16083">
        <w:fldChar w:fldCharType="begin"/>
      </w:r>
      <w:r w:rsidRPr="00C16083">
        <w:instrText xml:space="preserve"> REF Belinskaya_search_warrant \h </w:instrText>
      </w:r>
      <w:r w:rsidRPr="00C16083">
        <w:fldChar w:fldCharType="separate"/>
      </w:r>
      <w:r w:rsidRPr="00C16083" w:rsidR="00C16083">
        <w:rPr>
          <w:noProof/>
        </w:rPr>
        <w:t>50</w:t>
      </w:r>
      <w:r w:rsidRPr="00C16083">
        <w:fldChar w:fldCharType="end"/>
      </w:r>
      <w:r w:rsidRPr="00C16083">
        <w:t xml:space="preserve"> above). Thus, the manner of the performance of the search of the flat and the seizure of the electronic devices resulted from the search warrant itself and its terms rather than from the authorities</w:t>
      </w:r>
      <w:r w:rsidRPr="00C16083" w:rsidR="00C16083">
        <w:t>’</w:t>
      </w:r>
      <w:r w:rsidRPr="00C16083">
        <w:t xml:space="preserve"> unlawful actions, for instance, at variance with the search warrant. Therefore, a complaint under Article 125 of the CCrP could not have provided a redress to the applicants</w:t>
      </w:r>
      <w:r w:rsidRPr="00C16083" w:rsidR="00C16083">
        <w:t>’</w:t>
      </w:r>
      <w:r w:rsidRPr="00C16083">
        <w:t xml:space="preserve"> grievances </w:t>
      </w:r>
      <w:r w:rsidRPr="00C16083" w:rsidR="005E17B0">
        <w:t>stemming from</w:t>
      </w:r>
      <w:r w:rsidRPr="00C16083">
        <w:t xml:space="preserve"> the</w:t>
      </w:r>
      <w:r w:rsidRPr="00C16083" w:rsidR="005E17B0">
        <w:t xml:space="preserve"> terms of the</w:t>
      </w:r>
      <w:r w:rsidRPr="00C16083">
        <w:t xml:space="preserve"> search warrant itself.</w:t>
      </w:r>
    </w:p>
    <w:p w:rsidRPr="00C16083" w:rsidR="00160559" w:rsidP="00C16083" w:rsidRDefault="006368BA">
      <w:pPr>
        <w:pStyle w:val="JuPara"/>
      </w:pPr>
      <w:fldSimple w:instr=" SEQ level0 \*arabic ">
        <w:r w:rsidRPr="00C16083" w:rsidR="00C16083">
          <w:rPr>
            <w:noProof/>
          </w:rPr>
          <w:t>117</w:t>
        </w:r>
      </w:fldSimple>
      <w:r w:rsidRPr="00C16083" w:rsidR="00B80C63">
        <w:t>.  Given that the complaints under Article 125 of the CCrP were ineffective for the applicants</w:t>
      </w:r>
      <w:r w:rsidRPr="00C16083" w:rsidR="00C16083">
        <w:t>’</w:t>
      </w:r>
      <w:r w:rsidRPr="00C16083" w:rsidR="00B80C63">
        <w:t xml:space="preserve"> grievances, only the appeal decision on the search warrant should be taken into acco</w:t>
      </w:r>
      <w:r w:rsidRPr="00C16083" w:rsidR="00736760">
        <w:t>unt for the purposes of the six</w:t>
      </w:r>
      <w:r w:rsidRPr="00C16083" w:rsidR="00736760">
        <w:noBreakHyphen/>
      </w:r>
      <w:r w:rsidRPr="00C16083" w:rsidR="00B80C63">
        <w:t xml:space="preserve">month period calculation. As noted above, the applicants filed their application </w:t>
      </w:r>
      <w:r w:rsidRPr="00C16083" w:rsidR="0001551C">
        <w:t>more than six months after</w:t>
      </w:r>
      <w:r w:rsidRPr="00C16083" w:rsidR="00B80C63">
        <w:t xml:space="preserve"> the appeal decision in respect of the search warrant. Thus, this application should be declared inadmissible pursuant to Article 35 §§ 1 and 4 of the Convention.</w:t>
      </w:r>
    </w:p>
    <w:p w:rsidRPr="00C16083" w:rsidR="00843BB9" w:rsidP="00C16083" w:rsidRDefault="006368BA">
      <w:pPr>
        <w:pStyle w:val="JuPara"/>
      </w:pPr>
      <w:fldSimple w:instr=" SEQ level0 \*arabic ">
        <w:r w:rsidRPr="00C16083" w:rsidR="00C16083">
          <w:rPr>
            <w:noProof/>
          </w:rPr>
          <w:t>118</w:t>
        </w:r>
      </w:fldSimple>
      <w:r w:rsidRPr="00C16083" w:rsidR="0073458F">
        <w:t>.  As for the other applicants who had used the complaint under Article 125 of the CCrP, the Court notes as follows. Two applicants (applications nos. 32324/06 and 26067/08) argued that the State officials should have stopped their search of the premises after learning on site that those premises had been in fact used by lawyers. Three applicants (applications nos. 2397/11, 19667/16 and 36833/16) considered that the State officials had unlawfully extended the search to encompass the premises not covered by the search warrant</w:t>
      </w:r>
      <w:r w:rsidRPr="00C16083" w:rsidR="00E54DB1">
        <w:t>s. Two applicants (applications </w:t>
      </w:r>
      <w:r w:rsidRPr="00C16083" w:rsidR="0073458F">
        <w:t>nos.</w:t>
      </w:r>
      <w:r w:rsidRPr="00C16083" w:rsidR="00E54DB1">
        <w:t xml:space="preserve"> </w:t>
      </w:r>
      <w:r w:rsidRPr="00C16083" w:rsidR="0073458F">
        <w:t xml:space="preserve">11264/04 (second search) and 73629/13) complained about </w:t>
      </w:r>
      <w:r w:rsidRPr="00C16083" w:rsidR="0001551C">
        <w:t xml:space="preserve">the </w:t>
      </w:r>
      <w:r w:rsidRPr="00C16083" w:rsidR="0073458F">
        <w:t>authorities</w:t>
      </w:r>
      <w:r w:rsidRPr="00C16083" w:rsidR="00C16083">
        <w:t>’</w:t>
      </w:r>
      <w:r w:rsidRPr="00C16083" w:rsidR="0073458F">
        <w:t xml:space="preserve"> unlawful actions because the searches had been performed under the procedures not requiring a judicial authorisation at all, whether before or after the search.</w:t>
      </w:r>
      <w:r w:rsidRPr="00C16083" w:rsidR="005B6D7D">
        <w:t xml:space="preserve"> </w:t>
      </w:r>
      <w:r w:rsidRPr="00C16083" w:rsidR="00711363">
        <w:t xml:space="preserve">In the above </w:t>
      </w:r>
      <w:r w:rsidRPr="00C16083" w:rsidR="00A118A4">
        <w:t xml:space="preserve">circumstances, </w:t>
      </w:r>
      <w:r w:rsidRPr="00C16083" w:rsidR="00711363">
        <w:t>the applicants</w:t>
      </w:r>
      <w:r w:rsidRPr="00C16083" w:rsidR="00C16083">
        <w:t>’</w:t>
      </w:r>
      <w:r w:rsidRPr="00C16083" w:rsidR="00711363">
        <w:t xml:space="preserve"> grievances </w:t>
      </w:r>
      <w:r w:rsidRPr="00C16083" w:rsidR="00A67BF5">
        <w:t>stemmed</w:t>
      </w:r>
      <w:r w:rsidRPr="00C16083" w:rsidR="00711363">
        <w:t xml:space="preserve"> from the </w:t>
      </w:r>
      <w:r w:rsidRPr="00C16083" w:rsidR="00897776">
        <w:t xml:space="preserve">manner </w:t>
      </w:r>
      <w:r w:rsidRPr="00C16083" w:rsidR="00A118A4">
        <w:t xml:space="preserve">in which the </w:t>
      </w:r>
      <w:r w:rsidRPr="00C16083" w:rsidR="00711363">
        <w:t xml:space="preserve">authorities </w:t>
      </w:r>
      <w:r w:rsidRPr="00C16083" w:rsidR="00A118A4">
        <w:t>had acted</w:t>
      </w:r>
      <w:r w:rsidRPr="00C16083" w:rsidR="00897776">
        <w:t>,</w:t>
      </w:r>
      <w:r w:rsidRPr="00C16083" w:rsidR="00A118A4">
        <w:t xml:space="preserve"> </w:t>
      </w:r>
      <w:r w:rsidRPr="00C16083" w:rsidR="009D6411">
        <w:t xml:space="preserve">rather </w:t>
      </w:r>
      <w:r w:rsidRPr="00C16083" w:rsidR="000E488F">
        <w:t>than</w:t>
      </w:r>
      <w:r w:rsidRPr="00C16083" w:rsidR="00711363">
        <w:t xml:space="preserve"> from an</w:t>
      </w:r>
      <w:r w:rsidRPr="00C16083" w:rsidR="005B6D7D">
        <w:t>y supposed defects in the</w:t>
      </w:r>
      <w:r w:rsidRPr="00C16083" w:rsidR="00711363">
        <w:t xml:space="preserve"> underlying </w:t>
      </w:r>
      <w:r w:rsidRPr="00C16083" w:rsidR="005E17B0">
        <w:t xml:space="preserve">judicial </w:t>
      </w:r>
      <w:r w:rsidRPr="00C16083" w:rsidR="00711363">
        <w:t>authorisation</w:t>
      </w:r>
      <w:r w:rsidRPr="00C16083" w:rsidR="00897776">
        <w:t>,</w:t>
      </w:r>
      <w:r w:rsidRPr="00C16083" w:rsidR="00711363">
        <w:t xml:space="preserve"> </w:t>
      </w:r>
      <w:r w:rsidRPr="00C16083" w:rsidR="00625093">
        <w:t>where</w:t>
      </w:r>
      <w:r w:rsidRPr="00C16083" w:rsidR="00A67BF5">
        <w:t xml:space="preserve"> it existed</w:t>
      </w:r>
      <w:r w:rsidRPr="00C16083" w:rsidR="00711363">
        <w:t xml:space="preserve">. </w:t>
      </w:r>
      <w:r w:rsidRPr="00C16083" w:rsidR="00A67BF5">
        <w:t>Given the courts</w:t>
      </w:r>
      <w:r w:rsidRPr="00C16083" w:rsidR="00C16083">
        <w:t>’</w:t>
      </w:r>
      <w:r w:rsidRPr="00C16083" w:rsidR="00A67BF5">
        <w:t xml:space="preserve"> power to declare </w:t>
      </w:r>
      <w:r w:rsidRPr="00C16083" w:rsidR="005B6D7D">
        <w:t xml:space="preserve">such </w:t>
      </w:r>
      <w:r w:rsidRPr="00C16083" w:rsidR="008A56E6">
        <w:t xml:space="preserve">actions </w:t>
      </w:r>
      <w:r w:rsidRPr="00C16083" w:rsidR="00A67BF5">
        <w:t xml:space="preserve">unlawful or unjustified, </w:t>
      </w:r>
      <w:r w:rsidRPr="00C16083" w:rsidR="00B80C63">
        <w:t>the Court accepts that in the above circumstances the applicants</w:t>
      </w:r>
      <w:r w:rsidRPr="00C16083" w:rsidR="00C16083">
        <w:t>’</w:t>
      </w:r>
      <w:r w:rsidRPr="00C16083" w:rsidR="00B80C63">
        <w:t xml:space="preserve"> attempts to challenge the actions of the investigating authorities under Article 125 of the CCrP </w:t>
      </w:r>
      <w:r w:rsidRPr="00C16083" w:rsidR="0001551C">
        <w:t>w</w:t>
      </w:r>
      <w:r w:rsidRPr="00C16083" w:rsidR="00C1513D">
        <w:t>ere</w:t>
      </w:r>
      <w:r w:rsidRPr="00C16083" w:rsidR="00B80C63">
        <w:t xml:space="preserve"> reasonable</w:t>
      </w:r>
      <w:r w:rsidRPr="00C16083" w:rsidR="0021074A">
        <w:t>.</w:t>
      </w:r>
    </w:p>
    <w:p w:rsidRPr="00C16083" w:rsidR="00122EFD" w:rsidP="00C16083" w:rsidRDefault="006368BA">
      <w:pPr>
        <w:pStyle w:val="JuPara"/>
      </w:pPr>
      <w:fldSimple w:instr=" SEQ level0 \*arabic ">
        <w:r w:rsidRPr="00C16083" w:rsidR="00C16083">
          <w:rPr>
            <w:noProof/>
          </w:rPr>
          <w:t>119</w:t>
        </w:r>
      </w:fldSimple>
      <w:r w:rsidRPr="00C16083" w:rsidR="00544482">
        <w:t>.  </w:t>
      </w:r>
      <w:r w:rsidRPr="00C16083" w:rsidR="001F2AAC">
        <w:t>The Court further notes that, with the exception of one (</w:t>
      </w:r>
      <w:r w:rsidRPr="00C16083" w:rsidR="00B53C4C">
        <w:t>applicat</w:t>
      </w:r>
      <w:r w:rsidRPr="00C16083" w:rsidR="00736760">
        <w:t>ion no. </w:t>
      </w:r>
      <w:r w:rsidRPr="00C16083" w:rsidR="00B53C4C">
        <w:t>36833/16</w:t>
      </w:r>
      <w:r w:rsidRPr="00C16083" w:rsidR="001F2AAC">
        <w:t xml:space="preserve">), all of the above applications were submitted within six months </w:t>
      </w:r>
      <w:r w:rsidRPr="00C16083" w:rsidR="0001551C">
        <w:t>after</w:t>
      </w:r>
      <w:r w:rsidRPr="00C16083" w:rsidR="001F2AAC">
        <w:t xml:space="preserve"> the appeal decisions taken </w:t>
      </w:r>
      <w:r w:rsidRPr="00C16083" w:rsidR="00736760">
        <w:t>on the complaints under Article </w:t>
      </w:r>
      <w:r w:rsidRPr="00C16083" w:rsidR="001F2AAC">
        <w:t>125 of the CCrP. Thus</w:t>
      </w:r>
      <w:r w:rsidRPr="00C16083" w:rsidR="00C30FEB">
        <w:t xml:space="preserve"> they were not belated</w:t>
      </w:r>
      <w:r w:rsidRPr="00C16083" w:rsidR="00122EFD">
        <w:t xml:space="preserve">. </w:t>
      </w:r>
      <w:r w:rsidRPr="00C16083" w:rsidR="00C30FEB">
        <w:t>Mr</w:t>
      </w:r>
      <w:r w:rsidRPr="00C16083" w:rsidR="008A56E6">
        <w:t> Levchenko</w:t>
      </w:r>
      <w:r w:rsidRPr="00C16083" w:rsidR="00C30FEB">
        <w:t xml:space="preserve"> </w:t>
      </w:r>
      <w:r w:rsidRPr="00C16083" w:rsidR="00736760">
        <w:t>(application no. </w:t>
      </w:r>
      <w:r w:rsidRPr="00C16083" w:rsidR="00122EFD">
        <w:t>36833/16)</w:t>
      </w:r>
      <w:r w:rsidRPr="00C16083" w:rsidR="00C30FEB">
        <w:t xml:space="preserve"> chose to continue the chain of appeals by using the two-tier cassation procedure and </w:t>
      </w:r>
      <w:r w:rsidRPr="00C16083" w:rsidR="00A118A4">
        <w:t xml:space="preserve">lodging </w:t>
      </w:r>
      <w:r w:rsidRPr="00C16083" w:rsidR="00C30FEB">
        <w:t>an application with the Court within six months of its conclusion</w:t>
      </w:r>
      <w:r w:rsidRPr="00C16083" w:rsidR="00122EFD">
        <w:t>.</w:t>
      </w:r>
      <w:r w:rsidRPr="00C16083" w:rsidR="00047B49">
        <w:t xml:space="preserve"> That procedure, although it dealt with the applicant</w:t>
      </w:r>
      <w:r w:rsidRPr="00C16083" w:rsidR="00C16083">
        <w:t>’</w:t>
      </w:r>
      <w:r w:rsidRPr="00C16083" w:rsidR="00047B49">
        <w:t xml:space="preserve">s </w:t>
      </w:r>
      <w:r w:rsidRPr="00C16083" w:rsidR="00264513">
        <w:t>claim</w:t>
      </w:r>
      <w:r w:rsidRPr="00C16083" w:rsidR="00047B49">
        <w:t xml:space="preserve"> against the State, was governed by the CCrP. As to the </w:t>
      </w:r>
      <w:r w:rsidRPr="00C16083" w:rsidR="006533CE">
        <w:t>latter</w:t>
      </w:r>
      <w:r w:rsidRPr="00C16083" w:rsidR="00047B49">
        <w:t>,</w:t>
      </w:r>
      <w:r w:rsidRPr="00C16083" w:rsidR="00122EFD">
        <w:t xml:space="preserve"> </w:t>
      </w:r>
      <w:r w:rsidRPr="00C16083" w:rsidR="00047B49">
        <w:t>t</w:t>
      </w:r>
      <w:r w:rsidRPr="00C16083" w:rsidR="00122EFD">
        <w:t xml:space="preserve">he Court </w:t>
      </w:r>
      <w:r w:rsidRPr="00C16083" w:rsidR="005D24C3">
        <w:t>established</w:t>
      </w:r>
      <w:r w:rsidRPr="00C16083" w:rsidR="00122EFD">
        <w:t xml:space="preserve"> </w:t>
      </w:r>
      <w:r w:rsidRPr="00C16083" w:rsidR="00C30FEB">
        <w:t>in</w:t>
      </w:r>
      <w:r w:rsidRPr="00C16083" w:rsidR="00544482">
        <w:t xml:space="preserve"> </w:t>
      </w:r>
      <w:r w:rsidRPr="00C16083" w:rsidR="00544482">
        <w:rPr>
          <w:i/>
        </w:rPr>
        <w:t>Kashlan v. Russia</w:t>
      </w:r>
      <w:r w:rsidRPr="00C16083" w:rsidR="00544482">
        <w:t xml:space="preserve"> </w:t>
      </w:r>
      <w:r w:rsidRPr="00C16083" w:rsidR="00C30FEB">
        <w:t>(</w:t>
      </w:r>
      <w:r w:rsidRPr="00C16083" w:rsidR="00736760">
        <w:t>(dec.), no. 60189/15, 19 </w:t>
      </w:r>
      <w:r w:rsidRPr="00C16083" w:rsidR="00544482">
        <w:t xml:space="preserve">April 2016) </w:t>
      </w:r>
      <w:r w:rsidRPr="00C16083" w:rsidR="00C30FEB">
        <w:t xml:space="preserve">that the two-tier cassation procedure is </w:t>
      </w:r>
      <w:r w:rsidRPr="00C16083" w:rsidR="00544482">
        <w:t xml:space="preserve">not </w:t>
      </w:r>
      <w:r w:rsidRPr="00C16083" w:rsidR="00C30FEB">
        <w:t>an effective remedy in proceedings</w:t>
      </w:r>
      <w:r w:rsidRPr="00C16083" w:rsidR="00047B49">
        <w:t xml:space="preserve"> under the CCrP</w:t>
      </w:r>
      <w:r w:rsidRPr="00C16083" w:rsidR="00544482">
        <w:t xml:space="preserve">. However, </w:t>
      </w:r>
      <w:r w:rsidRPr="00C16083" w:rsidR="00C30FEB">
        <w:t>at the material time</w:t>
      </w:r>
      <w:r w:rsidRPr="00C16083" w:rsidR="00FD51CB">
        <w:t>,</w:t>
      </w:r>
      <w:r w:rsidRPr="00C16083" w:rsidR="00122EFD">
        <w:t xml:space="preserve"> </w:t>
      </w:r>
      <w:r w:rsidRPr="00C16083" w:rsidR="00C30FEB">
        <w:t xml:space="preserve">the </w:t>
      </w:r>
      <w:r w:rsidRPr="00C16083" w:rsidR="005D24C3">
        <w:rPr>
          <w:i/>
        </w:rPr>
        <w:t>Kashlan</w:t>
      </w:r>
      <w:r w:rsidRPr="00C16083" w:rsidR="00122EFD">
        <w:t xml:space="preserve"> decision</w:t>
      </w:r>
      <w:r w:rsidRPr="00C16083" w:rsidR="00C30FEB">
        <w:t xml:space="preserve"> had not yet been adopted and the previous case-law applied</w:t>
      </w:r>
      <w:r w:rsidRPr="00C16083" w:rsidR="004A119F">
        <w:t>,</w:t>
      </w:r>
      <w:r w:rsidRPr="00C16083" w:rsidR="00C30FEB">
        <w:t xml:space="preserve"> in which </w:t>
      </w:r>
      <w:r w:rsidRPr="00C16083" w:rsidR="00122EFD">
        <w:t xml:space="preserve">the cassation procedure could be considered </w:t>
      </w:r>
      <w:r w:rsidRPr="00C16083" w:rsidR="00A118A4">
        <w:t xml:space="preserve">to be </w:t>
      </w:r>
      <w:r w:rsidRPr="00C16083" w:rsidR="00122EFD">
        <w:t xml:space="preserve">an effective remedy (see </w:t>
      </w:r>
      <w:r w:rsidRPr="00C16083" w:rsidR="00122EFD">
        <w:rPr>
          <w:i/>
        </w:rPr>
        <w:t>Kashlan</w:t>
      </w:r>
      <w:r w:rsidRPr="00C16083" w:rsidR="00122EFD">
        <w:t>, § 27</w:t>
      </w:r>
      <w:r w:rsidRPr="00C16083" w:rsidR="00891ECE">
        <w:t>;</w:t>
      </w:r>
      <w:r w:rsidRPr="00C16083" w:rsidR="00B53C4C">
        <w:t xml:space="preserve"> </w:t>
      </w:r>
      <w:r w:rsidRPr="00C16083" w:rsidR="00B53C4C">
        <w:rPr>
          <w:i/>
        </w:rPr>
        <w:t>Myalichev v. Russia</w:t>
      </w:r>
      <w:r w:rsidRPr="00C16083" w:rsidR="00BD613C">
        <w:t xml:space="preserve"> [Committee]</w:t>
      </w:r>
      <w:r w:rsidRPr="00C16083" w:rsidR="00B53C4C">
        <w:t>, 9237/14, § </w:t>
      </w:r>
      <w:r w:rsidRPr="00C16083" w:rsidR="00891ECE">
        <w:t>13, 8 </w:t>
      </w:r>
      <w:r w:rsidRPr="00C16083" w:rsidR="00B53C4C">
        <w:t>November 2016</w:t>
      </w:r>
      <w:r w:rsidRPr="00C16083" w:rsidR="00891ECE">
        <w:t xml:space="preserve">; and </w:t>
      </w:r>
      <w:r w:rsidRPr="00C16083" w:rsidR="00891ECE">
        <w:rPr>
          <w:i/>
        </w:rPr>
        <w:t>Rozhkani v. Russia</w:t>
      </w:r>
      <w:r w:rsidRPr="00C16083" w:rsidR="00BD613C">
        <w:t xml:space="preserve"> [Committee]</w:t>
      </w:r>
      <w:r w:rsidRPr="00C16083" w:rsidR="00891ECE">
        <w:t>, 14918/14, § 25, 9 July 2019</w:t>
      </w:r>
      <w:r w:rsidRPr="00C16083" w:rsidR="00122EFD">
        <w:t>)</w:t>
      </w:r>
      <w:r w:rsidRPr="00C16083" w:rsidR="00C30FEB">
        <w:t>. I</w:t>
      </w:r>
      <w:r w:rsidRPr="00C16083" w:rsidR="00122EFD">
        <w:t xml:space="preserve">t was </w:t>
      </w:r>
      <w:r w:rsidRPr="00C16083" w:rsidR="00A118A4">
        <w:t xml:space="preserve">therefore </w:t>
      </w:r>
      <w:r w:rsidRPr="00C16083" w:rsidR="00122EFD">
        <w:t xml:space="preserve">not unreasonable for the applicant to attempt </w:t>
      </w:r>
      <w:r w:rsidRPr="00C16083" w:rsidR="000F1B4B">
        <w:t>the cassation appeal</w:t>
      </w:r>
      <w:r w:rsidRPr="00C16083" w:rsidR="00A118A4">
        <w:t xml:space="preserve"> procedure</w:t>
      </w:r>
      <w:r w:rsidRPr="00C16083" w:rsidR="00FD51CB">
        <w:t xml:space="preserve"> </w:t>
      </w:r>
      <w:r w:rsidRPr="00C16083" w:rsidR="00C30FEB">
        <w:t>at that time</w:t>
      </w:r>
      <w:r w:rsidRPr="00C16083" w:rsidR="00122EFD">
        <w:t xml:space="preserve">. </w:t>
      </w:r>
      <w:r w:rsidRPr="00C16083" w:rsidR="00897776">
        <w:t>Accordingly, t</w:t>
      </w:r>
      <w:r w:rsidRPr="00C16083" w:rsidR="00122EFD">
        <w:t xml:space="preserve">he Court finds that </w:t>
      </w:r>
      <w:r w:rsidRPr="00C16083" w:rsidR="00C30FEB">
        <w:t xml:space="preserve">his </w:t>
      </w:r>
      <w:r w:rsidRPr="00C16083" w:rsidR="00122EFD">
        <w:t>application was not belated.</w:t>
      </w:r>
    </w:p>
    <w:p w:rsidRPr="00C16083" w:rsidR="00197D8C" w:rsidP="00C16083" w:rsidRDefault="00197D8C">
      <w:pPr>
        <w:pStyle w:val="JuH1"/>
      </w:pPr>
      <w:r w:rsidRPr="00C16083">
        <w:t>Conclusion</w:t>
      </w:r>
    </w:p>
    <w:p w:rsidRPr="00C16083" w:rsidR="00160559" w:rsidP="00C16083" w:rsidRDefault="006368BA">
      <w:pPr>
        <w:pStyle w:val="JuPara"/>
      </w:pPr>
      <w:fldSimple w:instr=" SEQ level0 \*arabic ">
        <w:r w:rsidRPr="00C16083" w:rsidR="00C16083">
          <w:rPr>
            <w:noProof/>
          </w:rPr>
          <w:t>120</w:t>
        </w:r>
      </w:fldSimple>
      <w:r w:rsidRPr="00C16083" w:rsidR="00161BC5">
        <w:t>.  </w:t>
      </w:r>
      <w:r w:rsidRPr="00C16083" w:rsidR="00C30FEB">
        <w:t xml:space="preserve">In sum, the Court has found that </w:t>
      </w:r>
      <w:r w:rsidRPr="00C16083" w:rsidR="00A118A4">
        <w:t xml:space="preserve">none of the </w:t>
      </w:r>
      <w:r w:rsidRPr="00C16083" w:rsidR="00C30FEB">
        <w:t xml:space="preserve">applications, except </w:t>
      </w:r>
      <w:r w:rsidRPr="00C16083" w:rsidR="00161BC5">
        <w:t>application no. 14244/11</w:t>
      </w:r>
      <w:r w:rsidRPr="00C16083" w:rsidR="00C30FEB">
        <w:t xml:space="preserve">, </w:t>
      </w:r>
      <w:r w:rsidRPr="00C16083" w:rsidR="00A118A4">
        <w:t xml:space="preserve">were lodged </w:t>
      </w:r>
      <w:r w:rsidRPr="00C16083" w:rsidR="00C30FEB">
        <w:t>belated</w:t>
      </w:r>
      <w:r w:rsidRPr="00C16083" w:rsidR="00A118A4">
        <w:t>ly</w:t>
      </w:r>
      <w:r w:rsidRPr="00C16083" w:rsidR="00C30FEB">
        <w:t xml:space="preserve">. </w:t>
      </w:r>
      <w:r w:rsidRPr="00C16083" w:rsidR="00891ECE">
        <w:t>Thus, application no. 14244/11 should be declared inadmis</w:t>
      </w:r>
      <w:r w:rsidRPr="00C16083" w:rsidR="00736760">
        <w:t>sible pursuant to Article 35 §§ </w:t>
      </w:r>
      <w:r w:rsidRPr="00C16083" w:rsidR="00891ECE">
        <w:t xml:space="preserve">1 and 4 of the Convention. </w:t>
      </w:r>
      <w:r w:rsidRPr="00C16083" w:rsidR="00C30FEB">
        <w:t>Th</w:t>
      </w:r>
      <w:r w:rsidRPr="00C16083" w:rsidR="00197D8C">
        <w:t xml:space="preserve">e </w:t>
      </w:r>
      <w:r w:rsidRPr="00C16083" w:rsidR="00846EBE">
        <w:t>complaints</w:t>
      </w:r>
      <w:r w:rsidRPr="00C16083" w:rsidR="00891ECE">
        <w:t xml:space="preserve"> </w:t>
      </w:r>
      <w:r w:rsidRPr="00C16083" w:rsidR="009C02E4">
        <w:t>related to the searches</w:t>
      </w:r>
      <w:r w:rsidRPr="00C16083" w:rsidR="00891ECE">
        <w:t xml:space="preserve"> of the remaining applications</w:t>
      </w:r>
      <w:r w:rsidRPr="00C16083" w:rsidR="00846EBE">
        <w:t xml:space="preserve"> </w:t>
      </w:r>
      <w:r w:rsidRPr="00C16083" w:rsidR="00197D8C">
        <w:t>are not manifestly ill-founded within the meaning of Article</w:t>
      </w:r>
      <w:r w:rsidRPr="00C16083" w:rsidR="00095DA8">
        <w:t> </w:t>
      </w:r>
      <w:r w:rsidRPr="00C16083" w:rsidR="00197D8C">
        <w:t>35</w:t>
      </w:r>
      <w:r w:rsidRPr="00C16083" w:rsidR="00095DA8">
        <w:t> </w:t>
      </w:r>
      <w:r w:rsidRPr="00C16083" w:rsidR="00197D8C">
        <w:t>§</w:t>
      </w:r>
      <w:r w:rsidRPr="00C16083" w:rsidR="00095DA8">
        <w:t> </w:t>
      </w:r>
      <w:r w:rsidRPr="00C16083" w:rsidR="00197D8C">
        <w:t>3 (a) of the Convention</w:t>
      </w:r>
      <w:r w:rsidRPr="00C16083" w:rsidR="00C30FEB">
        <w:t xml:space="preserve"> or </w:t>
      </w:r>
      <w:r w:rsidRPr="00C16083" w:rsidR="00197D8C">
        <w:t>inadmissible on any other grounds. They must therefore be declared admissible.</w:t>
      </w:r>
    </w:p>
    <w:p w:rsidRPr="00C16083" w:rsidR="00D420F3" w:rsidP="00C16083" w:rsidRDefault="0077175D">
      <w:pPr>
        <w:pStyle w:val="JuHA"/>
      </w:pPr>
      <w:r w:rsidRPr="00C16083">
        <w:t>Merits</w:t>
      </w:r>
    </w:p>
    <w:p w:rsidRPr="00C16083" w:rsidR="00843BB9" w:rsidP="00C16083" w:rsidRDefault="00712312">
      <w:pPr>
        <w:pStyle w:val="JuH1"/>
      </w:pPr>
      <w:r w:rsidRPr="00C16083">
        <w:t>Submissions of the parties</w:t>
      </w:r>
    </w:p>
    <w:p w:rsidRPr="00C16083" w:rsidR="00F4156B" w:rsidP="00C16083" w:rsidRDefault="006368BA">
      <w:pPr>
        <w:pStyle w:val="JuPara"/>
      </w:pPr>
      <w:fldSimple w:instr=" SEQ level0 \*arabic ">
        <w:r w:rsidRPr="00C16083" w:rsidR="00C16083">
          <w:rPr>
            <w:noProof/>
          </w:rPr>
          <w:t>121</w:t>
        </w:r>
      </w:fldSimple>
      <w:r w:rsidRPr="00C16083" w:rsidR="00F4156B">
        <w:t>.  </w:t>
      </w:r>
      <w:r w:rsidRPr="00C16083" w:rsidR="00A60F6B">
        <w:t>The applicants submitted that the searches of their premises had fallen short of the standards set out in Article 8 of the Convention. The judicial decisions authorising the searches</w:t>
      </w:r>
      <w:r w:rsidRPr="00C16083" w:rsidR="00BB11E8">
        <w:t>, where issued,</w:t>
      </w:r>
      <w:r w:rsidRPr="00C16083" w:rsidR="00A60F6B">
        <w:t xml:space="preserve"> had not been based on sufficient </w:t>
      </w:r>
      <w:r w:rsidRPr="00C16083" w:rsidR="00DD3251">
        <w:t xml:space="preserve">evidence to support the allegations that </w:t>
      </w:r>
      <w:r w:rsidRPr="00C16083" w:rsidR="00A60F6B">
        <w:t xml:space="preserve">the applicants </w:t>
      </w:r>
      <w:r w:rsidRPr="00C16083" w:rsidR="00DD3251">
        <w:t xml:space="preserve">were in </w:t>
      </w:r>
      <w:r w:rsidRPr="00C16083" w:rsidR="00A60F6B">
        <w:t xml:space="preserve">possession of the information sought. In </w:t>
      </w:r>
      <w:r w:rsidRPr="00C16083" w:rsidR="00E97350">
        <w:t xml:space="preserve">fourteen </w:t>
      </w:r>
      <w:r w:rsidRPr="00C16083" w:rsidR="00BB11E8">
        <w:t xml:space="preserve">applications </w:t>
      </w:r>
      <w:r w:rsidRPr="00C16083" w:rsidR="00A60F6B">
        <w:t xml:space="preserve">the applicants had not been official suspects in the relevant investigations. In </w:t>
      </w:r>
      <w:r w:rsidRPr="00C16083" w:rsidR="00E97350">
        <w:t xml:space="preserve">twelve </w:t>
      </w:r>
      <w:r w:rsidRPr="00C16083" w:rsidR="00BB11E8">
        <w:t xml:space="preserve">applications </w:t>
      </w:r>
      <w:r w:rsidRPr="00C16083" w:rsidR="00A60F6B">
        <w:t>the applicants</w:t>
      </w:r>
      <w:r w:rsidRPr="00C16083" w:rsidR="00C16083">
        <w:t>’</w:t>
      </w:r>
      <w:r w:rsidRPr="00C16083" w:rsidR="00A60F6B">
        <w:t xml:space="preserve"> only connection to the criminal cases had been the fact that they had provided legal services to an individual or a legal person involved in those criminal proceedings. Furthermore, the courts had not specified in detail the scope of the searches and had not given any instructions aimed at protection of documents</w:t>
      </w:r>
      <w:r w:rsidRPr="00C16083" w:rsidR="00DD3251">
        <w:t xml:space="preserve"> subject to professional legal privilege</w:t>
      </w:r>
      <w:r w:rsidRPr="00C16083" w:rsidR="00A60F6B">
        <w:t>.</w:t>
      </w:r>
      <w:r w:rsidRPr="00C16083" w:rsidR="00DD3251">
        <w:t xml:space="preserve"> Lastly</w:t>
      </w:r>
      <w:r w:rsidRPr="00C16083" w:rsidR="00A60F6B">
        <w:t>, the searches of the premises and seizures of electronic devices had not been accompanied by procedural safeguards</w:t>
      </w:r>
      <w:r w:rsidRPr="00C16083" w:rsidR="00DD3251">
        <w:t>,</w:t>
      </w:r>
      <w:r w:rsidRPr="00C16083" w:rsidR="00A60F6B">
        <w:t xml:space="preserve"> such as the presence of independent observers.</w:t>
      </w:r>
    </w:p>
    <w:p w:rsidRPr="00C16083" w:rsidR="00712312" w:rsidP="00C16083" w:rsidRDefault="006368BA">
      <w:pPr>
        <w:pStyle w:val="JuPara"/>
      </w:pPr>
      <w:fldSimple w:instr=" SEQ level0 \*arabic ">
        <w:r w:rsidRPr="00C16083" w:rsidR="00C16083">
          <w:rPr>
            <w:noProof/>
          </w:rPr>
          <w:t>122</w:t>
        </w:r>
      </w:fldSimple>
      <w:r w:rsidRPr="00C16083" w:rsidR="00F4156B">
        <w:t>.  </w:t>
      </w:r>
      <w:r w:rsidRPr="00C16083" w:rsidR="00A60F6B">
        <w:t>The Government submitted that the searches of the applicants</w:t>
      </w:r>
      <w:r w:rsidRPr="00C16083" w:rsidR="00C16083">
        <w:t>’</w:t>
      </w:r>
      <w:r w:rsidRPr="00C16083" w:rsidR="00A60F6B">
        <w:t xml:space="preserve"> premises had been performed in compliance with national legislation and had not infringed the applicants</w:t>
      </w:r>
      <w:r w:rsidRPr="00C16083" w:rsidR="00C16083">
        <w:t>’</w:t>
      </w:r>
      <w:r w:rsidRPr="00C16083" w:rsidR="00A60F6B">
        <w:t xml:space="preserve"> rights set out in the Convention. The investigating authorities had conducted the searches within the framework of preliminary investigations or pending criminal proceedings against the applicants or third parties. The investigating authorities had obtained judicial </w:t>
      </w:r>
      <w:r w:rsidRPr="00C16083" w:rsidR="008C54DD">
        <w:t xml:space="preserve">authorisation </w:t>
      </w:r>
      <w:r w:rsidRPr="00C16083" w:rsidR="00A60F6B">
        <w:t xml:space="preserve">for the searches in respect of </w:t>
      </w:r>
      <w:r w:rsidRPr="00C16083" w:rsidR="008C54DD">
        <w:t xml:space="preserve">the </w:t>
      </w:r>
      <w:r w:rsidRPr="00C16083" w:rsidR="00A60F6B">
        <w:t xml:space="preserve">advocates, in accordance with the procedure prescribed by law. Those applicants who were practising lawyers but not advocates had not been entitled to the same protection as members of the Bar, but the procedural requirements for the searches of their premises had also been complied with. The purpose of the searches </w:t>
      </w:r>
      <w:r w:rsidRPr="00C16083" w:rsidR="008C54DD">
        <w:t xml:space="preserve">had been </w:t>
      </w:r>
      <w:r w:rsidRPr="00C16083" w:rsidR="00A60F6B">
        <w:t xml:space="preserve">to obtain information necessary for the criminal investigations. The investigating authorities had had sufficient grounds to believe that the applicants could have been keeping such information on their premises. The court search warrants instructed the investigating authorities to seize only documents pertaining to the relevant investigations. The Government asserted that the applicants had failed to show that any personal or legally privileged documents unrelated to the investigations in question had been seized or used against anyone. Thus, the searches had not affected the interests of the applicants or of their clients. The court search warrants had been scrutinised and </w:t>
      </w:r>
      <w:r w:rsidRPr="00C16083" w:rsidR="008C54DD">
        <w:t>the courts</w:t>
      </w:r>
      <w:r w:rsidRPr="00C16083" w:rsidR="00C16083">
        <w:t>’</w:t>
      </w:r>
      <w:r w:rsidRPr="00C16083" w:rsidR="008C54DD">
        <w:t xml:space="preserve"> decisions to issue them </w:t>
      </w:r>
      <w:r w:rsidRPr="00C16083" w:rsidR="00A60F6B">
        <w:t xml:space="preserve">upheld on appeal. Therefore, the searches </w:t>
      </w:r>
      <w:r w:rsidRPr="00C16083" w:rsidR="008C54DD">
        <w:t xml:space="preserve">had been </w:t>
      </w:r>
      <w:r w:rsidRPr="00C16083" w:rsidR="00A60F6B">
        <w:t>lawful and proportionate to their legitimate aim.</w:t>
      </w:r>
    </w:p>
    <w:p w:rsidRPr="00C16083" w:rsidR="00843BB9" w:rsidP="00C16083" w:rsidRDefault="00D033D9">
      <w:pPr>
        <w:pStyle w:val="JuH1"/>
      </w:pPr>
      <w:r w:rsidRPr="00C16083">
        <w:t>The Court</w:t>
      </w:r>
      <w:r w:rsidRPr="00C16083" w:rsidR="00C16083">
        <w:t>’</w:t>
      </w:r>
      <w:r w:rsidRPr="00C16083">
        <w:t>s assessment</w:t>
      </w:r>
    </w:p>
    <w:p w:rsidRPr="00C16083" w:rsidR="00843BB9" w:rsidP="00C16083" w:rsidRDefault="006368BA">
      <w:pPr>
        <w:pStyle w:val="JuPara"/>
      </w:pPr>
      <w:fldSimple w:instr=" SEQ level0 \*arabic ">
        <w:r w:rsidRPr="00C16083" w:rsidR="00C16083">
          <w:rPr>
            <w:noProof/>
          </w:rPr>
          <w:t>123</w:t>
        </w:r>
      </w:fldSimple>
      <w:r w:rsidRPr="00C16083" w:rsidR="00C314F7">
        <w:t>.  </w:t>
      </w:r>
      <w:r w:rsidRPr="00C16083" w:rsidR="002B249C">
        <w:t xml:space="preserve">The Court notes that </w:t>
      </w:r>
      <w:r w:rsidRPr="00C16083" w:rsidR="00591C2E">
        <w:t xml:space="preserve">the </w:t>
      </w:r>
      <w:r w:rsidRPr="00C16083" w:rsidR="002B249C">
        <w:t>investigating authorities performed “inspections”, “crime</w:t>
      </w:r>
      <w:r w:rsidRPr="00C16083" w:rsidR="008E7B7C">
        <w:t>-</w:t>
      </w:r>
      <w:r w:rsidRPr="00C16083" w:rsidR="002B249C">
        <w:t>scene examinations” or “searches” of the applicants</w:t>
      </w:r>
      <w:r w:rsidRPr="00C16083" w:rsidR="00C16083">
        <w:t>’</w:t>
      </w:r>
      <w:r w:rsidRPr="00C16083" w:rsidR="002B249C">
        <w:t xml:space="preserve"> </w:t>
      </w:r>
      <w:r w:rsidRPr="00C16083" w:rsidR="00194C99">
        <w:t>homes</w:t>
      </w:r>
      <w:r w:rsidRPr="00C16083" w:rsidR="002B249C">
        <w:t xml:space="preserve"> or </w:t>
      </w:r>
      <w:r w:rsidRPr="00C16083" w:rsidR="00194C99">
        <w:t>offices</w:t>
      </w:r>
      <w:r w:rsidRPr="00C16083" w:rsidR="002B249C">
        <w:t xml:space="preserve">. The Court reiterates that any measure, </w:t>
      </w:r>
      <w:r w:rsidRPr="00C16083" w:rsidR="00194C99">
        <w:t xml:space="preserve">if it is </w:t>
      </w:r>
      <w:r w:rsidRPr="00C16083" w:rsidR="002B249C">
        <w:t>no different in its manner of execution and its practical effects from a search, amounts, regardless of its characterisation under domestic law, to interference with applicants</w:t>
      </w:r>
      <w:r w:rsidRPr="00C16083" w:rsidR="00C16083">
        <w:t>’</w:t>
      </w:r>
      <w:r w:rsidRPr="00C16083" w:rsidR="002B249C">
        <w:t xml:space="preserve"> rights under Article 8 of the Convention (see </w:t>
      </w:r>
      <w:r w:rsidRPr="00C16083" w:rsidR="002B249C">
        <w:rPr>
          <w:i/>
        </w:rPr>
        <w:t>Belousov v.</w:t>
      </w:r>
      <w:r w:rsidRPr="00C16083" w:rsidR="00960CD3">
        <w:rPr>
          <w:i/>
        </w:rPr>
        <w:t> </w:t>
      </w:r>
      <w:r w:rsidRPr="00C16083" w:rsidR="002B249C">
        <w:rPr>
          <w:i/>
        </w:rPr>
        <w:t>Ukraine</w:t>
      </w:r>
      <w:r w:rsidRPr="00C16083" w:rsidR="002B249C">
        <w:t>, no. 4494/07</w:t>
      </w:r>
      <w:r w:rsidRPr="00C16083" w:rsidR="002B249C">
        <w:rPr>
          <w:snapToGrid w:val="0"/>
        </w:rPr>
        <w:t xml:space="preserve">, § 103, 7 November 2013, and </w:t>
      </w:r>
      <w:r w:rsidRPr="00C16083" w:rsidR="002B249C">
        <w:rPr>
          <w:i/>
        </w:rPr>
        <w:t>Avanesyan</w:t>
      </w:r>
      <w:r w:rsidRPr="00C16083" w:rsidR="002B249C">
        <w:rPr>
          <w:snapToGrid w:val="0"/>
        </w:rPr>
        <w:t xml:space="preserve">, </w:t>
      </w:r>
      <w:r w:rsidRPr="00C16083" w:rsidR="00841DA8">
        <w:rPr>
          <w:snapToGrid w:val="0"/>
        </w:rPr>
        <w:t xml:space="preserve">cited above, </w:t>
      </w:r>
      <w:r w:rsidRPr="00C16083" w:rsidR="002B249C">
        <w:rPr>
          <w:snapToGrid w:val="0"/>
        </w:rPr>
        <w:t>§ 39</w:t>
      </w:r>
      <w:r w:rsidRPr="00C16083" w:rsidR="002B249C">
        <w:t>).</w:t>
      </w:r>
    </w:p>
    <w:p w:rsidRPr="00C16083" w:rsidR="00843BB9" w:rsidP="00C16083" w:rsidRDefault="006368BA">
      <w:pPr>
        <w:pStyle w:val="JuPara"/>
      </w:pPr>
      <w:fldSimple w:instr=" SEQ level0 \*arabic ">
        <w:r w:rsidRPr="00C16083" w:rsidR="00C16083">
          <w:rPr>
            <w:noProof/>
          </w:rPr>
          <w:t>124</w:t>
        </w:r>
      </w:fldSimple>
      <w:r w:rsidRPr="00C16083" w:rsidR="0077175D">
        <w:t>.  </w:t>
      </w:r>
      <w:r w:rsidRPr="00C16083" w:rsidR="00383C26">
        <w:t>With the exception of two applications (application nos. 11264/04 (second search) and 73629/13), t</w:t>
      </w:r>
      <w:r w:rsidRPr="00C16083" w:rsidR="0073336F">
        <w:t>he search</w:t>
      </w:r>
      <w:r w:rsidRPr="00C16083" w:rsidR="002B249C">
        <w:t>es were</w:t>
      </w:r>
      <w:r w:rsidRPr="00C16083" w:rsidR="0073336F">
        <w:t xml:space="preserve"> </w:t>
      </w:r>
      <w:r w:rsidRPr="00C16083" w:rsidR="00E027FF">
        <w:t>based on</w:t>
      </w:r>
      <w:r w:rsidRPr="00C16083" w:rsidR="0073336F">
        <w:t xml:space="preserve"> </w:t>
      </w:r>
      <w:r w:rsidRPr="00C16083" w:rsidR="00E027FF">
        <w:t>search warrants</w:t>
      </w:r>
      <w:r w:rsidRPr="00C16083" w:rsidR="00194C99">
        <w:t>,</w:t>
      </w:r>
      <w:r w:rsidRPr="00C16083" w:rsidR="0073336F">
        <w:t xml:space="preserve"> and </w:t>
      </w:r>
      <w:r w:rsidRPr="00C16083" w:rsidR="00A21A35">
        <w:t xml:space="preserve">their stated aim was </w:t>
      </w:r>
      <w:r w:rsidRPr="00C16083" w:rsidR="0072093C">
        <w:t>to uncover criminal evidence</w:t>
      </w:r>
      <w:r w:rsidRPr="00C16083" w:rsidR="0073336F">
        <w:t>.</w:t>
      </w:r>
      <w:r w:rsidRPr="00C16083" w:rsidR="006D270B">
        <w:t xml:space="preserve"> In the two applications </w:t>
      </w:r>
      <w:r w:rsidRPr="00C16083" w:rsidR="00700052">
        <w:t xml:space="preserve">where </w:t>
      </w:r>
      <w:r w:rsidRPr="00C16083" w:rsidR="006D270B">
        <w:t>the searches were performed without a court search warrant</w:t>
      </w:r>
      <w:r w:rsidRPr="00C16083" w:rsidR="00700052">
        <w:t>, they were carried out</w:t>
      </w:r>
      <w:r w:rsidRPr="00C16083" w:rsidR="006D270B">
        <w:t xml:space="preserve"> under different procedures set for urgent situations (application no. 11264/04</w:t>
      </w:r>
      <w:r w:rsidRPr="00C16083" w:rsidR="009356CC">
        <w:t xml:space="preserve"> (second search)</w:t>
      </w:r>
      <w:r w:rsidRPr="00C16083" w:rsidR="006D270B">
        <w:t>) and for crime scene examinations (application no. 73629/13).</w:t>
      </w:r>
      <w:r w:rsidRPr="00C16083" w:rsidR="0073336F">
        <w:t xml:space="preserve"> </w:t>
      </w:r>
      <w:r w:rsidRPr="00C16083" w:rsidR="00D346BC">
        <w:t>The Court</w:t>
      </w:r>
      <w:r w:rsidRPr="00C16083" w:rsidR="0073336F">
        <w:t xml:space="preserve"> </w:t>
      </w:r>
      <w:r w:rsidRPr="00C16083" w:rsidR="00E12632">
        <w:t xml:space="preserve">will proceed </w:t>
      </w:r>
      <w:r w:rsidRPr="00C16083" w:rsidR="00A21A35">
        <w:t xml:space="preserve">on the </w:t>
      </w:r>
      <w:r w:rsidRPr="00C16083" w:rsidR="00E12632">
        <w:t>assum</w:t>
      </w:r>
      <w:r w:rsidRPr="00C16083" w:rsidR="00A21A35">
        <w:t>ption</w:t>
      </w:r>
      <w:r w:rsidRPr="00C16083" w:rsidR="0073336F">
        <w:t xml:space="preserve"> that the search</w:t>
      </w:r>
      <w:r w:rsidRPr="00C16083" w:rsidR="0072093C">
        <w:t xml:space="preserve">es </w:t>
      </w:r>
      <w:r w:rsidRPr="00C16083" w:rsidR="00A5699F">
        <w:t xml:space="preserve">in all applications </w:t>
      </w:r>
      <w:r w:rsidRPr="00C16083" w:rsidR="0072093C">
        <w:t>were</w:t>
      </w:r>
      <w:r w:rsidRPr="00C16083" w:rsidR="0073336F">
        <w:t xml:space="preserve"> lawful in domestic terms and pursued the legitimate aim of the prevention of crime. It remains to be ascertained</w:t>
      </w:r>
      <w:r w:rsidRPr="00C16083" w:rsidR="00841DA8">
        <w:t xml:space="preserve"> </w:t>
      </w:r>
      <w:r w:rsidRPr="00C16083" w:rsidR="0073336F">
        <w:t xml:space="preserve">whether the impugned measures were “necessary in a democratic society”, in </w:t>
      </w:r>
      <w:r w:rsidRPr="00C16083" w:rsidR="007311F1">
        <w:t>particular,</w:t>
      </w:r>
      <w:r w:rsidRPr="00C16083" w:rsidR="0073336F">
        <w:t xml:space="preserve"> whether the relationship between the aim sought to be achieved and the means employed can be considered proportionate (</w:t>
      </w:r>
      <w:r w:rsidRPr="00C16083" w:rsidR="00F3642B">
        <w:t xml:space="preserve">see </w:t>
      </w:r>
      <w:r w:rsidRPr="00C16083" w:rsidR="001066B2">
        <w:rPr>
          <w:i/>
        </w:rPr>
        <w:t>Yuditskaya and Others v. Russia</w:t>
      </w:r>
      <w:r w:rsidRPr="00C16083" w:rsidR="001066B2">
        <w:t>, no. 5678/06</w:t>
      </w:r>
      <w:r w:rsidRPr="00C16083" w:rsidR="00736760">
        <w:rPr>
          <w:snapToGrid w:val="0"/>
        </w:rPr>
        <w:t>, § </w:t>
      </w:r>
      <w:r w:rsidRPr="00C16083" w:rsidR="001066B2">
        <w:rPr>
          <w:snapToGrid w:val="0"/>
        </w:rPr>
        <w:t>26, 1</w:t>
      </w:r>
      <w:r w:rsidRPr="00C16083" w:rsidR="001066B2">
        <w:t>2</w:t>
      </w:r>
      <w:r w:rsidRPr="00C16083" w:rsidR="001066B2">
        <w:rPr>
          <w:snapToGrid w:val="0"/>
        </w:rPr>
        <w:t> February 2015</w:t>
      </w:r>
      <w:r w:rsidRPr="00C16083" w:rsidR="0073336F">
        <w:t>).</w:t>
      </w:r>
    </w:p>
    <w:p w:rsidRPr="00C16083" w:rsidR="00843BB9" w:rsidP="00C16083" w:rsidRDefault="006368BA">
      <w:pPr>
        <w:pStyle w:val="JuPara"/>
      </w:pPr>
      <w:fldSimple w:instr=" SEQ level0 \*arabic ">
        <w:r w:rsidRPr="00C16083" w:rsidR="00C16083">
          <w:rPr>
            <w:noProof/>
          </w:rPr>
          <w:t>125</w:t>
        </w:r>
      </w:fldSimple>
      <w:r w:rsidRPr="00C16083" w:rsidR="0073336F">
        <w:t>.  The Court has repeatedly held that persecution and harassment of members of the legal profession strikes at the very heart of the Convention system. Therefore</w:t>
      </w:r>
      <w:r w:rsidRPr="00C16083" w:rsidR="00194C99">
        <w:t xml:space="preserve">, </w:t>
      </w:r>
      <w:r w:rsidRPr="00C16083" w:rsidR="0073336F">
        <w:t>search</w:t>
      </w:r>
      <w:r w:rsidRPr="00C16083" w:rsidR="00194C99">
        <w:t>es</w:t>
      </w:r>
      <w:r w:rsidRPr="00C16083" w:rsidR="0073336F">
        <w:t xml:space="preserve"> of lawyers</w:t>
      </w:r>
      <w:r w:rsidRPr="00C16083" w:rsidR="00C16083">
        <w:t>’</w:t>
      </w:r>
      <w:r w:rsidRPr="00C16083" w:rsidR="0073336F">
        <w:t xml:space="preserve"> </w:t>
      </w:r>
      <w:r w:rsidRPr="00C16083" w:rsidR="00C314F7">
        <w:t xml:space="preserve">homes or offices </w:t>
      </w:r>
      <w:r w:rsidRPr="00C16083" w:rsidR="0073336F">
        <w:t>should be subject to especially strict scrutiny</w:t>
      </w:r>
      <w:r w:rsidRPr="00C16083" w:rsidR="00F3642B">
        <w:t xml:space="preserve"> (see </w:t>
      </w:r>
      <w:r w:rsidRPr="00C16083" w:rsidR="00F3642B">
        <w:rPr>
          <w:i/>
        </w:rPr>
        <w:t>Elçi and Others v. Turkey</w:t>
      </w:r>
      <w:r w:rsidRPr="00C16083" w:rsidR="00F3642B">
        <w:t>, nos. 23145/93 and 25091/94, § 669, 13 November 2003</w:t>
      </w:r>
      <w:r w:rsidRPr="00C16083" w:rsidR="00175AA0">
        <w:t>;</w:t>
      </w:r>
      <w:r w:rsidRPr="00C16083" w:rsidR="00175AA0">
        <w:rPr>
          <w:i/>
        </w:rPr>
        <w:t xml:space="preserve"> Xavier Da Silveira v. France</w:t>
      </w:r>
      <w:r w:rsidRPr="00C16083" w:rsidR="00175AA0">
        <w:t>, no.</w:t>
      </w:r>
      <w:r w:rsidRPr="00C16083" w:rsidR="00960CD3">
        <w:t> </w:t>
      </w:r>
      <w:r w:rsidRPr="00C16083" w:rsidR="00175AA0">
        <w:t xml:space="preserve">43757/05, § 41, 21 January 2010; and </w:t>
      </w:r>
      <w:r w:rsidRPr="00C16083" w:rsidR="00175AA0">
        <w:rPr>
          <w:i/>
        </w:rPr>
        <w:t>Leotsakos v. Greece</w:t>
      </w:r>
      <w:r w:rsidRPr="00C16083" w:rsidR="00175AA0">
        <w:t>, no.</w:t>
      </w:r>
      <w:r w:rsidRPr="00C16083" w:rsidR="00960CD3">
        <w:t> </w:t>
      </w:r>
      <w:r w:rsidRPr="00C16083" w:rsidR="00175AA0">
        <w:t>30958/13, § 42, 4 October 2018</w:t>
      </w:r>
      <w:r w:rsidRPr="00C16083" w:rsidR="00231EAD">
        <w:t xml:space="preserve">; see </w:t>
      </w:r>
      <w:r w:rsidRPr="00C16083" w:rsidR="00FF0F5E">
        <w:t>also international legal materials on the protection of lawyer</w:t>
      </w:r>
      <w:r w:rsidRPr="00C16083" w:rsidR="003C5895">
        <w:t>-client relationship,</w:t>
      </w:r>
      <w:r w:rsidRPr="00C16083" w:rsidR="00FF0F5E">
        <w:t xml:space="preserve"> </w:t>
      </w:r>
      <w:r w:rsidRPr="00C16083" w:rsidR="00231EAD">
        <w:t xml:space="preserve">paragraphs </w:t>
      </w:r>
      <w:r w:rsidRPr="00C16083" w:rsidR="00231EAD">
        <w:fldChar w:fldCharType="begin"/>
      </w:r>
      <w:r w:rsidRPr="00C16083" w:rsidR="00231EAD">
        <w:instrText xml:space="preserve"> REF Int_law_start \h </w:instrText>
      </w:r>
      <w:r w:rsidRPr="00C16083" w:rsidR="00D8597E">
        <w:instrText xml:space="preserve"> \* MERGEFORMAT </w:instrText>
      </w:r>
      <w:r w:rsidRPr="00C16083" w:rsidR="00231EAD">
        <w:fldChar w:fldCharType="separate"/>
      </w:r>
      <w:r w:rsidRPr="00C16083" w:rsidR="00C16083">
        <w:t>102</w:t>
      </w:r>
      <w:r w:rsidRPr="00C16083" w:rsidR="00231EAD">
        <w:fldChar w:fldCharType="end"/>
      </w:r>
      <w:r w:rsidRPr="00C16083" w:rsidR="00231EAD">
        <w:t>-</w:t>
      </w:r>
      <w:r w:rsidRPr="00C16083" w:rsidR="00231EAD">
        <w:fldChar w:fldCharType="begin"/>
      </w:r>
      <w:r w:rsidRPr="00C16083" w:rsidR="00231EAD">
        <w:instrText xml:space="preserve"> REF Int_law_end \h </w:instrText>
      </w:r>
      <w:r w:rsidRPr="00C16083" w:rsidR="00D8597E">
        <w:instrText xml:space="preserve"> \* MERGEFORMAT </w:instrText>
      </w:r>
      <w:r w:rsidRPr="00C16083" w:rsidR="00231EAD">
        <w:fldChar w:fldCharType="separate"/>
      </w:r>
      <w:r w:rsidRPr="00C16083" w:rsidR="00C16083">
        <w:t>105</w:t>
      </w:r>
      <w:r w:rsidRPr="00C16083" w:rsidR="00231EAD">
        <w:fldChar w:fldCharType="end"/>
      </w:r>
      <w:r w:rsidRPr="00C16083" w:rsidR="00231EAD">
        <w:t xml:space="preserve"> above</w:t>
      </w:r>
      <w:r w:rsidRPr="00C16083" w:rsidR="00F3642B">
        <w:rPr>
          <w:iCs/>
        </w:rPr>
        <w:t>)</w:t>
      </w:r>
      <w:r w:rsidRPr="00C16083" w:rsidR="0073336F">
        <w:t xml:space="preserve">. To determine whether the measures were “necessary in a democratic society”, the Court has to </w:t>
      </w:r>
      <w:r w:rsidRPr="00C16083" w:rsidR="00D346BC">
        <w:t xml:space="preserve">ascertain whether </w:t>
      </w:r>
      <w:r w:rsidRPr="00C16083" w:rsidR="0073336F">
        <w:t xml:space="preserve">effective safeguards against abuse or arbitrariness </w:t>
      </w:r>
      <w:r w:rsidRPr="00C16083" w:rsidR="00D346BC">
        <w:t xml:space="preserve">were available </w:t>
      </w:r>
      <w:r w:rsidRPr="00C16083" w:rsidR="0073336F">
        <w:t>under domestic law and how those safeguards operated in the specific case</w:t>
      </w:r>
      <w:r w:rsidRPr="00C16083" w:rsidR="00D346BC">
        <w:t>s</w:t>
      </w:r>
      <w:r w:rsidRPr="00C16083" w:rsidR="0073336F">
        <w:t xml:space="preserve"> under examination. Elements </w:t>
      </w:r>
      <w:r w:rsidRPr="00C16083" w:rsidR="0088228A">
        <w:t xml:space="preserve">to be </w:t>
      </w:r>
      <w:r w:rsidRPr="00C16083" w:rsidR="0073336F">
        <w:t xml:space="preserve">taken into consideration in this regard are the severity of the offence in connection with which the search and seizure </w:t>
      </w:r>
      <w:r w:rsidRPr="00C16083" w:rsidR="00194C99">
        <w:t>were</w:t>
      </w:r>
      <w:r w:rsidRPr="00C16083" w:rsidR="0073336F">
        <w:t xml:space="preserve"> effected, whether they were carried out pursuant to a</w:t>
      </w:r>
      <w:r w:rsidRPr="00C16083" w:rsidR="00CD33B7">
        <w:t>n</w:t>
      </w:r>
      <w:r w:rsidRPr="00C16083" w:rsidR="0073336F">
        <w:t xml:space="preserve"> </w:t>
      </w:r>
      <w:r w:rsidRPr="00C16083" w:rsidR="00CD33B7">
        <w:t>order</w:t>
      </w:r>
      <w:r w:rsidRPr="00C16083" w:rsidR="0073336F">
        <w:t xml:space="preserve"> issued by a judge or a judicial officer or subjected to after-the-fact judicial scrutiny, whether the </w:t>
      </w:r>
      <w:r w:rsidRPr="00C16083" w:rsidR="00CD33B7">
        <w:t>order</w:t>
      </w:r>
      <w:r w:rsidRPr="00C16083" w:rsidR="0073336F">
        <w:t xml:space="preserve"> was based on reasonable suspicion</w:t>
      </w:r>
      <w:r w:rsidRPr="00C16083" w:rsidR="00194C99">
        <w:t>,</w:t>
      </w:r>
      <w:r w:rsidRPr="00C16083" w:rsidR="0073336F">
        <w:t xml:space="preserve"> and whether its scope was reasonably limited. The Court must also review the manner in which the search was executed, </w:t>
      </w:r>
      <w:r w:rsidRPr="00C16083" w:rsidR="00CD32BC">
        <w:t xml:space="preserve">including </w:t>
      </w:r>
      <w:r w:rsidRPr="00C16083" w:rsidR="0073336F">
        <w:t>– where a lawyer</w:t>
      </w:r>
      <w:r w:rsidRPr="00C16083" w:rsidR="00C16083">
        <w:t>’</w:t>
      </w:r>
      <w:r w:rsidRPr="00C16083" w:rsidR="0073336F">
        <w:t xml:space="preserve">s office is concerned – whether it was carried out in the presence of an independent observer </w:t>
      </w:r>
      <w:r w:rsidRPr="00C16083" w:rsidR="00CD32BC">
        <w:t xml:space="preserve">or </w:t>
      </w:r>
      <w:r w:rsidRPr="00C16083" w:rsidR="00CC4239">
        <w:t xml:space="preserve">whether </w:t>
      </w:r>
      <w:r w:rsidRPr="00C16083" w:rsidR="00CD32BC">
        <w:t xml:space="preserve">other special safeguards were available </w:t>
      </w:r>
      <w:r w:rsidRPr="00C16083" w:rsidR="0073336F">
        <w:t xml:space="preserve">to ensure that material </w:t>
      </w:r>
      <w:r w:rsidRPr="00C16083" w:rsidR="00194C99">
        <w:t xml:space="preserve">covered by </w:t>
      </w:r>
      <w:r w:rsidRPr="00C16083" w:rsidR="0073336F">
        <w:t xml:space="preserve">legal professional privilege was not removed. The Court must </w:t>
      </w:r>
      <w:r w:rsidRPr="00C16083" w:rsidR="00D346BC">
        <w:t xml:space="preserve">lastly </w:t>
      </w:r>
      <w:r w:rsidRPr="00C16083" w:rsidR="0073336F">
        <w:t>take into account the extent of the possible repercussions on the work and the reputation of the persons affected by the search (</w:t>
      </w:r>
      <w:r w:rsidRPr="00C16083" w:rsidR="00EE12D7">
        <w:t xml:space="preserve">see </w:t>
      </w:r>
      <w:r w:rsidRPr="00C16083" w:rsidR="00EE12D7">
        <w:rPr>
          <w:i/>
        </w:rPr>
        <w:t>Yuditskaya</w:t>
      </w:r>
      <w:r w:rsidRPr="00C16083" w:rsidR="00EE12D7">
        <w:t>, cited above, § 27</w:t>
      </w:r>
      <w:r w:rsidRPr="00C16083" w:rsidR="0073336F">
        <w:t>).</w:t>
      </w:r>
    </w:p>
    <w:bookmarkStart w:name="Natl_courts_proportionality_test_START" w:id="50"/>
    <w:p w:rsidRPr="00C16083" w:rsidR="00843BB9" w:rsidP="00C16083" w:rsidRDefault="00CB26D0">
      <w:pPr>
        <w:pStyle w:val="JuPara"/>
      </w:pPr>
      <w:r w:rsidRPr="00C16083">
        <w:fldChar w:fldCharType="begin"/>
      </w:r>
      <w:r w:rsidRPr="00C16083">
        <w:instrText xml:space="preserve"> SEQ level0 \*arabic </w:instrText>
      </w:r>
      <w:r w:rsidRPr="00C16083">
        <w:fldChar w:fldCharType="separate"/>
      </w:r>
      <w:r w:rsidRPr="00C16083" w:rsidR="00C16083">
        <w:rPr>
          <w:noProof/>
        </w:rPr>
        <w:t>126</w:t>
      </w:r>
      <w:r w:rsidRPr="00C16083">
        <w:rPr>
          <w:noProof/>
        </w:rPr>
        <w:fldChar w:fldCharType="end"/>
      </w:r>
      <w:bookmarkEnd w:id="50"/>
      <w:r w:rsidRPr="00C16083" w:rsidR="0073336F">
        <w:t>.  Turning to the present cases, the Court observes that</w:t>
      </w:r>
      <w:r w:rsidRPr="00C16083" w:rsidR="0076567C">
        <w:t xml:space="preserve"> </w:t>
      </w:r>
      <w:r w:rsidRPr="00C16083" w:rsidR="00A21A35">
        <w:t xml:space="preserve">in </w:t>
      </w:r>
      <w:r w:rsidRPr="00C16083" w:rsidR="0076567C">
        <w:t xml:space="preserve">only </w:t>
      </w:r>
      <w:r w:rsidRPr="00C16083" w:rsidR="008A0632">
        <w:t>one</w:t>
      </w:r>
      <w:r w:rsidRPr="00C16083" w:rsidR="0076567C">
        <w:t xml:space="preserve"> of </w:t>
      </w:r>
      <w:r w:rsidRPr="00C16083" w:rsidR="00232CD6">
        <w:t xml:space="preserve">fifteen </w:t>
      </w:r>
      <w:r w:rsidRPr="00C16083" w:rsidR="00BB11E8">
        <w:t xml:space="preserve">applications </w:t>
      </w:r>
      <w:r w:rsidRPr="00C16083" w:rsidR="0076567C">
        <w:t xml:space="preserve">(application no. 11264/04) </w:t>
      </w:r>
      <w:r w:rsidRPr="00C16083" w:rsidR="00D346BC">
        <w:t xml:space="preserve">was </w:t>
      </w:r>
      <w:r w:rsidRPr="00C16083" w:rsidR="0076567C">
        <w:t>the applicant</w:t>
      </w:r>
      <w:r w:rsidRPr="00C16083" w:rsidR="00920A69">
        <w:t xml:space="preserve"> advocate</w:t>
      </w:r>
      <w:r w:rsidRPr="00C16083" w:rsidR="0076567C">
        <w:t xml:space="preserve"> </w:t>
      </w:r>
      <w:r w:rsidRPr="00C16083" w:rsidR="00536A30">
        <w:t xml:space="preserve">officially </w:t>
      </w:r>
      <w:r w:rsidRPr="00C16083" w:rsidR="0076567C">
        <w:t xml:space="preserve">suspected of having committed </w:t>
      </w:r>
      <w:r w:rsidRPr="00C16083" w:rsidR="00AD4D5B">
        <w:t>a criminal</w:t>
      </w:r>
      <w:r w:rsidRPr="00C16083" w:rsidR="0076567C">
        <w:t xml:space="preserve"> offence</w:t>
      </w:r>
      <w:r w:rsidRPr="00C16083" w:rsidR="00897776">
        <w:t xml:space="preserve"> –</w:t>
      </w:r>
      <w:r w:rsidRPr="00C16083" w:rsidR="00920A69">
        <w:t xml:space="preserve"> </w:t>
      </w:r>
      <w:r w:rsidRPr="00C16083" w:rsidR="006D270B">
        <w:t xml:space="preserve">libel of </w:t>
      </w:r>
      <w:r w:rsidRPr="00C16083" w:rsidR="005A281B">
        <w:t>a judge.</w:t>
      </w:r>
      <w:r w:rsidRPr="00C16083" w:rsidR="0076567C">
        <w:t xml:space="preserve"> I</w:t>
      </w:r>
      <w:r w:rsidRPr="00C16083" w:rsidR="00C956DB">
        <w:t xml:space="preserve">n the </w:t>
      </w:r>
      <w:r w:rsidRPr="00C16083" w:rsidR="0088228A">
        <w:t xml:space="preserve">other </w:t>
      </w:r>
      <w:r w:rsidRPr="00C16083" w:rsidR="00841E2B">
        <w:t xml:space="preserve">fourteen </w:t>
      </w:r>
      <w:r w:rsidRPr="00C16083" w:rsidR="00BB11E8">
        <w:t xml:space="preserve">applications </w:t>
      </w:r>
      <w:r w:rsidRPr="00C16083" w:rsidR="008A0632">
        <w:t xml:space="preserve">the </w:t>
      </w:r>
      <w:r w:rsidRPr="00C16083" w:rsidR="0088228A">
        <w:t>applicant</w:t>
      </w:r>
      <w:r w:rsidRPr="00C16083" w:rsidR="00D346BC">
        <w:t>s were</w:t>
      </w:r>
      <w:r w:rsidRPr="00C16083" w:rsidR="0088228A">
        <w:t xml:space="preserve"> </w:t>
      </w:r>
      <w:r w:rsidRPr="00C16083" w:rsidR="00C956DB">
        <w:t>lawyers</w:t>
      </w:r>
      <w:r w:rsidRPr="00C16083" w:rsidR="008A0632">
        <w:t xml:space="preserve"> </w:t>
      </w:r>
      <w:r w:rsidRPr="00C16083" w:rsidR="00D346BC">
        <w:t xml:space="preserve">who </w:t>
      </w:r>
      <w:r w:rsidRPr="00C16083" w:rsidR="008A0632">
        <w:t xml:space="preserve">were not </w:t>
      </w:r>
      <w:r w:rsidRPr="00C16083" w:rsidR="00897776">
        <w:t xml:space="preserve">under </w:t>
      </w:r>
      <w:r w:rsidRPr="00C16083" w:rsidR="008A0632">
        <w:t xml:space="preserve">criminal investigation. </w:t>
      </w:r>
      <w:r w:rsidRPr="00C16083" w:rsidR="0076567C">
        <w:t xml:space="preserve">In two </w:t>
      </w:r>
      <w:r w:rsidRPr="00C16083" w:rsidR="00BB11E8">
        <w:t xml:space="preserve">applications </w:t>
      </w:r>
      <w:r w:rsidRPr="00C16083" w:rsidR="00E54DB1">
        <w:t>(application nos. </w:t>
      </w:r>
      <w:r w:rsidRPr="00C16083" w:rsidR="0076567C">
        <w:t xml:space="preserve">32324/06 and 26067/08) the searches </w:t>
      </w:r>
      <w:r w:rsidRPr="00C16083" w:rsidR="00D346BC">
        <w:t xml:space="preserve">had been </w:t>
      </w:r>
      <w:r w:rsidRPr="00C16083" w:rsidR="0076567C">
        <w:t xml:space="preserve">authorised in respect of </w:t>
      </w:r>
      <w:r w:rsidRPr="00C16083" w:rsidR="003B2AB6">
        <w:t xml:space="preserve">the </w:t>
      </w:r>
      <w:r w:rsidRPr="00C16083" w:rsidR="00AD4D5B">
        <w:t>applicants</w:t>
      </w:r>
      <w:r w:rsidRPr="00C16083" w:rsidR="00C16083">
        <w:t>’</w:t>
      </w:r>
      <w:r w:rsidRPr="00C16083" w:rsidR="0076567C">
        <w:t xml:space="preserve"> relatives</w:t>
      </w:r>
      <w:r w:rsidRPr="00C16083" w:rsidR="00D346BC">
        <w:t>,</w:t>
      </w:r>
      <w:r w:rsidRPr="00C16083" w:rsidR="0076567C">
        <w:t xml:space="preserve"> </w:t>
      </w:r>
      <w:r w:rsidRPr="00C16083" w:rsidR="005105D5">
        <w:t xml:space="preserve">who were </w:t>
      </w:r>
      <w:r w:rsidRPr="00C16083" w:rsidR="0076567C">
        <w:t>suspected of criminal offen</w:t>
      </w:r>
      <w:r w:rsidRPr="00C16083" w:rsidR="005105D5">
        <w:t>c</w:t>
      </w:r>
      <w:r w:rsidRPr="00C16083" w:rsidR="0076567C">
        <w:t xml:space="preserve">es. </w:t>
      </w:r>
      <w:r w:rsidRPr="00C16083" w:rsidR="00C956DB">
        <w:t>In</w:t>
      </w:r>
      <w:r w:rsidRPr="00C16083" w:rsidR="003B2AB6">
        <w:t xml:space="preserve"> the other</w:t>
      </w:r>
      <w:r w:rsidRPr="00C16083" w:rsidR="00C956DB">
        <w:t xml:space="preserve"> </w:t>
      </w:r>
      <w:r w:rsidRPr="00C16083" w:rsidR="00841E2B">
        <w:t xml:space="preserve">twelve </w:t>
      </w:r>
      <w:r w:rsidRPr="00C16083" w:rsidR="00BB11E8">
        <w:t>applications</w:t>
      </w:r>
      <w:r w:rsidRPr="00C16083" w:rsidR="0088228A">
        <w:t>,</w:t>
      </w:r>
      <w:r w:rsidRPr="00C16083" w:rsidR="00C956DB">
        <w:t xml:space="preserve"> the lawyers</w:t>
      </w:r>
      <w:r w:rsidRPr="00C16083" w:rsidR="00C16083">
        <w:t>’</w:t>
      </w:r>
      <w:r w:rsidRPr="00C16083" w:rsidR="00C956DB">
        <w:t xml:space="preserve"> premises </w:t>
      </w:r>
      <w:r w:rsidRPr="00C16083" w:rsidR="00276727">
        <w:t xml:space="preserve">were searched </w:t>
      </w:r>
      <w:r w:rsidRPr="00C16083" w:rsidR="00C956DB">
        <w:t>because their clients</w:t>
      </w:r>
      <w:r w:rsidRPr="00C16083" w:rsidR="0076567C">
        <w:t xml:space="preserve"> </w:t>
      </w:r>
      <w:r w:rsidRPr="00C16083" w:rsidR="00D346BC">
        <w:t xml:space="preserve">were </w:t>
      </w:r>
      <w:r w:rsidRPr="00C16083" w:rsidR="00C956DB">
        <w:t xml:space="preserve">under investigation and thus </w:t>
      </w:r>
      <w:r w:rsidRPr="00C16083" w:rsidR="0076567C">
        <w:t xml:space="preserve">the lawyers </w:t>
      </w:r>
      <w:r w:rsidRPr="00C16083" w:rsidR="00D346BC">
        <w:t xml:space="preserve">might </w:t>
      </w:r>
      <w:r w:rsidRPr="00C16083" w:rsidR="00C956DB">
        <w:t xml:space="preserve">have </w:t>
      </w:r>
      <w:r w:rsidRPr="00C16083" w:rsidR="00D346BC">
        <w:t xml:space="preserve">been in possession of </w:t>
      </w:r>
      <w:r w:rsidRPr="00C16083" w:rsidR="00C956DB">
        <w:t>some useful information about them.</w:t>
      </w:r>
    </w:p>
    <w:p w:rsidRPr="00C16083" w:rsidR="00843BB9" w:rsidP="00C16083" w:rsidRDefault="006368BA">
      <w:pPr>
        <w:pStyle w:val="JuPara"/>
      </w:pPr>
      <w:fldSimple w:instr=" SEQ level0 \*arabic ">
        <w:r w:rsidRPr="00C16083" w:rsidR="00C16083">
          <w:rPr>
            <w:noProof/>
          </w:rPr>
          <w:t>127</w:t>
        </w:r>
      </w:fldSimple>
      <w:r w:rsidRPr="00C16083" w:rsidR="00E5559B">
        <w:t>.  </w:t>
      </w:r>
      <w:r w:rsidRPr="00C16083" w:rsidR="0027156B">
        <w:t>T</w:t>
      </w:r>
      <w:r w:rsidRPr="00C16083" w:rsidR="00875EC7">
        <w:t xml:space="preserve">he </w:t>
      </w:r>
      <w:r w:rsidRPr="00C16083" w:rsidR="006D270B">
        <w:t xml:space="preserve">court </w:t>
      </w:r>
      <w:r w:rsidRPr="00C16083" w:rsidR="00875EC7">
        <w:t>search warrants</w:t>
      </w:r>
      <w:r w:rsidRPr="00C16083" w:rsidR="006D270B">
        <w:t>, where issued,</w:t>
      </w:r>
      <w:r w:rsidRPr="00C16083" w:rsidR="00875EC7">
        <w:t xml:space="preserve"> </w:t>
      </w:r>
      <w:r w:rsidRPr="00C16083" w:rsidR="0082795C">
        <w:t xml:space="preserve">indicated </w:t>
      </w:r>
      <w:r w:rsidRPr="00C16083" w:rsidR="00875EC7">
        <w:t>that the material submitted from the criminal cases had provided sufficient grounds to believe that documents or objects relevant to the investigation could be located on the applicants</w:t>
      </w:r>
      <w:r w:rsidRPr="00C16083" w:rsidR="00C16083">
        <w:t>’</w:t>
      </w:r>
      <w:r w:rsidRPr="00C16083" w:rsidR="00875EC7">
        <w:t xml:space="preserve"> premises</w:t>
      </w:r>
      <w:r w:rsidRPr="00C16083" w:rsidR="00B46424">
        <w:t xml:space="preserve"> (see paragraphs </w:t>
      </w:r>
      <w:r w:rsidRPr="00C16083" w:rsidR="00E151DC">
        <w:fldChar w:fldCharType="begin"/>
      </w:r>
      <w:r w:rsidRPr="00C16083" w:rsidR="00E151DC">
        <w:instrText xml:space="preserve"> REF search_warrant_Kruglov \h </w:instrText>
      </w:r>
      <w:r w:rsidRPr="00C16083" w:rsidR="00E151DC">
        <w:fldChar w:fldCharType="separate"/>
      </w:r>
      <w:r w:rsidRPr="00C16083" w:rsidR="00C16083">
        <w:rPr>
          <w:noProof/>
        </w:rPr>
        <w:t>7</w:t>
      </w:r>
      <w:r w:rsidRPr="00C16083" w:rsidR="00E151DC">
        <w:fldChar w:fldCharType="end"/>
      </w:r>
      <w:r w:rsidRPr="00C16083" w:rsidR="00E151DC">
        <w:t xml:space="preserve">, </w:t>
      </w:r>
      <w:r w:rsidRPr="00C16083" w:rsidR="00E151DC">
        <w:fldChar w:fldCharType="begin"/>
      </w:r>
      <w:r w:rsidRPr="00C16083" w:rsidR="00E151DC">
        <w:instrText xml:space="preserve"> REF search_warrant_Buraga \h </w:instrText>
      </w:r>
      <w:r w:rsidRPr="00C16083" w:rsidR="00E151DC">
        <w:fldChar w:fldCharType="separate"/>
      </w:r>
      <w:r w:rsidRPr="00C16083" w:rsidR="00C16083">
        <w:rPr>
          <w:noProof/>
        </w:rPr>
        <w:t>12</w:t>
      </w:r>
      <w:r w:rsidRPr="00C16083" w:rsidR="00E151DC">
        <w:fldChar w:fldCharType="end"/>
      </w:r>
      <w:r w:rsidRPr="00C16083" w:rsidR="00E151DC">
        <w:t xml:space="preserve">, </w:t>
      </w:r>
      <w:r w:rsidRPr="00C16083" w:rsidR="00E151DC">
        <w:fldChar w:fldCharType="begin"/>
      </w:r>
      <w:r w:rsidRPr="00C16083" w:rsidR="00E151DC">
        <w:instrText xml:space="preserve"> REF search_warrant_Belinskaya \h </w:instrText>
      </w:r>
      <w:r w:rsidRPr="00C16083" w:rsidR="00E151DC">
        <w:fldChar w:fldCharType="separate"/>
      </w:r>
      <w:r w:rsidRPr="00C16083" w:rsidR="00C16083">
        <w:rPr>
          <w:noProof/>
        </w:rPr>
        <w:t>20</w:t>
      </w:r>
      <w:r w:rsidRPr="00C16083" w:rsidR="00E151DC">
        <w:fldChar w:fldCharType="end"/>
      </w:r>
      <w:r w:rsidRPr="00C16083" w:rsidR="00E151DC">
        <w:t xml:space="preserve">, </w:t>
      </w:r>
      <w:r w:rsidRPr="00C16083" w:rsidR="00E151DC">
        <w:fldChar w:fldCharType="begin"/>
      </w:r>
      <w:r w:rsidRPr="00C16083" w:rsidR="00E151DC">
        <w:instrText xml:space="preserve"> REF search_warrant_Federov \h </w:instrText>
      </w:r>
      <w:r w:rsidRPr="00C16083" w:rsidR="00E151DC">
        <w:fldChar w:fldCharType="separate"/>
      </w:r>
      <w:r w:rsidRPr="00C16083" w:rsidR="00C16083">
        <w:rPr>
          <w:noProof/>
        </w:rPr>
        <w:t>24</w:t>
      </w:r>
      <w:r w:rsidRPr="00C16083" w:rsidR="00E151DC">
        <w:fldChar w:fldCharType="end"/>
      </w:r>
      <w:r w:rsidRPr="00C16083" w:rsidR="00E151DC">
        <w:t xml:space="preserve">, </w:t>
      </w:r>
      <w:r w:rsidRPr="00C16083" w:rsidR="00E151DC">
        <w:fldChar w:fldCharType="begin"/>
      </w:r>
      <w:r w:rsidRPr="00C16083" w:rsidR="00E151DC">
        <w:instrText xml:space="preserve"> REF search_warrant_Fast \h </w:instrText>
      </w:r>
      <w:r w:rsidRPr="00C16083" w:rsidR="00E151DC">
        <w:fldChar w:fldCharType="separate"/>
      </w:r>
      <w:r w:rsidRPr="00C16083" w:rsidR="00C16083">
        <w:rPr>
          <w:noProof/>
        </w:rPr>
        <w:t>32</w:t>
      </w:r>
      <w:r w:rsidRPr="00C16083" w:rsidR="00E151DC">
        <w:fldChar w:fldCharType="end"/>
      </w:r>
      <w:r w:rsidRPr="00C16083" w:rsidR="00E151DC">
        <w:t xml:space="preserve">, </w:t>
      </w:r>
      <w:r w:rsidRPr="00C16083" w:rsidR="00E151DC">
        <w:fldChar w:fldCharType="begin"/>
      </w:r>
      <w:r w:rsidRPr="00C16083" w:rsidR="00E151DC">
        <w:instrText xml:space="preserve"> REF search_warrant_Balyan \h </w:instrText>
      </w:r>
      <w:r w:rsidRPr="00C16083" w:rsidR="00E151DC">
        <w:fldChar w:fldCharType="separate"/>
      </w:r>
      <w:r w:rsidRPr="00C16083" w:rsidR="00C16083">
        <w:rPr>
          <w:noProof/>
        </w:rPr>
        <w:t>37</w:t>
      </w:r>
      <w:r w:rsidRPr="00C16083" w:rsidR="00E151DC">
        <w:fldChar w:fldCharType="end"/>
      </w:r>
      <w:r w:rsidRPr="00C16083" w:rsidR="00E151DC">
        <w:t xml:space="preserve">, </w:t>
      </w:r>
      <w:r w:rsidRPr="00C16083" w:rsidR="00E151DC">
        <w:fldChar w:fldCharType="begin"/>
      </w:r>
      <w:r w:rsidRPr="00C16083" w:rsidR="00E151DC">
        <w:instrText xml:space="preserve"> REF search_warrant_Silivanov \h </w:instrText>
      </w:r>
      <w:r w:rsidRPr="00C16083" w:rsidR="00E151DC">
        <w:fldChar w:fldCharType="separate"/>
      </w:r>
      <w:r w:rsidRPr="00C16083" w:rsidR="00C16083">
        <w:rPr>
          <w:noProof/>
        </w:rPr>
        <w:t>47</w:t>
      </w:r>
      <w:r w:rsidRPr="00C16083" w:rsidR="00E151DC">
        <w:fldChar w:fldCharType="end"/>
      </w:r>
      <w:r w:rsidRPr="00C16083" w:rsidR="00E151DC">
        <w:t xml:space="preserve">, </w:t>
      </w:r>
      <w:r w:rsidRPr="00C16083" w:rsidR="00E151DC">
        <w:fldChar w:fldCharType="begin"/>
      </w:r>
      <w:r w:rsidRPr="00C16083" w:rsidR="00E151DC">
        <w:instrText xml:space="preserve"> REF search_warrant_Bulycheva \h </w:instrText>
      </w:r>
      <w:r w:rsidRPr="00C16083" w:rsidR="00E151DC">
        <w:fldChar w:fldCharType="separate"/>
      </w:r>
      <w:r w:rsidRPr="00C16083" w:rsidR="00C16083">
        <w:rPr>
          <w:noProof/>
        </w:rPr>
        <w:t>56</w:t>
      </w:r>
      <w:r w:rsidRPr="00C16083" w:rsidR="00E151DC">
        <w:fldChar w:fldCharType="end"/>
      </w:r>
      <w:r w:rsidRPr="00C16083" w:rsidR="00E151DC">
        <w:t xml:space="preserve">, </w:t>
      </w:r>
      <w:r w:rsidRPr="00C16083" w:rsidR="00E151DC">
        <w:fldChar w:fldCharType="begin"/>
      </w:r>
      <w:r w:rsidRPr="00C16083" w:rsidR="00E151DC">
        <w:instrText xml:space="preserve"> REF search_warrant_Moiseyeva \h </w:instrText>
      </w:r>
      <w:r w:rsidRPr="00C16083" w:rsidR="00E151DC">
        <w:fldChar w:fldCharType="separate"/>
      </w:r>
      <w:r w:rsidRPr="00C16083" w:rsidR="00C16083">
        <w:rPr>
          <w:noProof/>
        </w:rPr>
        <w:t>59</w:t>
      </w:r>
      <w:r w:rsidRPr="00C16083" w:rsidR="00E151DC">
        <w:fldChar w:fldCharType="end"/>
      </w:r>
      <w:r w:rsidRPr="00C16083" w:rsidR="00E151DC">
        <w:t xml:space="preserve">, </w:t>
      </w:r>
      <w:r w:rsidRPr="00C16083" w:rsidR="00E151DC">
        <w:fldChar w:fldCharType="begin"/>
      </w:r>
      <w:r w:rsidRPr="00C16083" w:rsidR="00E151DC">
        <w:instrText xml:space="preserve"> REF search_warrant_Parnachev \h </w:instrText>
      </w:r>
      <w:r w:rsidRPr="00C16083" w:rsidR="00E151DC">
        <w:fldChar w:fldCharType="separate"/>
      </w:r>
      <w:r w:rsidRPr="00C16083" w:rsidR="00C16083">
        <w:rPr>
          <w:noProof/>
        </w:rPr>
        <w:t>67</w:t>
      </w:r>
      <w:r w:rsidRPr="00C16083" w:rsidR="00E151DC">
        <w:fldChar w:fldCharType="end"/>
      </w:r>
      <w:r w:rsidRPr="00C16083" w:rsidR="00E151DC">
        <w:t xml:space="preserve">, </w:t>
      </w:r>
      <w:r w:rsidRPr="00C16083" w:rsidR="00E151DC">
        <w:fldChar w:fldCharType="begin"/>
      </w:r>
      <w:r w:rsidRPr="00C16083" w:rsidR="00E151DC">
        <w:instrText xml:space="preserve"> REF search_warrant_Ponyayeva \h </w:instrText>
      </w:r>
      <w:r w:rsidRPr="00C16083" w:rsidR="00E151DC">
        <w:fldChar w:fldCharType="separate"/>
      </w:r>
      <w:r w:rsidRPr="00C16083" w:rsidR="00C16083">
        <w:rPr>
          <w:noProof/>
        </w:rPr>
        <w:t>70</w:t>
      </w:r>
      <w:r w:rsidRPr="00C16083" w:rsidR="00E151DC">
        <w:fldChar w:fldCharType="end"/>
      </w:r>
      <w:r w:rsidRPr="00C16083" w:rsidR="00E151DC">
        <w:t xml:space="preserve">, </w:t>
      </w:r>
      <w:r w:rsidRPr="00C16083" w:rsidR="00E151DC">
        <w:fldChar w:fldCharType="begin"/>
      </w:r>
      <w:r w:rsidRPr="00C16083" w:rsidR="00E151DC">
        <w:instrText xml:space="preserve"> REF search_warrant_Ponyayeva_2 \h </w:instrText>
      </w:r>
      <w:r w:rsidRPr="00C16083" w:rsidR="00E151DC">
        <w:fldChar w:fldCharType="separate"/>
      </w:r>
      <w:r w:rsidRPr="00C16083" w:rsidR="00C16083">
        <w:rPr>
          <w:noProof/>
        </w:rPr>
        <w:t>74</w:t>
      </w:r>
      <w:r w:rsidRPr="00C16083" w:rsidR="00E151DC">
        <w:fldChar w:fldCharType="end"/>
      </w:r>
      <w:r w:rsidRPr="00C16083" w:rsidR="00E151DC">
        <w:t xml:space="preserve">, </w:t>
      </w:r>
      <w:r w:rsidRPr="00C16083" w:rsidR="00E151DC">
        <w:fldChar w:fldCharType="begin"/>
      </w:r>
      <w:r w:rsidRPr="00C16083" w:rsidR="00E151DC">
        <w:instrText xml:space="preserve"> REF search_warrant_Levchenko \h </w:instrText>
      </w:r>
      <w:r w:rsidRPr="00C16083" w:rsidR="00E151DC">
        <w:fldChar w:fldCharType="separate"/>
      </w:r>
      <w:r w:rsidRPr="00C16083" w:rsidR="00C16083">
        <w:rPr>
          <w:noProof/>
        </w:rPr>
        <w:t>76</w:t>
      </w:r>
      <w:r w:rsidRPr="00C16083" w:rsidR="00E151DC">
        <w:fldChar w:fldCharType="end"/>
      </w:r>
      <w:r w:rsidRPr="00C16083" w:rsidR="00E151DC">
        <w:t xml:space="preserve"> and </w:t>
      </w:r>
      <w:r w:rsidRPr="00C16083" w:rsidR="00E151DC">
        <w:fldChar w:fldCharType="begin"/>
      </w:r>
      <w:r w:rsidRPr="00C16083" w:rsidR="00E151DC">
        <w:instrText xml:space="preserve"> REF search_warrant_Pashkina \h </w:instrText>
      </w:r>
      <w:r w:rsidRPr="00C16083" w:rsidR="00E151DC">
        <w:fldChar w:fldCharType="separate"/>
      </w:r>
      <w:r w:rsidRPr="00C16083" w:rsidR="00C16083">
        <w:rPr>
          <w:noProof/>
        </w:rPr>
        <w:t>79</w:t>
      </w:r>
      <w:r w:rsidRPr="00C16083" w:rsidR="00E151DC">
        <w:fldChar w:fldCharType="end"/>
      </w:r>
      <w:r w:rsidRPr="00C16083" w:rsidR="00B46424">
        <w:t xml:space="preserve"> above)</w:t>
      </w:r>
      <w:r w:rsidRPr="00C16083" w:rsidR="00875EC7">
        <w:t xml:space="preserve">. </w:t>
      </w:r>
      <w:r w:rsidRPr="00C16083" w:rsidR="0082795C">
        <w:t>They did not h</w:t>
      </w:r>
      <w:r w:rsidRPr="00C16083" w:rsidR="00875EC7">
        <w:t xml:space="preserve">owever </w:t>
      </w:r>
      <w:r w:rsidRPr="00C16083" w:rsidR="0072202B">
        <w:t xml:space="preserve">explain </w:t>
      </w:r>
      <w:r w:rsidRPr="00C16083" w:rsidR="0082795C">
        <w:t xml:space="preserve">what </w:t>
      </w:r>
      <w:r w:rsidRPr="00C16083" w:rsidR="0072202B">
        <w:t xml:space="preserve">those materials </w:t>
      </w:r>
      <w:r w:rsidRPr="00C16083" w:rsidR="0082795C">
        <w:t xml:space="preserve">were or </w:t>
      </w:r>
      <w:r w:rsidRPr="00C16083" w:rsidR="0025721D">
        <w:t xml:space="preserve">on </w:t>
      </w:r>
      <w:r w:rsidRPr="00C16083" w:rsidR="0082795C">
        <w:t xml:space="preserve">what </w:t>
      </w:r>
      <w:r w:rsidRPr="00C16083" w:rsidR="0072202B">
        <w:t xml:space="preserve">grounds </w:t>
      </w:r>
      <w:r w:rsidRPr="00C16083" w:rsidR="0082795C">
        <w:t xml:space="preserve">the belief that </w:t>
      </w:r>
      <w:r w:rsidRPr="00C16083" w:rsidR="00875EC7">
        <w:t>th</w:t>
      </w:r>
      <w:r w:rsidRPr="00C16083" w:rsidR="0072202B">
        <w:t>e</w:t>
      </w:r>
      <w:r w:rsidRPr="00C16083" w:rsidR="00875EC7">
        <w:t xml:space="preserve"> relevant evidence might be found at the premises to be searched </w:t>
      </w:r>
      <w:r w:rsidRPr="00C16083" w:rsidR="0025721D">
        <w:t xml:space="preserve">was based </w:t>
      </w:r>
      <w:r w:rsidRPr="00C16083" w:rsidR="00875EC7">
        <w:t>(see</w:t>
      </w:r>
      <w:r w:rsidRPr="00C16083" w:rsidR="0083519B">
        <w:t>, as a recent authority,</w:t>
      </w:r>
      <w:r w:rsidRPr="00C16083" w:rsidR="00875EC7">
        <w:t xml:space="preserve"> </w:t>
      </w:r>
      <w:r w:rsidRPr="00C16083" w:rsidR="00875EC7">
        <w:rPr>
          <w:i/>
          <w:iCs/>
        </w:rPr>
        <w:t>Aliyev v.</w:t>
      </w:r>
      <w:r w:rsidRPr="00C16083" w:rsidR="00960CD3">
        <w:rPr>
          <w:i/>
          <w:iCs/>
        </w:rPr>
        <w:t> </w:t>
      </w:r>
      <w:r w:rsidRPr="00C16083" w:rsidR="00875EC7">
        <w:rPr>
          <w:i/>
          <w:iCs/>
        </w:rPr>
        <w:t>Azerbaijan</w:t>
      </w:r>
      <w:r w:rsidRPr="00C16083" w:rsidR="00875EC7">
        <w:rPr>
          <w:lang w:eastAsia="en-GB"/>
        </w:rPr>
        <w:t xml:space="preserve">, nos. </w:t>
      </w:r>
      <w:r w:rsidRPr="00C16083" w:rsidR="00875EC7">
        <w:t>68762/14 and 71200/14</w:t>
      </w:r>
      <w:r w:rsidRPr="00C16083" w:rsidR="00875EC7">
        <w:rPr>
          <w:lang w:eastAsia="en-GB"/>
        </w:rPr>
        <w:t xml:space="preserve">, </w:t>
      </w:r>
      <w:r w:rsidRPr="00C16083" w:rsidR="00875EC7">
        <w:t xml:space="preserve">§ 184, 20 September 2018). </w:t>
      </w:r>
      <w:r w:rsidRPr="00C16083" w:rsidR="0029048B">
        <w:t>T</w:t>
      </w:r>
      <w:r w:rsidRPr="00C16083" w:rsidR="003B2AB6">
        <w:t xml:space="preserve">he </w:t>
      </w:r>
      <w:r w:rsidRPr="00C16083" w:rsidR="006D270B">
        <w:t xml:space="preserve">court </w:t>
      </w:r>
      <w:r w:rsidRPr="00C16083" w:rsidR="003B2AB6">
        <w:t xml:space="preserve">search </w:t>
      </w:r>
      <w:r w:rsidRPr="00C16083" w:rsidR="00AA2FD4">
        <w:t>warrants</w:t>
      </w:r>
      <w:r w:rsidRPr="00C16083" w:rsidR="003B2AB6">
        <w:t xml:space="preserve"> were couched in very broad terms, giving the investigators unrestricted discretion </w:t>
      </w:r>
      <w:r w:rsidRPr="00C16083" w:rsidR="0025721D">
        <w:t xml:space="preserve">as to how to carry </w:t>
      </w:r>
      <w:r w:rsidRPr="00C16083" w:rsidR="0029048B">
        <w:t xml:space="preserve">out </w:t>
      </w:r>
      <w:r w:rsidRPr="00C16083" w:rsidR="003B2AB6">
        <w:t>the search</w:t>
      </w:r>
      <w:r w:rsidRPr="00C16083" w:rsidR="00897776">
        <w:t>es</w:t>
      </w:r>
      <w:r w:rsidRPr="00C16083" w:rsidR="003B2AB6">
        <w:t>. According to the Court</w:t>
      </w:r>
      <w:r w:rsidRPr="00C16083" w:rsidR="00C16083">
        <w:t>’</w:t>
      </w:r>
      <w:r w:rsidRPr="00C16083" w:rsidR="003B2AB6">
        <w:t xml:space="preserve">s case-law, search </w:t>
      </w:r>
      <w:r w:rsidRPr="00C16083" w:rsidR="00AA2FD4">
        <w:t>warrants</w:t>
      </w:r>
      <w:r w:rsidRPr="00C16083" w:rsidR="003B2AB6">
        <w:t xml:space="preserve"> have to be drafted, as far as practicable, in a manner calculated to keep their impact within reasonable bounds (</w:t>
      </w:r>
      <w:r w:rsidRPr="00C16083" w:rsidR="0095063D">
        <w:t xml:space="preserve">see </w:t>
      </w:r>
      <w:r w:rsidRPr="00C16083" w:rsidR="0095063D">
        <w:rPr>
          <w:i/>
        </w:rPr>
        <w:t>Yuditskaya</w:t>
      </w:r>
      <w:r w:rsidRPr="00C16083" w:rsidR="0095063D">
        <w:t>, cited above, §</w:t>
      </w:r>
      <w:r w:rsidRPr="00C16083" w:rsidR="009E4A0E">
        <w:t xml:space="preserve"> 29</w:t>
      </w:r>
      <w:r w:rsidRPr="00C16083" w:rsidR="0095063D">
        <w:t>, with further references</w:t>
      </w:r>
      <w:r w:rsidRPr="00C16083" w:rsidR="003B2AB6">
        <w:t>).</w:t>
      </w:r>
    </w:p>
    <w:p w:rsidRPr="00C16083" w:rsidR="00843BB9" w:rsidP="00C16083" w:rsidRDefault="006368BA">
      <w:pPr>
        <w:pStyle w:val="JuPara"/>
      </w:pPr>
      <w:fldSimple w:instr=" SEQ level0 \*arabic ">
        <w:r w:rsidRPr="00C16083" w:rsidR="00C16083">
          <w:rPr>
            <w:noProof/>
          </w:rPr>
          <w:t>128</w:t>
        </w:r>
      </w:fldSimple>
      <w:r w:rsidRPr="00C16083" w:rsidR="001C1EB6">
        <w:t xml:space="preserve">.  Furthermore, </w:t>
      </w:r>
      <w:r w:rsidRPr="00C16083" w:rsidR="007311F1">
        <w:t xml:space="preserve">as regards the applicants who were members of the Bar, </w:t>
      </w:r>
      <w:r w:rsidRPr="00C16083" w:rsidR="001C1EB6">
        <w:t xml:space="preserve">the national courts appeared to </w:t>
      </w:r>
      <w:r w:rsidRPr="00C16083" w:rsidR="00BE0E3E">
        <w:t xml:space="preserve">believe </w:t>
      </w:r>
      <w:r w:rsidRPr="00C16083" w:rsidR="001C1EB6">
        <w:t xml:space="preserve">that the only safeguard to be ensured during the search of </w:t>
      </w:r>
      <w:r w:rsidRPr="00C16083" w:rsidR="0055722E">
        <w:t xml:space="preserve">the </w:t>
      </w:r>
      <w:r w:rsidRPr="00C16083" w:rsidR="001C1EB6">
        <w:t>lawyers</w:t>
      </w:r>
      <w:r w:rsidRPr="00C16083" w:rsidR="00C16083">
        <w:t>’</w:t>
      </w:r>
      <w:r w:rsidRPr="00C16083" w:rsidR="001C1EB6">
        <w:t xml:space="preserve"> premises was a prior judicial authorisation</w:t>
      </w:r>
      <w:r w:rsidRPr="00C16083" w:rsidR="001B16E5">
        <w:t>,</w:t>
      </w:r>
      <w:r w:rsidRPr="00C16083" w:rsidR="001C1EB6">
        <w:t xml:space="preserve"> and that that requirement was of </w:t>
      </w:r>
      <w:r w:rsidRPr="00C16083" w:rsidR="001B16E5">
        <w:t xml:space="preserve">a merely </w:t>
      </w:r>
      <w:r w:rsidRPr="00C16083" w:rsidR="001C1EB6">
        <w:t xml:space="preserve">procedural character. The Court has previously held that judicial scrutiny in itself is not a sufficient safeguard against abuse (see </w:t>
      </w:r>
      <w:r w:rsidRPr="00C16083" w:rsidR="001C1EB6">
        <w:rPr>
          <w:i/>
        </w:rPr>
        <w:t>Cronin v. the United Kingdom</w:t>
      </w:r>
      <w:r w:rsidRPr="00C16083" w:rsidR="001C1EB6">
        <w:t xml:space="preserve"> (dec.), no. 15848/03, 6 January 2004, and </w:t>
      </w:r>
      <w:r w:rsidRPr="00C16083" w:rsidR="001C1EB6">
        <w:rPr>
          <w:i/>
        </w:rPr>
        <w:t>Gerashchenko v.</w:t>
      </w:r>
      <w:r w:rsidRPr="00C16083" w:rsidR="00960CD3">
        <w:rPr>
          <w:i/>
        </w:rPr>
        <w:t> </w:t>
      </w:r>
      <w:r w:rsidRPr="00C16083" w:rsidR="001C1EB6">
        <w:rPr>
          <w:i/>
        </w:rPr>
        <w:t>Ukraine</w:t>
      </w:r>
      <w:r w:rsidRPr="00C16083" w:rsidR="00E54DB1">
        <w:t>, no. </w:t>
      </w:r>
      <w:r w:rsidRPr="00C16083" w:rsidR="001C1EB6">
        <w:t>20602/05</w:t>
      </w:r>
      <w:r w:rsidRPr="00C16083" w:rsidR="001C1EB6">
        <w:rPr>
          <w:snapToGrid w:val="0"/>
        </w:rPr>
        <w:t>, § 130, 7 November 2013</w:t>
      </w:r>
      <w:r w:rsidRPr="00C16083" w:rsidR="001C1EB6">
        <w:t xml:space="preserve">). </w:t>
      </w:r>
      <w:r w:rsidRPr="00C16083" w:rsidR="007A5115">
        <w:t>A</w:t>
      </w:r>
      <w:r w:rsidRPr="00C16083" w:rsidR="001C1EB6">
        <w:t xml:space="preserve">t no </w:t>
      </w:r>
      <w:r w:rsidRPr="00C16083" w:rsidR="001B16E5">
        <w:t>point</w:t>
      </w:r>
      <w:r w:rsidRPr="00C16083" w:rsidR="001C1EB6">
        <w:t xml:space="preserve"> did the national courts attempt to </w:t>
      </w:r>
      <w:r w:rsidRPr="00C16083" w:rsidR="00BB6443">
        <w:t xml:space="preserve">weigh </w:t>
      </w:r>
      <w:r w:rsidRPr="00C16083" w:rsidR="001C1EB6">
        <w:t xml:space="preserve">the obligation to protect </w:t>
      </w:r>
      <w:r w:rsidRPr="00C16083" w:rsidR="001B16E5">
        <w:t>lawyer</w:t>
      </w:r>
      <w:r w:rsidRPr="00C16083" w:rsidR="001C1EB6">
        <w:t xml:space="preserve">-client </w:t>
      </w:r>
      <w:r w:rsidRPr="00C16083" w:rsidR="001B16E5">
        <w:t>confidentiality</w:t>
      </w:r>
      <w:r w:rsidRPr="00C16083" w:rsidR="001C1EB6">
        <w:t xml:space="preserve"> </w:t>
      </w:r>
      <w:r w:rsidRPr="00C16083" w:rsidR="00BB6443">
        <w:t xml:space="preserve">against </w:t>
      </w:r>
      <w:r w:rsidRPr="00C16083" w:rsidR="001C1EB6">
        <w:t xml:space="preserve">the needs of criminal investigations. For instance, the </w:t>
      </w:r>
      <w:r w:rsidRPr="00C16083" w:rsidR="0055722E">
        <w:t xml:space="preserve">courts </w:t>
      </w:r>
      <w:r w:rsidRPr="00C16083" w:rsidR="001C1EB6">
        <w:t xml:space="preserve">did not </w:t>
      </w:r>
      <w:r w:rsidRPr="00C16083" w:rsidR="007145B5">
        <w:t xml:space="preserve">examine </w:t>
      </w:r>
      <w:r w:rsidRPr="00C16083" w:rsidR="0055722E">
        <w:t xml:space="preserve">the </w:t>
      </w:r>
      <w:r w:rsidRPr="00C16083" w:rsidR="007145B5">
        <w:t xml:space="preserve">possibilities </w:t>
      </w:r>
      <w:r w:rsidRPr="00C16083" w:rsidR="0055722E">
        <w:t xml:space="preserve">of </w:t>
      </w:r>
      <w:r w:rsidRPr="00C16083" w:rsidR="007145B5">
        <w:t>obtain</w:t>
      </w:r>
      <w:r w:rsidRPr="00C16083" w:rsidR="0055722E">
        <w:t>ing</w:t>
      </w:r>
      <w:r w:rsidRPr="00C16083" w:rsidR="001C1EB6">
        <w:t xml:space="preserve"> the information sought from other sources (for instance, from the clients of the lawyers themselves). Furthermore, there is nothing to demonstrate that the courts had any rules </w:t>
      </w:r>
      <w:r w:rsidRPr="00C16083" w:rsidR="00920A69">
        <w:t xml:space="preserve">by which </w:t>
      </w:r>
      <w:r w:rsidRPr="00C16083" w:rsidR="001C1EB6">
        <w:t>to determine when it m</w:t>
      </w:r>
      <w:r w:rsidRPr="00C16083" w:rsidR="001B16E5">
        <w:t>ight</w:t>
      </w:r>
      <w:r w:rsidRPr="00C16083" w:rsidR="001C1EB6">
        <w:t xml:space="preserve"> be</w:t>
      </w:r>
      <w:r w:rsidRPr="00C16083" w:rsidR="001F036B">
        <w:t xml:space="preserve"> and when it might </w:t>
      </w:r>
      <w:r w:rsidRPr="00C16083" w:rsidR="00572F59">
        <w:t xml:space="preserve">not </w:t>
      </w:r>
      <w:r w:rsidRPr="00C16083" w:rsidR="001F036B">
        <w:t xml:space="preserve">be </w:t>
      </w:r>
      <w:r w:rsidRPr="00C16083" w:rsidR="001C1EB6">
        <w:t xml:space="preserve">permissible to breach the confidentiality of legally privileged documents (see </w:t>
      </w:r>
      <w:r w:rsidRPr="00C16083" w:rsidR="001C1EB6">
        <w:rPr>
          <w:i/>
        </w:rPr>
        <w:t>Sallinen and Others v. Finland</w:t>
      </w:r>
      <w:r w:rsidRPr="00C16083" w:rsidR="001C1EB6">
        <w:t xml:space="preserve">, no. 50882/99, § 92, 27 September 2005). On the contrary, </w:t>
      </w:r>
      <w:r w:rsidRPr="00C16083" w:rsidR="0055722E">
        <w:t xml:space="preserve">in issuing </w:t>
      </w:r>
      <w:r w:rsidRPr="00C16083" w:rsidR="001C1EB6">
        <w:t xml:space="preserve">the </w:t>
      </w:r>
      <w:r w:rsidRPr="00C16083" w:rsidR="0055722E">
        <w:t xml:space="preserve">search </w:t>
      </w:r>
      <w:r w:rsidRPr="00C16083" w:rsidR="001B16E5">
        <w:t>warrants</w:t>
      </w:r>
      <w:r w:rsidRPr="00C16083" w:rsidR="0055722E">
        <w:t>, the courts</w:t>
      </w:r>
      <w:r w:rsidRPr="00C16083" w:rsidR="001C1EB6">
        <w:t xml:space="preserve"> seemed to imply that </w:t>
      </w:r>
      <w:r w:rsidRPr="00C16083" w:rsidR="001B16E5">
        <w:t>lawyer</w:t>
      </w:r>
      <w:r w:rsidRPr="00C16083" w:rsidR="001C1EB6">
        <w:t xml:space="preserve">-client </w:t>
      </w:r>
      <w:r w:rsidRPr="00C16083" w:rsidR="001B16E5">
        <w:t xml:space="preserve">confidentiality </w:t>
      </w:r>
      <w:r w:rsidRPr="00C16083" w:rsidR="001C1EB6">
        <w:t xml:space="preserve">could </w:t>
      </w:r>
      <w:r w:rsidRPr="00C16083" w:rsidR="001B16E5">
        <w:t xml:space="preserve">be </w:t>
      </w:r>
      <w:r w:rsidRPr="00C16083" w:rsidR="005049D1">
        <w:t>breached in every case</w:t>
      </w:r>
      <w:r w:rsidRPr="00C16083" w:rsidR="00BB6443">
        <w:t xml:space="preserve"> as long as there was </w:t>
      </w:r>
      <w:r w:rsidRPr="00C16083" w:rsidR="001C1EB6">
        <w:t>a criminal investigation</w:t>
      </w:r>
      <w:r w:rsidRPr="00C16083" w:rsidR="005C1707">
        <w:t>,</w:t>
      </w:r>
      <w:r w:rsidRPr="00C16083" w:rsidR="003A0D8A">
        <w:t xml:space="preserve"> </w:t>
      </w:r>
      <w:r w:rsidRPr="00C16083" w:rsidR="00D23D1A">
        <w:t>even</w:t>
      </w:r>
      <w:r w:rsidRPr="00C16083" w:rsidR="003A0D8A">
        <w:t xml:space="preserve"> </w:t>
      </w:r>
      <w:r w:rsidRPr="00C16083" w:rsidR="0055722E">
        <w:t xml:space="preserve">where such investigation was </w:t>
      </w:r>
      <w:r w:rsidRPr="00C16083" w:rsidR="00166A8F">
        <w:t xml:space="preserve">not </w:t>
      </w:r>
      <w:r w:rsidRPr="00C16083" w:rsidR="003A0D8A">
        <w:t>against th</w:t>
      </w:r>
      <w:r w:rsidRPr="00C16083" w:rsidR="00166A8F">
        <w:t>e lawyers</w:t>
      </w:r>
      <w:r w:rsidRPr="00C16083" w:rsidR="00BB6443">
        <w:t xml:space="preserve"> but against their clients</w:t>
      </w:r>
      <w:r w:rsidRPr="00C16083" w:rsidR="001C1EB6">
        <w:t>.</w:t>
      </w:r>
    </w:p>
    <w:bookmarkStart w:name="Natl_courts_proportionality_test_END" w:id="51"/>
    <w:p w:rsidRPr="00C16083" w:rsidR="00160559" w:rsidP="00C16083" w:rsidRDefault="001C1EB6">
      <w:pPr>
        <w:pStyle w:val="JuPara"/>
      </w:pPr>
      <w:r w:rsidRPr="00C16083">
        <w:fldChar w:fldCharType="begin"/>
      </w:r>
      <w:r w:rsidRPr="00C16083">
        <w:instrText xml:space="preserve"> SEQ level0 \*arabic </w:instrText>
      </w:r>
      <w:r w:rsidRPr="00C16083">
        <w:fldChar w:fldCharType="separate"/>
      </w:r>
      <w:r w:rsidRPr="00C16083" w:rsidR="00C16083">
        <w:rPr>
          <w:noProof/>
        </w:rPr>
        <w:t>129</w:t>
      </w:r>
      <w:r w:rsidRPr="00C16083">
        <w:fldChar w:fldCharType="end"/>
      </w:r>
      <w:bookmarkEnd w:id="51"/>
      <w:r w:rsidRPr="00C16083">
        <w:t>.  </w:t>
      </w:r>
      <w:r w:rsidRPr="00C16083" w:rsidR="00BB6443">
        <w:t>T</w:t>
      </w:r>
      <w:r w:rsidRPr="00C16083">
        <w:t xml:space="preserve">he Court concludes that </w:t>
      </w:r>
      <w:r w:rsidRPr="00C16083" w:rsidR="006D270B">
        <w:t xml:space="preserve">in the cases where a court search warrant was issued, </w:t>
      </w:r>
      <w:r w:rsidRPr="00C16083">
        <w:t xml:space="preserve">the national courts </w:t>
      </w:r>
      <w:r w:rsidRPr="00C16083" w:rsidR="007A5115">
        <w:t xml:space="preserve">did not </w:t>
      </w:r>
      <w:r w:rsidRPr="00C16083">
        <w:t>carr</w:t>
      </w:r>
      <w:r w:rsidRPr="00C16083" w:rsidR="007A5115">
        <w:t>y</w:t>
      </w:r>
      <w:r w:rsidRPr="00C16083">
        <w:t xml:space="preserve"> out a balancing exercise</w:t>
      </w:r>
      <w:r w:rsidRPr="00C16083" w:rsidR="00BB6443">
        <w:t xml:space="preserve"> or </w:t>
      </w:r>
      <w:r w:rsidRPr="00C16083">
        <w:t xml:space="preserve">examine whether </w:t>
      </w:r>
      <w:r w:rsidRPr="00C16083" w:rsidR="00E81D68">
        <w:t xml:space="preserve">the </w:t>
      </w:r>
      <w:r w:rsidRPr="00C16083">
        <w:t>interference with the applicants</w:t>
      </w:r>
      <w:r w:rsidRPr="00C16083" w:rsidR="00C16083">
        <w:t>’</w:t>
      </w:r>
      <w:r w:rsidRPr="00C16083">
        <w:t xml:space="preserve"> rights </w:t>
      </w:r>
      <w:r w:rsidRPr="00C16083" w:rsidR="006D270B">
        <w:t xml:space="preserve">had </w:t>
      </w:r>
      <w:r w:rsidRPr="00C16083">
        <w:t xml:space="preserve">answered a pressing social need and </w:t>
      </w:r>
      <w:r w:rsidRPr="00C16083" w:rsidR="007A5115">
        <w:t>was</w:t>
      </w:r>
      <w:r w:rsidRPr="00C16083" w:rsidR="006D270B">
        <w:t xml:space="preserve"> </w:t>
      </w:r>
      <w:r w:rsidRPr="00C16083">
        <w:t>proportionate to the legitimate aims pursued.</w:t>
      </w:r>
    </w:p>
    <w:p w:rsidRPr="00C16083" w:rsidR="00160559" w:rsidP="00C16083" w:rsidRDefault="006368BA">
      <w:pPr>
        <w:pStyle w:val="JuPara"/>
      </w:pPr>
      <w:fldSimple w:instr=" SEQ level0 \*arabic ">
        <w:r w:rsidRPr="00C16083" w:rsidR="00C16083">
          <w:rPr>
            <w:noProof/>
          </w:rPr>
          <w:t>130</w:t>
        </w:r>
      </w:fldSimple>
      <w:r w:rsidRPr="00C16083" w:rsidR="00E151DC">
        <w:t>.  </w:t>
      </w:r>
      <w:r w:rsidRPr="00C16083" w:rsidR="000F2D29">
        <w:t xml:space="preserve">Similarly, in cases where the applicants complained </w:t>
      </w:r>
      <w:r w:rsidRPr="00C16083" w:rsidR="00350CA7">
        <w:t xml:space="preserve">also or only </w:t>
      </w:r>
      <w:r w:rsidRPr="00C16083" w:rsidR="000F2D29">
        <w:t xml:space="preserve">about the manner of the execution of searches (applications nos. 11264/04 (second search), 32324/06, 26067/08, 2397/11 (first applicant), 14244/11, 73629/13, 19667/16 (in respect of the office search) and 36833/16), the national courts examined </w:t>
      </w:r>
      <w:r w:rsidRPr="00C16083" w:rsidR="00C02658">
        <w:t>main</w:t>
      </w:r>
      <w:r w:rsidRPr="00C16083" w:rsidR="000F2D29">
        <w:t>ly whether the authorities</w:t>
      </w:r>
      <w:r w:rsidRPr="00C16083" w:rsidR="00C16083">
        <w:t>’</w:t>
      </w:r>
      <w:r w:rsidRPr="00C16083" w:rsidR="000F2D29">
        <w:t xml:space="preserve"> actions had complied with the relevant </w:t>
      </w:r>
      <w:r w:rsidRPr="00C16083" w:rsidR="00992415">
        <w:t xml:space="preserve">criminal </w:t>
      </w:r>
      <w:r w:rsidRPr="00C16083" w:rsidR="000F2D29">
        <w:t xml:space="preserve">procedural requirements </w:t>
      </w:r>
      <w:r w:rsidRPr="00C16083" w:rsidR="00350CA7">
        <w:t xml:space="preserve">(see paragraphs </w:t>
      </w:r>
      <w:r w:rsidRPr="00C16083" w:rsidR="00C02658">
        <w:fldChar w:fldCharType="begin"/>
      </w:r>
      <w:r w:rsidRPr="00C16083" w:rsidR="00C02658">
        <w:instrText xml:space="preserve"> REF Buraga_lawyer_refused \h </w:instrText>
      </w:r>
      <w:r w:rsidRPr="00C16083" w:rsidR="00C02658">
        <w:fldChar w:fldCharType="separate"/>
      </w:r>
      <w:r w:rsidRPr="00C16083" w:rsidR="00C16083">
        <w:rPr>
          <w:noProof/>
        </w:rPr>
        <w:t>17</w:t>
      </w:r>
      <w:r w:rsidRPr="00C16083" w:rsidR="00C02658">
        <w:fldChar w:fldCharType="end"/>
      </w:r>
      <w:r w:rsidRPr="00C16083" w:rsidR="00C02658">
        <w:t xml:space="preserve">, </w:t>
      </w:r>
      <w:r w:rsidRPr="00C16083" w:rsidR="00C02658">
        <w:fldChar w:fldCharType="begin"/>
      </w:r>
      <w:r w:rsidRPr="00C16083" w:rsidR="00C02658">
        <w:instrText xml:space="preserve"> REF court_dec_manner_search_Belinskaya \h </w:instrText>
      </w:r>
      <w:r w:rsidRPr="00C16083" w:rsidR="00C02658">
        <w:fldChar w:fldCharType="separate"/>
      </w:r>
      <w:r w:rsidRPr="00C16083" w:rsidR="00C16083">
        <w:rPr>
          <w:noProof/>
        </w:rPr>
        <w:t>21</w:t>
      </w:r>
      <w:r w:rsidRPr="00C16083" w:rsidR="00C02658">
        <w:fldChar w:fldCharType="end"/>
      </w:r>
      <w:r w:rsidRPr="00C16083" w:rsidR="00C02658">
        <w:t xml:space="preserve">, </w:t>
      </w:r>
      <w:r w:rsidRPr="00C16083" w:rsidR="00C02658">
        <w:fldChar w:fldCharType="begin"/>
      </w:r>
      <w:r w:rsidRPr="00C16083" w:rsidR="00C02658">
        <w:instrText xml:space="preserve"> REF court_dec_manner_search_Balyan \h </w:instrText>
      </w:r>
      <w:r w:rsidRPr="00C16083" w:rsidR="00C02658">
        <w:fldChar w:fldCharType="separate"/>
      </w:r>
      <w:r w:rsidRPr="00C16083" w:rsidR="00C16083">
        <w:rPr>
          <w:noProof/>
        </w:rPr>
        <w:t>44</w:t>
      </w:r>
      <w:r w:rsidRPr="00C16083" w:rsidR="00C02658">
        <w:fldChar w:fldCharType="end"/>
      </w:r>
      <w:r w:rsidRPr="00C16083" w:rsidR="00C02658">
        <w:t xml:space="preserve">, </w:t>
      </w:r>
      <w:r w:rsidRPr="00C16083" w:rsidR="00C02658">
        <w:fldChar w:fldCharType="begin"/>
      </w:r>
      <w:r w:rsidRPr="00C16083" w:rsidR="00C02658">
        <w:instrText xml:space="preserve"> REF court_dec_manner_search_Mezentsev \h </w:instrText>
      </w:r>
      <w:r w:rsidRPr="00C16083" w:rsidR="00C02658">
        <w:fldChar w:fldCharType="separate"/>
      </w:r>
      <w:r w:rsidRPr="00C16083" w:rsidR="00C16083">
        <w:rPr>
          <w:noProof/>
        </w:rPr>
        <w:t>64</w:t>
      </w:r>
      <w:r w:rsidRPr="00C16083" w:rsidR="00C02658">
        <w:fldChar w:fldCharType="end"/>
      </w:r>
      <w:r w:rsidRPr="00C16083" w:rsidR="00C02658">
        <w:t xml:space="preserve">, </w:t>
      </w:r>
      <w:r w:rsidRPr="00C16083" w:rsidR="00C02658">
        <w:fldChar w:fldCharType="begin"/>
      </w:r>
      <w:r w:rsidRPr="00C16083" w:rsidR="00C02658">
        <w:instrText xml:space="preserve"> REF court_dec_manner_search_Ponyayeva \h </w:instrText>
      </w:r>
      <w:r w:rsidRPr="00C16083" w:rsidR="00C02658">
        <w:fldChar w:fldCharType="separate"/>
      </w:r>
      <w:r w:rsidRPr="00C16083" w:rsidR="00C16083">
        <w:rPr>
          <w:noProof/>
        </w:rPr>
        <w:t>72</w:t>
      </w:r>
      <w:r w:rsidRPr="00C16083" w:rsidR="00C02658">
        <w:fldChar w:fldCharType="end"/>
      </w:r>
      <w:r w:rsidRPr="00C16083" w:rsidR="00C02658">
        <w:t xml:space="preserve"> and </w:t>
      </w:r>
      <w:r w:rsidRPr="00C16083" w:rsidR="00C02658">
        <w:fldChar w:fldCharType="begin"/>
      </w:r>
      <w:r w:rsidRPr="00C16083" w:rsidR="00C02658">
        <w:instrText xml:space="preserve"> REF Levchenko_appeal_and_cassations \h </w:instrText>
      </w:r>
      <w:r w:rsidRPr="00C16083" w:rsidR="00C02658">
        <w:fldChar w:fldCharType="separate"/>
      </w:r>
      <w:r w:rsidRPr="00C16083" w:rsidR="00C16083">
        <w:rPr>
          <w:noProof/>
        </w:rPr>
        <w:t>78</w:t>
      </w:r>
      <w:r w:rsidRPr="00C16083" w:rsidR="00C02658">
        <w:fldChar w:fldCharType="end"/>
      </w:r>
      <w:r w:rsidRPr="00C16083" w:rsidR="00350CA7">
        <w:t xml:space="preserve"> above). </w:t>
      </w:r>
      <w:r w:rsidRPr="00C16083" w:rsidR="003A43FA">
        <w:t>However,</w:t>
      </w:r>
      <w:r w:rsidRPr="00C16083" w:rsidR="000F2D29">
        <w:t xml:space="preserve"> </w:t>
      </w:r>
      <w:r w:rsidRPr="00C16083" w:rsidR="00E151DC">
        <w:t xml:space="preserve">the national courts </w:t>
      </w:r>
      <w:r w:rsidRPr="00C16083" w:rsidR="007A5115">
        <w:t>did not</w:t>
      </w:r>
      <w:r w:rsidRPr="00C16083" w:rsidR="000F2D29">
        <w:t xml:space="preserve"> assess the necessity and proportionality of th</w:t>
      </w:r>
      <w:r w:rsidRPr="00C16083" w:rsidR="00E151DC">
        <w:t>e investigating authorities</w:t>
      </w:r>
      <w:r w:rsidRPr="00C16083" w:rsidR="00C16083">
        <w:t>’</w:t>
      </w:r>
      <w:r w:rsidRPr="00C16083" w:rsidR="000F2D29">
        <w:t xml:space="preserve"> actions.</w:t>
      </w:r>
    </w:p>
    <w:p w:rsidRPr="00C16083" w:rsidR="00843BB9" w:rsidP="00C16083" w:rsidRDefault="006368BA">
      <w:pPr>
        <w:pStyle w:val="JuPara"/>
      </w:pPr>
      <w:fldSimple w:instr=" SEQ level0 \*arabic ">
        <w:r w:rsidRPr="00C16083" w:rsidR="00C16083">
          <w:rPr>
            <w:noProof/>
          </w:rPr>
          <w:t>131</w:t>
        </w:r>
      </w:fldSimple>
      <w:r w:rsidRPr="00C16083" w:rsidR="007410D3">
        <w:t xml:space="preserve">.  As for particular procedural safeguards available to the applicants during the searches or </w:t>
      </w:r>
      <w:r w:rsidRPr="00C16083" w:rsidR="00BB6443">
        <w:t>in their aftermath</w:t>
      </w:r>
      <w:r w:rsidRPr="00C16083" w:rsidR="007410D3">
        <w:t>, the Court finds as follows.</w:t>
      </w:r>
    </w:p>
    <w:p w:rsidRPr="00C16083" w:rsidR="00843BB9" w:rsidP="00C16083" w:rsidRDefault="006368BA">
      <w:pPr>
        <w:pStyle w:val="JuPara"/>
      </w:pPr>
      <w:fldSimple w:instr=" SEQ level0 \*arabic ">
        <w:r w:rsidRPr="00C16083" w:rsidR="00C16083">
          <w:rPr>
            <w:noProof/>
          </w:rPr>
          <w:t>132</w:t>
        </w:r>
      </w:fldSimple>
      <w:r w:rsidRPr="00C16083" w:rsidR="0095063D">
        <w:t>.  </w:t>
      </w:r>
      <w:r w:rsidRPr="00C16083" w:rsidR="008114CB">
        <w:t xml:space="preserve">Russian law at the material time did not provide for procedural </w:t>
      </w:r>
      <w:r w:rsidRPr="00C16083" w:rsidR="0095063D">
        <w:t>safeguard</w:t>
      </w:r>
      <w:r w:rsidRPr="00C16083" w:rsidR="008114CB">
        <w:t>s</w:t>
      </w:r>
      <w:r w:rsidRPr="00C16083" w:rsidR="0095063D">
        <w:t xml:space="preserve"> to prevent interference with professional secrecy, such as, for example, a prohibition on removing documents covered by </w:t>
      </w:r>
      <w:r w:rsidRPr="00C16083" w:rsidR="001B16E5">
        <w:t>lawyer</w:t>
      </w:r>
      <w:r w:rsidRPr="00C16083" w:rsidR="0095063D">
        <w:t xml:space="preserve">-client </w:t>
      </w:r>
      <w:r w:rsidRPr="00C16083" w:rsidR="001B16E5">
        <w:t>confidentiality</w:t>
      </w:r>
      <w:r w:rsidRPr="00C16083" w:rsidR="0095063D">
        <w:t xml:space="preserve"> or supervision of the search by an independent observer capable of identifying, independently of the investigation team, which documents were covered by such </w:t>
      </w:r>
      <w:r w:rsidRPr="00C16083" w:rsidR="001B16E5">
        <w:t>confidentiality</w:t>
      </w:r>
      <w:r w:rsidRPr="00C16083" w:rsidR="0095063D">
        <w:t xml:space="preserve"> (see</w:t>
      </w:r>
      <w:r w:rsidRPr="00C16083" w:rsidR="009E4A0E">
        <w:rPr>
          <w:i/>
        </w:rPr>
        <w:t xml:space="preserve"> Yuditskaya</w:t>
      </w:r>
      <w:r w:rsidRPr="00C16083" w:rsidR="009E4A0E">
        <w:t>, cited above, § 30, with further references</w:t>
      </w:r>
      <w:r w:rsidRPr="00C16083" w:rsidR="0095063D">
        <w:t xml:space="preserve">). </w:t>
      </w:r>
      <w:r w:rsidRPr="00C16083" w:rsidR="007C0A1F">
        <w:t xml:space="preserve">The lack of procedural safeguards at the </w:t>
      </w:r>
      <w:r w:rsidRPr="00C16083" w:rsidR="00BB6443">
        <w:t xml:space="preserve">material </w:t>
      </w:r>
      <w:r w:rsidRPr="00C16083" w:rsidR="007C0A1F">
        <w:t xml:space="preserve">time is confirmed by the subsequent legislative amendments of 17 April 2017 (see </w:t>
      </w:r>
      <w:r w:rsidRPr="00C16083" w:rsidR="00FA6B50">
        <w:t>paragraph</w:t>
      </w:r>
      <w:r w:rsidRPr="00C16083" w:rsidR="007C0A1F">
        <w:t xml:space="preserve"> </w:t>
      </w:r>
      <w:r w:rsidRPr="00C16083" w:rsidR="007C0A1F">
        <w:fldChar w:fldCharType="begin"/>
      </w:r>
      <w:r w:rsidRPr="00C16083" w:rsidR="007C0A1F">
        <w:instrText xml:space="preserve"> REF new_safeguards_advocates_search \h </w:instrText>
      </w:r>
      <w:r w:rsidRPr="00C16083" w:rsidR="007C0A1F">
        <w:fldChar w:fldCharType="separate"/>
      </w:r>
      <w:r w:rsidRPr="00C16083" w:rsidR="00C16083">
        <w:rPr>
          <w:noProof/>
        </w:rPr>
        <w:t>94</w:t>
      </w:r>
      <w:r w:rsidRPr="00C16083" w:rsidR="007C0A1F">
        <w:fldChar w:fldCharType="end"/>
      </w:r>
      <w:r w:rsidRPr="00C16083" w:rsidR="007C0A1F">
        <w:t xml:space="preserve"> above)</w:t>
      </w:r>
      <w:r w:rsidRPr="00C16083" w:rsidR="00897776">
        <w:t>.</w:t>
      </w:r>
      <w:r w:rsidRPr="00C16083" w:rsidR="00F43F3D">
        <w:t xml:space="preserve"> </w:t>
      </w:r>
      <w:r w:rsidRPr="00C16083" w:rsidR="00897776">
        <w:t xml:space="preserve">These, </w:t>
      </w:r>
      <w:r w:rsidRPr="00C16083" w:rsidR="007C0A1F">
        <w:t>however</w:t>
      </w:r>
      <w:r w:rsidRPr="00C16083" w:rsidR="00897776">
        <w:t>,</w:t>
      </w:r>
      <w:r w:rsidRPr="00C16083" w:rsidR="007C0A1F">
        <w:t xml:space="preserve"> did not affect the applicants</w:t>
      </w:r>
      <w:r w:rsidRPr="00C16083" w:rsidR="00C16083">
        <w:t>’</w:t>
      </w:r>
      <w:r w:rsidRPr="00C16083" w:rsidR="007C0A1F">
        <w:t xml:space="preserve"> situations prior to </w:t>
      </w:r>
      <w:r w:rsidRPr="00C16083" w:rsidR="00F43F3D">
        <w:t>that date</w:t>
      </w:r>
      <w:r w:rsidRPr="00C16083" w:rsidR="007C0A1F">
        <w:t xml:space="preserve">. </w:t>
      </w:r>
      <w:r w:rsidRPr="00C16083" w:rsidR="00F43F3D">
        <w:t>At the material time</w:t>
      </w:r>
      <w:r w:rsidRPr="00C16083" w:rsidR="00D62508">
        <w:t xml:space="preserve">, there existed no possibility </w:t>
      </w:r>
      <w:r w:rsidRPr="00C16083" w:rsidR="00897776">
        <w:t xml:space="preserve">of ensuring </w:t>
      </w:r>
      <w:r w:rsidRPr="00C16083" w:rsidR="00D62508">
        <w:t xml:space="preserve">the presence of a representative of a Bar association or </w:t>
      </w:r>
      <w:r w:rsidRPr="00C16083" w:rsidR="00897776">
        <w:t xml:space="preserve">of having </w:t>
      </w:r>
      <w:r w:rsidRPr="00C16083" w:rsidR="00D62508">
        <w:t>an investigatin</w:t>
      </w:r>
      <w:r w:rsidRPr="00C16083" w:rsidR="006B6CB2">
        <w:t>g</w:t>
      </w:r>
      <w:r w:rsidRPr="00C16083" w:rsidR="00D62508">
        <w:t xml:space="preserve"> judge decide whether or not particular documents or objects could be used by the investigation if the applicants </w:t>
      </w:r>
      <w:r w:rsidRPr="00C16083" w:rsidR="004A52CC">
        <w:t>objected to it on the grounds of</w:t>
      </w:r>
      <w:r w:rsidRPr="00C16083" w:rsidR="00D62508">
        <w:t xml:space="preserve"> </w:t>
      </w:r>
      <w:r w:rsidRPr="00C16083" w:rsidR="004A52CC">
        <w:t>professional</w:t>
      </w:r>
      <w:r w:rsidRPr="00C16083" w:rsidR="00D62508">
        <w:t xml:space="preserve"> confidential</w:t>
      </w:r>
      <w:r w:rsidRPr="00C16083" w:rsidR="004A52CC">
        <w:t>ity</w:t>
      </w:r>
      <w:r w:rsidRPr="00C16083" w:rsidR="00D62508">
        <w:t xml:space="preserve"> (</w:t>
      </w:r>
      <w:r w:rsidRPr="00C16083" w:rsidR="00F43F3D">
        <w:t>compare with</w:t>
      </w:r>
      <w:r w:rsidRPr="00C16083" w:rsidR="00D62508">
        <w:t xml:space="preserve"> </w:t>
      </w:r>
      <w:r w:rsidRPr="00C16083" w:rsidR="004A52CC">
        <w:rPr>
          <w:i/>
        </w:rPr>
        <w:t>Robathin v. Austria</w:t>
      </w:r>
      <w:r w:rsidRPr="00C16083" w:rsidR="004A52CC">
        <w:t>, no. 30457/06</w:t>
      </w:r>
      <w:r w:rsidRPr="00C16083" w:rsidR="004A52CC">
        <w:rPr>
          <w:snapToGrid w:val="0"/>
        </w:rPr>
        <w:t>, § 48, 3</w:t>
      </w:r>
      <w:r w:rsidRPr="00C16083" w:rsidR="005D7461">
        <w:rPr>
          <w:snapToGrid w:val="0"/>
        </w:rPr>
        <w:t> </w:t>
      </w:r>
      <w:r w:rsidRPr="00C16083" w:rsidR="004A52CC">
        <w:rPr>
          <w:snapToGrid w:val="0"/>
        </w:rPr>
        <w:t>July 2012</w:t>
      </w:r>
      <w:r w:rsidRPr="00C16083" w:rsidR="00D62508">
        <w:t xml:space="preserve">). </w:t>
      </w:r>
      <w:r w:rsidRPr="00C16083" w:rsidR="0095063D">
        <w:t xml:space="preserve">The presence of attesting witnesses </w:t>
      </w:r>
      <w:r w:rsidRPr="00C16083" w:rsidR="00F43F3D">
        <w:t>was not</w:t>
      </w:r>
      <w:r w:rsidRPr="00C16083" w:rsidR="009E4A0E">
        <w:t xml:space="preserve"> a sufficient safeguard</w:t>
      </w:r>
      <w:r w:rsidRPr="00C16083" w:rsidR="001B16E5">
        <w:t>,</w:t>
      </w:r>
      <w:r w:rsidRPr="00C16083" w:rsidR="009E4A0E">
        <w:t xml:space="preserve"> as </w:t>
      </w:r>
      <w:r w:rsidRPr="00C16083" w:rsidR="0095063D">
        <w:t>they were lay</w:t>
      </w:r>
      <w:r w:rsidRPr="00C16083" w:rsidR="001B16E5">
        <w:t xml:space="preserve"> people </w:t>
      </w:r>
      <w:r w:rsidRPr="00C16083" w:rsidR="0095063D">
        <w:t>without legal qualifications</w:t>
      </w:r>
      <w:r w:rsidRPr="00C16083" w:rsidR="001B16E5">
        <w:t>,</w:t>
      </w:r>
      <w:r w:rsidRPr="00C16083" w:rsidR="0095063D">
        <w:t xml:space="preserve"> unable to identify privileged material (</w:t>
      </w:r>
      <w:r w:rsidRPr="00C16083" w:rsidR="009C76DF">
        <w:t>see</w:t>
      </w:r>
      <w:r w:rsidRPr="00C16083" w:rsidR="009C76DF">
        <w:rPr>
          <w:i/>
        </w:rPr>
        <w:t xml:space="preserve"> Yuditskaya</w:t>
      </w:r>
      <w:r w:rsidRPr="00C16083" w:rsidR="009C76DF">
        <w:t>, cited above, § 30, with further references</w:t>
      </w:r>
      <w:r w:rsidRPr="00C16083" w:rsidR="0095063D">
        <w:t>).</w:t>
      </w:r>
      <w:r w:rsidRPr="00C16083" w:rsidR="005520EE">
        <w:t xml:space="preserve"> </w:t>
      </w:r>
      <w:r w:rsidRPr="00C16083" w:rsidR="0095063D">
        <w:t>Moreover, as regards the data held on the applicants</w:t>
      </w:r>
      <w:r w:rsidRPr="00C16083" w:rsidR="00C16083">
        <w:t>’</w:t>
      </w:r>
      <w:r w:rsidRPr="00C16083" w:rsidR="0095063D">
        <w:t xml:space="preserve"> </w:t>
      </w:r>
      <w:r w:rsidRPr="00C16083" w:rsidR="001C1EB6">
        <w:t>electronic</w:t>
      </w:r>
      <w:r w:rsidRPr="00C16083" w:rsidR="009E4A0E">
        <w:t xml:space="preserve"> devices</w:t>
      </w:r>
      <w:r w:rsidRPr="00C16083" w:rsidR="0095063D">
        <w:t xml:space="preserve"> which were seized by the investigator</w:t>
      </w:r>
      <w:r w:rsidRPr="00C16083" w:rsidR="009E4A0E">
        <w:t>s</w:t>
      </w:r>
      <w:r w:rsidRPr="00C16083" w:rsidR="0095063D">
        <w:t>, it does not seem that any sort of sifting procedure was followed during the search</w:t>
      </w:r>
      <w:r w:rsidRPr="00C16083" w:rsidR="000E6F3C">
        <w:t>es</w:t>
      </w:r>
      <w:r w:rsidRPr="00C16083" w:rsidR="0095063D">
        <w:t xml:space="preserve"> (</w:t>
      </w:r>
      <w:r w:rsidRPr="00C16083" w:rsidR="009E4A0E">
        <w:t>ibid.</w:t>
      </w:r>
      <w:r w:rsidRPr="00C16083" w:rsidR="0095063D">
        <w:t>).</w:t>
      </w:r>
    </w:p>
    <w:p w:rsidRPr="00C16083" w:rsidR="00843BB9" w:rsidP="00C16083" w:rsidRDefault="006368BA">
      <w:pPr>
        <w:pStyle w:val="JuPara"/>
      </w:pPr>
      <w:fldSimple w:instr=" SEQ level0 \*arabic ">
        <w:r w:rsidRPr="00C16083" w:rsidR="00C16083">
          <w:rPr>
            <w:noProof/>
          </w:rPr>
          <w:t>133</w:t>
        </w:r>
      </w:fldSimple>
      <w:r w:rsidRPr="00C16083" w:rsidR="004B0C6D">
        <w:t>.  </w:t>
      </w:r>
      <w:r w:rsidRPr="00C16083" w:rsidR="00F43F3D">
        <w:t>E</w:t>
      </w:r>
      <w:r w:rsidRPr="00C16083" w:rsidR="004B0C6D">
        <w:t>ven the existing safeguards</w:t>
      </w:r>
      <w:r w:rsidRPr="00C16083" w:rsidR="006B6CB2">
        <w:t>,</w:t>
      </w:r>
      <w:r w:rsidRPr="00C16083" w:rsidR="004B0C6D">
        <w:t xml:space="preserve"> such as </w:t>
      </w:r>
      <w:r w:rsidRPr="00C16083" w:rsidR="00F43F3D">
        <w:t xml:space="preserve">having recourse to </w:t>
      </w:r>
      <w:r w:rsidRPr="00C16083" w:rsidR="004B0C6D">
        <w:t>legal assistance during a search</w:t>
      </w:r>
      <w:r w:rsidRPr="00C16083" w:rsidR="006B6CB2">
        <w:t>,</w:t>
      </w:r>
      <w:r w:rsidRPr="00C16083" w:rsidR="004B0C6D">
        <w:t xml:space="preserve"> were unavailable to </w:t>
      </w:r>
      <w:r w:rsidRPr="00C16083" w:rsidR="00F43F3D">
        <w:t xml:space="preserve">at least </w:t>
      </w:r>
      <w:r w:rsidRPr="00C16083" w:rsidR="004B0C6D">
        <w:t xml:space="preserve">one applicant on </w:t>
      </w:r>
      <w:r w:rsidRPr="00C16083" w:rsidR="00F43F3D">
        <w:t xml:space="preserve">the pretext </w:t>
      </w:r>
      <w:r w:rsidRPr="00C16083" w:rsidR="006B6CB2">
        <w:t xml:space="preserve">that </w:t>
      </w:r>
      <w:r w:rsidRPr="00C16083" w:rsidR="001C5368">
        <w:t>her lawyer</w:t>
      </w:r>
      <w:r w:rsidRPr="00C16083" w:rsidR="006B6CB2">
        <w:t xml:space="preserve"> had arrived at the scene belatedly</w:t>
      </w:r>
      <w:r w:rsidRPr="00C16083" w:rsidR="001C5368">
        <w:t xml:space="preserve"> when the search had already begun </w:t>
      </w:r>
      <w:r w:rsidRPr="00C16083" w:rsidR="004B0C6D">
        <w:t>(application no. 32324/06,</w:t>
      </w:r>
      <w:r w:rsidRPr="00C16083" w:rsidR="00A225CB">
        <w:t xml:space="preserve"> see</w:t>
      </w:r>
      <w:r w:rsidRPr="00C16083" w:rsidR="004B0C6D">
        <w:t xml:space="preserve"> paragraph </w:t>
      </w:r>
      <w:r w:rsidRPr="00C16083" w:rsidR="004B0C6D">
        <w:fldChar w:fldCharType="begin"/>
      </w:r>
      <w:r w:rsidRPr="00C16083" w:rsidR="004B0C6D">
        <w:instrText xml:space="preserve"> REF Buraga_lawyer_refused \h </w:instrText>
      </w:r>
      <w:r w:rsidRPr="00C16083" w:rsidR="004B0C6D">
        <w:fldChar w:fldCharType="separate"/>
      </w:r>
      <w:r w:rsidRPr="00C16083" w:rsidR="00C16083">
        <w:rPr>
          <w:noProof/>
        </w:rPr>
        <w:t>17</w:t>
      </w:r>
      <w:r w:rsidRPr="00C16083" w:rsidR="004B0C6D">
        <w:fldChar w:fldCharType="end"/>
      </w:r>
      <w:r w:rsidRPr="00C16083" w:rsidR="004B0C6D">
        <w:t xml:space="preserve"> above). </w:t>
      </w:r>
      <w:r w:rsidRPr="00C16083" w:rsidR="001C5368">
        <w:t xml:space="preserve">It is not clear how a lawyer could have appeared </w:t>
      </w:r>
      <w:r w:rsidRPr="00C16083" w:rsidR="006B6CB2">
        <w:t xml:space="preserve">at </w:t>
      </w:r>
      <w:r w:rsidRPr="00C16083" w:rsidR="001C5368">
        <w:t>the beginning of a search</w:t>
      </w:r>
      <w:r w:rsidRPr="00C16083" w:rsidR="006B6CB2">
        <w:t>,</w:t>
      </w:r>
      <w:r w:rsidRPr="00C16083" w:rsidR="001C5368">
        <w:t xml:space="preserve"> given that the applicant had not been notified about the search in advance and the </w:t>
      </w:r>
      <w:r w:rsidRPr="00C16083" w:rsidR="006B6CB2">
        <w:t xml:space="preserve">time at which the </w:t>
      </w:r>
      <w:r w:rsidRPr="00C16083" w:rsidR="001C5368">
        <w:t xml:space="preserve">search </w:t>
      </w:r>
      <w:r w:rsidRPr="00C16083" w:rsidR="006B6CB2">
        <w:t xml:space="preserve">had started </w:t>
      </w:r>
      <w:r w:rsidRPr="00C16083" w:rsidR="001C5368">
        <w:t xml:space="preserve">had </w:t>
      </w:r>
      <w:r w:rsidRPr="00C16083" w:rsidR="00F864C4">
        <w:t>not been chose</w:t>
      </w:r>
      <w:r w:rsidRPr="00C16083" w:rsidR="005049D1">
        <w:t>n</w:t>
      </w:r>
      <w:r w:rsidRPr="00C16083" w:rsidR="00F864C4">
        <w:t xml:space="preserve"> by her</w:t>
      </w:r>
      <w:r w:rsidRPr="00C16083" w:rsidR="001C5368">
        <w:t>.</w:t>
      </w:r>
    </w:p>
    <w:p w:rsidRPr="00C16083" w:rsidR="00160559" w:rsidP="00C16083" w:rsidRDefault="006368BA">
      <w:pPr>
        <w:pStyle w:val="JuPara"/>
      </w:pPr>
      <w:fldSimple w:instr=" SEQ level0 \*arabic ">
        <w:r w:rsidRPr="00C16083" w:rsidR="00C16083">
          <w:rPr>
            <w:noProof/>
          </w:rPr>
          <w:t>134</w:t>
        </w:r>
      </w:fldSimple>
      <w:r w:rsidRPr="00C16083" w:rsidR="00A10A06">
        <w:t>.  </w:t>
      </w:r>
      <w:r w:rsidRPr="00C16083" w:rsidR="00F864C4">
        <w:t>I</w:t>
      </w:r>
      <w:r w:rsidRPr="00C16083" w:rsidR="00A10A06">
        <w:t xml:space="preserve">n application no. </w:t>
      </w:r>
      <w:r w:rsidRPr="00C16083" w:rsidR="00FB0C2E">
        <w:t xml:space="preserve">2397/11 </w:t>
      </w:r>
      <w:r w:rsidRPr="00C16083" w:rsidR="00021CA5">
        <w:t xml:space="preserve">the </w:t>
      </w:r>
      <w:r w:rsidRPr="00C16083" w:rsidR="00F864C4">
        <w:t xml:space="preserve">procedure </w:t>
      </w:r>
      <w:r w:rsidRPr="00C16083" w:rsidR="00021CA5">
        <w:t xml:space="preserve">of </w:t>
      </w:r>
      <w:r w:rsidRPr="00C16083" w:rsidR="00576239">
        <w:t>the</w:t>
      </w:r>
      <w:r w:rsidRPr="00C16083" w:rsidR="00021CA5">
        <w:t xml:space="preserve"> </w:t>
      </w:r>
      <w:r w:rsidRPr="00C16083" w:rsidR="00F864C4">
        <w:rPr>
          <w:i/>
        </w:rPr>
        <w:t xml:space="preserve">ex post facto </w:t>
      </w:r>
      <w:r w:rsidRPr="00C16083" w:rsidR="00021CA5">
        <w:t xml:space="preserve">judicial review </w:t>
      </w:r>
      <w:r w:rsidRPr="00C16083" w:rsidR="00F864C4">
        <w:t>was deficient on account of the first-instance court</w:t>
      </w:r>
      <w:r w:rsidRPr="00C16083" w:rsidR="00C16083">
        <w:t>’</w:t>
      </w:r>
      <w:r w:rsidRPr="00C16083" w:rsidR="00F864C4">
        <w:t xml:space="preserve">s decision to bar Mr </w:t>
      </w:r>
      <w:r w:rsidRPr="00C16083" w:rsidR="005049D1">
        <w:t xml:space="preserve">Balyan, Mr Sokolov and Mr Solovyev </w:t>
      </w:r>
      <w:r w:rsidRPr="00C16083" w:rsidR="00F864C4">
        <w:t xml:space="preserve">from </w:t>
      </w:r>
      <w:r w:rsidRPr="00C16083" w:rsidR="008149D8">
        <w:t>making submissions to the court</w:t>
      </w:r>
      <w:r w:rsidRPr="00C16083" w:rsidR="00F864C4">
        <w:t xml:space="preserve"> </w:t>
      </w:r>
      <w:r w:rsidRPr="00C16083" w:rsidR="00021CA5">
        <w:t xml:space="preserve">(see paragraph </w:t>
      </w:r>
      <w:r w:rsidRPr="00C16083" w:rsidR="00021CA5">
        <w:fldChar w:fldCharType="begin"/>
      </w:r>
      <w:r w:rsidRPr="00C16083" w:rsidR="00021CA5">
        <w:instrText xml:space="preserve"> REF Balyan_no_particip_court_hearing \h </w:instrText>
      </w:r>
      <w:r w:rsidRPr="00C16083" w:rsidR="00021CA5">
        <w:fldChar w:fldCharType="separate"/>
      </w:r>
      <w:r w:rsidRPr="00C16083" w:rsidR="00C16083">
        <w:rPr>
          <w:noProof/>
        </w:rPr>
        <w:t>42</w:t>
      </w:r>
      <w:r w:rsidRPr="00C16083" w:rsidR="00021CA5">
        <w:fldChar w:fldCharType="end"/>
      </w:r>
      <w:r w:rsidRPr="00C16083" w:rsidR="00021CA5">
        <w:t xml:space="preserve"> above)</w:t>
      </w:r>
      <w:r w:rsidRPr="00C16083" w:rsidR="00FB0C2E">
        <w:t xml:space="preserve">. The court </w:t>
      </w:r>
      <w:r w:rsidRPr="00C16083" w:rsidR="008149D8">
        <w:t xml:space="preserve">offered a restrictive interpretation of </w:t>
      </w:r>
      <w:r w:rsidRPr="00C16083" w:rsidR="00FB0C2E">
        <w:t>Article 165</w:t>
      </w:r>
      <w:r w:rsidRPr="00C16083" w:rsidR="00576239">
        <w:t xml:space="preserve"> § 3</w:t>
      </w:r>
      <w:r w:rsidRPr="00C16083" w:rsidR="00FB0C2E">
        <w:t xml:space="preserve"> of the CCrP (see paragraph</w:t>
      </w:r>
      <w:r w:rsidRPr="00C16083" w:rsidR="00965C34">
        <w:t> </w:t>
      </w:r>
      <w:r w:rsidRPr="00C16083" w:rsidR="00FB0C2E">
        <w:fldChar w:fldCharType="begin"/>
      </w:r>
      <w:r w:rsidRPr="00C16083" w:rsidR="00FB0C2E">
        <w:instrText xml:space="preserve"> REF A165_scope \h </w:instrText>
      </w:r>
      <w:r w:rsidRPr="00C16083" w:rsidR="00FB0C2E">
        <w:fldChar w:fldCharType="separate"/>
      </w:r>
      <w:r w:rsidRPr="00C16083" w:rsidR="00C16083">
        <w:rPr>
          <w:noProof/>
          <w:lang w:eastAsia="fr-FR"/>
        </w:rPr>
        <w:t>90</w:t>
      </w:r>
      <w:r w:rsidRPr="00C16083" w:rsidR="00FB0C2E">
        <w:fldChar w:fldCharType="end"/>
      </w:r>
      <w:r w:rsidRPr="00C16083" w:rsidR="00FB0C2E">
        <w:t xml:space="preserve"> above)</w:t>
      </w:r>
      <w:r w:rsidRPr="00C16083" w:rsidR="008149D8">
        <w:t xml:space="preserve">. It did not take into account that </w:t>
      </w:r>
      <w:r w:rsidRPr="00C16083" w:rsidR="00021CA5">
        <w:t xml:space="preserve">the search </w:t>
      </w:r>
      <w:r w:rsidRPr="00C16083" w:rsidR="008149D8">
        <w:t xml:space="preserve">had </w:t>
      </w:r>
      <w:r w:rsidRPr="00C16083" w:rsidR="00021CA5">
        <w:t xml:space="preserve">already </w:t>
      </w:r>
      <w:r w:rsidRPr="00C16083" w:rsidR="008149D8">
        <w:t xml:space="preserve">taken </w:t>
      </w:r>
      <w:r w:rsidRPr="00C16083" w:rsidR="00021CA5">
        <w:t>place</w:t>
      </w:r>
      <w:r w:rsidRPr="00C16083" w:rsidR="008149D8">
        <w:t xml:space="preserve"> and that there was accordingly no need for the kind of secrecy required in </w:t>
      </w:r>
      <w:r w:rsidRPr="00C16083" w:rsidR="008149D8">
        <w:rPr>
          <w:i/>
        </w:rPr>
        <w:t>ex parte</w:t>
      </w:r>
      <w:r w:rsidRPr="00C16083" w:rsidR="008149D8">
        <w:t xml:space="preserve"> proceedings. Moreover, that restrictive interpretation appears to have been at variance with the case-law of </w:t>
      </w:r>
      <w:r w:rsidRPr="00C16083" w:rsidR="00661FEF">
        <w:t>the Constitutional Court</w:t>
      </w:r>
      <w:r w:rsidRPr="00C16083" w:rsidR="007410D3">
        <w:t xml:space="preserve"> (see paragraph </w:t>
      </w:r>
      <w:r w:rsidRPr="00C16083" w:rsidR="007410D3">
        <w:fldChar w:fldCharType="begin"/>
      </w:r>
      <w:r w:rsidRPr="00C16083" w:rsidR="007410D3">
        <w:instrText xml:space="preserve"> REF ConstCourt_A165_scope \h </w:instrText>
      </w:r>
      <w:r w:rsidRPr="00C16083" w:rsidR="007410D3">
        <w:fldChar w:fldCharType="separate"/>
      </w:r>
      <w:r w:rsidRPr="00C16083" w:rsidR="00C16083">
        <w:rPr>
          <w:noProof/>
          <w:lang w:eastAsia="fr-FR"/>
        </w:rPr>
        <w:t>91</w:t>
      </w:r>
      <w:r w:rsidRPr="00C16083" w:rsidR="007410D3">
        <w:fldChar w:fldCharType="end"/>
      </w:r>
      <w:r w:rsidRPr="00C16083" w:rsidR="007410D3">
        <w:t xml:space="preserve"> above)</w:t>
      </w:r>
      <w:r w:rsidRPr="00C16083" w:rsidR="00661FEF">
        <w:t xml:space="preserve">, </w:t>
      </w:r>
      <w:r w:rsidRPr="00C16083" w:rsidR="008149D8">
        <w:t xml:space="preserve">according to which that </w:t>
      </w:r>
      <w:r w:rsidRPr="00C16083" w:rsidR="00661FEF">
        <w:t xml:space="preserve">provision did not prevent </w:t>
      </w:r>
      <w:r w:rsidRPr="00C16083" w:rsidR="001721F7">
        <w:t xml:space="preserve">those </w:t>
      </w:r>
      <w:r w:rsidRPr="00C16083" w:rsidR="00661FEF">
        <w:t>concerned from participati</w:t>
      </w:r>
      <w:r w:rsidRPr="00C16083" w:rsidR="008149D8">
        <w:t>ng</w:t>
      </w:r>
      <w:r w:rsidRPr="00C16083" w:rsidR="00661FEF">
        <w:t xml:space="preserve"> in </w:t>
      </w:r>
      <w:r w:rsidRPr="00C16083" w:rsidR="004A3E90">
        <w:t xml:space="preserve">a </w:t>
      </w:r>
      <w:r w:rsidRPr="00C16083" w:rsidR="00661FEF">
        <w:t xml:space="preserve">judicial review of the search. </w:t>
      </w:r>
      <w:r w:rsidRPr="00C16083" w:rsidR="003460D7">
        <w:t xml:space="preserve">Thus </w:t>
      </w:r>
      <w:r w:rsidRPr="00C16083" w:rsidR="00576239">
        <w:t xml:space="preserve">the Court </w:t>
      </w:r>
      <w:r w:rsidRPr="00C16083" w:rsidR="008149D8">
        <w:t xml:space="preserve">finds </w:t>
      </w:r>
      <w:r w:rsidRPr="00C16083" w:rsidR="00576239">
        <w:t xml:space="preserve">that </w:t>
      </w:r>
      <w:r w:rsidRPr="00C16083" w:rsidR="005049D1">
        <w:t>Mr Balyan, Mr Sokolov and Mr Solovyev</w:t>
      </w:r>
      <w:r w:rsidRPr="00C16083" w:rsidR="008149D8">
        <w:t xml:space="preserve"> </w:t>
      </w:r>
      <w:r w:rsidRPr="00C16083" w:rsidR="003460D7">
        <w:t xml:space="preserve">were </w:t>
      </w:r>
      <w:r w:rsidRPr="00C16083" w:rsidR="001721F7">
        <w:t xml:space="preserve">restricted </w:t>
      </w:r>
      <w:r w:rsidRPr="00C16083" w:rsidR="003460D7">
        <w:t>in their right to participate in the</w:t>
      </w:r>
      <w:r w:rsidRPr="00C16083" w:rsidR="008149D8">
        <w:t xml:space="preserve"> </w:t>
      </w:r>
      <w:r w:rsidRPr="00C16083" w:rsidR="008149D8">
        <w:rPr>
          <w:i/>
        </w:rPr>
        <w:t>ex post facto</w:t>
      </w:r>
      <w:r w:rsidRPr="00C16083" w:rsidR="003460D7">
        <w:t xml:space="preserve"> judicial review of the search.</w:t>
      </w:r>
    </w:p>
    <w:p w:rsidRPr="00C16083" w:rsidR="00160559" w:rsidP="00C16083" w:rsidRDefault="006368BA">
      <w:pPr>
        <w:pStyle w:val="JuPara"/>
      </w:pPr>
      <w:fldSimple w:instr=" SEQ level0 \*arabic ">
        <w:r w:rsidRPr="00C16083" w:rsidR="00C16083">
          <w:rPr>
            <w:noProof/>
          </w:rPr>
          <w:t>135</w:t>
        </w:r>
      </w:fldSimple>
      <w:r w:rsidRPr="00C16083" w:rsidR="00575237">
        <w:t>.  In application no. 19667/16 (</w:t>
      </w:r>
      <w:r w:rsidRPr="00C16083" w:rsidR="00994D92">
        <w:t xml:space="preserve">second </w:t>
      </w:r>
      <w:r w:rsidRPr="00C16083" w:rsidR="00575237">
        <w:t xml:space="preserve">search), the </w:t>
      </w:r>
      <w:r w:rsidRPr="00C16083" w:rsidR="00994D92">
        <w:t>appeal court refused to examine the applicant</w:t>
      </w:r>
      <w:r w:rsidRPr="00C16083" w:rsidR="00C16083">
        <w:t>’</w:t>
      </w:r>
      <w:r w:rsidRPr="00C16083" w:rsidR="00994D92">
        <w:t xml:space="preserve">s appeal complaint against the </w:t>
      </w:r>
      <w:r w:rsidRPr="00C16083" w:rsidR="00192D55">
        <w:t xml:space="preserve">court </w:t>
      </w:r>
      <w:r w:rsidRPr="00C16083" w:rsidR="00994D92">
        <w:t>search warrant on the grounds that the criminal case against third persons, within the framework of which th</w:t>
      </w:r>
      <w:r w:rsidRPr="00C16083" w:rsidR="004E09E7">
        <w:t>at</w:t>
      </w:r>
      <w:r w:rsidRPr="00C16083" w:rsidR="00994D92">
        <w:t xml:space="preserve"> warrant had been issued, had been by that moment sent for trial. The Court has not been provided with an explanation as to why the fact of pending criminal proceedings against third persons should have affected the applicant</w:t>
      </w:r>
      <w:r w:rsidRPr="00C16083" w:rsidR="00C16083">
        <w:t>’</w:t>
      </w:r>
      <w:r w:rsidRPr="00C16083" w:rsidR="00994D92">
        <w:t xml:space="preserve">s right to verify the lawfulness of the </w:t>
      </w:r>
      <w:r w:rsidRPr="00C16083" w:rsidR="00DB0924">
        <w:t xml:space="preserve">court </w:t>
      </w:r>
      <w:r w:rsidRPr="00C16083" w:rsidR="00994D92">
        <w:t xml:space="preserve">search warrant in respect of her home. It </w:t>
      </w:r>
      <w:r w:rsidRPr="00C16083" w:rsidR="00917B3B">
        <w:t xml:space="preserve">thus </w:t>
      </w:r>
      <w:r w:rsidRPr="00C16083" w:rsidR="00994D92">
        <w:t xml:space="preserve">considers that in this case the applicant was deprived of the </w:t>
      </w:r>
      <w:r w:rsidRPr="00C16083" w:rsidR="00994D92">
        <w:rPr>
          <w:i/>
        </w:rPr>
        <w:t>ex post facto</w:t>
      </w:r>
      <w:r w:rsidRPr="00C16083" w:rsidR="00994D92">
        <w:t xml:space="preserve"> judicial review of the </w:t>
      </w:r>
      <w:r w:rsidRPr="00C16083" w:rsidR="0029473C">
        <w:t xml:space="preserve">court </w:t>
      </w:r>
      <w:r w:rsidRPr="00C16083" w:rsidR="00994D92">
        <w:t>search warrant issued in respect of her home.</w:t>
      </w:r>
    </w:p>
    <w:p w:rsidRPr="00C16083" w:rsidR="00843BB9" w:rsidP="00C16083" w:rsidRDefault="006368BA">
      <w:pPr>
        <w:pStyle w:val="JuPara"/>
      </w:pPr>
      <w:fldSimple w:instr=" SEQ level0 \*arabic ">
        <w:r w:rsidRPr="00C16083" w:rsidR="00C16083">
          <w:rPr>
            <w:noProof/>
          </w:rPr>
          <w:t>136</w:t>
        </w:r>
      </w:fldSimple>
      <w:r w:rsidRPr="00C16083" w:rsidR="009E4A0E">
        <w:t>.  </w:t>
      </w:r>
      <w:r w:rsidRPr="00C16083" w:rsidR="00446DE1">
        <w:t xml:space="preserve">Having regard to the above, the Court finds that the searches </w:t>
      </w:r>
      <w:r w:rsidRPr="00C16083" w:rsidR="007410D3">
        <w:t xml:space="preserve">in the present cases </w:t>
      </w:r>
      <w:r w:rsidRPr="00C16083" w:rsidR="00446DE1">
        <w:t xml:space="preserve">impinged on professional </w:t>
      </w:r>
      <w:r w:rsidRPr="00C16083" w:rsidR="00C3609B">
        <w:t>confidentiality</w:t>
      </w:r>
      <w:r w:rsidRPr="00C16083" w:rsidR="00446DE1">
        <w:t xml:space="preserve"> to an extent that was disproportionate to the legitimate aim being pursued.</w:t>
      </w:r>
    </w:p>
    <w:bookmarkStart w:name="lawyers_not_advocates" w:id="52"/>
    <w:p w:rsidRPr="00C16083" w:rsidR="00843BB9" w:rsidP="00C16083" w:rsidRDefault="00446DE1">
      <w:pPr>
        <w:pStyle w:val="JuPara"/>
      </w:pPr>
      <w:r w:rsidRPr="00C16083">
        <w:rPr>
          <w:lang w:val="it-IT"/>
        </w:rPr>
        <w:fldChar w:fldCharType="begin"/>
      </w:r>
      <w:r w:rsidRPr="00C16083">
        <w:rPr>
          <w:lang w:val="it-IT"/>
        </w:rPr>
        <w:instrText xml:space="preserve"> SEQ level0 \*arabic </w:instrText>
      </w:r>
      <w:r w:rsidRPr="00C16083">
        <w:rPr>
          <w:lang w:val="it-IT"/>
        </w:rPr>
        <w:fldChar w:fldCharType="separate"/>
      </w:r>
      <w:r w:rsidRPr="00C16083" w:rsidR="00C16083">
        <w:rPr>
          <w:noProof/>
          <w:lang w:val="it-IT"/>
        </w:rPr>
        <w:t>137</w:t>
      </w:r>
      <w:r w:rsidRPr="00C16083">
        <w:rPr>
          <w:lang w:val="it-IT"/>
        </w:rPr>
        <w:fldChar w:fldCharType="end"/>
      </w:r>
      <w:bookmarkEnd w:id="52"/>
      <w:r w:rsidRPr="00C16083">
        <w:rPr>
          <w:lang w:val="it-IT"/>
        </w:rPr>
        <w:t>.  </w:t>
      </w:r>
      <w:r w:rsidRPr="00C16083" w:rsidR="000374CE">
        <w:t xml:space="preserve">As </w:t>
      </w:r>
      <w:r w:rsidRPr="00C16083" w:rsidR="001B16E5">
        <w:t>regards</w:t>
      </w:r>
      <w:r w:rsidRPr="00C16083" w:rsidR="0084140F">
        <w:t xml:space="preserve"> the three applicants who were practi</w:t>
      </w:r>
      <w:r w:rsidRPr="00C16083" w:rsidR="001B16E5">
        <w:t>s</w:t>
      </w:r>
      <w:r w:rsidRPr="00C16083" w:rsidR="0084140F">
        <w:t>ing lawyers</w:t>
      </w:r>
      <w:r w:rsidRPr="00C16083" w:rsidR="00980AB4">
        <w:t xml:space="preserve"> </w:t>
      </w:r>
      <w:r w:rsidRPr="00C16083" w:rsidR="0084140F">
        <w:t xml:space="preserve">but not members of </w:t>
      </w:r>
      <w:r w:rsidRPr="00C16083" w:rsidR="000127B0">
        <w:t>the</w:t>
      </w:r>
      <w:r w:rsidRPr="00C16083" w:rsidR="0084140F">
        <w:t xml:space="preserve"> Bar</w:t>
      </w:r>
      <w:r w:rsidRPr="00C16083" w:rsidR="00554B2B">
        <w:t xml:space="preserve"> (application</w:t>
      </w:r>
      <w:r w:rsidRPr="00C16083" w:rsidR="001B16E5">
        <w:t>s</w:t>
      </w:r>
      <w:r w:rsidRPr="00C16083" w:rsidR="00554B2B">
        <w:t xml:space="preserve"> nos. 58290/08, 10825/11 and 73629/13)</w:t>
      </w:r>
      <w:r w:rsidRPr="00C16083" w:rsidR="000374CE">
        <w:t>,</w:t>
      </w:r>
      <w:r w:rsidRPr="00C16083" w:rsidR="0084140F">
        <w:t xml:space="preserve"> t</w:t>
      </w:r>
      <w:r w:rsidRPr="00C16083">
        <w:t xml:space="preserve">he Court </w:t>
      </w:r>
      <w:r w:rsidRPr="00C16083" w:rsidR="007311F1">
        <w:t xml:space="preserve">further </w:t>
      </w:r>
      <w:r w:rsidRPr="00C16083">
        <w:t xml:space="preserve">notes </w:t>
      </w:r>
      <w:r w:rsidRPr="00C16083" w:rsidR="0084140F">
        <w:t>as follows. I</w:t>
      </w:r>
      <w:r w:rsidRPr="00C16083" w:rsidR="00BE501E">
        <w:t xml:space="preserve">t is </w:t>
      </w:r>
      <w:r w:rsidRPr="00C16083" w:rsidR="001B16E5">
        <w:t>for</w:t>
      </w:r>
      <w:r w:rsidRPr="00C16083" w:rsidR="00BE501E">
        <w:t xml:space="preserve"> States to </w:t>
      </w:r>
      <w:r w:rsidRPr="00C16083" w:rsidR="002A79BE">
        <w:t>determine</w:t>
      </w:r>
      <w:r w:rsidRPr="00C16083" w:rsidR="00D91991">
        <w:t xml:space="preserve"> who </w:t>
      </w:r>
      <w:r w:rsidRPr="00C16083" w:rsidR="007E1227">
        <w:t>is</w:t>
      </w:r>
      <w:r w:rsidRPr="00C16083" w:rsidR="00BE501E">
        <w:t xml:space="preserve"> authorised to practi</w:t>
      </w:r>
      <w:r w:rsidRPr="00C16083" w:rsidR="007464A9">
        <w:t>s</w:t>
      </w:r>
      <w:r w:rsidRPr="00C16083" w:rsidR="00BE501E">
        <w:t>e law</w:t>
      </w:r>
      <w:r w:rsidRPr="00C16083" w:rsidR="007606D2">
        <w:t xml:space="preserve"> within their jurisdiction</w:t>
      </w:r>
      <w:r w:rsidRPr="00C16083" w:rsidR="007464A9">
        <w:t>, and under what conditions</w:t>
      </w:r>
      <w:r w:rsidRPr="00C16083" w:rsidR="00BE501E">
        <w:t xml:space="preserve">. </w:t>
      </w:r>
      <w:r w:rsidRPr="00C16083" w:rsidR="00D91991">
        <w:t>Further</w:t>
      </w:r>
      <w:r w:rsidRPr="00C16083" w:rsidR="00980AB4">
        <w:t>more</w:t>
      </w:r>
      <w:r w:rsidRPr="00C16083" w:rsidR="00D91991">
        <w:t>, i</w:t>
      </w:r>
      <w:r w:rsidRPr="00C16083" w:rsidR="002A79BE">
        <w:t xml:space="preserve">t is also </w:t>
      </w:r>
      <w:r w:rsidRPr="00C16083" w:rsidR="007464A9">
        <w:t xml:space="preserve">for </w:t>
      </w:r>
      <w:r w:rsidRPr="00C16083" w:rsidR="002A79BE">
        <w:t xml:space="preserve">States to establish a system of </w:t>
      </w:r>
      <w:r w:rsidRPr="00C16083" w:rsidR="00471DAE">
        <w:t>particular safeguards</w:t>
      </w:r>
      <w:r w:rsidRPr="00C16083" w:rsidR="002A79BE">
        <w:t xml:space="preserve"> of </w:t>
      </w:r>
      <w:r w:rsidRPr="00C16083" w:rsidR="00471DAE">
        <w:t xml:space="preserve">professional secrecy </w:t>
      </w:r>
      <w:r w:rsidRPr="00C16083" w:rsidR="002A79BE">
        <w:t>in the interests of proper administration of justice</w:t>
      </w:r>
      <w:r w:rsidRPr="00C16083" w:rsidR="007464A9">
        <w:t>,</w:t>
      </w:r>
      <w:r w:rsidRPr="00C16083" w:rsidR="00E76590">
        <w:t xml:space="preserve"> </w:t>
      </w:r>
      <w:r w:rsidRPr="00C16083" w:rsidR="006E52B9">
        <w:t>given lawyers</w:t>
      </w:r>
      <w:r w:rsidRPr="00C16083" w:rsidR="00C16083">
        <w:t>’</w:t>
      </w:r>
      <w:r w:rsidRPr="00C16083" w:rsidR="006E52B9">
        <w:t xml:space="preserve"> role </w:t>
      </w:r>
      <w:r w:rsidRPr="00C16083" w:rsidR="007464A9">
        <w:t>as</w:t>
      </w:r>
      <w:r w:rsidRPr="00C16083" w:rsidR="006E52B9">
        <w:t xml:space="preserve"> intermediaries between litigants and the courts </w:t>
      </w:r>
      <w:r w:rsidRPr="00C16083" w:rsidR="00E76590">
        <w:t>(see</w:t>
      </w:r>
      <w:r w:rsidRPr="00C16083" w:rsidR="00DF58D5">
        <w:t xml:space="preserve"> </w:t>
      </w:r>
      <w:r w:rsidRPr="00C16083" w:rsidR="00DF58D5">
        <w:rPr>
          <w:i/>
        </w:rPr>
        <w:t>André and Another v. France</w:t>
      </w:r>
      <w:r w:rsidRPr="00C16083" w:rsidR="00736760">
        <w:t>, no. </w:t>
      </w:r>
      <w:r w:rsidRPr="00C16083" w:rsidR="00471DAE">
        <w:t>18603/03, §§ </w:t>
      </w:r>
      <w:r w:rsidRPr="00C16083" w:rsidR="00DF58D5">
        <w:t>41</w:t>
      </w:r>
      <w:r w:rsidRPr="00C16083" w:rsidR="00471DAE">
        <w:t>-42</w:t>
      </w:r>
      <w:r w:rsidRPr="00C16083" w:rsidR="00DF58D5">
        <w:t>, 24 July 2008, and</w:t>
      </w:r>
      <w:r w:rsidRPr="00C16083" w:rsidR="00E76590">
        <w:t xml:space="preserve"> </w:t>
      </w:r>
      <w:r w:rsidRPr="00C16083" w:rsidR="00E76590">
        <w:rPr>
          <w:i/>
        </w:rPr>
        <w:t>Michaud v. France</w:t>
      </w:r>
      <w:r w:rsidRPr="00C16083" w:rsidR="00E76590">
        <w:rPr>
          <w:snapToGrid w:val="0"/>
        </w:rPr>
        <w:t>, no.</w:t>
      </w:r>
      <w:r w:rsidRPr="00C16083" w:rsidR="00736760">
        <w:t xml:space="preserve"> 12323/11, §§ </w:t>
      </w:r>
      <w:r w:rsidRPr="00C16083" w:rsidR="00E76590">
        <w:t>118-19,</w:t>
      </w:r>
      <w:r w:rsidRPr="00C16083" w:rsidR="00E76590">
        <w:rPr>
          <w:snapToGrid w:val="0"/>
        </w:rPr>
        <w:t xml:space="preserve"> ECHR 2012</w:t>
      </w:r>
      <w:r w:rsidRPr="00C16083" w:rsidR="00E76590">
        <w:t>)</w:t>
      </w:r>
      <w:r w:rsidRPr="00C16083" w:rsidR="002A79BE">
        <w:t>.</w:t>
      </w:r>
      <w:r w:rsidRPr="00C16083" w:rsidR="00C17B8F">
        <w:t xml:space="preserve"> </w:t>
      </w:r>
      <w:r w:rsidRPr="00C16083" w:rsidR="005837E2">
        <w:t>I</w:t>
      </w:r>
      <w:r w:rsidRPr="00C16083" w:rsidR="0084140F">
        <w:t>n Russia</w:t>
      </w:r>
      <w:r w:rsidRPr="00C16083" w:rsidR="007606D2">
        <w:t>,</w:t>
      </w:r>
      <w:r w:rsidRPr="00C16083" w:rsidR="0084140F">
        <w:t xml:space="preserve"> </w:t>
      </w:r>
      <w:r w:rsidRPr="00C16083" w:rsidR="007606D2">
        <w:t>irrespective of the area of law</w:t>
      </w:r>
      <w:r w:rsidRPr="00C16083" w:rsidR="00AF5AE1">
        <w:t>,</w:t>
      </w:r>
      <w:r w:rsidRPr="00C16083" w:rsidR="007606D2">
        <w:t xml:space="preserve"> </w:t>
      </w:r>
      <w:r w:rsidRPr="00C16083" w:rsidR="00FB0A51">
        <w:t xml:space="preserve">legal </w:t>
      </w:r>
      <w:r w:rsidRPr="00C16083" w:rsidR="00980AB4">
        <w:t>advice</w:t>
      </w:r>
      <w:r w:rsidRPr="00C16083" w:rsidR="007606D2">
        <w:t>,</w:t>
      </w:r>
      <w:r w:rsidRPr="00C16083" w:rsidR="00AC3A4C">
        <w:t xml:space="preserve"> </w:t>
      </w:r>
      <w:r w:rsidRPr="00C16083" w:rsidR="007606D2">
        <w:t>as well as</w:t>
      </w:r>
      <w:r w:rsidRPr="00C16083" w:rsidR="00980AB4">
        <w:t xml:space="preserve"> representation</w:t>
      </w:r>
      <w:r w:rsidRPr="00C16083" w:rsidR="00BE5ABC">
        <w:t xml:space="preserve"> in court proceedings</w:t>
      </w:r>
      <w:r w:rsidRPr="00C16083" w:rsidR="007606D2">
        <w:t>,</w:t>
      </w:r>
      <w:r w:rsidRPr="00C16083" w:rsidR="00980AB4">
        <w:t xml:space="preserve"> </w:t>
      </w:r>
      <w:r w:rsidRPr="00C16083" w:rsidR="00AC3A4C">
        <w:t xml:space="preserve">may be provided by </w:t>
      </w:r>
      <w:r w:rsidRPr="00C16083" w:rsidR="00FB0A51">
        <w:t>advocates</w:t>
      </w:r>
      <w:r w:rsidRPr="00C16083" w:rsidR="00980AB4">
        <w:t xml:space="preserve"> </w:t>
      </w:r>
      <w:r w:rsidRPr="00C16083" w:rsidR="005837E2">
        <w:t xml:space="preserve">and </w:t>
      </w:r>
      <w:r w:rsidRPr="00C16083" w:rsidR="00AF5AE1">
        <w:t>by</w:t>
      </w:r>
      <w:r w:rsidRPr="00C16083" w:rsidR="007606D2">
        <w:t xml:space="preserve"> </w:t>
      </w:r>
      <w:r w:rsidRPr="00C16083" w:rsidR="00AF5AE1">
        <w:t>“</w:t>
      </w:r>
      <w:r w:rsidRPr="00C16083" w:rsidR="00AC3A4C">
        <w:t>other persons</w:t>
      </w:r>
      <w:r w:rsidRPr="00C16083" w:rsidR="00AF5AE1">
        <w:t>”</w:t>
      </w:r>
      <w:r w:rsidRPr="00C16083" w:rsidR="007464A9">
        <w:t>,</w:t>
      </w:r>
      <w:r w:rsidRPr="00C16083" w:rsidR="00D91991">
        <w:t xml:space="preserve"> </w:t>
      </w:r>
      <w:r w:rsidRPr="00C16083" w:rsidR="006E52B9">
        <w:t xml:space="preserve">with few limitations </w:t>
      </w:r>
      <w:r w:rsidRPr="00C16083" w:rsidR="00D91991">
        <w:t xml:space="preserve">(see paragraphs </w:t>
      </w:r>
      <w:r w:rsidRPr="00C16083" w:rsidR="007606D2">
        <w:fldChar w:fldCharType="begin"/>
      </w:r>
      <w:r w:rsidRPr="00C16083" w:rsidR="007606D2">
        <w:instrText xml:space="preserve"> REF types_legal_advice \h </w:instrText>
      </w:r>
      <w:r w:rsidRPr="00C16083" w:rsidR="0048725E">
        <w:instrText xml:space="preserve"> \* MERGEFORMAT </w:instrText>
      </w:r>
      <w:r w:rsidRPr="00C16083" w:rsidR="007606D2">
        <w:fldChar w:fldCharType="separate"/>
      </w:r>
      <w:r w:rsidRPr="00C16083" w:rsidR="00C16083">
        <w:rPr>
          <w:noProof/>
          <w:lang w:eastAsia="fr-FR"/>
        </w:rPr>
        <w:t>81</w:t>
      </w:r>
      <w:r w:rsidRPr="00C16083" w:rsidR="007606D2">
        <w:fldChar w:fldCharType="end"/>
      </w:r>
      <w:r w:rsidRPr="00C16083" w:rsidR="007606D2">
        <w:t>-</w:t>
      </w:r>
      <w:r w:rsidRPr="00C16083" w:rsidR="004B317B">
        <w:fldChar w:fldCharType="begin"/>
      </w:r>
      <w:r w:rsidRPr="00C16083" w:rsidR="004B317B">
        <w:instrText xml:space="preserve"> REF prof_secrecy_advocats_others \h </w:instrText>
      </w:r>
      <w:r w:rsidRPr="00C16083" w:rsidR="0048725E">
        <w:instrText xml:space="preserve"> \* MERGEFORMAT </w:instrText>
      </w:r>
      <w:r w:rsidRPr="00C16083" w:rsidR="004B317B">
        <w:fldChar w:fldCharType="separate"/>
      </w:r>
      <w:r w:rsidRPr="00C16083" w:rsidR="00C16083">
        <w:rPr>
          <w:noProof/>
          <w:lang w:eastAsia="fr-FR"/>
        </w:rPr>
        <w:t>87</w:t>
      </w:r>
      <w:r w:rsidRPr="00C16083" w:rsidR="004B317B">
        <w:fldChar w:fldCharType="end"/>
      </w:r>
      <w:r w:rsidRPr="00C16083" w:rsidR="004B317B">
        <w:t xml:space="preserve"> above</w:t>
      </w:r>
      <w:r w:rsidRPr="00C16083" w:rsidR="00D91991">
        <w:t>)</w:t>
      </w:r>
      <w:r w:rsidRPr="00C16083" w:rsidR="004B317B">
        <w:t xml:space="preserve">. However, professional secrecy is protected only </w:t>
      </w:r>
      <w:r w:rsidRPr="00C16083" w:rsidR="005837E2">
        <w:t xml:space="preserve">to the extent that </w:t>
      </w:r>
      <w:r w:rsidRPr="00C16083" w:rsidR="004B317B">
        <w:t xml:space="preserve">advocates are </w:t>
      </w:r>
      <w:r w:rsidRPr="00C16083" w:rsidR="008E3B1D">
        <w:t>involved</w:t>
      </w:r>
      <w:r w:rsidRPr="00C16083" w:rsidR="004B317B">
        <w:t xml:space="preserve">, </w:t>
      </w:r>
      <w:r w:rsidRPr="00C16083" w:rsidR="00C3609B">
        <w:t xml:space="preserve">thus </w:t>
      </w:r>
      <w:r w:rsidRPr="00C16083" w:rsidR="004B317B">
        <w:t xml:space="preserve">leaving </w:t>
      </w:r>
      <w:r w:rsidRPr="00C16083" w:rsidR="005837E2">
        <w:t xml:space="preserve">exposed </w:t>
      </w:r>
      <w:r w:rsidRPr="00C16083" w:rsidR="004B317B">
        <w:t>the</w:t>
      </w:r>
      <w:r w:rsidRPr="00C16083" w:rsidR="00116EF6">
        <w:t xml:space="preserve"> </w:t>
      </w:r>
      <w:r w:rsidRPr="00C16083" w:rsidR="006E52B9">
        <w:t xml:space="preserve">relationships </w:t>
      </w:r>
      <w:r w:rsidRPr="00C16083" w:rsidR="000127B0">
        <w:t xml:space="preserve">between </w:t>
      </w:r>
      <w:r w:rsidRPr="00C16083" w:rsidR="004B317B">
        <w:t xml:space="preserve">clients </w:t>
      </w:r>
      <w:r w:rsidRPr="00C16083" w:rsidR="000127B0">
        <w:t xml:space="preserve">and </w:t>
      </w:r>
      <w:r w:rsidRPr="00C16083" w:rsidR="005837E2">
        <w:t xml:space="preserve">other kinds of </w:t>
      </w:r>
      <w:r w:rsidRPr="00C16083" w:rsidR="004B317B">
        <w:t xml:space="preserve">legal advisers (see paragraph </w:t>
      </w:r>
      <w:r w:rsidRPr="00C16083" w:rsidR="00116EF6">
        <w:fldChar w:fldCharType="begin"/>
      </w:r>
      <w:r w:rsidRPr="00C16083" w:rsidR="00116EF6">
        <w:instrText xml:space="preserve"> REF prof_secrecy_advocats_others \h </w:instrText>
      </w:r>
      <w:r w:rsidRPr="00C16083" w:rsidR="0048725E">
        <w:instrText xml:space="preserve"> \* MERGEFORMAT </w:instrText>
      </w:r>
      <w:r w:rsidRPr="00C16083" w:rsidR="00116EF6">
        <w:fldChar w:fldCharType="separate"/>
      </w:r>
      <w:r w:rsidRPr="00C16083" w:rsidR="00C16083">
        <w:rPr>
          <w:noProof/>
          <w:lang w:eastAsia="fr-FR"/>
        </w:rPr>
        <w:t>87</w:t>
      </w:r>
      <w:r w:rsidRPr="00C16083" w:rsidR="00116EF6">
        <w:fldChar w:fldCharType="end"/>
      </w:r>
      <w:r w:rsidRPr="00C16083" w:rsidR="00116EF6">
        <w:t xml:space="preserve"> above</w:t>
      </w:r>
      <w:r w:rsidRPr="00C16083" w:rsidR="004B317B">
        <w:t>).</w:t>
      </w:r>
      <w:r w:rsidRPr="00C16083" w:rsidR="004A3E90">
        <w:t xml:space="preserve"> The Court concedes that</w:t>
      </w:r>
      <w:r w:rsidRPr="00C16083" w:rsidR="00CA1381">
        <w:t xml:space="preserve"> potential clients </w:t>
      </w:r>
      <w:r w:rsidRPr="00C16083" w:rsidR="00170A10">
        <w:t>should be</w:t>
      </w:r>
      <w:r w:rsidRPr="00C16083" w:rsidR="00CA1381">
        <w:t xml:space="preserve"> aware </w:t>
      </w:r>
      <w:r w:rsidRPr="00C16083" w:rsidR="005837E2">
        <w:t xml:space="preserve">of </w:t>
      </w:r>
      <w:r w:rsidRPr="00C16083" w:rsidR="00CA1381">
        <w:t>th</w:t>
      </w:r>
      <w:r w:rsidRPr="00C16083" w:rsidR="00170A10">
        <w:t>e</w:t>
      </w:r>
      <w:r w:rsidRPr="00C16083" w:rsidR="00CA1381">
        <w:t xml:space="preserve"> difference</w:t>
      </w:r>
      <w:r w:rsidRPr="00C16083" w:rsidR="00170A10">
        <w:t xml:space="preserve"> between</w:t>
      </w:r>
      <w:r w:rsidRPr="00C16083" w:rsidR="00CA1381">
        <w:t xml:space="preserve"> the status of advocates and </w:t>
      </w:r>
      <w:r w:rsidRPr="00C16083" w:rsidR="004D3D82">
        <w:t xml:space="preserve">that of </w:t>
      </w:r>
      <w:r w:rsidRPr="00C16083" w:rsidR="00CA1381">
        <w:t>other legal advisers.</w:t>
      </w:r>
      <w:r w:rsidRPr="00C16083" w:rsidR="00160E31">
        <w:t xml:space="preserve"> </w:t>
      </w:r>
      <w:r w:rsidRPr="00C16083" w:rsidR="005837E2">
        <w:t>A</w:t>
      </w:r>
      <w:r w:rsidRPr="00C16083" w:rsidR="00160E31">
        <w:t xml:space="preserve">dvocates enjoy additional privileges which correspond to </w:t>
      </w:r>
      <w:r w:rsidRPr="00C16083" w:rsidR="004A3E90">
        <w:t xml:space="preserve">the fact that </w:t>
      </w:r>
      <w:r w:rsidRPr="00C16083" w:rsidR="00160E31">
        <w:t xml:space="preserve">their </w:t>
      </w:r>
      <w:r w:rsidRPr="00C16083" w:rsidR="0066325A">
        <w:t>obligations</w:t>
      </w:r>
      <w:r w:rsidRPr="00C16083" w:rsidR="004A3E90">
        <w:t xml:space="preserve"> towards clients are greater than those of </w:t>
      </w:r>
      <w:r w:rsidRPr="00C16083" w:rsidR="00160E31">
        <w:t xml:space="preserve">other legal advisers </w:t>
      </w:r>
      <w:r w:rsidRPr="00C16083" w:rsidR="00825D60">
        <w:t xml:space="preserve">(see paragraph </w:t>
      </w:r>
      <w:r w:rsidRPr="00C16083" w:rsidR="00825D60">
        <w:fldChar w:fldCharType="begin"/>
      </w:r>
      <w:r w:rsidRPr="00C16083" w:rsidR="00825D60">
        <w:instrText xml:space="preserve"> REF prof_secrecy_advocats_others \h  \* MERGEFORMAT </w:instrText>
      </w:r>
      <w:r w:rsidRPr="00C16083" w:rsidR="00825D60">
        <w:fldChar w:fldCharType="separate"/>
      </w:r>
      <w:r w:rsidRPr="00C16083" w:rsidR="00C16083">
        <w:t>87</w:t>
      </w:r>
      <w:r w:rsidRPr="00C16083" w:rsidR="00825D60">
        <w:fldChar w:fldCharType="end"/>
      </w:r>
      <w:r w:rsidRPr="00C16083" w:rsidR="00825D60">
        <w:t xml:space="preserve"> above)</w:t>
      </w:r>
      <w:r w:rsidRPr="00C16083" w:rsidR="007311F1">
        <w:t>.</w:t>
      </w:r>
      <w:r w:rsidRPr="00C16083" w:rsidR="00CA1381">
        <w:t xml:space="preserve"> </w:t>
      </w:r>
      <w:r w:rsidRPr="00C16083" w:rsidR="007A69F6">
        <w:t xml:space="preserve">However, it would be incompatible with the rule of law to leave without any particular safeguards at all the entirety of relations between clients and legal advisers who, with few limitations, practise, </w:t>
      </w:r>
      <w:r w:rsidRPr="00C16083" w:rsidR="007A5115">
        <w:t xml:space="preserve">professionally and </w:t>
      </w:r>
      <w:r w:rsidRPr="00C16083" w:rsidR="007A69F6">
        <w:t xml:space="preserve">often independently, in </w:t>
      </w:r>
      <w:r w:rsidRPr="00C16083" w:rsidR="00312866">
        <w:t xml:space="preserve">most </w:t>
      </w:r>
      <w:r w:rsidRPr="00C16083" w:rsidR="007A69F6">
        <w:t>areas of law, including representation of litigants before the courts</w:t>
      </w:r>
      <w:r w:rsidRPr="00C16083" w:rsidR="004926B7">
        <w:t xml:space="preserve">. </w:t>
      </w:r>
      <w:r w:rsidRPr="00C16083" w:rsidR="00B55396">
        <w:t xml:space="preserve">Therefore, the Court </w:t>
      </w:r>
      <w:r w:rsidRPr="00C16083" w:rsidR="00C3609B">
        <w:t xml:space="preserve">also </w:t>
      </w:r>
      <w:r w:rsidRPr="00C16083" w:rsidR="004926B7">
        <w:t>consider</w:t>
      </w:r>
      <w:r w:rsidRPr="00C16083" w:rsidR="00B55396">
        <w:t xml:space="preserve">s that </w:t>
      </w:r>
      <w:r w:rsidRPr="00C16083" w:rsidR="00E93444">
        <w:t>the search</w:t>
      </w:r>
      <w:r w:rsidRPr="00C16083" w:rsidR="008E7B7C">
        <w:t>es</w:t>
      </w:r>
      <w:r w:rsidRPr="00C16083" w:rsidR="00E93444">
        <w:t xml:space="preserve"> of the premises of th</w:t>
      </w:r>
      <w:r w:rsidRPr="00C16083" w:rsidR="008E7B7C">
        <w:t>os</w:t>
      </w:r>
      <w:r w:rsidRPr="00C16083" w:rsidR="00E93444">
        <w:t xml:space="preserve">e applicants who were practising lawyers but not members of </w:t>
      </w:r>
      <w:r w:rsidRPr="00C16083" w:rsidR="0066325A">
        <w:t>the</w:t>
      </w:r>
      <w:r w:rsidRPr="00C16083" w:rsidR="00E93444">
        <w:t xml:space="preserve"> Bar </w:t>
      </w:r>
      <w:r w:rsidRPr="00C16083" w:rsidR="008E7B7C">
        <w:t xml:space="preserve">were conducted without </w:t>
      </w:r>
      <w:r w:rsidRPr="00C16083" w:rsidR="00E93444">
        <w:t>sufficient</w:t>
      </w:r>
      <w:r w:rsidRPr="00C16083" w:rsidR="00BE5ABC">
        <w:t xml:space="preserve"> procedural safeguards</w:t>
      </w:r>
      <w:r w:rsidRPr="00C16083" w:rsidR="00E93444">
        <w:t xml:space="preserve"> against arbitrariness</w:t>
      </w:r>
      <w:r w:rsidRPr="00C16083" w:rsidR="00B55396">
        <w:t>.</w:t>
      </w:r>
    </w:p>
    <w:p w:rsidRPr="00C16083" w:rsidR="00843BB9" w:rsidP="00C16083" w:rsidRDefault="006368BA">
      <w:pPr>
        <w:pStyle w:val="JuPara"/>
      </w:pPr>
      <w:fldSimple w:instr=" SEQ level0 \*arabic ">
        <w:r w:rsidRPr="00C16083" w:rsidR="00C16083">
          <w:rPr>
            <w:noProof/>
          </w:rPr>
          <w:t>138</w:t>
        </w:r>
      </w:fldSimple>
      <w:r w:rsidRPr="00C16083" w:rsidR="00046356">
        <w:t>.  </w:t>
      </w:r>
      <w:r w:rsidRPr="00C16083" w:rsidR="00446DE1">
        <w:t>There has therefore been a violation of Article 8 of the Convention in respect of all the applicants</w:t>
      </w:r>
      <w:r w:rsidRPr="00C16083" w:rsidR="0077175D">
        <w:t>.</w:t>
      </w:r>
      <w:r w:rsidRPr="00C16083" w:rsidR="00446DE1">
        <w:t xml:space="preserve"> </w:t>
      </w:r>
      <w:r w:rsidRPr="00C16083" w:rsidR="00046356">
        <w:t>In the light of this finding, the Court considers that it is not necessary to examine whether, in these cases, there has also been a violation of Article 13.</w:t>
      </w:r>
    </w:p>
    <w:p w:rsidRPr="00C16083" w:rsidR="00D420F3" w:rsidP="00C16083" w:rsidRDefault="0077175D">
      <w:pPr>
        <w:pStyle w:val="JuHIRoman"/>
      </w:pPr>
      <w:r w:rsidRPr="00C16083">
        <w:t xml:space="preserve">ALLEGED VIOLATION OF ARTICLE </w:t>
      </w:r>
      <w:r w:rsidRPr="00C16083" w:rsidR="00B11956">
        <w:t>1 OF PROTOCOL</w:t>
      </w:r>
      <w:r w:rsidRPr="00C16083" w:rsidR="003719E6">
        <w:t xml:space="preserve"> N</w:t>
      </w:r>
      <w:r w:rsidRPr="00C16083" w:rsidR="003719E6">
        <w:rPr>
          <w:sz w:val="18"/>
        </w:rPr>
        <w:t>o</w:t>
      </w:r>
      <w:r w:rsidRPr="00C16083" w:rsidR="00C71513">
        <w:t>. 1 TO</w:t>
      </w:r>
      <w:r w:rsidRPr="00C16083">
        <w:t xml:space="preserve"> THE CONVENTION</w:t>
      </w:r>
    </w:p>
    <w:p w:rsidRPr="00C16083" w:rsidR="00843BB9" w:rsidP="00C16083" w:rsidRDefault="000174DF">
      <w:pPr>
        <w:pStyle w:val="JuPara"/>
      </w:pPr>
      <w:r w:rsidRPr="00C16083">
        <w:rPr>
          <w:rFonts w:asciiTheme="majorHAnsi" w:hAnsiTheme="majorHAnsi" w:eastAsiaTheme="majorEastAsia" w:cstheme="majorBidi"/>
          <w:bCs/>
          <w:szCs w:val="28"/>
        </w:rPr>
        <w:fldChar w:fldCharType="begin"/>
      </w:r>
      <w:r w:rsidRPr="00C16083">
        <w:rPr>
          <w:rFonts w:asciiTheme="majorHAnsi" w:hAnsiTheme="majorHAnsi" w:eastAsiaTheme="majorEastAsia" w:cstheme="majorBidi"/>
          <w:bCs/>
          <w:szCs w:val="28"/>
        </w:rPr>
        <w:instrText xml:space="preserve"> SEQ level0 \*arabic </w:instrText>
      </w:r>
      <w:r w:rsidRPr="00C16083">
        <w:rPr>
          <w:rFonts w:asciiTheme="majorHAnsi" w:hAnsiTheme="majorHAnsi" w:eastAsiaTheme="majorEastAsia" w:cstheme="majorBidi"/>
          <w:bCs/>
          <w:szCs w:val="28"/>
        </w:rPr>
        <w:fldChar w:fldCharType="separate"/>
      </w:r>
      <w:r w:rsidRPr="00C16083" w:rsidR="00C16083">
        <w:rPr>
          <w:rFonts w:asciiTheme="majorHAnsi" w:hAnsiTheme="majorHAnsi" w:eastAsiaTheme="majorEastAsia" w:cstheme="majorBidi"/>
          <w:bCs/>
          <w:noProof/>
          <w:szCs w:val="28"/>
        </w:rPr>
        <w:t>139</w:t>
      </w:r>
      <w:r w:rsidRPr="00C16083">
        <w:rPr>
          <w:rFonts w:asciiTheme="majorHAnsi" w:hAnsiTheme="majorHAnsi" w:eastAsiaTheme="majorEastAsia" w:cstheme="majorBidi"/>
          <w:bCs/>
          <w:szCs w:val="28"/>
        </w:rPr>
        <w:fldChar w:fldCharType="end"/>
      </w:r>
      <w:r w:rsidRPr="00C16083">
        <w:rPr>
          <w:rFonts w:asciiTheme="majorHAnsi" w:hAnsiTheme="majorHAnsi" w:eastAsiaTheme="majorEastAsia" w:cstheme="majorBidi"/>
          <w:bCs/>
          <w:szCs w:val="28"/>
        </w:rPr>
        <w:t>.  </w:t>
      </w:r>
      <w:r w:rsidRPr="00C16083" w:rsidR="00E565B9">
        <w:rPr>
          <w:rFonts w:ascii="Times New Roman" w:hAnsi="Times New Roman" w:eastAsia="Times New Roman" w:cs="Times New Roman"/>
          <w:szCs w:val="20"/>
          <w:lang w:eastAsia="fr-FR"/>
        </w:rPr>
        <w:t xml:space="preserve">The </w:t>
      </w:r>
      <w:r w:rsidRPr="00C16083" w:rsidR="00B91638">
        <w:rPr>
          <w:rFonts w:ascii="Times New Roman" w:hAnsi="Times New Roman" w:eastAsia="Times New Roman" w:cs="Times New Roman"/>
          <w:szCs w:val="20"/>
          <w:lang w:eastAsia="fr-FR"/>
        </w:rPr>
        <w:t>applicants</w:t>
      </w:r>
      <w:r w:rsidRPr="00C16083" w:rsidR="00E565B9">
        <w:rPr>
          <w:rFonts w:ascii="Times New Roman" w:hAnsi="Times New Roman" w:eastAsia="Times New Roman" w:cs="Times New Roman"/>
          <w:szCs w:val="20"/>
          <w:lang w:eastAsia="fr-FR"/>
        </w:rPr>
        <w:t xml:space="preserve"> in six of the applications</w:t>
      </w:r>
      <w:r w:rsidRPr="00C16083" w:rsidR="00C609E9">
        <w:rPr>
          <w:rFonts w:ascii="Times New Roman" w:hAnsi="Times New Roman" w:eastAsia="Times New Roman" w:cs="Times New Roman"/>
          <w:szCs w:val="20"/>
          <w:lang w:eastAsia="fr-FR"/>
        </w:rPr>
        <w:t xml:space="preserve"> (nos. </w:t>
      </w:r>
      <w:r w:rsidRPr="00C16083" w:rsidR="00456654">
        <w:rPr>
          <w:rFonts w:ascii="Times New Roman" w:hAnsi="Times New Roman" w:eastAsia="Times New Roman" w:cs="Times New Roman"/>
          <w:szCs w:val="20"/>
          <w:lang w:eastAsia="fr-FR"/>
        </w:rPr>
        <w:t xml:space="preserve">32324/06, </w:t>
      </w:r>
      <w:r w:rsidRPr="00C16083" w:rsidR="00C609E9">
        <w:rPr>
          <w:rFonts w:ascii="Times New Roman" w:hAnsi="Times New Roman" w:eastAsia="Times New Roman" w:cs="Times New Roman"/>
          <w:szCs w:val="20"/>
          <w:lang w:eastAsia="fr-FR"/>
        </w:rPr>
        <w:t xml:space="preserve">60648/08, 2397/11, 7101/15, </w:t>
      </w:r>
      <w:r w:rsidRPr="00C16083" w:rsidR="00580F3F">
        <w:rPr>
          <w:rFonts w:ascii="Times New Roman" w:hAnsi="Times New Roman" w:eastAsia="Times New Roman" w:cs="Times New Roman"/>
          <w:szCs w:val="20"/>
          <w:lang w:eastAsia="fr-FR"/>
        </w:rPr>
        <w:t>29786/15 and 36833/16</w:t>
      </w:r>
      <w:r w:rsidRPr="00C16083" w:rsidR="00C609E9">
        <w:rPr>
          <w:rFonts w:ascii="Times New Roman" w:hAnsi="Times New Roman" w:eastAsia="Times New Roman" w:cs="Times New Roman"/>
          <w:szCs w:val="20"/>
          <w:lang w:eastAsia="fr-FR"/>
        </w:rPr>
        <w:t>)</w:t>
      </w:r>
      <w:r w:rsidRPr="00C16083" w:rsidR="00FB66E7">
        <w:rPr>
          <w:rFonts w:ascii="Times New Roman" w:hAnsi="Times New Roman" w:eastAsia="Times New Roman" w:cs="Times New Roman"/>
          <w:szCs w:val="20"/>
          <w:lang w:eastAsia="fr-FR"/>
        </w:rPr>
        <w:t xml:space="preserve"> complained under Article</w:t>
      </w:r>
      <w:r w:rsidRPr="00C16083" w:rsidR="00E0516F">
        <w:rPr>
          <w:rFonts w:ascii="Times New Roman" w:hAnsi="Times New Roman" w:eastAsia="Times New Roman" w:cs="Times New Roman"/>
          <w:szCs w:val="20"/>
          <w:lang w:eastAsia="fr-FR"/>
        </w:rPr>
        <w:t> </w:t>
      </w:r>
      <w:r w:rsidRPr="00C16083" w:rsidR="00FB66E7">
        <w:rPr>
          <w:rFonts w:ascii="Times New Roman" w:hAnsi="Times New Roman" w:eastAsia="Times New Roman" w:cs="Times New Roman"/>
          <w:szCs w:val="20"/>
          <w:lang w:eastAsia="fr-FR"/>
        </w:rPr>
        <w:t xml:space="preserve">1 of Protocol No. 1 </w:t>
      </w:r>
      <w:r w:rsidRPr="00C16083" w:rsidR="00671FFE">
        <w:rPr>
          <w:rFonts w:ascii="Times New Roman" w:hAnsi="Times New Roman" w:eastAsia="Times New Roman" w:cs="Times New Roman"/>
          <w:szCs w:val="20"/>
          <w:lang w:eastAsia="fr-FR"/>
        </w:rPr>
        <w:t>of</w:t>
      </w:r>
      <w:r w:rsidRPr="00C16083" w:rsidR="00FB66E7">
        <w:rPr>
          <w:rFonts w:ascii="Times New Roman" w:hAnsi="Times New Roman" w:eastAsia="Times New Roman" w:cs="Times New Roman"/>
          <w:szCs w:val="20"/>
          <w:lang w:eastAsia="fr-FR"/>
        </w:rPr>
        <w:t xml:space="preserve"> a violation of their property rights resulting from </w:t>
      </w:r>
      <w:r w:rsidRPr="00C16083" w:rsidR="00671FFE">
        <w:t>the</w:t>
      </w:r>
      <w:r w:rsidRPr="00C16083" w:rsidR="00671FFE">
        <w:rPr>
          <w:rFonts w:ascii="Times New Roman" w:hAnsi="Times New Roman" w:eastAsia="Times New Roman" w:cs="Times New Roman"/>
          <w:szCs w:val="20"/>
          <w:lang w:eastAsia="fr-FR"/>
        </w:rPr>
        <w:t xml:space="preserve"> </w:t>
      </w:r>
      <w:r w:rsidRPr="00C16083" w:rsidR="00FB66E7">
        <w:rPr>
          <w:rFonts w:ascii="Times New Roman" w:hAnsi="Times New Roman" w:eastAsia="Times New Roman" w:cs="Times New Roman"/>
          <w:szCs w:val="20"/>
          <w:lang w:eastAsia="fr-FR"/>
        </w:rPr>
        <w:t xml:space="preserve">seizure and </w:t>
      </w:r>
      <w:r w:rsidRPr="00C16083" w:rsidR="008E1133">
        <w:rPr>
          <w:rFonts w:ascii="Times New Roman" w:hAnsi="Times New Roman" w:eastAsia="Times New Roman" w:cs="Times New Roman"/>
          <w:szCs w:val="20"/>
          <w:lang w:eastAsia="fr-FR"/>
        </w:rPr>
        <w:t xml:space="preserve">continued </w:t>
      </w:r>
      <w:r w:rsidRPr="00C16083" w:rsidR="00FB66E7">
        <w:rPr>
          <w:rFonts w:ascii="Times New Roman" w:hAnsi="Times New Roman" w:eastAsia="Times New Roman" w:cs="Times New Roman"/>
          <w:szCs w:val="20"/>
          <w:lang w:eastAsia="fr-FR"/>
        </w:rPr>
        <w:t xml:space="preserve">retention of their </w:t>
      </w:r>
      <w:r w:rsidRPr="00C16083" w:rsidR="00FA6EFF">
        <w:rPr>
          <w:rFonts w:ascii="Times New Roman" w:hAnsi="Times New Roman" w:eastAsia="Times New Roman" w:cs="Times New Roman"/>
          <w:szCs w:val="20"/>
          <w:lang w:eastAsia="fr-FR"/>
        </w:rPr>
        <w:t>data</w:t>
      </w:r>
      <w:r w:rsidRPr="00C16083" w:rsidR="004B69A8">
        <w:rPr>
          <w:rFonts w:ascii="Times New Roman" w:hAnsi="Times New Roman" w:eastAsia="Times New Roman" w:cs="Times New Roman"/>
          <w:szCs w:val="20"/>
          <w:lang w:eastAsia="fr-FR"/>
        </w:rPr>
        <w:t>-</w:t>
      </w:r>
      <w:r w:rsidRPr="00C16083" w:rsidR="00323D5C">
        <w:rPr>
          <w:rFonts w:ascii="Times New Roman" w:hAnsi="Times New Roman" w:eastAsia="Times New Roman" w:cs="Times New Roman"/>
          <w:szCs w:val="20"/>
          <w:lang w:eastAsia="fr-FR"/>
        </w:rPr>
        <w:t>storage</w:t>
      </w:r>
      <w:r w:rsidRPr="00C16083" w:rsidR="00FB66E7">
        <w:rPr>
          <w:rFonts w:ascii="Times New Roman" w:hAnsi="Times New Roman" w:eastAsia="Times New Roman" w:cs="Times New Roman"/>
          <w:szCs w:val="20"/>
          <w:lang w:eastAsia="fr-FR"/>
        </w:rPr>
        <w:t xml:space="preserve"> devices. </w:t>
      </w:r>
      <w:r w:rsidRPr="00C16083" w:rsidR="00144C65">
        <w:t xml:space="preserve">They also complained that in breach of Article 13 of the Convention, taken together with Article 1 of Protocol No. 1, they had had no effective remedies </w:t>
      </w:r>
      <w:r w:rsidRPr="00C16083" w:rsidR="00323D5C">
        <w:t>for that complaint</w:t>
      </w:r>
      <w:r w:rsidRPr="00C16083" w:rsidR="00144C65">
        <w:t xml:space="preserve">. The relevant parts of </w:t>
      </w:r>
      <w:r w:rsidRPr="00C16083" w:rsidR="00323D5C">
        <w:t>Article 1 of Protocol No. 1</w:t>
      </w:r>
      <w:r w:rsidRPr="00C16083" w:rsidR="00144C65">
        <w:t xml:space="preserve"> read as follows:</w:t>
      </w:r>
    </w:p>
    <w:p w:rsidRPr="00C16083" w:rsidR="00843BB9" w:rsidP="00C16083" w:rsidRDefault="00144C65">
      <w:pPr>
        <w:pStyle w:val="JuHArticle"/>
      </w:pPr>
      <w:r w:rsidRPr="00C16083">
        <w:t>Article 1 of Protocol No. 1</w:t>
      </w:r>
    </w:p>
    <w:p w:rsidRPr="00C16083" w:rsidR="00144C65" w:rsidP="00C16083" w:rsidRDefault="00144C65">
      <w:pPr>
        <w:pStyle w:val="JuQuot"/>
      </w:pPr>
      <w:r w:rsidRPr="00C16083">
        <w:t xml:space="preserve"> “Every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C16083" w:rsidR="00144C65" w:rsidP="00C16083" w:rsidRDefault="00144C65">
      <w:pPr>
        <w:pStyle w:val="JuQuot"/>
      </w:pPr>
      <w:r w:rsidRPr="00C16083">
        <w:t xml:space="preserve">The preceding provisions shall not, however, in any way impair the right of a State to enforce such laws as it deems necessary to control the use of property in accordance with the general interest </w:t>
      </w:r>
      <w:r w:rsidRPr="00C16083" w:rsidR="00960CD3">
        <w:t>...</w:t>
      </w:r>
      <w:r w:rsidRPr="00C16083">
        <w:t>”</w:t>
      </w:r>
    </w:p>
    <w:p w:rsidRPr="00C16083" w:rsidR="00843BB9" w:rsidP="00C16083" w:rsidRDefault="00D6359B">
      <w:pPr>
        <w:pStyle w:val="JuHA"/>
      </w:pPr>
      <w:r w:rsidRPr="00C16083">
        <w:t>Admissibility</w:t>
      </w:r>
    </w:p>
    <w:p w:rsidRPr="00C16083" w:rsidR="00843BB9" w:rsidP="00C16083" w:rsidRDefault="006368BA">
      <w:pPr>
        <w:pStyle w:val="JuPara"/>
      </w:pPr>
      <w:fldSimple w:instr=" SEQ level0 \*arabic ">
        <w:r w:rsidRPr="00C16083" w:rsidR="00C16083">
          <w:rPr>
            <w:noProof/>
          </w:rPr>
          <w:t>140</w:t>
        </w:r>
      </w:fldSimple>
      <w:r w:rsidRPr="00C16083" w:rsidR="00576990">
        <w:t>.  </w:t>
      </w:r>
      <w:r w:rsidRPr="00C16083" w:rsidR="001957B4">
        <w:t xml:space="preserve">The Government did not raise any objection as to the admissibility of this part of the application. Accordingly, the Court is not required to examine whether, in the particular circumstances of the case, an application </w:t>
      </w:r>
      <w:r w:rsidRPr="00C16083" w:rsidR="004B69A8">
        <w:t xml:space="preserve">to the courts </w:t>
      </w:r>
      <w:r w:rsidRPr="00C16083" w:rsidR="001957B4">
        <w:t xml:space="preserve">under Article 125 of the CCrP could have </w:t>
      </w:r>
      <w:r w:rsidRPr="00C16083" w:rsidR="004B69A8">
        <w:t xml:space="preserve">resulted in </w:t>
      </w:r>
      <w:r w:rsidRPr="00C16083" w:rsidR="001957B4">
        <w:t xml:space="preserve">adequate </w:t>
      </w:r>
      <w:r w:rsidRPr="00C16083" w:rsidR="00AF74D3">
        <w:t>redress</w:t>
      </w:r>
      <w:r w:rsidRPr="00C16083" w:rsidR="004B69A8">
        <w:t>,</w:t>
      </w:r>
      <w:r w:rsidRPr="00C16083" w:rsidR="00AF74D3">
        <w:t xml:space="preserve"> </w:t>
      </w:r>
      <w:r w:rsidRPr="00C16083" w:rsidR="001957B4">
        <w:t xml:space="preserve">as it did in other cases concerning </w:t>
      </w:r>
      <w:r w:rsidRPr="00C16083" w:rsidR="00125235">
        <w:t>continued retention of seized property</w:t>
      </w:r>
      <w:r w:rsidRPr="00C16083" w:rsidDel="00072FDB" w:rsidR="00125235">
        <w:t xml:space="preserve"> </w:t>
      </w:r>
      <w:r w:rsidRPr="00C16083" w:rsidR="001957B4">
        <w:t xml:space="preserve">by the investigation </w:t>
      </w:r>
      <w:r w:rsidRPr="00C16083" w:rsidR="00CD1F23">
        <w:t>(see</w:t>
      </w:r>
      <w:r w:rsidRPr="00C16083" w:rsidR="00E71FC7">
        <w:t xml:space="preserve"> </w:t>
      </w:r>
      <w:r w:rsidRPr="00C16083" w:rsidR="00D71822">
        <w:rPr>
          <w:i/>
          <w:iCs/>
        </w:rPr>
        <w:t>Lachikhina v. Russia</w:t>
      </w:r>
      <w:r w:rsidRPr="00C16083" w:rsidR="00D71822">
        <w:rPr>
          <w:lang w:eastAsia="en-GB"/>
        </w:rPr>
        <w:t xml:space="preserve">, no. </w:t>
      </w:r>
      <w:r w:rsidRPr="00C16083" w:rsidR="00D71822">
        <w:t>38783/07</w:t>
      </w:r>
      <w:r w:rsidRPr="00C16083" w:rsidR="00D71822">
        <w:rPr>
          <w:lang w:eastAsia="en-GB"/>
        </w:rPr>
        <w:t xml:space="preserve">, </w:t>
      </w:r>
      <w:r w:rsidRPr="00C16083" w:rsidR="00D71822">
        <w:t>§§</w:t>
      </w:r>
      <w:r w:rsidRPr="00C16083" w:rsidR="00960CD3">
        <w:t> </w:t>
      </w:r>
      <w:r w:rsidRPr="00C16083" w:rsidR="00C16083">
        <w:t>16</w:t>
      </w:r>
      <w:r w:rsidRPr="00C16083" w:rsidR="00C16083">
        <w:noBreakHyphen/>
      </w:r>
      <w:r w:rsidRPr="00C16083" w:rsidR="00D71822">
        <w:t xml:space="preserve">22, 10 October 2017; </w:t>
      </w:r>
      <w:r w:rsidRPr="00C16083" w:rsidR="00E71FC7">
        <w:rPr>
          <w:i/>
          <w:iCs/>
        </w:rPr>
        <w:t>OOO KD-Konsalting v. Russia</w:t>
      </w:r>
      <w:r w:rsidRPr="00C16083" w:rsidR="00E71FC7">
        <w:t>,</w:t>
      </w:r>
      <w:r w:rsidRPr="00C16083" w:rsidR="00E71FC7">
        <w:rPr>
          <w:i/>
          <w:iCs/>
          <w:lang w:eastAsia="en-GB"/>
        </w:rPr>
        <w:t xml:space="preserve"> </w:t>
      </w:r>
      <w:r w:rsidRPr="00C16083" w:rsidR="00E71FC7">
        <w:rPr>
          <w:snapToGrid w:val="0"/>
          <w:lang w:eastAsia="en-GB"/>
        </w:rPr>
        <w:t xml:space="preserve">no. </w:t>
      </w:r>
      <w:r w:rsidRPr="00C16083" w:rsidR="00E71FC7">
        <w:t>54184/11</w:t>
      </w:r>
      <w:r w:rsidRPr="00C16083" w:rsidR="00E71FC7">
        <w:rPr>
          <w:lang w:eastAsia="en-GB"/>
        </w:rPr>
        <w:t xml:space="preserve">, </w:t>
      </w:r>
      <w:r w:rsidRPr="00C16083" w:rsidR="00736760">
        <w:t>§§ </w:t>
      </w:r>
      <w:r w:rsidRPr="00C16083" w:rsidR="00E71FC7">
        <w:t xml:space="preserve">16-22, 29 May 2018; </w:t>
      </w:r>
      <w:r w:rsidRPr="00C16083" w:rsidR="00B91638">
        <w:t xml:space="preserve">and </w:t>
      </w:r>
      <w:r w:rsidRPr="00C16083" w:rsidR="004B7842">
        <w:rPr>
          <w:i/>
          <w:iCs/>
        </w:rPr>
        <w:t>Barkanov v. Russia</w:t>
      </w:r>
      <w:r w:rsidRPr="00C16083" w:rsidR="004B7842">
        <w:rPr>
          <w:lang w:eastAsia="en-GB"/>
        </w:rPr>
        <w:t xml:space="preserve">, no. </w:t>
      </w:r>
      <w:r w:rsidRPr="00C16083" w:rsidR="004B7842">
        <w:t>45825/11</w:t>
      </w:r>
      <w:r w:rsidRPr="00C16083" w:rsidR="004B7842">
        <w:rPr>
          <w:lang w:eastAsia="en-GB"/>
        </w:rPr>
        <w:t xml:space="preserve">, </w:t>
      </w:r>
      <w:r w:rsidRPr="00C16083" w:rsidR="004B7842">
        <w:t>§§ 27-30, 16</w:t>
      </w:r>
      <w:r w:rsidRPr="00C16083" w:rsidR="00B91638">
        <w:t> </w:t>
      </w:r>
      <w:r w:rsidRPr="00C16083" w:rsidR="004B7842">
        <w:t>October 2018</w:t>
      </w:r>
      <w:r w:rsidRPr="00C16083" w:rsidR="00CD1F23">
        <w:t>)</w:t>
      </w:r>
      <w:r w:rsidRPr="00C16083" w:rsidR="00926476">
        <w:t>.</w:t>
      </w:r>
    </w:p>
    <w:p w:rsidRPr="00C16083" w:rsidR="00843BB9" w:rsidP="00C16083" w:rsidRDefault="006368BA">
      <w:pPr>
        <w:pStyle w:val="JuPara"/>
      </w:pPr>
      <w:fldSimple w:instr=" SEQ level0 \*arabic ">
        <w:r w:rsidRPr="00C16083" w:rsidR="00C16083">
          <w:rPr>
            <w:noProof/>
          </w:rPr>
          <w:t>141</w:t>
        </w:r>
      </w:fldSimple>
      <w:r w:rsidRPr="00C16083" w:rsidR="00D6359B">
        <w:t>.  </w:t>
      </w:r>
      <w:r w:rsidRPr="00C16083" w:rsidR="00824F9D">
        <w:t>The Court notes that th</w:t>
      </w:r>
      <w:r w:rsidRPr="00C16083" w:rsidR="00125235">
        <w:t>e</w:t>
      </w:r>
      <w:r w:rsidRPr="00C16083" w:rsidR="00824F9D">
        <w:t>s</w:t>
      </w:r>
      <w:r w:rsidRPr="00C16083" w:rsidR="00125235">
        <w:t>e</w:t>
      </w:r>
      <w:r w:rsidRPr="00C16083" w:rsidR="00824F9D">
        <w:t xml:space="preserve"> complaint</w:t>
      </w:r>
      <w:r w:rsidRPr="00C16083" w:rsidR="00125235">
        <w:t>s</w:t>
      </w:r>
      <w:r w:rsidRPr="00C16083" w:rsidR="00824F9D">
        <w:t xml:space="preserve"> </w:t>
      </w:r>
      <w:r w:rsidRPr="00C16083" w:rsidR="00125235">
        <w:t>are</w:t>
      </w:r>
      <w:r w:rsidRPr="00C16083" w:rsidR="00824F9D">
        <w:t xml:space="preserve"> not manifestly ill-founded within the meaning of Article 35 § 3 (a) of the Convention. It further notes that </w:t>
      </w:r>
      <w:r w:rsidRPr="00C16083" w:rsidR="003A56C4">
        <w:t>they</w:t>
      </w:r>
      <w:r w:rsidRPr="00C16083" w:rsidR="00824F9D">
        <w:t xml:space="preserve"> </w:t>
      </w:r>
      <w:r w:rsidRPr="00C16083" w:rsidR="003A56C4">
        <w:t>are</w:t>
      </w:r>
      <w:r w:rsidRPr="00C16083" w:rsidR="00824F9D">
        <w:t xml:space="preserve"> not inadmissible on any other grounds. </w:t>
      </w:r>
      <w:r w:rsidRPr="00C16083" w:rsidR="003A56C4">
        <w:t>They</w:t>
      </w:r>
      <w:r w:rsidRPr="00C16083" w:rsidR="00824F9D">
        <w:t xml:space="preserve"> must therefore be declared admissible.</w:t>
      </w:r>
    </w:p>
    <w:p w:rsidRPr="00C16083" w:rsidR="00843BB9" w:rsidP="00C16083" w:rsidRDefault="00926476">
      <w:pPr>
        <w:pStyle w:val="JuHA"/>
      </w:pPr>
      <w:r w:rsidRPr="00C16083">
        <w:t>Merits</w:t>
      </w:r>
    </w:p>
    <w:p w:rsidRPr="00C16083" w:rsidR="00843BB9" w:rsidP="00C16083" w:rsidRDefault="006368BA">
      <w:pPr>
        <w:pStyle w:val="JuPara"/>
      </w:pPr>
      <w:fldSimple w:instr=" SEQ level0 \*arabic ">
        <w:r w:rsidRPr="00C16083" w:rsidR="00C16083">
          <w:rPr>
            <w:noProof/>
          </w:rPr>
          <w:t>142</w:t>
        </w:r>
      </w:fldSimple>
      <w:r w:rsidRPr="00C16083" w:rsidR="003C6625">
        <w:t>.  </w:t>
      </w:r>
      <w:r w:rsidRPr="00C16083" w:rsidR="00576990">
        <w:t xml:space="preserve">The applicants complained that the investigating authorities had had no reasons to seize </w:t>
      </w:r>
      <w:r w:rsidRPr="00C16083" w:rsidR="00282D88">
        <w:t xml:space="preserve">and retain </w:t>
      </w:r>
      <w:r w:rsidRPr="00C16083" w:rsidR="00576990">
        <w:t>their data</w:t>
      </w:r>
      <w:r w:rsidRPr="00C16083" w:rsidR="004B69A8">
        <w:t>-</w:t>
      </w:r>
      <w:r w:rsidRPr="00C16083" w:rsidR="001C0041">
        <w:t>storage</w:t>
      </w:r>
      <w:r w:rsidRPr="00C16083" w:rsidR="00576990">
        <w:t xml:space="preserve"> devices</w:t>
      </w:r>
      <w:r w:rsidRPr="00C16083" w:rsidR="00526B14">
        <w:t xml:space="preserve">. </w:t>
      </w:r>
      <w:r w:rsidRPr="00C16083" w:rsidR="001C0041">
        <w:t>T</w:t>
      </w:r>
      <w:r w:rsidRPr="00C16083" w:rsidR="00526B14">
        <w:t>he investigat</w:t>
      </w:r>
      <w:r w:rsidRPr="00C16083" w:rsidR="001C0041">
        <w:t xml:space="preserve">ors could </w:t>
      </w:r>
      <w:r w:rsidRPr="00C16083" w:rsidR="00526B14">
        <w:t xml:space="preserve">have </w:t>
      </w:r>
      <w:r w:rsidRPr="00C16083" w:rsidR="00576990">
        <w:t>cop</w:t>
      </w:r>
      <w:r w:rsidRPr="00C16083" w:rsidR="00526B14">
        <w:t>ied</w:t>
      </w:r>
      <w:r w:rsidRPr="00C16083" w:rsidR="00576990">
        <w:t xml:space="preserve"> the information contained on th</w:t>
      </w:r>
      <w:r w:rsidRPr="00C16083" w:rsidR="00526B14">
        <w:t xml:space="preserve">e </w:t>
      </w:r>
      <w:r w:rsidRPr="00C16083" w:rsidR="00576990">
        <w:t xml:space="preserve">devices. </w:t>
      </w:r>
      <w:r w:rsidRPr="00C16083" w:rsidR="001C0041">
        <w:t>T</w:t>
      </w:r>
      <w:r w:rsidRPr="00C16083" w:rsidR="00526B14">
        <w:t>he</w:t>
      </w:r>
      <w:r w:rsidRPr="00C16083" w:rsidR="00576990">
        <w:t xml:space="preserve"> seizure </w:t>
      </w:r>
      <w:r w:rsidRPr="00C16083" w:rsidR="008D7E93">
        <w:t xml:space="preserve">and </w:t>
      </w:r>
      <w:r w:rsidRPr="00C16083" w:rsidR="001C0041">
        <w:t xml:space="preserve">continued </w:t>
      </w:r>
      <w:r w:rsidRPr="00C16083" w:rsidR="008D7E93">
        <w:t xml:space="preserve">retention of the devices </w:t>
      </w:r>
      <w:r w:rsidRPr="00C16083" w:rsidR="004B69A8">
        <w:t xml:space="preserve">had </w:t>
      </w:r>
      <w:r w:rsidRPr="00C16083" w:rsidR="00576990">
        <w:t>undermined the</w:t>
      </w:r>
      <w:r w:rsidRPr="00C16083" w:rsidR="001C0041">
        <w:t xml:space="preserve"> applicants</w:t>
      </w:r>
      <w:r w:rsidRPr="00C16083" w:rsidR="00C16083">
        <w:t>’</w:t>
      </w:r>
      <w:r w:rsidRPr="00C16083" w:rsidR="00576990">
        <w:t xml:space="preserve"> ability to </w:t>
      </w:r>
      <w:r w:rsidRPr="00C16083" w:rsidR="001C0041">
        <w:t xml:space="preserve">carry out </w:t>
      </w:r>
      <w:r w:rsidRPr="00C16083" w:rsidR="00576990">
        <w:t xml:space="preserve">their professional activities </w:t>
      </w:r>
      <w:r w:rsidRPr="00C16083" w:rsidR="00962113">
        <w:t xml:space="preserve">owing </w:t>
      </w:r>
      <w:r w:rsidRPr="00C16083" w:rsidR="00576990">
        <w:t xml:space="preserve">to the loss of </w:t>
      </w:r>
      <w:r w:rsidRPr="00C16083" w:rsidR="001C0041">
        <w:t xml:space="preserve">access to </w:t>
      </w:r>
      <w:r w:rsidRPr="00C16083" w:rsidR="00576990">
        <w:t>the devices</w:t>
      </w:r>
      <w:r w:rsidRPr="00C16083" w:rsidR="00D62522">
        <w:t>, professional software</w:t>
      </w:r>
      <w:r w:rsidRPr="00C16083" w:rsidR="00576990">
        <w:t xml:space="preserve"> and client information.</w:t>
      </w:r>
    </w:p>
    <w:p w:rsidRPr="00C16083" w:rsidR="00843BB9" w:rsidP="00C16083" w:rsidRDefault="006368BA">
      <w:pPr>
        <w:pStyle w:val="JuPara"/>
      </w:pPr>
      <w:fldSimple w:instr=" SEQ level0 \*arabic ">
        <w:r w:rsidRPr="00C16083" w:rsidR="00C16083">
          <w:rPr>
            <w:noProof/>
          </w:rPr>
          <w:t>143</w:t>
        </w:r>
      </w:fldSimple>
      <w:r w:rsidRPr="00C16083" w:rsidR="00576990">
        <w:t xml:space="preserve">.  The Government </w:t>
      </w:r>
      <w:r w:rsidRPr="00C16083" w:rsidR="003C6625">
        <w:t>submitted</w:t>
      </w:r>
      <w:r w:rsidRPr="00C16083" w:rsidR="003460D7">
        <w:t xml:space="preserve"> that </w:t>
      </w:r>
      <w:r w:rsidRPr="00C16083" w:rsidR="00962113">
        <w:t xml:space="preserve">the </w:t>
      </w:r>
      <w:r w:rsidRPr="00C16083" w:rsidR="003460D7">
        <w:t xml:space="preserve">seizure and retention of </w:t>
      </w:r>
      <w:r w:rsidRPr="00C16083" w:rsidR="00962113">
        <w:t>the applicants</w:t>
      </w:r>
      <w:r w:rsidRPr="00C16083" w:rsidR="00C16083">
        <w:t>’</w:t>
      </w:r>
      <w:r w:rsidRPr="00C16083" w:rsidR="00962113">
        <w:t xml:space="preserve"> </w:t>
      </w:r>
      <w:r w:rsidRPr="00C16083" w:rsidR="003460D7">
        <w:t>objects had been lawful</w:t>
      </w:r>
      <w:r w:rsidRPr="00C16083" w:rsidR="00576990">
        <w:t>.</w:t>
      </w:r>
    </w:p>
    <w:p w:rsidRPr="00C16083" w:rsidR="00843BB9" w:rsidP="00C16083" w:rsidRDefault="006368BA">
      <w:pPr>
        <w:pStyle w:val="JuPara"/>
        <w:rPr>
          <w:lang w:val="pt-PT"/>
        </w:rPr>
      </w:pPr>
      <w:fldSimple w:instr=" SEQ level0 \*arabic ">
        <w:r w:rsidRPr="00C16083" w:rsidR="00C16083">
          <w:rPr>
            <w:noProof/>
          </w:rPr>
          <w:t>144</w:t>
        </w:r>
      </w:fldSimple>
      <w:r w:rsidRPr="00C16083" w:rsidR="0077175D">
        <w:t>.  </w:t>
      </w:r>
      <w:r w:rsidRPr="00C16083" w:rsidR="007B25CD">
        <w:t xml:space="preserve">The Court reiterates that retention of </w:t>
      </w:r>
      <w:r w:rsidRPr="00C16083" w:rsidR="00751BC2">
        <w:t>material evidence</w:t>
      </w:r>
      <w:r w:rsidRPr="00C16083" w:rsidR="007B25CD">
        <w:t xml:space="preserve"> may be necessary in the interests of proper administration of justice, which is a “legitimate aim” in the “general interest” of the community.</w:t>
      </w:r>
      <w:r w:rsidRPr="00C16083" w:rsidR="006C7EB8">
        <w:t xml:space="preserve"> </w:t>
      </w:r>
      <w:r w:rsidRPr="00C16083" w:rsidR="00E16E6D">
        <w:t>It observes, however, that there must also be a reasonable relation of proportionality between the means employed and the aim sought to be realised by any measures applied by the State, including measures designed to control the use of the individual</w:t>
      </w:r>
      <w:r w:rsidRPr="00C16083" w:rsidR="00C16083">
        <w:t>’</w:t>
      </w:r>
      <w:r w:rsidRPr="00C16083" w:rsidR="00E16E6D">
        <w:t xml:space="preserve">s property </w:t>
      </w:r>
      <w:r w:rsidRPr="00C16083" w:rsidR="006C7EB8">
        <w:t>(see</w:t>
      </w:r>
      <w:r w:rsidRPr="00C16083" w:rsidR="00C12383">
        <w:rPr>
          <w:i/>
        </w:rPr>
        <w:t xml:space="preserve"> </w:t>
      </w:r>
      <w:r w:rsidRPr="00C16083" w:rsidR="005E1348">
        <w:rPr>
          <w:i/>
          <w:lang w:val="pt-PT"/>
        </w:rPr>
        <w:t>Smirnov v. Russia</w:t>
      </w:r>
      <w:r w:rsidRPr="00C16083" w:rsidR="005E1348">
        <w:rPr>
          <w:lang w:val="pt-PT"/>
        </w:rPr>
        <w:t>, no.</w:t>
      </w:r>
      <w:r w:rsidRPr="00C16083" w:rsidR="00736760">
        <w:rPr>
          <w:lang w:val="pt-PT"/>
        </w:rPr>
        <w:t xml:space="preserve"> 71362/01, § </w:t>
      </w:r>
      <w:r w:rsidRPr="00C16083" w:rsidR="00910ED6">
        <w:rPr>
          <w:lang w:val="pt-PT"/>
        </w:rPr>
        <w:t>57</w:t>
      </w:r>
      <w:r w:rsidRPr="00C16083" w:rsidR="00736760">
        <w:rPr>
          <w:lang w:val="pt-PT"/>
        </w:rPr>
        <w:t>, 7 </w:t>
      </w:r>
      <w:r w:rsidRPr="00C16083" w:rsidR="005E1348">
        <w:t>June</w:t>
      </w:r>
      <w:r w:rsidRPr="00C16083" w:rsidR="005E1348">
        <w:rPr>
          <w:lang w:val="pt-PT"/>
        </w:rPr>
        <w:t xml:space="preserve"> 2007</w:t>
      </w:r>
      <w:r w:rsidRPr="00C16083" w:rsidR="00731E93">
        <w:t xml:space="preserve">, and </w:t>
      </w:r>
      <w:r w:rsidRPr="00C16083" w:rsidR="00475075">
        <w:rPr>
          <w:i/>
        </w:rPr>
        <w:t>BENet Praha, spol.</w:t>
      </w:r>
      <w:r w:rsidRPr="00C16083" w:rsidR="00475075">
        <w:t xml:space="preserve"> </w:t>
      </w:r>
      <w:r w:rsidRPr="00C16083" w:rsidR="00475075">
        <w:rPr>
          <w:i/>
        </w:rPr>
        <w:t>s r.o.</w:t>
      </w:r>
      <w:r w:rsidRPr="00C16083" w:rsidR="00475075">
        <w:t xml:space="preserve"> </w:t>
      </w:r>
      <w:r w:rsidRPr="00C16083" w:rsidR="00475075">
        <w:rPr>
          <w:i/>
        </w:rPr>
        <w:t>v. the Czech Republic</w:t>
      </w:r>
      <w:r w:rsidRPr="00C16083" w:rsidR="00910ED6">
        <w:t>, no. </w:t>
      </w:r>
      <w:r w:rsidRPr="00C16083" w:rsidR="00475075">
        <w:t>33908/04</w:t>
      </w:r>
      <w:r w:rsidRPr="00C16083" w:rsidR="00475075">
        <w:rPr>
          <w:snapToGrid w:val="0"/>
        </w:rPr>
        <w:t>, §§ 100-01, 2</w:t>
      </w:r>
      <w:r w:rsidRPr="00C16083" w:rsidR="00475075">
        <w:t>4</w:t>
      </w:r>
      <w:r w:rsidRPr="00C16083" w:rsidR="00960CD3">
        <w:rPr>
          <w:snapToGrid w:val="0"/>
        </w:rPr>
        <w:t> </w:t>
      </w:r>
      <w:r w:rsidRPr="00C16083" w:rsidR="00475075">
        <w:rPr>
          <w:snapToGrid w:val="0"/>
        </w:rPr>
        <w:t>February 2011</w:t>
      </w:r>
      <w:r w:rsidRPr="00C16083" w:rsidR="006C7EB8">
        <w:t>).</w:t>
      </w:r>
      <w:r w:rsidRPr="00C16083" w:rsidR="007B25CD">
        <w:t xml:space="preserve"> </w:t>
      </w:r>
      <w:r w:rsidRPr="00C16083" w:rsidR="0077175D">
        <w:t xml:space="preserve">The Court </w:t>
      </w:r>
      <w:r w:rsidRPr="00C16083" w:rsidR="00B6340C">
        <w:t xml:space="preserve">has previously found that </w:t>
      </w:r>
      <w:r w:rsidRPr="00C16083" w:rsidR="00FA6EFF">
        <w:t>continued</w:t>
      </w:r>
      <w:r w:rsidRPr="00C16083" w:rsidR="005B69A2">
        <w:t xml:space="preserve"> retention of seized</w:t>
      </w:r>
      <w:r w:rsidRPr="00C16083" w:rsidR="00FA6EFF">
        <w:t xml:space="preserve"> data-stor</w:t>
      </w:r>
      <w:r w:rsidRPr="00C16083" w:rsidR="004B69A8">
        <w:t>age</w:t>
      </w:r>
      <w:r w:rsidRPr="00C16083" w:rsidR="005B69A2">
        <w:t xml:space="preserve"> </w:t>
      </w:r>
      <w:r w:rsidRPr="00C16083" w:rsidR="00FA6EFF">
        <w:t xml:space="preserve">electronic devices had no apparent </w:t>
      </w:r>
      <w:r w:rsidRPr="00C16083" w:rsidR="004B69A8">
        <w:t xml:space="preserve">justification </w:t>
      </w:r>
      <w:r w:rsidRPr="00C16083" w:rsidR="00FA6EFF">
        <w:t>where the devices themselves were not an object, instrument or product of any criminal offence, and</w:t>
      </w:r>
      <w:r w:rsidRPr="00C16083" w:rsidR="00B659F2">
        <w:t>, thus,</w:t>
      </w:r>
      <w:r w:rsidRPr="00C16083" w:rsidR="00FA6EFF">
        <w:t xml:space="preserve"> </w:t>
      </w:r>
      <w:r w:rsidRPr="00C16083" w:rsidR="00AD3B0A">
        <w:t>constituted</w:t>
      </w:r>
      <w:r w:rsidRPr="00C16083" w:rsidR="005B69A2">
        <w:t xml:space="preserve"> a disproportionate interference with the</w:t>
      </w:r>
      <w:r w:rsidRPr="00C16083" w:rsidR="00B6340C">
        <w:t xml:space="preserve"> </w:t>
      </w:r>
      <w:r w:rsidRPr="00C16083" w:rsidR="005B69A2">
        <w:t>right to peaceful enjoyment of possessions protected by Article 1 of Protocol</w:t>
      </w:r>
      <w:r w:rsidRPr="00C16083" w:rsidR="00B659F2">
        <w:t> </w:t>
      </w:r>
      <w:r w:rsidRPr="00C16083" w:rsidR="005B69A2">
        <w:t>No.</w:t>
      </w:r>
      <w:r w:rsidRPr="00C16083" w:rsidR="00B659F2">
        <w:t> </w:t>
      </w:r>
      <w:r w:rsidRPr="00C16083" w:rsidR="005B69A2">
        <w:t>1 (</w:t>
      </w:r>
      <w:r w:rsidRPr="00C16083" w:rsidR="006C7EB8">
        <w:t xml:space="preserve">see </w:t>
      </w:r>
      <w:r w:rsidRPr="00C16083" w:rsidR="006C7EB8">
        <w:rPr>
          <w:i/>
        </w:rPr>
        <w:t>Smirnov</w:t>
      </w:r>
      <w:r w:rsidRPr="00C16083" w:rsidR="006C7EB8">
        <w:t>, cited above, §§ 58-59</w:t>
      </w:r>
      <w:r w:rsidRPr="00C16083" w:rsidR="005B69A2">
        <w:t>).</w:t>
      </w:r>
    </w:p>
    <w:p w:rsidRPr="00C16083" w:rsidR="00843BB9" w:rsidP="00C16083" w:rsidRDefault="006368BA">
      <w:pPr>
        <w:pStyle w:val="JuPara"/>
      </w:pPr>
      <w:fldSimple w:instr=" SEQ level0 \*arabic ">
        <w:r w:rsidRPr="00C16083" w:rsidR="00C16083">
          <w:rPr>
            <w:noProof/>
          </w:rPr>
          <w:t>145</w:t>
        </w:r>
      </w:fldSimple>
      <w:r w:rsidRPr="00C16083" w:rsidR="00D13BEF">
        <w:t>.  </w:t>
      </w:r>
      <w:r w:rsidRPr="00C16083" w:rsidR="00E565B9">
        <w:t>These six applications</w:t>
      </w:r>
      <w:r w:rsidRPr="00C16083" w:rsidR="007311F1">
        <w:t xml:space="preserve"> </w:t>
      </w:r>
      <w:r w:rsidRPr="00C16083" w:rsidR="00DE60CF">
        <w:t>(nos. 32324/06, 60648/08, 2397/11, 7101/15, 29786/15 and 36833/16)</w:t>
      </w:r>
      <w:r w:rsidRPr="00C16083" w:rsidR="005B69A2">
        <w:t xml:space="preserve"> </w:t>
      </w:r>
      <w:r w:rsidRPr="00C16083" w:rsidR="00C5545B">
        <w:t xml:space="preserve">illustrate </w:t>
      </w:r>
      <w:r w:rsidRPr="00C16083" w:rsidR="005B69A2">
        <w:t>the issue</w:t>
      </w:r>
      <w:r w:rsidRPr="00C16083" w:rsidR="00776EC1">
        <w:t>.</w:t>
      </w:r>
      <w:r w:rsidRPr="00C16083" w:rsidR="00C909D7">
        <w:t xml:space="preserve"> </w:t>
      </w:r>
      <w:r w:rsidRPr="00C16083" w:rsidR="00C5545B">
        <w:t>T</w:t>
      </w:r>
      <w:r w:rsidRPr="00C16083" w:rsidR="00C909D7">
        <w:t>he data</w:t>
      </w:r>
      <w:r w:rsidRPr="00C16083" w:rsidR="004B69A8">
        <w:t>-</w:t>
      </w:r>
      <w:r w:rsidRPr="00C16083" w:rsidR="00C5545B">
        <w:t xml:space="preserve">storage </w:t>
      </w:r>
      <w:r w:rsidRPr="00C16083" w:rsidR="00C909D7">
        <w:t xml:space="preserve">devices </w:t>
      </w:r>
      <w:r w:rsidRPr="00C16083" w:rsidR="00CC0A40">
        <w:t xml:space="preserve">seized </w:t>
      </w:r>
      <w:r w:rsidRPr="00C16083" w:rsidR="00C909D7">
        <w:t xml:space="preserve">were </w:t>
      </w:r>
      <w:r w:rsidRPr="00C16083" w:rsidR="00C5545B">
        <w:t xml:space="preserve">not in </w:t>
      </w:r>
      <w:r w:rsidRPr="00C16083" w:rsidR="008D2038">
        <w:t xml:space="preserve">themselves </w:t>
      </w:r>
      <w:r w:rsidRPr="00C16083" w:rsidR="00C909D7">
        <w:t>an object, instrument or product of any criminal offence</w:t>
      </w:r>
      <w:r w:rsidRPr="00C16083" w:rsidR="00080A95">
        <w:t>, so their continued retention had no apparent</w:t>
      </w:r>
      <w:r w:rsidRPr="00C16083" w:rsidR="004B69A8">
        <w:t xml:space="preserve"> justification</w:t>
      </w:r>
      <w:r w:rsidRPr="00C16083" w:rsidR="00C909D7">
        <w:t xml:space="preserve">. </w:t>
      </w:r>
      <w:r w:rsidRPr="00C16083" w:rsidR="004B69A8">
        <w:t>There is n</w:t>
      </w:r>
      <w:r w:rsidRPr="00C16083" w:rsidR="00080A95">
        <w:t xml:space="preserve">othing </w:t>
      </w:r>
      <w:r w:rsidRPr="00C16083" w:rsidR="004B69A8">
        <w:t xml:space="preserve">to </w:t>
      </w:r>
      <w:r w:rsidRPr="00C16083" w:rsidR="00080A95">
        <w:t xml:space="preserve">explain why the investigating authorities could not have copied the information sought (see, for instance, </w:t>
      </w:r>
      <w:r w:rsidRPr="00C16083" w:rsidR="00080A95">
        <w:rPr>
          <w:i/>
        </w:rPr>
        <w:t>Wieser and Bicos Beteiligungen GmbH v. Austria</w:t>
      </w:r>
      <w:r w:rsidRPr="00C16083" w:rsidR="00080A95">
        <w:t>, no. 74336/01, § 11, ECHR 2007</w:t>
      </w:r>
      <w:r w:rsidRPr="00C16083" w:rsidR="00080A95">
        <w:noBreakHyphen/>
        <w:t xml:space="preserve">IV). </w:t>
      </w:r>
      <w:r w:rsidRPr="00C16083" w:rsidR="00753675">
        <w:t>T</w:t>
      </w:r>
      <w:r w:rsidRPr="00C16083" w:rsidR="00080A95">
        <w:t xml:space="preserve">he CCrP </w:t>
      </w:r>
      <w:r w:rsidRPr="00C16083" w:rsidR="00753675">
        <w:t xml:space="preserve">currently </w:t>
      </w:r>
      <w:r w:rsidRPr="00C16083" w:rsidR="00962113">
        <w:t xml:space="preserve">provides </w:t>
      </w:r>
      <w:r w:rsidRPr="00C16083" w:rsidR="00080A95">
        <w:t xml:space="preserve">for such a possibility (see paragraph </w:t>
      </w:r>
      <w:r w:rsidRPr="00C16083" w:rsidR="00080A95">
        <w:fldChar w:fldCharType="begin"/>
      </w:r>
      <w:r w:rsidRPr="00C16083" w:rsidR="00080A95">
        <w:instrText xml:space="preserve"> REF new_data_seizure_procedure \h  \* MERGEFORMAT </w:instrText>
      </w:r>
      <w:r w:rsidRPr="00C16083" w:rsidR="00080A95">
        <w:fldChar w:fldCharType="separate"/>
      </w:r>
      <w:r w:rsidRPr="00C16083" w:rsidR="00C16083">
        <w:t>97</w:t>
      </w:r>
      <w:r w:rsidRPr="00C16083" w:rsidR="00080A95">
        <w:fldChar w:fldCharType="end"/>
      </w:r>
      <w:r w:rsidRPr="00C16083" w:rsidR="00080A95">
        <w:t xml:space="preserve"> above)</w:t>
      </w:r>
      <w:r w:rsidRPr="00C16083" w:rsidR="00753675">
        <w:t>, but</w:t>
      </w:r>
      <w:r w:rsidRPr="00C16083" w:rsidR="00080A95">
        <w:t xml:space="preserve"> </w:t>
      </w:r>
      <w:r w:rsidRPr="00C16083" w:rsidR="00753675">
        <w:t>it did not exist</w:t>
      </w:r>
      <w:r w:rsidRPr="00C16083" w:rsidR="00080A95">
        <w:t xml:space="preserve"> at the material time. Further</w:t>
      </w:r>
      <w:r w:rsidRPr="00C16083" w:rsidR="004B69A8">
        <w:t>more</w:t>
      </w:r>
      <w:r w:rsidRPr="00C16083" w:rsidR="00080A95">
        <w:t xml:space="preserve">, </w:t>
      </w:r>
      <w:r w:rsidRPr="00C16083" w:rsidR="00C5545B">
        <w:t xml:space="preserve">at least </w:t>
      </w:r>
      <w:r w:rsidRPr="00C16083" w:rsidR="00B93B24">
        <w:t xml:space="preserve">since 2012 the option of returning the devices after </w:t>
      </w:r>
      <w:r w:rsidRPr="00C16083" w:rsidR="004B69A8">
        <w:t xml:space="preserve">examining them </w:t>
      </w:r>
      <w:r w:rsidRPr="00C16083" w:rsidR="00080A95">
        <w:t xml:space="preserve">(see paragraph </w:t>
      </w:r>
      <w:r w:rsidRPr="00C16083" w:rsidR="00080A95">
        <w:fldChar w:fldCharType="begin"/>
      </w:r>
      <w:r w:rsidRPr="00C16083" w:rsidR="00080A95">
        <w:instrText xml:space="preserve"> REF amendts2012_CCrP_real_evidence \h </w:instrText>
      </w:r>
      <w:r w:rsidRPr="00C16083" w:rsidR="00080A95">
        <w:fldChar w:fldCharType="separate"/>
      </w:r>
      <w:r w:rsidRPr="00C16083" w:rsidR="00C16083">
        <w:rPr>
          <w:noProof/>
        </w:rPr>
        <w:t>95</w:t>
      </w:r>
      <w:r w:rsidRPr="00C16083" w:rsidR="00080A95">
        <w:fldChar w:fldCharType="end"/>
      </w:r>
      <w:r w:rsidRPr="00C16083" w:rsidR="00080A95">
        <w:t xml:space="preserve"> above) </w:t>
      </w:r>
      <w:r w:rsidRPr="00C16083" w:rsidR="00B93B24">
        <w:t>was available to</w:t>
      </w:r>
      <w:r w:rsidRPr="00C16083" w:rsidR="003F78CC">
        <w:t xml:space="preserve"> the authorities</w:t>
      </w:r>
      <w:r w:rsidRPr="00C16083" w:rsidR="00564F43">
        <w:t>, but apparently not used by</w:t>
      </w:r>
      <w:r w:rsidRPr="00C16083" w:rsidR="00B93B24">
        <w:t xml:space="preserve"> </w:t>
      </w:r>
      <w:r w:rsidRPr="00C16083" w:rsidR="003F78CC">
        <w:t xml:space="preserve">them </w:t>
      </w:r>
      <w:r w:rsidRPr="00C16083" w:rsidR="00B93B24">
        <w:t>in three of the present cases (application</w:t>
      </w:r>
      <w:r w:rsidRPr="00C16083" w:rsidR="003F78CC">
        <w:t>s</w:t>
      </w:r>
      <w:r w:rsidRPr="00C16083" w:rsidR="00B93B24">
        <w:t xml:space="preserve"> nos. 7101/15, 29785/15 and 36833/16)</w:t>
      </w:r>
      <w:r w:rsidRPr="00C16083" w:rsidR="00A82169">
        <w:t xml:space="preserve"> for </w:t>
      </w:r>
      <w:r w:rsidRPr="00C16083" w:rsidR="00C5545B">
        <w:t>unknown</w:t>
      </w:r>
      <w:r w:rsidRPr="00C16083" w:rsidR="003F78CC">
        <w:t xml:space="preserve"> reasons</w:t>
      </w:r>
      <w:r w:rsidRPr="00C16083" w:rsidR="00B93B24">
        <w:t xml:space="preserve">. </w:t>
      </w:r>
      <w:r w:rsidRPr="00C16083" w:rsidR="00A36E0F">
        <w:t>I</w:t>
      </w:r>
      <w:r w:rsidRPr="00C16083" w:rsidR="008D7E93">
        <w:t xml:space="preserve">n </w:t>
      </w:r>
      <w:r w:rsidRPr="00C16083" w:rsidR="006A5706">
        <w:t xml:space="preserve">the </w:t>
      </w:r>
      <w:r w:rsidRPr="00C16083" w:rsidR="008D7E93">
        <w:t xml:space="preserve">case </w:t>
      </w:r>
      <w:r w:rsidRPr="00C16083" w:rsidR="006A5706">
        <w:t>of M</w:t>
      </w:r>
      <w:r w:rsidRPr="00C16083" w:rsidR="00B91638">
        <w:t>s Fast</w:t>
      </w:r>
      <w:r w:rsidRPr="00C16083" w:rsidR="00962113">
        <w:t>,</w:t>
      </w:r>
      <w:r w:rsidRPr="00C16083" w:rsidR="006A5706">
        <w:t xml:space="preserve"> </w:t>
      </w:r>
      <w:r w:rsidRPr="00C16083" w:rsidR="008D7E93">
        <w:t xml:space="preserve">the seized computer </w:t>
      </w:r>
      <w:r w:rsidRPr="00C16083" w:rsidR="003F78CC">
        <w:t xml:space="preserve">processing </w:t>
      </w:r>
      <w:r w:rsidRPr="00C16083" w:rsidR="008D7E93">
        <w:t>units were returned nine months later</w:t>
      </w:r>
      <w:r w:rsidRPr="00C16083" w:rsidR="003F78CC">
        <w:t>;</w:t>
      </w:r>
      <w:r w:rsidRPr="00C16083" w:rsidR="008D7E93">
        <w:t xml:space="preserve"> </w:t>
      </w:r>
      <w:r w:rsidRPr="00C16083" w:rsidR="006A5706">
        <w:t>Mr</w:t>
      </w:r>
      <w:r w:rsidRPr="00C16083" w:rsidR="00D44AD4">
        <w:t> </w:t>
      </w:r>
      <w:r w:rsidRPr="00C16083" w:rsidR="00B91638">
        <w:t>Levchenko</w:t>
      </w:r>
      <w:r w:rsidRPr="00C16083" w:rsidR="006A5706">
        <w:t xml:space="preserve"> received his possessions</w:t>
      </w:r>
      <w:r w:rsidRPr="00C16083" w:rsidR="002E4F73">
        <w:t xml:space="preserve"> a year and three months</w:t>
      </w:r>
      <w:r w:rsidRPr="00C16083" w:rsidR="003F78CC">
        <w:t xml:space="preserve"> after the search;</w:t>
      </w:r>
      <w:r w:rsidRPr="00C16083" w:rsidR="002E4F73">
        <w:t xml:space="preserve"> </w:t>
      </w:r>
      <w:r w:rsidRPr="00C16083" w:rsidR="008D7E93">
        <w:t xml:space="preserve">while in </w:t>
      </w:r>
      <w:r w:rsidRPr="00C16083" w:rsidR="002E4F73">
        <w:t xml:space="preserve">three </w:t>
      </w:r>
      <w:r w:rsidRPr="00C16083" w:rsidR="008D7E93">
        <w:t>other cases</w:t>
      </w:r>
      <w:r w:rsidRPr="00C16083" w:rsidR="002E4F73">
        <w:t xml:space="preserve"> </w:t>
      </w:r>
      <w:r w:rsidRPr="00C16083" w:rsidR="008D7E93">
        <w:t xml:space="preserve">the seized objects </w:t>
      </w:r>
      <w:r w:rsidRPr="00C16083" w:rsidR="003F78CC">
        <w:t xml:space="preserve">were </w:t>
      </w:r>
      <w:r w:rsidRPr="00C16083" w:rsidR="006A5706">
        <w:t xml:space="preserve">never </w:t>
      </w:r>
      <w:r w:rsidRPr="00C16083" w:rsidR="008D7E93">
        <w:t xml:space="preserve">returned to the applicants. </w:t>
      </w:r>
      <w:r w:rsidRPr="00C16083" w:rsidR="00576990">
        <w:t xml:space="preserve">Even </w:t>
      </w:r>
      <w:r w:rsidRPr="00C16083" w:rsidR="003F78CC">
        <w:t xml:space="preserve">though </w:t>
      </w:r>
      <w:r w:rsidRPr="00C16083" w:rsidR="00576990">
        <w:t xml:space="preserve">the seized objects were returned to </w:t>
      </w:r>
      <w:r w:rsidRPr="00C16083" w:rsidR="006A5706">
        <w:t>M</w:t>
      </w:r>
      <w:r w:rsidRPr="00C16083" w:rsidR="00080A95">
        <w:t>s</w:t>
      </w:r>
      <w:r w:rsidRPr="00C16083" w:rsidR="006A5706">
        <w:t xml:space="preserve"> </w:t>
      </w:r>
      <w:r w:rsidRPr="00C16083" w:rsidR="00080A95">
        <w:t>Buraga</w:t>
      </w:r>
      <w:r w:rsidRPr="00C16083" w:rsidR="006A5706">
        <w:t xml:space="preserve"> </w:t>
      </w:r>
      <w:r w:rsidRPr="00C16083" w:rsidR="00576990">
        <w:t xml:space="preserve">a month later, the expert </w:t>
      </w:r>
      <w:r w:rsidRPr="00C16083" w:rsidR="006A5706">
        <w:t xml:space="preserve">had assessed </w:t>
      </w:r>
      <w:r w:rsidRPr="00C16083" w:rsidR="00576990">
        <w:t>the computer</w:t>
      </w:r>
      <w:r w:rsidRPr="00C16083" w:rsidR="006A5706">
        <w:t>s</w:t>
      </w:r>
      <w:r w:rsidRPr="00C16083" w:rsidR="00576990">
        <w:t xml:space="preserve"> </w:t>
      </w:r>
      <w:r w:rsidRPr="00C16083" w:rsidR="006A5706">
        <w:t xml:space="preserve">within </w:t>
      </w:r>
      <w:r w:rsidRPr="00C16083" w:rsidR="00576990">
        <w:t xml:space="preserve">two days </w:t>
      </w:r>
      <w:r w:rsidRPr="00C16083" w:rsidR="006A5706">
        <w:t xml:space="preserve">of </w:t>
      </w:r>
      <w:r w:rsidRPr="00C16083" w:rsidR="00576990">
        <w:t xml:space="preserve">the seizure, </w:t>
      </w:r>
      <w:r w:rsidRPr="00C16083" w:rsidR="006A5706">
        <w:t xml:space="preserve">and </w:t>
      </w:r>
      <w:r w:rsidRPr="00C16083" w:rsidR="00576990">
        <w:t xml:space="preserve">the authorities </w:t>
      </w:r>
      <w:r w:rsidRPr="00C16083" w:rsidR="006A5706">
        <w:t xml:space="preserve">did not explain </w:t>
      </w:r>
      <w:r w:rsidRPr="00C16083" w:rsidR="00576990">
        <w:t xml:space="preserve">why they </w:t>
      </w:r>
      <w:r w:rsidRPr="00C16083" w:rsidR="00A7006E">
        <w:t xml:space="preserve">had </w:t>
      </w:r>
      <w:r w:rsidRPr="00C16083" w:rsidR="00576990">
        <w:t xml:space="preserve">needed to </w:t>
      </w:r>
      <w:r w:rsidRPr="00C16083" w:rsidR="00E228EC">
        <w:t xml:space="preserve">keep </w:t>
      </w:r>
      <w:r w:rsidRPr="00C16083" w:rsidR="00576990">
        <w:t xml:space="preserve">the computer units </w:t>
      </w:r>
      <w:r w:rsidRPr="00C16083" w:rsidR="008E1133">
        <w:t xml:space="preserve">for </w:t>
      </w:r>
      <w:r w:rsidRPr="00C16083" w:rsidR="006A5706">
        <w:t>much longer</w:t>
      </w:r>
      <w:r w:rsidRPr="00C16083" w:rsidR="00576990">
        <w:t xml:space="preserve">. </w:t>
      </w:r>
      <w:r w:rsidRPr="00C16083" w:rsidR="00753675">
        <w:t>Since</w:t>
      </w:r>
      <w:r w:rsidRPr="00C16083" w:rsidR="00080A95">
        <w:t xml:space="preserve"> 2016 (see paragraph </w:t>
      </w:r>
      <w:r w:rsidRPr="00C16083" w:rsidR="00080A95">
        <w:fldChar w:fldCharType="begin"/>
      </w:r>
      <w:r w:rsidRPr="00C16083" w:rsidR="00080A95">
        <w:instrText xml:space="preserve"> REF time_limits_retention_decision \h  \* MERGEFORMAT </w:instrText>
      </w:r>
      <w:r w:rsidRPr="00C16083" w:rsidR="00080A95">
        <w:fldChar w:fldCharType="separate"/>
      </w:r>
      <w:r w:rsidRPr="00C16083" w:rsidR="00C16083">
        <w:t>96</w:t>
      </w:r>
      <w:r w:rsidRPr="00C16083" w:rsidR="00080A95">
        <w:fldChar w:fldCharType="end"/>
      </w:r>
      <w:r w:rsidRPr="00C16083" w:rsidR="00080A95">
        <w:t xml:space="preserve"> above) the </w:t>
      </w:r>
      <w:r w:rsidRPr="00C16083" w:rsidR="003F78CC">
        <w:t xml:space="preserve">legislature has </w:t>
      </w:r>
      <w:r w:rsidRPr="00C16083" w:rsidR="00080A95">
        <w:t>establish</w:t>
      </w:r>
      <w:r w:rsidRPr="00C16083" w:rsidR="00753675">
        <w:t>ed</w:t>
      </w:r>
      <w:r w:rsidRPr="00C16083" w:rsidR="00080A95">
        <w:t xml:space="preserve"> time</w:t>
      </w:r>
      <w:r w:rsidRPr="00C16083" w:rsidR="003F78CC">
        <w:t>-</w:t>
      </w:r>
      <w:r w:rsidRPr="00C16083" w:rsidR="00080A95">
        <w:t xml:space="preserve">limits for </w:t>
      </w:r>
      <w:r w:rsidRPr="00C16083" w:rsidR="003F78CC">
        <w:t xml:space="preserve">the </w:t>
      </w:r>
      <w:r w:rsidRPr="00C16083" w:rsidR="00080A95">
        <w:t>retention or return of seized objects</w:t>
      </w:r>
      <w:r w:rsidRPr="00C16083" w:rsidR="00753675">
        <w:t xml:space="preserve">, but </w:t>
      </w:r>
      <w:r w:rsidRPr="00C16083" w:rsidR="003F78CC">
        <w:t xml:space="preserve">they </w:t>
      </w:r>
      <w:r w:rsidRPr="00C16083" w:rsidR="00753675">
        <w:t>did not affect the situation</w:t>
      </w:r>
      <w:r w:rsidRPr="00C16083" w:rsidR="00D57D01">
        <w:t>s</w:t>
      </w:r>
      <w:r w:rsidRPr="00C16083" w:rsidR="00753675">
        <w:t xml:space="preserve"> of</w:t>
      </w:r>
      <w:r w:rsidRPr="00C16083" w:rsidR="00965C34">
        <w:t xml:space="preserve"> Mr </w:t>
      </w:r>
      <w:r w:rsidRPr="00C16083" w:rsidR="00D57D01">
        <w:t>Balyan, Mr Sokolov and Mr Solovyev, Mr Lazutkin, and Mr Parnach</w:t>
      </w:r>
      <w:r w:rsidRPr="00C16083" w:rsidR="00965C34">
        <w:t>ev, Mr </w:t>
      </w:r>
      <w:r w:rsidRPr="00C16083" w:rsidR="00D57D01">
        <w:t>Prokhorov, Mr Pestov and Mr Rozhkov</w:t>
      </w:r>
      <w:r w:rsidRPr="00C16083" w:rsidR="00982202">
        <w:t xml:space="preserve"> (application</w:t>
      </w:r>
      <w:r w:rsidRPr="00C16083" w:rsidR="003F78CC">
        <w:t>s</w:t>
      </w:r>
      <w:r w:rsidRPr="00C16083" w:rsidR="00982202">
        <w:t xml:space="preserve"> nos. </w:t>
      </w:r>
      <w:r w:rsidRPr="00C16083" w:rsidR="00FC6BBC">
        <w:t xml:space="preserve">2397/11, </w:t>
      </w:r>
      <w:r w:rsidRPr="00C16083" w:rsidR="00982202">
        <w:t>7101/15</w:t>
      </w:r>
      <w:r w:rsidRPr="00C16083" w:rsidR="00FC6BBC">
        <w:t xml:space="preserve"> and</w:t>
      </w:r>
      <w:r w:rsidRPr="00C16083" w:rsidR="00982202">
        <w:t xml:space="preserve"> 29785/15)</w:t>
      </w:r>
      <w:r w:rsidRPr="00C16083" w:rsidR="003F78CC">
        <w:t>,</w:t>
      </w:r>
      <w:r w:rsidRPr="00C16083" w:rsidR="00753675">
        <w:t xml:space="preserve"> whose possessions </w:t>
      </w:r>
      <w:r w:rsidRPr="00C16083" w:rsidR="00D57D01">
        <w:t>continued to be</w:t>
      </w:r>
      <w:r w:rsidRPr="00C16083" w:rsidR="00753675">
        <w:t xml:space="preserve"> retained </w:t>
      </w:r>
      <w:r w:rsidRPr="00C16083" w:rsidR="00687A81">
        <w:t xml:space="preserve">for unexplained reasons </w:t>
      </w:r>
      <w:r w:rsidRPr="00C16083" w:rsidR="00D57D01">
        <w:t xml:space="preserve">even </w:t>
      </w:r>
      <w:r w:rsidRPr="00C16083" w:rsidR="00753675">
        <w:t xml:space="preserve">after </w:t>
      </w:r>
      <w:r w:rsidRPr="00C16083" w:rsidR="003F78CC">
        <w:t xml:space="preserve">the </w:t>
      </w:r>
      <w:r w:rsidRPr="00C16083" w:rsidR="00753675">
        <w:t xml:space="preserve">new </w:t>
      </w:r>
      <w:r w:rsidRPr="00C16083" w:rsidR="003F78CC">
        <w:t xml:space="preserve">legislative </w:t>
      </w:r>
      <w:r w:rsidRPr="00C16083" w:rsidR="00753675">
        <w:t>provisions</w:t>
      </w:r>
      <w:r w:rsidRPr="00C16083" w:rsidR="00D57D01">
        <w:t xml:space="preserve"> had been introduced</w:t>
      </w:r>
      <w:r w:rsidRPr="00C16083" w:rsidR="00080A95">
        <w:t>.</w:t>
      </w:r>
    </w:p>
    <w:p w:rsidRPr="00C16083" w:rsidR="00843BB9" w:rsidP="00C16083" w:rsidRDefault="006368BA">
      <w:pPr>
        <w:pStyle w:val="JuPara"/>
      </w:pPr>
      <w:fldSimple w:instr=" SEQ level0 \*arabic ">
        <w:r w:rsidRPr="00C16083" w:rsidR="00C16083">
          <w:rPr>
            <w:noProof/>
          </w:rPr>
          <w:t>146</w:t>
        </w:r>
      </w:fldSimple>
      <w:r w:rsidRPr="00C16083" w:rsidR="00926476">
        <w:t>.  </w:t>
      </w:r>
      <w:r w:rsidRPr="00C16083" w:rsidR="0077175D">
        <w:t xml:space="preserve">Accordingly, the Court considers </w:t>
      </w:r>
      <w:r w:rsidRPr="00C16083" w:rsidR="003F78CC">
        <w:t xml:space="preserve">that </w:t>
      </w:r>
      <w:r w:rsidRPr="00C16083" w:rsidR="0077175D">
        <w:t xml:space="preserve">there has been a violation of </w:t>
      </w:r>
      <w:r w:rsidRPr="00C16083" w:rsidR="005B69A2">
        <w:t xml:space="preserve">Article 1 of Protocol No. 1 </w:t>
      </w:r>
      <w:r w:rsidRPr="00C16083" w:rsidR="006A5706">
        <w:t>in respect of the applicants in</w:t>
      </w:r>
      <w:r w:rsidRPr="00C16083" w:rsidR="003B4600">
        <w:t xml:space="preserve"> each of the</w:t>
      </w:r>
      <w:r w:rsidRPr="00C16083" w:rsidR="006A5706">
        <w:t xml:space="preserve"> six cases</w:t>
      </w:r>
      <w:r w:rsidRPr="00C16083" w:rsidR="005B69A2">
        <w:t xml:space="preserve">. </w:t>
      </w:r>
      <w:r w:rsidRPr="00C16083" w:rsidR="00A41A96">
        <w:t>In the light of this finding, the Court considers that it is not necessary to examine whether, in these cases, there has also been a violation of Article</w:t>
      </w:r>
      <w:r w:rsidRPr="00C16083" w:rsidR="003B4600">
        <w:t> </w:t>
      </w:r>
      <w:r w:rsidRPr="00C16083" w:rsidR="00A41A96">
        <w:t>13.</w:t>
      </w:r>
    </w:p>
    <w:p w:rsidRPr="00C16083" w:rsidR="00843BB9" w:rsidP="00C16083" w:rsidRDefault="000174DF">
      <w:pPr>
        <w:pStyle w:val="JuHIRoman"/>
      </w:pPr>
      <w:r w:rsidRPr="00C16083">
        <w:t>OTHER ALLEGED VIOLATIONS OF THE CONVENTION</w:t>
      </w:r>
    </w:p>
    <w:p w:rsidRPr="00C16083" w:rsidR="00843BB9" w:rsidP="00C16083" w:rsidRDefault="006368BA">
      <w:pPr>
        <w:pStyle w:val="JuPara"/>
      </w:pPr>
      <w:fldSimple w:instr=" SEQ level0 \*arabic ">
        <w:r w:rsidRPr="00C16083" w:rsidR="00C16083">
          <w:rPr>
            <w:noProof/>
          </w:rPr>
          <w:t>147</w:t>
        </w:r>
      </w:fldSimple>
      <w:r w:rsidRPr="00C16083" w:rsidR="000625BD">
        <w:t>.  </w:t>
      </w:r>
      <w:r w:rsidRPr="00C16083" w:rsidR="007D6567">
        <w:t xml:space="preserve">The Court has examined the other complaints submitted by </w:t>
      </w:r>
      <w:r w:rsidRPr="00C16083" w:rsidR="00312866">
        <w:t xml:space="preserve">one of </w:t>
      </w:r>
      <w:r w:rsidRPr="00C16083" w:rsidR="007D6567">
        <w:t>the applicant</w:t>
      </w:r>
      <w:r w:rsidRPr="00C16083" w:rsidR="00312866">
        <w:t>s (application no. 32324/06)</w:t>
      </w:r>
      <w:r w:rsidRPr="00C16083" w:rsidR="007D6567">
        <w:t>. However, having regard to all the material in its possession, and in so far as these complaints fall within the Court</w:t>
      </w:r>
      <w:r w:rsidRPr="00C16083" w:rsidR="00C16083">
        <w:t>’</w:t>
      </w:r>
      <w:r w:rsidRPr="00C16083" w:rsidR="007D6567">
        <w:t>s competence, it finds that they do not disclose any appearance of a violation of the rights and freedoms set out in the Convention or its Protocols. Th</w:t>
      </w:r>
      <w:r w:rsidRPr="00C16083" w:rsidR="00312866">
        <w:t>is</w:t>
      </w:r>
      <w:r w:rsidRPr="00C16083" w:rsidR="007D6567">
        <w:t xml:space="preserve"> part of the application must therefore be rejected as manifestly ill-founded, pursuant to Article 35 §§ 3 and 4 of the Convention.</w:t>
      </w:r>
    </w:p>
    <w:p w:rsidRPr="00C16083" w:rsidR="00D420F3" w:rsidP="00C16083" w:rsidRDefault="0077175D">
      <w:pPr>
        <w:pStyle w:val="JuHIRoman"/>
      </w:pPr>
      <w:r w:rsidRPr="00C16083">
        <w:t>APPLICATION OF ARTICLE 41 OF THE CONVENTION</w:t>
      </w:r>
    </w:p>
    <w:p w:rsidRPr="00C16083" w:rsidR="00D420F3" w:rsidP="00C16083" w:rsidRDefault="006368BA">
      <w:pPr>
        <w:pStyle w:val="JuPara"/>
      </w:pPr>
      <w:fldSimple w:instr=" SEQ level0 \*arabic ">
        <w:r w:rsidRPr="00C16083" w:rsidR="00C16083">
          <w:rPr>
            <w:noProof/>
          </w:rPr>
          <w:t>148</w:t>
        </w:r>
      </w:fldSimple>
      <w:r w:rsidRPr="00C16083" w:rsidR="0077175D">
        <w:t>.  Article 41 of the Convention provides:</w:t>
      </w:r>
    </w:p>
    <w:p w:rsidRPr="00C16083" w:rsidR="00D420F3" w:rsidP="00C16083" w:rsidRDefault="0077175D">
      <w:pPr>
        <w:pStyle w:val="JuQuot"/>
        <w:keepNext/>
        <w:keepLines/>
      </w:pPr>
      <w:r w:rsidRPr="00C1608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C16083" w:rsidR="00843BB9" w:rsidP="00C16083" w:rsidRDefault="006368BA">
      <w:pPr>
        <w:pStyle w:val="JuPara"/>
      </w:pPr>
      <w:fldSimple w:instr=" SEQ level0 \*arabic ">
        <w:r w:rsidRPr="00C16083" w:rsidR="00C16083">
          <w:rPr>
            <w:noProof/>
          </w:rPr>
          <w:t>149</w:t>
        </w:r>
      </w:fldSimple>
      <w:r w:rsidRPr="00C16083" w:rsidR="0077175D">
        <w:t>.  </w:t>
      </w:r>
      <w:r w:rsidRPr="00C16083" w:rsidR="00C4352C">
        <w:t>Regard being had to the documents in its possession and to its case</w:t>
      </w:r>
      <w:r w:rsidRPr="00C16083" w:rsidR="006777B2">
        <w:rPr>
          <w:rFonts w:ascii="MS Mincho" w:hAnsi="MS Mincho" w:eastAsia="MS Mincho" w:cs="MS Mincho"/>
        </w:rPr>
        <w:t>-</w:t>
      </w:r>
      <w:r w:rsidRPr="00C16083" w:rsidR="00C4352C">
        <w:t>law, the Court considers it reasonable to award the sums indicated in the appended table</w:t>
      </w:r>
      <w:r w:rsidRPr="00C16083" w:rsidR="00671FFE">
        <w:t>,</w:t>
      </w:r>
      <w:r w:rsidRPr="00C16083" w:rsidR="00C4352C">
        <w:t xml:space="preserve"> and dismisses the remaining claims for just satisfaction</w:t>
      </w:r>
      <w:r w:rsidRPr="00C16083" w:rsidR="0077175D">
        <w:t>.</w:t>
      </w:r>
    </w:p>
    <w:p w:rsidRPr="00C16083" w:rsidR="00D420F3" w:rsidP="00C16083" w:rsidRDefault="0077175D">
      <w:pPr>
        <w:pStyle w:val="JuHHead"/>
      </w:pPr>
      <w:r w:rsidRPr="00C16083">
        <w:t>FOR THESE REASONS, THE COURT</w:t>
      </w:r>
      <w:r w:rsidRPr="00C16083" w:rsidR="00793C42">
        <w:t>, UNANIMOUSLY,</w:t>
      </w:r>
    </w:p>
    <w:p w:rsidRPr="00C16083" w:rsidR="00843BB9" w:rsidP="00C16083" w:rsidRDefault="00F21DE5">
      <w:pPr>
        <w:pStyle w:val="JuList"/>
      </w:pPr>
      <w:r w:rsidRPr="00C16083">
        <w:rPr>
          <w:i/>
        </w:rPr>
        <w:t>Decides</w:t>
      </w:r>
      <w:r w:rsidRPr="00C16083">
        <w:t xml:space="preserve"> to join the applications;</w:t>
      </w:r>
    </w:p>
    <w:p w:rsidRPr="00C16083" w:rsidR="00843BB9" w:rsidP="00C16083" w:rsidRDefault="0051430F">
      <w:pPr>
        <w:pStyle w:val="JuList"/>
      </w:pPr>
      <w:r w:rsidRPr="00C16083">
        <w:rPr>
          <w:i/>
        </w:rPr>
        <w:t>Declares</w:t>
      </w:r>
      <w:r w:rsidRPr="00C16083">
        <w:t xml:space="preserve"> application no. 14244/11 inadmissible;</w:t>
      </w:r>
    </w:p>
    <w:p w:rsidRPr="00C16083" w:rsidR="00843BB9" w:rsidP="00C16083" w:rsidRDefault="0077175D">
      <w:pPr>
        <w:pStyle w:val="JuList"/>
      </w:pPr>
      <w:r w:rsidRPr="00C16083">
        <w:rPr>
          <w:i/>
        </w:rPr>
        <w:t>Declares</w:t>
      </w:r>
      <w:r w:rsidRPr="00C16083" w:rsidR="00793C42">
        <w:t xml:space="preserve"> </w:t>
      </w:r>
      <w:r w:rsidRPr="00C16083">
        <w:t xml:space="preserve">the </w:t>
      </w:r>
      <w:r w:rsidRPr="00C16083" w:rsidR="00F21DE5">
        <w:t xml:space="preserve">complaints </w:t>
      </w:r>
      <w:r w:rsidRPr="00C16083" w:rsidR="006023AA">
        <w:t xml:space="preserve">lodged </w:t>
      </w:r>
      <w:r w:rsidRPr="00C16083" w:rsidR="0051430F">
        <w:t xml:space="preserve">by the remaining </w:t>
      </w:r>
      <w:r w:rsidRPr="00C16083" w:rsidR="002A6275">
        <w:t>twenty-two</w:t>
      </w:r>
      <w:r w:rsidRPr="00C16083" w:rsidR="0051430F">
        <w:t xml:space="preserve"> applicants </w:t>
      </w:r>
      <w:r w:rsidRPr="00C16083" w:rsidR="00FC6BBC">
        <w:t xml:space="preserve">under </w:t>
      </w:r>
      <w:r w:rsidRPr="00C16083" w:rsidR="0023544C">
        <w:t xml:space="preserve">Article 8 </w:t>
      </w:r>
      <w:r w:rsidRPr="00C16083" w:rsidR="007262C9">
        <w:t xml:space="preserve">of the Convention </w:t>
      </w:r>
      <w:r w:rsidRPr="00C16083" w:rsidR="0023544C">
        <w:t>and Article 13 in conjunction with Article 8</w:t>
      </w:r>
      <w:r w:rsidRPr="00C16083" w:rsidR="006023AA">
        <w:t>,</w:t>
      </w:r>
      <w:r w:rsidRPr="00C16083" w:rsidR="0023544C">
        <w:t xml:space="preserve"> as well as the complaints </w:t>
      </w:r>
      <w:r w:rsidRPr="00C16083" w:rsidR="006023AA">
        <w:t xml:space="preserve">lodged by </w:t>
      </w:r>
      <w:r w:rsidRPr="00C16083" w:rsidR="00D35914">
        <w:t xml:space="preserve">eleven </w:t>
      </w:r>
      <w:r w:rsidRPr="00C16083" w:rsidR="0023544C">
        <w:t>applicants (application</w:t>
      </w:r>
      <w:r w:rsidRPr="00C16083" w:rsidR="006023AA">
        <w:t>s</w:t>
      </w:r>
      <w:r w:rsidRPr="00C16083" w:rsidR="0023544C">
        <w:t xml:space="preserve"> nos. 32324/06, 60648/08, 2397/11, 7101/15, 29786/15 and 36833/16) under Article 1 of Protocol No. 1 to the Convention </w:t>
      </w:r>
      <w:r w:rsidRPr="00C16083" w:rsidR="007262C9">
        <w:t>and Article 13 taken together with Article 1 of Protocol</w:t>
      </w:r>
      <w:r w:rsidRPr="00C16083" w:rsidR="00FC6BBC">
        <w:t> </w:t>
      </w:r>
      <w:r w:rsidRPr="00C16083" w:rsidR="007262C9">
        <w:t>No.</w:t>
      </w:r>
      <w:r w:rsidRPr="00C16083" w:rsidR="00FC6BBC">
        <w:t> </w:t>
      </w:r>
      <w:r w:rsidRPr="00C16083" w:rsidR="007262C9">
        <w:t xml:space="preserve">1 </w:t>
      </w:r>
      <w:r w:rsidRPr="00C16083" w:rsidR="00FF636F">
        <w:t xml:space="preserve">to the Convention </w:t>
      </w:r>
      <w:r w:rsidRPr="00C16083">
        <w:t>admissible</w:t>
      </w:r>
      <w:r w:rsidRPr="00C16083" w:rsidR="0051430F">
        <w:t xml:space="preserve"> </w:t>
      </w:r>
      <w:r w:rsidRPr="00C16083" w:rsidR="00F21DE5">
        <w:t>and the remainder of the applications inadmissible</w:t>
      </w:r>
      <w:r w:rsidRPr="00C16083">
        <w:t>;</w:t>
      </w:r>
    </w:p>
    <w:p w:rsidRPr="00C16083" w:rsidR="00843BB9" w:rsidP="00C16083" w:rsidRDefault="0077175D">
      <w:pPr>
        <w:pStyle w:val="JuList"/>
      </w:pPr>
      <w:r w:rsidRPr="00C16083">
        <w:rPr>
          <w:i/>
        </w:rPr>
        <w:t>Holds</w:t>
      </w:r>
      <w:r w:rsidRPr="00C16083" w:rsidR="00793C42">
        <w:t xml:space="preserve"> </w:t>
      </w:r>
      <w:r w:rsidRPr="00C16083">
        <w:t xml:space="preserve">that there has been a violation of Article </w:t>
      </w:r>
      <w:r w:rsidRPr="00C16083" w:rsidR="00F21DE5">
        <w:t>8</w:t>
      </w:r>
      <w:r w:rsidRPr="00C16083">
        <w:t xml:space="preserve"> of the Convention</w:t>
      </w:r>
      <w:r w:rsidRPr="00C16083" w:rsidR="00F21DE5">
        <w:t xml:space="preserve"> in respect of t</w:t>
      </w:r>
      <w:r w:rsidRPr="00C16083" w:rsidR="000C3626">
        <w:t xml:space="preserve">he </w:t>
      </w:r>
      <w:r w:rsidRPr="00C16083" w:rsidR="002A6275">
        <w:t>twenty-two</w:t>
      </w:r>
      <w:r w:rsidRPr="00C16083" w:rsidR="00F21DE5">
        <w:t xml:space="preserve"> applicants</w:t>
      </w:r>
      <w:r w:rsidRPr="00C16083" w:rsidR="0051430F">
        <w:t xml:space="preserve"> whose complaints have been found admissible</w:t>
      </w:r>
      <w:r w:rsidRPr="00C16083">
        <w:t>;</w:t>
      </w:r>
    </w:p>
    <w:p w:rsidRPr="00C16083" w:rsidR="00843BB9" w:rsidP="00C16083" w:rsidRDefault="0077175D">
      <w:pPr>
        <w:pStyle w:val="JuList"/>
      </w:pPr>
      <w:r w:rsidRPr="00C16083">
        <w:rPr>
          <w:i/>
        </w:rPr>
        <w:t>Holds</w:t>
      </w:r>
      <w:r w:rsidRPr="00C16083" w:rsidR="00793C42">
        <w:t xml:space="preserve"> </w:t>
      </w:r>
      <w:r w:rsidRPr="00C16083" w:rsidR="000C3626">
        <w:t>that there is no need to examine Article 13 in conjunction with Article 8 of the Convention</w:t>
      </w:r>
      <w:r w:rsidRPr="00C16083">
        <w:t>;</w:t>
      </w:r>
    </w:p>
    <w:p w:rsidRPr="00C16083" w:rsidR="00843BB9" w:rsidP="00C16083" w:rsidRDefault="0077175D">
      <w:pPr>
        <w:pStyle w:val="JuList"/>
      </w:pPr>
      <w:r w:rsidRPr="00C16083">
        <w:rPr>
          <w:i/>
        </w:rPr>
        <w:t>Holds</w:t>
      </w:r>
      <w:r w:rsidRPr="00C16083" w:rsidR="00793C42">
        <w:t xml:space="preserve"> </w:t>
      </w:r>
      <w:r w:rsidRPr="00C16083">
        <w:t xml:space="preserve">that there has been a violation of </w:t>
      </w:r>
      <w:r w:rsidRPr="00C16083" w:rsidR="00F21DE5">
        <w:t xml:space="preserve">Article 1 of Protocol No. 1 </w:t>
      </w:r>
      <w:r w:rsidRPr="00C16083" w:rsidR="00FF636F">
        <w:t xml:space="preserve">to the Convention </w:t>
      </w:r>
      <w:r w:rsidRPr="00C16083" w:rsidR="00F21DE5">
        <w:t xml:space="preserve">in respect of </w:t>
      </w:r>
      <w:r w:rsidRPr="00C16083" w:rsidR="00FB7308">
        <w:t xml:space="preserve">eleven </w:t>
      </w:r>
      <w:r w:rsidRPr="00C16083" w:rsidR="00F21DE5">
        <w:t>applicants (application</w:t>
      </w:r>
      <w:r w:rsidRPr="00C16083" w:rsidR="006023AA">
        <w:t>s</w:t>
      </w:r>
      <w:r w:rsidRPr="00C16083" w:rsidR="00F21DE5">
        <w:t xml:space="preserve"> nos. 32324/06, 60648/08, 2397/11, 7101/15, 29786/15 and 36833/16)</w:t>
      </w:r>
      <w:r w:rsidRPr="00C16083">
        <w:t>;</w:t>
      </w:r>
    </w:p>
    <w:p w:rsidRPr="00C16083" w:rsidR="007262C9" w:rsidP="00C16083" w:rsidRDefault="007262C9">
      <w:pPr>
        <w:pStyle w:val="JuList"/>
      </w:pPr>
      <w:r w:rsidRPr="00C16083">
        <w:rPr>
          <w:i/>
        </w:rPr>
        <w:t>Holds</w:t>
      </w:r>
      <w:r w:rsidRPr="00C16083">
        <w:t xml:space="preserve"> that there is no need to examine Article 13 </w:t>
      </w:r>
      <w:r w:rsidRPr="00C16083" w:rsidR="00FF636F">
        <w:t xml:space="preserve">of the Convention </w:t>
      </w:r>
      <w:r w:rsidRPr="00C16083">
        <w:t>in conjunction with Article 1 of Protocol No. 1</w:t>
      </w:r>
      <w:r w:rsidRPr="00C16083" w:rsidR="00FF636F">
        <w:t xml:space="preserve"> to the Convention</w:t>
      </w:r>
      <w:r w:rsidRPr="00C16083">
        <w:t>;</w:t>
      </w:r>
    </w:p>
    <w:p w:rsidRPr="00C16083" w:rsidR="00592613" w:rsidP="00C16083" w:rsidRDefault="0077175D">
      <w:pPr>
        <w:pStyle w:val="JuList"/>
      </w:pPr>
      <w:r w:rsidRPr="00C16083">
        <w:rPr>
          <w:i/>
        </w:rPr>
        <w:t>Holds</w:t>
      </w:r>
    </w:p>
    <w:p w:rsidRPr="00C16083" w:rsidR="00843BB9" w:rsidP="00C16083" w:rsidRDefault="00F21DE5">
      <w:pPr>
        <w:pStyle w:val="JuLista"/>
      </w:pPr>
      <w:r w:rsidRPr="00C16083">
        <w:t>that the respondent State is to pay the applicants, within three months from the date on which the judgment becomes final in accordance with Article 44 § 2 of the Convention, the amounts indicated in the Appendix,</w:t>
      </w:r>
      <w:r w:rsidRPr="00C16083">
        <w:rPr>
          <w:b/>
          <w:bCs/>
        </w:rPr>
        <w:t> </w:t>
      </w:r>
      <w:r w:rsidRPr="00C16083">
        <w:t>to be converted into the currency of the respondent State at the rate applicable at the date of settlement, plus any tax that may be chargeable;</w:t>
      </w:r>
    </w:p>
    <w:p w:rsidRPr="00C16083" w:rsidR="00D420F3" w:rsidP="00C16083" w:rsidRDefault="00F21DE5">
      <w:pPr>
        <w:pStyle w:val="JuLista"/>
      </w:pPr>
      <w:r w:rsidRPr="00C16083">
        <w:t>that from the expiry of the above-mentioned three months until settlement, simple interest shall be payable on the awarded amounts at a rate equal to the marginal lending rate of the European Central Bank during the default period, plus three percentage points;</w:t>
      </w:r>
    </w:p>
    <w:p w:rsidRPr="00C16083" w:rsidR="00843BB9" w:rsidP="00C16083" w:rsidRDefault="0077175D">
      <w:pPr>
        <w:pStyle w:val="JuList"/>
      </w:pPr>
      <w:r w:rsidRPr="00C16083">
        <w:rPr>
          <w:i/>
        </w:rPr>
        <w:t>Dismisses</w:t>
      </w:r>
      <w:r w:rsidRPr="00C16083" w:rsidR="00793C42">
        <w:t xml:space="preserve"> </w:t>
      </w:r>
      <w:r w:rsidRPr="00C16083">
        <w:t>the remainder of the applicant</w:t>
      </w:r>
      <w:r w:rsidRPr="00C16083" w:rsidR="00793C42">
        <w:t>s</w:t>
      </w:r>
      <w:r w:rsidRPr="00C16083" w:rsidR="00C16083">
        <w:t>’</w:t>
      </w:r>
      <w:r w:rsidRPr="00C16083">
        <w:t xml:space="preserve"> claim</w:t>
      </w:r>
      <w:r w:rsidRPr="00C16083" w:rsidR="006023AA">
        <w:t>s</w:t>
      </w:r>
      <w:r w:rsidRPr="00C16083">
        <w:t xml:space="preserve"> for just satisfaction.</w:t>
      </w:r>
    </w:p>
    <w:p w:rsidRPr="00C16083" w:rsidR="00D420F3" w:rsidP="00C16083" w:rsidRDefault="0077175D">
      <w:pPr>
        <w:pStyle w:val="JuParaLast"/>
      </w:pPr>
      <w:r w:rsidRPr="00C16083">
        <w:t xml:space="preserve">Done in English, and notified in writing on </w:t>
      </w:r>
      <w:r w:rsidRPr="00C16083" w:rsidR="00736760">
        <w:t>4 February 2020</w:t>
      </w:r>
      <w:r w:rsidRPr="00C16083">
        <w:t>, pursuant to Rule 77 §§ 2 and 3 of the Rules of Court.</w:t>
      </w:r>
    </w:p>
    <w:p w:rsidRPr="00C16083" w:rsidR="000E26DE" w:rsidP="00C16083" w:rsidRDefault="0077175D">
      <w:pPr>
        <w:pStyle w:val="JuSigned"/>
        <w:sectPr w:rsidRPr="00C16083" w:rsidR="000E26DE" w:rsidSect="00ED2852">
          <w:headerReference w:type="even" r:id="rId12"/>
          <w:headerReference w:type="default" r:id="rId13"/>
          <w:footnotePr>
            <w:numRestart w:val="eachSect"/>
          </w:footnotePr>
          <w:pgSz w:w="11906" w:h="16838" w:code="9"/>
          <w:pgMar w:top="2274" w:right="2274" w:bottom="2274" w:left="2274" w:header="1701" w:footer="720" w:gutter="0"/>
          <w:pgNumType w:start="1"/>
          <w:cols w:space="720"/>
          <w:docGrid w:linePitch="326"/>
        </w:sectPr>
      </w:pPr>
      <w:r w:rsidRPr="00C16083">
        <w:tab/>
      </w:r>
      <w:r w:rsidRPr="00C16083" w:rsidR="00793C42">
        <w:t>Stephen Phillips</w:t>
      </w:r>
      <w:r w:rsidRPr="00C16083">
        <w:tab/>
      </w:r>
      <w:r w:rsidRPr="00C16083" w:rsidR="00D44AD4">
        <w:t>Paul Lemmens</w:t>
      </w:r>
      <w:r w:rsidRPr="00C16083">
        <w:br/>
      </w:r>
      <w:r w:rsidRPr="00C16083">
        <w:tab/>
      </w:r>
      <w:r w:rsidRPr="00C16083" w:rsidR="00793C42">
        <w:rPr>
          <w:iCs/>
        </w:rPr>
        <w:t>Registrar</w:t>
      </w:r>
      <w:r w:rsidRPr="00C16083">
        <w:tab/>
        <w:t>President</w:t>
      </w:r>
    </w:p>
    <w:p w:rsidRPr="00C16083" w:rsidR="000E26DE" w:rsidP="00C16083" w:rsidRDefault="000E26DE">
      <w:pPr>
        <w:pStyle w:val="DecHTitle"/>
      </w:pPr>
      <w:r w:rsidRPr="00C16083">
        <w:t>APPENDIX</w:t>
      </w:r>
    </w:p>
    <w:p w:rsidRPr="00C16083" w:rsidR="000E26DE" w:rsidP="00C16083" w:rsidRDefault="00322AFB">
      <w:pPr>
        <w:pStyle w:val="JuPara"/>
        <w:jc w:val="center"/>
        <w:rPr>
          <w:sz w:val="20"/>
          <w:szCs w:val="20"/>
        </w:rPr>
      </w:pPr>
      <w:r w:rsidRPr="00C16083">
        <w:rPr>
          <w:sz w:val="20"/>
          <w:szCs w:val="20"/>
        </w:rPr>
        <w:t>List of the applicants and a</w:t>
      </w:r>
      <w:r w:rsidRPr="00C16083" w:rsidR="000E26DE">
        <w:rPr>
          <w:sz w:val="20"/>
          <w:szCs w:val="20"/>
        </w:rPr>
        <w:t>wards made by the Court under Article 41 of the Convention</w:t>
      </w:r>
    </w:p>
    <w:tbl>
      <w:tblPr>
        <w:tblStyle w:val="ECHRListTable"/>
        <w:tblW w:w="13323" w:type="dxa"/>
        <w:jc w:val="center"/>
        <w:tblLayout w:type="fixed"/>
        <w:tblLook w:val="05E0" w:firstRow="1" w:lastRow="1" w:firstColumn="1" w:lastColumn="1" w:noHBand="0" w:noVBand="1"/>
      </w:tblPr>
      <w:tblGrid>
        <w:gridCol w:w="452"/>
        <w:gridCol w:w="1074"/>
        <w:gridCol w:w="3295"/>
        <w:gridCol w:w="2973"/>
        <w:gridCol w:w="2835"/>
        <w:gridCol w:w="2694"/>
      </w:tblGrid>
      <w:tr w:rsidRPr="00C16083" w:rsidR="00ED201A" w:rsidTr="00347238">
        <w:trPr>
          <w:cnfStyle w:val="100000000000" w:firstRow="1" w:lastRow="0" w:firstColumn="0" w:lastColumn="0" w:oddVBand="0" w:evenVBand="0" w:oddHBand="0" w:evenHBand="0" w:firstRowFirstColumn="0" w:firstRowLastColumn="0" w:lastRowFirstColumn="0" w:lastRowLastColumn="0"/>
          <w:cantSplit/>
          <w:jc w:val="center"/>
        </w:trPr>
        <w:tc>
          <w:tcPr>
            <w:tcW w:w="452" w:type="dxa"/>
          </w:tcPr>
          <w:p w:rsidRPr="00C16083" w:rsidR="00960098" w:rsidP="00C16083" w:rsidRDefault="00960098">
            <w:pPr>
              <w:jc w:val="center"/>
              <w:rPr>
                <w:sz w:val="16"/>
              </w:rPr>
            </w:pPr>
            <w:r w:rsidRPr="00C16083">
              <w:rPr>
                <w:sz w:val="16"/>
              </w:rPr>
              <w:t>No.</w:t>
            </w:r>
          </w:p>
        </w:tc>
        <w:tc>
          <w:tcPr>
            <w:tcW w:w="1074" w:type="dxa"/>
          </w:tcPr>
          <w:p w:rsidRPr="00C16083" w:rsidR="00960098" w:rsidP="00C16083" w:rsidRDefault="00960098">
            <w:pPr>
              <w:jc w:val="center"/>
              <w:rPr>
                <w:sz w:val="16"/>
              </w:rPr>
            </w:pPr>
            <w:r w:rsidRPr="00C16083">
              <w:rPr>
                <w:sz w:val="16"/>
              </w:rPr>
              <w:t>Application</w:t>
            </w:r>
          </w:p>
          <w:p w:rsidRPr="00C16083" w:rsidR="00960098" w:rsidP="00C16083" w:rsidRDefault="00960098">
            <w:pPr>
              <w:jc w:val="center"/>
              <w:rPr>
                <w:sz w:val="16"/>
              </w:rPr>
            </w:pPr>
            <w:r w:rsidRPr="00C16083">
              <w:rPr>
                <w:sz w:val="16"/>
              </w:rPr>
              <w:t>no. and date of introduction</w:t>
            </w:r>
          </w:p>
        </w:tc>
        <w:tc>
          <w:tcPr>
            <w:tcW w:w="3295" w:type="dxa"/>
          </w:tcPr>
          <w:p w:rsidRPr="00C16083" w:rsidR="00960098" w:rsidP="00C16083" w:rsidRDefault="00960098">
            <w:pPr>
              <w:jc w:val="center"/>
              <w:rPr>
                <w:sz w:val="16"/>
              </w:rPr>
            </w:pPr>
            <w:r w:rsidRPr="00C16083">
              <w:rPr>
                <w:sz w:val="16"/>
              </w:rPr>
              <w:t>Applicant name</w:t>
            </w:r>
          </w:p>
          <w:p w:rsidRPr="00C16083" w:rsidR="00960098" w:rsidP="00C16083" w:rsidRDefault="00960098">
            <w:pPr>
              <w:jc w:val="center"/>
              <w:rPr>
                <w:sz w:val="16"/>
              </w:rPr>
            </w:pPr>
            <w:r w:rsidRPr="00C16083">
              <w:rPr>
                <w:sz w:val="16"/>
              </w:rPr>
              <w:t>date of birth</w:t>
            </w:r>
          </w:p>
          <w:p w:rsidRPr="00C16083" w:rsidR="00960098" w:rsidP="00C16083" w:rsidRDefault="00960098">
            <w:pPr>
              <w:jc w:val="center"/>
              <w:rPr>
                <w:sz w:val="16"/>
              </w:rPr>
            </w:pPr>
            <w:r w:rsidRPr="00C16083">
              <w:rPr>
                <w:sz w:val="16"/>
              </w:rPr>
              <w:t>place of residence</w:t>
            </w:r>
          </w:p>
          <w:p w:rsidRPr="00C16083" w:rsidR="00960098" w:rsidP="00C16083" w:rsidRDefault="00960098">
            <w:pPr>
              <w:jc w:val="center"/>
              <w:rPr>
                <w:sz w:val="16"/>
              </w:rPr>
            </w:pPr>
            <w:r w:rsidRPr="00C16083">
              <w:rPr>
                <w:sz w:val="16"/>
              </w:rPr>
              <w:t>nationality</w:t>
            </w:r>
          </w:p>
        </w:tc>
        <w:tc>
          <w:tcPr>
            <w:tcW w:w="2973" w:type="dxa"/>
          </w:tcPr>
          <w:p w:rsidRPr="00C16083" w:rsidR="00960098" w:rsidP="00C16083" w:rsidRDefault="00960098">
            <w:pPr>
              <w:jc w:val="center"/>
              <w:rPr>
                <w:sz w:val="16"/>
              </w:rPr>
            </w:pPr>
            <w:r w:rsidRPr="00C16083">
              <w:rPr>
                <w:sz w:val="16"/>
              </w:rPr>
              <w:t>Represented by</w:t>
            </w:r>
          </w:p>
        </w:tc>
        <w:tc>
          <w:tcPr>
            <w:tcW w:w="2835" w:type="dxa"/>
          </w:tcPr>
          <w:p w:rsidRPr="00C16083" w:rsidR="00960098" w:rsidP="00C16083" w:rsidRDefault="00960098">
            <w:pPr>
              <w:jc w:val="center"/>
              <w:rPr>
                <w:sz w:val="16"/>
              </w:rPr>
            </w:pPr>
            <w:r w:rsidRPr="00C16083">
              <w:rPr>
                <w:sz w:val="16"/>
              </w:rPr>
              <w:t>Just satisfaction claims</w:t>
            </w:r>
          </w:p>
        </w:tc>
        <w:tc>
          <w:tcPr>
            <w:tcW w:w="2694" w:type="dxa"/>
          </w:tcPr>
          <w:p w:rsidRPr="00C16083" w:rsidR="00960098" w:rsidP="00C16083" w:rsidRDefault="00960098">
            <w:pPr>
              <w:jc w:val="center"/>
              <w:rPr>
                <w:sz w:val="16"/>
              </w:rPr>
            </w:pPr>
            <w:r w:rsidRPr="00C16083">
              <w:rPr>
                <w:sz w:val="16"/>
              </w:rPr>
              <w:t>Award under Article 41</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11264/04</w:t>
            </w:r>
          </w:p>
          <w:p w:rsidRPr="00C16083" w:rsidR="00960098" w:rsidP="00C16083" w:rsidRDefault="00960098">
            <w:pPr>
              <w:jc w:val="center"/>
              <w:rPr>
                <w:sz w:val="16"/>
              </w:rPr>
            </w:pPr>
            <w:r w:rsidRPr="00C16083">
              <w:rPr>
                <w:sz w:val="16"/>
              </w:rPr>
              <w:t>01/03/2004</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Aleksandr Gennadyevich KRUGLOV</w:t>
            </w:r>
            <w:r w:rsidRPr="00C16083" w:rsidR="005A1858">
              <w:rPr>
                <w:b/>
                <w:sz w:val="16"/>
              </w:rPr>
              <w:t xml:space="preserve"> (formerly KRUG)</w:t>
            </w:r>
          </w:p>
          <w:p w:rsidRPr="00C16083" w:rsidR="00960098" w:rsidP="00C16083" w:rsidRDefault="00960098">
            <w:pPr>
              <w:jc w:val="center"/>
              <w:rPr>
                <w:sz w:val="16"/>
              </w:rPr>
            </w:pPr>
            <w:r w:rsidRPr="00C16083">
              <w:rPr>
                <w:sz w:val="16"/>
              </w:rPr>
              <w:t>30/10/1976</w:t>
            </w:r>
          </w:p>
          <w:p w:rsidRPr="00C16083" w:rsidR="00960098" w:rsidP="00C16083" w:rsidRDefault="00960098">
            <w:pPr>
              <w:jc w:val="center"/>
              <w:rPr>
                <w:sz w:val="16"/>
              </w:rPr>
            </w:pPr>
            <w:r w:rsidRPr="00C16083">
              <w:rPr>
                <w:sz w:val="16"/>
              </w:rPr>
              <w:t>S</w:t>
            </w:r>
            <w:r w:rsidRPr="00C16083" w:rsidR="00960CD3">
              <w:rPr>
                <w:sz w:val="16"/>
              </w:rPr>
              <w:t>amara</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 xml:space="preserve"> </w:t>
            </w:r>
          </w:p>
        </w:tc>
        <w:tc>
          <w:tcPr>
            <w:tcW w:w="2835" w:type="dxa"/>
          </w:tcPr>
          <w:p w:rsidRPr="00C16083" w:rsidR="00960098" w:rsidP="00C16083" w:rsidRDefault="00960098">
            <w:pPr>
              <w:rPr>
                <w:sz w:val="16"/>
              </w:rPr>
            </w:pPr>
            <w:r w:rsidRPr="00C16083">
              <w:rPr>
                <w:sz w:val="16"/>
              </w:rPr>
              <w:t>Non-pecuniary damages: EUR</w:t>
            </w:r>
            <w:r w:rsidRPr="00C16083" w:rsidR="00580424">
              <w:rPr>
                <w:sz w:val="16"/>
              </w:rPr>
              <w:t> </w:t>
            </w:r>
            <w:r w:rsidRPr="00C16083">
              <w:rPr>
                <w:sz w:val="16"/>
              </w:rPr>
              <w:t>1,000,000 </w:t>
            </w:r>
          </w:p>
        </w:tc>
        <w:tc>
          <w:tcPr>
            <w:tcW w:w="2694" w:type="dxa"/>
          </w:tcPr>
          <w:p w:rsidRPr="00C16083" w:rsidR="00843BB9"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EUR 9,</w:t>
            </w:r>
            <w:r w:rsidRPr="00C16083" w:rsidR="00113ABD">
              <w:rPr>
                <w:sz w:val="16"/>
              </w:rPr>
              <w:t>80</w:t>
            </w:r>
            <w:r w:rsidRPr="00C16083">
              <w:rPr>
                <w:sz w:val="16"/>
              </w:rPr>
              <w:t>0</w:t>
            </w:r>
            <w:r w:rsidRPr="00C16083" w:rsidR="00580424">
              <w:rPr>
                <w:sz w:val="16"/>
              </w:rPr>
              <w:t xml:space="preserve"> (nine thousand eight hundred euros)</w:t>
            </w:r>
            <w:r w:rsidRPr="00C16083">
              <w:rPr>
                <w:sz w:val="16"/>
              </w:rPr>
              <w:t xml:space="preserve"> </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32324/06</w:t>
            </w:r>
          </w:p>
          <w:p w:rsidRPr="00C16083" w:rsidR="00960098" w:rsidP="00C16083" w:rsidRDefault="00960098">
            <w:pPr>
              <w:jc w:val="center"/>
              <w:rPr>
                <w:sz w:val="16"/>
              </w:rPr>
            </w:pPr>
            <w:r w:rsidRPr="00C16083">
              <w:rPr>
                <w:sz w:val="16"/>
              </w:rPr>
              <w:t>05/06/2006</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Irina Yuryevna BURAGA</w:t>
            </w:r>
          </w:p>
          <w:p w:rsidRPr="00C16083" w:rsidR="00960098" w:rsidP="00C16083" w:rsidRDefault="00960098">
            <w:pPr>
              <w:jc w:val="center"/>
              <w:rPr>
                <w:sz w:val="16"/>
              </w:rPr>
            </w:pPr>
            <w:r w:rsidRPr="00C16083">
              <w:rPr>
                <w:sz w:val="16"/>
              </w:rPr>
              <w:t>03/01/1964</w:t>
            </w:r>
          </w:p>
          <w:p w:rsidRPr="00C16083" w:rsidR="00960098" w:rsidP="00C16083" w:rsidRDefault="00960098">
            <w:pPr>
              <w:jc w:val="center"/>
              <w:rPr>
                <w:sz w:val="16"/>
              </w:rPr>
            </w:pPr>
            <w:r w:rsidRPr="00C16083">
              <w:rPr>
                <w:sz w:val="16"/>
              </w:rPr>
              <w:t>Y</w:t>
            </w:r>
            <w:r w:rsidRPr="00C16083" w:rsidR="00960CD3">
              <w:rPr>
                <w:sz w:val="16"/>
              </w:rPr>
              <w:t>ekaterinburg</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CD3">
            <w:pPr>
              <w:jc w:val="center"/>
              <w:rPr>
                <w:sz w:val="16"/>
              </w:rPr>
            </w:pPr>
            <w:r w:rsidRPr="00C16083">
              <w:rPr>
                <w:sz w:val="16"/>
              </w:rPr>
              <w:t>Sergey Vy</w:t>
            </w:r>
            <w:r w:rsidRPr="00C16083" w:rsidR="00960098">
              <w:rPr>
                <w:sz w:val="16"/>
              </w:rPr>
              <w:t>acheslavovich KOLOSOVSKIY</w:t>
            </w:r>
          </w:p>
        </w:tc>
        <w:tc>
          <w:tcPr>
            <w:tcW w:w="2835" w:type="dxa"/>
          </w:tcPr>
          <w:p w:rsidRPr="00C16083" w:rsidR="00843BB9" w:rsidP="00C16083" w:rsidRDefault="00960098">
            <w:pPr>
              <w:rPr>
                <w:sz w:val="16"/>
              </w:rPr>
            </w:pPr>
            <w:r w:rsidRPr="00C16083">
              <w:rPr>
                <w:sz w:val="16"/>
              </w:rPr>
              <w:t>Non-pecuniary damages: EUR 100,000</w:t>
            </w:r>
          </w:p>
          <w:p w:rsidRPr="00C16083" w:rsidR="00960098" w:rsidP="00C16083" w:rsidRDefault="00960098">
            <w:pPr>
              <w:rPr>
                <w:sz w:val="16"/>
              </w:rPr>
            </w:pPr>
          </w:p>
          <w:p w:rsidRPr="00C16083" w:rsidR="00960098" w:rsidP="00C16083" w:rsidRDefault="00960098">
            <w:pPr>
              <w:rPr>
                <w:sz w:val="16"/>
              </w:rPr>
            </w:pPr>
            <w:r w:rsidRPr="00C16083">
              <w:rPr>
                <w:sz w:val="16"/>
              </w:rPr>
              <w:t xml:space="preserve">Costs and legal expenses: </w:t>
            </w:r>
            <w:r w:rsidRPr="00C16083" w:rsidR="00B2593C">
              <w:rPr>
                <w:sz w:val="16"/>
              </w:rPr>
              <w:t>EUR 4,065</w:t>
            </w:r>
            <w:r w:rsidRPr="00C16083" w:rsidR="00843BB9">
              <w:rPr>
                <w:sz w:val="16"/>
              </w:rPr>
              <w:t xml:space="preserve"> </w:t>
            </w:r>
          </w:p>
        </w:tc>
        <w:tc>
          <w:tcPr>
            <w:tcW w:w="2694" w:type="dxa"/>
          </w:tcPr>
          <w:p w:rsidRPr="00C16083" w:rsidR="00DE3091" w:rsidP="00C16083" w:rsidRDefault="00960098">
            <w:pPr>
              <w:rPr>
                <w:sz w:val="16"/>
              </w:rPr>
            </w:pPr>
            <w:r w:rsidRPr="00C16083">
              <w:rPr>
                <w:sz w:val="16"/>
              </w:rPr>
              <w:t>Non-pecuniary damages:</w:t>
            </w:r>
          </w:p>
          <w:p w:rsidRPr="00C16083" w:rsidR="00843BB9" w:rsidP="00C16083" w:rsidRDefault="007C0F7C">
            <w:pPr>
              <w:rPr>
                <w:sz w:val="16"/>
              </w:rPr>
            </w:pPr>
            <w:r w:rsidRPr="00C16083">
              <w:rPr>
                <w:sz w:val="16"/>
              </w:rPr>
              <w:t xml:space="preserve">EUR </w:t>
            </w:r>
            <w:r w:rsidRPr="00C16083" w:rsidR="008F63C7">
              <w:rPr>
                <w:sz w:val="16"/>
              </w:rPr>
              <w:t>1</w:t>
            </w:r>
            <w:r w:rsidRPr="00C16083" w:rsidR="00113ABD">
              <w:rPr>
                <w:sz w:val="16"/>
              </w:rPr>
              <w:t>2</w:t>
            </w:r>
            <w:r w:rsidRPr="00C16083" w:rsidR="008F63C7">
              <w:rPr>
                <w:sz w:val="16"/>
              </w:rPr>
              <w:t>,</w:t>
            </w:r>
            <w:r w:rsidRPr="00C16083" w:rsidR="0066077F">
              <w:rPr>
                <w:sz w:val="16"/>
              </w:rPr>
              <w:t>7</w:t>
            </w:r>
            <w:r w:rsidRPr="00C16083" w:rsidR="00113ABD">
              <w:rPr>
                <w:sz w:val="16"/>
              </w:rPr>
              <w:t>00</w:t>
            </w:r>
            <w:r w:rsidRPr="00C16083" w:rsidR="00FF2DB4">
              <w:rPr>
                <w:sz w:val="16"/>
              </w:rPr>
              <w:t xml:space="preserve"> </w:t>
            </w:r>
            <w:r w:rsidRPr="00C16083" w:rsidR="00580424">
              <w:rPr>
                <w:sz w:val="16"/>
              </w:rPr>
              <w:t>(twelve thousand seven hundred euros)</w:t>
            </w:r>
          </w:p>
          <w:p w:rsidRPr="00C16083" w:rsidR="00B5577D" w:rsidP="00C16083" w:rsidRDefault="00B5577D">
            <w:pPr>
              <w:rPr>
                <w:sz w:val="16"/>
              </w:rPr>
            </w:pPr>
          </w:p>
          <w:p w:rsidRPr="00C16083" w:rsidR="00DE3091" w:rsidP="00C16083" w:rsidRDefault="00960098">
            <w:pPr>
              <w:rPr>
                <w:sz w:val="16"/>
              </w:rPr>
            </w:pPr>
            <w:r w:rsidRPr="00C16083">
              <w:rPr>
                <w:sz w:val="16"/>
              </w:rPr>
              <w:t>Costs and expenses:</w:t>
            </w:r>
          </w:p>
          <w:p w:rsidRPr="00C16083" w:rsidR="00960098" w:rsidP="00C16083" w:rsidRDefault="007C0F7C">
            <w:pPr>
              <w:rPr>
                <w:sz w:val="16"/>
              </w:rPr>
            </w:pPr>
            <w:r w:rsidRPr="00C16083">
              <w:rPr>
                <w:sz w:val="16"/>
              </w:rPr>
              <w:t xml:space="preserve">EUR </w:t>
            </w:r>
            <w:r w:rsidRPr="00C16083" w:rsidR="00113ABD">
              <w:rPr>
                <w:sz w:val="16"/>
              </w:rPr>
              <w:t>3</w:t>
            </w:r>
            <w:r w:rsidRPr="00C16083" w:rsidR="00960098">
              <w:rPr>
                <w:sz w:val="16"/>
              </w:rPr>
              <w:t>,</w:t>
            </w:r>
            <w:r w:rsidRPr="00C16083" w:rsidR="0018585A">
              <w:rPr>
                <w:sz w:val="16"/>
              </w:rPr>
              <w:t>0</w:t>
            </w:r>
            <w:r w:rsidRPr="00C16083" w:rsidR="0023544C">
              <w:rPr>
                <w:sz w:val="16"/>
              </w:rPr>
              <w:t xml:space="preserve">00 </w:t>
            </w:r>
            <w:r w:rsidRPr="00C16083" w:rsidR="00580424">
              <w:rPr>
                <w:sz w:val="16"/>
              </w:rPr>
              <w:t>(three thousand euros)</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26067/08</w:t>
            </w:r>
          </w:p>
          <w:p w:rsidRPr="00C16083" w:rsidR="00960098" w:rsidP="00C16083" w:rsidRDefault="00960098">
            <w:pPr>
              <w:jc w:val="center"/>
              <w:rPr>
                <w:sz w:val="16"/>
              </w:rPr>
            </w:pPr>
            <w:r w:rsidRPr="00C16083">
              <w:rPr>
                <w:sz w:val="16"/>
              </w:rPr>
              <w:t>17/03/2008</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Marina Aleksandrovna BELINSKAYA</w:t>
            </w:r>
          </w:p>
          <w:p w:rsidRPr="00C16083" w:rsidR="00960098" w:rsidP="00C16083" w:rsidRDefault="00960098">
            <w:pPr>
              <w:jc w:val="center"/>
              <w:rPr>
                <w:sz w:val="16"/>
              </w:rPr>
            </w:pPr>
            <w:r w:rsidRPr="00C16083">
              <w:rPr>
                <w:sz w:val="16"/>
              </w:rPr>
              <w:t>18/12/1970</w:t>
            </w:r>
          </w:p>
          <w:p w:rsidRPr="00C16083" w:rsidR="00960098" w:rsidP="00C16083" w:rsidRDefault="00960098">
            <w:pPr>
              <w:jc w:val="center"/>
              <w:rPr>
                <w:sz w:val="16"/>
              </w:rPr>
            </w:pPr>
            <w:r w:rsidRPr="00C16083">
              <w:rPr>
                <w:sz w:val="16"/>
              </w:rPr>
              <w:t>St Petersburg</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Olga Andreyevna STASYUK</w:t>
            </w:r>
          </w:p>
        </w:tc>
        <w:tc>
          <w:tcPr>
            <w:tcW w:w="2835" w:type="dxa"/>
          </w:tcPr>
          <w:p w:rsidRPr="00C16083" w:rsidR="00843BB9" w:rsidP="00C16083" w:rsidRDefault="00960098">
            <w:pPr>
              <w:rPr>
                <w:sz w:val="16"/>
              </w:rPr>
            </w:pPr>
            <w:r w:rsidRPr="00C16083">
              <w:rPr>
                <w:sz w:val="16"/>
              </w:rPr>
              <w:t>Non-pecuniary damages: EUR 100,000</w:t>
            </w:r>
          </w:p>
          <w:p w:rsidRPr="00C16083" w:rsidR="001A5896" w:rsidP="00C16083" w:rsidRDefault="001A5896">
            <w:pPr>
              <w:rPr>
                <w:sz w:val="16"/>
              </w:rPr>
            </w:pPr>
          </w:p>
          <w:p w:rsidRPr="00C16083" w:rsidR="00960098" w:rsidP="00C16083" w:rsidRDefault="00960098">
            <w:pPr>
              <w:rPr>
                <w:sz w:val="16"/>
              </w:rPr>
            </w:pPr>
            <w:r w:rsidRPr="00C16083">
              <w:rPr>
                <w:sz w:val="16"/>
              </w:rPr>
              <w:t>Costs and legal expenses: EUR 10,000</w:t>
            </w:r>
            <w:r w:rsidRPr="00C16083" w:rsidR="00843BB9">
              <w:rPr>
                <w:sz w:val="16"/>
              </w:rPr>
              <w:t xml:space="preserve"> </w:t>
            </w:r>
          </w:p>
        </w:tc>
        <w:tc>
          <w:tcPr>
            <w:tcW w:w="2694" w:type="dxa"/>
          </w:tcPr>
          <w:p w:rsidRPr="00C16083" w:rsidR="00DE3091"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EUR 9,</w:t>
            </w:r>
            <w:r w:rsidRPr="00C16083" w:rsidR="00113ABD">
              <w:rPr>
                <w:sz w:val="16"/>
              </w:rPr>
              <w:t>80</w:t>
            </w:r>
            <w:r w:rsidRPr="00C16083">
              <w:rPr>
                <w:sz w:val="16"/>
              </w:rPr>
              <w:t>0</w:t>
            </w:r>
            <w:r w:rsidRPr="00C16083" w:rsidR="00FF2DB4">
              <w:rPr>
                <w:sz w:val="16"/>
              </w:rPr>
              <w:t xml:space="preserve"> </w:t>
            </w:r>
            <w:r w:rsidRPr="00C16083" w:rsidR="00580424">
              <w:rPr>
                <w:sz w:val="16"/>
              </w:rPr>
              <w:t>(nine thousand eight hundred euros)</w:t>
            </w:r>
          </w:p>
          <w:p w:rsidRPr="00C16083" w:rsidR="00B5577D" w:rsidP="00C16083" w:rsidRDefault="00B5577D">
            <w:pPr>
              <w:rPr>
                <w:sz w:val="16"/>
              </w:rPr>
            </w:pPr>
          </w:p>
          <w:p w:rsidRPr="00C16083" w:rsidR="00DE3091" w:rsidP="00C16083" w:rsidRDefault="00960098">
            <w:pPr>
              <w:rPr>
                <w:sz w:val="16"/>
              </w:rPr>
            </w:pPr>
            <w:r w:rsidRPr="00C16083">
              <w:rPr>
                <w:sz w:val="16"/>
              </w:rPr>
              <w:t>Costs and expenses:</w:t>
            </w:r>
          </w:p>
          <w:p w:rsidRPr="00C16083" w:rsidR="00960098" w:rsidP="00C16083" w:rsidRDefault="00960098">
            <w:pPr>
              <w:rPr>
                <w:sz w:val="16"/>
              </w:rPr>
            </w:pPr>
            <w:r w:rsidRPr="00C16083">
              <w:rPr>
                <w:sz w:val="16"/>
              </w:rPr>
              <w:t>EUR 1,</w:t>
            </w:r>
            <w:r w:rsidRPr="00C16083" w:rsidR="0018585A">
              <w:rPr>
                <w:sz w:val="16"/>
              </w:rPr>
              <w:t>0</w:t>
            </w:r>
            <w:r w:rsidRPr="00C16083">
              <w:rPr>
                <w:sz w:val="16"/>
              </w:rPr>
              <w:t xml:space="preserve">00 </w:t>
            </w:r>
            <w:r w:rsidRPr="00C16083" w:rsidR="00580424">
              <w:rPr>
                <w:sz w:val="16"/>
              </w:rPr>
              <w:t>(one thousand euros)</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58290/08</w:t>
            </w:r>
          </w:p>
          <w:p w:rsidRPr="00C16083" w:rsidR="00960098" w:rsidP="00C16083" w:rsidRDefault="00960098">
            <w:pPr>
              <w:jc w:val="center"/>
              <w:rPr>
                <w:sz w:val="16"/>
              </w:rPr>
            </w:pPr>
            <w:r w:rsidRPr="00C16083">
              <w:rPr>
                <w:sz w:val="16"/>
              </w:rPr>
              <w:t>29/10/2008</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Denis Valerianovich FEDOROV</w:t>
            </w:r>
          </w:p>
          <w:p w:rsidRPr="00C16083" w:rsidR="00960098" w:rsidP="00C16083" w:rsidRDefault="00960098">
            <w:pPr>
              <w:jc w:val="center"/>
              <w:rPr>
                <w:sz w:val="16"/>
              </w:rPr>
            </w:pPr>
            <w:r w:rsidRPr="00C16083">
              <w:rPr>
                <w:sz w:val="16"/>
              </w:rPr>
              <w:t>12/08/1983</w:t>
            </w:r>
          </w:p>
          <w:p w:rsidRPr="00C16083" w:rsidR="00960098" w:rsidP="00C16083" w:rsidRDefault="00960098">
            <w:pPr>
              <w:jc w:val="center"/>
              <w:rPr>
                <w:sz w:val="16"/>
              </w:rPr>
            </w:pPr>
            <w:r w:rsidRPr="00C16083">
              <w:rPr>
                <w:sz w:val="16"/>
              </w:rPr>
              <w:t>Cheboksary</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Aleksey Vladimirovich GLUKHOV</w:t>
            </w:r>
          </w:p>
        </w:tc>
        <w:tc>
          <w:tcPr>
            <w:tcW w:w="2835" w:type="dxa"/>
          </w:tcPr>
          <w:p w:rsidRPr="00C16083" w:rsidR="00843BB9" w:rsidP="00C16083" w:rsidRDefault="00960098">
            <w:pPr>
              <w:rPr>
                <w:sz w:val="16"/>
              </w:rPr>
            </w:pPr>
            <w:r w:rsidRPr="00C16083">
              <w:rPr>
                <w:sz w:val="16"/>
              </w:rPr>
              <w:t>Non-pecuniary damages: EUR 7,14</w:t>
            </w:r>
            <w:r w:rsidRPr="00C16083" w:rsidR="002A69AF">
              <w:rPr>
                <w:sz w:val="16"/>
              </w:rPr>
              <w:t>3</w:t>
            </w:r>
          </w:p>
          <w:p w:rsidRPr="00C16083" w:rsidR="00960098" w:rsidP="00C16083" w:rsidRDefault="00960098">
            <w:pPr>
              <w:rPr>
                <w:sz w:val="16"/>
              </w:rPr>
            </w:pPr>
          </w:p>
          <w:p w:rsidRPr="00C16083" w:rsidR="00960098" w:rsidP="00C16083" w:rsidRDefault="00973DC0">
            <w:pPr>
              <w:rPr>
                <w:sz w:val="16"/>
              </w:rPr>
            </w:pPr>
            <w:r w:rsidRPr="00C16083">
              <w:rPr>
                <w:sz w:val="16"/>
              </w:rPr>
              <w:t>Costs and l</w:t>
            </w:r>
            <w:r w:rsidRPr="00C16083" w:rsidR="00960098">
              <w:rPr>
                <w:sz w:val="16"/>
              </w:rPr>
              <w:t xml:space="preserve">egal </w:t>
            </w:r>
            <w:r w:rsidRPr="00C16083">
              <w:rPr>
                <w:sz w:val="16"/>
              </w:rPr>
              <w:t>expenses</w:t>
            </w:r>
            <w:r w:rsidRPr="00C16083" w:rsidR="00DA2DB6">
              <w:rPr>
                <w:sz w:val="16"/>
              </w:rPr>
              <w:t>:</w:t>
            </w:r>
            <w:r w:rsidRPr="00C16083">
              <w:rPr>
                <w:sz w:val="16"/>
              </w:rPr>
              <w:t xml:space="preserve"> </w:t>
            </w:r>
            <w:r w:rsidRPr="00C16083" w:rsidR="00960098">
              <w:rPr>
                <w:sz w:val="16"/>
              </w:rPr>
              <w:t>EUR 1,070</w:t>
            </w:r>
          </w:p>
          <w:p w:rsidRPr="00C16083" w:rsidR="00960098" w:rsidP="00C16083" w:rsidRDefault="00960098">
            <w:pPr>
              <w:rPr>
                <w:sz w:val="16"/>
              </w:rPr>
            </w:pPr>
          </w:p>
          <w:p w:rsidRPr="00C16083" w:rsidR="00960098" w:rsidP="00C16083" w:rsidRDefault="00960098">
            <w:pPr>
              <w:rPr>
                <w:sz w:val="16"/>
              </w:rPr>
            </w:pPr>
          </w:p>
        </w:tc>
        <w:tc>
          <w:tcPr>
            <w:tcW w:w="2694" w:type="dxa"/>
          </w:tcPr>
          <w:p w:rsidRPr="00C16083" w:rsidR="00DE3091"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EUR</w:t>
            </w:r>
            <w:r w:rsidRPr="00C16083" w:rsidR="00843BB9">
              <w:rPr>
                <w:sz w:val="16"/>
              </w:rPr>
              <w:t xml:space="preserve"> </w:t>
            </w:r>
            <w:r w:rsidRPr="00C16083">
              <w:rPr>
                <w:sz w:val="16"/>
              </w:rPr>
              <w:t>7,</w:t>
            </w:r>
            <w:r w:rsidRPr="00C16083" w:rsidR="002A69AF">
              <w:rPr>
                <w:sz w:val="16"/>
              </w:rPr>
              <w:t>1</w:t>
            </w:r>
            <w:r w:rsidRPr="00C16083" w:rsidR="001E2F14">
              <w:rPr>
                <w:sz w:val="16"/>
              </w:rPr>
              <w:t>00</w:t>
            </w:r>
            <w:r w:rsidRPr="00C16083" w:rsidR="00FF2DB4">
              <w:rPr>
                <w:sz w:val="16"/>
              </w:rPr>
              <w:t xml:space="preserve"> </w:t>
            </w:r>
            <w:r w:rsidRPr="00C16083" w:rsidR="00C655D2">
              <w:rPr>
                <w:sz w:val="16"/>
              </w:rPr>
              <w:t>(seven thousand one hundred euros)</w:t>
            </w:r>
          </w:p>
          <w:p w:rsidRPr="00C16083" w:rsidR="00B5577D" w:rsidP="00C16083" w:rsidRDefault="00B5577D">
            <w:pPr>
              <w:rPr>
                <w:sz w:val="16"/>
              </w:rPr>
            </w:pPr>
          </w:p>
          <w:p w:rsidRPr="00C16083" w:rsidR="00DE3091" w:rsidP="00C16083" w:rsidRDefault="00D13BEF">
            <w:pPr>
              <w:rPr>
                <w:sz w:val="16"/>
              </w:rPr>
            </w:pPr>
            <w:r w:rsidRPr="00C16083">
              <w:rPr>
                <w:sz w:val="16"/>
              </w:rPr>
              <w:t>Costs and expenses</w:t>
            </w:r>
            <w:r w:rsidRPr="00C16083" w:rsidR="00960098">
              <w:rPr>
                <w:sz w:val="16"/>
              </w:rPr>
              <w:t>:</w:t>
            </w:r>
          </w:p>
          <w:p w:rsidRPr="00C16083" w:rsidR="00960098" w:rsidP="00C16083" w:rsidRDefault="00960098">
            <w:pPr>
              <w:rPr>
                <w:sz w:val="16"/>
              </w:rPr>
            </w:pPr>
            <w:r w:rsidRPr="00C16083">
              <w:rPr>
                <w:sz w:val="16"/>
              </w:rPr>
              <w:t>EUR 1,0</w:t>
            </w:r>
            <w:r w:rsidRPr="00C16083" w:rsidR="0018585A">
              <w:rPr>
                <w:sz w:val="16"/>
              </w:rPr>
              <w:t>0</w:t>
            </w:r>
            <w:r w:rsidRPr="00C16083">
              <w:rPr>
                <w:sz w:val="16"/>
              </w:rPr>
              <w:t xml:space="preserve">0 </w:t>
            </w:r>
            <w:r w:rsidRPr="00C16083" w:rsidR="00C655D2">
              <w:rPr>
                <w:sz w:val="16"/>
              </w:rPr>
              <w:t xml:space="preserve">(one thousand euros) </w:t>
            </w:r>
            <w:r w:rsidRPr="00C16083" w:rsidR="00F7646D">
              <w:rPr>
                <w:sz w:val="16"/>
              </w:rPr>
              <w:t>(to be paid to the representative)</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60648/08</w:t>
            </w:r>
          </w:p>
          <w:p w:rsidRPr="00C16083" w:rsidR="00960098" w:rsidP="00C16083" w:rsidRDefault="00960098">
            <w:pPr>
              <w:jc w:val="center"/>
              <w:rPr>
                <w:sz w:val="16"/>
              </w:rPr>
            </w:pPr>
            <w:r w:rsidRPr="00C16083">
              <w:rPr>
                <w:sz w:val="16"/>
              </w:rPr>
              <w:t>01/12/2008</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Irina Aleksandrovna FAST</w:t>
            </w:r>
          </w:p>
          <w:p w:rsidRPr="00C16083" w:rsidR="00960098" w:rsidP="00C16083" w:rsidRDefault="00960098">
            <w:pPr>
              <w:jc w:val="center"/>
              <w:rPr>
                <w:sz w:val="16"/>
              </w:rPr>
            </w:pPr>
            <w:r w:rsidRPr="00C16083">
              <w:rPr>
                <w:sz w:val="16"/>
              </w:rPr>
              <w:t>26/07/1974</w:t>
            </w:r>
          </w:p>
          <w:p w:rsidRPr="00C16083" w:rsidR="00960098" w:rsidP="00C16083" w:rsidRDefault="00960098">
            <w:pPr>
              <w:jc w:val="center"/>
              <w:rPr>
                <w:sz w:val="16"/>
              </w:rPr>
            </w:pPr>
            <w:r w:rsidRPr="00C16083">
              <w:rPr>
                <w:sz w:val="16"/>
              </w:rPr>
              <w:t>Nizhniy Novgorod</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 xml:space="preserve"> </w:t>
            </w:r>
          </w:p>
        </w:tc>
        <w:tc>
          <w:tcPr>
            <w:tcW w:w="2835" w:type="dxa"/>
          </w:tcPr>
          <w:p w:rsidRPr="00C16083" w:rsidR="00843BB9" w:rsidP="00C16083" w:rsidRDefault="00960098">
            <w:pPr>
              <w:rPr>
                <w:sz w:val="16"/>
              </w:rPr>
            </w:pPr>
            <w:r w:rsidRPr="00C16083">
              <w:rPr>
                <w:sz w:val="16"/>
              </w:rPr>
              <w:t>Non-pecuniary damages: EUR 15,000</w:t>
            </w:r>
          </w:p>
          <w:p w:rsidRPr="00C16083" w:rsidR="00960098" w:rsidP="00C16083" w:rsidRDefault="00960098">
            <w:pPr>
              <w:rPr>
                <w:sz w:val="16"/>
              </w:rPr>
            </w:pPr>
          </w:p>
          <w:p w:rsidRPr="00C16083" w:rsidR="00843BB9" w:rsidP="00C16083" w:rsidRDefault="00960098">
            <w:pPr>
              <w:rPr>
                <w:sz w:val="16"/>
              </w:rPr>
            </w:pPr>
            <w:r w:rsidRPr="00C16083">
              <w:rPr>
                <w:sz w:val="16"/>
              </w:rPr>
              <w:t xml:space="preserve">Pecuniary damages: </w:t>
            </w:r>
            <w:r w:rsidRPr="00C16083" w:rsidR="00DA2DB6">
              <w:rPr>
                <w:sz w:val="16"/>
              </w:rPr>
              <w:t xml:space="preserve">EUR </w:t>
            </w:r>
            <w:r w:rsidRPr="00C16083" w:rsidR="00CD5ED2">
              <w:rPr>
                <w:sz w:val="16"/>
              </w:rPr>
              <w:t>5,600</w:t>
            </w:r>
          </w:p>
          <w:p w:rsidRPr="00C16083" w:rsidR="00960098" w:rsidP="00C16083" w:rsidRDefault="00960098">
            <w:pPr>
              <w:rPr>
                <w:sz w:val="16"/>
              </w:rPr>
            </w:pPr>
          </w:p>
          <w:p w:rsidRPr="00C16083" w:rsidR="00960098" w:rsidP="00C16083" w:rsidRDefault="00960098">
            <w:pPr>
              <w:rPr>
                <w:sz w:val="16"/>
              </w:rPr>
            </w:pPr>
            <w:r w:rsidRPr="00C16083">
              <w:rPr>
                <w:sz w:val="16"/>
              </w:rPr>
              <w:t>Costs and legal expenses: EUR 5,470</w:t>
            </w:r>
          </w:p>
        </w:tc>
        <w:tc>
          <w:tcPr>
            <w:tcW w:w="2694" w:type="dxa"/>
          </w:tcPr>
          <w:p w:rsidRPr="00C16083" w:rsidR="00DE3091" w:rsidP="00C16083" w:rsidRDefault="00960098">
            <w:pPr>
              <w:rPr>
                <w:sz w:val="16"/>
              </w:rPr>
            </w:pPr>
            <w:r w:rsidRPr="00C16083">
              <w:rPr>
                <w:sz w:val="16"/>
              </w:rPr>
              <w:t>Non-pecuniary damages:</w:t>
            </w:r>
          </w:p>
          <w:p w:rsidRPr="00C16083" w:rsidR="00C655D2" w:rsidP="00C16083" w:rsidRDefault="00960098">
            <w:pPr>
              <w:rPr>
                <w:sz w:val="16"/>
              </w:rPr>
            </w:pPr>
            <w:r w:rsidRPr="00C16083">
              <w:rPr>
                <w:sz w:val="16"/>
              </w:rPr>
              <w:t xml:space="preserve">EUR </w:t>
            </w:r>
            <w:r w:rsidRPr="00C16083" w:rsidR="007C0F7C">
              <w:rPr>
                <w:sz w:val="16"/>
              </w:rPr>
              <w:t>1</w:t>
            </w:r>
            <w:r w:rsidRPr="00C16083" w:rsidR="001E2F14">
              <w:rPr>
                <w:sz w:val="16"/>
              </w:rPr>
              <w:t>2</w:t>
            </w:r>
            <w:r w:rsidRPr="00C16083" w:rsidR="007C0F7C">
              <w:rPr>
                <w:sz w:val="16"/>
              </w:rPr>
              <w:t>,</w:t>
            </w:r>
            <w:r w:rsidRPr="00C16083" w:rsidR="0066077F">
              <w:rPr>
                <w:sz w:val="16"/>
              </w:rPr>
              <w:t>7</w:t>
            </w:r>
            <w:r w:rsidRPr="00C16083" w:rsidR="001E2F14">
              <w:rPr>
                <w:sz w:val="16"/>
              </w:rPr>
              <w:t>00</w:t>
            </w:r>
            <w:r w:rsidRPr="00C16083" w:rsidR="00FF2DB4">
              <w:rPr>
                <w:sz w:val="16"/>
              </w:rPr>
              <w:t xml:space="preserve"> </w:t>
            </w:r>
            <w:r w:rsidRPr="00C16083" w:rsidR="00C655D2">
              <w:rPr>
                <w:sz w:val="16"/>
              </w:rPr>
              <w:t>(twelve thousand seven hundred euros)</w:t>
            </w:r>
          </w:p>
          <w:p w:rsidRPr="00C16083" w:rsidR="00960098" w:rsidP="00C16083" w:rsidRDefault="00960098">
            <w:pPr>
              <w:rPr>
                <w:sz w:val="16"/>
              </w:rPr>
            </w:pPr>
          </w:p>
          <w:p w:rsidRPr="00C16083" w:rsidR="00960098" w:rsidP="00C16083" w:rsidRDefault="00960098">
            <w:pPr>
              <w:rPr>
                <w:sz w:val="16"/>
              </w:rPr>
            </w:pP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2397/11</w:t>
            </w:r>
          </w:p>
          <w:p w:rsidRPr="00C16083" w:rsidR="00960098" w:rsidP="00C16083" w:rsidRDefault="00960098">
            <w:pPr>
              <w:jc w:val="center"/>
              <w:rPr>
                <w:sz w:val="16"/>
              </w:rPr>
            </w:pPr>
            <w:r w:rsidRPr="00C16083">
              <w:rPr>
                <w:sz w:val="16"/>
              </w:rPr>
              <w:t>21/12/2010</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Aleksandr Vanovich BALYAN</w:t>
            </w:r>
          </w:p>
          <w:p w:rsidRPr="00C16083" w:rsidR="00960098" w:rsidP="00C16083" w:rsidRDefault="00960098">
            <w:pPr>
              <w:jc w:val="center"/>
              <w:rPr>
                <w:sz w:val="16"/>
              </w:rPr>
            </w:pPr>
            <w:r w:rsidRPr="00C16083">
              <w:rPr>
                <w:sz w:val="16"/>
              </w:rPr>
              <w:t>25/12/1969</w:t>
            </w:r>
          </w:p>
          <w:p w:rsidRPr="00C16083" w:rsidR="00960098" w:rsidP="00C16083" w:rsidRDefault="00960098">
            <w:pPr>
              <w:jc w:val="center"/>
              <w:rPr>
                <w:sz w:val="16"/>
              </w:rPr>
            </w:pPr>
            <w:r w:rsidRPr="00C16083">
              <w:rPr>
                <w:sz w:val="16"/>
              </w:rPr>
              <w:t>Novosibirsk</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Sergey Anatolyevich SOKOLOV</w:t>
            </w:r>
          </w:p>
          <w:p w:rsidRPr="00C16083" w:rsidR="00960098" w:rsidP="00C16083" w:rsidRDefault="00960098">
            <w:pPr>
              <w:jc w:val="center"/>
              <w:rPr>
                <w:sz w:val="16"/>
              </w:rPr>
            </w:pPr>
            <w:r w:rsidRPr="00C16083">
              <w:rPr>
                <w:sz w:val="16"/>
              </w:rPr>
              <w:t>07/10/1969</w:t>
            </w:r>
          </w:p>
          <w:p w:rsidRPr="00C16083" w:rsidR="00960098" w:rsidP="00C16083" w:rsidRDefault="00960098">
            <w:pPr>
              <w:jc w:val="center"/>
              <w:rPr>
                <w:sz w:val="16"/>
              </w:rPr>
            </w:pPr>
            <w:r w:rsidRPr="00C16083">
              <w:rPr>
                <w:sz w:val="16"/>
              </w:rPr>
              <w:t>Moscow</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Ruslan Vladislavovich SOLOVYEV</w:t>
            </w:r>
          </w:p>
          <w:p w:rsidRPr="00C16083" w:rsidR="00960098" w:rsidP="00C16083" w:rsidRDefault="00960098">
            <w:pPr>
              <w:jc w:val="center"/>
              <w:rPr>
                <w:sz w:val="16"/>
              </w:rPr>
            </w:pPr>
            <w:r w:rsidRPr="00C16083">
              <w:rPr>
                <w:sz w:val="16"/>
              </w:rPr>
              <w:t>28/04/1975</w:t>
            </w:r>
          </w:p>
          <w:p w:rsidRPr="00C16083" w:rsidR="00960098" w:rsidP="00C16083" w:rsidRDefault="00960098">
            <w:pPr>
              <w:jc w:val="center"/>
              <w:rPr>
                <w:sz w:val="16"/>
              </w:rPr>
            </w:pPr>
            <w:r w:rsidRPr="00C16083">
              <w:rPr>
                <w:sz w:val="16"/>
              </w:rPr>
              <w:t>Cheboksary</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Karinna Akopovna MOSKALENKO</w:t>
            </w:r>
          </w:p>
        </w:tc>
        <w:tc>
          <w:tcPr>
            <w:tcW w:w="2835" w:type="dxa"/>
          </w:tcPr>
          <w:p w:rsidRPr="00C16083" w:rsidR="00843BB9"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first applicant:</w:t>
            </w:r>
          </w:p>
          <w:p w:rsidRPr="00C16083" w:rsidR="00843BB9" w:rsidP="00C16083" w:rsidRDefault="00960098">
            <w:pPr>
              <w:rPr>
                <w:sz w:val="16"/>
              </w:rPr>
            </w:pPr>
            <w:r w:rsidRPr="00C16083">
              <w:rPr>
                <w:sz w:val="16"/>
              </w:rPr>
              <w:t>EUR 15,000</w:t>
            </w:r>
          </w:p>
          <w:p w:rsidRPr="00C16083" w:rsidR="00843BB9" w:rsidP="00C16083" w:rsidRDefault="00960098">
            <w:pPr>
              <w:rPr>
                <w:sz w:val="16"/>
              </w:rPr>
            </w:pPr>
            <w:r w:rsidRPr="00C16083">
              <w:rPr>
                <w:sz w:val="16"/>
              </w:rPr>
              <w:t xml:space="preserve">second </w:t>
            </w:r>
            <w:r w:rsidRPr="00C16083" w:rsidR="00DA2DB6">
              <w:rPr>
                <w:sz w:val="16"/>
              </w:rPr>
              <w:t xml:space="preserve">and third </w:t>
            </w:r>
            <w:r w:rsidRPr="00C16083">
              <w:rPr>
                <w:sz w:val="16"/>
              </w:rPr>
              <w:t>applicant</w:t>
            </w:r>
            <w:r w:rsidRPr="00C16083" w:rsidR="00DA2DB6">
              <w:rPr>
                <w:sz w:val="16"/>
              </w:rPr>
              <w:t>s</w:t>
            </w:r>
            <w:r w:rsidRPr="00C16083">
              <w:rPr>
                <w:sz w:val="16"/>
              </w:rPr>
              <w:t>: EUR 10,000</w:t>
            </w:r>
            <w:r w:rsidRPr="00C16083" w:rsidR="00DA2DB6">
              <w:rPr>
                <w:sz w:val="16"/>
              </w:rPr>
              <w:t xml:space="preserve"> each</w:t>
            </w:r>
          </w:p>
          <w:p w:rsidRPr="00C16083" w:rsidR="00960098" w:rsidP="00C16083" w:rsidRDefault="00960098">
            <w:pPr>
              <w:rPr>
                <w:sz w:val="16"/>
              </w:rPr>
            </w:pPr>
          </w:p>
          <w:p w:rsidRPr="00C16083" w:rsidR="00843BB9" w:rsidP="00C16083" w:rsidRDefault="00960098">
            <w:pPr>
              <w:rPr>
                <w:sz w:val="16"/>
              </w:rPr>
            </w:pPr>
            <w:r w:rsidRPr="00C16083">
              <w:rPr>
                <w:sz w:val="16"/>
              </w:rPr>
              <w:t>Pecuniary damage</w:t>
            </w:r>
            <w:r w:rsidRPr="00C16083" w:rsidR="001A5896">
              <w:rPr>
                <w:sz w:val="16"/>
              </w:rPr>
              <w:t>s</w:t>
            </w:r>
            <w:r w:rsidRPr="00C16083">
              <w:rPr>
                <w:sz w:val="16"/>
              </w:rPr>
              <w:t>: EUR 11,174.37</w:t>
            </w:r>
          </w:p>
          <w:p w:rsidRPr="00C16083" w:rsidR="00960098" w:rsidP="00C16083" w:rsidRDefault="00960098">
            <w:pPr>
              <w:rPr>
                <w:sz w:val="16"/>
              </w:rPr>
            </w:pPr>
          </w:p>
          <w:p w:rsidRPr="00C16083" w:rsidR="00960098" w:rsidP="00C16083" w:rsidRDefault="00960098">
            <w:pPr>
              <w:rPr>
                <w:sz w:val="16"/>
              </w:rPr>
            </w:pPr>
            <w:r w:rsidRPr="00C16083">
              <w:rPr>
                <w:sz w:val="16"/>
              </w:rPr>
              <w:t xml:space="preserve">Costs and legal expenses: </w:t>
            </w:r>
            <w:r w:rsidRPr="00C16083" w:rsidR="00DA2DB6">
              <w:rPr>
                <w:sz w:val="16"/>
              </w:rPr>
              <w:t>EUR 16,029.72</w:t>
            </w:r>
            <w:r w:rsidRPr="00C16083" w:rsidR="00843BB9">
              <w:rPr>
                <w:sz w:val="16"/>
              </w:rPr>
              <w:t xml:space="preserve"> </w:t>
            </w:r>
          </w:p>
        </w:tc>
        <w:tc>
          <w:tcPr>
            <w:tcW w:w="2694" w:type="dxa"/>
          </w:tcPr>
          <w:p w:rsidRPr="00C16083" w:rsidR="00DE3091" w:rsidP="00C16083" w:rsidRDefault="00960098">
            <w:pPr>
              <w:rPr>
                <w:sz w:val="16"/>
              </w:rPr>
            </w:pPr>
            <w:r w:rsidRPr="00C16083">
              <w:rPr>
                <w:sz w:val="16"/>
              </w:rPr>
              <w:t>Non-pecuniary damages:</w:t>
            </w:r>
          </w:p>
          <w:p w:rsidRPr="00C16083" w:rsidR="00C655D2" w:rsidP="00C16083" w:rsidRDefault="00E0516F">
            <w:pPr>
              <w:rPr>
                <w:sz w:val="16"/>
              </w:rPr>
            </w:pPr>
            <w:r w:rsidRPr="00C16083">
              <w:rPr>
                <w:sz w:val="16"/>
              </w:rPr>
              <w:t>EUR 1</w:t>
            </w:r>
            <w:r w:rsidRPr="00C16083" w:rsidR="001E2F14">
              <w:rPr>
                <w:sz w:val="16"/>
              </w:rPr>
              <w:t>2</w:t>
            </w:r>
            <w:r w:rsidRPr="00C16083">
              <w:rPr>
                <w:sz w:val="16"/>
              </w:rPr>
              <w:t>,</w:t>
            </w:r>
            <w:r w:rsidRPr="00C16083" w:rsidR="0066077F">
              <w:rPr>
                <w:sz w:val="16"/>
              </w:rPr>
              <w:t>7</w:t>
            </w:r>
            <w:r w:rsidRPr="00C16083" w:rsidR="001E2F14">
              <w:rPr>
                <w:sz w:val="16"/>
              </w:rPr>
              <w:t>00</w:t>
            </w:r>
            <w:r w:rsidRPr="00C16083" w:rsidR="00160559">
              <w:rPr>
                <w:sz w:val="16"/>
              </w:rPr>
              <w:t xml:space="preserve"> </w:t>
            </w:r>
            <w:r w:rsidRPr="00C16083" w:rsidR="00C655D2">
              <w:rPr>
                <w:sz w:val="16"/>
              </w:rPr>
              <w:t>(twelve thousand seven hundred euros)</w:t>
            </w:r>
            <w:r w:rsidRPr="00C16083" w:rsidR="007B139E">
              <w:rPr>
                <w:sz w:val="16"/>
              </w:rPr>
              <w:t xml:space="preserve"> to each of the applicants</w:t>
            </w:r>
          </w:p>
          <w:p w:rsidRPr="00C16083" w:rsidR="00724B21" w:rsidP="00C16083" w:rsidRDefault="00724B21">
            <w:pPr>
              <w:rPr>
                <w:sz w:val="16"/>
              </w:rPr>
            </w:pPr>
          </w:p>
          <w:p w:rsidRPr="00C16083" w:rsidR="00DE3091" w:rsidP="00C16083" w:rsidRDefault="00960098">
            <w:pPr>
              <w:rPr>
                <w:sz w:val="16"/>
              </w:rPr>
            </w:pPr>
            <w:r w:rsidRPr="00C16083">
              <w:rPr>
                <w:sz w:val="16"/>
              </w:rPr>
              <w:t xml:space="preserve">Costs and </w:t>
            </w:r>
            <w:r w:rsidRPr="00C16083" w:rsidR="00D13BEF">
              <w:rPr>
                <w:sz w:val="16"/>
              </w:rPr>
              <w:t>expenses</w:t>
            </w:r>
            <w:r w:rsidRPr="00C16083">
              <w:rPr>
                <w:sz w:val="16"/>
              </w:rPr>
              <w:t>:</w:t>
            </w:r>
          </w:p>
          <w:p w:rsidRPr="00C16083" w:rsidR="00843BB9" w:rsidP="00C16083" w:rsidRDefault="0018585A">
            <w:pPr>
              <w:rPr>
                <w:sz w:val="16"/>
              </w:rPr>
            </w:pPr>
            <w:r w:rsidRPr="00C16083">
              <w:rPr>
                <w:sz w:val="16"/>
              </w:rPr>
              <w:t xml:space="preserve">EUR </w:t>
            </w:r>
            <w:r w:rsidRPr="00C16083" w:rsidR="001E2F14">
              <w:rPr>
                <w:sz w:val="16"/>
              </w:rPr>
              <w:t>3</w:t>
            </w:r>
            <w:r w:rsidRPr="00C16083">
              <w:rPr>
                <w:sz w:val="16"/>
              </w:rPr>
              <w:t>,000</w:t>
            </w:r>
            <w:r w:rsidRPr="00C16083" w:rsidR="00C655D2">
              <w:rPr>
                <w:sz w:val="16"/>
              </w:rPr>
              <w:t xml:space="preserve"> (three thousand euros)</w:t>
            </w:r>
          </w:p>
          <w:p w:rsidRPr="00C16083" w:rsidR="00960098" w:rsidP="00C16083" w:rsidRDefault="00960098">
            <w:pPr>
              <w:rPr>
                <w:sz w:val="16"/>
              </w:rPr>
            </w:pP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10825/11</w:t>
            </w:r>
          </w:p>
          <w:p w:rsidRPr="00C16083" w:rsidR="00960098" w:rsidP="00C16083" w:rsidRDefault="00960098">
            <w:pPr>
              <w:jc w:val="center"/>
              <w:rPr>
                <w:sz w:val="16"/>
              </w:rPr>
            </w:pPr>
            <w:r w:rsidRPr="00C16083">
              <w:rPr>
                <w:sz w:val="16"/>
              </w:rPr>
              <w:t>10/02/2011</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Aleksey Vladimirovich SILIVANOV</w:t>
            </w:r>
          </w:p>
          <w:p w:rsidRPr="00C16083" w:rsidR="00960098" w:rsidP="00C16083" w:rsidRDefault="00960098">
            <w:pPr>
              <w:jc w:val="center"/>
              <w:rPr>
                <w:sz w:val="16"/>
              </w:rPr>
            </w:pPr>
            <w:r w:rsidRPr="00C16083">
              <w:rPr>
                <w:sz w:val="16"/>
              </w:rPr>
              <w:t>25/04/1977</w:t>
            </w:r>
          </w:p>
          <w:p w:rsidRPr="00C16083" w:rsidR="00960098" w:rsidP="00C16083" w:rsidRDefault="00960098">
            <w:pPr>
              <w:jc w:val="center"/>
              <w:rPr>
                <w:sz w:val="16"/>
              </w:rPr>
            </w:pPr>
            <w:r w:rsidRPr="00C16083">
              <w:rPr>
                <w:sz w:val="16"/>
              </w:rPr>
              <w:t>Yekaterinburg</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Anton Leonidovich BURKOV</w:t>
            </w:r>
          </w:p>
        </w:tc>
        <w:tc>
          <w:tcPr>
            <w:tcW w:w="2835" w:type="dxa"/>
          </w:tcPr>
          <w:p w:rsidRPr="00C16083" w:rsidR="00843BB9" w:rsidP="00C16083" w:rsidRDefault="00960098">
            <w:pPr>
              <w:rPr>
                <w:sz w:val="16"/>
              </w:rPr>
            </w:pPr>
            <w:r w:rsidRPr="00C16083">
              <w:rPr>
                <w:sz w:val="16"/>
              </w:rPr>
              <w:t>Non-pecuniary damages: EUR 5,000</w:t>
            </w:r>
          </w:p>
          <w:p w:rsidRPr="00C16083" w:rsidR="00960098" w:rsidP="00C16083" w:rsidRDefault="00960098">
            <w:pPr>
              <w:rPr>
                <w:sz w:val="16"/>
              </w:rPr>
            </w:pPr>
          </w:p>
          <w:p w:rsidRPr="00C16083" w:rsidR="00960098" w:rsidP="00C16083" w:rsidRDefault="00960098">
            <w:pPr>
              <w:rPr>
                <w:sz w:val="16"/>
              </w:rPr>
            </w:pPr>
            <w:r w:rsidRPr="00C16083">
              <w:rPr>
                <w:sz w:val="16"/>
              </w:rPr>
              <w:t>Costs and legal services: EUR 9,6</w:t>
            </w:r>
            <w:r w:rsidRPr="00C16083" w:rsidR="001A5896">
              <w:rPr>
                <w:sz w:val="16"/>
              </w:rPr>
              <w:t>63</w:t>
            </w:r>
            <w:r w:rsidRPr="00C16083" w:rsidR="00843BB9">
              <w:rPr>
                <w:sz w:val="16"/>
              </w:rPr>
              <w:t xml:space="preserve"> </w:t>
            </w:r>
          </w:p>
        </w:tc>
        <w:tc>
          <w:tcPr>
            <w:tcW w:w="2694" w:type="dxa"/>
          </w:tcPr>
          <w:p w:rsidRPr="00C16083" w:rsidR="00DE3091"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EUR 5,000</w:t>
            </w:r>
            <w:r w:rsidRPr="00C16083" w:rsidR="00FF2DB4">
              <w:rPr>
                <w:sz w:val="16"/>
              </w:rPr>
              <w:t xml:space="preserve"> </w:t>
            </w:r>
            <w:r w:rsidRPr="00C16083" w:rsidR="00C655D2">
              <w:rPr>
                <w:sz w:val="16"/>
              </w:rPr>
              <w:t>(five thousand euros)</w:t>
            </w:r>
          </w:p>
          <w:p w:rsidRPr="00C16083" w:rsidR="00B5577D" w:rsidP="00C16083" w:rsidRDefault="00B5577D">
            <w:pPr>
              <w:rPr>
                <w:sz w:val="16"/>
              </w:rPr>
            </w:pPr>
          </w:p>
          <w:p w:rsidRPr="00C16083" w:rsidR="00DE3091" w:rsidP="00C16083" w:rsidRDefault="00960098">
            <w:pPr>
              <w:rPr>
                <w:sz w:val="16"/>
              </w:rPr>
            </w:pPr>
            <w:r w:rsidRPr="00C16083">
              <w:rPr>
                <w:sz w:val="16"/>
              </w:rPr>
              <w:t xml:space="preserve">Costs and </w:t>
            </w:r>
            <w:r w:rsidRPr="00C16083" w:rsidR="00D13BEF">
              <w:rPr>
                <w:sz w:val="16"/>
              </w:rPr>
              <w:t>expenses</w:t>
            </w:r>
            <w:r w:rsidRPr="00C16083">
              <w:rPr>
                <w:sz w:val="16"/>
              </w:rPr>
              <w:t>:</w:t>
            </w:r>
          </w:p>
          <w:p w:rsidRPr="00C16083" w:rsidR="00960098" w:rsidP="00C16083" w:rsidRDefault="00960098">
            <w:pPr>
              <w:rPr>
                <w:sz w:val="16"/>
              </w:rPr>
            </w:pPr>
            <w:r w:rsidRPr="00C16083">
              <w:rPr>
                <w:sz w:val="16"/>
              </w:rPr>
              <w:t xml:space="preserve">EUR </w:t>
            </w:r>
            <w:r w:rsidRPr="00C16083" w:rsidR="0018585A">
              <w:rPr>
                <w:sz w:val="16"/>
              </w:rPr>
              <w:t>1,000</w:t>
            </w:r>
            <w:r w:rsidRPr="00C16083">
              <w:rPr>
                <w:sz w:val="16"/>
              </w:rPr>
              <w:t xml:space="preserve"> </w:t>
            </w:r>
            <w:r w:rsidRPr="00C16083" w:rsidR="00C655D2">
              <w:rPr>
                <w:sz w:val="16"/>
              </w:rPr>
              <w:t>(one thousand euros)</w:t>
            </w:r>
          </w:p>
          <w:p w:rsidRPr="00C16083" w:rsidR="00B5577D" w:rsidP="00C16083" w:rsidRDefault="00B5577D">
            <w:pPr>
              <w:rPr>
                <w:sz w:val="16"/>
              </w:rPr>
            </w:pP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14244/11</w:t>
            </w:r>
          </w:p>
          <w:p w:rsidRPr="00C16083" w:rsidR="00960098" w:rsidP="00C16083" w:rsidRDefault="00960098">
            <w:pPr>
              <w:jc w:val="center"/>
              <w:rPr>
                <w:sz w:val="16"/>
              </w:rPr>
            </w:pPr>
            <w:r w:rsidRPr="00C16083">
              <w:rPr>
                <w:sz w:val="16"/>
              </w:rPr>
              <w:t>05/02/2011</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Marina Aleksandrovna BELINSKAYA</w:t>
            </w:r>
          </w:p>
          <w:p w:rsidRPr="00C16083" w:rsidR="00960098" w:rsidP="00C16083" w:rsidRDefault="00960098">
            <w:pPr>
              <w:jc w:val="center"/>
              <w:rPr>
                <w:sz w:val="16"/>
              </w:rPr>
            </w:pPr>
            <w:r w:rsidRPr="00C16083">
              <w:rPr>
                <w:sz w:val="16"/>
              </w:rPr>
              <w:t>18/12/1970</w:t>
            </w:r>
          </w:p>
          <w:p w:rsidRPr="00C16083" w:rsidR="00960098" w:rsidP="00C16083" w:rsidRDefault="00960098">
            <w:pPr>
              <w:jc w:val="center"/>
              <w:rPr>
                <w:sz w:val="16"/>
              </w:rPr>
            </w:pPr>
            <w:r w:rsidRPr="00C16083">
              <w:rPr>
                <w:sz w:val="16"/>
              </w:rPr>
              <w:t>St Petersburg</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Nikita Nikolayevich SOKOLOV</w:t>
            </w:r>
          </w:p>
          <w:p w:rsidRPr="00C16083" w:rsidR="00960098" w:rsidP="00C16083" w:rsidRDefault="00960098">
            <w:pPr>
              <w:jc w:val="center"/>
              <w:rPr>
                <w:sz w:val="16"/>
              </w:rPr>
            </w:pPr>
            <w:r w:rsidRPr="00C16083">
              <w:rPr>
                <w:sz w:val="16"/>
              </w:rPr>
              <w:t>15/05/1977</w:t>
            </w:r>
          </w:p>
          <w:p w:rsidRPr="00C16083" w:rsidR="00960098" w:rsidP="00C16083" w:rsidRDefault="00960098">
            <w:pPr>
              <w:jc w:val="center"/>
              <w:rPr>
                <w:sz w:val="16"/>
              </w:rPr>
            </w:pPr>
            <w:r w:rsidRPr="00C16083">
              <w:rPr>
                <w:sz w:val="16"/>
              </w:rPr>
              <w:t>St Petersburg</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Valeriy Vasilyevich BURYKIN</w:t>
            </w:r>
          </w:p>
          <w:p w:rsidRPr="00C16083" w:rsidR="00960098" w:rsidP="00C16083" w:rsidRDefault="00960098">
            <w:pPr>
              <w:jc w:val="center"/>
              <w:rPr>
                <w:sz w:val="16"/>
              </w:rPr>
            </w:pPr>
            <w:r w:rsidRPr="00C16083">
              <w:rPr>
                <w:sz w:val="16"/>
              </w:rPr>
              <w:t>02/12/1953</w:t>
            </w:r>
          </w:p>
          <w:p w:rsidRPr="00C16083" w:rsidR="00960098" w:rsidP="00C16083" w:rsidRDefault="00960098">
            <w:pPr>
              <w:jc w:val="center"/>
              <w:rPr>
                <w:sz w:val="16"/>
              </w:rPr>
            </w:pPr>
            <w:r w:rsidRPr="00C16083">
              <w:rPr>
                <w:sz w:val="16"/>
              </w:rPr>
              <w:t>Markovo</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Oleg Yuryevich MAKOVOZ</w:t>
            </w:r>
          </w:p>
          <w:p w:rsidRPr="00C16083" w:rsidR="00960098" w:rsidP="00C16083" w:rsidRDefault="00960098">
            <w:pPr>
              <w:jc w:val="center"/>
              <w:rPr>
                <w:sz w:val="16"/>
              </w:rPr>
            </w:pPr>
            <w:r w:rsidRPr="00C16083">
              <w:rPr>
                <w:sz w:val="16"/>
              </w:rPr>
              <w:t>10/08/1968</w:t>
            </w:r>
          </w:p>
          <w:p w:rsidRPr="00C16083" w:rsidR="00960098" w:rsidP="00C16083" w:rsidRDefault="00960098">
            <w:pPr>
              <w:jc w:val="center"/>
              <w:rPr>
                <w:sz w:val="16"/>
              </w:rPr>
            </w:pPr>
            <w:r w:rsidRPr="00C16083">
              <w:rPr>
                <w:sz w:val="16"/>
              </w:rPr>
              <w:t>St-Petersbourg</w:t>
            </w:r>
          </w:p>
          <w:p w:rsidRPr="00C16083" w:rsidR="00960098" w:rsidP="00C16083" w:rsidRDefault="00960098">
            <w:pPr>
              <w:jc w:val="center"/>
              <w:rPr>
                <w:sz w:val="16"/>
              </w:rPr>
            </w:pPr>
          </w:p>
        </w:tc>
        <w:tc>
          <w:tcPr>
            <w:tcW w:w="2973" w:type="dxa"/>
          </w:tcPr>
          <w:p w:rsidRPr="00C16083" w:rsidR="00843BB9" w:rsidP="00C16083" w:rsidRDefault="00960098">
            <w:pPr>
              <w:jc w:val="center"/>
              <w:rPr>
                <w:sz w:val="16"/>
              </w:rPr>
            </w:pPr>
            <w:r w:rsidRPr="00C16083">
              <w:rPr>
                <w:sz w:val="16"/>
              </w:rPr>
              <w:t>Tatyana Fedorovna KLYKOVA</w:t>
            </w:r>
          </w:p>
          <w:p w:rsidRPr="00C16083" w:rsidR="00843BB9" w:rsidP="00C16083" w:rsidRDefault="00960098">
            <w:pPr>
              <w:jc w:val="center"/>
              <w:rPr>
                <w:sz w:val="16"/>
              </w:rPr>
            </w:pPr>
            <w:r w:rsidRPr="00C16083">
              <w:rPr>
                <w:sz w:val="16"/>
              </w:rPr>
              <w:t>(representing the first, third and fourth applicants)</w:t>
            </w:r>
          </w:p>
          <w:p w:rsidRPr="00C16083" w:rsidR="00960098" w:rsidP="00C16083" w:rsidRDefault="00960098">
            <w:pPr>
              <w:jc w:val="center"/>
              <w:rPr>
                <w:sz w:val="16"/>
              </w:rPr>
            </w:pPr>
          </w:p>
          <w:p w:rsidRPr="00C16083" w:rsidR="00843BB9" w:rsidP="00C16083" w:rsidRDefault="00960098">
            <w:pPr>
              <w:jc w:val="center"/>
              <w:rPr>
                <w:sz w:val="16"/>
              </w:rPr>
            </w:pPr>
            <w:r w:rsidRPr="00C16083">
              <w:rPr>
                <w:sz w:val="16"/>
              </w:rPr>
              <w:t>Maksim</w:t>
            </w:r>
          </w:p>
          <w:p w:rsidRPr="00C16083" w:rsidR="00960098" w:rsidP="00C16083" w:rsidRDefault="00960098">
            <w:pPr>
              <w:jc w:val="center"/>
              <w:rPr>
                <w:sz w:val="16"/>
              </w:rPr>
            </w:pPr>
            <w:r w:rsidRPr="00C16083">
              <w:rPr>
                <w:sz w:val="16"/>
              </w:rPr>
              <w:t>Vladimirovich</w:t>
            </w:r>
          </w:p>
          <w:p w:rsidRPr="00C16083" w:rsidR="00960098" w:rsidP="00C16083" w:rsidRDefault="00960098">
            <w:pPr>
              <w:jc w:val="center"/>
              <w:rPr>
                <w:sz w:val="16"/>
              </w:rPr>
            </w:pPr>
            <w:r w:rsidRPr="00C16083">
              <w:rPr>
                <w:sz w:val="16"/>
              </w:rPr>
              <w:t>SEMENOV</w:t>
            </w:r>
          </w:p>
          <w:p w:rsidRPr="00C16083" w:rsidR="00960098" w:rsidP="00C16083" w:rsidRDefault="00960098">
            <w:pPr>
              <w:jc w:val="center"/>
              <w:rPr>
                <w:sz w:val="16"/>
              </w:rPr>
            </w:pPr>
            <w:r w:rsidRPr="00C16083">
              <w:rPr>
                <w:sz w:val="16"/>
              </w:rPr>
              <w:t>(representing the second applicant)</w:t>
            </w:r>
          </w:p>
        </w:tc>
        <w:tc>
          <w:tcPr>
            <w:tcW w:w="2835" w:type="dxa"/>
          </w:tcPr>
          <w:p w:rsidRPr="00C16083" w:rsidR="00960098" w:rsidP="00C16083" w:rsidRDefault="00960098">
            <w:pPr>
              <w:rPr>
                <w:sz w:val="16"/>
              </w:rPr>
            </w:pPr>
          </w:p>
        </w:tc>
        <w:tc>
          <w:tcPr>
            <w:tcW w:w="2694" w:type="dxa"/>
          </w:tcPr>
          <w:p w:rsidRPr="00C16083" w:rsidR="00960098" w:rsidP="00C16083" w:rsidRDefault="00960098">
            <w:pPr>
              <w:rPr>
                <w:sz w:val="16"/>
              </w:rPr>
            </w:pP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78187/11</w:t>
            </w:r>
          </w:p>
          <w:p w:rsidRPr="00C16083" w:rsidR="00960098" w:rsidP="00C16083" w:rsidRDefault="00960098">
            <w:pPr>
              <w:jc w:val="center"/>
              <w:rPr>
                <w:sz w:val="16"/>
              </w:rPr>
            </w:pPr>
            <w:r w:rsidRPr="00C16083">
              <w:rPr>
                <w:sz w:val="16"/>
              </w:rPr>
              <w:t>07/12/2011</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Tatyana Aleksandrovna BULYCHEVA</w:t>
            </w:r>
          </w:p>
          <w:p w:rsidRPr="00C16083" w:rsidR="00960098" w:rsidP="00C16083" w:rsidRDefault="00960098">
            <w:pPr>
              <w:jc w:val="center"/>
              <w:rPr>
                <w:sz w:val="16"/>
              </w:rPr>
            </w:pPr>
            <w:r w:rsidRPr="00C16083">
              <w:rPr>
                <w:sz w:val="16"/>
              </w:rPr>
              <w:t>07/10/1983</w:t>
            </w:r>
          </w:p>
          <w:p w:rsidRPr="00C16083" w:rsidR="00960098" w:rsidP="00C16083" w:rsidRDefault="00960098">
            <w:pPr>
              <w:jc w:val="center"/>
              <w:rPr>
                <w:sz w:val="16"/>
              </w:rPr>
            </w:pPr>
            <w:r w:rsidRPr="00C16083">
              <w:rPr>
                <w:sz w:val="16"/>
              </w:rPr>
              <w:t>Khabarovsk</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 xml:space="preserve"> </w:t>
            </w:r>
          </w:p>
        </w:tc>
        <w:tc>
          <w:tcPr>
            <w:tcW w:w="2835" w:type="dxa"/>
          </w:tcPr>
          <w:p w:rsidRPr="00C16083" w:rsidR="00843BB9" w:rsidP="00C16083" w:rsidRDefault="00960098">
            <w:pPr>
              <w:rPr>
                <w:sz w:val="16"/>
              </w:rPr>
            </w:pPr>
            <w:r w:rsidRPr="00C16083">
              <w:rPr>
                <w:sz w:val="16"/>
              </w:rPr>
              <w:t>Non-pecuniary damages: EUR 2,000</w:t>
            </w:r>
          </w:p>
          <w:p w:rsidRPr="00C16083" w:rsidR="00960098" w:rsidP="00C16083" w:rsidRDefault="00960098">
            <w:pPr>
              <w:rPr>
                <w:sz w:val="16"/>
              </w:rPr>
            </w:pPr>
          </w:p>
        </w:tc>
        <w:tc>
          <w:tcPr>
            <w:tcW w:w="2694" w:type="dxa"/>
          </w:tcPr>
          <w:p w:rsidRPr="00C16083" w:rsidR="00DE3091" w:rsidP="00C16083" w:rsidRDefault="00960098">
            <w:pPr>
              <w:rPr>
                <w:sz w:val="16"/>
              </w:rPr>
            </w:pPr>
            <w:r w:rsidRPr="00C16083">
              <w:rPr>
                <w:sz w:val="16"/>
              </w:rPr>
              <w:t>Non-pecuniary damages:</w:t>
            </w:r>
          </w:p>
          <w:p w:rsidRPr="00C16083" w:rsidR="00C73318" w:rsidP="00C16083" w:rsidRDefault="00960098">
            <w:pPr>
              <w:rPr>
                <w:sz w:val="16"/>
              </w:rPr>
            </w:pPr>
            <w:r w:rsidRPr="00C16083">
              <w:rPr>
                <w:sz w:val="16"/>
              </w:rPr>
              <w:t>EUR 2,000</w:t>
            </w:r>
            <w:r w:rsidRPr="00C16083" w:rsidR="00FF2DB4">
              <w:rPr>
                <w:sz w:val="16"/>
              </w:rPr>
              <w:t xml:space="preserve"> </w:t>
            </w:r>
            <w:r w:rsidRPr="00C16083" w:rsidR="00C73318">
              <w:rPr>
                <w:sz w:val="16"/>
              </w:rPr>
              <w:t>(two thousand euros)</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18403/13</w:t>
            </w:r>
          </w:p>
          <w:p w:rsidRPr="00C16083" w:rsidR="00960098" w:rsidP="00C16083" w:rsidRDefault="00960098">
            <w:pPr>
              <w:jc w:val="center"/>
              <w:rPr>
                <w:sz w:val="16"/>
              </w:rPr>
            </w:pPr>
            <w:r w:rsidRPr="00C16083">
              <w:rPr>
                <w:sz w:val="16"/>
              </w:rPr>
              <w:t>26/02/2013</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Olesya Petrovna MOISEYEVA</w:t>
            </w:r>
          </w:p>
          <w:p w:rsidRPr="00C16083" w:rsidR="00960098" w:rsidP="00C16083" w:rsidRDefault="00960098">
            <w:pPr>
              <w:jc w:val="center"/>
              <w:rPr>
                <w:sz w:val="16"/>
              </w:rPr>
            </w:pPr>
            <w:r w:rsidRPr="00C16083">
              <w:rPr>
                <w:sz w:val="16"/>
              </w:rPr>
              <w:t>28/08/1973</w:t>
            </w:r>
          </w:p>
          <w:p w:rsidRPr="00C16083" w:rsidR="00960098" w:rsidP="00C16083" w:rsidRDefault="00960098">
            <w:pPr>
              <w:jc w:val="center"/>
              <w:rPr>
                <w:sz w:val="16"/>
              </w:rPr>
            </w:pPr>
            <w:r w:rsidRPr="00C16083">
              <w:rPr>
                <w:sz w:val="16"/>
              </w:rPr>
              <w:t>Vladivostok</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 xml:space="preserve"> </w:t>
            </w:r>
          </w:p>
        </w:tc>
        <w:tc>
          <w:tcPr>
            <w:tcW w:w="2835" w:type="dxa"/>
          </w:tcPr>
          <w:p w:rsidRPr="00C16083" w:rsidR="00960098" w:rsidP="00C16083" w:rsidRDefault="00960098">
            <w:pPr>
              <w:rPr>
                <w:sz w:val="16"/>
              </w:rPr>
            </w:pPr>
            <w:r w:rsidRPr="00C16083">
              <w:rPr>
                <w:sz w:val="16"/>
              </w:rPr>
              <w:t xml:space="preserve">Non-pecuniary damages: EUR 100,000 </w:t>
            </w:r>
          </w:p>
        </w:tc>
        <w:tc>
          <w:tcPr>
            <w:tcW w:w="2694" w:type="dxa"/>
          </w:tcPr>
          <w:p w:rsidRPr="00C16083" w:rsidR="00DE3091"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EUR 9,</w:t>
            </w:r>
            <w:r w:rsidRPr="00C16083" w:rsidR="001E2F14">
              <w:rPr>
                <w:sz w:val="16"/>
              </w:rPr>
              <w:t>80</w:t>
            </w:r>
            <w:r w:rsidRPr="00C16083">
              <w:rPr>
                <w:sz w:val="16"/>
              </w:rPr>
              <w:t>0</w:t>
            </w:r>
            <w:r w:rsidRPr="00C16083" w:rsidR="00C655D2">
              <w:rPr>
                <w:sz w:val="16"/>
              </w:rPr>
              <w:t xml:space="preserve"> (nine thousand eight hundred euros)</w:t>
            </w:r>
            <w:r w:rsidRPr="00C16083">
              <w:rPr>
                <w:sz w:val="16"/>
              </w:rPr>
              <w:t xml:space="preserve"> </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73629/13</w:t>
            </w:r>
          </w:p>
          <w:p w:rsidRPr="00C16083" w:rsidR="00960098" w:rsidP="00C16083" w:rsidRDefault="00960098">
            <w:pPr>
              <w:jc w:val="center"/>
              <w:rPr>
                <w:sz w:val="16"/>
              </w:rPr>
            </w:pPr>
            <w:r w:rsidRPr="00C16083">
              <w:rPr>
                <w:sz w:val="16"/>
              </w:rPr>
              <w:t>30/10/2013</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Sergey Vilyevich MEZENTSEV</w:t>
            </w:r>
          </w:p>
          <w:p w:rsidRPr="00C16083" w:rsidR="00960098" w:rsidP="00C16083" w:rsidRDefault="00960098">
            <w:pPr>
              <w:jc w:val="center"/>
              <w:rPr>
                <w:sz w:val="16"/>
              </w:rPr>
            </w:pPr>
            <w:r w:rsidRPr="00C16083">
              <w:rPr>
                <w:sz w:val="16"/>
              </w:rPr>
              <w:t>10/01/1975</w:t>
            </w:r>
          </w:p>
          <w:p w:rsidRPr="00C16083" w:rsidR="00960098" w:rsidP="00C16083" w:rsidRDefault="00960098">
            <w:pPr>
              <w:jc w:val="center"/>
              <w:rPr>
                <w:sz w:val="16"/>
              </w:rPr>
            </w:pPr>
            <w:r w:rsidRPr="00C16083">
              <w:rPr>
                <w:sz w:val="16"/>
              </w:rPr>
              <w:t>Orsk</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 xml:space="preserve"> </w:t>
            </w:r>
          </w:p>
        </w:tc>
        <w:tc>
          <w:tcPr>
            <w:tcW w:w="2835" w:type="dxa"/>
          </w:tcPr>
          <w:p w:rsidRPr="00C16083" w:rsidR="00960098" w:rsidP="00C16083" w:rsidRDefault="00960098">
            <w:pPr>
              <w:rPr>
                <w:sz w:val="16"/>
              </w:rPr>
            </w:pPr>
            <w:r w:rsidRPr="00C16083">
              <w:rPr>
                <w:sz w:val="16"/>
              </w:rPr>
              <w:t>Non-pecuniary damages: EUR 50,000</w:t>
            </w:r>
          </w:p>
        </w:tc>
        <w:tc>
          <w:tcPr>
            <w:tcW w:w="2694" w:type="dxa"/>
          </w:tcPr>
          <w:p w:rsidRPr="00C16083" w:rsidR="00DE3091"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EUR 9,</w:t>
            </w:r>
            <w:r w:rsidRPr="00C16083" w:rsidR="001E2F14">
              <w:rPr>
                <w:sz w:val="16"/>
              </w:rPr>
              <w:t>80</w:t>
            </w:r>
            <w:r w:rsidRPr="00C16083">
              <w:rPr>
                <w:sz w:val="16"/>
              </w:rPr>
              <w:t>0</w:t>
            </w:r>
            <w:r w:rsidRPr="00C16083" w:rsidR="00C655D2">
              <w:rPr>
                <w:sz w:val="16"/>
              </w:rPr>
              <w:t xml:space="preserve"> (nine thousand eight hundred euros)</w:t>
            </w:r>
            <w:r w:rsidRPr="00C16083">
              <w:rPr>
                <w:sz w:val="16"/>
              </w:rPr>
              <w:t xml:space="preserve"> </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7101/15</w:t>
            </w:r>
          </w:p>
          <w:p w:rsidRPr="00C16083" w:rsidR="00960098" w:rsidP="00C16083" w:rsidRDefault="00960098">
            <w:pPr>
              <w:jc w:val="center"/>
              <w:rPr>
                <w:sz w:val="16"/>
              </w:rPr>
            </w:pPr>
            <w:r w:rsidRPr="00C16083">
              <w:rPr>
                <w:sz w:val="16"/>
              </w:rPr>
              <w:t>27/01/2015</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Konstantin Viktorovich LAZUTKIN</w:t>
            </w:r>
          </w:p>
          <w:p w:rsidRPr="00C16083" w:rsidR="00960098" w:rsidP="00C16083" w:rsidRDefault="00960098">
            <w:pPr>
              <w:jc w:val="center"/>
              <w:rPr>
                <w:sz w:val="16"/>
              </w:rPr>
            </w:pPr>
            <w:r w:rsidRPr="00C16083">
              <w:rPr>
                <w:sz w:val="16"/>
              </w:rPr>
              <w:t>15/05/1974</w:t>
            </w:r>
          </w:p>
          <w:p w:rsidRPr="00C16083" w:rsidR="00960098" w:rsidP="00C16083" w:rsidRDefault="00960098">
            <w:pPr>
              <w:jc w:val="center"/>
              <w:rPr>
                <w:sz w:val="16"/>
              </w:rPr>
            </w:pPr>
            <w:r w:rsidRPr="00C16083">
              <w:rPr>
                <w:sz w:val="16"/>
              </w:rPr>
              <w:t>Yekaterinburg</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Konstantin Gennadyevich KRASILNIKOV</w:t>
            </w:r>
          </w:p>
        </w:tc>
        <w:tc>
          <w:tcPr>
            <w:tcW w:w="2835" w:type="dxa"/>
          </w:tcPr>
          <w:p w:rsidRPr="00C16083" w:rsidR="00843BB9" w:rsidP="00C16083" w:rsidRDefault="00960098">
            <w:pPr>
              <w:rPr>
                <w:sz w:val="16"/>
              </w:rPr>
            </w:pPr>
            <w:r w:rsidRPr="00C16083">
              <w:rPr>
                <w:sz w:val="16"/>
              </w:rPr>
              <w:t>Non-pecuniary damages: EUR 5,000</w:t>
            </w:r>
          </w:p>
          <w:p w:rsidRPr="00C16083" w:rsidR="00843BB9" w:rsidP="00C16083" w:rsidRDefault="00843BB9">
            <w:pPr>
              <w:rPr>
                <w:sz w:val="16"/>
              </w:rPr>
            </w:pPr>
          </w:p>
          <w:p w:rsidRPr="00C16083" w:rsidR="00960098" w:rsidP="00C16083" w:rsidRDefault="00960098">
            <w:pPr>
              <w:rPr>
                <w:sz w:val="16"/>
              </w:rPr>
            </w:pPr>
            <w:r w:rsidRPr="00C16083">
              <w:rPr>
                <w:sz w:val="16"/>
              </w:rPr>
              <w:t>Costs and legal expenses</w:t>
            </w:r>
            <w:r w:rsidRPr="00C16083" w:rsidR="001A5896">
              <w:rPr>
                <w:sz w:val="16"/>
              </w:rPr>
              <w:t>:</w:t>
            </w:r>
            <w:r w:rsidRPr="00C16083">
              <w:rPr>
                <w:sz w:val="16"/>
              </w:rPr>
              <w:t xml:space="preserve"> EUR 1,222</w:t>
            </w:r>
            <w:r w:rsidRPr="00C16083" w:rsidR="00843BB9">
              <w:rPr>
                <w:sz w:val="16"/>
              </w:rPr>
              <w:t xml:space="preserve"> </w:t>
            </w:r>
          </w:p>
        </w:tc>
        <w:tc>
          <w:tcPr>
            <w:tcW w:w="2694" w:type="dxa"/>
          </w:tcPr>
          <w:p w:rsidRPr="00C16083" w:rsidR="00DE3091" w:rsidP="00C16083" w:rsidRDefault="00960098">
            <w:pPr>
              <w:rPr>
                <w:sz w:val="16"/>
              </w:rPr>
            </w:pPr>
            <w:r w:rsidRPr="00C16083">
              <w:rPr>
                <w:sz w:val="16"/>
              </w:rPr>
              <w:t>Non-pecuniary damages:</w:t>
            </w:r>
          </w:p>
          <w:p w:rsidRPr="00C16083" w:rsidR="007B139E" w:rsidP="00C16083" w:rsidRDefault="00FF2DB4">
            <w:pPr>
              <w:rPr>
                <w:sz w:val="16"/>
              </w:rPr>
            </w:pPr>
            <w:r w:rsidRPr="00C16083">
              <w:rPr>
                <w:sz w:val="16"/>
              </w:rPr>
              <w:t xml:space="preserve">EUR 5,000 </w:t>
            </w:r>
            <w:r w:rsidRPr="00C16083" w:rsidR="007B139E">
              <w:rPr>
                <w:sz w:val="16"/>
              </w:rPr>
              <w:t>(five thousand euros)</w:t>
            </w:r>
          </w:p>
          <w:p w:rsidRPr="00C16083" w:rsidR="00B5577D" w:rsidP="00C16083" w:rsidRDefault="00B5577D">
            <w:pPr>
              <w:rPr>
                <w:sz w:val="16"/>
              </w:rPr>
            </w:pPr>
          </w:p>
          <w:p w:rsidRPr="00C16083" w:rsidR="00DE3091" w:rsidP="00C16083" w:rsidRDefault="00960098">
            <w:pPr>
              <w:rPr>
                <w:sz w:val="16"/>
              </w:rPr>
            </w:pPr>
            <w:r w:rsidRPr="00C16083">
              <w:rPr>
                <w:sz w:val="16"/>
              </w:rPr>
              <w:t>Costs and expenses:</w:t>
            </w:r>
          </w:p>
          <w:p w:rsidRPr="00C16083" w:rsidR="00DE3091" w:rsidP="00C16083" w:rsidRDefault="00960098">
            <w:pPr>
              <w:rPr>
                <w:sz w:val="16"/>
              </w:rPr>
            </w:pPr>
            <w:r w:rsidRPr="00C16083">
              <w:rPr>
                <w:sz w:val="16"/>
              </w:rPr>
              <w:t>EUR 1,</w:t>
            </w:r>
            <w:r w:rsidRPr="00C16083" w:rsidR="0018585A">
              <w:rPr>
                <w:sz w:val="16"/>
              </w:rPr>
              <w:t>000</w:t>
            </w:r>
            <w:r w:rsidRPr="00C16083" w:rsidR="007B139E">
              <w:rPr>
                <w:sz w:val="16"/>
              </w:rPr>
              <w:t xml:space="preserve"> (one thousand euros)</w:t>
            </w:r>
          </w:p>
          <w:p w:rsidRPr="00C16083" w:rsidR="00B5577D" w:rsidP="00C16083" w:rsidRDefault="00B5577D">
            <w:pPr>
              <w:rPr>
                <w:sz w:val="16"/>
              </w:rPr>
            </w:pP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29786/15</w:t>
            </w:r>
          </w:p>
          <w:p w:rsidRPr="00C16083" w:rsidR="00960098" w:rsidP="00C16083" w:rsidRDefault="00960098">
            <w:pPr>
              <w:jc w:val="center"/>
              <w:rPr>
                <w:sz w:val="16"/>
              </w:rPr>
            </w:pPr>
            <w:r w:rsidRPr="00C16083">
              <w:rPr>
                <w:sz w:val="16"/>
              </w:rPr>
              <w:t>02/06/2015</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Vladimir Vladimirovich PARNACHEV</w:t>
            </w:r>
          </w:p>
          <w:p w:rsidRPr="00C16083" w:rsidR="00960098" w:rsidP="00C16083" w:rsidRDefault="00960098">
            <w:pPr>
              <w:jc w:val="center"/>
              <w:rPr>
                <w:sz w:val="16"/>
              </w:rPr>
            </w:pPr>
            <w:r w:rsidRPr="00C16083">
              <w:rPr>
                <w:sz w:val="16"/>
              </w:rPr>
              <w:t>27/03/1973</w:t>
            </w:r>
          </w:p>
          <w:p w:rsidRPr="00C16083" w:rsidR="00960098" w:rsidP="00C16083" w:rsidRDefault="00960098">
            <w:pPr>
              <w:jc w:val="center"/>
              <w:rPr>
                <w:sz w:val="16"/>
              </w:rPr>
            </w:pPr>
            <w:r w:rsidRPr="00C16083">
              <w:rPr>
                <w:sz w:val="16"/>
              </w:rPr>
              <w:t>Novosibirsk</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Viktor Viktorovich PROKHOROV</w:t>
            </w:r>
          </w:p>
          <w:p w:rsidRPr="00C16083" w:rsidR="00960098" w:rsidP="00C16083" w:rsidRDefault="00960098">
            <w:pPr>
              <w:jc w:val="center"/>
              <w:rPr>
                <w:sz w:val="16"/>
              </w:rPr>
            </w:pPr>
            <w:r w:rsidRPr="00C16083">
              <w:rPr>
                <w:sz w:val="16"/>
              </w:rPr>
              <w:t>30/03/1978</w:t>
            </w:r>
          </w:p>
          <w:p w:rsidRPr="00C16083" w:rsidR="00960098" w:rsidP="00C16083" w:rsidRDefault="00960098">
            <w:pPr>
              <w:jc w:val="center"/>
              <w:rPr>
                <w:sz w:val="16"/>
              </w:rPr>
            </w:pPr>
            <w:r w:rsidRPr="00C16083">
              <w:rPr>
                <w:sz w:val="16"/>
              </w:rPr>
              <w:t>Novosibirsk</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Aleksey Vladimirovich PESTOV</w:t>
            </w:r>
          </w:p>
          <w:p w:rsidRPr="00C16083" w:rsidR="00960098" w:rsidP="00C16083" w:rsidRDefault="00960098">
            <w:pPr>
              <w:jc w:val="center"/>
              <w:rPr>
                <w:sz w:val="16"/>
              </w:rPr>
            </w:pPr>
            <w:r w:rsidRPr="00C16083">
              <w:rPr>
                <w:sz w:val="16"/>
              </w:rPr>
              <w:t>22/05/1975</w:t>
            </w:r>
          </w:p>
          <w:p w:rsidRPr="00C16083" w:rsidR="00960098" w:rsidP="00C16083" w:rsidRDefault="00960098">
            <w:pPr>
              <w:jc w:val="center"/>
              <w:rPr>
                <w:sz w:val="16"/>
              </w:rPr>
            </w:pPr>
            <w:r w:rsidRPr="00C16083">
              <w:rPr>
                <w:sz w:val="16"/>
              </w:rPr>
              <w:t>Novosibirsk</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Maksim Valeryevich ROZHKOV</w:t>
            </w:r>
          </w:p>
          <w:p w:rsidRPr="00C16083" w:rsidR="00960098" w:rsidP="00C16083" w:rsidRDefault="00960098">
            <w:pPr>
              <w:jc w:val="center"/>
              <w:rPr>
                <w:sz w:val="16"/>
              </w:rPr>
            </w:pPr>
            <w:r w:rsidRPr="00C16083">
              <w:rPr>
                <w:sz w:val="16"/>
              </w:rPr>
              <w:t>30/10/1980</w:t>
            </w:r>
          </w:p>
          <w:p w:rsidRPr="00C16083" w:rsidR="00960098" w:rsidP="00C16083" w:rsidRDefault="00960098">
            <w:pPr>
              <w:jc w:val="center"/>
              <w:rPr>
                <w:sz w:val="16"/>
              </w:rPr>
            </w:pPr>
            <w:r w:rsidRPr="00C16083">
              <w:rPr>
                <w:sz w:val="16"/>
              </w:rPr>
              <w:t>Tomsk</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Karinna Akopovna MOSKALENKO</w:t>
            </w:r>
          </w:p>
        </w:tc>
        <w:tc>
          <w:tcPr>
            <w:tcW w:w="2835" w:type="dxa"/>
          </w:tcPr>
          <w:p w:rsidRPr="00C16083" w:rsidR="00843BB9" w:rsidP="00C16083" w:rsidRDefault="00960098">
            <w:pPr>
              <w:rPr>
                <w:sz w:val="16"/>
              </w:rPr>
            </w:pPr>
            <w:r w:rsidRPr="00C16083">
              <w:rPr>
                <w:sz w:val="16"/>
              </w:rPr>
              <w:t>Non-pecuniary damages: EUR 20,000 each of the applicants</w:t>
            </w:r>
          </w:p>
          <w:p w:rsidRPr="00C16083" w:rsidR="00960098" w:rsidP="00C16083" w:rsidRDefault="00960098">
            <w:pPr>
              <w:rPr>
                <w:sz w:val="16"/>
              </w:rPr>
            </w:pPr>
          </w:p>
          <w:p w:rsidRPr="00C16083" w:rsidR="00843BB9" w:rsidP="00C16083" w:rsidRDefault="00960098">
            <w:pPr>
              <w:rPr>
                <w:sz w:val="16"/>
              </w:rPr>
            </w:pPr>
            <w:r w:rsidRPr="00C16083">
              <w:rPr>
                <w:sz w:val="16"/>
              </w:rPr>
              <w:t>Pecuniary damages:</w:t>
            </w:r>
          </w:p>
          <w:p w:rsidRPr="00C16083" w:rsidR="00960098" w:rsidP="00C16083" w:rsidRDefault="00960098">
            <w:pPr>
              <w:rPr>
                <w:sz w:val="16"/>
              </w:rPr>
            </w:pPr>
            <w:r w:rsidRPr="00C16083">
              <w:rPr>
                <w:sz w:val="16"/>
              </w:rPr>
              <w:t>first applicant: EUR 25,200</w:t>
            </w:r>
          </w:p>
          <w:p w:rsidRPr="00C16083" w:rsidR="00960098" w:rsidP="00C16083" w:rsidRDefault="00960098">
            <w:pPr>
              <w:rPr>
                <w:sz w:val="16"/>
                <w:lang w:val="fr-FR"/>
              </w:rPr>
            </w:pPr>
            <w:r w:rsidRPr="00C16083">
              <w:rPr>
                <w:sz w:val="16"/>
                <w:lang w:val="fr-FR"/>
              </w:rPr>
              <w:t>second applicant:</w:t>
            </w:r>
            <w:r w:rsidRPr="00C16083" w:rsidR="001A5896">
              <w:rPr>
                <w:sz w:val="16"/>
                <w:lang w:val="fr-FR"/>
              </w:rPr>
              <w:t xml:space="preserve"> </w:t>
            </w:r>
            <w:r w:rsidRPr="00C16083">
              <w:rPr>
                <w:sz w:val="16"/>
                <w:lang w:val="fr-FR"/>
              </w:rPr>
              <w:t>EUR 16,733</w:t>
            </w:r>
          </w:p>
          <w:p w:rsidRPr="00C16083" w:rsidR="00960098" w:rsidP="00C16083" w:rsidRDefault="00960098">
            <w:pPr>
              <w:rPr>
                <w:sz w:val="16"/>
                <w:lang w:val="fr-FR"/>
              </w:rPr>
            </w:pPr>
            <w:r w:rsidRPr="00C16083">
              <w:rPr>
                <w:sz w:val="16"/>
                <w:lang w:val="fr-FR"/>
              </w:rPr>
              <w:t>third applicant: EUR 10,944</w:t>
            </w:r>
          </w:p>
          <w:p w:rsidRPr="00C16083" w:rsidR="00843BB9" w:rsidP="00C16083" w:rsidRDefault="00960098">
            <w:pPr>
              <w:rPr>
                <w:sz w:val="16"/>
              </w:rPr>
            </w:pPr>
            <w:r w:rsidRPr="00C16083">
              <w:rPr>
                <w:sz w:val="16"/>
              </w:rPr>
              <w:t>fourth applicant: EUR 10,604</w:t>
            </w:r>
          </w:p>
          <w:p w:rsidRPr="00C16083" w:rsidR="00960098" w:rsidP="00C16083" w:rsidRDefault="00960098">
            <w:pPr>
              <w:rPr>
                <w:sz w:val="16"/>
              </w:rPr>
            </w:pPr>
          </w:p>
          <w:p w:rsidRPr="00C16083" w:rsidR="00960098" w:rsidP="00C16083" w:rsidRDefault="00960098">
            <w:pPr>
              <w:rPr>
                <w:sz w:val="16"/>
              </w:rPr>
            </w:pPr>
            <w:r w:rsidRPr="00C16083">
              <w:rPr>
                <w:sz w:val="16"/>
              </w:rPr>
              <w:t xml:space="preserve">Costs and expenses: </w:t>
            </w:r>
            <w:r w:rsidRPr="00C16083" w:rsidR="001A5896">
              <w:rPr>
                <w:sz w:val="16"/>
              </w:rPr>
              <w:t>EUR 18,078</w:t>
            </w:r>
          </w:p>
          <w:p w:rsidRPr="00C16083" w:rsidR="00960098" w:rsidP="00C16083" w:rsidRDefault="00960098">
            <w:pPr>
              <w:rPr>
                <w:sz w:val="16"/>
              </w:rPr>
            </w:pPr>
            <w:r w:rsidRPr="00C16083">
              <w:rPr>
                <w:sz w:val="16"/>
              </w:rPr>
              <w:t xml:space="preserve"> </w:t>
            </w:r>
          </w:p>
        </w:tc>
        <w:tc>
          <w:tcPr>
            <w:tcW w:w="2694" w:type="dxa"/>
          </w:tcPr>
          <w:p w:rsidRPr="00C16083" w:rsidR="00DE3091"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 xml:space="preserve">EUR </w:t>
            </w:r>
            <w:r w:rsidRPr="00C16083" w:rsidR="001E2F14">
              <w:rPr>
                <w:sz w:val="16"/>
              </w:rPr>
              <w:t>9</w:t>
            </w:r>
            <w:r w:rsidRPr="00C16083" w:rsidR="009C0AED">
              <w:rPr>
                <w:sz w:val="16"/>
              </w:rPr>
              <w:t>,</w:t>
            </w:r>
            <w:r w:rsidRPr="00C16083" w:rsidR="001E2F14">
              <w:rPr>
                <w:sz w:val="16"/>
              </w:rPr>
              <w:t>800</w:t>
            </w:r>
            <w:r w:rsidRPr="00C16083" w:rsidR="00160559">
              <w:rPr>
                <w:sz w:val="16"/>
              </w:rPr>
              <w:t xml:space="preserve"> </w:t>
            </w:r>
            <w:r w:rsidRPr="00C16083" w:rsidR="007B139E">
              <w:rPr>
                <w:sz w:val="16"/>
              </w:rPr>
              <w:t>(nine thousand eight hundred euros)</w:t>
            </w:r>
            <w:r w:rsidRPr="00C16083" w:rsidR="00FF2DB4">
              <w:rPr>
                <w:sz w:val="16"/>
              </w:rPr>
              <w:t xml:space="preserve"> each of the applicants</w:t>
            </w:r>
          </w:p>
          <w:p w:rsidRPr="00C16083" w:rsidR="00B5577D" w:rsidP="00C16083" w:rsidRDefault="00B5577D">
            <w:pPr>
              <w:rPr>
                <w:sz w:val="16"/>
              </w:rPr>
            </w:pPr>
          </w:p>
          <w:p w:rsidRPr="00C16083" w:rsidR="00DE3091" w:rsidP="00C16083" w:rsidRDefault="00960098">
            <w:pPr>
              <w:rPr>
                <w:sz w:val="16"/>
              </w:rPr>
            </w:pPr>
            <w:r w:rsidRPr="00C16083">
              <w:rPr>
                <w:sz w:val="16"/>
              </w:rPr>
              <w:t>Pecuniary damages:</w:t>
            </w:r>
          </w:p>
          <w:p w:rsidRPr="00C16083" w:rsidR="00843BB9" w:rsidP="00C16083" w:rsidRDefault="00960098">
            <w:pPr>
              <w:rPr>
                <w:sz w:val="16"/>
              </w:rPr>
            </w:pPr>
            <w:r w:rsidRPr="00C16083">
              <w:rPr>
                <w:sz w:val="16"/>
              </w:rPr>
              <w:t xml:space="preserve">EUR </w:t>
            </w:r>
            <w:r w:rsidRPr="00C16083" w:rsidR="001E2F14">
              <w:rPr>
                <w:sz w:val="16"/>
              </w:rPr>
              <w:t>1</w:t>
            </w:r>
            <w:r w:rsidRPr="00C16083">
              <w:rPr>
                <w:sz w:val="16"/>
              </w:rPr>
              <w:t>,</w:t>
            </w:r>
            <w:r w:rsidRPr="00C16083" w:rsidR="001E2F14">
              <w:rPr>
                <w:sz w:val="16"/>
              </w:rPr>
              <w:t>6</w:t>
            </w:r>
            <w:r w:rsidRPr="00C16083">
              <w:rPr>
                <w:sz w:val="16"/>
              </w:rPr>
              <w:t xml:space="preserve">00 </w:t>
            </w:r>
            <w:r w:rsidRPr="00C16083" w:rsidR="007B139E">
              <w:rPr>
                <w:sz w:val="16"/>
              </w:rPr>
              <w:t xml:space="preserve">(one thousand six hundred euros) </w:t>
            </w:r>
            <w:r w:rsidRPr="00C16083" w:rsidR="001A5896">
              <w:rPr>
                <w:sz w:val="16"/>
              </w:rPr>
              <w:t>each of the applicants</w:t>
            </w:r>
          </w:p>
          <w:p w:rsidRPr="00C16083" w:rsidR="00960098" w:rsidP="00C16083" w:rsidRDefault="00960098">
            <w:pPr>
              <w:rPr>
                <w:sz w:val="16"/>
              </w:rPr>
            </w:pPr>
          </w:p>
          <w:p w:rsidRPr="00C16083" w:rsidR="00DE3091" w:rsidP="00C16083" w:rsidRDefault="00960098">
            <w:pPr>
              <w:rPr>
                <w:sz w:val="16"/>
              </w:rPr>
            </w:pPr>
            <w:r w:rsidRPr="00C16083">
              <w:rPr>
                <w:sz w:val="16"/>
              </w:rPr>
              <w:t>Costs and expenses:</w:t>
            </w:r>
          </w:p>
          <w:p w:rsidRPr="00C16083" w:rsidR="00843BB9" w:rsidP="00C16083" w:rsidRDefault="0018585A">
            <w:pPr>
              <w:rPr>
                <w:sz w:val="16"/>
              </w:rPr>
            </w:pPr>
            <w:r w:rsidRPr="00C16083">
              <w:rPr>
                <w:sz w:val="16"/>
              </w:rPr>
              <w:t xml:space="preserve">EUR </w:t>
            </w:r>
            <w:r w:rsidRPr="00C16083" w:rsidR="001E2F14">
              <w:rPr>
                <w:sz w:val="16"/>
              </w:rPr>
              <w:t>3</w:t>
            </w:r>
            <w:r w:rsidRPr="00C16083">
              <w:rPr>
                <w:sz w:val="16"/>
              </w:rPr>
              <w:t>,000</w:t>
            </w:r>
            <w:r w:rsidRPr="00C16083" w:rsidR="007B139E">
              <w:rPr>
                <w:sz w:val="16"/>
              </w:rPr>
              <w:t xml:space="preserve"> (three thousand euros)</w:t>
            </w:r>
          </w:p>
          <w:p w:rsidRPr="00C16083" w:rsidR="00960098" w:rsidP="00C16083" w:rsidRDefault="00960098">
            <w:pPr>
              <w:rPr>
                <w:sz w:val="16"/>
              </w:rPr>
            </w:pPr>
            <w:r w:rsidRPr="00C16083">
              <w:rPr>
                <w:sz w:val="16"/>
              </w:rPr>
              <w:t xml:space="preserve"> </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19667/16</w:t>
            </w:r>
          </w:p>
          <w:p w:rsidRPr="00C16083" w:rsidR="00960098" w:rsidP="00C16083" w:rsidRDefault="00960098">
            <w:pPr>
              <w:jc w:val="center"/>
              <w:rPr>
                <w:sz w:val="16"/>
              </w:rPr>
            </w:pPr>
            <w:r w:rsidRPr="00C16083">
              <w:rPr>
                <w:sz w:val="16"/>
              </w:rPr>
              <w:t>31/03/2016</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Svetlana Aleksandrovna PONYAYEVA</w:t>
            </w:r>
          </w:p>
          <w:p w:rsidRPr="00C16083" w:rsidR="00960098" w:rsidP="00C16083" w:rsidRDefault="00960098">
            <w:pPr>
              <w:jc w:val="center"/>
              <w:rPr>
                <w:sz w:val="16"/>
              </w:rPr>
            </w:pPr>
            <w:r w:rsidRPr="00C16083">
              <w:rPr>
                <w:sz w:val="16"/>
              </w:rPr>
              <w:t>13/10/1981</w:t>
            </w:r>
          </w:p>
          <w:p w:rsidRPr="00C16083" w:rsidR="00960098" w:rsidP="00C16083" w:rsidRDefault="00960098">
            <w:pPr>
              <w:jc w:val="center"/>
              <w:rPr>
                <w:sz w:val="16"/>
              </w:rPr>
            </w:pPr>
            <w:r w:rsidRPr="00C16083">
              <w:rPr>
                <w:sz w:val="16"/>
              </w:rPr>
              <w:t>St Petersburg</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 xml:space="preserve"> </w:t>
            </w:r>
          </w:p>
        </w:tc>
        <w:tc>
          <w:tcPr>
            <w:tcW w:w="2835" w:type="dxa"/>
          </w:tcPr>
          <w:p w:rsidRPr="00C16083" w:rsidR="00843BB9" w:rsidP="00C16083" w:rsidRDefault="00960098">
            <w:pPr>
              <w:rPr>
                <w:sz w:val="16"/>
              </w:rPr>
            </w:pPr>
            <w:r w:rsidRPr="00C16083">
              <w:rPr>
                <w:sz w:val="16"/>
              </w:rPr>
              <w:t>Non-pecuniary damages: EUR 100,000</w:t>
            </w:r>
          </w:p>
          <w:p w:rsidRPr="00C16083" w:rsidR="00960098" w:rsidP="00C16083" w:rsidRDefault="00960098">
            <w:pPr>
              <w:rPr>
                <w:sz w:val="16"/>
              </w:rPr>
            </w:pPr>
          </w:p>
          <w:p w:rsidRPr="00C16083" w:rsidR="00843BB9" w:rsidP="00C16083" w:rsidRDefault="00960098">
            <w:pPr>
              <w:rPr>
                <w:sz w:val="16"/>
              </w:rPr>
            </w:pPr>
            <w:r w:rsidRPr="00C16083">
              <w:rPr>
                <w:sz w:val="16"/>
              </w:rPr>
              <w:t>Pecuniary damages: EUR 50,626</w:t>
            </w:r>
          </w:p>
          <w:p w:rsidRPr="00C16083" w:rsidR="00960098" w:rsidP="00C16083" w:rsidRDefault="00960098">
            <w:pPr>
              <w:rPr>
                <w:sz w:val="16"/>
              </w:rPr>
            </w:pPr>
          </w:p>
          <w:p w:rsidRPr="00C16083" w:rsidR="00960098" w:rsidP="00C16083" w:rsidRDefault="00960098">
            <w:pPr>
              <w:rPr>
                <w:sz w:val="16"/>
                <w:lang w:val="fr-FR"/>
              </w:rPr>
            </w:pPr>
            <w:r w:rsidRPr="00C16083">
              <w:rPr>
                <w:sz w:val="16"/>
              </w:rPr>
              <w:t xml:space="preserve">Costs and expenses: </w:t>
            </w:r>
            <w:r w:rsidRPr="00C16083" w:rsidR="00B71CF2">
              <w:rPr>
                <w:sz w:val="16"/>
              </w:rPr>
              <w:t xml:space="preserve">EUR </w:t>
            </w:r>
            <w:r w:rsidRPr="00C16083">
              <w:rPr>
                <w:sz w:val="16"/>
                <w:lang w:val="fr-FR"/>
              </w:rPr>
              <w:t xml:space="preserve">8,859 </w:t>
            </w:r>
          </w:p>
        </w:tc>
        <w:tc>
          <w:tcPr>
            <w:tcW w:w="2694" w:type="dxa"/>
          </w:tcPr>
          <w:p w:rsidRPr="00C16083" w:rsidR="00DE3091"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9,</w:t>
            </w:r>
            <w:r w:rsidRPr="00C16083" w:rsidR="001E2F14">
              <w:rPr>
                <w:sz w:val="16"/>
              </w:rPr>
              <w:t>80</w:t>
            </w:r>
            <w:r w:rsidRPr="00C16083">
              <w:rPr>
                <w:sz w:val="16"/>
              </w:rPr>
              <w:t>0 EUR</w:t>
            </w:r>
            <w:r w:rsidRPr="00C16083" w:rsidR="00FF2DB4">
              <w:rPr>
                <w:sz w:val="16"/>
              </w:rPr>
              <w:t xml:space="preserve"> </w:t>
            </w:r>
            <w:r w:rsidRPr="00C16083" w:rsidR="007B139E">
              <w:rPr>
                <w:sz w:val="16"/>
              </w:rPr>
              <w:t>(nine thousand eight hundred euros)</w:t>
            </w:r>
          </w:p>
          <w:p w:rsidRPr="00C16083" w:rsidR="00B5577D" w:rsidP="00C16083" w:rsidRDefault="00B5577D">
            <w:pPr>
              <w:rPr>
                <w:sz w:val="16"/>
              </w:rPr>
            </w:pPr>
          </w:p>
          <w:p w:rsidRPr="00C16083" w:rsidR="00DE3091" w:rsidP="00C16083" w:rsidRDefault="00960098">
            <w:pPr>
              <w:rPr>
                <w:sz w:val="16"/>
              </w:rPr>
            </w:pPr>
            <w:r w:rsidRPr="00C16083">
              <w:rPr>
                <w:sz w:val="16"/>
              </w:rPr>
              <w:t>Costs and expenses:</w:t>
            </w:r>
          </w:p>
          <w:p w:rsidRPr="00C16083" w:rsidR="00960098" w:rsidP="00C16083" w:rsidRDefault="004206A7">
            <w:pPr>
              <w:rPr>
                <w:sz w:val="16"/>
              </w:rPr>
            </w:pPr>
            <w:r w:rsidRPr="00C16083">
              <w:rPr>
                <w:sz w:val="16"/>
              </w:rPr>
              <w:t xml:space="preserve">EUR </w:t>
            </w:r>
            <w:r w:rsidRPr="00C16083" w:rsidR="0018585A">
              <w:rPr>
                <w:sz w:val="16"/>
              </w:rPr>
              <w:t>1,000</w:t>
            </w:r>
            <w:r w:rsidRPr="00C16083" w:rsidR="00960098">
              <w:rPr>
                <w:sz w:val="16"/>
              </w:rPr>
              <w:t xml:space="preserve"> </w:t>
            </w:r>
            <w:r w:rsidRPr="00C16083" w:rsidR="007B139E">
              <w:rPr>
                <w:sz w:val="16"/>
              </w:rPr>
              <w:t>(one thousand euros)</w:t>
            </w: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36833/16</w:t>
            </w:r>
          </w:p>
          <w:p w:rsidRPr="00C16083" w:rsidR="00960098" w:rsidP="00C16083" w:rsidRDefault="00960098">
            <w:pPr>
              <w:jc w:val="center"/>
              <w:rPr>
                <w:sz w:val="16"/>
              </w:rPr>
            </w:pPr>
            <w:r w:rsidRPr="00C16083">
              <w:rPr>
                <w:sz w:val="16"/>
              </w:rPr>
              <w:t>15/06/2016</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Oleg Ariyevich LEVCHENKO</w:t>
            </w:r>
          </w:p>
          <w:p w:rsidRPr="00C16083" w:rsidR="00960098" w:rsidP="00C16083" w:rsidRDefault="00960098">
            <w:pPr>
              <w:jc w:val="center"/>
              <w:rPr>
                <w:sz w:val="16"/>
              </w:rPr>
            </w:pPr>
            <w:r w:rsidRPr="00C16083">
              <w:rPr>
                <w:sz w:val="16"/>
              </w:rPr>
              <w:t>28/02/1970</w:t>
            </w:r>
          </w:p>
          <w:p w:rsidRPr="00C16083" w:rsidR="00960098" w:rsidP="00C16083" w:rsidRDefault="00960098">
            <w:pPr>
              <w:jc w:val="center"/>
              <w:rPr>
                <w:sz w:val="16"/>
              </w:rPr>
            </w:pPr>
            <w:r w:rsidRPr="00C16083">
              <w:rPr>
                <w:sz w:val="16"/>
              </w:rPr>
              <w:t>Orenburg</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 xml:space="preserve"> </w:t>
            </w:r>
          </w:p>
        </w:tc>
        <w:tc>
          <w:tcPr>
            <w:tcW w:w="2835" w:type="dxa"/>
          </w:tcPr>
          <w:p w:rsidRPr="00C16083" w:rsidR="00960098" w:rsidP="00C16083" w:rsidRDefault="00960098">
            <w:pPr>
              <w:rPr>
                <w:sz w:val="16"/>
              </w:rPr>
            </w:pPr>
            <w:r w:rsidRPr="00C16083">
              <w:rPr>
                <w:sz w:val="16"/>
              </w:rPr>
              <w:t xml:space="preserve">The applicant seeks only a finding of violations of his rights. </w:t>
            </w:r>
          </w:p>
        </w:tc>
        <w:tc>
          <w:tcPr>
            <w:tcW w:w="2694" w:type="dxa"/>
          </w:tcPr>
          <w:p w:rsidRPr="00C16083" w:rsidR="00960098" w:rsidP="00C16083" w:rsidRDefault="00960098">
            <w:pPr>
              <w:rPr>
                <w:sz w:val="16"/>
              </w:rPr>
            </w:pPr>
          </w:p>
        </w:tc>
      </w:tr>
      <w:tr w:rsidRPr="00C16083" w:rsidR="00ED201A" w:rsidTr="00347238">
        <w:trPr>
          <w:cantSplit/>
          <w:jc w:val="center"/>
        </w:trPr>
        <w:tc>
          <w:tcPr>
            <w:tcW w:w="452" w:type="dxa"/>
          </w:tcPr>
          <w:p w:rsidRPr="00C16083" w:rsidR="00960098" w:rsidP="00C16083" w:rsidRDefault="00960098">
            <w:pPr>
              <w:pStyle w:val="ListParagraph"/>
              <w:numPr>
                <w:ilvl w:val="0"/>
                <w:numId w:val="1"/>
              </w:numPr>
              <w:tabs>
                <w:tab w:val="num" w:pos="283"/>
              </w:tabs>
              <w:ind w:left="0" w:firstLine="0"/>
              <w:jc w:val="center"/>
              <w:rPr>
                <w:sz w:val="16"/>
              </w:rPr>
            </w:pPr>
          </w:p>
        </w:tc>
        <w:tc>
          <w:tcPr>
            <w:tcW w:w="1074" w:type="dxa"/>
          </w:tcPr>
          <w:p w:rsidRPr="00C16083" w:rsidR="00960098" w:rsidP="00C16083" w:rsidRDefault="00960098">
            <w:pPr>
              <w:jc w:val="center"/>
              <w:rPr>
                <w:sz w:val="16"/>
              </w:rPr>
            </w:pPr>
            <w:r w:rsidRPr="00C16083">
              <w:rPr>
                <w:sz w:val="16"/>
              </w:rPr>
              <w:t>39456/16</w:t>
            </w:r>
          </w:p>
          <w:p w:rsidRPr="00C16083" w:rsidR="00960098" w:rsidP="00C16083" w:rsidRDefault="00960098">
            <w:pPr>
              <w:jc w:val="center"/>
              <w:rPr>
                <w:sz w:val="16"/>
              </w:rPr>
            </w:pPr>
            <w:r w:rsidRPr="00C16083">
              <w:rPr>
                <w:sz w:val="16"/>
              </w:rPr>
              <w:t>24/06/2016</w:t>
            </w:r>
          </w:p>
          <w:p w:rsidRPr="00C16083" w:rsidR="00960098" w:rsidP="00C16083" w:rsidRDefault="00960098">
            <w:pPr>
              <w:jc w:val="center"/>
              <w:rPr>
                <w:sz w:val="16"/>
              </w:rPr>
            </w:pPr>
          </w:p>
        </w:tc>
        <w:tc>
          <w:tcPr>
            <w:tcW w:w="3295" w:type="dxa"/>
          </w:tcPr>
          <w:p w:rsidRPr="00C16083" w:rsidR="00960098" w:rsidP="00C16083" w:rsidRDefault="00960098">
            <w:pPr>
              <w:jc w:val="center"/>
              <w:rPr>
                <w:b/>
                <w:sz w:val="16"/>
              </w:rPr>
            </w:pPr>
            <w:r w:rsidRPr="00C16083">
              <w:rPr>
                <w:b/>
                <w:sz w:val="16"/>
              </w:rPr>
              <w:t>Tatyana Aleksandrovna PASHKINA</w:t>
            </w:r>
          </w:p>
          <w:p w:rsidRPr="00C16083" w:rsidR="00960098" w:rsidP="00C16083" w:rsidRDefault="00960098">
            <w:pPr>
              <w:jc w:val="center"/>
              <w:rPr>
                <w:sz w:val="16"/>
              </w:rPr>
            </w:pPr>
            <w:r w:rsidRPr="00C16083">
              <w:rPr>
                <w:sz w:val="16"/>
              </w:rPr>
              <w:t>07/05/1953</w:t>
            </w:r>
          </w:p>
          <w:p w:rsidRPr="00C16083" w:rsidR="00960098" w:rsidP="00C16083" w:rsidRDefault="00960098">
            <w:pPr>
              <w:jc w:val="center"/>
              <w:rPr>
                <w:sz w:val="16"/>
              </w:rPr>
            </w:pPr>
            <w:r w:rsidRPr="00C16083">
              <w:rPr>
                <w:sz w:val="16"/>
              </w:rPr>
              <w:t>Krasnodar</w:t>
            </w:r>
          </w:p>
          <w:p w:rsidRPr="00C16083" w:rsidR="00960098" w:rsidP="00C16083" w:rsidRDefault="00960098">
            <w:pPr>
              <w:jc w:val="center"/>
              <w:rPr>
                <w:sz w:val="16"/>
              </w:rPr>
            </w:pPr>
            <w:r w:rsidRPr="00C16083">
              <w:rPr>
                <w:sz w:val="16"/>
              </w:rPr>
              <w:t>Russian</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Danila Aleksandrovich PRIVALOV</w:t>
            </w:r>
          </w:p>
          <w:p w:rsidRPr="00C16083" w:rsidR="00960098" w:rsidP="00C16083" w:rsidRDefault="00960098">
            <w:pPr>
              <w:jc w:val="center"/>
              <w:rPr>
                <w:sz w:val="16"/>
              </w:rPr>
            </w:pPr>
            <w:r w:rsidRPr="00C16083">
              <w:rPr>
                <w:sz w:val="16"/>
              </w:rPr>
              <w:t>21/01/1985</w:t>
            </w:r>
          </w:p>
          <w:p w:rsidRPr="00C16083" w:rsidR="00960098" w:rsidP="00C16083" w:rsidRDefault="00960098">
            <w:pPr>
              <w:jc w:val="center"/>
              <w:rPr>
                <w:sz w:val="16"/>
              </w:rPr>
            </w:pPr>
            <w:r w:rsidRPr="00C16083">
              <w:rPr>
                <w:sz w:val="16"/>
              </w:rPr>
              <w:t>Krasnodar</w:t>
            </w:r>
          </w:p>
          <w:p w:rsidRPr="00C16083" w:rsidR="00960098" w:rsidP="00C16083" w:rsidRDefault="00960098">
            <w:pPr>
              <w:jc w:val="center"/>
              <w:rPr>
                <w:sz w:val="16"/>
              </w:rPr>
            </w:pPr>
          </w:p>
          <w:p w:rsidRPr="00C16083" w:rsidR="00960098" w:rsidP="00C16083" w:rsidRDefault="00960098">
            <w:pPr>
              <w:jc w:val="center"/>
              <w:rPr>
                <w:b/>
                <w:sz w:val="16"/>
              </w:rPr>
            </w:pPr>
            <w:r w:rsidRPr="00C16083">
              <w:rPr>
                <w:b/>
                <w:sz w:val="16"/>
              </w:rPr>
              <w:t>Yevgeniy Anatolyevich LEVIN</w:t>
            </w:r>
          </w:p>
          <w:p w:rsidRPr="00C16083" w:rsidR="00960098" w:rsidP="00C16083" w:rsidRDefault="00960098">
            <w:pPr>
              <w:jc w:val="center"/>
              <w:rPr>
                <w:sz w:val="16"/>
              </w:rPr>
            </w:pPr>
            <w:r w:rsidRPr="00C16083">
              <w:rPr>
                <w:sz w:val="16"/>
              </w:rPr>
              <w:t>26/01/1969</w:t>
            </w:r>
          </w:p>
          <w:p w:rsidRPr="00C16083" w:rsidR="00960098" w:rsidP="00C16083" w:rsidRDefault="00960098">
            <w:pPr>
              <w:jc w:val="center"/>
              <w:rPr>
                <w:sz w:val="16"/>
              </w:rPr>
            </w:pPr>
            <w:r w:rsidRPr="00C16083">
              <w:rPr>
                <w:sz w:val="16"/>
              </w:rPr>
              <w:t>Krasnodar</w:t>
            </w:r>
          </w:p>
          <w:p w:rsidRPr="00C16083" w:rsidR="00960098" w:rsidP="00C16083" w:rsidRDefault="00960098">
            <w:pPr>
              <w:jc w:val="center"/>
              <w:rPr>
                <w:sz w:val="16"/>
              </w:rPr>
            </w:pPr>
          </w:p>
        </w:tc>
        <w:tc>
          <w:tcPr>
            <w:tcW w:w="2973" w:type="dxa"/>
          </w:tcPr>
          <w:p w:rsidRPr="00C16083" w:rsidR="00960098" w:rsidP="00C16083" w:rsidRDefault="00960098">
            <w:pPr>
              <w:jc w:val="center"/>
              <w:rPr>
                <w:sz w:val="16"/>
              </w:rPr>
            </w:pPr>
            <w:r w:rsidRPr="00C16083">
              <w:rPr>
                <w:sz w:val="16"/>
              </w:rPr>
              <w:t xml:space="preserve"> </w:t>
            </w:r>
          </w:p>
        </w:tc>
        <w:tc>
          <w:tcPr>
            <w:tcW w:w="2835" w:type="dxa"/>
          </w:tcPr>
          <w:p w:rsidRPr="00C16083" w:rsidR="00843BB9" w:rsidP="00C16083" w:rsidRDefault="00960098">
            <w:pPr>
              <w:rPr>
                <w:sz w:val="16"/>
              </w:rPr>
            </w:pPr>
            <w:r w:rsidRPr="00C16083">
              <w:rPr>
                <w:sz w:val="16"/>
              </w:rPr>
              <w:t>Non-pecuniary damages: EUR 143,000</w:t>
            </w:r>
            <w:r w:rsidRPr="00C16083" w:rsidR="00B71CF2">
              <w:rPr>
                <w:sz w:val="16"/>
              </w:rPr>
              <w:t xml:space="preserve"> each of the applicants</w:t>
            </w:r>
          </w:p>
          <w:p w:rsidRPr="00C16083" w:rsidR="00960098" w:rsidP="00C16083" w:rsidRDefault="00960098">
            <w:pPr>
              <w:rPr>
                <w:sz w:val="16"/>
              </w:rPr>
            </w:pPr>
          </w:p>
        </w:tc>
        <w:tc>
          <w:tcPr>
            <w:tcW w:w="2694" w:type="dxa"/>
          </w:tcPr>
          <w:p w:rsidRPr="00C16083" w:rsidR="00DE3091" w:rsidP="00C16083" w:rsidRDefault="00960098">
            <w:pPr>
              <w:rPr>
                <w:sz w:val="16"/>
              </w:rPr>
            </w:pPr>
            <w:r w:rsidRPr="00C16083">
              <w:rPr>
                <w:sz w:val="16"/>
              </w:rPr>
              <w:t>Non-pecuniary damages:</w:t>
            </w:r>
          </w:p>
          <w:p w:rsidRPr="00C16083" w:rsidR="00960098" w:rsidP="00C16083" w:rsidRDefault="00960098">
            <w:pPr>
              <w:rPr>
                <w:sz w:val="16"/>
              </w:rPr>
            </w:pPr>
            <w:r w:rsidRPr="00C16083">
              <w:rPr>
                <w:sz w:val="16"/>
              </w:rPr>
              <w:t>9,</w:t>
            </w:r>
            <w:r w:rsidRPr="00C16083" w:rsidR="001E2F14">
              <w:rPr>
                <w:sz w:val="16"/>
              </w:rPr>
              <w:t>80</w:t>
            </w:r>
            <w:r w:rsidRPr="00C16083">
              <w:rPr>
                <w:sz w:val="16"/>
              </w:rPr>
              <w:t>0 EUR</w:t>
            </w:r>
            <w:r w:rsidRPr="00C16083" w:rsidR="007B139E">
              <w:rPr>
                <w:sz w:val="16"/>
              </w:rPr>
              <w:t xml:space="preserve"> (nine thousand eight hundred euros) </w:t>
            </w:r>
            <w:r w:rsidRPr="00C16083">
              <w:rPr>
                <w:sz w:val="16"/>
              </w:rPr>
              <w:t xml:space="preserve">each of the applicants </w:t>
            </w:r>
          </w:p>
        </w:tc>
      </w:tr>
    </w:tbl>
    <w:p w:rsidRPr="00C16083" w:rsidR="00FB30A6" w:rsidP="00C16083" w:rsidRDefault="00FB30A6">
      <w:bookmarkStart w:name="TableStart" w:id="53"/>
      <w:bookmarkEnd w:id="53"/>
    </w:p>
    <w:sectPr w:rsidRPr="00C16083" w:rsidR="00FB30A6" w:rsidSect="00B85784">
      <w:headerReference w:type="even" r:id="rId14"/>
      <w:headerReference w:type="default" r:id="rId15"/>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25" w:rsidRDefault="00C63625">
      <w:r>
        <w:separator/>
      </w:r>
    </w:p>
  </w:endnote>
  <w:endnote w:type="continuationSeparator" w:id="0">
    <w:p w:rsidR="00C63625" w:rsidRDefault="00C6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25" w:rsidRPr="00150BFA" w:rsidRDefault="00C63625" w:rsidP="00135D76">
    <w:pPr>
      <w:jc w:val="center"/>
    </w:pPr>
    <w:r>
      <w:rPr>
        <w:noProof/>
        <w:lang w:eastAsia="ja-JP"/>
      </w:rPr>
      <w:drawing>
        <wp:inline distT="0" distB="0" distL="0" distR="0" wp14:anchorId="6F54D92A" wp14:editId="251C0ACF">
          <wp:extent cx="771525" cy="619125"/>
          <wp:effectExtent l="0" t="0" r="9525" b="9525"/>
          <wp:docPr id="41" name="Picture 4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63625" w:rsidRDefault="00C63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25" w:rsidRPr="003152BA" w:rsidRDefault="00C63625" w:rsidP="00D420F3">
      <w:r w:rsidRPr="003152BA">
        <w:separator/>
      </w:r>
    </w:p>
  </w:footnote>
  <w:footnote w:type="continuationSeparator" w:id="0">
    <w:p w:rsidR="00C63625" w:rsidRPr="003152BA" w:rsidRDefault="00C63625" w:rsidP="00D420F3">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25" w:rsidRPr="003152BA" w:rsidRDefault="00C63625" w:rsidP="00960CD3">
    <w:pPr>
      <w:pStyle w:val="JuHeader"/>
    </w:pP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2</w:t>
    </w:r>
    <w:r>
      <w:rPr>
        <w:rStyle w:val="PageNumber"/>
        <w:szCs w:val="18"/>
      </w:rPr>
      <w:fldChar w:fldCharType="end"/>
    </w:r>
    <w:r w:rsidRPr="003152BA">
      <w:tab/>
    </w:r>
    <w:r>
      <w:t>KRUGLOV AND OTHERS v. RUSSIA</w:t>
    </w:r>
    <w:r w:rsidRPr="003152BA">
      <w:t xml:space="preserve"> – </w:t>
    </w:r>
    <w:r w:rsidRPr="003152BA">
      <w:rPr>
        <w:noProof/>
      </w:rPr>
      <w:t>DJ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25" w:rsidRPr="003152BA" w:rsidRDefault="00C63625" w:rsidP="00960CD3">
    <w:pPr>
      <w:pStyle w:val="JuHeader"/>
    </w:pPr>
    <w:r w:rsidRPr="003152BA">
      <w:tab/>
    </w:r>
    <w:r>
      <w:t>KRUGLOV AND OTHERS v. RUSSIA</w:t>
    </w:r>
    <w:r w:rsidRPr="003152BA">
      <w:t xml:space="preserve"> – </w:t>
    </w:r>
    <w:r w:rsidRPr="003152BA">
      <w:rPr>
        <w:noProof/>
      </w:rPr>
      <w:t>DJ</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3</w:t>
    </w:r>
    <w:r>
      <w:rPr>
        <w:rStyle w:val="PageNumber"/>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25" w:rsidRPr="00A45145" w:rsidRDefault="00C63625" w:rsidP="00135D76">
    <w:pPr>
      <w:jc w:val="center"/>
    </w:pPr>
    <w:r>
      <w:rPr>
        <w:noProof/>
        <w:lang w:eastAsia="ja-JP"/>
      </w:rPr>
      <w:drawing>
        <wp:inline distT="0" distB="0" distL="0" distR="0" wp14:anchorId="7951369F" wp14:editId="3BA9775C">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63625" w:rsidRDefault="00C636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25" w:rsidRPr="00592613" w:rsidRDefault="00C63625" w:rsidP="00567009">
    <w:pPr>
      <w:pStyle w:val="Header"/>
      <w:tabs>
        <w:tab w:val="clear" w:pos="4536"/>
        <w:tab w:val="clear" w:pos="9072"/>
        <w:tab w:val="left" w:pos="0"/>
        <w:tab w:val="center" w:pos="3686"/>
        <w:tab w:val="right" w:pos="7371"/>
      </w:tabs>
      <w:rPr>
        <w:sz w:val="18"/>
        <w:szCs w:val="18"/>
      </w:rPr>
    </w:pPr>
    <w:r w:rsidRPr="00592613">
      <w:rPr>
        <w:sz w:val="18"/>
        <w:szCs w:val="18"/>
        <w:lang w:val="fr-FR"/>
      </w:rPr>
      <w:fldChar w:fldCharType="begin"/>
    </w:r>
    <w:r w:rsidRPr="00592613">
      <w:rPr>
        <w:sz w:val="18"/>
        <w:szCs w:val="18"/>
      </w:rPr>
      <w:instrText xml:space="preserve"> PAGE </w:instrText>
    </w:r>
    <w:r w:rsidRPr="00592613">
      <w:rPr>
        <w:sz w:val="18"/>
        <w:szCs w:val="18"/>
        <w:lang w:val="fr-FR"/>
      </w:rPr>
      <w:fldChar w:fldCharType="separate"/>
    </w:r>
    <w:r w:rsidR="00C16083">
      <w:rPr>
        <w:noProof/>
        <w:sz w:val="18"/>
        <w:szCs w:val="18"/>
      </w:rPr>
      <w:t>24</w:t>
    </w:r>
    <w:r w:rsidRPr="00592613">
      <w:rPr>
        <w:sz w:val="18"/>
        <w:szCs w:val="18"/>
        <w:lang w:val="fr-FR"/>
      </w:rPr>
      <w:fldChar w:fldCharType="end"/>
    </w:r>
    <w:r w:rsidRPr="00592613">
      <w:rPr>
        <w:sz w:val="18"/>
        <w:szCs w:val="18"/>
      </w:rPr>
      <w:tab/>
      <w:t xml:space="preserve">KRUGLOV AND OTHERS v. RUSSIA JUDGMENT </w:t>
    </w:r>
    <w:r w:rsidRPr="00592613">
      <w:rPr>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25" w:rsidRPr="00592613" w:rsidRDefault="00C63625" w:rsidP="00FC1D2A">
    <w:pPr>
      <w:pStyle w:val="Header"/>
      <w:tabs>
        <w:tab w:val="clear" w:pos="4536"/>
        <w:tab w:val="clear" w:pos="9072"/>
        <w:tab w:val="left" w:pos="0"/>
        <w:tab w:val="center" w:pos="3686"/>
        <w:tab w:val="right" w:pos="7371"/>
      </w:tabs>
      <w:jc w:val="both"/>
      <w:rPr>
        <w:sz w:val="18"/>
        <w:szCs w:val="18"/>
      </w:rPr>
    </w:pPr>
    <w:r w:rsidRPr="00592613">
      <w:rPr>
        <w:sz w:val="18"/>
        <w:szCs w:val="18"/>
      </w:rPr>
      <w:tab/>
    </w:r>
    <w:r w:rsidRPr="00592613">
      <w:rPr>
        <w:sz w:val="18"/>
        <w:szCs w:val="18"/>
        <w:lang w:val="en-GB"/>
      </w:rPr>
      <w:t>KRUGLOV AND OTHERS v. RUSSIA</w:t>
    </w:r>
    <w:r w:rsidRPr="00592613">
      <w:rPr>
        <w:sz w:val="18"/>
        <w:szCs w:val="18"/>
      </w:rPr>
      <w:t xml:space="preserve"> </w:t>
    </w:r>
    <w:r w:rsidRPr="00592613">
      <w:rPr>
        <w:sz w:val="18"/>
        <w:szCs w:val="18"/>
        <w:lang w:val="en-GB"/>
      </w:rPr>
      <w:t>JUDGMENT</w:t>
    </w:r>
    <w:r w:rsidRPr="00592613">
      <w:rPr>
        <w:sz w:val="18"/>
        <w:szCs w:val="18"/>
      </w:rPr>
      <w:t xml:space="preserve"> </w:t>
    </w:r>
    <w:r w:rsidRPr="00592613">
      <w:rPr>
        <w:sz w:val="18"/>
        <w:szCs w:val="18"/>
      </w:rPr>
      <w:tab/>
    </w:r>
    <w:r w:rsidRPr="00592613">
      <w:rPr>
        <w:sz w:val="18"/>
        <w:szCs w:val="18"/>
        <w:lang w:val="en-GB"/>
      </w:rPr>
      <w:fldChar w:fldCharType="begin"/>
    </w:r>
    <w:r w:rsidRPr="00592613">
      <w:rPr>
        <w:sz w:val="18"/>
        <w:szCs w:val="18"/>
      </w:rPr>
      <w:instrText xml:space="preserve"> PAGE </w:instrText>
    </w:r>
    <w:r w:rsidRPr="00592613">
      <w:rPr>
        <w:sz w:val="18"/>
        <w:szCs w:val="18"/>
        <w:lang w:val="en-GB"/>
      </w:rPr>
      <w:fldChar w:fldCharType="separate"/>
    </w:r>
    <w:r w:rsidR="00C16083">
      <w:rPr>
        <w:noProof/>
        <w:sz w:val="18"/>
        <w:szCs w:val="18"/>
      </w:rPr>
      <w:t>25</w:t>
    </w:r>
    <w:r w:rsidRPr="00592613">
      <w:rPr>
        <w:sz w:val="18"/>
        <w:szCs w:val="18"/>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25" w:rsidRPr="003152BA" w:rsidRDefault="00C63625" w:rsidP="005A2C9C">
    <w:pPr>
      <w:pStyle w:val="JuHeader"/>
      <w:tabs>
        <w:tab w:val="clear" w:pos="3686"/>
        <w:tab w:val="clear" w:pos="7371"/>
        <w:tab w:val="left" w:pos="-426"/>
        <w:tab w:val="center" w:pos="6379"/>
        <w:tab w:val="right" w:pos="12758"/>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C16083">
      <w:rPr>
        <w:rStyle w:val="PageNumber"/>
        <w:noProof/>
        <w:szCs w:val="18"/>
      </w:rPr>
      <w:t>32</w:t>
    </w:r>
    <w:r>
      <w:rPr>
        <w:rStyle w:val="PageNumber"/>
        <w:szCs w:val="18"/>
      </w:rPr>
      <w:fldChar w:fldCharType="end"/>
    </w:r>
    <w:r w:rsidRPr="003152BA">
      <w:tab/>
    </w:r>
    <w:r>
      <w:t>KRUGLOV AND OTHERS v. RUSSIA</w:t>
    </w:r>
    <w:r w:rsidRPr="003152BA">
      <w:t xml:space="preserve"> </w:t>
    </w:r>
    <w:r>
      <w:t>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25" w:rsidRPr="003152BA" w:rsidRDefault="00C63625" w:rsidP="00960CD3">
    <w:pPr>
      <w:pStyle w:val="JuHeader"/>
      <w:tabs>
        <w:tab w:val="clear" w:pos="3686"/>
        <w:tab w:val="clear" w:pos="7371"/>
        <w:tab w:val="center" w:pos="6236"/>
        <w:tab w:val="right" w:pos="12472"/>
      </w:tabs>
    </w:pPr>
    <w:r w:rsidRPr="003152BA">
      <w:tab/>
    </w:r>
    <w:r>
      <w:t>KRUGLOV AND OTHERS v. RUSSIA</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C16083">
      <w:rPr>
        <w:rStyle w:val="PageNumber"/>
        <w:noProof/>
        <w:szCs w:val="18"/>
      </w:rPr>
      <w:t>33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717336F"/>
    <w:multiLevelType w:val="hybridMultilevel"/>
    <w:tmpl w:val="09EA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7">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8">
    <w:nsid w:val="69B170C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2"/>
  </w:num>
  <w:num w:numId="2">
    <w:abstractNumId w:val="16"/>
  </w:num>
  <w:num w:numId="3">
    <w:abstractNumId w:val="13"/>
  </w:num>
  <w:num w:numId="4">
    <w:abstractNumId w:val="10"/>
  </w:num>
  <w:num w:numId="5">
    <w:abstractNumId w:val="9"/>
  </w:num>
  <w:num w:numId="6">
    <w:abstractNumId w:val="14"/>
  </w:num>
  <w:num w:numId="7">
    <w:abstractNumId w:val="11"/>
  </w:num>
  <w:num w:numId="8">
    <w:abstractNumId w:val="15"/>
  </w:num>
  <w:num w:numId="9">
    <w:abstractNumId w:val="18"/>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Application" w:val="15"/>
    <w:docVar w:name="NBEMMDOC" w:val="0"/>
  </w:docVars>
  <w:rsids>
    <w:rsidRoot w:val="00793C42"/>
    <w:rsid w:val="000013F2"/>
    <w:rsid w:val="00003E5C"/>
    <w:rsid w:val="00003FBE"/>
    <w:rsid w:val="0000416C"/>
    <w:rsid w:val="0000753A"/>
    <w:rsid w:val="000105AE"/>
    <w:rsid w:val="000106BD"/>
    <w:rsid w:val="00011DDD"/>
    <w:rsid w:val="000125B7"/>
    <w:rsid w:val="000127B0"/>
    <w:rsid w:val="0001551C"/>
    <w:rsid w:val="000174DF"/>
    <w:rsid w:val="00021237"/>
    <w:rsid w:val="00021CA5"/>
    <w:rsid w:val="00021F25"/>
    <w:rsid w:val="00023D67"/>
    <w:rsid w:val="00023F3B"/>
    <w:rsid w:val="000269DE"/>
    <w:rsid w:val="00026A5A"/>
    <w:rsid w:val="00027FD6"/>
    <w:rsid w:val="0003147F"/>
    <w:rsid w:val="00031BA5"/>
    <w:rsid w:val="0003344F"/>
    <w:rsid w:val="000339F9"/>
    <w:rsid w:val="00034AF1"/>
    <w:rsid w:val="000351FB"/>
    <w:rsid w:val="00035284"/>
    <w:rsid w:val="000352C9"/>
    <w:rsid w:val="00036226"/>
    <w:rsid w:val="0003712E"/>
    <w:rsid w:val="000374CE"/>
    <w:rsid w:val="00037DF7"/>
    <w:rsid w:val="00040DAA"/>
    <w:rsid w:val="00041F9E"/>
    <w:rsid w:val="00046356"/>
    <w:rsid w:val="00046F44"/>
    <w:rsid w:val="00047B49"/>
    <w:rsid w:val="00047F61"/>
    <w:rsid w:val="0005300F"/>
    <w:rsid w:val="00054052"/>
    <w:rsid w:val="00054204"/>
    <w:rsid w:val="00055983"/>
    <w:rsid w:val="0005650D"/>
    <w:rsid w:val="000612C2"/>
    <w:rsid w:val="00062034"/>
    <w:rsid w:val="000625BD"/>
    <w:rsid w:val="000635CD"/>
    <w:rsid w:val="00063CD7"/>
    <w:rsid w:val="00064C21"/>
    <w:rsid w:val="00065B2D"/>
    <w:rsid w:val="00072A4C"/>
    <w:rsid w:val="00072FDB"/>
    <w:rsid w:val="00076020"/>
    <w:rsid w:val="00080975"/>
    <w:rsid w:val="00080A95"/>
    <w:rsid w:val="00082540"/>
    <w:rsid w:val="00083283"/>
    <w:rsid w:val="00092EC1"/>
    <w:rsid w:val="000940E5"/>
    <w:rsid w:val="00095334"/>
    <w:rsid w:val="00095974"/>
    <w:rsid w:val="00095DA8"/>
    <w:rsid w:val="000A0422"/>
    <w:rsid w:val="000A1401"/>
    <w:rsid w:val="000A3360"/>
    <w:rsid w:val="000A35DF"/>
    <w:rsid w:val="000A37A8"/>
    <w:rsid w:val="000A3EF3"/>
    <w:rsid w:val="000A52F6"/>
    <w:rsid w:val="000A77C1"/>
    <w:rsid w:val="000B2625"/>
    <w:rsid w:val="000B3EA9"/>
    <w:rsid w:val="000B3EDD"/>
    <w:rsid w:val="000B4765"/>
    <w:rsid w:val="000B57A1"/>
    <w:rsid w:val="000B59B5"/>
    <w:rsid w:val="000B6CB2"/>
    <w:rsid w:val="000B7250"/>
    <w:rsid w:val="000C15A1"/>
    <w:rsid w:val="000C2C92"/>
    <w:rsid w:val="000C3626"/>
    <w:rsid w:val="000C4BAB"/>
    <w:rsid w:val="000C4FAD"/>
    <w:rsid w:val="000D0C48"/>
    <w:rsid w:val="000D15B4"/>
    <w:rsid w:val="000D3B02"/>
    <w:rsid w:val="000D5C07"/>
    <w:rsid w:val="000E0CBD"/>
    <w:rsid w:val="000E20D9"/>
    <w:rsid w:val="000E26DE"/>
    <w:rsid w:val="000E488F"/>
    <w:rsid w:val="000E5BFD"/>
    <w:rsid w:val="000E65F8"/>
    <w:rsid w:val="000E6F3C"/>
    <w:rsid w:val="000E7B2A"/>
    <w:rsid w:val="000F1749"/>
    <w:rsid w:val="000F1B4B"/>
    <w:rsid w:val="000F24F1"/>
    <w:rsid w:val="000F2AAE"/>
    <w:rsid w:val="000F2C57"/>
    <w:rsid w:val="000F2D29"/>
    <w:rsid w:val="000F3783"/>
    <w:rsid w:val="000F538E"/>
    <w:rsid w:val="00101F25"/>
    <w:rsid w:val="001020A3"/>
    <w:rsid w:val="001066B2"/>
    <w:rsid w:val="00113ABD"/>
    <w:rsid w:val="00114292"/>
    <w:rsid w:val="00114916"/>
    <w:rsid w:val="00116E49"/>
    <w:rsid w:val="00116EF6"/>
    <w:rsid w:val="00120DA9"/>
    <w:rsid w:val="00122EFD"/>
    <w:rsid w:val="00124849"/>
    <w:rsid w:val="00124AFA"/>
    <w:rsid w:val="00124B7E"/>
    <w:rsid w:val="00125235"/>
    <w:rsid w:val="00126409"/>
    <w:rsid w:val="00126B62"/>
    <w:rsid w:val="001274B0"/>
    <w:rsid w:val="001301E4"/>
    <w:rsid w:val="00130D47"/>
    <w:rsid w:val="0013128E"/>
    <w:rsid w:val="00135D76"/>
    <w:rsid w:val="00144C65"/>
    <w:rsid w:val="001457E0"/>
    <w:rsid w:val="00146E68"/>
    <w:rsid w:val="00146FF8"/>
    <w:rsid w:val="00147F7E"/>
    <w:rsid w:val="001505D5"/>
    <w:rsid w:val="00154BFE"/>
    <w:rsid w:val="00156A10"/>
    <w:rsid w:val="00156BCB"/>
    <w:rsid w:val="001571E9"/>
    <w:rsid w:val="00160559"/>
    <w:rsid w:val="00160E31"/>
    <w:rsid w:val="0016111A"/>
    <w:rsid w:val="00161694"/>
    <w:rsid w:val="0016181F"/>
    <w:rsid w:val="00161BC5"/>
    <w:rsid w:val="00161E14"/>
    <w:rsid w:val="001620F1"/>
    <w:rsid w:val="0016244C"/>
    <w:rsid w:val="0016506F"/>
    <w:rsid w:val="00166026"/>
    <w:rsid w:val="00166A8F"/>
    <w:rsid w:val="00167E14"/>
    <w:rsid w:val="001703FA"/>
    <w:rsid w:val="00170A10"/>
    <w:rsid w:val="001721F7"/>
    <w:rsid w:val="0017246B"/>
    <w:rsid w:val="00172921"/>
    <w:rsid w:val="001751CA"/>
    <w:rsid w:val="00175AA0"/>
    <w:rsid w:val="00180566"/>
    <w:rsid w:val="00181E4C"/>
    <w:rsid w:val="001823EA"/>
    <w:rsid w:val="00183104"/>
    <w:rsid w:val="00184695"/>
    <w:rsid w:val="001853EC"/>
    <w:rsid w:val="001855C6"/>
    <w:rsid w:val="0018585A"/>
    <w:rsid w:val="00187CE1"/>
    <w:rsid w:val="00192D55"/>
    <w:rsid w:val="00194C99"/>
    <w:rsid w:val="001957B4"/>
    <w:rsid w:val="001965C3"/>
    <w:rsid w:val="00196D82"/>
    <w:rsid w:val="0019762C"/>
    <w:rsid w:val="001976F2"/>
    <w:rsid w:val="00197D8C"/>
    <w:rsid w:val="00197FFD"/>
    <w:rsid w:val="001A047C"/>
    <w:rsid w:val="001A14AB"/>
    <w:rsid w:val="001A4199"/>
    <w:rsid w:val="001A43AF"/>
    <w:rsid w:val="001A541D"/>
    <w:rsid w:val="001A5896"/>
    <w:rsid w:val="001B16E5"/>
    <w:rsid w:val="001B29B4"/>
    <w:rsid w:val="001B2DD4"/>
    <w:rsid w:val="001B571B"/>
    <w:rsid w:val="001B5782"/>
    <w:rsid w:val="001B6251"/>
    <w:rsid w:val="001B67A5"/>
    <w:rsid w:val="001B6CF6"/>
    <w:rsid w:val="001C0041"/>
    <w:rsid w:val="001C17B6"/>
    <w:rsid w:val="001C1EB6"/>
    <w:rsid w:val="001C4FE4"/>
    <w:rsid w:val="001C5368"/>
    <w:rsid w:val="001C5B82"/>
    <w:rsid w:val="001C5E9E"/>
    <w:rsid w:val="001C649E"/>
    <w:rsid w:val="001D0964"/>
    <w:rsid w:val="001D174C"/>
    <w:rsid w:val="001D1FD1"/>
    <w:rsid w:val="001D46EB"/>
    <w:rsid w:val="001D628A"/>
    <w:rsid w:val="001D6449"/>
    <w:rsid w:val="001E093F"/>
    <w:rsid w:val="001E0BC3"/>
    <w:rsid w:val="001E2293"/>
    <w:rsid w:val="001E2F14"/>
    <w:rsid w:val="001E3A12"/>
    <w:rsid w:val="001E3CB3"/>
    <w:rsid w:val="001E559E"/>
    <w:rsid w:val="001E581F"/>
    <w:rsid w:val="001E660F"/>
    <w:rsid w:val="001E7E48"/>
    <w:rsid w:val="001F036B"/>
    <w:rsid w:val="001F17EC"/>
    <w:rsid w:val="001F2AAC"/>
    <w:rsid w:val="001F58C4"/>
    <w:rsid w:val="001F6E8D"/>
    <w:rsid w:val="001F7793"/>
    <w:rsid w:val="00200897"/>
    <w:rsid w:val="00203773"/>
    <w:rsid w:val="0020439A"/>
    <w:rsid w:val="0020542E"/>
    <w:rsid w:val="0021074A"/>
    <w:rsid w:val="00211F65"/>
    <w:rsid w:val="00212BFA"/>
    <w:rsid w:val="00212EAC"/>
    <w:rsid w:val="0021516E"/>
    <w:rsid w:val="00215700"/>
    <w:rsid w:val="00222445"/>
    <w:rsid w:val="002243DB"/>
    <w:rsid w:val="00227633"/>
    <w:rsid w:val="002315D3"/>
    <w:rsid w:val="00231EAD"/>
    <w:rsid w:val="00231FBB"/>
    <w:rsid w:val="00232155"/>
    <w:rsid w:val="00232CD6"/>
    <w:rsid w:val="00234514"/>
    <w:rsid w:val="00234DAC"/>
    <w:rsid w:val="0023544C"/>
    <w:rsid w:val="00236873"/>
    <w:rsid w:val="00236B00"/>
    <w:rsid w:val="0024008C"/>
    <w:rsid w:val="00240714"/>
    <w:rsid w:val="00241A46"/>
    <w:rsid w:val="002431D5"/>
    <w:rsid w:val="00246693"/>
    <w:rsid w:val="0025092D"/>
    <w:rsid w:val="00250B6B"/>
    <w:rsid w:val="0025230B"/>
    <w:rsid w:val="002525A1"/>
    <w:rsid w:val="00253732"/>
    <w:rsid w:val="00255687"/>
    <w:rsid w:val="00255A6B"/>
    <w:rsid w:val="00255C18"/>
    <w:rsid w:val="002570FA"/>
    <w:rsid w:val="0025721D"/>
    <w:rsid w:val="0025742A"/>
    <w:rsid w:val="00257CAB"/>
    <w:rsid w:val="00257DD0"/>
    <w:rsid w:val="00260257"/>
    <w:rsid w:val="00260E7B"/>
    <w:rsid w:val="00262F98"/>
    <w:rsid w:val="002630E2"/>
    <w:rsid w:val="00264513"/>
    <w:rsid w:val="00265331"/>
    <w:rsid w:val="00267989"/>
    <w:rsid w:val="0027060F"/>
    <w:rsid w:val="00271023"/>
    <w:rsid w:val="0027156B"/>
    <w:rsid w:val="0027241F"/>
    <w:rsid w:val="00276727"/>
    <w:rsid w:val="00277483"/>
    <w:rsid w:val="002805DD"/>
    <w:rsid w:val="00282378"/>
    <w:rsid w:val="00282D88"/>
    <w:rsid w:val="002842EC"/>
    <w:rsid w:val="002844C0"/>
    <w:rsid w:val="00285838"/>
    <w:rsid w:val="0029048B"/>
    <w:rsid w:val="002911EF"/>
    <w:rsid w:val="0029473C"/>
    <w:rsid w:val="00294EAF"/>
    <w:rsid w:val="00294EF5"/>
    <w:rsid w:val="002954E2"/>
    <w:rsid w:val="002A1003"/>
    <w:rsid w:val="002A1346"/>
    <w:rsid w:val="002A13F7"/>
    <w:rsid w:val="002A343B"/>
    <w:rsid w:val="002A52CC"/>
    <w:rsid w:val="002A6275"/>
    <w:rsid w:val="002A69AF"/>
    <w:rsid w:val="002A79BE"/>
    <w:rsid w:val="002B1163"/>
    <w:rsid w:val="002B249C"/>
    <w:rsid w:val="002B38F6"/>
    <w:rsid w:val="002B5CA7"/>
    <w:rsid w:val="002B6255"/>
    <w:rsid w:val="002B78B7"/>
    <w:rsid w:val="002C02BF"/>
    <w:rsid w:val="002C2100"/>
    <w:rsid w:val="002C2AE5"/>
    <w:rsid w:val="002C2BAC"/>
    <w:rsid w:val="002C3F07"/>
    <w:rsid w:val="002C5A06"/>
    <w:rsid w:val="002C5FE3"/>
    <w:rsid w:val="002D0093"/>
    <w:rsid w:val="002D55EB"/>
    <w:rsid w:val="002E198D"/>
    <w:rsid w:val="002E2775"/>
    <w:rsid w:val="002E4DE7"/>
    <w:rsid w:val="002E4F73"/>
    <w:rsid w:val="002E531E"/>
    <w:rsid w:val="002F2AFF"/>
    <w:rsid w:val="002F5ABC"/>
    <w:rsid w:val="00300667"/>
    <w:rsid w:val="003006B0"/>
    <w:rsid w:val="00302615"/>
    <w:rsid w:val="00302865"/>
    <w:rsid w:val="00302914"/>
    <w:rsid w:val="003045E4"/>
    <w:rsid w:val="00305A58"/>
    <w:rsid w:val="00305F8A"/>
    <w:rsid w:val="00306F5A"/>
    <w:rsid w:val="00306FDB"/>
    <w:rsid w:val="00307C96"/>
    <w:rsid w:val="00307EDB"/>
    <w:rsid w:val="00311AD0"/>
    <w:rsid w:val="003124A4"/>
    <w:rsid w:val="00312866"/>
    <w:rsid w:val="003132FB"/>
    <w:rsid w:val="00313950"/>
    <w:rsid w:val="00313E45"/>
    <w:rsid w:val="003140B3"/>
    <w:rsid w:val="003144BE"/>
    <w:rsid w:val="0031590B"/>
    <w:rsid w:val="00315D4D"/>
    <w:rsid w:val="00316D94"/>
    <w:rsid w:val="00317478"/>
    <w:rsid w:val="00320D22"/>
    <w:rsid w:val="00322AFB"/>
    <w:rsid w:val="003231A7"/>
    <w:rsid w:val="003233A1"/>
    <w:rsid w:val="00323D5C"/>
    <w:rsid w:val="00325A99"/>
    <w:rsid w:val="00326248"/>
    <w:rsid w:val="003266EC"/>
    <w:rsid w:val="00326B58"/>
    <w:rsid w:val="003275CF"/>
    <w:rsid w:val="00330BEB"/>
    <w:rsid w:val="00331F56"/>
    <w:rsid w:val="003344CF"/>
    <w:rsid w:val="00335755"/>
    <w:rsid w:val="00337E8C"/>
    <w:rsid w:val="00337EA3"/>
    <w:rsid w:val="003405E0"/>
    <w:rsid w:val="00344367"/>
    <w:rsid w:val="0034499F"/>
    <w:rsid w:val="003460D7"/>
    <w:rsid w:val="003465E0"/>
    <w:rsid w:val="00346CD3"/>
    <w:rsid w:val="00347182"/>
    <w:rsid w:val="00347238"/>
    <w:rsid w:val="00350CA7"/>
    <w:rsid w:val="00351055"/>
    <w:rsid w:val="00351E52"/>
    <w:rsid w:val="00352FD2"/>
    <w:rsid w:val="00353210"/>
    <w:rsid w:val="003532BD"/>
    <w:rsid w:val="00353963"/>
    <w:rsid w:val="00354637"/>
    <w:rsid w:val="00354ABB"/>
    <w:rsid w:val="00356C2F"/>
    <w:rsid w:val="003570A3"/>
    <w:rsid w:val="00363C5C"/>
    <w:rsid w:val="00366FA4"/>
    <w:rsid w:val="003671B3"/>
    <w:rsid w:val="00367A91"/>
    <w:rsid w:val="00367C3C"/>
    <w:rsid w:val="003701B6"/>
    <w:rsid w:val="00371906"/>
    <w:rsid w:val="003719E6"/>
    <w:rsid w:val="0037261D"/>
    <w:rsid w:val="00374DFA"/>
    <w:rsid w:val="00374E77"/>
    <w:rsid w:val="00377026"/>
    <w:rsid w:val="003770D2"/>
    <w:rsid w:val="0037774C"/>
    <w:rsid w:val="003801C2"/>
    <w:rsid w:val="00381176"/>
    <w:rsid w:val="00382305"/>
    <w:rsid w:val="00383C26"/>
    <w:rsid w:val="00384444"/>
    <w:rsid w:val="00384B7B"/>
    <w:rsid w:val="00384D8B"/>
    <w:rsid w:val="00385352"/>
    <w:rsid w:val="00385C9C"/>
    <w:rsid w:val="00392EA5"/>
    <w:rsid w:val="00396146"/>
    <w:rsid w:val="003A0C2E"/>
    <w:rsid w:val="003A0D8A"/>
    <w:rsid w:val="003A0F43"/>
    <w:rsid w:val="003A10D9"/>
    <w:rsid w:val="003A1FB5"/>
    <w:rsid w:val="003A343B"/>
    <w:rsid w:val="003A43FA"/>
    <w:rsid w:val="003A56C4"/>
    <w:rsid w:val="003B00A9"/>
    <w:rsid w:val="003B16E6"/>
    <w:rsid w:val="003B2AB6"/>
    <w:rsid w:val="003B2CC2"/>
    <w:rsid w:val="003B302D"/>
    <w:rsid w:val="003B3098"/>
    <w:rsid w:val="003B311D"/>
    <w:rsid w:val="003B3494"/>
    <w:rsid w:val="003B3E64"/>
    <w:rsid w:val="003B4600"/>
    <w:rsid w:val="003B5CC1"/>
    <w:rsid w:val="003C2960"/>
    <w:rsid w:val="003C3F69"/>
    <w:rsid w:val="003C3F9D"/>
    <w:rsid w:val="003C4AA1"/>
    <w:rsid w:val="003C5895"/>
    <w:rsid w:val="003C5ADB"/>
    <w:rsid w:val="003C6625"/>
    <w:rsid w:val="003C6BFB"/>
    <w:rsid w:val="003C6F52"/>
    <w:rsid w:val="003C71A6"/>
    <w:rsid w:val="003C74B0"/>
    <w:rsid w:val="003C7C4C"/>
    <w:rsid w:val="003D049E"/>
    <w:rsid w:val="003D4E67"/>
    <w:rsid w:val="003D5D6B"/>
    <w:rsid w:val="003D69A5"/>
    <w:rsid w:val="003D7FF1"/>
    <w:rsid w:val="003E3B45"/>
    <w:rsid w:val="003E41FB"/>
    <w:rsid w:val="003E592E"/>
    <w:rsid w:val="003E682C"/>
    <w:rsid w:val="003E6BDF"/>
    <w:rsid w:val="003E7C79"/>
    <w:rsid w:val="003F06AF"/>
    <w:rsid w:val="003F0B07"/>
    <w:rsid w:val="003F26FB"/>
    <w:rsid w:val="003F3331"/>
    <w:rsid w:val="003F5FB0"/>
    <w:rsid w:val="003F6A3D"/>
    <w:rsid w:val="003F78CC"/>
    <w:rsid w:val="00403E58"/>
    <w:rsid w:val="00404EFC"/>
    <w:rsid w:val="00407239"/>
    <w:rsid w:val="00407737"/>
    <w:rsid w:val="00413C71"/>
    <w:rsid w:val="00414C9E"/>
    <w:rsid w:val="004165BE"/>
    <w:rsid w:val="0041747F"/>
    <w:rsid w:val="004179F3"/>
    <w:rsid w:val="004206A7"/>
    <w:rsid w:val="00421762"/>
    <w:rsid w:val="00422AA8"/>
    <w:rsid w:val="00424BA7"/>
    <w:rsid w:val="0042532D"/>
    <w:rsid w:val="00425C9E"/>
    <w:rsid w:val="00431162"/>
    <w:rsid w:val="0043438A"/>
    <w:rsid w:val="00440572"/>
    <w:rsid w:val="0044221D"/>
    <w:rsid w:val="004444EE"/>
    <w:rsid w:val="00444501"/>
    <w:rsid w:val="0044460D"/>
    <w:rsid w:val="00444811"/>
    <w:rsid w:val="00446DE1"/>
    <w:rsid w:val="00450B0D"/>
    <w:rsid w:val="00452F8F"/>
    <w:rsid w:val="00456317"/>
    <w:rsid w:val="00456654"/>
    <w:rsid w:val="00456899"/>
    <w:rsid w:val="004603A6"/>
    <w:rsid w:val="00460D0B"/>
    <w:rsid w:val="00461297"/>
    <w:rsid w:val="004613DE"/>
    <w:rsid w:val="00461CD2"/>
    <w:rsid w:val="00464AAA"/>
    <w:rsid w:val="00465508"/>
    <w:rsid w:val="00471960"/>
    <w:rsid w:val="00471DAE"/>
    <w:rsid w:val="00474437"/>
    <w:rsid w:val="00474819"/>
    <w:rsid w:val="00475075"/>
    <w:rsid w:val="00475AE3"/>
    <w:rsid w:val="00480A5F"/>
    <w:rsid w:val="00481B6E"/>
    <w:rsid w:val="0048725E"/>
    <w:rsid w:val="004873D8"/>
    <w:rsid w:val="00487CB8"/>
    <w:rsid w:val="004919ED"/>
    <w:rsid w:val="004926B7"/>
    <w:rsid w:val="00492EE0"/>
    <w:rsid w:val="00494502"/>
    <w:rsid w:val="0049608D"/>
    <w:rsid w:val="00496100"/>
    <w:rsid w:val="004A0101"/>
    <w:rsid w:val="004A0150"/>
    <w:rsid w:val="004A0E19"/>
    <w:rsid w:val="004A119F"/>
    <w:rsid w:val="004A1AD9"/>
    <w:rsid w:val="004A2344"/>
    <w:rsid w:val="004A3E90"/>
    <w:rsid w:val="004A52CC"/>
    <w:rsid w:val="004B0C6D"/>
    <w:rsid w:val="004B18B2"/>
    <w:rsid w:val="004B309F"/>
    <w:rsid w:val="004B317B"/>
    <w:rsid w:val="004B69A8"/>
    <w:rsid w:val="004B7842"/>
    <w:rsid w:val="004C0472"/>
    <w:rsid w:val="004C1412"/>
    <w:rsid w:val="004C33A6"/>
    <w:rsid w:val="004C3603"/>
    <w:rsid w:val="004C3A19"/>
    <w:rsid w:val="004C3CE3"/>
    <w:rsid w:val="004C40FD"/>
    <w:rsid w:val="004D0485"/>
    <w:rsid w:val="004D118B"/>
    <w:rsid w:val="004D18DD"/>
    <w:rsid w:val="004D2EF8"/>
    <w:rsid w:val="004D315E"/>
    <w:rsid w:val="004D3D82"/>
    <w:rsid w:val="004D47DF"/>
    <w:rsid w:val="004D595D"/>
    <w:rsid w:val="004D69CF"/>
    <w:rsid w:val="004D754D"/>
    <w:rsid w:val="004E033F"/>
    <w:rsid w:val="004E09E7"/>
    <w:rsid w:val="004E0E20"/>
    <w:rsid w:val="004E3917"/>
    <w:rsid w:val="004E7664"/>
    <w:rsid w:val="004E7FBC"/>
    <w:rsid w:val="004F1402"/>
    <w:rsid w:val="004F1FCC"/>
    <w:rsid w:val="004F2D01"/>
    <w:rsid w:val="004F2FD1"/>
    <w:rsid w:val="004F5257"/>
    <w:rsid w:val="004F5AD6"/>
    <w:rsid w:val="0050014A"/>
    <w:rsid w:val="005002E0"/>
    <w:rsid w:val="00500605"/>
    <w:rsid w:val="00500772"/>
    <w:rsid w:val="00500DE7"/>
    <w:rsid w:val="0050226D"/>
    <w:rsid w:val="005024E3"/>
    <w:rsid w:val="0050480C"/>
    <w:rsid w:val="005048FD"/>
    <w:rsid w:val="005049D1"/>
    <w:rsid w:val="005064A0"/>
    <w:rsid w:val="005105D5"/>
    <w:rsid w:val="005109B8"/>
    <w:rsid w:val="00513D6F"/>
    <w:rsid w:val="0051430F"/>
    <w:rsid w:val="00515087"/>
    <w:rsid w:val="005163D9"/>
    <w:rsid w:val="00517FD5"/>
    <w:rsid w:val="00520533"/>
    <w:rsid w:val="00523DB8"/>
    <w:rsid w:val="00524E5A"/>
    <w:rsid w:val="00525E10"/>
    <w:rsid w:val="00526B14"/>
    <w:rsid w:val="00533BE0"/>
    <w:rsid w:val="00534309"/>
    <w:rsid w:val="005359B4"/>
    <w:rsid w:val="00535AF6"/>
    <w:rsid w:val="005369B6"/>
    <w:rsid w:val="00536A30"/>
    <w:rsid w:val="005408A0"/>
    <w:rsid w:val="0054119F"/>
    <w:rsid w:val="00541393"/>
    <w:rsid w:val="0054282D"/>
    <w:rsid w:val="00544482"/>
    <w:rsid w:val="0054609D"/>
    <w:rsid w:val="005476CB"/>
    <w:rsid w:val="00547E6F"/>
    <w:rsid w:val="005501C4"/>
    <w:rsid w:val="00550F35"/>
    <w:rsid w:val="005520EE"/>
    <w:rsid w:val="00553E42"/>
    <w:rsid w:val="00554B2B"/>
    <w:rsid w:val="00555B6B"/>
    <w:rsid w:val="00556AEB"/>
    <w:rsid w:val="0055722E"/>
    <w:rsid w:val="005623D7"/>
    <w:rsid w:val="00562B5F"/>
    <w:rsid w:val="00564F43"/>
    <w:rsid w:val="0056612F"/>
    <w:rsid w:val="00566619"/>
    <w:rsid w:val="00567009"/>
    <w:rsid w:val="0056701A"/>
    <w:rsid w:val="005677B2"/>
    <w:rsid w:val="00572F59"/>
    <w:rsid w:val="00573247"/>
    <w:rsid w:val="005737CE"/>
    <w:rsid w:val="00574E5B"/>
    <w:rsid w:val="00574EB2"/>
    <w:rsid w:val="00575237"/>
    <w:rsid w:val="005761C1"/>
    <w:rsid w:val="00576239"/>
    <w:rsid w:val="00576990"/>
    <w:rsid w:val="005778C1"/>
    <w:rsid w:val="00580424"/>
    <w:rsid w:val="00580F3F"/>
    <w:rsid w:val="00581D2B"/>
    <w:rsid w:val="00582FBF"/>
    <w:rsid w:val="005837E2"/>
    <w:rsid w:val="005850BD"/>
    <w:rsid w:val="00587DA6"/>
    <w:rsid w:val="00591C2E"/>
    <w:rsid w:val="00592613"/>
    <w:rsid w:val="00595140"/>
    <w:rsid w:val="00597035"/>
    <w:rsid w:val="005A1858"/>
    <w:rsid w:val="005A281B"/>
    <w:rsid w:val="005A2C9C"/>
    <w:rsid w:val="005A3ADC"/>
    <w:rsid w:val="005A523B"/>
    <w:rsid w:val="005A6029"/>
    <w:rsid w:val="005A7B73"/>
    <w:rsid w:val="005B199A"/>
    <w:rsid w:val="005B2AF1"/>
    <w:rsid w:val="005B435F"/>
    <w:rsid w:val="005B45E9"/>
    <w:rsid w:val="005B556D"/>
    <w:rsid w:val="005B5E91"/>
    <w:rsid w:val="005B69A2"/>
    <w:rsid w:val="005B6D7D"/>
    <w:rsid w:val="005B7394"/>
    <w:rsid w:val="005C1707"/>
    <w:rsid w:val="005C2DB7"/>
    <w:rsid w:val="005C34D1"/>
    <w:rsid w:val="005C3DD2"/>
    <w:rsid w:val="005C5BBF"/>
    <w:rsid w:val="005C7007"/>
    <w:rsid w:val="005C71DB"/>
    <w:rsid w:val="005D1B1C"/>
    <w:rsid w:val="005D24C3"/>
    <w:rsid w:val="005D4780"/>
    <w:rsid w:val="005D5753"/>
    <w:rsid w:val="005D5FAE"/>
    <w:rsid w:val="005D7461"/>
    <w:rsid w:val="005D7469"/>
    <w:rsid w:val="005D780F"/>
    <w:rsid w:val="005E112C"/>
    <w:rsid w:val="005E1348"/>
    <w:rsid w:val="005E1450"/>
    <w:rsid w:val="005E17B0"/>
    <w:rsid w:val="005E1801"/>
    <w:rsid w:val="005E1B3D"/>
    <w:rsid w:val="005E4E29"/>
    <w:rsid w:val="005F1386"/>
    <w:rsid w:val="005F2566"/>
    <w:rsid w:val="005F6044"/>
    <w:rsid w:val="005F667F"/>
    <w:rsid w:val="005F70D6"/>
    <w:rsid w:val="006023AA"/>
    <w:rsid w:val="00602597"/>
    <w:rsid w:val="00602A6D"/>
    <w:rsid w:val="00603D9C"/>
    <w:rsid w:val="00606237"/>
    <w:rsid w:val="0060662B"/>
    <w:rsid w:val="0060685F"/>
    <w:rsid w:val="006071EC"/>
    <w:rsid w:val="006139C1"/>
    <w:rsid w:val="00613D9F"/>
    <w:rsid w:val="006161CB"/>
    <w:rsid w:val="00617511"/>
    <w:rsid w:val="00623FF6"/>
    <w:rsid w:val="00624AEF"/>
    <w:rsid w:val="00625093"/>
    <w:rsid w:val="00625CAF"/>
    <w:rsid w:val="00630F58"/>
    <w:rsid w:val="00631C26"/>
    <w:rsid w:val="006368BA"/>
    <w:rsid w:val="0063710E"/>
    <w:rsid w:val="0063771D"/>
    <w:rsid w:val="006412F1"/>
    <w:rsid w:val="006422B7"/>
    <w:rsid w:val="006427DC"/>
    <w:rsid w:val="00642C17"/>
    <w:rsid w:val="00643C9E"/>
    <w:rsid w:val="006446CA"/>
    <w:rsid w:val="006448B3"/>
    <w:rsid w:val="00644E3E"/>
    <w:rsid w:val="00645CAD"/>
    <w:rsid w:val="0064770A"/>
    <w:rsid w:val="0065004C"/>
    <w:rsid w:val="00650185"/>
    <w:rsid w:val="00650B73"/>
    <w:rsid w:val="006533CE"/>
    <w:rsid w:val="00653CDC"/>
    <w:rsid w:val="00656A04"/>
    <w:rsid w:val="00656D34"/>
    <w:rsid w:val="00660088"/>
    <w:rsid w:val="0066077F"/>
    <w:rsid w:val="00661FEF"/>
    <w:rsid w:val="0066325A"/>
    <w:rsid w:val="006637C9"/>
    <w:rsid w:val="0066425E"/>
    <w:rsid w:val="006647A8"/>
    <w:rsid w:val="006664C4"/>
    <w:rsid w:val="00670BC7"/>
    <w:rsid w:val="006715AC"/>
    <w:rsid w:val="00671FFE"/>
    <w:rsid w:val="006733DE"/>
    <w:rsid w:val="006753AF"/>
    <w:rsid w:val="0067688C"/>
    <w:rsid w:val="00677204"/>
    <w:rsid w:val="006777B2"/>
    <w:rsid w:val="00677D5E"/>
    <w:rsid w:val="006818F9"/>
    <w:rsid w:val="00681F09"/>
    <w:rsid w:val="0068361B"/>
    <w:rsid w:val="0068369B"/>
    <w:rsid w:val="006859EF"/>
    <w:rsid w:val="006870BA"/>
    <w:rsid w:val="006878D1"/>
    <w:rsid w:val="00687964"/>
    <w:rsid w:val="00687A81"/>
    <w:rsid w:val="006909F3"/>
    <w:rsid w:val="00692276"/>
    <w:rsid w:val="00693008"/>
    <w:rsid w:val="0069483B"/>
    <w:rsid w:val="0069726E"/>
    <w:rsid w:val="006A1C43"/>
    <w:rsid w:val="006A1D4E"/>
    <w:rsid w:val="006A3196"/>
    <w:rsid w:val="006A35B5"/>
    <w:rsid w:val="006A5706"/>
    <w:rsid w:val="006A62B6"/>
    <w:rsid w:val="006B00CA"/>
    <w:rsid w:val="006B1E59"/>
    <w:rsid w:val="006B24BE"/>
    <w:rsid w:val="006B6CB2"/>
    <w:rsid w:val="006C021E"/>
    <w:rsid w:val="006C12BD"/>
    <w:rsid w:val="006C2452"/>
    <w:rsid w:val="006C2CA3"/>
    <w:rsid w:val="006C48D1"/>
    <w:rsid w:val="006C67D9"/>
    <w:rsid w:val="006C6CE0"/>
    <w:rsid w:val="006C7724"/>
    <w:rsid w:val="006C7EB8"/>
    <w:rsid w:val="006C7F92"/>
    <w:rsid w:val="006D0313"/>
    <w:rsid w:val="006D0B84"/>
    <w:rsid w:val="006D270B"/>
    <w:rsid w:val="006D3D97"/>
    <w:rsid w:val="006D63F1"/>
    <w:rsid w:val="006D68BC"/>
    <w:rsid w:val="006D6C27"/>
    <w:rsid w:val="006E027D"/>
    <w:rsid w:val="006E23BC"/>
    <w:rsid w:val="006E52B9"/>
    <w:rsid w:val="006E6627"/>
    <w:rsid w:val="006E72BF"/>
    <w:rsid w:val="006F2815"/>
    <w:rsid w:val="006F35FD"/>
    <w:rsid w:val="006F4969"/>
    <w:rsid w:val="00700052"/>
    <w:rsid w:val="0070033F"/>
    <w:rsid w:val="007004E9"/>
    <w:rsid w:val="00701E48"/>
    <w:rsid w:val="007032A6"/>
    <w:rsid w:val="00704D3E"/>
    <w:rsid w:val="00711025"/>
    <w:rsid w:val="00711363"/>
    <w:rsid w:val="00711DE0"/>
    <w:rsid w:val="00712312"/>
    <w:rsid w:val="007145B5"/>
    <w:rsid w:val="00717EAB"/>
    <w:rsid w:val="00717FEE"/>
    <w:rsid w:val="0072093C"/>
    <w:rsid w:val="0072202B"/>
    <w:rsid w:val="00722193"/>
    <w:rsid w:val="00724B21"/>
    <w:rsid w:val="0072520F"/>
    <w:rsid w:val="007262C9"/>
    <w:rsid w:val="00726E63"/>
    <w:rsid w:val="007272B3"/>
    <w:rsid w:val="00730905"/>
    <w:rsid w:val="007311F1"/>
    <w:rsid w:val="00731C89"/>
    <w:rsid w:val="00731E93"/>
    <w:rsid w:val="0073336F"/>
    <w:rsid w:val="0073458F"/>
    <w:rsid w:val="0073482F"/>
    <w:rsid w:val="00734872"/>
    <w:rsid w:val="0073489F"/>
    <w:rsid w:val="00734F33"/>
    <w:rsid w:val="007364AB"/>
    <w:rsid w:val="00736760"/>
    <w:rsid w:val="00736AAC"/>
    <w:rsid w:val="007400B3"/>
    <w:rsid w:val="007410D3"/>
    <w:rsid w:val="00742E16"/>
    <w:rsid w:val="007435FE"/>
    <w:rsid w:val="00744640"/>
    <w:rsid w:val="00745091"/>
    <w:rsid w:val="00745F6E"/>
    <w:rsid w:val="007464A9"/>
    <w:rsid w:val="00750417"/>
    <w:rsid w:val="00750CF4"/>
    <w:rsid w:val="007512C0"/>
    <w:rsid w:val="00751BC2"/>
    <w:rsid w:val="00752A1A"/>
    <w:rsid w:val="00753675"/>
    <w:rsid w:val="00753A1B"/>
    <w:rsid w:val="00753DA7"/>
    <w:rsid w:val="007545F5"/>
    <w:rsid w:val="00754A71"/>
    <w:rsid w:val="00755595"/>
    <w:rsid w:val="0075620A"/>
    <w:rsid w:val="0075681D"/>
    <w:rsid w:val="00760282"/>
    <w:rsid w:val="007606D2"/>
    <w:rsid w:val="00761140"/>
    <w:rsid w:val="00762168"/>
    <w:rsid w:val="007640B1"/>
    <w:rsid w:val="0076439A"/>
    <w:rsid w:val="007649D9"/>
    <w:rsid w:val="0076567C"/>
    <w:rsid w:val="007660F3"/>
    <w:rsid w:val="0076626F"/>
    <w:rsid w:val="00770D3F"/>
    <w:rsid w:val="007713EE"/>
    <w:rsid w:val="0077175D"/>
    <w:rsid w:val="00771872"/>
    <w:rsid w:val="00773118"/>
    <w:rsid w:val="0077419E"/>
    <w:rsid w:val="007762AA"/>
    <w:rsid w:val="0077697C"/>
    <w:rsid w:val="00776EC1"/>
    <w:rsid w:val="00781C1E"/>
    <w:rsid w:val="00782022"/>
    <w:rsid w:val="0078424A"/>
    <w:rsid w:val="00785F7D"/>
    <w:rsid w:val="007864A2"/>
    <w:rsid w:val="00787A2E"/>
    <w:rsid w:val="00787F8F"/>
    <w:rsid w:val="00793C42"/>
    <w:rsid w:val="00794C73"/>
    <w:rsid w:val="00797239"/>
    <w:rsid w:val="007A0C4B"/>
    <w:rsid w:val="007A0F22"/>
    <w:rsid w:val="007A2C90"/>
    <w:rsid w:val="007A3F19"/>
    <w:rsid w:val="007A478E"/>
    <w:rsid w:val="007A4B37"/>
    <w:rsid w:val="007A5115"/>
    <w:rsid w:val="007A69F6"/>
    <w:rsid w:val="007A785D"/>
    <w:rsid w:val="007B046E"/>
    <w:rsid w:val="007B139E"/>
    <w:rsid w:val="007B25CD"/>
    <w:rsid w:val="007B2784"/>
    <w:rsid w:val="007B2CC7"/>
    <w:rsid w:val="007B4336"/>
    <w:rsid w:val="007B5148"/>
    <w:rsid w:val="007B5217"/>
    <w:rsid w:val="007B748A"/>
    <w:rsid w:val="007C0A1F"/>
    <w:rsid w:val="007C0F7C"/>
    <w:rsid w:val="007C1EF1"/>
    <w:rsid w:val="007C224D"/>
    <w:rsid w:val="007C22D6"/>
    <w:rsid w:val="007C53EF"/>
    <w:rsid w:val="007C5934"/>
    <w:rsid w:val="007C6474"/>
    <w:rsid w:val="007D04E3"/>
    <w:rsid w:val="007D0C3D"/>
    <w:rsid w:val="007D25D8"/>
    <w:rsid w:val="007D550F"/>
    <w:rsid w:val="007D5DB5"/>
    <w:rsid w:val="007D6567"/>
    <w:rsid w:val="007D659E"/>
    <w:rsid w:val="007E0049"/>
    <w:rsid w:val="007E1227"/>
    <w:rsid w:val="007E3129"/>
    <w:rsid w:val="007E424F"/>
    <w:rsid w:val="007E7545"/>
    <w:rsid w:val="007E7B9F"/>
    <w:rsid w:val="007F0614"/>
    <w:rsid w:val="007F12CD"/>
    <w:rsid w:val="007F3958"/>
    <w:rsid w:val="007F3AF5"/>
    <w:rsid w:val="007F550A"/>
    <w:rsid w:val="007F7BE3"/>
    <w:rsid w:val="00800143"/>
    <w:rsid w:val="00802EF9"/>
    <w:rsid w:val="008032AA"/>
    <w:rsid w:val="00803578"/>
    <w:rsid w:val="00807090"/>
    <w:rsid w:val="00807CBD"/>
    <w:rsid w:val="008114CB"/>
    <w:rsid w:val="008149D8"/>
    <w:rsid w:val="00814F83"/>
    <w:rsid w:val="0082086F"/>
    <w:rsid w:val="00820B21"/>
    <w:rsid w:val="00820DB7"/>
    <w:rsid w:val="00820E79"/>
    <w:rsid w:val="00821381"/>
    <w:rsid w:val="00822B90"/>
    <w:rsid w:val="00824524"/>
    <w:rsid w:val="00824F9D"/>
    <w:rsid w:val="00825D60"/>
    <w:rsid w:val="00827611"/>
    <w:rsid w:val="0082795C"/>
    <w:rsid w:val="0083317E"/>
    <w:rsid w:val="0083498D"/>
    <w:rsid w:val="0083519B"/>
    <w:rsid w:val="00835659"/>
    <w:rsid w:val="0084140F"/>
    <w:rsid w:val="00841939"/>
    <w:rsid w:val="00841DA8"/>
    <w:rsid w:val="00841E2B"/>
    <w:rsid w:val="00843BB9"/>
    <w:rsid w:val="008453FC"/>
    <w:rsid w:val="00846EBE"/>
    <w:rsid w:val="008478D9"/>
    <w:rsid w:val="00851A10"/>
    <w:rsid w:val="0085287C"/>
    <w:rsid w:val="00853155"/>
    <w:rsid w:val="00853926"/>
    <w:rsid w:val="008549B5"/>
    <w:rsid w:val="00860747"/>
    <w:rsid w:val="0086085B"/>
    <w:rsid w:val="00863773"/>
    <w:rsid w:val="00870119"/>
    <w:rsid w:val="00870158"/>
    <w:rsid w:val="00870F12"/>
    <w:rsid w:val="00870F6D"/>
    <w:rsid w:val="00873FEF"/>
    <w:rsid w:val="00875BFD"/>
    <w:rsid w:val="00875EC7"/>
    <w:rsid w:val="00880762"/>
    <w:rsid w:val="008812A3"/>
    <w:rsid w:val="0088228A"/>
    <w:rsid w:val="0088367E"/>
    <w:rsid w:val="00884134"/>
    <w:rsid w:val="008846D6"/>
    <w:rsid w:val="00885240"/>
    <w:rsid w:val="008869A1"/>
    <w:rsid w:val="00887527"/>
    <w:rsid w:val="00891C00"/>
    <w:rsid w:val="00891ECE"/>
    <w:rsid w:val="0089524F"/>
    <w:rsid w:val="00896C43"/>
    <w:rsid w:val="00897776"/>
    <w:rsid w:val="008A05DB"/>
    <w:rsid w:val="008A0632"/>
    <w:rsid w:val="008A1F8E"/>
    <w:rsid w:val="008A24E0"/>
    <w:rsid w:val="008A34EA"/>
    <w:rsid w:val="008A372D"/>
    <w:rsid w:val="008A5671"/>
    <w:rsid w:val="008A56E6"/>
    <w:rsid w:val="008A5AF4"/>
    <w:rsid w:val="008A64A4"/>
    <w:rsid w:val="008B1475"/>
    <w:rsid w:val="008B1DCE"/>
    <w:rsid w:val="008B6B17"/>
    <w:rsid w:val="008B70D1"/>
    <w:rsid w:val="008B7914"/>
    <w:rsid w:val="008B796A"/>
    <w:rsid w:val="008C10AB"/>
    <w:rsid w:val="008C123A"/>
    <w:rsid w:val="008C2B59"/>
    <w:rsid w:val="008C3DA5"/>
    <w:rsid w:val="008C54DD"/>
    <w:rsid w:val="008C7935"/>
    <w:rsid w:val="008D0586"/>
    <w:rsid w:val="008D2038"/>
    <w:rsid w:val="008D27FF"/>
    <w:rsid w:val="008D2846"/>
    <w:rsid w:val="008D7E93"/>
    <w:rsid w:val="008E1133"/>
    <w:rsid w:val="008E2345"/>
    <w:rsid w:val="008E3B1D"/>
    <w:rsid w:val="008E423E"/>
    <w:rsid w:val="008E6751"/>
    <w:rsid w:val="008E7787"/>
    <w:rsid w:val="008E7B7C"/>
    <w:rsid w:val="008F63C7"/>
    <w:rsid w:val="0090048E"/>
    <w:rsid w:val="0090356F"/>
    <w:rsid w:val="00904240"/>
    <w:rsid w:val="00906FA6"/>
    <w:rsid w:val="00910617"/>
    <w:rsid w:val="00910ED6"/>
    <w:rsid w:val="00913171"/>
    <w:rsid w:val="0091332B"/>
    <w:rsid w:val="0091743F"/>
    <w:rsid w:val="00917B3B"/>
    <w:rsid w:val="00920A69"/>
    <w:rsid w:val="00921373"/>
    <w:rsid w:val="00923589"/>
    <w:rsid w:val="00923990"/>
    <w:rsid w:val="00923DB3"/>
    <w:rsid w:val="009246F4"/>
    <w:rsid w:val="00926476"/>
    <w:rsid w:val="00926AFE"/>
    <w:rsid w:val="009276F1"/>
    <w:rsid w:val="00927964"/>
    <w:rsid w:val="00927A5C"/>
    <w:rsid w:val="00927E37"/>
    <w:rsid w:val="00927F87"/>
    <w:rsid w:val="00930535"/>
    <w:rsid w:val="00932459"/>
    <w:rsid w:val="00933493"/>
    <w:rsid w:val="009356CC"/>
    <w:rsid w:val="0093612C"/>
    <w:rsid w:val="009367ED"/>
    <w:rsid w:val="00936F10"/>
    <w:rsid w:val="00937F63"/>
    <w:rsid w:val="009402BB"/>
    <w:rsid w:val="009411B2"/>
    <w:rsid w:val="009422BE"/>
    <w:rsid w:val="0094369B"/>
    <w:rsid w:val="0095063D"/>
    <w:rsid w:val="00951A97"/>
    <w:rsid w:val="00952268"/>
    <w:rsid w:val="0095323E"/>
    <w:rsid w:val="00953C92"/>
    <w:rsid w:val="00954903"/>
    <w:rsid w:val="00955F2F"/>
    <w:rsid w:val="0095617C"/>
    <w:rsid w:val="0095778D"/>
    <w:rsid w:val="00957BEE"/>
    <w:rsid w:val="00960098"/>
    <w:rsid w:val="0096049E"/>
    <w:rsid w:val="00960798"/>
    <w:rsid w:val="00960A50"/>
    <w:rsid w:val="00960CA0"/>
    <w:rsid w:val="00960CD3"/>
    <w:rsid w:val="00960F87"/>
    <w:rsid w:val="00961B56"/>
    <w:rsid w:val="00962113"/>
    <w:rsid w:val="00962250"/>
    <w:rsid w:val="00963B7B"/>
    <w:rsid w:val="009646EB"/>
    <w:rsid w:val="00965C34"/>
    <w:rsid w:val="00970A5E"/>
    <w:rsid w:val="009734D5"/>
    <w:rsid w:val="00973DC0"/>
    <w:rsid w:val="00974058"/>
    <w:rsid w:val="00975E4D"/>
    <w:rsid w:val="00976DC0"/>
    <w:rsid w:val="00976E50"/>
    <w:rsid w:val="00977EF4"/>
    <w:rsid w:val="0098042E"/>
    <w:rsid w:val="00980AB4"/>
    <w:rsid w:val="00981AF1"/>
    <w:rsid w:val="00982202"/>
    <w:rsid w:val="00983A16"/>
    <w:rsid w:val="009855F8"/>
    <w:rsid w:val="00986235"/>
    <w:rsid w:val="00987087"/>
    <w:rsid w:val="00990250"/>
    <w:rsid w:val="00991505"/>
    <w:rsid w:val="00992415"/>
    <w:rsid w:val="00994D92"/>
    <w:rsid w:val="009A0CA3"/>
    <w:rsid w:val="009A43A0"/>
    <w:rsid w:val="009A7479"/>
    <w:rsid w:val="009A7694"/>
    <w:rsid w:val="009A7940"/>
    <w:rsid w:val="009B020F"/>
    <w:rsid w:val="009B1500"/>
    <w:rsid w:val="009B217F"/>
    <w:rsid w:val="009B2B54"/>
    <w:rsid w:val="009B3077"/>
    <w:rsid w:val="009B7BEF"/>
    <w:rsid w:val="009C02E4"/>
    <w:rsid w:val="009C0AED"/>
    <w:rsid w:val="009C76DF"/>
    <w:rsid w:val="009D0482"/>
    <w:rsid w:val="009D19E4"/>
    <w:rsid w:val="009D27F5"/>
    <w:rsid w:val="009D37E5"/>
    <w:rsid w:val="009D6019"/>
    <w:rsid w:val="009D6411"/>
    <w:rsid w:val="009D67B7"/>
    <w:rsid w:val="009D763B"/>
    <w:rsid w:val="009E1F0E"/>
    <w:rsid w:val="009E47EC"/>
    <w:rsid w:val="009E4A0E"/>
    <w:rsid w:val="009E60E4"/>
    <w:rsid w:val="009E7200"/>
    <w:rsid w:val="009F3599"/>
    <w:rsid w:val="009F6241"/>
    <w:rsid w:val="009F648D"/>
    <w:rsid w:val="009F7EC9"/>
    <w:rsid w:val="00A00688"/>
    <w:rsid w:val="00A01E1F"/>
    <w:rsid w:val="00A01F99"/>
    <w:rsid w:val="00A037AC"/>
    <w:rsid w:val="00A0458A"/>
    <w:rsid w:val="00A062F4"/>
    <w:rsid w:val="00A10A06"/>
    <w:rsid w:val="00A118A4"/>
    <w:rsid w:val="00A1361C"/>
    <w:rsid w:val="00A14529"/>
    <w:rsid w:val="00A17891"/>
    <w:rsid w:val="00A211DB"/>
    <w:rsid w:val="00A21401"/>
    <w:rsid w:val="00A21A35"/>
    <w:rsid w:val="00A21A65"/>
    <w:rsid w:val="00A225BD"/>
    <w:rsid w:val="00A225CB"/>
    <w:rsid w:val="00A23AE2"/>
    <w:rsid w:val="00A243AE"/>
    <w:rsid w:val="00A31FB6"/>
    <w:rsid w:val="00A3208C"/>
    <w:rsid w:val="00A32E79"/>
    <w:rsid w:val="00A338B3"/>
    <w:rsid w:val="00A33C0A"/>
    <w:rsid w:val="00A3528D"/>
    <w:rsid w:val="00A3649D"/>
    <w:rsid w:val="00A36E0F"/>
    <w:rsid w:val="00A3760E"/>
    <w:rsid w:val="00A377A8"/>
    <w:rsid w:val="00A37933"/>
    <w:rsid w:val="00A37B68"/>
    <w:rsid w:val="00A41A96"/>
    <w:rsid w:val="00A474E3"/>
    <w:rsid w:val="00A479C8"/>
    <w:rsid w:val="00A511EB"/>
    <w:rsid w:val="00A54322"/>
    <w:rsid w:val="00A55D3F"/>
    <w:rsid w:val="00A5699F"/>
    <w:rsid w:val="00A6055E"/>
    <w:rsid w:val="00A60E4F"/>
    <w:rsid w:val="00A60F6B"/>
    <w:rsid w:val="00A621BF"/>
    <w:rsid w:val="00A62450"/>
    <w:rsid w:val="00A63D16"/>
    <w:rsid w:val="00A67BF5"/>
    <w:rsid w:val="00A67FEE"/>
    <w:rsid w:val="00A7006E"/>
    <w:rsid w:val="00A71431"/>
    <w:rsid w:val="00A72796"/>
    <w:rsid w:val="00A73109"/>
    <w:rsid w:val="00A73511"/>
    <w:rsid w:val="00A74154"/>
    <w:rsid w:val="00A75D14"/>
    <w:rsid w:val="00A76D0D"/>
    <w:rsid w:val="00A81047"/>
    <w:rsid w:val="00A812E0"/>
    <w:rsid w:val="00A82169"/>
    <w:rsid w:val="00A823AC"/>
    <w:rsid w:val="00A82590"/>
    <w:rsid w:val="00A835C8"/>
    <w:rsid w:val="00A85ED9"/>
    <w:rsid w:val="00A8661E"/>
    <w:rsid w:val="00A8714C"/>
    <w:rsid w:val="00A91BB1"/>
    <w:rsid w:val="00A93120"/>
    <w:rsid w:val="00A941E6"/>
    <w:rsid w:val="00A956ED"/>
    <w:rsid w:val="00A96240"/>
    <w:rsid w:val="00A96B0A"/>
    <w:rsid w:val="00A9791C"/>
    <w:rsid w:val="00AA0777"/>
    <w:rsid w:val="00AA2C87"/>
    <w:rsid w:val="00AA2FD4"/>
    <w:rsid w:val="00AA3893"/>
    <w:rsid w:val="00AA3F34"/>
    <w:rsid w:val="00AA420C"/>
    <w:rsid w:val="00AA441D"/>
    <w:rsid w:val="00AA53BA"/>
    <w:rsid w:val="00AA5755"/>
    <w:rsid w:val="00AA7723"/>
    <w:rsid w:val="00AA7B28"/>
    <w:rsid w:val="00AB1938"/>
    <w:rsid w:val="00AB1A8D"/>
    <w:rsid w:val="00AB1EE8"/>
    <w:rsid w:val="00AB378D"/>
    <w:rsid w:val="00AB40B9"/>
    <w:rsid w:val="00AC0715"/>
    <w:rsid w:val="00AC099E"/>
    <w:rsid w:val="00AC103F"/>
    <w:rsid w:val="00AC2FB9"/>
    <w:rsid w:val="00AC3A4C"/>
    <w:rsid w:val="00AC78BC"/>
    <w:rsid w:val="00AD1DFA"/>
    <w:rsid w:val="00AD3B0A"/>
    <w:rsid w:val="00AD40C1"/>
    <w:rsid w:val="00AD4C82"/>
    <w:rsid w:val="00AD4D5B"/>
    <w:rsid w:val="00AD6C3F"/>
    <w:rsid w:val="00AD6D83"/>
    <w:rsid w:val="00AD75BB"/>
    <w:rsid w:val="00AD786C"/>
    <w:rsid w:val="00AE00D4"/>
    <w:rsid w:val="00AE0921"/>
    <w:rsid w:val="00AE0DB3"/>
    <w:rsid w:val="00AE15C0"/>
    <w:rsid w:val="00AE252E"/>
    <w:rsid w:val="00AE30DF"/>
    <w:rsid w:val="00AE4582"/>
    <w:rsid w:val="00AE58F1"/>
    <w:rsid w:val="00AE735A"/>
    <w:rsid w:val="00AE7460"/>
    <w:rsid w:val="00AF085A"/>
    <w:rsid w:val="00AF14C1"/>
    <w:rsid w:val="00AF3569"/>
    <w:rsid w:val="00AF3AA1"/>
    <w:rsid w:val="00AF406D"/>
    <w:rsid w:val="00AF5AE1"/>
    <w:rsid w:val="00AF6C45"/>
    <w:rsid w:val="00AF74D3"/>
    <w:rsid w:val="00AF7C8D"/>
    <w:rsid w:val="00B00807"/>
    <w:rsid w:val="00B00CED"/>
    <w:rsid w:val="00B0318A"/>
    <w:rsid w:val="00B037F9"/>
    <w:rsid w:val="00B05600"/>
    <w:rsid w:val="00B05E9B"/>
    <w:rsid w:val="00B06CD6"/>
    <w:rsid w:val="00B103DC"/>
    <w:rsid w:val="00B116C9"/>
    <w:rsid w:val="00B11956"/>
    <w:rsid w:val="00B121E6"/>
    <w:rsid w:val="00B130E9"/>
    <w:rsid w:val="00B15C7E"/>
    <w:rsid w:val="00B173B2"/>
    <w:rsid w:val="00B21589"/>
    <w:rsid w:val="00B2222E"/>
    <w:rsid w:val="00B22B5D"/>
    <w:rsid w:val="00B23942"/>
    <w:rsid w:val="00B2526E"/>
    <w:rsid w:val="00B2593C"/>
    <w:rsid w:val="00B25AD7"/>
    <w:rsid w:val="00B277E9"/>
    <w:rsid w:val="00B27983"/>
    <w:rsid w:val="00B30976"/>
    <w:rsid w:val="00B32C0C"/>
    <w:rsid w:val="00B35233"/>
    <w:rsid w:val="00B35B75"/>
    <w:rsid w:val="00B4035F"/>
    <w:rsid w:val="00B4283D"/>
    <w:rsid w:val="00B428A7"/>
    <w:rsid w:val="00B43226"/>
    <w:rsid w:val="00B444FD"/>
    <w:rsid w:val="00B44637"/>
    <w:rsid w:val="00B454F2"/>
    <w:rsid w:val="00B45DFE"/>
    <w:rsid w:val="00B45EB6"/>
    <w:rsid w:val="00B45F24"/>
    <w:rsid w:val="00B46424"/>
    <w:rsid w:val="00B46E40"/>
    <w:rsid w:val="00B478B0"/>
    <w:rsid w:val="00B50418"/>
    <w:rsid w:val="00B53C4C"/>
    <w:rsid w:val="00B55234"/>
    <w:rsid w:val="00B55396"/>
    <w:rsid w:val="00B5577D"/>
    <w:rsid w:val="00B56B9A"/>
    <w:rsid w:val="00B56E04"/>
    <w:rsid w:val="00B61123"/>
    <w:rsid w:val="00B6277E"/>
    <w:rsid w:val="00B62BBD"/>
    <w:rsid w:val="00B6340C"/>
    <w:rsid w:val="00B6510A"/>
    <w:rsid w:val="00B6579F"/>
    <w:rsid w:val="00B659F2"/>
    <w:rsid w:val="00B67153"/>
    <w:rsid w:val="00B71CF2"/>
    <w:rsid w:val="00B7240F"/>
    <w:rsid w:val="00B727DD"/>
    <w:rsid w:val="00B74FBE"/>
    <w:rsid w:val="00B807FF"/>
    <w:rsid w:val="00B80C63"/>
    <w:rsid w:val="00B8136C"/>
    <w:rsid w:val="00B82B85"/>
    <w:rsid w:val="00B84225"/>
    <w:rsid w:val="00B85784"/>
    <w:rsid w:val="00B8584F"/>
    <w:rsid w:val="00B905C2"/>
    <w:rsid w:val="00B91638"/>
    <w:rsid w:val="00B93B24"/>
    <w:rsid w:val="00B94153"/>
    <w:rsid w:val="00B972BD"/>
    <w:rsid w:val="00BA0533"/>
    <w:rsid w:val="00BA110A"/>
    <w:rsid w:val="00BA29FE"/>
    <w:rsid w:val="00BA3696"/>
    <w:rsid w:val="00BA7AE9"/>
    <w:rsid w:val="00BB07EE"/>
    <w:rsid w:val="00BB11E8"/>
    <w:rsid w:val="00BB1B89"/>
    <w:rsid w:val="00BB23B2"/>
    <w:rsid w:val="00BB28D6"/>
    <w:rsid w:val="00BB3709"/>
    <w:rsid w:val="00BB6443"/>
    <w:rsid w:val="00BB6BDB"/>
    <w:rsid w:val="00BC06C2"/>
    <w:rsid w:val="00BC07DB"/>
    <w:rsid w:val="00BC15F4"/>
    <w:rsid w:val="00BC1E19"/>
    <w:rsid w:val="00BC1F14"/>
    <w:rsid w:val="00BC43B3"/>
    <w:rsid w:val="00BC5C70"/>
    <w:rsid w:val="00BC6534"/>
    <w:rsid w:val="00BC7AE8"/>
    <w:rsid w:val="00BD20AE"/>
    <w:rsid w:val="00BD4D64"/>
    <w:rsid w:val="00BD5371"/>
    <w:rsid w:val="00BD613C"/>
    <w:rsid w:val="00BD6DFA"/>
    <w:rsid w:val="00BE0B0D"/>
    <w:rsid w:val="00BE0E3E"/>
    <w:rsid w:val="00BE185F"/>
    <w:rsid w:val="00BE2F23"/>
    <w:rsid w:val="00BE501E"/>
    <w:rsid w:val="00BE5271"/>
    <w:rsid w:val="00BE5ABC"/>
    <w:rsid w:val="00BE646D"/>
    <w:rsid w:val="00BE6E94"/>
    <w:rsid w:val="00BF184F"/>
    <w:rsid w:val="00BF23AC"/>
    <w:rsid w:val="00BF2698"/>
    <w:rsid w:val="00BF48B5"/>
    <w:rsid w:val="00BF6B5F"/>
    <w:rsid w:val="00C023E4"/>
    <w:rsid w:val="00C02658"/>
    <w:rsid w:val="00C03525"/>
    <w:rsid w:val="00C1182F"/>
    <w:rsid w:val="00C11870"/>
    <w:rsid w:val="00C11880"/>
    <w:rsid w:val="00C12052"/>
    <w:rsid w:val="00C12383"/>
    <w:rsid w:val="00C12E08"/>
    <w:rsid w:val="00C1513D"/>
    <w:rsid w:val="00C1532D"/>
    <w:rsid w:val="00C16083"/>
    <w:rsid w:val="00C16947"/>
    <w:rsid w:val="00C16B04"/>
    <w:rsid w:val="00C17B8F"/>
    <w:rsid w:val="00C25A01"/>
    <w:rsid w:val="00C306FD"/>
    <w:rsid w:val="00C30756"/>
    <w:rsid w:val="00C30E54"/>
    <w:rsid w:val="00C30FEB"/>
    <w:rsid w:val="00C314F7"/>
    <w:rsid w:val="00C31535"/>
    <w:rsid w:val="00C31D87"/>
    <w:rsid w:val="00C326B3"/>
    <w:rsid w:val="00C34694"/>
    <w:rsid w:val="00C3609B"/>
    <w:rsid w:val="00C36250"/>
    <w:rsid w:val="00C36483"/>
    <w:rsid w:val="00C36821"/>
    <w:rsid w:val="00C36FF3"/>
    <w:rsid w:val="00C40368"/>
    <w:rsid w:val="00C40C5D"/>
    <w:rsid w:val="00C42085"/>
    <w:rsid w:val="00C4352C"/>
    <w:rsid w:val="00C458FB"/>
    <w:rsid w:val="00C4635A"/>
    <w:rsid w:val="00C4720A"/>
    <w:rsid w:val="00C50D36"/>
    <w:rsid w:val="00C5169D"/>
    <w:rsid w:val="00C51B34"/>
    <w:rsid w:val="00C51DA4"/>
    <w:rsid w:val="00C524FC"/>
    <w:rsid w:val="00C5287D"/>
    <w:rsid w:val="00C5408F"/>
    <w:rsid w:val="00C54454"/>
    <w:rsid w:val="00C5545B"/>
    <w:rsid w:val="00C55EB9"/>
    <w:rsid w:val="00C57393"/>
    <w:rsid w:val="00C603EF"/>
    <w:rsid w:val="00C609E9"/>
    <w:rsid w:val="00C60D6A"/>
    <w:rsid w:val="00C62449"/>
    <w:rsid w:val="00C630BB"/>
    <w:rsid w:val="00C63625"/>
    <w:rsid w:val="00C637EF"/>
    <w:rsid w:val="00C6446D"/>
    <w:rsid w:val="00C64CF7"/>
    <w:rsid w:val="00C655D2"/>
    <w:rsid w:val="00C6708F"/>
    <w:rsid w:val="00C676A7"/>
    <w:rsid w:val="00C67ABD"/>
    <w:rsid w:val="00C71251"/>
    <w:rsid w:val="00C71513"/>
    <w:rsid w:val="00C72DC4"/>
    <w:rsid w:val="00C73318"/>
    <w:rsid w:val="00C73F53"/>
    <w:rsid w:val="00C73F8C"/>
    <w:rsid w:val="00C76231"/>
    <w:rsid w:val="00C76499"/>
    <w:rsid w:val="00C807D4"/>
    <w:rsid w:val="00C80E14"/>
    <w:rsid w:val="00C83964"/>
    <w:rsid w:val="00C853C6"/>
    <w:rsid w:val="00C86896"/>
    <w:rsid w:val="00C909D7"/>
    <w:rsid w:val="00C91E7C"/>
    <w:rsid w:val="00C9230C"/>
    <w:rsid w:val="00C947A4"/>
    <w:rsid w:val="00C94E89"/>
    <w:rsid w:val="00C956DB"/>
    <w:rsid w:val="00C967CD"/>
    <w:rsid w:val="00C97C85"/>
    <w:rsid w:val="00CA0580"/>
    <w:rsid w:val="00CA06E0"/>
    <w:rsid w:val="00CA1381"/>
    <w:rsid w:val="00CA1B88"/>
    <w:rsid w:val="00CA25EB"/>
    <w:rsid w:val="00CA2613"/>
    <w:rsid w:val="00CA4E5A"/>
    <w:rsid w:val="00CA70F2"/>
    <w:rsid w:val="00CB0035"/>
    <w:rsid w:val="00CB19CD"/>
    <w:rsid w:val="00CB20C3"/>
    <w:rsid w:val="00CB26D0"/>
    <w:rsid w:val="00CB2853"/>
    <w:rsid w:val="00CB3444"/>
    <w:rsid w:val="00CB3681"/>
    <w:rsid w:val="00CB5943"/>
    <w:rsid w:val="00CB7782"/>
    <w:rsid w:val="00CB7DDE"/>
    <w:rsid w:val="00CC0A40"/>
    <w:rsid w:val="00CC2F02"/>
    <w:rsid w:val="00CC36E0"/>
    <w:rsid w:val="00CC3D3B"/>
    <w:rsid w:val="00CC3DE3"/>
    <w:rsid w:val="00CC4239"/>
    <w:rsid w:val="00CC434E"/>
    <w:rsid w:val="00CC4A14"/>
    <w:rsid w:val="00CC50D1"/>
    <w:rsid w:val="00CC677A"/>
    <w:rsid w:val="00CC685B"/>
    <w:rsid w:val="00CD1003"/>
    <w:rsid w:val="00CD19B2"/>
    <w:rsid w:val="00CD1F23"/>
    <w:rsid w:val="00CD28EE"/>
    <w:rsid w:val="00CD2E48"/>
    <w:rsid w:val="00CD32BC"/>
    <w:rsid w:val="00CD33B7"/>
    <w:rsid w:val="00CD5386"/>
    <w:rsid w:val="00CD53C3"/>
    <w:rsid w:val="00CD5931"/>
    <w:rsid w:val="00CD5ED2"/>
    <w:rsid w:val="00CE3A5A"/>
    <w:rsid w:val="00CE4EB7"/>
    <w:rsid w:val="00CE6318"/>
    <w:rsid w:val="00CE6382"/>
    <w:rsid w:val="00CE6D78"/>
    <w:rsid w:val="00CE6EDD"/>
    <w:rsid w:val="00CE7545"/>
    <w:rsid w:val="00CF05FC"/>
    <w:rsid w:val="00CF0648"/>
    <w:rsid w:val="00CF0BE6"/>
    <w:rsid w:val="00CF0FAA"/>
    <w:rsid w:val="00CF133B"/>
    <w:rsid w:val="00CF15F8"/>
    <w:rsid w:val="00CF1D54"/>
    <w:rsid w:val="00CF1FD7"/>
    <w:rsid w:val="00CF3BCE"/>
    <w:rsid w:val="00CF51EA"/>
    <w:rsid w:val="00CF7E3F"/>
    <w:rsid w:val="00D00FAA"/>
    <w:rsid w:val="00D0129B"/>
    <w:rsid w:val="00D033D9"/>
    <w:rsid w:val="00D03634"/>
    <w:rsid w:val="00D05959"/>
    <w:rsid w:val="00D06BF3"/>
    <w:rsid w:val="00D118DE"/>
    <w:rsid w:val="00D121C6"/>
    <w:rsid w:val="00D131A4"/>
    <w:rsid w:val="00D13249"/>
    <w:rsid w:val="00D13BEF"/>
    <w:rsid w:val="00D14E1F"/>
    <w:rsid w:val="00D21083"/>
    <w:rsid w:val="00D23D1A"/>
    <w:rsid w:val="00D2624A"/>
    <w:rsid w:val="00D26DDD"/>
    <w:rsid w:val="00D27CB4"/>
    <w:rsid w:val="00D301CE"/>
    <w:rsid w:val="00D30DE7"/>
    <w:rsid w:val="00D33FC8"/>
    <w:rsid w:val="00D346BC"/>
    <w:rsid w:val="00D3510B"/>
    <w:rsid w:val="00D356C6"/>
    <w:rsid w:val="00D35914"/>
    <w:rsid w:val="00D36BFC"/>
    <w:rsid w:val="00D405EC"/>
    <w:rsid w:val="00D41676"/>
    <w:rsid w:val="00D41E37"/>
    <w:rsid w:val="00D420F3"/>
    <w:rsid w:val="00D44AD4"/>
    <w:rsid w:val="00D465A4"/>
    <w:rsid w:val="00D50162"/>
    <w:rsid w:val="00D50640"/>
    <w:rsid w:val="00D5464E"/>
    <w:rsid w:val="00D54AF7"/>
    <w:rsid w:val="00D553CC"/>
    <w:rsid w:val="00D57033"/>
    <w:rsid w:val="00D57D01"/>
    <w:rsid w:val="00D61883"/>
    <w:rsid w:val="00D61FEF"/>
    <w:rsid w:val="00D62508"/>
    <w:rsid w:val="00D62522"/>
    <w:rsid w:val="00D63261"/>
    <w:rsid w:val="00D6359B"/>
    <w:rsid w:val="00D658BE"/>
    <w:rsid w:val="00D6711B"/>
    <w:rsid w:val="00D71822"/>
    <w:rsid w:val="00D72B0C"/>
    <w:rsid w:val="00D746EF"/>
    <w:rsid w:val="00D76167"/>
    <w:rsid w:val="00D777E7"/>
    <w:rsid w:val="00D85310"/>
    <w:rsid w:val="00D8597E"/>
    <w:rsid w:val="00D87DDB"/>
    <w:rsid w:val="00D91991"/>
    <w:rsid w:val="00D9461A"/>
    <w:rsid w:val="00D95ADB"/>
    <w:rsid w:val="00D970D1"/>
    <w:rsid w:val="00D97268"/>
    <w:rsid w:val="00DA02A4"/>
    <w:rsid w:val="00DA2DB6"/>
    <w:rsid w:val="00DA4B73"/>
    <w:rsid w:val="00DA7E52"/>
    <w:rsid w:val="00DB0429"/>
    <w:rsid w:val="00DB0924"/>
    <w:rsid w:val="00DB0BF5"/>
    <w:rsid w:val="00DB5FC2"/>
    <w:rsid w:val="00DC0F32"/>
    <w:rsid w:val="00DC15E0"/>
    <w:rsid w:val="00DC4016"/>
    <w:rsid w:val="00DC4CAC"/>
    <w:rsid w:val="00DD064F"/>
    <w:rsid w:val="00DD1C81"/>
    <w:rsid w:val="00DD1E3D"/>
    <w:rsid w:val="00DD2939"/>
    <w:rsid w:val="00DD3251"/>
    <w:rsid w:val="00DD4E00"/>
    <w:rsid w:val="00DD5978"/>
    <w:rsid w:val="00DD6784"/>
    <w:rsid w:val="00DE1CAD"/>
    <w:rsid w:val="00DE237C"/>
    <w:rsid w:val="00DE27F2"/>
    <w:rsid w:val="00DE3091"/>
    <w:rsid w:val="00DE4AF0"/>
    <w:rsid w:val="00DE516C"/>
    <w:rsid w:val="00DE60CF"/>
    <w:rsid w:val="00DE62F5"/>
    <w:rsid w:val="00DE70B0"/>
    <w:rsid w:val="00DF0FF7"/>
    <w:rsid w:val="00DF58D5"/>
    <w:rsid w:val="00DF5DB0"/>
    <w:rsid w:val="00DF6FBF"/>
    <w:rsid w:val="00E02762"/>
    <w:rsid w:val="00E027FF"/>
    <w:rsid w:val="00E03127"/>
    <w:rsid w:val="00E03ECF"/>
    <w:rsid w:val="00E04A78"/>
    <w:rsid w:val="00E0516F"/>
    <w:rsid w:val="00E05802"/>
    <w:rsid w:val="00E12632"/>
    <w:rsid w:val="00E12770"/>
    <w:rsid w:val="00E14977"/>
    <w:rsid w:val="00E151DC"/>
    <w:rsid w:val="00E15782"/>
    <w:rsid w:val="00E16E6D"/>
    <w:rsid w:val="00E16EDF"/>
    <w:rsid w:val="00E174AB"/>
    <w:rsid w:val="00E228EC"/>
    <w:rsid w:val="00E2384D"/>
    <w:rsid w:val="00E2550A"/>
    <w:rsid w:val="00E3266A"/>
    <w:rsid w:val="00E335B2"/>
    <w:rsid w:val="00E343A8"/>
    <w:rsid w:val="00E35D76"/>
    <w:rsid w:val="00E401BE"/>
    <w:rsid w:val="00E404E2"/>
    <w:rsid w:val="00E40637"/>
    <w:rsid w:val="00E44AB2"/>
    <w:rsid w:val="00E44F4F"/>
    <w:rsid w:val="00E44F51"/>
    <w:rsid w:val="00E47AA3"/>
    <w:rsid w:val="00E47AB9"/>
    <w:rsid w:val="00E50C03"/>
    <w:rsid w:val="00E532D0"/>
    <w:rsid w:val="00E54DB1"/>
    <w:rsid w:val="00E5559B"/>
    <w:rsid w:val="00E564A7"/>
    <w:rsid w:val="00E565B9"/>
    <w:rsid w:val="00E57820"/>
    <w:rsid w:val="00E60AE4"/>
    <w:rsid w:val="00E65978"/>
    <w:rsid w:val="00E6666C"/>
    <w:rsid w:val="00E71C9C"/>
    <w:rsid w:val="00E71FC7"/>
    <w:rsid w:val="00E7216E"/>
    <w:rsid w:val="00E72285"/>
    <w:rsid w:val="00E75A3E"/>
    <w:rsid w:val="00E76590"/>
    <w:rsid w:val="00E765D9"/>
    <w:rsid w:val="00E77DCE"/>
    <w:rsid w:val="00E814BB"/>
    <w:rsid w:val="00E81D68"/>
    <w:rsid w:val="00E84CC4"/>
    <w:rsid w:val="00E84EC5"/>
    <w:rsid w:val="00E86BE1"/>
    <w:rsid w:val="00E87134"/>
    <w:rsid w:val="00E87564"/>
    <w:rsid w:val="00E92EB6"/>
    <w:rsid w:val="00E93444"/>
    <w:rsid w:val="00E93690"/>
    <w:rsid w:val="00E94369"/>
    <w:rsid w:val="00E94DCD"/>
    <w:rsid w:val="00E951CF"/>
    <w:rsid w:val="00E962C9"/>
    <w:rsid w:val="00E9671E"/>
    <w:rsid w:val="00E97350"/>
    <w:rsid w:val="00E97A77"/>
    <w:rsid w:val="00EA02FB"/>
    <w:rsid w:val="00EA0DC7"/>
    <w:rsid w:val="00EA1A30"/>
    <w:rsid w:val="00EA4C3B"/>
    <w:rsid w:val="00EA6688"/>
    <w:rsid w:val="00EA6F6A"/>
    <w:rsid w:val="00EA71F6"/>
    <w:rsid w:val="00EB0446"/>
    <w:rsid w:val="00EB0846"/>
    <w:rsid w:val="00EB2727"/>
    <w:rsid w:val="00EB4AFC"/>
    <w:rsid w:val="00EB704D"/>
    <w:rsid w:val="00EC004F"/>
    <w:rsid w:val="00EC075C"/>
    <w:rsid w:val="00EC1B6B"/>
    <w:rsid w:val="00EC2D0C"/>
    <w:rsid w:val="00EC3303"/>
    <w:rsid w:val="00EC33A8"/>
    <w:rsid w:val="00EC364F"/>
    <w:rsid w:val="00EC7AEB"/>
    <w:rsid w:val="00ED201A"/>
    <w:rsid w:val="00ED2750"/>
    <w:rsid w:val="00ED2852"/>
    <w:rsid w:val="00ED4C7A"/>
    <w:rsid w:val="00ED4CEC"/>
    <w:rsid w:val="00ED4E52"/>
    <w:rsid w:val="00ED7758"/>
    <w:rsid w:val="00EE12D7"/>
    <w:rsid w:val="00EE1F84"/>
    <w:rsid w:val="00EE39F2"/>
    <w:rsid w:val="00EE45A6"/>
    <w:rsid w:val="00EE4C45"/>
    <w:rsid w:val="00EE4DBA"/>
    <w:rsid w:val="00EE54DF"/>
    <w:rsid w:val="00EF023B"/>
    <w:rsid w:val="00EF026A"/>
    <w:rsid w:val="00EF1971"/>
    <w:rsid w:val="00EF2015"/>
    <w:rsid w:val="00EF2CD8"/>
    <w:rsid w:val="00EF3666"/>
    <w:rsid w:val="00EF56ED"/>
    <w:rsid w:val="00EF5F40"/>
    <w:rsid w:val="00EF61A4"/>
    <w:rsid w:val="00EF7E27"/>
    <w:rsid w:val="00F021ED"/>
    <w:rsid w:val="00F037C7"/>
    <w:rsid w:val="00F0540E"/>
    <w:rsid w:val="00F07D94"/>
    <w:rsid w:val="00F1002C"/>
    <w:rsid w:val="00F11603"/>
    <w:rsid w:val="00F11D8F"/>
    <w:rsid w:val="00F1300B"/>
    <w:rsid w:val="00F14020"/>
    <w:rsid w:val="00F148EF"/>
    <w:rsid w:val="00F15BAD"/>
    <w:rsid w:val="00F16704"/>
    <w:rsid w:val="00F17199"/>
    <w:rsid w:val="00F20772"/>
    <w:rsid w:val="00F21DE5"/>
    <w:rsid w:val="00F22413"/>
    <w:rsid w:val="00F2245C"/>
    <w:rsid w:val="00F2532F"/>
    <w:rsid w:val="00F25D34"/>
    <w:rsid w:val="00F260F5"/>
    <w:rsid w:val="00F272B3"/>
    <w:rsid w:val="00F276AA"/>
    <w:rsid w:val="00F31F82"/>
    <w:rsid w:val="00F33F2D"/>
    <w:rsid w:val="00F34C43"/>
    <w:rsid w:val="00F34D2A"/>
    <w:rsid w:val="00F351AD"/>
    <w:rsid w:val="00F358FA"/>
    <w:rsid w:val="00F3642B"/>
    <w:rsid w:val="00F36DF5"/>
    <w:rsid w:val="00F37150"/>
    <w:rsid w:val="00F3760C"/>
    <w:rsid w:val="00F4156B"/>
    <w:rsid w:val="00F41B86"/>
    <w:rsid w:val="00F42C4A"/>
    <w:rsid w:val="00F43F3D"/>
    <w:rsid w:val="00F4462C"/>
    <w:rsid w:val="00F44D4E"/>
    <w:rsid w:val="00F459E2"/>
    <w:rsid w:val="00F467C4"/>
    <w:rsid w:val="00F470C7"/>
    <w:rsid w:val="00F5235E"/>
    <w:rsid w:val="00F53A74"/>
    <w:rsid w:val="00F5744B"/>
    <w:rsid w:val="00F576EF"/>
    <w:rsid w:val="00F607D0"/>
    <w:rsid w:val="00F608D1"/>
    <w:rsid w:val="00F6092F"/>
    <w:rsid w:val="00F611A5"/>
    <w:rsid w:val="00F612B0"/>
    <w:rsid w:val="00F612FD"/>
    <w:rsid w:val="00F62D54"/>
    <w:rsid w:val="00F6355D"/>
    <w:rsid w:val="00F64DA8"/>
    <w:rsid w:val="00F664BF"/>
    <w:rsid w:val="00F679A9"/>
    <w:rsid w:val="00F708A6"/>
    <w:rsid w:val="00F70DA4"/>
    <w:rsid w:val="00F7182B"/>
    <w:rsid w:val="00F73369"/>
    <w:rsid w:val="00F73CB7"/>
    <w:rsid w:val="00F74387"/>
    <w:rsid w:val="00F75981"/>
    <w:rsid w:val="00F7646D"/>
    <w:rsid w:val="00F77C44"/>
    <w:rsid w:val="00F806E6"/>
    <w:rsid w:val="00F825A2"/>
    <w:rsid w:val="00F8500C"/>
    <w:rsid w:val="00F8566D"/>
    <w:rsid w:val="00F864C4"/>
    <w:rsid w:val="00F90378"/>
    <w:rsid w:val="00F919C2"/>
    <w:rsid w:val="00F91AEE"/>
    <w:rsid w:val="00F932B2"/>
    <w:rsid w:val="00F94B70"/>
    <w:rsid w:val="00F95335"/>
    <w:rsid w:val="00F96B31"/>
    <w:rsid w:val="00F97532"/>
    <w:rsid w:val="00F97C98"/>
    <w:rsid w:val="00FA2A34"/>
    <w:rsid w:val="00FA2C25"/>
    <w:rsid w:val="00FA30A1"/>
    <w:rsid w:val="00FA45E3"/>
    <w:rsid w:val="00FA4F8F"/>
    <w:rsid w:val="00FA6B50"/>
    <w:rsid w:val="00FA6E4D"/>
    <w:rsid w:val="00FA6EFF"/>
    <w:rsid w:val="00FA7610"/>
    <w:rsid w:val="00FA794E"/>
    <w:rsid w:val="00FB0A51"/>
    <w:rsid w:val="00FB0C2E"/>
    <w:rsid w:val="00FB1EAA"/>
    <w:rsid w:val="00FB30A6"/>
    <w:rsid w:val="00FB4172"/>
    <w:rsid w:val="00FB5EDD"/>
    <w:rsid w:val="00FB66E7"/>
    <w:rsid w:val="00FB7308"/>
    <w:rsid w:val="00FC1D2A"/>
    <w:rsid w:val="00FC2638"/>
    <w:rsid w:val="00FC2F74"/>
    <w:rsid w:val="00FC3026"/>
    <w:rsid w:val="00FC4F05"/>
    <w:rsid w:val="00FC4FF3"/>
    <w:rsid w:val="00FC6BBC"/>
    <w:rsid w:val="00FC7C93"/>
    <w:rsid w:val="00FD1F94"/>
    <w:rsid w:val="00FD25FC"/>
    <w:rsid w:val="00FD2B7D"/>
    <w:rsid w:val="00FD2CCA"/>
    <w:rsid w:val="00FD500D"/>
    <w:rsid w:val="00FD51CB"/>
    <w:rsid w:val="00FD52CC"/>
    <w:rsid w:val="00FD6263"/>
    <w:rsid w:val="00FD69C1"/>
    <w:rsid w:val="00FD70D5"/>
    <w:rsid w:val="00FD713B"/>
    <w:rsid w:val="00FD7BB1"/>
    <w:rsid w:val="00FE0866"/>
    <w:rsid w:val="00FE1936"/>
    <w:rsid w:val="00FE5287"/>
    <w:rsid w:val="00FE637B"/>
    <w:rsid w:val="00FE6AE2"/>
    <w:rsid w:val="00FE7755"/>
    <w:rsid w:val="00FF0F5E"/>
    <w:rsid w:val="00FF2969"/>
    <w:rsid w:val="00FF2DB4"/>
    <w:rsid w:val="00FF3504"/>
    <w:rsid w:val="00FF584D"/>
    <w:rsid w:val="00FF636F"/>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92613"/>
    <w:rPr>
      <w:sz w:val="24"/>
      <w:szCs w:val="24"/>
    </w:rPr>
  </w:style>
  <w:style w:type="paragraph" w:styleId="Heading1">
    <w:name w:val="heading 1"/>
    <w:basedOn w:val="Normal"/>
    <w:next w:val="Normal"/>
    <w:link w:val="Heading1Char"/>
    <w:uiPriority w:val="98"/>
    <w:semiHidden/>
    <w:rsid w:val="00592613"/>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92613"/>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92613"/>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592613"/>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592613"/>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592613"/>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592613"/>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592613"/>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92613"/>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92613"/>
    <w:rPr>
      <w:rFonts w:ascii="Tahoma" w:hAnsi="Tahoma" w:cs="Tahoma"/>
      <w:sz w:val="16"/>
      <w:szCs w:val="16"/>
    </w:rPr>
  </w:style>
  <w:style w:type="character" w:customStyle="1" w:styleId="BalloonTextChar">
    <w:name w:val="Balloon Text Char"/>
    <w:basedOn w:val="DefaultParagraphFont"/>
    <w:link w:val="BalloonText"/>
    <w:uiPriority w:val="98"/>
    <w:semiHidden/>
    <w:rsid w:val="00592613"/>
    <w:rPr>
      <w:rFonts w:ascii="Tahoma" w:hAnsi="Tahoma" w:cs="Tahoma"/>
      <w:sz w:val="16"/>
      <w:szCs w:val="16"/>
    </w:rPr>
  </w:style>
  <w:style w:type="character" w:styleId="BookTitle">
    <w:name w:val="Book Title"/>
    <w:uiPriority w:val="98"/>
    <w:semiHidden/>
    <w:qFormat/>
    <w:rsid w:val="00592613"/>
    <w:rPr>
      <w:i/>
      <w:iCs/>
      <w:smallCaps/>
      <w:spacing w:val="5"/>
    </w:rPr>
  </w:style>
  <w:style w:type="paragraph" w:customStyle="1" w:styleId="JuHeader">
    <w:name w:val="Ju_Header"/>
    <w:aliases w:val="_Header"/>
    <w:basedOn w:val="Header"/>
    <w:uiPriority w:val="29"/>
    <w:qFormat/>
    <w:rsid w:val="00592613"/>
    <w:pPr>
      <w:tabs>
        <w:tab w:val="clear" w:pos="4536"/>
        <w:tab w:val="clear" w:pos="9072"/>
        <w:tab w:val="center" w:pos="3686"/>
        <w:tab w:val="right" w:pos="7371"/>
      </w:tabs>
    </w:pPr>
    <w:rPr>
      <w:sz w:val="18"/>
    </w:rPr>
  </w:style>
  <w:style w:type="paragraph" w:customStyle="1" w:styleId="ECHRFooter">
    <w:name w:val="ECHR_Footer"/>
    <w:aliases w:val="Footer_ECHR"/>
    <w:basedOn w:val="Footer"/>
    <w:uiPriority w:val="57"/>
    <w:semiHidden/>
    <w:rsid w:val="00D06BF3"/>
    <w:rPr>
      <w:sz w:val="8"/>
    </w:rPr>
  </w:style>
  <w:style w:type="character" w:styleId="Strong">
    <w:name w:val="Strong"/>
    <w:uiPriority w:val="98"/>
    <w:semiHidden/>
    <w:qFormat/>
    <w:rsid w:val="00592613"/>
    <w:rPr>
      <w:b/>
      <w:bCs/>
    </w:rPr>
  </w:style>
  <w:style w:type="paragraph" w:styleId="NoSpacing">
    <w:name w:val="No Spacing"/>
    <w:basedOn w:val="Normal"/>
    <w:link w:val="NoSpacingChar"/>
    <w:uiPriority w:val="98"/>
    <w:semiHidden/>
    <w:qFormat/>
    <w:rsid w:val="00592613"/>
  </w:style>
  <w:style w:type="character" w:customStyle="1" w:styleId="NoSpacingChar">
    <w:name w:val="No Spacing Char"/>
    <w:basedOn w:val="DefaultParagraphFont"/>
    <w:link w:val="NoSpacing"/>
    <w:uiPriority w:val="98"/>
    <w:semiHidden/>
    <w:rsid w:val="00592613"/>
    <w:rPr>
      <w:sz w:val="24"/>
      <w:szCs w:val="24"/>
    </w:rPr>
  </w:style>
  <w:style w:type="paragraph" w:customStyle="1" w:styleId="FooterLine">
    <w:name w:val="_Footer_Line"/>
    <w:aliases w:val="Footer_Line"/>
    <w:basedOn w:val="Normal"/>
    <w:next w:val="Footer0"/>
    <w:uiPriority w:val="57"/>
    <w:semiHidden/>
    <w:rsid w:val="00592613"/>
    <w:pPr>
      <w:pBdr>
        <w:top w:val="single" w:sz="6" w:space="1" w:color="5F5F5F"/>
      </w:pBdr>
      <w:tabs>
        <w:tab w:val="center" w:pos="3686"/>
        <w:tab w:val="right" w:pos="7371"/>
      </w:tabs>
      <w:ind w:left="-1474" w:right="-1474"/>
    </w:pPr>
    <w:rPr>
      <w:color w:val="5F5F5F"/>
    </w:rPr>
  </w:style>
  <w:style w:type="paragraph" w:customStyle="1" w:styleId="ECHRBullet1">
    <w:name w:val="ECHR_Bullet_1"/>
    <w:aliases w:val="_Bul_1"/>
    <w:basedOn w:val="NormalJustified"/>
    <w:uiPriority w:val="23"/>
    <w:semiHidden/>
    <w:qFormat/>
    <w:rsid w:val="00592613"/>
    <w:pPr>
      <w:numPr>
        <w:numId w:val="6"/>
      </w:numPr>
      <w:spacing w:before="60" w:after="60"/>
    </w:pPr>
  </w:style>
  <w:style w:type="paragraph" w:customStyle="1" w:styleId="NormalJustified">
    <w:name w:val="Normal_Justified"/>
    <w:basedOn w:val="Normal"/>
    <w:semiHidden/>
    <w:rsid w:val="00592613"/>
    <w:pPr>
      <w:jc w:val="both"/>
    </w:pPr>
  </w:style>
  <w:style w:type="paragraph" w:customStyle="1" w:styleId="ECHRCoverTitle4">
    <w:name w:val="ECHR_Cover_Title_4"/>
    <w:aliases w:val="_Title_4"/>
    <w:basedOn w:val="JuPara"/>
    <w:next w:val="JuPara"/>
    <w:uiPriority w:val="38"/>
    <w:qFormat/>
    <w:rsid w:val="00592613"/>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592613"/>
    <w:pPr>
      <w:keepNext/>
      <w:spacing w:before="100" w:beforeAutospacing="1" w:after="120"/>
      <w:contextualSpacing/>
      <w:jc w:val="center"/>
    </w:pPr>
    <w:rPr>
      <w:b/>
      <w:sz w:val="20"/>
    </w:rPr>
  </w:style>
  <w:style w:type="paragraph" w:customStyle="1" w:styleId="ECHRBullet2">
    <w:name w:val="ECHR_Bullet_2"/>
    <w:aliases w:val="_Bul_2"/>
    <w:basedOn w:val="ECHRBullet1"/>
    <w:uiPriority w:val="23"/>
    <w:semiHidden/>
    <w:rsid w:val="00592613"/>
    <w:pPr>
      <w:numPr>
        <w:ilvl w:val="1"/>
      </w:numPr>
    </w:pPr>
  </w:style>
  <w:style w:type="numbering" w:customStyle="1" w:styleId="ECHRA1StyleBulletedSquare">
    <w:name w:val="ECHR_A1_Style_Bulleted_Square"/>
    <w:basedOn w:val="NoList"/>
    <w:rsid w:val="00592613"/>
    <w:pPr>
      <w:numPr>
        <w:numId w:val="6"/>
      </w:numPr>
    </w:pPr>
  </w:style>
  <w:style w:type="numbering" w:customStyle="1" w:styleId="ECHRA1StyleList">
    <w:name w:val="ECHR_A1_Style_List"/>
    <w:basedOn w:val="NoList"/>
    <w:uiPriority w:val="99"/>
    <w:rsid w:val="00592613"/>
    <w:pPr>
      <w:numPr>
        <w:numId w:val="7"/>
      </w:numPr>
    </w:pPr>
  </w:style>
  <w:style w:type="numbering" w:customStyle="1" w:styleId="ECHRA1StyleNumberedList">
    <w:name w:val="ECHR_A1_Style_Numbered_List"/>
    <w:basedOn w:val="NoList"/>
    <w:rsid w:val="00592613"/>
    <w:pPr>
      <w:numPr>
        <w:numId w:val="8"/>
      </w:numPr>
    </w:pPr>
  </w:style>
  <w:style w:type="paragraph" w:customStyle="1" w:styleId="DecHCase">
    <w:name w:val="Dec_H_Case"/>
    <w:aliases w:val="_Title_3"/>
    <w:basedOn w:val="JuPara"/>
    <w:next w:val="JuPara"/>
    <w:uiPriority w:val="38"/>
    <w:qFormat/>
    <w:rsid w:val="00592613"/>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92613"/>
    <w:pPr>
      <w:keepNext/>
      <w:keepLines/>
      <w:spacing w:before="1320" w:after="280"/>
      <w:contextualSpacing/>
      <w:jc w:val="center"/>
    </w:pPr>
    <w:rPr>
      <w:b/>
    </w:rPr>
  </w:style>
  <w:style w:type="paragraph" w:styleId="Title">
    <w:name w:val="Title"/>
    <w:basedOn w:val="Normal"/>
    <w:next w:val="Normal"/>
    <w:link w:val="TitleChar"/>
    <w:uiPriority w:val="98"/>
    <w:semiHidden/>
    <w:qFormat/>
    <w:rsid w:val="0059261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92613"/>
    <w:rPr>
      <w:rFonts w:asciiTheme="majorHAnsi" w:eastAsiaTheme="majorEastAsia" w:hAnsiTheme="majorHAnsi" w:cstheme="majorBidi"/>
      <w:spacing w:val="5"/>
      <w:sz w:val="52"/>
      <w:szCs w:val="52"/>
      <w:lang w:bidi="en-US"/>
    </w:rPr>
  </w:style>
  <w:style w:type="paragraph" w:customStyle="1" w:styleId="JuH1">
    <w:name w:val="Ju_H_1."/>
    <w:aliases w:val="_Head_4"/>
    <w:basedOn w:val="Normal"/>
    <w:next w:val="JuPara"/>
    <w:uiPriority w:val="17"/>
    <w:rsid w:val="00592613"/>
    <w:pPr>
      <w:keepNext/>
      <w:keepLines/>
      <w:numPr>
        <w:ilvl w:val="3"/>
        <w:numId w:val="2"/>
      </w:numPr>
      <w:spacing w:before="100" w:beforeAutospacing="1" w:after="120"/>
      <w:jc w:val="both"/>
      <w:outlineLvl w:val="3"/>
    </w:pPr>
    <w:rPr>
      <w:i/>
    </w:rPr>
  </w:style>
  <w:style w:type="paragraph" w:customStyle="1" w:styleId="JuHa0">
    <w:name w:val="Ju_H_a"/>
    <w:aliases w:val="_Head_5"/>
    <w:basedOn w:val="Normal"/>
    <w:next w:val="JuPara"/>
    <w:uiPriority w:val="17"/>
    <w:rsid w:val="00592613"/>
    <w:pPr>
      <w:keepNext/>
      <w:keepLines/>
      <w:numPr>
        <w:ilvl w:val="4"/>
        <w:numId w:val="2"/>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592613"/>
    <w:pPr>
      <w:keepNext/>
      <w:keepLines/>
      <w:numPr>
        <w:ilvl w:val="5"/>
        <w:numId w:val="2"/>
      </w:numPr>
      <w:spacing w:before="100" w:beforeAutospacing="1" w:after="120"/>
      <w:jc w:val="both"/>
      <w:outlineLvl w:val="5"/>
    </w:pPr>
    <w:rPr>
      <w:i/>
      <w:sz w:val="20"/>
    </w:rPr>
  </w:style>
  <w:style w:type="paragraph" w:customStyle="1" w:styleId="JuHalpha">
    <w:name w:val="Ju_H_alpha"/>
    <w:aliases w:val="_Head_7"/>
    <w:basedOn w:val="Normal"/>
    <w:next w:val="JuPara"/>
    <w:uiPriority w:val="17"/>
    <w:rsid w:val="00592613"/>
    <w:pPr>
      <w:keepNext/>
      <w:keepLines/>
      <w:numPr>
        <w:ilvl w:val="6"/>
        <w:numId w:val="2"/>
      </w:numPr>
      <w:spacing w:before="100" w:beforeAutospacing="1" w:after="120"/>
      <w:jc w:val="both"/>
      <w:outlineLvl w:val="6"/>
    </w:pPr>
    <w:rPr>
      <w:sz w:val="20"/>
    </w:rPr>
  </w:style>
  <w:style w:type="paragraph" w:customStyle="1" w:styleId="JuH">
    <w:name w:val="Ju_H_–"/>
    <w:aliases w:val="_Head_8"/>
    <w:basedOn w:val="Normal"/>
    <w:next w:val="JuPara"/>
    <w:uiPriority w:val="17"/>
    <w:rsid w:val="00592613"/>
    <w:pPr>
      <w:keepNext/>
      <w:keepLines/>
      <w:numPr>
        <w:ilvl w:val="7"/>
        <w:numId w:val="2"/>
      </w:numPr>
      <w:spacing w:before="100" w:beforeAutospacing="1" w:after="120"/>
      <w:jc w:val="both"/>
      <w:outlineLvl w:val="7"/>
    </w:pPr>
    <w:rPr>
      <w:i/>
      <w:sz w:val="20"/>
    </w:rPr>
  </w:style>
  <w:style w:type="table" w:customStyle="1" w:styleId="ECHRTable2019">
    <w:name w:val="ECHR_Table_2019"/>
    <w:basedOn w:val="TableNormal"/>
    <w:uiPriority w:val="99"/>
    <w:rsid w:val="0059261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Initialled">
    <w:name w:val="Ju_Initialled"/>
    <w:aliases w:val="_Right"/>
    <w:basedOn w:val="Normal"/>
    <w:uiPriority w:val="31"/>
    <w:qFormat/>
    <w:rsid w:val="00592613"/>
    <w:pPr>
      <w:tabs>
        <w:tab w:val="center" w:pos="6407"/>
      </w:tabs>
      <w:spacing w:before="720"/>
      <w:jc w:val="right"/>
    </w:pPr>
  </w:style>
  <w:style w:type="paragraph" w:customStyle="1" w:styleId="Footer0">
    <w:name w:val="_Footer"/>
    <w:aliases w:val="Footer_"/>
    <w:basedOn w:val="Footer"/>
    <w:uiPriority w:val="57"/>
    <w:semiHidden/>
    <w:rsid w:val="00592613"/>
    <w:rPr>
      <w:sz w:val="8"/>
    </w:rPr>
  </w:style>
  <w:style w:type="paragraph" w:styleId="Header">
    <w:name w:val="header"/>
    <w:basedOn w:val="Normal"/>
    <w:link w:val="HeaderChar"/>
    <w:uiPriority w:val="98"/>
    <w:semiHidden/>
    <w:rsid w:val="00592613"/>
    <w:pPr>
      <w:tabs>
        <w:tab w:val="center" w:pos="4536"/>
        <w:tab w:val="right" w:pos="9072"/>
      </w:tabs>
    </w:pPr>
  </w:style>
  <w:style w:type="character" w:customStyle="1" w:styleId="HeaderChar">
    <w:name w:val="Header Char"/>
    <w:basedOn w:val="DefaultParagraphFont"/>
    <w:link w:val="Header"/>
    <w:uiPriority w:val="98"/>
    <w:semiHidden/>
    <w:rsid w:val="00592613"/>
    <w:rPr>
      <w:sz w:val="24"/>
      <w:szCs w:val="24"/>
    </w:rPr>
  </w:style>
  <w:style w:type="character" w:customStyle="1" w:styleId="Heading1Char">
    <w:name w:val="Heading 1 Char"/>
    <w:basedOn w:val="DefaultParagraphFont"/>
    <w:link w:val="Heading1"/>
    <w:uiPriority w:val="98"/>
    <w:semiHidden/>
    <w:rsid w:val="00592613"/>
    <w:rPr>
      <w:rFonts w:asciiTheme="majorHAnsi" w:eastAsiaTheme="majorEastAsia" w:hAnsiTheme="majorHAnsi" w:cstheme="majorBidi"/>
      <w:b/>
      <w:bCs/>
      <w:color w:val="333333"/>
      <w:sz w:val="28"/>
      <w:szCs w:val="28"/>
    </w:rPr>
  </w:style>
  <w:style w:type="paragraph" w:customStyle="1" w:styleId="JuHIRoman">
    <w:name w:val="Ju_H_I_Roman"/>
    <w:aliases w:val="_Head_2"/>
    <w:basedOn w:val="Normal"/>
    <w:next w:val="JuPara"/>
    <w:uiPriority w:val="17"/>
    <w:qFormat/>
    <w:rsid w:val="00592613"/>
    <w:pPr>
      <w:keepNext/>
      <w:keepLines/>
      <w:numPr>
        <w:ilvl w:val="1"/>
        <w:numId w:val="2"/>
      </w:numPr>
      <w:spacing w:before="100" w:beforeAutospacing="1" w:after="240"/>
      <w:jc w:val="both"/>
      <w:outlineLvl w:val="1"/>
    </w:pPr>
    <w:rPr>
      <w:caps/>
    </w:rPr>
  </w:style>
  <w:style w:type="paragraph" w:customStyle="1" w:styleId="JuHA">
    <w:name w:val="Ju_H_A"/>
    <w:aliases w:val="_Head_3"/>
    <w:basedOn w:val="Normal"/>
    <w:next w:val="JuPara"/>
    <w:uiPriority w:val="17"/>
    <w:qFormat/>
    <w:rsid w:val="00592613"/>
    <w:pPr>
      <w:keepNext/>
      <w:keepLines/>
      <w:numPr>
        <w:ilvl w:val="2"/>
        <w:numId w:val="2"/>
      </w:numPr>
      <w:spacing w:before="100" w:beforeAutospacing="1" w:after="240"/>
      <w:jc w:val="both"/>
      <w:outlineLvl w:val="2"/>
    </w:pPr>
    <w:rPr>
      <w:b/>
    </w:rPr>
  </w:style>
  <w:style w:type="character" w:customStyle="1" w:styleId="Heading2Char">
    <w:name w:val="Heading 2 Char"/>
    <w:basedOn w:val="DefaultParagraphFont"/>
    <w:link w:val="Heading2"/>
    <w:uiPriority w:val="98"/>
    <w:semiHidden/>
    <w:rsid w:val="00592613"/>
    <w:rPr>
      <w:rFonts w:asciiTheme="majorHAnsi" w:eastAsiaTheme="majorEastAsia" w:hAnsiTheme="majorHAnsi" w:cstheme="majorBidi"/>
      <w:b/>
      <w:bCs/>
      <w:color w:val="4D4D4D"/>
      <w:sz w:val="26"/>
      <w:szCs w:val="26"/>
    </w:rPr>
  </w:style>
  <w:style w:type="character" w:customStyle="1" w:styleId="JUNAMES">
    <w:name w:val="JU_NAMES"/>
    <w:aliases w:val="_Ju_Names"/>
    <w:uiPriority w:val="33"/>
    <w:qFormat/>
    <w:rsid w:val="00592613"/>
    <w:rPr>
      <w:caps w:val="0"/>
      <w:smallCaps/>
    </w:rPr>
  </w:style>
  <w:style w:type="paragraph" w:customStyle="1" w:styleId="JuCase">
    <w:name w:val="Ju_Case"/>
    <w:aliases w:val="_Case_Name"/>
    <w:basedOn w:val="Normal"/>
    <w:next w:val="JuPara"/>
    <w:uiPriority w:val="32"/>
    <w:rsid w:val="00592613"/>
    <w:pPr>
      <w:ind w:firstLine="284"/>
    </w:pPr>
    <w:rPr>
      <w:b/>
    </w:rPr>
  </w:style>
  <w:style w:type="character" w:customStyle="1" w:styleId="Heading3Char">
    <w:name w:val="Heading 3 Char"/>
    <w:basedOn w:val="DefaultParagraphFont"/>
    <w:link w:val="Heading3"/>
    <w:uiPriority w:val="98"/>
    <w:semiHidden/>
    <w:rsid w:val="00592613"/>
    <w:rPr>
      <w:rFonts w:asciiTheme="majorHAnsi" w:eastAsiaTheme="majorEastAsia" w:hAnsiTheme="majorHAnsi" w:cstheme="majorBidi"/>
      <w:b/>
      <w:bCs/>
      <w:color w:val="5F5F5F"/>
      <w:sz w:val="24"/>
      <w:szCs w:val="24"/>
    </w:rPr>
  </w:style>
  <w:style w:type="character" w:customStyle="1" w:styleId="Heading4Char">
    <w:name w:val="Heading 4 Char"/>
    <w:basedOn w:val="DefaultParagraphFont"/>
    <w:link w:val="Heading4"/>
    <w:uiPriority w:val="98"/>
    <w:semiHidden/>
    <w:rsid w:val="00592613"/>
    <w:rPr>
      <w:rFonts w:asciiTheme="majorHAnsi" w:eastAsiaTheme="majorEastAsia" w:hAnsiTheme="majorHAnsi" w:cstheme="majorBidi"/>
      <w:b/>
      <w:bCs/>
      <w:i/>
      <w:iCs/>
      <w:color w:val="777777"/>
      <w:sz w:val="24"/>
      <w:szCs w:val="24"/>
    </w:rPr>
  </w:style>
  <w:style w:type="character" w:customStyle="1" w:styleId="Heading5Char">
    <w:name w:val="Heading 5 Char"/>
    <w:basedOn w:val="DefaultParagraphFont"/>
    <w:link w:val="Heading5"/>
    <w:uiPriority w:val="98"/>
    <w:semiHidden/>
    <w:rsid w:val="00592613"/>
    <w:rPr>
      <w:rFonts w:asciiTheme="majorHAnsi" w:eastAsiaTheme="majorEastAsia" w:hAnsiTheme="majorHAnsi" w:cstheme="majorBidi"/>
      <w:b/>
      <w:bCs/>
      <w:color w:val="808080"/>
      <w:sz w:val="24"/>
      <w:szCs w:val="24"/>
    </w:rPr>
  </w:style>
  <w:style w:type="character" w:styleId="SubtleEmphasis">
    <w:name w:val="Subtle Emphasis"/>
    <w:uiPriority w:val="98"/>
    <w:semiHidden/>
    <w:qFormat/>
    <w:rsid w:val="00592613"/>
    <w:rPr>
      <w:i/>
      <w:iCs/>
    </w:rPr>
  </w:style>
  <w:style w:type="table" w:customStyle="1" w:styleId="ECHRTable">
    <w:name w:val="ECHR_Table"/>
    <w:basedOn w:val="TableNormal"/>
    <w:rsid w:val="0059261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9261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HHead">
    <w:name w:val="Ju_H_Head"/>
    <w:aliases w:val="_Head_1"/>
    <w:basedOn w:val="Normal"/>
    <w:next w:val="JuPara"/>
    <w:uiPriority w:val="17"/>
    <w:qFormat/>
    <w:rsid w:val="00592613"/>
    <w:pPr>
      <w:keepNext/>
      <w:keepLines/>
      <w:numPr>
        <w:numId w:val="2"/>
      </w:numPr>
      <w:spacing w:before="100" w:beforeAutospacing="1" w:after="240"/>
      <w:jc w:val="both"/>
      <w:outlineLvl w:val="0"/>
    </w:pPr>
    <w:rPr>
      <w:caps/>
      <w:sz w:val="28"/>
    </w:rPr>
  </w:style>
  <w:style w:type="character" w:styleId="Emphasis">
    <w:name w:val="Emphasis"/>
    <w:uiPriority w:val="98"/>
    <w:semiHidden/>
    <w:qFormat/>
    <w:rsid w:val="00592613"/>
    <w:rPr>
      <w:b/>
      <w:bCs/>
      <w:i/>
      <w:iCs/>
      <w:spacing w:val="10"/>
      <w:bdr w:val="none" w:sz="0" w:space="0" w:color="auto"/>
      <w:shd w:val="clear" w:color="auto" w:fill="auto"/>
    </w:rPr>
  </w:style>
  <w:style w:type="paragraph" w:styleId="Footer">
    <w:name w:val="footer"/>
    <w:basedOn w:val="Normal"/>
    <w:link w:val="FooterChar"/>
    <w:uiPriority w:val="98"/>
    <w:semiHidden/>
    <w:rsid w:val="00592613"/>
    <w:pPr>
      <w:tabs>
        <w:tab w:val="center" w:pos="3686"/>
        <w:tab w:val="right" w:pos="7371"/>
      </w:tabs>
    </w:pPr>
  </w:style>
  <w:style w:type="character" w:customStyle="1" w:styleId="FooterChar">
    <w:name w:val="Footer Char"/>
    <w:basedOn w:val="DefaultParagraphFont"/>
    <w:link w:val="Footer"/>
    <w:uiPriority w:val="98"/>
    <w:semiHidden/>
    <w:rsid w:val="00592613"/>
    <w:rPr>
      <w:sz w:val="24"/>
      <w:szCs w:val="24"/>
    </w:rPr>
  </w:style>
  <w:style w:type="character" w:styleId="FootnoteReference">
    <w:name w:val="footnote reference"/>
    <w:basedOn w:val="DefaultParagraphFont"/>
    <w:uiPriority w:val="98"/>
    <w:semiHidden/>
    <w:rsid w:val="00592613"/>
    <w:rPr>
      <w:vertAlign w:val="superscript"/>
    </w:rPr>
  </w:style>
  <w:style w:type="paragraph" w:styleId="FootnoteText">
    <w:name w:val="footnote text"/>
    <w:basedOn w:val="Normal"/>
    <w:link w:val="FootnoteTextChar"/>
    <w:uiPriority w:val="98"/>
    <w:semiHidden/>
    <w:rsid w:val="00592613"/>
    <w:rPr>
      <w:sz w:val="20"/>
      <w:szCs w:val="20"/>
    </w:rPr>
  </w:style>
  <w:style w:type="character" w:customStyle="1" w:styleId="FootnoteTextChar">
    <w:name w:val="Footnote Text Char"/>
    <w:basedOn w:val="DefaultParagraphFont"/>
    <w:link w:val="FootnoteText"/>
    <w:uiPriority w:val="98"/>
    <w:semiHidden/>
    <w:rsid w:val="00592613"/>
    <w:rPr>
      <w:sz w:val="20"/>
      <w:szCs w:val="20"/>
    </w:rPr>
  </w:style>
  <w:style w:type="character" w:customStyle="1" w:styleId="Heading6Char">
    <w:name w:val="Heading 6 Char"/>
    <w:basedOn w:val="DefaultParagraphFont"/>
    <w:link w:val="Heading6"/>
    <w:uiPriority w:val="98"/>
    <w:semiHidden/>
    <w:rsid w:val="00592613"/>
    <w:rPr>
      <w:rFonts w:asciiTheme="majorHAnsi" w:eastAsiaTheme="majorEastAsia" w:hAnsiTheme="majorHAnsi" w:cstheme="majorBidi"/>
      <w:b/>
      <w:bCs/>
      <w:i/>
      <w:iCs/>
      <w:color w:val="7F7F7F" w:themeColor="text1" w:themeTint="80"/>
      <w:sz w:val="24"/>
      <w:szCs w:val="24"/>
      <w:lang w:bidi="en-US"/>
    </w:rPr>
  </w:style>
  <w:style w:type="character" w:customStyle="1" w:styleId="Heading7Char">
    <w:name w:val="Heading 7 Char"/>
    <w:basedOn w:val="DefaultParagraphFont"/>
    <w:link w:val="Heading7"/>
    <w:uiPriority w:val="98"/>
    <w:semiHidden/>
    <w:rsid w:val="00592613"/>
    <w:rPr>
      <w:rFonts w:asciiTheme="majorHAnsi" w:eastAsiaTheme="majorEastAsia" w:hAnsiTheme="majorHAnsi" w:cstheme="majorBidi"/>
      <w:i/>
      <w:iCs/>
      <w:sz w:val="24"/>
      <w:szCs w:val="24"/>
      <w:lang w:bidi="en-US"/>
    </w:rPr>
  </w:style>
  <w:style w:type="character" w:customStyle="1" w:styleId="Heading8Char">
    <w:name w:val="Heading 8 Char"/>
    <w:basedOn w:val="DefaultParagraphFont"/>
    <w:link w:val="Heading8"/>
    <w:uiPriority w:val="98"/>
    <w:semiHidden/>
    <w:rsid w:val="0059261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8"/>
    <w:semiHidden/>
    <w:rsid w:val="0059261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92613"/>
    <w:rPr>
      <w:color w:val="0072BC" w:themeColor="hyperlink"/>
      <w:u w:val="single"/>
    </w:rPr>
  </w:style>
  <w:style w:type="character" w:styleId="IntenseEmphasis">
    <w:name w:val="Intense Emphasis"/>
    <w:uiPriority w:val="98"/>
    <w:semiHidden/>
    <w:qFormat/>
    <w:rsid w:val="00592613"/>
    <w:rPr>
      <w:b/>
      <w:bCs/>
    </w:rPr>
  </w:style>
  <w:style w:type="paragraph" w:styleId="IntenseQuote">
    <w:name w:val="Intense Quote"/>
    <w:basedOn w:val="Normal"/>
    <w:next w:val="Normal"/>
    <w:link w:val="IntenseQuoteChar"/>
    <w:uiPriority w:val="98"/>
    <w:semiHidden/>
    <w:qFormat/>
    <w:rsid w:val="0059261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92613"/>
    <w:rPr>
      <w:b/>
      <w:bCs/>
      <w:i/>
      <w:iCs/>
      <w:sz w:val="24"/>
      <w:szCs w:val="24"/>
      <w:lang w:bidi="en-US"/>
    </w:rPr>
  </w:style>
  <w:style w:type="character" w:styleId="IntenseReference">
    <w:name w:val="Intense Reference"/>
    <w:uiPriority w:val="98"/>
    <w:semiHidden/>
    <w:qFormat/>
    <w:rsid w:val="00592613"/>
    <w:rPr>
      <w:smallCaps/>
      <w:spacing w:val="5"/>
      <w:u w:val="single"/>
    </w:rPr>
  </w:style>
  <w:style w:type="paragraph" w:styleId="ListParagraph">
    <w:name w:val="List Paragraph"/>
    <w:basedOn w:val="Normal"/>
    <w:uiPriority w:val="98"/>
    <w:semiHidden/>
    <w:qFormat/>
    <w:rsid w:val="00592613"/>
    <w:pPr>
      <w:ind w:left="720"/>
      <w:contextualSpacing/>
    </w:pPr>
  </w:style>
  <w:style w:type="table" w:customStyle="1" w:styleId="LtrTableAddress">
    <w:name w:val="Ltr_Table_Address"/>
    <w:aliases w:val="ECHR_Ltr_Table_Address"/>
    <w:basedOn w:val="TableNormal"/>
    <w:uiPriority w:val="99"/>
    <w:rsid w:val="00592613"/>
    <w:rPr>
      <w:sz w:val="24"/>
      <w:szCs w:val="24"/>
    </w:rPr>
    <w:tblPr>
      <w:tblInd w:w="5103" w:type="dxa"/>
    </w:tblPr>
  </w:style>
  <w:style w:type="paragraph" w:styleId="Quote">
    <w:name w:val="Quote"/>
    <w:basedOn w:val="Normal"/>
    <w:next w:val="Normal"/>
    <w:link w:val="QuoteChar"/>
    <w:uiPriority w:val="98"/>
    <w:semiHidden/>
    <w:qFormat/>
    <w:rsid w:val="00592613"/>
    <w:pPr>
      <w:spacing w:before="200"/>
      <w:ind w:left="360" w:right="360"/>
    </w:pPr>
    <w:rPr>
      <w:i/>
      <w:iCs/>
      <w:lang w:bidi="en-US"/>
    </w:rPr>
  </w:style>
  <w:style w:type="character" w:customStyle="1" w:styleId="QuoteChar">
    <w:name w:val="Quote Char"/>
    <w:basedOn w:val="DefaultParagraphFont"/>
    <w:link w:val="Quote"/>
    <w:uiPriority w:val="98"/>
    <w:semiHidden/>
    <w:rsid w:val="00592613"/>
    <w:rPr>
      <w:i/>
      <w:iCs/>
      <w:sz w:val="24"/>
      <w:szCs w:val="24"/>
      <w:lang w:bidi="en-US"/>
    </w:rPr>
  </w:style>
  <w:style w:type="character" w:styleId="SubtleReference">
    <w:name w:val="Subtle Reference"/>
    <w:uiPriority w:val="98"/>
    <w:semiHidden/>
    <w:qFormat/>
    <w:rsid w:val="00592613"/>
    <w:rPr>
      <w:smallCaps/>
    </w:rPr>
  </w:style>
  <w:style w:type="table" w:styleId="TableGrid">
    <w:name w:val="Table Grid"/>
    <w:basedOn w:val="TableNormal"/>
    <w:uiPriority w:val="59"/>
    <w:semiHidden/>
    <w:rsid w:val="0059261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9261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9261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9261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92613"/>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9261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9261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9261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9261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9261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9261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9261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9261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9261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Quot">
    <w:name w:val="Ju_Quot"/>
    <w:aliases w:val="_Quote"/>
    <w:basedOn w:val="NormalJustified"/>
    <w:link w:val="JuQuotChar"/>
    <w:uiPriority w:val="20"/>
    <w:qFormat/>
    <w:rsid w:val="00592613"/>
    <w:pPr>
      <w:spacing w:before="120" w:after="120"/>
      <w:ind w:left="425" w:firstLine="142"/>
    </w:pPr>
    <w:rPr>
      <w:sz w:val="20"/>
    </w:rPr>
  </w:style>
  <w:style w:type="paragraph" w:customStyle="1" w:styleId="JuPara">
    <w:name w:val="Ju_Para"/>
    <w:aliases w:val="_Para"/>
    <w:basedOn w:val="NormalJustified"/>
    <w:link w:val="JuParaChar"/>
    <w:uiPriority w:val="4"/>
    <w:qFormat/>
    <w:rsid w:val="00592613"/>
    <w:pPr>
      <w:ind w:firstLine="284"/>
    </w:pPr>
  </w:style>
  <w:style w:type="table" w:customStyle="1" w:styleId="ECHRTableSimpleBox">
    <w:name w:val="ECHR_Table_Simple_Box"/>
    <w:basedOn w:val="TableNormal"/>
    <w:uiPriority w:val="99"/>
    <w:rsid w:val="0059261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9261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9261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9261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59261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592613"/>
    <w:pPr>
      <w:tabs>
        <w:tab w:val="left" w:pos="567"/>
        <w:tab w:val="left" w:pos="1134"/>
      </w:tabs>
    </w:pPr>
  </w:style>
  <w:style w:type="table" w:customStyle="1" w:styleId="ECHRHeaderTableReduced">
    <w:name w:val="ECHR_Header_Table_Reduced"/>
    <w:basedOn w:val="TableNormal"/>
    <w:uiPriority w:val="99"/>
    <w:rsid w:val="0059261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aliases w:val="_List_1"/>
    <w:basedOn w:val="NormalJustified"/>
    <w:uiPriority w:val="23"/>
    <w:qFormat/>
    <w:rsid w:val="00592613"/>
    <w:pPr>
      <w:numPr>
        <w:numId w:val="7"/>
      </w:numPr>
      <w:spacing w:before="280" w:after="60"/>
    </w:pPr>
  </w:style>
  <w:style w:type="paragraph" w:customStyle="1" w:styleId="JuSigned">
    <w:name w:val="Ju_Signed"/>
    <w:aliases w:val="_Signature"/>
    <w:basedOn w:val="Normal"/>
    <w:next w:val="JuPara"/>
    <w:uiPriority w:val="31"/>
    <w:qFormat/>
    <w:rsid w:val="00592613"/>
    <w:pPr>
      <w:tabs>
        <w:tab w:val="center" w:pos="851"/>
        <w:tab w:val="center" w:pos="6407"/>
      </w:tabs>
      <w:spacing w:before="720"/>
    </w:pPr>
  </w:style>
  <w:style w:type="paragraph" w:customStyle="1" w:styleId="JuParaLast">
    <w:name w:val="Ju_Para_Last"/>
    <w:aliases w:val="_Para_Spaced"/>
    <w:basedOn w:val="NormalJustified"/>
    <w:uiPriority w:val="5"/>
    <w:qFormat/>
    <w:rsid w:val="00592613"/>
    <w:pPr>
      <w:keepNext/>
      <w:keepLines/>
      <w:spacing w:before="240" w:after="240"/>
      <w:ind w:firstLine="284"/>
    </w:pPr>
  </w:style>
  <w:style w:type="paragraph" w:customStyle="1" w:styleId="JuCourt">
    <w:name w:val="Ju_Court"/>
    <w:aliases w:val="_Court_Names"/>
    <w:basedOn w:val="Normal"/>
    <w:next w:val="Normal"/>
    <w:uiPriority w:val="32"/>
    <w:qFormat/>
    <w:rsid w:val="00592613"/>
    <w:pPr>
      <w:tabs>
        <w:tab w:val="left" w:pos="907"/>
        <w:tab w:val="left" w:pos="1701"/>
        <w:tab w:val="right" w:pos="7371"/>
      </w:tabs>
      <w:spacing w:before="240"/>
      <w:ind w:left="397" w:hanging="397"/>
    </w:pPr>
    <w:rPr>
      <w:lang w:bidi="en-US"/>
    </w:rPr>
  </w:style>
  <w:style w:type="character" w:styleId="PageNumber">
    <w:name w:val="page number"/>
    <w:uiPriority w:val="98"/>
    <w:semiHidden/>
    <w:rsid w:val="00592613"/>
    <w:rPr>
      <w:sz w:val="18"/>
    </w:rPr>
  </w:style>
  <w:style w:type="paragraph" w:customStyle="1" w:styleId="JuLista">
    <w:name w:val="Ju_List_a"/>
    <w:aliases w:val="_List_2"/>
    <w:basedOn w:val="NormalJustified"/>
    <w:uiPriority w:val="23"/>
    <w:rsid w:val="00592613"/>
    <w:pPr>
      <w:numPr>
        <w:ilvl w:val="1"/>
        <w:numId w:val="7"/>
      </w:numPr>
    </w:pPr>
  </w:style>
  <w:style w:type="paragraph" w:customStyle="1" w:styleId="JuListi">
    <w:name w:val="Ju_List_i"/>
    <w:aliases w:val="_List_3"/>
    <w:basedOn w:val="NormalJustified"/>
    <w:uiPriority w:val="23"/>
    <w:rsid w:val="00592613"/>
    <w:pPr>
      <w:numPr>
        <w:ilvl w:val="2"/>
        <w:numId w:val="7"/>
      </w:numPr>
    </w:pPr>
  </w:style>
  <w:style w:type="character" w:styleId="CommentReference">
    <w:name w:val="annotation reference"/>
    <w:basedOn w:val="DefaultParagraphFont"/>
    <w:uiPriority w:val="98"/>
    <w:semiHidden/>
    <w:rsid w:val="00592613"/>
    <w:rPr>
      <w:sz w:val="16"/>
      <w:szCs w:val="16"/>
    </w:rPr>
  </w:style>
  <w:style w:type="paragraph" w:styleId="CommentText">
    <w:name w:val="annotation text"/>
    <w:basedOn w:val="Normal"/>
    <w:link w:val="CommentTextChar"/>
    <w:uiPriority w:val="98"/>
    <w:semiHidden/>
    <w:rsid w:val="00592613"/>
    <w:rPr>
      <w:sz w:val="20"/>
      <w:szCs w:val="20"/>
    </w:rPr>
  </w:style>
  <w:style w:type="character" w:customStyle="1" w:styleId="CommentTextChar">
    <w:name w:val="Comment Text Char"/>
    <w:basedOn w:val="DefaultParagraphFont"/>
    <w:link w:val="CommentText"/>
    <w:uiPriority w:val="98"/>
    <w:semiHidden/>
    <w:rsid w:val="00592613"/>
    <w:rPr>
      <w:sz w:val="20"/>
      <w:szCs w:val="20"/>
    </w:rPr>
  </w:style>
  <w:style w:type="paragraph" w:styleId="CommentSubject">
    <w:name w:val="annotation subject"/>
    <w:basedOn w:val="CommentText"/>
    <w:next w:val="CommentText"/>
    <w:link w:val="CommentSubjectChar"/>
    <w:uiPriority w:val="98"/>
    <w:semiHidden/>
    <w:rsid w:val="00592613"/>
    <w:rPr>
      <w:b/>
      <w:bCs/>
    </w:rPr>
  </w:style>
  <w:style w:type="character" w:customStyle="1" w:styleId="CommentSubjectChar">
    <w:name w:val="Comment Subject Char"/>
    <w:basedOn w:val="CommentTextChar"/>
    <w:link w:val="CommentSubject"/>
    <w:uiPriority w:val="98"/>
    <w:semiHidden/>
    <w:rsid w:val="00592613"/>
    <w:rPr>
      <w:b/>
      <w:bCs/>
      <w:sz w:val="20"/>
      <w:szCs w:val="20"/>
    </w:rPr>
  </w:style>
  <w:style w:type="character" w:styleId="EndnoteReference">
    <w:name w:val="endnote reference"/>
    <w:basedOn w:val="DefaultParagraphFont"/>
    <w:uiPriority w:val="98"/>
    <w:semiHidden/>
    <w:rsid w:val="00592613"/>
    <w:rPr>
      <w:vertAlign w:val="superscript"/>
    </w:rPr>
  </w:style>
  <w:style w:type="paragraph" w:styleId="EndnoteText">
    <w:name w:val="endnote text"/>
    <w:basedOn w:val="Normal"/>
    <w:link w:val="EndnoteTextChar"/>
    <w:uiPriority w:val="98"/>
    <w:semiHidden/>
    <w:rsid w:val="00592613"/>
    <w:rPr>
      <w:sz w:val="20"/>
      <w:szCs w:val="20"/>
    </w:rPr>
  </w:style>
  <w:style w:type="character" w:customStyle="1" w:styleId="EndnoteTextChar">
    <w:name w:val="Endnote Text Char"/>
    <w:basedOn w:val="DefaultParagraphFont"/>
    <w:link w:val="EndnoteText"/>
    <w:uiPriority w:val="98"/>
    <w:semiHidden/>
    <w:rsid w:val="00592613"/>
    <w:rPr>
      <w:sz w:val="20"/>
      <w:szCs w:val="20"/>
    </w:rPr>
  </w:style>
  <w:style w:type="character" w:styleId="FollowedHyperlink">
    <w:name w:val="FollowedHyperlink"/>
    <w:basedOn w:val="DefaultParagraphFont"/>
    <w:uiPriority w:val="98"/>
    <w:semiHidden/>
    <w:rsid w:val="00592613"/>
    <w:rPr>
      <w:color w:val="7030A0" w:themeColor="followedHyperlink"/>
      <w:u w:val="single"/>
    </w:rPr>
  </w:style>
  <w:style w:type="paragraph" w:styleId="DocumentMap">
    <w:name w:val="Document Map"/>
    <w:basedOn w:val="Normal"/>
    <w:link w:val="DocumentMapChar"/>
    <w:uiPriority w:val="98"/>
    <w:semiHidden/>
    <w:rsid w:val="00592613"/>
    <w:rPr>
      <w:rFonts w:ascii="Tahoma" w:hAnsi="Tahoma" w:cs="Tahoma"/>
      <w:sz w:val="16"/>
      <w:szCs w:val="16"/>
    </w:rPr>
  </w:style>
  <w:style w:type="character" w:customStyle="1" w:styleId="DocumentMapChar">
    <w:name w:val="Document Map Char"/>
    <w:basedOn w:val="DefaultParagraphFont"/>
    <w:link w:val="DocumentMap"/>
    <w:uiPriority w:val="98"/>
    <w:semiHidden/>
    <w:rsid w:val="00592613"/>
    <w:rPr>
      <w:rFonts w:ascii="Tahoma" w:hAnsi="Tahoma" w:cs="Tahoma"/>
      <w:sz w:val="16"/>
      <w:szCs w:val="16"/>
    </w:rPr>
  </w:style>
  <w:style w:type="character" w:customStyle="1" w:styleId="JuNames0">
    <w:name w:val="Ju_Names"/>
    <w:rsid w:val="00014566"/>
    <w:rPr>
      <w:smallCaps/>
    </w:rPr>
  </w:style>
  <w:style w:type="paragraph" w:styleId="ListBullet">
    <w:name w:val="List Bullet"/>
    <w:basedOn w:val="Normal"/>
    <w:uiPriority w:val="98"/>
    <w:semiHidden/>
    <w:rsid w:val="00592613"/>
    <w:pPr>
      <w:numPr>
        <w:numId w:val="10"/>
      </w:numPr>
    </w:pPr>
  </w:style>
  <w:style w:type="character" w:customStyle="1" w:styleId="JuITMark">
    <w:name w:val="Ju_ITMark"/>
    <w:aliases w:val="_ITMark"/>
    <w:basedOn w:val="DefaultParagraphFont"/>
    <w:uiPriority w:val="43"/>
    <w:qFormat/>
    <w:rsid w:val="00592613"/>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8"/>
    <w:semiHidden/>
    <w:qFormat/>
    <w:rsid w:val="0059261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9261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592613"/>
    <w:pPr>
      <w:numPr>
        <w:numId w:val="3"/>
      </w:numPr>
    </w:pPr>
  </w:style>
  <w:style w:type="numbering" w:styleId="1ai">
    <w:name w:val="Outline List 1"/>
    <w:basedOn w:val="NoList"/>
    <w:uiPriority w:val="99"/>
    <w:semiHidden/>
    <w:unhideWhenUsed/>
    <w:rsid w:val="00592613"/>
    <w:pPr>
      <w:numPr>
        <w:numId w:val="4"/>
      </w:numPr>
    </w:pPr>
  </w:style>
  <w:style w:type="numbering" w:styleId="ArticleSection">
    <w:name w:val="Outline List 3"/>
    <w:basedOn w:val="NoList"/>
    <w:uiPriority w:val="99"/>
    <w:semiHidden/>
    <w:unhideWhenUsed/>
    <w:rsid w:val="00592613"/>
    <w:pPr>
      <w:numPr>
        <w:numId w:val="5"/>
      </w:numPr>
    </w:pPr>
  </w:style>
  <w:style w:type="paragraph" w:styleId="Bibliography">
    <w:name w:val="Bibliography"/>
    <w:basedOn w:val="Normal"/>
    <w:next w:val="Normal"/>
    <w:uiPriority w:val="98"/>
    <w:semiHidden/>
    <w:rsid w:val="00592613"/>
  </w:style>
  <w:style w:type="paragraph" w:styleId="BlockText">
    <w:name w:val="Block Text"/>
    <w:basedOn w:val="Normal"/>
    <w:uiPriority w:val="98"/>
    <w:semiHidden/>
    <w:rsid w:val="0059261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592613"/>
    <w:pPr>
      <w:spacing w:after="120"/>
    </w:pPr>
  </w:style>
  <w:style w:type="character" w:customStyle="1" w:styleId="BodyTextChar">
    <w:name w:val="Body Text Char"/>
    <w:basedOn w:val="DefaultParagraphFont"/>
    <w:link w:val="BodyText"/>
    <w:uiPriority w:val="98"/>
    <w:semiHidden/>
    <w:rsid w:val="00592613"/>
    <w:rPr>
      <w:sz w:val="24"/>
      <w:szCs w:val="24"/>
    </w:rPr>
  </w:style>
  <w:style w:type="paragraph" w:styleId="BodyText2">
    <w:name w:val="Body Text 2"/>
    <w:basedOn w:val="Normal"/>
    <w:link w:val="BodyText2Char"/>
    <w:uiPriority w:val="98"/>
    <w:semiHidden/>
    <w:rsid w:val="00592613"/>
    <w:pPr>
      <w:spacing w:after="120" w:line="480" w:lineRule="auto"/>
    </w:pPr>
  </w:style>
  <w:style w:type="character" w:customStyle="1" w:styleId="BodyText2Char">
    <w:name w:val="Body Text 2 Char"/>
    <w:basedOn w:val="DefaultParagraphFont"/>
    <w:link w:val="BodyText2"/>
    <w:uiPriority w:val="98"/>
    <w:semiHidden/>
    <w:rsid w:val="00592613"/>
    <w:rPr>
      <w:sz w:val="24"/>
      <w:szCs w:val="24"/>
    </w:rPr>
  </w:style>
  <w:style w:type="paragraph" w:styleId="BodyText3">
    <w:name w:val="Body Text 3"/>
    <w:basedOn w:val="Normal"/>
    <w:link w:val="BodyText3Char"/>
    <w:uiPriority w:val="98"/>
    <w:semiHidden/>
    <w:rsid w:val="00592613"/>
    <w:pPr>
      <w:spacing w:after="120"/>
    </w:pPr>
    <w:rPr>
      <w:sz w:val="16"/>
      <w:szCs w:val="16"/>
    </w:rPr>
  </w:style>
  <w:style w:type="character" w:customStyle="1" w:styleId="BodyText3Char">
    <w:name w:val="Body Text 3 Char"/>
    <w:basedOn w:val="DefaultParagraphFont"/>
    <w:link w:val="BodyText3"/>
    <w:uiPriority w:val="98"/>
    <w:semiHidden/>
    <w:rsid w:val="00592613"/>
    <w:rPr>
      <w:sz w:val="16"/>
      <w:szCs w:val="16"/>
    </w:rPr>
  </w:style>
  <w:style w:type="paragraph" w:styleId="BodyTextFirstIndent">
    <w:name w:val="Body Text First Indent"/>
    <w:basedOn w:val="BodyText"/>
    <w:link w:val="BodyTextFirstIndentChar"/>
    <w:uiPriority w:val="98"/>
    <w:semiHidden/>
    <w:rsid w:val="00592613"/>
    <w:pPr>
      <w:spacing w:after="0"/>
      <w:ind w:firstLine="360"/>
    </w:pPr>
  </w:style>
  <w:style w:type="character" w:customStyle="1" w:styleId="BodyTextFirstIndentChar">
    <w:name w:val="Body Text First Indent Char"/>
    <w:basedOn w:val="BodyTextChar"/>
    <w:link w:val="BodyTextFirstIndent"/>
    <w:uiPriority w:val="98"/>
    <w:semiHidden/>
    <w:rsid w:val="00592613"/>
    <w:rPr>
      <w:sz w:val="24"/>
      <w:szCs w:val="24"/>
    </w:rPr>
  </w:style>
  <w:style w:type="paragraph" w:styleId="BodyTextIndent">
    <w:name w:val="Body Text Indent"/>
    <w:basedOn w:val="Normal"/>
    <w:link w:val="BodyTextIndentChar"/>
    <w:uiPriority w:val="98"/>
    <w:semiHidden/>
    <w:rsid w:val="00592613"/>
    <w:pPr>
      <w:spacing w:after="120"/>
      <w:ind w:left="283"/>
    </w:pPr>
  </w:style>
  <w:style w:type="character" w:customStyle="1" w:styleId="BodyTextIndentChar">
    <w:name w:val="Body Text Indent Char"/>
    <w:basedOn w:val="DefaultParagraphFont"/>
    <w:link w:val="BodyTextIndent"/>
    <w:uiPriority w:val="98"/>
    <w:semiHidden/>
    <w:rsid w:val="00592613"/>
    <w:rPr>
      <w:sz w:val="24"/>
      <w:szCs w:val="24"/>
    </w:rPr>
  </w:style>
  <w:style w:type="paragraph" w:styleId="BodyTextFirstIndent2">
    <w:name w:val="Body Text First Indent 2"/>
    <w:basedOn w:val="BodyTextIndent"/>
    <w:link w:val="BodyTextFirstIndent2Char"/>
    <w:uiPriority w:val="98"/>
    <w:semiHidden/>
    <w:rsid w:val="00592613"/>
    <w:pPr>
      <w:spacing w:after="0"/>
      <w:ind w:left="360" w:firstLine="360"/>
    </w:pPr>
  </w:style>
  <w:style w:type="character" w:customStyle="1" w:styleId="BodyTextFirstIndent2Char">
    <w:name w:val="Body Text First Indent 2 Char"/>
    <w:basedOn w:val="BodyTextIndentChar"/>
    <w:link w:val="BodyTextFirstIndent2"/>
    <w:uiPriority w:val="98"/>
    <w:semiHidden/>
    <w:rsid w:val="00592613"/>
    <w:rPr>
      <w:sz w:val="24"/>
      <w:szCs w:val="24"/>
    </w:rPr>
  </w:style>
  <w:style w:type="paragraph" w:styleId="BodyTextIndent2">
    <w:name w:val="Body Text Indent 2"/>
    <w:basedOn w:val="Normal"/>
    <w:link w:val="BodyTextIndent2Char"/>
    <w:uiPriority w:val="98"/>
    <w:semiHidden/>
    <w:rsid w:val="00592613"/>
    <w:pPr>
      <w:spacing w:after="120" w:line="480" w:lineRule="auto"/>
      <w:ind w:left="283"/>
    </w:pPr>
  </w:style>
  <w:style w:type="character" w:customStyle="1" w:styleId="BodyTextIndent2Char">
    <w:name w:val="Body Text Indent 2 Char"/>
    <w:basedOn w:val="DefaultParagraphFont"/>
    <w:link w:val="BodyTextIndent2"/>
    <w:uiPriority w:val="98"/>
    <w:semiHidden/>
    <w:rsid w:val="00592613"/>
    <w:rPr>
      <w:sz w:val="24"/>
      <w:szCs w:val="24"/>
    </w:rPr>
  </w:style>
  <w:style w:type="paragraph" w:styleId="BodyTextIndent3">
    <w:name w:val="Body Text Indent 3"/>
    <w:basedOn w:val="Normal"/>
    <w:link w:val="BodyTextIndent3Char"/>
    <w:uiPriority w:val="98"/>
    <w:semiHidden/>
    <w:rsid w:val="00592613"/>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92613"/>
    <w:rPr>
      <w:sz w:val="16"/>
      <w:szCs w:val="16"/>
    </w:rPr>
  </w:style>
  <w:style w:type="paragraph" w:styleId="Caption">
    <w:name w:val="caption"/>
    <w:basedOn w:val="Normal"/>
    <w:next w:val="Normal"/>
    <w:uiPriority w:val="98"/>
    <w:semiHidden/>
    <w:qFormat/>
    <w:rsid w:val="00592613"/>
    <w:pPr>
      <w:spacing w:after="200"/>
    </w:pPr>
    <w:rPr>
      <w:b/>
      <w:bCs/>
      <w:color w:val="0072BC" w:themeColor="accent1"/>
      <w:sz w:val="18"/>
      <w:szCs w:val="18"/>
    </w:rPr>
  </w:style>
  <w:style w:type="paragraph" w:styleId="Closing">
    <w:name w:val="Closing"/>
    <w:basedOn w:val="Normal"/>
    <w:link w:val="ClosingChar"/>
    <w:uiPriority w:val="98"/>
    <w:semiHidden/>
    <w:rsid w:val="00592613"/>
    <w:pPr>
      <w:ind w:left="4252"/>
    </w:pPr>
  </w:style>
  <w:style w:type="character" w:customStyle="1" w:styleId="ClosingChar">
    <w:name w:val="Closing Char"/>
    <w:basedOn w:val="DefaultParagraphFont"/>
    <w:link w:val="Closing"/>
    <w:uiPriority w:val="98"/>
    <w:semiHidden/>
    <w:rsid w:val="00592613"/>
    <w:rPr>
      <w:sz w:val="24"/>
      <w:szCs w:val="24"/>
    </w:rPr>
  </w:style>
  <w:style w:type="table" w:styleId="ColorfulGrid">
    <w:name w:val="Colorful Grid"/>
    <w:basedOn w:val="TableNormal"/>
    <w:uiPriority w:val="73"/>
    <w:semiHidden/>
    <w:rsid w:val="0059261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9261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9261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9261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9261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9261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9261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9261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9261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9261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9261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9261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9261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9261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9261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9261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9261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9261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9261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9261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9261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9261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9261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9261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9261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9261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9261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9261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92613"/>
  </w:style>
  <w:style w:type="character" w:customStyle="1" w:styleId="DateChar">
    <w:name w:val="Date Char"/>
    <w:basedOn w:val="DefaultParagraphFont"/>
    <w:link w:val="Date"/>
    <w:uiPriority w:val="98"/>
    <w:semiHidden/>
    <w:rsid w:val="00592613"/>
    <w:rPr>
      <w:sz w:val="24"/>
      <w:szCs w:val="24"/>
    </w:rPr>
  </w:style>
  <w:style w:type="paragraph" w:styleId="E-mailSignature">
    <w:name w:val="E-mail Signature"/>
    <w:basedOn w:val="Normal"/>
    <w:link w:val="E-mailSignatureChar"/>
    <w:uiPriority w:val="98"/>
    <w:semiHidden/>
    <w:rsid w:val="00592613"/>
  </w:style>
  <w:style w:type="character" w:customStyle="1" w:styleId="E-mailSignatureChar">
    <w:name w:val="E-mail Signature Char"/>
    <w:basedOn w:val="DefaultParagraphFont"/>
    <w:link w:val="E-mailSignature"/>
    <w:uiPriority w:val="98"/>
    <w:semiHidden/>
    <w:rsid w:val="00592613"/>
    <w:rPr>
      <w:sz w:val="24"/>
      <w:szCs w:val="24"/>
    </w:rPr>
  </w:style>
  <w:style w:type="paragraph" w:styleId="EnvelopeAddress">
    <w:name w:val="envelope address"/>
    <w:basedOn w:val="Normal"/>
    <w:uiPriority w:val="98"/>
    <w:semiHidden/>
    <w:rsid w:val="00592613"/>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92613"/>
    <w:rPr>
      <w:rFonts w:asciiTheme="majorHAnsi" w:eastAsiaTheme="majorEastAsia" w:hAnsiTheme="majorHAnsi" w:cstheme="majorBidi"/>
      <w:sz w:val="20"/>
      <w:szCs w:val="20"/>
    </w:rPr>
  </w:style>
  <w:style w:type="character" w:styleId="HTMLAcronym">
    <w:name w:val="HTML Acronym"/>
    <w:basedOn w:val="DefaultParagraphFont"/>
    <w:uiPriority w:val="98"/>
    <w:semiHidden/>
    <w:rsid w:val="00592613"/>
  </w:style>
  <w:style w:type="paragraph" w:styleId="HTMLAddress">
    <w:name w:val="HTML Address"/>
    <w:basedOn w:val="Normal"/>
    <w:link w:val="HTMLAddressChar"/>
    <w:uiPriority w:val="98"/>
    <w:semiHidden/>
    <w:rsid w:val="00592613"/>
    <w:rPr>
      <w:i/>
      <w:iCs/>
    </w:rPr>
  </w:style>
  <w:style w:type="character" w:customStyle="1" w:styleId="HTMLAddressChar">
    <w:name w:val="HTML Address Char"/>
    <w:basedOn w:val="DefaultParagraphFont"/>
    <w:link w:val="HTMLAddress"/>
    <w:uiPriority w:val="98"/>
    <w:semiHidden/>
    <w:rsid w:val="00592613"/>
    <w:rPr>
      <w:i/>
      <w:iCs/>
      <w:sz w:val="24"/>
      <w:szCs w:val="24"/>
    </w:rPr>
  </w:style>
  <w:style w:type="character" w:styleId="HTMLCite">
    <w:name w:val="HTML Cite"/>
    <w:basedOn w:val="DefaultParagraphFont"/>
    <w:uiPriority w:val="98"/>
    <w:semiHidden/>
    <w:rsid w:val="00592613"/>
    <w:rPr>
      <w:i/>
      <w:iCs/>
    </w:rPr>
  </w:style>
  <w:style w:type="character" w:styleId="HTMLCode">
    <w:name w:val="HTML Code"/>
    <w:basedOn w:val="DefaultParagraphFont"/>
    <w:uiPriority w:val="98"/>
    <w:semiHidden/>
    <w:rsid w:val="00592613"/>
    <w:rPr>
      <w:rFonts w:ascii="Consolas" w:hAnsi="Consolas" w:cs="Consolas"/>
      <w:sz w:val="20"/>
      <w:szCs w:val="20"/>
    </w:rPr>
  </w:style>
  <w:style w:type="character" w:styleId="HTMLDefinition">
    <w:name w:val="HTML Definition"/>
    <w:basedOn w:val="DefaultParagraphFont"/>
    <w:uiPriority w:val="98"/>
    <w:semiHidden/>
    <w:rsid w:val="00592613"/>
    <w:rPr>
      <w:i/>
      <w:iCs/>
    </w:rPr>
  </w:style>
  <w:style w:type="character" w:styleId="HTMLKeyboard">
    <w:name w:val="HTML Keyboard"/>
    <w:basedOn w:val="DefaultParagraphFont"/>
    <w:uiPriority w:val="98"/>
    <w:semiHidden/>
    <w:rsid w:val="00592613"/>
    <w:rPr>
      <w:rFonts w:ascii="Consolas" w:hAnsi="Consolas" w:cs="Consolas"/>
      <w:sz w:val="20"/>
      <w:szCs w:val="20"/>
    </w:rPr>
  </w:style>
  <w:style w:type="paragraph" w:styleId="HTMLPreformatted">
    <w:name w:val="HTML Preformatted"/>
    <w:basedOn w:val="Normal"/>
    <w:link w:val="HTMLPreformattedChar"/>
    <w:uiPriority w:val="98"/>
    <w:semiHidden/>
    <w:rsid w:val="00592613"/>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92613"/>
    <w:rPr>
      <w:rFonts w:ascii="Consolas" w:hAnsi="Consolas" w:cs="Consolas"/>
      <w:sz w:val="20"/>
      <w:szCs w:val="20"/>
    </w:rPr>
  </w:style>
  <w:style w:type="character" w:styleId="HTMLSample">
    <w:name w:val="HTML Sample"/>
    <w:basedOn w:val="DefaultParagraphFont"/>
    <w:uiPriority w:val="98"/>
    <w:semiHidden/>
    <w:rsid w:val="00592613"/>
    <w:rPr>
      <w:rFonts w:ascii="Consolas" w:hAnsi="Consolas" w:cs="Consolas"/>
      <w:sz w:val="24"/>
      <w:szCs w:val="24"/>
    </w:rPr>
  </w:style>
  <w:style w:type="character" w:styleId="HTMLTypewriter">
    <w:name w:val="HTML Typewriter"/>
    <w:basedOn w:val="DefaultParagraphFont"/>
    <w:uiPriority w:val="98"/>
    <w:semiHidden/>
    <w:rsid w:val="00592613"/>
    <w:rPr>
      <w:rFonts w:ascii="Consolas" w:hAnsi="Consolas" w:cs="Consolas"/>
      <w:sz w:val="20"/>
      <w:szCs w:val="20"/>
    </w:rPr>
  </w:style>
  <w:style w:type="character" w:styleId="HTMLVariable">
    <w:name w:val="HTML Variable"/>
    <w:basedOn w:val="DefaultParagraphFont"/>
    <w:uiPriority w:val="98"/>
    <w:semiHidden/>
    <w:rsid w:val="00592613"/>
    <w:rPr>
      <w:i/>
      <w:iCs/>
    </w:rPr>
  </w:style>
  <w:style w:type="paragraph" w:styleId="Index1">
    <w:name w:val="index 1"/>
    <w:basedOn w:val="Normal"/>
    <w:next w:val="Normal"/>
    <w:autoRedefine/>
    <w:uiPriority w:val="98"/>
    <w:semiHidden/>
    <w:rsid w:val="00592613"/>
    <w:pPr>
      <w:ind w:left="240" w:hanging="240"/>
    </w:pPr>
  </w:style>
  <w:style w:type="paragraph" w:styleId="Index2">
    <w:name w:val="index 2"/>
    <w:basedOn w:val="Normal"/>
    <w:next w:val="Normal"/>
    <w:autoRedefine/>
    <w:uiPriority w:val="98"/>
    <w:semiHidden/>
    <w:rsid w:val="00592613"/>
    <w:pPr>
      <w:ind w:left="480" w:hanging="240"/>
    </w:pPr>
  </w:style>
  <w:style w:type="paragraph" w:styleId="Index3">
    <w:name w:val="index 3"/>
    <w:basedOn w:val="Normal"/>
    <w:next w:val="Normal"/>
    <w:autoRedefine/>
    <w:uiPriority w:val="98"/>
    <w:semiHidden/>
    <w:rsid w:val="00592613"/>
    <w:pPr>
      <w:ind w:left="720" w:hanging="240"/>
    </w:pPr>
  </w:style>
  <w:style w:type="paragraph" w:styleId="Index4">
    <w:name w:val="index 4"/>
    <w:basedOn w:val="Normal"/>
    <w:next w:val="Normal"/>
    <w:autoRedefine/>
    <w:uiPriority w:val="98"/>
    <w:semiHidden/>
    <w:rsid w:val="00592613"/>
    <w:pPr>
      <w:ind w:left="960" w:hanging="240"/>
    </w:pPr>
  </w:style>
  <w:style w:type="paragraph" w:styleId="Index5">
    <w:name w:val="index 5"/>
    <w:basedOn w:val="Normal"/>
    <w:next w:val="Normal"/>
    <w:autoRedefine/>
    <w:uiPriority w:val="98"/>
    <w:semiHidden/>
    <w:rsid w:val="00592613"/>
    <w:pPr>
      <w:ind w:left="1200" w:hanging="240"/>
    </w:pPr>
  </w:style>
  <w:style w:type="paragraph" w:styleId="Index6">
    <w:name w:val="index 6"/>
    <w:basedOn w:val="Normal"/>
    <w:next w:val="Normal"/>
    <w:autoRedefine/>
    <w:uiPriority w:val="98"/>
    <w:semiHidden/>
    <w:rsid w:val="00592613"/>
    <w:pPr>
      <w:ind w:left="1440" w:hanging="240"/>
    </w:pPr>
  </w:style>
  <w:style w:type="paragraph" w:styleId="Index7">
    <w:name w:val="index 7"/>
    <w:basedOn w:val="Normal"/>
    <w:next w:val="Normal"/>
    <w:autoRedefine/>
    <w:uiPriority w:val="98"/>
    <w:semiHidden/>
    <w:rsid w:val="00592613"/>
    <w:pPr>
      <w:ind w:left="1680" w:hanging="240"/>
    </w:pPr>
  </w:style>
  <w:style w:type="paragraph" w:styleId="Index8">
    <w:name w:val="index 8"/>
    <w:basedOn w:val="Normal"/>
    <w:next w:val="Normal"/>
    <w:autoRedefine/>
    <w:uiPriority w:val="98"/>
    <w:semiHidden/>
    <w:rsid w:val="00592613"/>
    <w:pPr>
      <w:ind w:left="1920" w:hanging="240"/>
    </w:pPr>
  </w:style>
  <w:style w:type="paragraph" w:styleId="Index9">
    <w:name w:val="index 9"/>
    <w:basedOn w:val="Normal"/>
    <w:next w:val="Normal"/>
    <w:autoRedefine/>
    <w:uiPriority w:val="98"/>
    <w:semiHidden/>
    <w:rsid w:val="00592613"/>
    <w:pPr>
      <w:ind w:left="2160" w:hanging="240"/>
    </w:pPr>
  </w:style>
  <w:style w:type="paragraph" w:styleId="IndexHeading">
    <w:name w:val="index heading"/>
    <w:basedOn w:val="Normal"/>
    <w:next w:val="Index1"/>
    <w:uiPriority w:val="98"/>
    <w:semiHidden/>
    <w:rsid w:val="00592613"/>
    <w:rPr>
      <w:rFonts w:asciiTheme="majorHAnsi" w:eastAsiaTheme="majorEastAsia" w:hAnsiTheme="majorHAnsi" w:cstheme="majorBidi"/>
      <w:b/>
      <w:bCs/>
    </w:rPr>
  </w:style>
  <w:style w:type="table" w:styleId="LightGrid">
    <w:name w:val="Light Grid"/>
    <w:basedOn w:val="TableNormal"/>
    <w:uiPriority w:val="62"/>
    <w:semiHidden/>
    <w:rsid w:val="0059261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9261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9261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9261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9261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9261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9261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9261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9261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9261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9261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9261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9261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9261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9261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9261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9261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9261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9261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9261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9261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92613"/>
  </w:style>
  <w:style w:type="paragraph" w:styleId="List">
    <w:name w:val="List"/>
    <w:basedOn w:val="Normal"/>
    <w:uiPriority w:val="98"/>
    <w:semiHidden/>
    <w:rsid w:val="00592613"/>
    <w:pPr>
      <w:ind w:left="283" w:hanging="283"/>
      <w:contextualSpacing/>
    </w:pPr>
  </w:style>
  <w:style w:type="paragraph" w:styleId="List2">
    <w:name w:val="List 2"/>
    <w:basedOn w:val="Normal"/>
    <w:uiPriority w:val="98"/>
    <w:semiHidden/>
    <w:rsid w:val="00592613"/>
    <w:pPr>
      <w:ind w:left="566" w:hanging="283"/>
      <w:contextualSpacing/>
    </w:pPr>
  </w:style>
  <w:style w:type="paragraph" w:styleId="List3">
    <w:name w:val="List 3"/>
    <w:basedOn w:val="Normal"/>
    <w:uiPriority w:val="98"/>
    <w:semiHidden/>
    <w:rsid w:val="00592613"/>
    <w:pPr>
      <w:ind w:left="849" w:hanging="283"/>
      <w:contextualSpacing/>
    </w:pPr>
  </w:style>
  <w:style w:type="paragraph" w:styleId="List4">
    <w:name w:val="List 4"/>
    <w:basedOn w:val="Normal"/>
    <w:uiPriority w:val="98"/>
    <w:semiHidden/>
    <w:rsid w:val="00592613"/>
    <w:pPr>
      <w:ind w:left="1132" w:hanging="283"/>
      <w:contextualSpacing/>
    </w:pPr>
  </w:style>
  <w:style w:type="paragraph" w:styleId="List5">
    <w:name w:val="List 5"/>
    <w:basedOn w:val="Normal"/>
    <w:uiPriority w:val="98"/>
    <w:semiHidden/>
    <w:rsid w:val="00592613"/>
    <w:pPr>
      <w:ind w:left="1415" w:hanging="283"/>
      <w:contextualSpacing/>
    </w:pPr>
  </w:style>
  <w:style w:type="paragraph" w:styleId="ListBullet2">
    <w:name w:val="List Bullet 2"/>
    <w:basedOn w:val="Normal"/>
    <w:uiPriority w:val="98"/>
    <w:semiHidden/>
    <w:rsid w:val="00592613"/>
    <w:pPr>
      <w:numPr>
        <w:numId w:val="11"/>
      </w:numPr>
      <w:contextualSpacing/>
    </w:pPr>
  </w:style>
  <w:style w:type="paragraph" w:styleId="ListBullet3">
    <w:name w:val="List Bullet 3"/>
    <w:basedOn w:val="Normal"/>
    <w:uiPriority w:val="98"/>
    <w:semiHidden/>
    <w:rsid w:val="00592613"/>
    <w:pPr>
      <w:numPr>
        <w:numId w:val="12"/>
      </w:numPr>
      <w:contextualSpacing/>
    </w:pPr>
  </w:style>
  <w:style w:type="paragraph" w:styleId="ListBullet4">
    <w:name w:val="List Bullet 4"/>
    <w:basedOn w:val="Normal"/>
    <w:uiPriority w:val="98"/>
    <w:semiHidden/>
    <w:rsid w:val="00592613"/>
    <w:pPr>
      <w:numPr>
        <w:numId w:val="13"/>
      </w:numPr>
      <w:contextualSpacing/>
    </w:pPr>
  </w:style>
  <w:style w:type="paragraph" w:styleId="ListBullet5">
    <w:name w:val="List Bullet 5"/>
    <w:basedOn w:val="Normal"/>
    <w:uiPriority w:val="98"/>
    <w:semiHidden/>
    <w:rsid w:val="00592613"/>
    <w:pPr>
      <w:numPr>
        <w:numId w:val="14"/>
      </w:numPr>
      <w:contextualSpacing/>
    </w:pPr>
  </w:style>
  <w:style w:type="paragraph" w:styleId="ListContinue">
    <w:name w:val="List Continue"/>
    <w:basedOn w:val="Normal"/>
    <w:uiPriority w:val="98"/>
    <w:semiHidden/>
    <w:rsid w:val="00592613"/>
    <w:pPr>
      <w:spacing w:after="120"/>
      <w:ind w:left="283"/>
      <w:contextualSpacing/>
    </w:pPr>
  </w:style>
  <w:style w:type="paragraph" w:styleId="ListContinue2">
    <w:name w:val="List Continue 2"/>
    <w:basedOn w:val="Normal"/>
    <w:uiPriority w:val="98"/>
    <w:semiHidden/>
    <w:rsid w:val="00592613"/>
    <w:pPr>
      <w:spacing w:after="120"/>
      <w:ind w:left="566"/>
      <w:contextualSpacing/>
    </w:pPr>
  </w:style>
  <w:style w:type="paragraph" w:styleId="ListContinue3">
    <w:name w:val="List Continue 3"/>
    <w:basedOn w:val="Normal"/>
    <w:uiPriority w:val="98"/>
    <w:semiHidden/>
    <w:rsid w:val="00592613"/>
    <w:pPr>
      <w:spacing w:after="120"/>
      <w:ind w:left="849"/>
      <w:contextualSpacing/>
    </w:pPr>
  </w:style>
  <w:style w:type="paragraph" w:styleId="ListContinue4">
    <w:name w:val="List Continue 4"/>
    <w:basedOn w:val="Normal"/>
    <w:uiPriority w:val="98"/>
    <w:semiHidden/>
    <w:rsid w:val="00592613"/>
    <w:pPr>
      <w:spacing w:after="120"/>
      <w:ind w:left="1132"/>
      <w:contextualSpacing/>
    </w:pPr>
  </w:style>
  <w:style w:type="paragraph" w:styleId="ListContinue5">
    <w:name w:val="List Continue 5"/>
    <w:basedOn w:val="Normal"/>
    <w:uiPriority w:val="98"/>
    <w:semiHidden/>
    <w:rsid w:val="00592613"/>
    <w:pPr>
      <w:spacing w:after="120"/>
      <w:ind w:left="1415"/>
      <w:contextualSpacing/>
    </w:pPr>
  </w:style>
  <w:style w:type="paragraph" w:styleId="ListNumber">
    <w:name w:val="List Number"/>
    <w:basedOn w:val="Normal"/>
    <w:uiPriority w:val="98"/>
    <w:semiHidden/>
    <w:rsid w:val="00592613"/>
    <w:pPr>
      <w:numPr>
        <w:numId w:val="15"/>
      </w:numPr>
      <w:contextualSpacing/>
    </w:pPr>
  </w:style>
  <w:style w:type="paragraph" w:styleId="ListNumber2">
    <w:name w:val="List Number 2"/>
    <w:basedOn w:val="Normal"/>
    <w:uiPriority w:val="98"/>
    <w:semiHidden/>
    <w:rsid w:val="00592613"/>
    <w:pPr>
      <w:numPr>
        <w:numId w:val="16"/>
      </w:numPr>
      <w:contextualSpacing/>
    </w:pPr>
  </w:style>
  <w:style w:type="paragraph" w:styleId="ListNumber3">
    <w:name w:val="List Number 3"/>
    <w:basedOn w:val="Normal"/>
    <w:uiPriority w:val="98"/>
    <w:semiHidden/>
    <w:rsid w:val="00592613"/>
    <w:pPr>
      <w:numPr>
        <w:numId w:val="17"/>
      </w:numPr>
      <w:contextualSpacing/>
    </w:pPr>
  </w:style>
  <w:style w:type="paragraph" w:styleId="ListNumber4">
    <w:name w:val="List Number 4"/>
    <w:basedOn w:val="Normal"/>
    <w:uiPriority w:val="98"/>
    <w:semiHidden/>
    <w:rsid w:val="00592613"/>
    <w:pPr>
      <w:numPr>
        <w:numId w:val="18"/>
      </w:numPr>
      <w:contextualSpacing/>
    </w:pPr>
  </w:style>
  <w:style w:type="paragraph" w:styleId="ListNumber5">
    <w:name w:val="List Number 5"/>
    <w:basedOn w:val="Normal"/>
    <w:uiPriority w:val="98"/>
    <w:semiHidden/>
    <w:rsid w:val="00592613"/>
    <w:pPr>
      <w:numPr>
        <w:numId w:val="19"/>
      </w:numPr>
      <w:contextualSpacing/>
    </w:pPr>
  </w:style>
  <w:style w:type="paragraph" w:styleId="MacroText">
    <w:name w:val="macro"/>
    <w:link w:val="MacroTextChar"/>
    <w:uiPriority w:val="98"/>
    <w:semiHidden/>
    <w:rsid w:val="0059261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92613"/>
    <w:rPr>
      <w:rFonts w:ascii="Consolas" w:eastAsiaTheme="minorEastAsia" w:hAnsi="Consolas" w:cs="Consolas"/>
      <w:sz w:val="20"/>
      <w:szCs w:val="20"/>
    </w:rPr>
  </w:style>
  <w:style w:type="table" w:styleId="MediumGrid1">
    <w:name w:val="Medium Grid 1"/>
    <w:basedOn w:val="TableNormal"/>
    <w:uiPriority w:val="67"/>
    <w:semiHidden/>
    <w:rsid w:val="0059261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9261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9261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9261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9261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9261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9261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926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926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926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926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926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926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926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9261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9261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9261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9261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9261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9261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9261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9261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9261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9261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9261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9261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9261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9261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9261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926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926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926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926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926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926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926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926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92613"/>
    <w:rPr>
      <w:rFonts w:asciiTheme="majorHAnsi" w:eastAsiaTheme="majorEastAsia" w:hAnsiTheme="majorHAnsi" w:cstheme="majorBidi"/>
      <w:sz w:val="24"/>
      <w:szCs w:val="24"/>
      <w:shd w:val="pct20" w:color="auto" w:fill="auto"/>
    </w:rPr>
  </w:style>
  <w:style w:type="paragraph" w:styleId="NormalWeb">
    <w:name w:val="Normal (Web)"/>
    <w:basedOn w:val="Normal"/>
    <w:uiPriority w:val="98"/>
    <w:semiHidden/>
    <w:rsid w:val="00592613"/>
    <w:rPr>
      <w:rFonts w:ascii="Times New Roman" w:hAnsi="Times New Roman" w:cs="Times New Roman"/>
    </w:rPr>
  </w:style>
  <w:style w:type="paragraph" w:styleId="NormalIndent">
    <w:name w:val="Normal Indent"/>
    <w:basedOn w:val="Normal"/>
    <w:uiPriority w:val="98"/>
    <w:semiHidden/>
    <w:rsid w:val="00592613"/>
    <w:pPr>
      <w:ind w:left="720"/>
    </w:pPr>
  </w:style>
  <w:style w:type="character" w:styleId="PlaceholderText">
    <w:name w:val="Placeholder Text"/>
    <w:basedOn w:val="DefaultParagraphFont"/>
    <w:uiPriority w:val="98"/>
    <w:semiHidden/>
    <w:rsid w:val="00592613"/>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92613"/>
    <w:rPr>
      <w:rFonts w:ascii="Consolas" w:hAnsi="Consolas" w:cs="Consolas"/>
      <w:sz w:val="21"/>
      <w:szCs w:val="21"/>
    </w:rPr>
  </w:style>
  <w:style w:type="character" w:customStyle="1" w:styleId="PlainTextChar">
    <w:name w:val="Plain Text Char"/>
    <w:basedOn w:val="DefaultParagraphFont"/>
    <w:link w:val="PlainText"/>
    <w:uiPriority w:val="98"/>
    <w:semiHidden/>
    <w:rsid w:val="00592613"/>
    <w:rPr>
      <w:rFonts w:ascii="Consolas" w:hAnsi="Consolas" w:cs="Consolas"/>
      <w:sz w:val="21"/>
      <w:szCs w:val="21"/>
    </w:rPr>
  </w:style>
  <w:style w:type="paragraph" w:styleId="Salutation">
    <w:name w:val="Salutation"/>
    <w:basedOn w:val="Normal"/>
    <w:next w:val="Normal"/>
    <w:link w:val="SalutationChar"/>
    <w:uiPriority w:val="98"/>
    <w:semiHidden/>
    <w:rsid w:val="00592613"/>
  </w:style>
  <w:style w:type="character" w:customStyle="1" w:styleId="SalutationChar">
    <w:name w:val="Salutation Char"/>
    <w:basedOn w:val="DefaultParagraphFont"/>
    <w:link w:val="Salutation"/>
    <w:uiPriority w:val="98"/>
    <w:semiHidden/>
    <w:rsid w:val="00592613"/>
    <w:rPr>
      <w:sz w:val="24"/>
      <w:szCs w:val="24"/>
    </w:rPr>
  </w:style>
  <w:style w:type="paragraph" w:styleId="Signature">
    <w:name w:val="Signature"/>
    <w:basedOn w:val="Normal"/>
    <w:link w:val="SignatureChar"/>
    <w:uiPriority w:val="98"/>
    <w:semiHidden/>
    <w:rsid w:val="00592613"/>
    <w:pPr>
      <w:ind w:left="4252"/>
    </w:pPr>
  </w:style>
  <w:style w:type="character" w:customStyle="1" w:styleId="SignatureChar">
    <w:name w:val="Signature Char"/>
    <w:basedOn w:val="DefaultParagraphFont"/>
    <w:link w:val="Signature"/>
    <w:uiPriority w:val="98"/>
    <w:semiHidden/>
    <w:rsid w:val="00592613"/>
    <w:rPr>
      <w:sz w:val="24"/>
      <w:szCs w:val="24"/>
    </w:rPr>
  </w:style>
  <w:style w:type="table" w:styleId="Table3Deffects1">
    <w:name w:val="Table 3D effects 1"/>
    <w:basedOn w:val="TableNormal"/>
    <w:uiPriority w:val="99"/>
    <w:semiHidden/>
    <w:unhideWhenUsed/>
    <w:rsid w:val="0059261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261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261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261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261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261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261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261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261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261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261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261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261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261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261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261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261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26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261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261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261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261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261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261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261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9261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261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261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261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26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261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261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261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92613"/>
    <w:pPr>
      <w:ind w:left="240" w:hanging="240"/>
    </w:pPr>
  </w:style>
  <w:style w:type="paragraph" w:styleId="TableofFigures">
    <w:name w:val="table of figures"/>
    <w:basedOn w:val="Normal"/>
    <w:next w:val="Normal"/>
    <w:uiPriority w:val="98"/>
    <w:semiHidden/>
    <w:rsid w:val="00592613"/>
  </w:style>
  <w:style w:type="table" w:styleId="TableProfessional">
    <w:name w:val="Table Professional"/>
    <w:basedOn w:val="TableNormal"/>
    <w:uiPriority w:val="99"/>
    <w:semiHidden/>
    <w:unhideWhenUsed/>
    <w:rsid w:val="005926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261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261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261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261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261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261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261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261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261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9261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9261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92613"/>
    <w:pPr>
      <w:spacing w:after="100"/>
      <w:ind w:left="1680"/>
    </w:pPr>
  </w:style>
  <w:style w:type="paragraph" w:styleId="TOC9">
    <w:name w:val="toc 9"/>
    <w:basedOn w:val="Normal"/>
    <w:next w:val="Normal"/>
    <w:autoRedefine/>
    <w:uiPriority w:val="98"/>
    <w:semiHidden/>
    <w:rsid w:val="00592613"/>
    <w:pPr>
      <w:spacing w:after="100"/>
      <w:ind w:left="1920"/>
    </w:pPr>
  </w:style>
  <w:style w:type="paragraph" w:customStyle="1" w:styleId="DecHTitle">
    <w:name w:val="Dec_H_Title"/>
    <w:aliases w:val="_Title_1"/>
    <w:basedOn w:val="JuPara"/>
    <w:next w:val="JuPara"/>
    <w:uiPriority w:val="38"/>
    <w:qFormat/>
    <w:rsid w:val="00592613"/>
    <w:pPr>
      <w:keepNext/>
      <w:keepLines/>
      <w:spacing w:after="240"/>
      <w:ind w:firstLine="0"/>
      <w:jc w:val="center"/>
      <w:outlineLvl w:val="0"/>
    </w:pPr>
    <w:rPr>
      <w:rFonts w:asciiTheme="majorHAnsi" w:hAnsiTheme="majorHAnsi"/>
      <w:sz w:val="28"/>
    </w:rPr>
  </w:style>
  <w:style w:type="paragraph" w:styleId="NoteHeading">
    <w:name w:val="Note Heading"/>
    <w:basedOn w:val="Normal"/>
    <w:next w:val="Normal"/>
    <w:link w:val="NoteHeadingChar"/>
    <w:uiPriority w:val="98"/>
    <w:semiHidden/>
    <w:rsid w:val="00592613"/>
  </w:style>
  <w:style w:type="character" w:customStyle="1" w:styleId="NoteHeadingChar">
    <w:name w:val="Note Heading Char"/>
    <w:basedOn w:val="DefaultParagraphFont"/>
    <w:link w:val="NoteHeading"/>
    <w:uiPriority w:val="98"/>
    <w:semiHidden/>
    <w:rsid w:val="00592613"/>
    <w:rPr>
      <w:sz w:val="24"/>
      <w:szCs w:val="24"/>
    </w:rPr>
  </w:style>
  <w:style w:type="paragraph" w:customStyle="1" w:styleId="JuHeaderLandscape">
    <w:name w:val="Ju_Header_Landscape"/>
    <w:aliases w:val="_Header_Landscape"/>
    <w:basedOn w:val="JuHeader"/>
    <w:uiPriority w:val="29"/>
    <w:qFormat/>
    <w:rsid w:val="00592613"/>
    <w:pPr>
      <w:tabs>
        <w:tab w:val="clear" w:pos="3686"/>
        <w:tab w:val="clear" w:pos="7371"/>
        <w:tab w:val="center" w:pos="6146"/>
        <w:tab w:val="right" w:pos="12293"/>
      </w:tabs>
    </w:pPr>
  </w:style>
  <w:style w:type="character" w:customStyle="1" w:styleId="JuParaChar">
    <w:name w:val="Ju_Para Char"/>
    <w:aliases w:val="_Para Char"/>
    <w:link w:val="JuPara"/>
    <w:uiPriority w:val="4"/>
    <w:rsid w:val="00461CD2"/>
    <w:rPr>
      <w:sz w:val="24"/>
      <w:szCs w:val="24"/>
    </w:rPr>
  </w:style>
  <w:style w:type="character" w:customStyle="1" w:styleId="JuQuotChar">
    <w:name w:val="Ju_Quot Char"/>
    <w:basedOn w:val="JuParaChar"/>
    <w:link w:val="JuQuot"/>
    <w:uiPriority w:val="20"/>
    <w:rsid w:val="00124B7E"/>
    <w:rPr>
      <w:sz w:val="20"/>
      <w:szCs w:val="24"/>
    </w:rPr>
  </w:style>
  <w:style w:type="paragraph" w:styleId="Revision">
    <w:name w:val="Revision"/>
    <w:hidden/>
    <w:uiPriority w:val="99"/>
    <w:semiHidden/>
    <w:rsid w:val="003C71A6"/>
    <w:rPr>
      <w:rFonts w:eastAsiaTheme="minorEastAsia"/>
      <w:sz w:val="24"/>
    </w:rPr>
  </w:style>
  <w:style w:type="paragraph" w:customStyle="1" w:styleId="ECHRBullet3">
    <w:name w:val="ECHR_Bullet_3"/>
    <w:aliases w:val="_Bul_3"/>
    <w:basedOn w:val="ECHRBullet2"/>
    <w:uiPriority w:val="23"/>
    <w:semiHidden/>
    <w:rsid w:val="00592613"/>
    <w:pPr>
      <w:numPr>
        <w:ilvl w:val="2"/>
      </w:numPr>
    </w:pPr>
  </w:style>
  <w:style w:type="paragraph" w:customStyle="1" w:styleId="ECHRBullet4">
    <w:name w:val="ECHR_Bullet_4"/>
    <w:aliases w:val="_Bul_4"/>
    <w:basedOn w:val="ECHRBullet3"/>
    <w:uiPriority w:val="23"/>
    <w:semiHidden/>
    <w:rsid w:val="00592613"/>
    <w:pPr>
      <w:numPr>
        <w:ilvl w:val="3"/>
      </w:numPr>
    </w:pPr>
  </w:style>
  <w:style w:type="paragraph" w:customStyle="1" w:styleId="ECHRConfidential">
    <w:name w:val="ECHR_Confidential"/>
    <w:aliases w:val="_Confidential"/>
    <w:basedOn w:val="Normal"/>
    <w:next w:val="Normal"/>
    <w:uiPriority w:val="42"/>
    <w:semiHidden/>
    <w:qFormat/>
    <w:rsid w:val="00592613"/>
    <w:pPr>
      <w:jc w:val="right"/>
    </w:pPr>
    <w:rPr>
      <w:color w:val="C00000"/>
      <w:sz w:val="20"/>
    </w:rPr>
  </w:style>
  <w:style w:type="paragraph" w:customStyle="1" w:styleId="ECHRDecisionBody">
    <w:name w:val="ECHR_Decision_Body"/>
    <w:aliases w:val="_Decision_Body"/>
    <w:basedOn w:val="NormalJustified"/>
    <w:uiPriority w:val="54"/>
    <w:semiHidden/>
    <w:rsid w:val="00592613"/>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92613"/>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592613"/>
    <w:rPr>
      <w:rFonts w:ascii="Arial" w:hAnsi="Arial"/>
      <w:i/>
      <w:color w:val="0072BC" w:themeColor="accent1"/>
      <w:sz w:val="32"/>
      <w:szCs w:val="24"/>
    </w:rPr>
  </w:style>
  <w:style w:type="paragraph" w:customStyle="1" w:styleId="ECHRFooterLineLandscape">
    <w:name w:val="ECHR_Footer_Line_Landscape"/>
    <w:aliases w:val="_Footer_Line_Landscape"/>
    <w:basedOn w:val="Normal"/>
    <w:uiPriority w:val="30"/>
    <w:semiHidden/>
    <w:rsid w:val="0059261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
    <w:uiPriority w:val="8"/>
    <w:semiHidden/>
    <w:qFormat/>
    <w:rsid w:val="00592613"/>
    <w:pPr>
      <w:ind w:left="567" w:hanging="567"/>
      <w:jc w:val="both"/>
    </w:pPr>
  </w:style>
  <w:style w:type="paragraph" w:customStyle="1" w:styleId="ECHRHeading9">
    <w:name w:val="ECHR_Heading_9"/>
    <w:aliases w:val="_Head_9"/>
    <w:basedOn w:val="Heading9"/>
    <w:next w:val="Normal"/>
    <w:uiPriority w:val="19"/>
    <w:semiHidden/>
    <w:rsid w:val="00592613"/>
    <w:pPr>
      <w:numPr>
        <w:numId w:val="2"/>
      </w:numPr>
    </w:pPr>
    <w:rPr>
      <w:i w:val="0"/>
      <w:sz w:val="18"/>
    </w:rPr>
  </w:style>
  <w:style w:type="paragraph" w:customStyle="1" w:styleId="ECHRParaIndent">
    <w:name w:val="ECHR_Para_Indent"/>
    <w:aliases w:val="_Indent"/>
    <w:basedOn w:val="Normal"/>
    <w:uiPriority w:val="7"/>
    <w:semiHidden/>
    <w:qFormat/>
    <w:rsid w:val="00592613"/>
    <w:pPr>
      <w:spacing w:before="120" w:after="120"/>
      <w:ind w:left="284"/>
      <w:jc w:val="both"/>
    </w:pPr>
  </w:style>
  <w:style w:type="paragraph" w:customStyle="1" w:styleId="ECHRLine">
    <w:name w:val="ECHR_Line"/>
    <w:aliases w:val="_Line"/>
    <w:basedOn w:val="NormalJustified"/>
    <w:next w:val="Normal"/>
    <w:uiPriority w:val="46"/>
    <w:semiHidden/>
    <w:rsid w:val="00592613"/>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592613"/>
    <w:pPr>
      <w:numPr>
        <w:numId w:val="0"/>
      </w:numPr>
      <w:ind w:left="284"/>
    </w:pPr>
  </w:style>
  <w:style w:type="paragraph" w:customStyle="1" w:styleId="ECHRNumberedList1">
    <w:name w:val="ECHR_Numbered_List_1"/>
    <w:aliases w:val="_Num_1"/>
    <w:basedOn w:val="Normal"/>
    <w:uiPriority w:val="23"/>
    <w:semiHidden/>
    <w:qFormat/>
    <w:rsid w:val="00592613"/>
    <w:pPr>
      <w:numPr>
        <w:numId w:val="8"/>
      </w:numPr>
      <w:spacing w:before="60" w:after="60"/>
    </w:pPr>
  </w:style>
  <w:style w:type="paragraph" w:customStyle="1" w:styleId="ECHRNumberedList2">
    <w:name w:val="ECHR_Numbered_List_2"/>
    <w:aliases w:val="_Num_2"/>
    <w:basedOn w:val="ECHRNumberedList1"/>
    <w:uiPriority w:val="23"/>
    <w:semiHidden/>
    <w:rsid w:val="00592613"/>
    <w:pPr>
      <w:numPr>
        <w:ilvl w:val="1"/>
      </w:numPr>
    </w:pPr>
  </w:style>
  <w:style w:type="paragraph" w:customStyle="1" w:styleId="ECHRNumberedList3">
    <w:name w:val="ECHR_Numbered_List_3"/>
    <w:aliases w:val="_Num_3"/>
    <w:basedOn w:val="ECHRNumberedList2"/>
    <w:uiPriority w:val="23"/>
    <w:semiHidden/>
    <w:rsid w:val="00592613"/>
    <w:pPr>
      <w:numPr>
        <w:ilvl w:val="2"/>
      </w:numPr>
    </w:pPr>
  </w:style>
  <w:style w:type="character" w:customStyle="1" w:styleId="ECHRRed">
    <w:name w:val="ECHR_Red"/>
    <w:aliases w:val="_Red"/>
    <w:basedOn w:val="DefaultParagraphFont"/>
    <w:uiPriority w:val="15"/>
    <w:semiHidden/>
    <w:qFormat/>
    <w:rsid w:val="00592613"/>
    <w:rPr>
      <w:color w:val="C00000" w:themeColor="accent2"/>
    </w:rPr>
  </w:style>
  <w:style w:type="paragraph" w:customStyle="1" w:styleId="ECHRHeaderDate">
    <w:name w:val="ECHR_Header_Date"/>
    <w:aliases w:val="_Ref_Date"/>
    <w:basedOn w:val="Normal"/>
    <w:uiPriority w:val="44"/>
    <w:semiHidden/>
    <w:qFormat/>
    <w:rsid w:val="00592613"/>
    <w:pPr>
      <w:jc w:val="right"/>
    </w:pPr>
    <w:rPr>
      <w:sz w:val="20"/>
    </w:rPr>
  </w:style>
  <w:style w:type="paragraph" w:customStyle="1" w:styleId="ECHRHeaderRefIt">
    <w:name w:val="ECHR_Header_Ref_It"/>
    <w:aliases w:val="_Ref_Ital"/>
    <w:basedOn w:val="Normal"/>
    <w:next w:val="ECHRHeaderDate"/>
    <w:uiPriority w:val="43"/>
    <w:semiHidden/>
    <w:qFormat/>
    <w:rsid w:val="00592613"/>
    <w:pPr>
      <w:jc w:val="right"/>
    </w:pPr>
    <w:rPr>
      <w:i/>
      <w:sz w:val="20"/>
    </w:rPr>
  </w:style>
  <w:style w:type="paragraph" w:customStyle="1" w:styleId="ECHRSpacer">
    <w:name w:val="ECHR_Spacer"/>
    <w:aliases w:val="_Spacer"/>
    <w:basedOn w:val="Normal"/>
    <w:uiPriority w:val="45"/>
    <w:semiHidden/>
    <w:rsid w:val="00592613"/>
    <w:rPr>
      <w:sz w:val="4"/>
    </w:rPr>
  </w:style>
  <w:style w:type="paragraph" w:customStyle="1" w:styleId="ECHRTitleCentre1">
    <w:name w:val="ECHR_Title_Centre_1"/>
    <w:aliases w:val="_Title_C_1"/>
    <w:basedOn w:val="Normal"/>
    <w:next w:val="Normal"/>
    <w:uiPriority w:val="26"/>
    <w:semiHidden/>
    <w:qFormat/>
    <w:rsid w:val="0059261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9261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9261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92613"/>
    <w:pPr>
      <w:outlineLvl w:val="0"/>
    </w:pPr>
  </w:style>
  <w:style w:type="paragraph" w:customStyle="1" w:styleId="ECHRTitle1">
    <w:name w:val="ECHR_Title_1"/>
    <w:aliases w:val="_Title_L_1"/>
    <w:basedOn w:val="Normal"/>
    <w:next w:val="Normal"/>
    <w:uiPriority w:val="28"/>
    <w:semiHidden/>
    <w:qFormat/>
    <w:rsid w:val="0059261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9261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92613"/>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592613"/>
    <w:pPr>
      <w:outlineLvl w:val="0"/>
    </w:pPr>
  </w:style>
  <w:style w:type="table" w:customStyle="1" w:styleId="ECHRTable2">
    <w:name w:val="ECHR_Table_2"/>
    <w:basedOn w:val="TableNormal"/>
    <w:uiPriority w:val="99"/>
    <w:rsid w:val="0059261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9261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09687">
      <w:bodyDiv w:val="1"/>
      <w:marLeft w:val="0"/>
      <w:marRight w:val="0"/>
      <w:marTop w:val="0"/>
      <w:marBottom w:val="0"/>
      <w:divBdr>
        <w:top w:val="none" w:sz="0" w:space="0" w:color="auto"/>
        <w:left w:val="none" w:sz="0" w:space="0" w:color="auto"/>
        <w:bottom w:val="none" w:sz="0" w:space="0" w:color="auto"/>
        <w:right w:val="none" w:sz="0" w:space="0" w:color="auto"/>
      </w:divBdr>
    </w:div>
    <w:div w:id="1598832152">
      <w:bodyDiv w:val="1"/>
      <w:marLeft w:val="0"/>
      <w:marRight w:val="0"/>
      <w:marTop w:val="0"/>
      <w:marBottom w:val="0"/>
      <w:divBdr>
        <w:top w:val="none" w:sz="0" w:space="0" w:color="auto"/>
        <w:left w:val="none" w:sz="0" w:space="0" w:color="auto"/>
        <w:bottom w:val="none" w:sz="0" w:space="0" w:color="auto"/>
        <w:right w:val="none" w:sz="0" w:space="0" w:color="auto"/>
      </w:divBdr>
    </w:div>
    <w:div w:id="19533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A0DB4-CC09-4196-95D6-08932DB9CE20}"/>
</file>

<file path=customXml/itemProps2.xml><?xml version="1.0" encoding="utf-8"?>
<ds:datastoreItem xmlns:ds="http://schemas.openxmlformats.org/officeDocument/2006/customXml" ds:itemID="{0053A2D3-C606-4BC4-BE95-5189784F1308}"/>
</file>

<file path=customXml/itemProps3.xml><?xml version="1.0" encoding="utf-8"?>
<ds:datastoreItem xmlns:ds="http://schemas.openxmlformats.org/officeDocument/2006/customXml" ds:itemID="{9DA0CF51-FE35-46EF-B476-F6018E495937}"/>
</file>

<file path=customXml/itemProps4.xml><?xml version="1.0" encoding="utf-8"?>
<ds:datastoreItem xmlns:ds="http://schemas.openxmlformats.org/officeDocument/2006/customXml" ds:itemID="{90DBE5B2-796A-4CB7-8136-0F9C0BBF1FB7}"/>
</file>

<file path=docProps/app.xml><?xml version="1.0" encoding="utf-8"?>
<Properties xmlns="http://schemas.openxmlformats.org/officeDocument/2006/extended-properties" xmlns:vt="http://schemas.openxmlformats.org/officeDocument/2006/docPropsVTypes">
  <Template>Normal.dotm</Template>
  <TotalTime>0</TotalTime>
  <Pages>1</Pages>
  <Words>13795</Words>
  <Characters>78638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dcterms:created xsi:type="dcterms:W3CDTF">2020-02-04T08:50:00Z</dcterms:created>
  <dcterms:modified xsi:type="dcterms:W3CDTF">2020-02-04T08:50:00Z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11264/04</vt:lpwstr>
  </property>
  <property fmtid="{D5CDD505-2E9C-101B-9397-08002B2CF9AE}" pid="4" name="CASEID">
    <vt:lpwstr>296249</vt:lpwstr>
  </property>
  <property fmtid="{D5CDD505-2E9C-101B-9397-08002B2CF9AE}" pid="5" name="ContentTypeId">
    <vt:lpwstr>0x010100558EB02BDB9E204AB350EDD385B68E10</vt:lpwstr>
  </property>
</Properties>
</file>