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6.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2744D" w:rsidR="00DA4349" w:rsidP="0002744D" w:rsidRDefault="00DA4349">
      <w:pPr>
        <w:jc w:val="center"/>
      </w:pPr>
    </w:p>
    <w:p w:rsidRPr="0002744D" w:rsidR="00647C3C" w:rsidP="0002744D" w:rsidRDefault="00647C3C">
      <w:pPr>
        <w:jc w:val="center"/>
      </w:pPr>
    </w:p>
    <w:p w:rsidRPr="0002744D" w:rsidR="00BB548A" w:rsidP="0002744D" w:rsidRDefault="00BB548A">
      <w:pPr>
        <w:jc w:val="center"/>
      </w:pPr>
    </w:p>
    <w:p w:rsidRPr="0002744D" w:rsidR="00DA4349" w:rsidP="0002744D" w:rsidRDefault="002F5075">
      <w:pPr>
        <w:jc w:val="center"/>
      </w:pPr>
      <w:r w:rsidRPr="0002744D">
        <w:t>THIRD SECTION</w:t>
      </w:r>
    </w:p>
    <w:p w:rsidRPr="0002744D" w:rsidR="00DA4349" w:rsidP="0002744D" w:rsidRDefault="00DA4349">
      <w:pPr>
        <w:jc w:val="center"/>
      </w:pPr>
    </w:p>
    <w:p w:rsidRPr="0002744D" w:rsidR="00BB548A" w:rsidP="0002744D" w:rsidRDefault="00BB548A">
      <w:pPr>
        <w:jc w:val="center"/>
      </w:pPr>
    </w:p>
    <w:p w:rsidRPr="0002744D" w:rsidR="00BB548A" w:rsidP="0002744D" w:rsidRDefault="00BB548A">
      <w:pPr>
        <w:jc w:val="center"/>
      </w:pPr>
    </w:p>
    <w:p w:rsidRPr="0002744D" w:rsidR="00647C3C" w:rsidP="0002744D" w:rsidRDefault="00647C3C">
      <w:pPr>
        <w:jc w:val="center"/>
      </w:pPr>
    </w:p>
    <w:p w:rsidRPr="0002744D" w:rsidR="00BB548A" w:rsidP="0002744D" w:rsidRDefault="00BB548A">
      <w:pPr>
        <w:jc w:val="center"/>
      </w:pPr>
    </w:p>
    <w:p w:rsidRPr="0002744D" w:rsidR="00BB548A" w:rsidP="0002744D" w:rsidRDefault="00BB548A">
      <w:pPr>
        <w:jc w:val="center"/>
      </w:pPr>
    </w:p>
    <w:p w:rsidRPr="0002744D" w:rsidR="00DA4349" w:rsidP="0002744D" w:rsidRDefault="009E2683">
      <w:pPr>
        <w:jc w:val="center"/>
        <w:rPr>
          <w:b/>
        </w:rPr>
      </w:pPr>
      <w:bookmarkStart w:name="To" w:id="0"/>
      <w:r w:rsidRPr="0002744D">
        <w:rPr>
          <w:b/>
        </w:rPr>
        <w:t xml:space="preserve">CASE OF </w:t>
      </w:r>
      <w:bookmarkEnd w:id="0"/>
      <w:r w:rsidRPr="0002744D" w:rsidR="002F5075">
        <w:rPr>
          <w:b/>
        </w:rPr>
        <w:t>DYAGILEV v. RUSSIA</w:t>
      </w:r>
    </w:p>
    <w:p w:rsidRPr="0002744D" w:rsidR="00DA4349" w:rsidP="0002744D" w:rsidRDefault="00DA4349">
      <w:pPr>
        <w:jc w:val="center"/>
      </w:pPr>
    </w:p>
    <w:p w:rsidRPr="0002744D" w:rsidR="00DA4349" w:rsidP="0002744D" w:rsidRDefault="009E2683">
      <w:pPr>
        <w:jc w:val="center"/>
        <w:rPr>
          <w:i/>
        </w:rPr>
      </w:pPr>
      <w:r w:rsidRPr="0002744D">
        <w:rPr>
          <w:i/>
        </w:rPr>
        <w:t>(</w:t>
      </w:r>
      <w:r w:rsidRPr="0002744D" w:rsidR="002F5075">
        <w:rPr>
          <w:i/>
        </w:rPr>
        <w:t>Application no. 49972/16</w:t>
      </w:r>
      <w:r w:rsidRPr="0002744D">
        <w:rPr>
          <w:i/>
        </w:rPr>
        <w:t>)</w:t>
      </w:r>
    </w:p>
    <w:p w:rsidRPr="0002744D" w:rsidR="00DA4349" w:rsidP="0002744D" w:rsidRDefault="00DA4349">
      <w:pPr>
        <w:jc w:val="center"/>
      </w:pPr>
    </w:p>
    <w:p w:rsidRPr="0002744D" w:rsidR="006D6ADC" w:rsidP="0002744D" w:rsidRDefault="006D6ADC">
      <w:pPr>
        <w:jc w:val="center"/>
      </w:pPr>
    </w:p>
    <w:p w:rsidRPr="0002744D" w:rsidR="006D6ADC" w:rsidP="0002744D" w:rsidRDefault="006D6ADC">
      <w:pPr>
        <w:jc w:val="center"/>
      </w:pPr>
    </w:p>
    <w:p w:rsidRPr="0002744D" w:rsidR="006D6ADC" w:rsidP="0002744D" w:rsidRDefault="006D6ADC">
      <w:pPr>
        <w:jc w:val="center"/>
      </w:pPr>
    </w:p>
    <w:p w:rsidRPr="0002744D" w:rsidR="006D6ADC" w:rsidP="0002744D" w:rsidRDefault="006D6ADC">
      <w:pPr>
        <w:jc w:val="center"/>
      </w:pPr>
    </w:p>
    <w:p w:rsidRPr="0002744D" w:rsidR="00DA4349" w:rsidP="0002744D" w:rsidRDefault="00BB548A">
      <w:pPr>
        <w:jc w:val="center"/>
      </w:pPr>
      <w:r w:rsidRPr="0002744D">
        <w:t>JUDGMENT</w:t>
      </w:r>
    </w:p>
    <w:p w:rsidRPr="0002744D" w:rsidR="00BB548A" w:rsidP="0002744D" w:rsidRDefault="00BB548A">
      <w:pPr>
        <w:jc w:val="center"/>
      </w:pPr>
    </w:p>
    <w:p w:rsidRPr="0002744D" w:rsidR="00647C3C" w:rsidP="0002744D" w:rsidRDefault="002A0456">
      <w:pPr>
        <w:pStyle w:val="ECHRPara"/>
        <w:pBdr>
          <w:top w:val="single" w:color="auto" w:sz="4" w:space="1"/>
          <w:left w:val="single" w:color="auto" w:sz="4" w:space="4"/>
          <w:bottom w:val="single" w:color="auto" w:sz="4" w:space="1"/>
          <w:right w:val="single" w:color="auto" w:sz="4" w:space="4"/>
        </w:pBdr>
        <w:ind w:firstLine="0"/>
      </w:pPr>
      <w:r w:rsidRPr="0002744D">
        <w:t>Art 9 • Freedom of conscience • Dismissal of alleged conscientious objector request for replacement of compulsory military service with its civilian alternative • Applicant</w:t>
      </w:r>
      <w:r w:rsidRPr="0002744D" w:rsidR="0002744D">
        <w:t>’</w:t>
      </w:r>
      <w:r w:rsidRPr="0002744D">
        <w:t xml:space="preserve">s failure to substantiate the seriousness of his conscientious objection • Availability of an effective and accessible procedure for determining whether an individual was entitled to conscientious objector status • Sufficient procedural guarantees and wide scope for examination of individual circumstances • Competent authority satisfying prima facie requirement of independence • Relevant decision </w:t>
      </w:r>
      <w:proofErr w:type="gramStart"/>
      <w:r w:rsidRPr="0002744D">
        <w:t>amenable</w:t>
      </w:r>
      <w:proofErr w:type="gramEnd"/>
      <w:r w:rsidRPr="0002744D">
        <w:t xml:space="preserve"> to full judicial review • Absence of institutional bias against individuals seeking replacement</w:t>
      </w:r>
    </w:p>
    <w:p w:rsidRPr="0002744D" w:rsidR="00BB548A" w:rsidP="0002744D" w:rsidRDefault="00BB548A">
      <w:pPr>
        <w:jc w:val="center"/>
      </w:pPr>
    </w:p>
    <w:p w:rsidRPr="0002744D" w:rsidR="00BB548A" w:rsidP="0002744D" w:rsidRDefault="00BB548A">
      <w:pPr>
        <w:jc w:val="center"/>
      </w:pPr>
      <w:r w:rsidRPr="0002744D">
        <w:t>STRASBOURG</w:t>
      </w:r>
      <w:bookmarkStart w:name="_GoBack" w:id="1"/>
      <w:bookmarkEnd w:id="1"/>
    </w:p>
    <w:p w:rsidRPr="0002744D" w:rsidR="00BB548A" w:rsidP="0002744D" w:rsidRDefault="00BB548A">
      <w:pPr>
        <w:jc w:val="center"/>
      </w:pPr>
    </w:p>
    <w:p w:rsidRPr="0002744D" w:rsidR="00BB548A" w:rsidP="0002744D" w:rsidRDefault="003F2557">
      <w:pPr>
        <w:jc w:val="center"/>
      </w:pPr>
      <w:r w:rsidRPr="0002744D">
        <w:t>10 March 2020</w:t>
      </w:r>
    </w:p>
    <w:p w:rsidRPr="0002744D" w:rsidR="00BB548A" w:rsidP="0002744D" w:rsidRDefault="00BB548A">
      <w:pPr>
        <w:jc w:val="center"/>
      </w:pPr>
    </w:p>
    <w:p w:rsidRPr="0002744D" w:rsidR="00BB548A" w:rsidP="0002744D" w:rsidRDefault="00BB548A">
      <w:pPr>
        <w:jc w:val="center"/>
      </w:pPr>
    </w:p>
    <w:p w:rsidRPr="0002744D" w:rsidR="00BB548A" w:rsidP="0002744D" w:rsidRDefault="00BB548A">
      <w:pPr>
        <w:jc w:val="left"/>
        <w:rPr>
          <w:i/>
          <w:sz w:val="22"/>
        </w:rPr>
      </w:pPr>
      <w:r w:rsidRPr="0002744D">
        <w:rPr>
          <w:i/>
          <w:sz w:val="22"/>
        </w:rPr>
        <w:t xml:space="preserve">This judgment will become final in the circumstances set out in Article 44 </w:t>
      </w:r>
      <w:proofErr w:type="gramStart"/>
      <w:r w:rsidRPr="0002744D">
        <w:rPr>
          <w:i/>
          <w:sz w:val="22"/>
        </w:rPr>
        <w:t>§  2</w:t>
      </w:r>
      <w:proofErr w:type="gramEnd"/>
      <w:r w:rsidRPr="0002744D">
        <w:rPr>
          <w:i/>
          <w:sz w:val="22"/>
        </w:rPr>
        <w:t xml:space="preserve"> of</w:t>
      </w:r>
      <w:r w:rsidRPr="0002744D" w:rsidR="0002744D">
        <w:rPr>
          <w:i/>
          <w:sz w:val="22"/>
        </w:rPr>
        <w:t> </w:t>
      </w:r>
      <w:r w:rsidRPr="0002744D">
        <w:rPr>
          <w:i/>
          <w:sz w:val="22"/>
        </w:rPr>
        <w:t>the Convention. It may be subject to editorial revision.</w:t>
      </w:r>
    </w:p>
    <w:p w:rsidRPr="0002744D" w:rsidR="003F2557" w:rsidP="0002744D" w:rsidRDefault="003F2557">
      <w:pPr>
        <w:pStyle w:val="ECHRPara"/>
        <w:sectPr w:rsidRPr="0002744D" w:rsidR="003F2557" w:rsidSect="00BB548A">
          <w:headerReference w:type="default" r:id="rId8"/>
          <w:headerReference w:type="first" r:id="rId9"/>
          <w:footerReference w:type="first" r:id="rId10"/>
          <w:footnotePr>
            <w:numRestart w:val="eachSect"/>
          </w:footnotePr>
          <w:pgSz w:w="11906" w:h="16838" w:code="9"/>
          <w:pgMar w:top="2274" w:right="2274" w:bottom="2274" w:left="2274" w:header="1701" w:footer="720" w:gutter="0"/>
          <w:pgNumType w:start="1"/>
          <w:cols w:space="720"/>
          <w:titlePg/>
          <w:docGrid w:linePitch="326"/>
        </w:sectPr>
      </w:pPr>
    </w:p>
    <w:p w:rsidRPr="0002744D" w:rsidR="00DA4349" w:rsidP="0002744D" w:rsidRDefault="009E2683">
      <w:pPr>
        <w:pStyle w:val="JuCase"/>
        <w:rPr>
          <w:bCs/>
        </w:rPr>
      </w:pPr>
      <w:r w:rsidRPr="0002744D">
        <w:t xml:space="preserve">In the case of </w:t>
      </w:r>
      <w:proofErr w:type="spellStart"/>
      <w:r w:rsidRPr="0002744D" w:rsidR="002F5075">
        <w:t>Dyagilev</w:t>
      </w:r>
      <w:proofErr w:type="spellEnd"/>
      <w:r w:rsidRPr="0002744D" w:rsidR="002F5075">
        <w:t xml:space="preserve"> v. Russia</w:t>
      </w:r>
      <w:r w:rsidRPr="0002744D">
        <w:t>,</w:t>
      </w:r>
    </w:p>
    <w:p w:rsidRPr="0002744D" w:rsidR="00DA4349" w:rsidP="0002744D" w:rsidRDefault="009E2683">
      <w:pPr>
        <w:pStyle w:val="ECHRPara"/>
      </w:pPr>
      <w:r w:rsidRPr="0002744D">
        <w:t>The European Court of Human Rights (</w:t>
      </w:r>
      <w:r w:rsidRPr="0002744D" w:rsidR="002F5075">
        <w:t>Third Section</w:t>
      </w:r>
      <w:r w:rsidRPr="0002744D">
        <w:t xml:space="preserve">), sitting as a </w:t>
      </w:r>
      <w:r w:rsidRPr="0002744D" w:rsidR="002F5075">
        <w:t>Chamber</w:t>
      </w:r>
      <w:r w:rsidRPr="0002744D">
        <w:t xml:space="preserve"> composed of:</w:t>
      </w:r>
    </w:p>
    <w:p w:rsidRPr="0002744D" w:rsidR="00DA4349" w:rsidP="0002744D" w:rsidRDefault="003F2557">
      <w:pPr>
        <w:pStyle w:val="ECHRDecisionBody"/>
      </w:pPr>
      <w:r w:rsidRPr="0002744D">
        <w:tab/>
        <w:t>Paul Lemmens,</w:t>
      </w:r>
      <w:r w:rsidRPr="0002744D">
        <w:rPr>
          <w:i/>
        </w:rPr>
        <w:t xml:space="preserve"> President,</w:t>
      </w:r>
      <w:r w:rsidRPr="0002744D">
        <w:rPr>
          <w:i/>
        </w:rPr>
        <w:br/>
      </w:r>
      <w:r w:rsidRPr="0002744D">
        <w:tab/>
        <w:t xml:space="preserve">Georgios A. </w:t>
      </w:r>
      <w:proofErr w:type="spellStart"/>
      <w:r w:rsidRPr="0002744D">
        <w:t>Serghides</w:t>
      </w:r>
      <w:proofErr w:type="spellEnd"/>
      <w:r w:rsidRPr="0002744D">
        <w:t>,</w:t>
      </w:r>
      <w:r w:rsidRPr="0002744D">
        <w:rPr>
          <w:i/>
        </w:rPr>
        <w:br/>
      </w:r>
      <w:r w:rsidRPr="0002744D">
        <w:tab/>
        <w:t>Paulo Pinto de Albuquerque,</w:t>
      </w:r>
      <w:r w:rsidRPr="0002744D">
        <w:rPr>
          <w:i/>
        </w:rPr>
        <w:br/>
      </w:r>
      <w:r w:rsidRPr="0002744D">
        <w:tab/>
        <w:t>Helen Keller,</w:t>
      </w:r>
      <w:r w:rsidRPr="0002744D">
        <w:rPr>
          <w:i/>
        </w:rPr>
        <w:br/>
      </w:r>
      <w:r w:rsidRPr="0002744D">
        <w:tab/>
        <w:t xml:space="preserve">Dmitry </w:t>
      </w:r>
      <w:proofErr w:type="spellStart"/>
      <w:r w:rsidRPr="0002744D">
        <w:t>Dedov</w:t>
      </w:r>
      <w:proofErr w:type="spellEnd"/>
      <w:r w:rsidRPr="0002744D">
        <w:t>,</w:t>
      </w:r>
      <w:r w:rsidRPr="0002744D">
        <w:rPr>
          <w:i/>
        </w:rPr>
        <w:br/>
      </w:r>
      <w:r w:rsidRPr="0002744D">
        <w:tab/>
        <w:t xml:space="preserve">Alena </w:t>
      </w:r>
      <w:proofErr w:type="spellStart"/>
      <w:r w:rsidRPr="0002744D">
        <w:t>Poláčková</w:t>
      </w:r>
      <w:proofErr w:type="spellEnd"/>
      <w:r w:rsidRPr="0002744D">
        <w:t>,</w:t>
      </w:r>
      <w:r w:rsidRPr="0002744D">
        <w:rPr>
          <w:i/>
        </w:rPr>
        <w:br/>
      </w:r>
      <w:r w:rsidRPr="0002744D">
        <w:tab/>
        <w:t xml:space="preserve">Lorraine </w:t>
      </w:r>
      <w:proofErr w:type="spellStart"/>
      <w:r w:rsidRPr="0002744D">
        <w:t>Schembri</w:t>
      </w:r>
      <w:proofErr w:type="spellEnd"/>
      <w:r w:rsidRPr="0002744D">
        <w:t xml:space="preserve"> Orland,</w:t>
      </w:r>
      <w:r w:rsidRPr="0002744D">
        <w:rPr>
          <w:i/>
        </w:rPr>
        <w:t xml:space="preserve"> judges,</w:t>
      </w:r>
      <w:r w:rsidRPr="0002744D" w:rsidR="009E2683">
        <w:rPr>
          <w:szCs w:val="24"/>
        </w:rPr>
        <w:br/>
      </w:r>
      <w:r w:rsidRPr="0002744D" w:rsidR="009E2683">
        <w:t xml:space="preserve">and </w:t>
      </w:r>
      <w:r w:rsidRPr="0002744D" w:rsidR="002F5075">
        <w:t>Stephen Phillips</w:t>
      </w:r>
      <w:r w:rsidRPr="0002744D" w:rsidR="009E2683">
        <w:t xml:space="preserve">, </w:t>
      </w:r>
      <w:r w:rsidRPr="0002744D" w:rsidR="002F5075">
        <w:rPr>
          <w:i/>
        </w:rPr>
        <w:t xml:space="preserve">Section </w:t>
      </w:r>
      <w:r w:rsidRPr="0002744D" w:rsidR="002F5075">
        <w:rPr>
          <w:i/>
          <w:iCs/>
        </w:rPr>
        <w:t>Registrar</w:t>
      </w:r>
      <w:r w:rsidRPr="0002744D" w:rsidR="009E2683">
        <w:rPr>
          <w:i/>
        </w:rPr>
        <w:t>,</w:t>
      </w:r>
    </w:p>
    <w:p w:rsidRPr="0002744D" w:rsidR="00DA4349" w:rsidP="0002744D" w:rsidRDefault="009E2683">
      <w:pPr>
        <w:pStyle w:val="ECHRPara"/>
      </w:pPr>
      <w:r w:rsidRPr="0002744D">
        <w:t xml:space="preserve">Having deliberated in private on </w:t>
      </w:r>
      <w:r w:rsidRPr="0002744D" w:rsidR="003F2557">
        <w:t>4 February 2020</w:t>
      </w:r>
      <w:r w:rsidRPr="0002744D">
        <w:t>,</w:t>
      </w:r>
    </w:p>
    <w:p w:rsidRPr="0002744D" w:rsidR="00DA4349" w:rsidP="0002744D" w:rsidRDefault="009E2683">
      <w:pPr>
        <w:pStyle w:val="ECHRPara"/>
      </w:pPr>
      <w:r w:rsidRPr="0002744D">
        <w:t>Delivers the following judgment, which was adopted on that date:</w:t>
      </w:r>
    </w:p>
    <w:p w:rsidRPr="0002744D" w:rsidR="00DA4349" w:rsidP="0002744D" w:rsidRDefault="009E2683">
      <w:pPr>
        <w:pStyle w:val="ECHRTitle1"/>
      </w:pPr>
      <w:r w:rsidRPr="0002744D">
        <w:t>PROCEDURE</w:t>
      </w:r>
    </w:p>
    <w:p w:rsidRPr="0002744D" w:rsidR="002F5075" w:rsidP="0002744D" w:rsidRDefault="002F5075">
      <w:pPr>
        <w:pStyle w:val="ECHRPara"/>
      </w:pPr>
      <w:r w:rsidRPr="0002744D">
        <w:fldChar w:fldCharType="begin"/>
      </w:r>
      <w:r w:rsidRPr="0002744D">
        <w:instrText xml:space="preserve"> SEQ level0 \*arabic </w:instrText>
      </w:r>
      <w:r w:rsidRPr="0002744D">
        <w:fldChar w:fldCharType="separate"/>
      </w:r>
      <w:r w:rsidRPr="0002744D" w:rsidR="0002744D">
        <w:rPr>
          <w:noProof/>
        </w:rPr>
        <w:t>1</w:t>
      </w:r>
      <w:r w:rsidRPr="0002744D">
        <w:fldChar w:fldCharType="end"/>
      </w:r>
      <w:r w:rsidRPr="0002744D" w:rsidR="009E2683">
        <w:t xml:space="preserve">.  The case originated in </w:t>
      </w:r>
      <w:r w:rsidRPr="0002744D">
        <w:t>an application (no. 49972/16)</w:t>
      </w:r>
      <w:r w:rsidRPr="0002744D" w:rsidR="009E2683">
        <w:t xml:space="preserve"> against </w:t>
      </w:r>
      <w:r w:rsidRPr="0002744D">
        <w:t>the Russian Federation</w:t>
      </w:r>
      <w:r w:rsidRPr="0002744D" w:rsidR="009E2683">
        <w:t xml:space="preserve"> lodged with the </w:t>
      </w:r>
      <w:r w:rsidRPr="0002744D">
        <w:t>Court under Article 34</w:t>
      </w:r>
      <w:r w:rsidRPr="0002744D" w:rsidR="009E2683">
        <w:t xml:space="preserve"> of the Convention for the Protection of Human Rights and Fundamental Freedoms (“the Convention”) by </w:t>
      </w:r>
      <w:r w:rsidRPr="0002744D">
        <w:t xml:space="preserve">a Russian national, Mr Maksim </w:t>
      </w:r>
      <w:proofErr w:type="spellStart"/>
      <w:r w:rsidRPr="0002744D">
        <w:t>Andreyevich</w:t>
      </w:r>
      <w:proofErr w:type="spellEnd"/>
      <w:r w:rsidRPr="0002744D">
        <w:t xml:space="preserve"> </w:t>
      </w:r>
      <w:proofErr w:type="spellStart"/>
      <w:r w:rsidRPr="0002744D">
        <w:t>Dyagilev</w:t>
      </w:r>
      <w:proofErr w:type="spellEnd"/>
      <w:r w:rsidRPr="0002744D">
        <w:t xml:space="preserve"> (“the applicant”), on 12 August 2016</w:t>
      </w:r>
      <w:r w:rsidRPr="0002744D" w:rsidR="009E2683">
        <w:t>.</w:t>
      </w:r>
    </w:p>
    <w:p w:rsidRPr="0002744D" w:rsidR="002F5075" w:rsidP="0002744D" w:rsidRDefault="002F5075">
      <w:pPr>
        <w:pStyle w:val="ECHRPara"/>
      </w:pPr>
      <w:r w:rsidRPr="0002744D">
        <w:fldChar w:fldCharType="begin"/>
      </w:r>
      <w:r w:rsidRPr="0002744D">
        <w:instrText xml:space="preserve"> SEQ level0 \*arabic </w:instrText>
      </w:r>
      <w:r w:rsidRPr="0002744D">
        <w:fldChar w:fldCharType="separate"/>
      </w:r>
      <w:r w:rsidRPr="0002744D" w:rsidR="0002744D">
        <w:rPr>
          <w:noProof/>
        </w:rPr>
        <w:t>2</w:t>
      </w:r>
      <w:r w:rsidRPr="0002744D">
        <w:fldChar w:fldCharType="end"/>
      </w:r>
      <w:r w:rsidRPr="0002744D" w:rsidR="009E2683">
        <w:t>.  </w:t>
      </w:r>
      <w:r w:rsidRPr="0002744D">
        <w:t xml:space="preserve">The applicant was represented by Mr </w:t>
      </w:r>
      <w:r w:rsidRPr="0002744D" w:rsidR="001A2B9B">
        <w:t>A</w:t>
      </w:r>
      <w:r w:rsidRPr="0002744D">
        <w:t xml:space="preserve">. </w:t>
      </w:r>
      <w:proofErr w:type="spellStart"/>
      <w:r w:rsidRPr="0002744D">
        <w:t>Peredruk</w:t>
      </w:r>
      <w:proofErr w:type="spellEnd"/>
      <w:r w:rsidRPr="0002744D">
        <w:t xml:space="preserve"> and Mr </w:t>
      </w:r>
      <w:r w:rsidRPr="0002744D" w:rsidR="001A2B9B">
        <w:t xml:space="preserve">S. </w:t>
      </w:r>
      <w:proofErr w:type="spellStart"/>
      <w:r w:rsidRPr="0002744D" w:rsidR="001A2B9B">
        <w:t>Golubok</w:t>
      </w:r>
      <w:proofErr w:type="spellEnd"/>
      <w:r w:rsidRPr="0002744D">
        <w:t xml:space="preserve">, lawyers practising in St Petersburg. </w:t>
      </w:r>
      <w:r w:rsidRPr="0002744D" w:rsidR="001A2B9B">
        <w:t>The Russian</w:t>
      </w:r>
      <w:r w:rsidRPr="0002744D" w:rsidR="00647C3C">
        <w:t xml:space="preserve"> Government (“the Government”) </w:t>
      </w:r>
      <w:r w:rsidRPr="0002744D" w:rsidR="001A2B9B">
        <w:t xml:space="preserve">were represented initially by Mr G. </w:t>
      </w:r>
      <w:proofErr w:type="spellStart"/>
      <w:r w:rsidRPr="0002744D" w:rsidR="001A2B9B">
        <w:t>Matyushkin</w:t>
      </w:r>
      <w:proofErr w:type="spellEnd"/>
      <w:r w:rsidRPr="0002744D" w:rsidR="001A2B9B">
        <w:t xml:space="preserve">, the Representative of the Russian Federation to the European Court of Human Rights, and then by his successor in that office, Mr M. </w:t>
      </w:r>
      <w:proofErr w:type="spellStart"/>
      <w:r w:rsidRPr="0002744D" w:rsidR="001A2B9B">
        <w:t>Galperin</w:t>
      </w:r>
      <w:proofErr w:type="spellEnd"/>
      <w:r w:rsidRPr="0002744D" w:rsidR="001A2B9B">
        <w:t>.</w:t>
      </w:r>
    </w:p>
    <w:p w:rsidRPr="0002744D" w:rsidR="00DA4349" w:rsidP="0002744D" w:rsidRDefault="002F5075">
      <w:pPr>
        <w:pStyle w:val="ECHRPara"/>
      </w:pPr>
      <w:r w:rsidRPr="0002744D">
        <w:fldChar w:fldCharType="begin"/>
      </w:r>
      <w:r w:rsidRPr="0002744D">
        <w:instrText xml:space="preserve"> SEQ level0 \*arabic </w:instrText>
      </w:r>
      <w:r w:rsidRPr="0002744D">
        <w:fldChar w:fldCharType="separate"/>
      </w:r>
      <w:r w:rsidRPr="0002744D" w:rsidR="0002744D">
        <w:rPr>
          <w:noProof/>
        </w:rPr>
        <w:t>3</w:t>
      </w:r>
      <w:r w:rsidRPr="0002744D">
        <w:fldChar w:fldCharType="end"/>
      </w:r>
      <w:r w:rsidRPr="0002744D">
        <w:t xml:space="preserve">.  The </w:t>
      </w:r>
      <w:r w:rsidRPr="0002744D" w:rsidR="001A2B9B">
        <w:t xml:space="preserve">applicant </w:t>
      </w:r>
      <w:r w:rsidRPr="0002744D" w:rsidR="00520DF1">
        <w:t>complained</w:t>
      </w:r>
      <w:r w:rsidRPr="0002744D">
        <w:t xml:space="preserve">, in particular, </w:t>
      </w:r>
      <w:r w:rsidRPr="0002744D" w:rsidR="001A2B9B">
        <w:t xml:space="preserve">that </w:t>
      </w:r>
      <w:r w:rsidRPr="0002744D" w:rsidR="00BF6201">
        <w:t>a</w:t>
      </w:r>
      <w:r w:rsidRPr="0002744D" w:rsidR="00E63AD6">
        <w:t>n application</w:t>
      </w:r>
      <w:r w:rsidRPr="0002744D" w:rsidR="00BF6201">
        <w:t xml:space="preserve"> lodged by him to be </w:t>
      </w:r>
      <w:r w:rsidRPr="0002744D" w:rsidR="00E63AD6">
        <w:t>assigned to</w:t>
      </w:r>
      <w:r w:rsidRPr="0002744D" w:rsidR="00AF3E16">
        <w:t xml:space="preserve"> </w:t>
      </w:r>
      <w:r w:rsidRPr="0002744D" w:rsidR="008739C4">
        <w:t xml:space="preserve">civilian </w:t>
      </w:r>
      <w:r w:rsidRPr="0002744D" w:rsidR="001A2B9B">
        <w:t xml:space="preserve">service </w:t>
      </w:r>
      <w:r w:rsidRPr="0002744D" w:rsidR="00AF3E16">
        <w:t xml:space="preserve">instead of compulsory military </w:t>
      </w:r>
      <w:r w:rsidRPr="0002744D" w:rsidR="00BF6201">
        <w:t xml:space="preserve">service </w:t>
      </w:r>
      <w:r w:rsidRPr="0002744D" w:rsidR="002235A2">
        <w:t xml:space="preserve">had been </w:t>
      </w:r>
      <w:r w:rsidRPr="0002744D" w:rsidR="00E63AD6">
        <w:t>dismissed</w:t>
      </w:r>
      <w:r w:rsidRPr="0002744D">
        <w:t>.</w:t>
      </w:r>
    </w:p>
    <w:p w:rsidRPr="0002744D" w:rsidR="00DA4349" w:rsidP="0002744D" w:rsidRDefault="002F5075">
      <w:pPr>
        <w:pStyle w:val="ECHRPara"/>
      </w:pPr>
      <w:r w:rsidRPr="0002744D">
        <w:fldChar w:fldCharType="begin"/>
      </w:r>
      <w:r w:rsidRPr="0002744D">
        <w:instrText xml:space="preserve"> SEQ level0 \*arabic </w:instrText>
      </w:r>
      <w:r w:rsidRPr="0002744D">
        <w:fldChar w:fldCharType="separate"/>
      </w:r>
      <w:r w:rsidRPr="0002744D" w:rsidR="0002744D">
        <w:rPr>
          <w:noProof/>
        </w:rPr>
        <w:t>4</w:t>
      </w:r>
      <w:r w:rsidRPr="0002744D">
        <w:fldChar w:fldCharType="end"/>
      </w:r>
      <w:r w:rsidRPr="0002744D" w:rsidR="009E2683">
        <w:t>.  </w:t>
      </w:r>
      <w:r w:rsidRPr="0002744D">
        <w:t xml:space="preserve">On </w:t>
      </w:r>
      <w:r w:rsidRPr="0002744D">
        <w:rPr>
          <w:szCs w:val="24"/>
        </w:rPr>
        <w:t>29 June 2017</w:t>
      </w:r>
      <w:r w:rsidRPr="0002744D" w:rsidR="00520DF1">
        <w:rPr>
          <w:szCs w:val="24"/>
        </w:rPr>
        <w:t xml:space="preserve"> notice of</w:t>
      </w:r>
      <w:r w:rsidRPr="0002744D" w:rsidR="001A2B9B">
        <w:t xml:space="preserve"> </w:t>
      </w:r>
      <w:r w:rsidRPr="0002744D" w:rsidR="00520DF1">
        <w:t xml:space="preserve">the </w:t>
      </w:r>
      <w:r w:rsidRPr="0002744D">
        <w:t xml:space="preserve">complaint was </w:t>
      </w:r>
      <w:r w:rsidRPr="0002744D" w:rsidR="00520DF1">
        <w:t xml:space="preserve">given </w:t>
      </w:r>
      <w:r w:rsidRPr="0002744D">
        <w:t>to the Government and the remainder of the application was declared inadmissible</w:t>
      </w:r>
      <w:r w:rsidRPr="0002744D" w:rsidR="002235A2">
        <w:t>,</w:t>
      </w:r>
      <w:r w:rsidRPr="0002744D">
        <w:rPr>
          <w:szCs w:val="24"/>
        </w:rPr>
        <w:t xml:space="preserve"> </w:t>
      </w:r>
      <w:r w:rsidRPr="0002744D">
        <w:t>pursuant to Rule 54 § 3 of the Rules of Court</w:t>
      </w:r>
      <w:r w:rsidRPr="0002744D" w:rsidR="009E2683">
        <w:t>.</w:t>
      </w:r>
      <w:r w:rsidRPr="0002744D" w:rsidR="001A2B9B">
        <w:t xml:space="preserve"> The parties submitted written observations on the admissibility and </w:t>
      </w:r>
      <w:r w:rsidRPr="0002744D" w:rsidR="00BF6201">
        <w:t xml:space="preserve">the </w:t>
      </w:r>
      <w:r w:rsidRPr="0002744D" w:rsidR="001A2B9B">
        <w:t>merits.</w:t>
      </w:r>
    </w:p>
    <w:p w:rsidRPr="0002744D" w:rsidR="001A2B9B" w:rsidP="0002744D" w:rsidRDefault="00AF3E16">
      <w:pPr>
        <w:pStyle w:val="ECHRPara"/>
      </w:pPr>
      <w:r w:rsidRPr="0002744D">
        <w:rPr>
          <w:noProof/>
        </w:rPr>
        <w:fldChar w:fldCharType="begin"/>
      </w:r>
      <w:r w:rsidRPr="0002744D">
        <w:rPr>
          <w:noProof/>
        </w:rPr>
        <w:instrText xml:space="preserve"> SEQ level0 \*arabic </w:instrText>
      </w:r>
      <w:r w:rsidRPr="0002744D">
        <w:rPr>
          <w:noProof/>
        </w:rPr>
        <w:fldChar w:fldCharType="separate"/>
      </w:r>
      <w:r w:rsidRPr="0002744D" w:rsidR="0002744D">
        <w:rPr>
          <w:noProof/>
        </w:rPr>
        <w:t>5</w:t>
      </w:r>
      <w:r w:rsidRPr="0002744D">
        <w:rPr>
          <w:noProof/>
        </w:rPr>
        <w:fldChar w:fldCharType="end"/>
      </w:r>
      <w:r w:rsidRPr="0002744D" w:rsidR="001A2B9B">
        <w:t xml:space="preserve">.  On 1 September 2017 the Vice-President of the Section granted the </w:t>
      </w:r>
      <w:r w:rsidRPr="0002744D" w:rsidR="00EB4D8B">
        <w:t xml:space="preserve">Movement of Conscientious Objectors </w:t>
      </w:r>
      <w:r w:rsidRPr="0002744D" w:rsidR="00211468">
        <w:t>(</w:t>
      </w:r>
      <w:r w:rsidRPr="0002744D" w:rsidR="00211468">
        <w:rPr>
          <w:i/>
          <w:lang w:val="ru-RU"/>
        </w:rPr>
        <w:t>Движение</w:t>
      </w:r>
      <w:r w:rsidRPr="0002744D" w:rsidR="00211468">
        <w:rPr>
          <w:i/>
          <w:lang w:val="en-US"/>
        </w:rPr>
        <w:t xml:space="preserve"> </w:t>
      </w:r>
      <w:r w:rsidRPr="0002744D" w:rsidR="00211468">
        <w:rPr>
          <w:i/>
          <w:lang w:val="ru-RU"/>
        </w:rPr>
        <w:t>сознательных</w:t>
      </w:r>
      <w:r w:rsidRPr="0002744D" w:rsidR="00211468">
        <w:rPr>
          <w:i/>
          <w:lang w:val="en-US"/>
        </w:rPr>
        <w:t xml:space="preserve"> </w:t>
      </w:r>
      <w:r w:rsidRPr="0002744D" w:rsidR="00211468">
        <w:rPr>
          <w:i/>
          <w:lang w:val="ru-RU"/>
        </w:rPr>
        <w:t>отказчиков</w:t>
      </w:r>
      <w:r w:rsidRPr="0002744D" w:rsidR="00211468">
        <w:t xml:space="preserve">) </w:t>
      </w:r>
      <w:r w:rsidRPr="0002744D" w:rsidR="001A2B9B">
        <w:t>leave to intervene as a third party in the proceedings, in accordance with Article 36 § 2 of the Convention and Rule 44 § 3 of the Rules of Court.</w:t>
      </w:r>
    </w:p>
    <w:p w:rsidRPr="0002744D" w:rsidR="00DA4349" w:rsidP="0002744D" w:rsidRDefault="009E2683">
      <w:pPr>
        <w:pStyle w:val="ECHRTitle1"/>
      </w:pPr>
      <w:r w:rsidRPr="0002744D">
        <w:t>THE FACTS</w:t>
      </w:r>
    </w:p>
    <w:p w:rsidRPr="0002744D" w:rsidR="00DA4349" w:rsidP="0002744D" w:rsidRDefault="009E2683">
      <w:pPr>
        <w:pStyle w:val="ECHRHeading1"/>
      </w:pPr>
      <w:r w:rsidRPr="0002744D">
        <w:t>I.  THE CIRCUMSTANCES OF THE CASE</w:t>
      </w:r>
    </w:p>
    <w:p w:rsidRPr="0002744D" w:rsidR="00DA4349" w:rsidP="0002744D" w:rsidRDefault="002F5075">
      <w:pPr>
        <w:pStyle w:val="ECHRPara"/>
      </w:pPr>
      <w:r w:rsidRPr="0002744D">
        <w:fldChar w:fldCharType="begin"/>
      </w:r>
      <w:r w:rsidRPr="0002744D">
        <w:instrText xml:space="preserve"> SEQ level0 \*arabic </w:instrText>
      </w:r>
      <w:r w:rsidRPr="0002744D">
        <w:fldChar w:fldCharType="separate"/>
      </w:r>
      <w:r w:rsidRPr="0002744D" w:rsidR="0002744D">
        <w:rPr>
          <w:noProof/>
        </w:rPr>
        <w:t>6</w:t>
      </w:r>
      <w:r w:rsidRPr="0002744D">
        <w:fldChar w:fldCharType="end"/>
      </w:r>
      <w:r w:rsidRPr="0002744D" w:rsidR="009E2683">
        <w:t xml:space="preserve">.  The </w:t>
      </w:r>
      <w:r w:rsidRPr="0002744D">
        <w:t>applicant was born in 1990 and lives</w:t>
      </w:r>
      <w:r w:rsidRPr="0002744D" w:rsidR="009E2683">
        <w:t xml:space="preserve"> in </w:t>
      </w:r>
      <w:r w:rsidRPr="0002744D">
        <w:t>St Petersburg</w:t>
      </w:r>
      <w:r w:rsidRPr="0002744D" w:rsidR="009E2683">
        <w:t>.</w:t>
      </w:r>
    </w:p>
    <w:p w:rsidRPr="0002744D" w:rsidR="007A4ACD" w:rsidP="0002744D" w:rsidRDefault="002F5075">
      <w:pPr>
        <w:pStyle w:val="ECHRPara"/>
      </w:pPr>
      <w:r w:rsidRPr="0002744D">
        <w:fldChar w:fldCharType="begin"/>
      </w:r>
      <w:r w:rsidRPr="0002744D">
        <w:instrText xml:space="preserve"> SEQ level0 \*arabic </w:instrText>
      </w:r>
      <w:r w:rsidRPr="0002744D">
        <w:fldChar w:fldCharType="separate"/>
      </w:r>
      <w:r w:rsidRPr="0002744D" w:rsidR="0002744D">
        <w:rPr>
          <w:noProof/>
        </w:rPr>
        <w:t>7</w:t>
      </w:r>
      <w:r w:rsidRPr="0002744D">
        <w:fldChar w:fldCharType="end"/>
      </w:r>
      <w:r w:rsidRPr="0002744D" w:rsidR="009E2683">
        <w:t>.  </w:t>
      </w:r>
      <w:r w:rsidRPr="0002744D" w:rsidR="007A4ACD">
        <w:t xml:space="preserve">In 2014 </w:t>
      </w:r>
      <w:r w:rsidRPr="0002744D" w:rsidR="00BC368A">
        <w:t xml:space="preserve">the applicant </w:t>
      </w:r>
      <w:r w:rsidRPr="0002744D" w:rsidR="007A4ACD">
        <w:t xml:space="preserve">graduated with a </w:t>
      </w:r>
      <w:r w:rsidRPr="0002744D" w:rsidR="00BF6201">
        <w:t>m</w:t>
      </w:r>
      <w:r w:rsidRPr="0002744D" w:rsidR="007A4ACD">
        <w:t>aster</w:t>
      </w:r>
      <w:r w:rsidRPr="0002744D" w:rsidR="0002744D">
        <w:t>’</w:t>
      </w:r>
      <w:r w:rsidRPr="0002744D" w:rsidR="007A4ACD">
        <w:t xml:space="preserve">s degree in philosophy from the </w:t>
      </w:r>
      <w:proofErr w:type="spellStart"/>
      <w:r w:rsidRPr="0002744D" w:rsidR="007A4ACD">
        <w:t>Herzen</w:t>
      </w:r>
      <w:proofErr w:type="spellEnd"/>
      <w:r w:rsidRPr="0002744D" w:rsidR="007A4ACD">
        <w:t xml:space="preserve"> State Pedagogical University of Russia (</w:t>
      </w:r>
      <w:r w:rsidRPr="0002744D" w:rsidR="007A4ACD">
        <w:rPr>
          <w:i/>
          <w:lang w:val="ru-RU"/>
        </w:rPr>
        <w:t>РГПУ</w:t>
      </w:r>
      <w:r w:rsidRPr="0002744D" w:rsidR="007A4ACD">
        <w:rPr>
          <w:i/>
        </w:rPr>
        <w:t xml:space="preserve"> </w:t>
      </w:r>
      <w:r w:rsidRPr="0002744D" w:rsidR="007A4ACD">
        <w:rPr>
          <w:i/>
          <w:lang w:val="ru-RU"/>
        </w:rPr>
        <w:t>им</w:t>
      </w:r>
      <w:r w:rsidRPr="0002744D" w:rsidR="007A4ACD">
        <w:rPr>
          <w:i/>
        </w:rPr>
        <w:t>. </w:t>
      </w:r>
      <w:proofErr w:type="gramStart"/>
      <w:r w:rsidRPr="0002744D" w:rsidR="007A4ACD">
        <w:rPr>
          <w:i/>
          <w:lang w:val="ru-RU"/>
        </w:rPr>
        <w:t>А</w:t>
      </w:r>
      <w:r w:rsidRPr="0002744D" w:rsidR="007A4ACD">
        <w:rPr>
          <w:i/>
        </w:rPr>
        <w:t>. </w:t>
      </w:r>
      <w:r w:rsidRPr="0002744D" w:rsidR="007A4ACD">
        <w:rPr>
          <w:i/>
          <w:lang w:val="ru-RU"/>
        </w:rPr>
        <w:t>И</w:t>
      </w:r>
      <w:r w:rsidRPr="0002744D" w:rsidR="007A4ACD">
        <w:rPr>
          <w:i/>
        </w:rPr>
        <w:t>. </w:t>
      </w:r>
      <w:r w:rsidRPr="0002744D" w:rsidR="007A4ACD">
        <w:rPr>
          <w:i/>
          <w:lang w:val="ru-RU"/>
        </w:rPr>
        <w:t>Герцена</w:t>
      </w:r>
      <w:r w:rsidRPr="0002744D" w:rsidR="007A4ACD">
        <w:t>).</w:t>
      </w:r>
      <w:proofErr w:type="gramEnd"/>
      <w:r w:rsidRPr="0002744D" w:rsidR="007A4ACD">
        <w:t xml:space="preserve"> </w:t>
      </w:r>
      <w:r w:rsidRPr="0002744D" w:rsidR="00BC368A">
        <w:t>He</w:t>
      </w:r>
      <w:r w:rsidRPr="0002744D" w:rsidR="007A4ACD">
        <w:t xml:space="preserve"> then became liable to be called up for </w:t>
      </w:r>
      <w:r w:rsidRPr="0002744D" w:rsidR="002235A2">
        <w:t>military service</w:t>
      </w:r>
      <w:r w:rsidRPr="0002744D" w:rsidR="007A4ACD">
        <w:t>.</w:t>
      </w:r>
    </w:p>
    <w:p w:rsidRPr="0002744D" w:rsidR="007A4ACD" w:rsidP="0002744D" w:rsidRDefault="007A4ACD">
      <w:pPr>
        <w:pStyle w:val="ECHRPara"/>
      </w:pPr>
      <w:r w:rsidRPr="0002744D">
        <w:fldChar w:fldCharType="begin"/>
      </w:r>
      <w:r w:rsidRPr="0002744D">
        <w:instrText xml:space="preserve"> SEQ level0 \*arabic </w:instrText>
      </w:r>
      <w:r w:rsidRPr="0002744D">
        <w:fldChar w:fldCharType="separate"/>
      </w:r>
      <w:r w:rsidRPr="0002744D" w:rsidR="0002744D">
        <w:rPr>
          <w:noProof/>
        </w:rPr>
        <w:t>8</w:t>
      </w:r>
      <w:r w:rsidRPr="0002744D">
        <w:fldChar w:fldCharType="end"/>
      </w:r>
      <w:r w:rsidRPr="0002744D">
        <w:t>.  At the end of August 2014, in an attempt to find</w:t>
      </w:r>
      <w:r w:rsidRPr="0002744D" w:rsidR="00211468">
        <w:t xml:space="preserve"> what he described as</w:t>
      </w:r>
      <w:r w:rsidRPr="0002744D">
        <w:t xml:space="preserve"> “a lawful way to avoid military service”, the applicant attended a legal seminar organised by t</w:t>
      </w:r>
      <w:r w:rsidRPr="0002744D">
        <w:rPr>
          <w:lang w:val="en"/>
        </w:rPr>
        <w:t xml:space="preserve">he </w:t>
      </w:r>
      <w:r w:rsidRPr="0002744D">
        <w:t>Committee of Soldiers</w:t>
      </w:r>
      <w:r w:rsidRPr="0002744D" w:rsidR="0002744D">
        <w:t>’</w:t>
      </w:r>
      <w:r w:rsidRPr="0002744D">
        <w:t xml:space="preserve"> Mothers </w:t>
      </w:r>
      <w:r w:rsidRPr="0002744D" w:rsidR="00211468">
        <w:t>(</w:t>
      </w:r>
      <w:r w:rsidRPr="0002744D" w:rsidR="009E01EC">
        <w:rPr>
          <w:rFonts w:ascii="Times New Roman" w:hAnsi="Times New Roman" w:cs="Times New Roman" w:eastAsiaTheme="minorHAnsi"/>
          <w:i/>
          <w:szCs w:val="24"/>
          <w:lang w:val="ru-RU"/>
        </w:rPr>
        <w:t>К</w:t>
      </w:r>
      <w:proofErr w:type="spellStart"/>
      <w:r w:rsidRPr="0002744D" w:rsidR="00211468">
        <w:rPr>
          <w:rFonts w:ascii="Times New Roman" w:hAnsi="Times New Roman" w:cs="Times New Roman" w:eastAsiaTheme="minorHAnsi"/>
          <w:i/>
          <w:szCs w:val="24"/>
          <w:lang w:val="fr-FR"/>
        </w:rPr>
        <w:t>омитет</w:t>
      </w:r>
      <w:proofErr w:type="spellEnd"/>
      <w:r w:rsidRPr="0002744D" w:rsidR="00211468">
        <w:rPr>
          <w:rFonts w:ascii="Times New Roman" w:hAnsi="Times New Roman" w:cs="Times New Roman" w:eastAsiaTheme="minorHAnsi"/>
          <w:i/>
          <w:szCs w:val="24"/>
        </w:rPr>
        <w:t xml:space="preserve"> </w:t>
      </w:r>
      <w:proofErr w:type="spellStart"/>
      <w:r w:rsidRPr="0002744D" w:rsidR="00211468">
        <w:rPr>
          <w:rFonts w:ascii="Times New Roman" w:hAnsi="Times New Roman" w:cs="Times New Roman" w:eastAsiaTheme="minorHAnsi"/>
          <w:i/>
          <w:szCs w:val="24"/>
          <w:lang w:val="fr-FR"/>
        </w:rPr>
        <w:t>солдатских</w:t>
      </w:r>
      <w:proofErr w:type="spellEnd"/>
      <w:r w:rsidRPr="0002744D" w:rsidR="00211468">
        <w:rPr>
          <w:rFonts w:ascii="Times New Roman" w:hAnsi="Times New Roman" w:cs="Times New Roman" w:eastAsiaTheme="minorHAnsi"/>
          <w:i/>
          <w:szCs w:val="24"/>
        </w:rPr>
        <w:t xml:space="preserve"> </w:t>
      </w:r>
      <w:proofErr w:type="spellStart"/>
      <w:r w:rsidRPr="0002744D" w:rsidR="00211468">
        <w:rPr>
          <w:rFonts w:ascii="Times New Roman" w:hAnsi="Times New Roman" w:cs="Times New Roman" w:eastAsiaTheme="minorHAnsi"/>
          <w:i/>
          <w:szCs w:val="24"/>
          <w:lang w:val="fr-FR"/>
        </w:rPr>
        <w:t>матерей</w:t>
      </w:r>
      <w:proofErr w:type="spellEnd"/>
      <w:r w:rsidRPr="0002744D" w:rsidR="00211468">
        <w:t xml:space="preserve">) </w:t>
      </w:r>
      <w:r w:rsidRPr="0002744D">
        <w:t>in St Petersburg. He submitted that his participation in the seminar had finally allowed him to understand his adherence to pacifist philosophy.</w:t>
      </w:r>
    </w:p>
    <w:p w:rsidRPr="0002744D" w:rsidR="00BB548A" w:rsidP="0002744D" w:rsidRDefault="007A4ACD">
      <w:pPr>
        <w:pStyle w:val="ECHRPara"/>
      </w:pPr>
      <w:r w:rsidRPr="0002744D">
        <w:fldChar w:fldCharType="begin"/>
      </w:r>
      <w:r w:rsidRPr="0002744D">
        <w:instrText xml:space="preserve"> SEQ level0 \*arabic </w:instrText>
      </w:r>
      <w:r w:rsidRPr="0002744D">
        <w:fldChar w:fldCharType="separate"/>
      </w:r>
      <w:r w:rsidRPr="0002744D" w:rsidR="0002744D">
        <w:rPr>
          <w:noProof/>
        </w:rPr>
        <w:t>9</w:t>
      </w:r>
      <w:r w:rsidRPr="0002744D">
        <w:fldChar w:fldCharType="end"/>
      </w:r>
      <w:r w:rsidRPr="0002744D">
        <w:t xml:space="preserve">.  On 4 September 2014 the applicant </w:t>
      </w:r>
      <w:r w:rsidRPr="0002744D" w:rsidR="00E63AD6">
        <w:t>applied to</w:t>
      </w:r>
      <w:r w:rsidRPr="0002744D" w:rsidR="002235A2">
        <w:t xml:space="preserve"> </w:t>
      </w:r>
      <w:r w:rsidRPr="0002744D">
        <w:t xml:space="preserve">the local military </w:t>
      </w:r>
      <w:r w:rsidRPr="0002744D" w:rsidR="00292193">
        <w:t>commissariat</w:t>
      </w:r>
      <w:r w:rsidRPr="0002744D">
        <w:t xml:space="preserve"> </w:t>
      </w:r>
      <w:r w:rsidRPr="0002744D" w:rsidR="002235A2">
        <w:t xml:space="preserve">to be </w:t>
      </w:r>
      <w:r w:rsidRPr="0002744D" w:rsidR="00E63AD6">
        <w:t>assigned t</w:t>
      </w:r>
      <w:r w:rsidRPr="0002744D" w:rsidR="007944B0">
        <w:t>o</w:t>
      </w:r>
      <w:r w:rsidRPr="0002744D">
        <w:t xml:space="preserve"> civilian service instead of compulsory military </w:t>
      </w:r>
      <w:r w:rsidRPr="0002744D" w:rsidR="00E63AD6">
        <w:t>service</w:t>
      </w:r>
      <w:r w:rsidRPr="0002744D">
        <w:t>.</w:t>
      </w:r>
      <w:r w:rsidRPr="0002744D" w:rsidR="00994EEC">
        <w:t xml:space="preserve"> In support of his application, the applicant attached his curriculum vitae and a letter of recommendation from his place of work.</w:t>
      </w:r>
    </w:p>
    <w:bookmarkStart w:name="para10" w:id="2"/>
    <w:bookmarkStart w:name="composition10" w:id="3"/>
    <w:p w:rsidRPr="0002744D" w:rsidR="00814ED6" w:rsidP="0002744D" w:rsidRDefault="007A4ACD">
      <w:pPr>
        <w:pStyle w:val="ECHRPara"/>
      </w:pPr>
      <w:r w:rsidRPr="0002744D">
        <w:fldChar w:fldCharType="begin"/>
      </w:r>
      <w:r w:rsidRPr="0002744D">
        <w:instrText xml:space="preserve"> SEQ level0 \*arabic </w:instrText>
      </w:r>
      <w:r w:rsidRPr="0002744D">
        <w:fldChar w:fldCharType="separate"/>
      </w:r>
      <w:r w:rsidRPr="0002744D" w:rsidR="0002744D">
        <w:rPr>
          <w:noProof/>
        </w:rPr>
        <w:t>10</w:t>
      </w:r>
      <w:r w:rsidRPr="0002744D">
        <w:fldChar w:fldCharType="end"/>
      </w:r>
      <w:bookmarkEnd w:id="2"/>
      <w:bookmarkEnd w:id="3"/>
      <w:r w:rsidRPr="0002744D">
        <w:t>.  </w:t>
      </w:r>
      <w:r w:rsidRPr="0002744D" w:rsidR="00814ED6">
        <w:t xml:space="preserve">His </w:t>
      </w:r>
      <w:r w:rsidRPr="0002744D" w:rsidR="00E63AD6">
        <w:t xml:space="preserve">application </w:t>
      </w:r>
      <w:r w:rsidRPr="0002744D" w:rsidR="00814ED6">
        <w:t xml:space="preserve">was examined by a </w:t>
      </w:r>
      <w:r w:rsidRPr="0002744D">
        <w:t xml:space="preserve">military recruitment commission </w:t>
      </w:r>
      <w:r w:rsidRPr="0002744D" w:rsidR="00814ED6">
        <w:t xml:space="preserve">composed of seven members: </w:t>
      </w:r>
      <w:r w:rsidRPr="0002744D" w:rsidR="001A0721">
        <w:t xml:space="preserve">a </w:t>
      </w:r>
      <w:r w:rsidRPr="0002744D" w:rsidR="00814ED6">
        <w:t xml:space="preserve">deputy head of the administration of the </w:t>
      </w:r>
      <w:proofErr w:type="spellStart"/>
      <w:r w:rsidRPr="0002744D" w:rsidR="00814ED6">
        <w:t>Frunzenskiy</w:t>
      </w:r>
      <w:proofErr w:type="spellEnd"/>
      <w:r w:rsidRPr="0002744D" w:rsidR="00814ED6">
        <w:t xml:space="preserve"> </w:t>
      </w:r>
      <w:r w:rsidRPr="0002744D" w:rsidR="00E1214F">
        <w:t xml:space="preserve">district </w:t>
      </w:r>
      <w:r w:rsidRPr="0002744D" w:rsidR="00814ED6">
        <w:t>of St Petersburg (the president of the commission)</w:t>
      </w:r>
      <w:r w:rsidRPr="0002744D" w:rsidR="00E1214F">
        <w:t>;</w:t>
      </w:r>
      <w:r w:rsidRPr="0002744D" w:rsidR="00814ED6">
        <w:t xml:space="preserve"> </w:t>
      </w:r>
      <w:r w:rsidRPr="0002744D" w:rsidR="001A0721">
        <w:t xml:space="preserve">a </w:t>
      </w:r>
      <w:r w:rsidRPr="0002744D" w:rsidR="00814ED6">
        <w:t xml:space="preserve">head of the military commissariat of the </w:t>
      </w:r>
      <w:proofErr w:type="spellStart"/>
      <w:r w:rsidRPr="0002744D" w:rsidR="00814ED6">
        <w:t>Frunzenskiy</w:t>
      </w:r>
      <w:proofErr w:type="spellEnd"/>
      <w:r w:rsidRPr="0002744D" w:rsidR="00814ED6">
        <w:t xml:space="preserve"> </w:t>
      </w:r>
      <w:r w:rsidRPr="0002744D" w:rsidR="00E1214F">
        <w:t xml:space="preserve">district </w:t>
      </w:r>
      <w:r w:rsidRPr="0002744D" w:rsidR="00814ED6">
        <w:t>of St</w:t>
      </w:r>
      <w:r w:rsidRPr="0002744D" w:rsidR="00301A4C">
        <w:t> </w:t>
      </w:r>
      <w:r w:rsidRPr="0002744D" w:rsidR="00814ED6">
        <w:t>Petersburg</w:t>
      </w:r>
      <w:r w:rsidRPr="0002744D" w:rsidR="00143848">
        <w:t>;</w:t>
      </w:r>
      <w:r w:rsidRPr="0002744D" w:rsidR="00E1214F">
        <w:t xml:space="preserve"> </w:t>
      </w:r>
      <w:r w:rsidRPr="0002744D" w:rsidR="002235A2">
        <w:t xml:space="preserve">the </w:t>
      </w:r>
      <w:r w:rsidRPr="0002744D" w:rsidR="00814ED6">
        <w:t>secretary of the commission</w:t>
      </w:r>
      <w:r w:rsidRPr="0002744D" w:rsidR="00173559">
        <w:t xml:space="preserve"> (</w:t>
      </w:r>
      <w:r w:rsidRPr="0002744D" w:rsidR="00435AEA">
        <w:t xml:space="preserve">an </w:t>
      </w:r>
      <w:r w:rsidRPr="0002744D" w:rsidR="00173559">
        <w:t>employee of the military commissariat)</w:t>
      </w:r>
      <w:r w:rsidRPr="0002744D" w:rsidR="00814ED6">
        <w:t xml:space="preserve">; </w:t>
      </w:r>
      <w:r w:rsidRPr="0002744D" w:rsidR="00435AEA">
        <w:t xml:space="preserve">a </w:t>
      </w:r>
      <w:r w:rsidRPr="0002744D" w:rsidR="002B1C49">
        <w:t>medical officer of the military commissariat responsible for the medical certification of individuals liable to be called up for military service;</w:t>
      </w:r>
      <w:r w:rsidRPr="0002744D" w:rsidR="00814ED6">
        <w:t xml:space="preserve"> a deputy </w:t>
      </w:r>
      <w:r w:rsidRPr="0002744D" w:rsidR="00E1214F">
        <w:t xml:space="preserve">head </w:t>
      </w:r>
      <w:r w:rsidRPr="0002744D" w:rsidR="00814ED6">
        <w:t>of the local department of neighbo</w:t>
      </w:r>
      <w:r w:rsidRPr="0002744D" w:rsidR="003416A7">
        <w:t>u</w:t>
      </w:r>
      <w:r w:rsidRPr="0002744D" w:rsidR="00814ED6">
        <w:t>rhood and juvenile police</w:t>
      </w:r>
      <w:r w:rsidRPr="0002744D" w:rsidR="00E1214F">
        <w:t xml:space="preserve">; </w:t>
      </w:r>
      <w:r w:rsidRPr="0002744D" w:rsidR="007B23C1">
        <w:t>a</w:t>
      </w:r>
      <w:r w:rsidRPr="0002744D" w:rsidR="00814ED6">
        <w:t xml:space="preserve"> head of the educational department of the administration of the </w:t>
      </w:r>
      <w:proofErr w:type="spellStart"/>
      <w:r w:rsidRPr="0002744D" w:rsidR="00814ED6">
        <w:t>Frunzenskiy</w:t>
      </w:r>
      <w:proofErr w:type="spellEnd"/>
      <w:r w:rsidRPr="0002744D" w:rsidR="00814ED6">
        <w:t xml:space="preserve"> </w:t>
      </w:r>
      <w:r w:rsidRPr="0002744D" w:rsidR="00E1214F">
        <w:t xml:space="preserve">district </w:t>
      </w:r>
      <w:r w:rsidRPr="0002744D" w:rsidR="00814ED6">
        <w:t>of St Petersburg</w:t>
      </w:r>
      <w:r w:rsidRPr="0002744D" w:rsidR="00E1214F">
        <w:t xml:space="preserve">; </w:t>
      </w:r>
      <w:r w:rsidRPr="0002744D" w:rsidR="002235A2">
        <w:t xml:space="preserve">and </w:t>
      </w:r>
      <w:r w:rsidRPr="0002744D" w:rsidR="00814ED6">
        <w:t xml:space="preserve">a deputy head of the employment office of the </w:t>
      </w:r>
      <w:proofErr w:type="spellStart"/>
      <w:r w:rsidRPr="0002744D" w:rsidR="00814ED6">
        <w:t>Frunzenskiy</w:t>
      </w:r>
      <w:proofErr w:type="spellEnd"/>
      <w:r w:rsidRPr="0002744D" w:rsidR="00814ED6">
        <w:t xml:space="preserve"> </w:t>
      </w:r>
      <w:r w:rsidRPr="0002744D" w:rsidR="00E1214F">
        <w:t xml:space="preserve">district </w:t>
      </w:r>
      <w:r w:rsidRPr="0002744D" w:rsidR="00814ED6">
        <w:t>of St Petersburg.</w:t>
      </w:r>
    </w:p>
    <w:p w:rsidRPr="0002744D" w:rsidR="00BB548A" w:rsidP="0002744D" w:rsidRDefault="00814ED6">
      <w:pPr>
        <w:pStyle w:val="ECHRPara"/>
      </w:pPr>
      <w:r w:rsidRPr="0002744D">
        <w:fldChar w:fldCharType="begin"/>
      </w:r>
      <w:r w:rsidRPr="0002744D">
        <w:instrText xml:space="preserve"> SEQ level0 \*arabic </w:instrText>
      </w:r>
      <w:r w:rsidRPr="0002744D">
        <w:fldChar w:fldCharType="separate"/>
      </w:r>
      <w:r w:rsidRPr="0002744D" w:rsidR="0002744D">
        <w:rPr>
          <w:noProof/>
        </w:rPr>
        <w:t>11</w:t>
      </w:r>
      <w:r w:rsidRPr="0002744D">
        <w:fldChar w:fldCharType="end"/>
      </w:r>
      <w:r w:rsidRPr="0002744D">
        <w:t>.  O</w:t>
      </w:r>
      <w:r w:rsidRPr="0002744D" w:rsidR="007A4ACD">
        <w:t>n 25 November 2014</w:t>
      </w:r>
      <w:r w:rsidRPr="0002744D">
        <w:t xml:space="preserve"> the applicant</w:t>
      </w:r>
      <w:r w:rsidRPr="0002744D" w:rsidR="0002744D">
        <w:t>’</w:t>
      </w:r>
      <w:r w:rsidRPr="0002744D">
        <w:t xml:space="preserve">s </w:t>
      </w:r>
      <w:r w:rsidRPr="0002744D" w:rsidR="00E63AD6">
        <w:t xml:space="preserve">application </w:t>
      </w:r>
      <w:r w:rsidRPr="0002744D">
        <w:t xml:space="preserve">was </w:t>
      </w:r>
      <w:r w:rsidRPr="0002744D" w:rsidR="00E63AD6">
        <w:t>dismissed</w:t>
      </w:r>
      <w:r w:rsidRPr="0002744D" w:rsidR="00715FA4">
        <w:t xml:space="preserve">. According to the </w:t>
      </w:r>
      <w:r w:rsidRPr="0002744D" w:rsidR="00BF6201">
        <w:t xml:space="preserve">minutes of the relevant meeting of the </w:t>
      </w:r>
      <w:r w:rsidRPr="0002744D" w:rsidR="00715FA4">
        <w:t>commission</w:t>
      </w:r>
      <w:r w:rsidRPr="0002744D" w:rsidR="007A4ACD">
        <w:t xml:space="preserve">, </w:t>
      </w:r>
      <w:r w:rsidRPr="0002744D" w:rsidR="007944B0">
        <w:t xml:space="preserve">the </w:t>
      </w:r>
      <w:r w:rsidRPr="0002744D" w:rsidR="00715FA4">
        <w:t xml:space="preserve">documents and </w:t>
      </w:r>
      <w:r w:rsidRPr="0002744D" w:rsidR="007A4ACD">
        <w:t xml:space="preserve">information provided </w:t>
      </w:r>
      <w:r w:rsidRPr="0002744D" w:rsidR="00715FA4">
        <w:t>by the applica</w:t>
      </w:r>
      <w:r w:rsidRPr="0002744D" w:rsidR="003F2B1C">
        <w:t>nt</w:t>
      </w:r>
      <w:r w:rsidRPr="0002744D" w:rsidR="00715FA4">
        <w:t xml:space="preserve"> </w:t>
      </w:r>
      <w:r w:rsidRPr="0002744D" w:rsidR="00484F23">
        <w:t>were</w:t>
      </w:r>
      <w:r w:rsidRPr="0002744D" w:rsidR="00715FA4">
        <w:t xml:space="preserve"> not </w:t>
      </w:r>
      <w:r w:rsidRPr="0002744D" w:rsidR="007A4ACD">
        <w:t xml:space="preserve">sufficiently persuasive </w:t>
      </w:r>
      <w:r w:rsidRPr="0002744D" w:rsidR="002235A2">
        <w:t xml:space="preserve">for it </w:t>
      </w:r>
      <w:r w:rsidRPr="0002744D" w:rsidR="007A4ACD">
        <w:t xml:space="preserve">to conclude that </w:t>
      </w:r>
      <w:r w:rsidRPr="0002744D" w:rsidR="00BC368A">
        <w:t>he</w:t>
      </w:r>
      <w:r w:rsidRPr="0002744D" w:rsidR="007A4ACD">
        <w:t xml:space="preserve"> was a genuine pacifist.</w:t>
      </w:r>
    </w:p>
    <w:p w:rsidRPr="0002744D" w:rsidR="007A4ACD" w:rsidP="0002744D" w:rsidRDefault="007A4ACD">
      <w:pPr>
        <w:pStyle w:val="ECHRPara"/>
      </w:pPr>
      <w:r w:rsidRPr="0002744D">
        <w:fldChar w:fldCharType="begin"/>
      </w:r>
      <w:r w:rsidRPr="0002744D">
        <w:instrText xml:space="preserve"> SEQ level0 \*arabic </w:instrText>
      </w:r>
      <w:r w:rsidRPr="0002744D">
        <w:fldChar w:fldCharType="separate"/>
      </w:r>
      <w:r w:rsidRPr="0002744D" w:rsidR="0002744D">
        <w:rPr>
          <w:noProof/>
        </w:rPr>
        <w:t>12</w:t>
      </w:r>
      <w:r w:rsidRPr="0002744D">
        <w:fldChar w:fldCharType="end"/>
      </w:r>
      <w:r w:rsidRPr="0002744D">
        <w:t xml:space="preserve">.  On the following day the applicant </w:t>
      </w:r>
      <w:r w:rsidRPr="0002744D" w:rsidR="002235A2">
        <w:t>brought a court action challenging t</w:t>
      </w:r>
      <w:r w:rsidRPr="0002744D">
        <w:t>hat decision.</w:t>
      </w:r>
      <w:r w:rsidRPr="0002744D" w:rsidR="00173559">
        <w:t xml:space="preserve"> The applicant attached his curriculum vitae and a letter of recommendation.</w:t>
      </w:r>
    </w:p>
    <w:p w:rsidRPr="0002744D" w:rsidR="007A4ACD" w:rsidP="0002744D" w:rsidRDefault="007A4ACD">
      <w:pPr>
        <w:pStyle w:val="ECHRPara"/>
      </w:pPr>
      <w:r w:rsidRPr="0002744D">
        <w:fldChar w:fldCharType="begin"/>
      </w:r>
      <w:r w:rsidRPr="0002744D">
        <w:instrText xml:space="preserve"> SEQ level0 \*arabic </w:instrText>
      </w:r>
      <w:r w:rsidRPr="0002744D">
        <w:fldChar w:fldCharType="separate"/>
      </w:r>
      <w:r w:rsidRPr="0002744D" w:rsidR="0002744D">
        <w:rPr>
          <w:noProof/>
        </w:rPr>
        <w:t>13</w:t>
      </w:r>
      <w:r w:rsidRPr="0002744D">
        <w:fldChar w:fldCharType="end"/>
      </w:r>
      <w:r w:rsidRPr="0002744D">
        <w:t xml:space="preserve">.  On 9 February 2015, while the judicial proceedings were still pending, the applicant lodged a second </w:t>
      </w:r>
      <w:r w:rsidRPr="0002744D" w:rsidR="00E63AD6">
        <w:t xml:space="preserve">application </w:t>
      </w:r>
      <w:r w:rsidRPr="0002744D" w:rsidR="007944B0">
        <w:t xml:space="preserve">to be </w:t>
      </w:r>
      <w:r w:rsidRPr="0002744D" w:rsidR="00E63AD6">
        <w:t>assigned</w:t>
      </w:r>
      <w:r w:rsidRPr="0002744D" w:rsidR="007944B0">
        <w:t xml:space="preserve"> to civilian service instead </w:t>
      </w:r>
      <w:r w:rsidRPr="0002744D">
        <w:t xml:space="preserve">of military service. That </w:t>
      </w:r>
      <w:r w:rsidRPr="0002744D" w:rsidR="00007866">
        <w:t>application</w:t>
      </w:r>
      <w:r w:rsidRPr="0002744D" w:rsidR="00E63AD6">
        <w:t xml:space="preserve"> </w:t>
      </w:r>
      <w:r w:rsidRPr="0002744D">
        <w:t xml:space="preserve">was </w:t>
      </w:r>
      <w:r w:rsidRPr="0002744D" w:rsidR="00E63AD6">
        <w:t>rejected</w:t>
      </w:r>
      <w:r w:rsidRPr="0002744D" w:rsidR="00BF6201">
        <w:t xml:space="preserve"> as repetitive </w:t>
      </w:r>
      <w:r w:rsidRPr="0002744D">
        <w:t>without having been considered on the merits.</w:t>
      </w:r>
    </w:p>
    <w:p w:rsidRPr="0002744D" w:rsidR="007A4ACD" w:rsidP="0002744D" w:rsidRDefault="007A4ACD">
      <w:pPr>
        <w:pStyle w:val="ECHRPara"/>
      </w:pPr>
      <w:r w:rsidRPr="0002744D">
        <w:fldChar w:fldCharType="begin"/>
      </w:r>
      <w:r w:rsidRPr="0002744D">
        <w:instrText xml:space="preserve"> SEQ level0 \*arabic </w:instrText>
      </w:r>
      <w:r w:rsidRPr="0002744D">
        <w:fldChar w:fldCharType="separate"/>
      </w:r>
      <w:r w:rsidRPr="0002744D" w:rsidR="0002744D">
        <w:rPr>
          <w:noProof/>
        </w:rPr>
        <w:t>14</w:t>
      </w:r>
      <w:r w:rsidRPr="0002744D">
        <w:fldChar w:fldCharType="end"/>
      </w:r>
      <w:r w:rsidRPr="0002744D">
        <w:t xml:space="preserve">.  On 25 February 2015 the </w:t>
      </w:r>
      <w:proofErr w:type="spellStart"/>
      <w:r w:rsidRPr="0002744D">
        <w:t>Frunzenskiy</w:t>
      </w:r>
      <w:proofErr w:type="spellEnd"/>
      <w:r w:rsidRPr="0002744D">
        <w:t xml:space="preserve"> District Court of St Petersburg dismissed a complaint lodged by the applicant, reasoning as follows:</w:t>
      </w:r>
    </w:p>
    <w:p w:rsidRPr="0002744D" w:rsidR="007A4ACD" w:rsidP="0002744D" w:rsidRDefault="007A4ACD">
      <w:pPr>
        <w:pStyle w:val="ECHRParaQuote"/>
      </w:pPr>
      <w:r w:rsidRPr="0002744D">
        <w:t>“</w:t>
      </w:r>
      <w:r w:rsidRPr="0002744D" w:rsidR="00DD46A4">
        <w:t>[T</w:t>
      </w:r>
      <w:r w:rsidRPr="0002744D" w:rsidR="00BD411E">
        <w:t>he]</w:t>
      </w:r>
      <w:r w:rsidRPr="0002744D">
        <w:t xml:space="preserve"> court does not </w:t>
      </w:r>
      <w:r w:rsidRPr="0002744D" w:rsidR="007944B0">
        <w:t xml:space="preserve">determine </w:t>
      </w:r>
      <w:r w:rsidRPr="0002744D">
        <w:t xml:space="preserve">the existence of humanist or pacifist convictions from the personal file of the conscript, since </w:t>
      </w:r>
      <w:r w:rsidRPr="0002744D" w:rsidR="007944B0">
        <w:t>[such convictions]</w:t>
      </w:r>
      <w:r w:rsidRPr="0002744D">
        <w:t xml:space="preserve"> are not mentioned in his </w:t>
      </w:r>
      <w:r w:rsidRPr="0002744D" w:rsidR="007944B0">
        <w:t xml:space="preserve">curriculum vitae </w:t>
      </w:r>
      <w:r w:rsidRPr="0002744D">
        <w:t xml:space="preserve">or </w:t>
      </w:r>
      <w:r w:rsidRPr="0002744D" w:rsidR="00143848">
        <w:t xml:space="preserve">[letter of recommendation from </w:t>
      </w:r>
      <w:r w:rsidRPr="0002744D" w:rsidR="00D2510C">
        <w:t>his place of work</w:t>
      </w:r>
      <w:r w:rsidRPr="0002744D" w:rsidR="00143848">
        <w:t>]</w:t>
      </w:r>
      <w:r w:rsidRPr="0002744D">
        <w:t xml:space="preserve">. His views regarding the impossibility of </w:t>
      </w:r>
      <w:r w:rsidRPr="0002744D" w:rsidR="007944B0">
        <w:t xml:space="preserve">his </w:t>
      </w:r>
      <w:r w:rsidRPr="0002744D">
        <w:t xml:space="preserve">performing military service should have been </w:t>
      </w:r>
      <w:r w:rsidRPr="0002744D" w:rsidR="007944B0">
        <w:t xml:space="preserve">formed </w:t>
      </w:r>
      <w:r w:rsidRPr="0002744D">
        <w:t>over a period of time</w:t>
      </w:r>
      <w:r w:rsidRPr="0002744D" w:rsidR="007944B0">
        <w:t xml:space="preserve"> </w:t>
      </w:r>
      <w:r w:rsidRPr="0002744D" w:rsidR="001C25EB">
        <w:rPr>
          <w:lang w:val="en-US"/>
        </w:rPr>
        <w:t>...</w:t>
      </w:r>
      <w:r w:rsidRPr="0002744D">
        <w:t xml:space="preserve"> spontaneously crystallised convictions cannot serve as grounds for requesting permission to perform alternative civilian service.</w:t>
      </w:r>
    </w:p>
    <w:p w:rsidRPr="0002744D" w:rsidR="007A4ACD" w:rsidP="0002744D" w:rsidRDefault="007A4ACD">
      <w:pPr>
        <w:pStyle w:val="ECHRParaQuote"/>
      </w:pPr>
      <w:r w:rsidRPr="0002744D">
        <w:t>Considering all the items of evidence provided and their intertwined nature, the court finds the circumstances relied on by the applicant to be not proven.”</w:t>
      </w:r>
    </w:p>
    <w:p w:rsidRPr="0002744D" w:rsidR="007A4ACD" w:rsidP="0002744D" w:rsidRDefault="00AF3E16">
      <w:pPr>
        <w:pStyle w:val="ECHRPara"/>
      </w:pPr>
      <w:r w:rsidRPr="0002744D">
        <w:rPr>
          <w:noProof/>
        </w:rPr>
        <w:fldChar w:fldCharType="begin"/>
      </w:r>
      <w:r w:rsidRPr="0002744D">
        <w:rPr>
          <w:noProof/>
        </w:rPr>
        <w:instrText xml:space="preserve"> SEQ level0 \*arabic </w:instrText>
      </w:r>
      <w:r w:rsidRPr="0002744D">
        <w:rPr>
          <w:noProof/>
        </w:rPr>
        <w:fldChar w:fldCharType="separate"/>
      </w:r>
      <w:r w:rsidRPr="0002744D" w:rsidR="0002744D">
        <w:rPr>
          <w:noProof/>
        </w:rPr>
        <w:t>15</w:t>
      </w:r>
      <w:r w:rsidRPr="0002744D">
        <w:rPr>
          <w:noProof/>
        </w:rPr>
        <w:fldChar w:fldCharType="end"/>
      </w:r>
      <w:r w:rsidRPr="0002744D" w:rsidR="007A4ACD">
        <w:t xml:space="preserve">.  On 12 August 2015 the St Petersburg City Court upheld the judgment of 25 February 2015 on appeal. </w:t>
      </w:r>
      <w:r w:rsidRPr="0002744D" w:rsidR="00065541">
        <w:t xml:space="preserve">The applicant did not participate in the appeal hearing for </w:t>
      </w:r>
      <w:r w:rsidRPr="0002744D" w:rsidR="006263D3">
        <w:t>unspecified</w:t>
      </w:r>
      <w:r w:rsidRPr="0002744D" w:rsidR="00065541">
        <w:t xml:space="preserve"> reasons. </w:t>
      </w:r>
      <w:r w:rsidRPr="0002744D" w:rsidR="00D2510C">
        <w:t xml:space="preserve">He did not adduce any new evidence before the appeal court. </w:t>
      </w:r>
      <w:r w:rsidRPr="0002744D" w:rsidR="007A4ACD">
        <w:t>The relevant parts of the judgment read as follows:</w:t>
      </w:r>
    </w:p>
    <w:p w:rsidRPr="0002744D" w:rsidR="007A4ACD" w:rsidP="0002744D" w:rsidRDefault="007A4ACD">
      <w:pPr>
        <w:pStyle w:val="ECHRParaQuote"/>
      </w:pPr>
      <w:r w:rsidRPr="0002744D">
        <w:t>“... the right to have compulsory military service replaced with its civilian alternative does not imply that a citizen can unconditionally choose between the military and civilian types of service, and it does not mean that an individual</w:t>
      </w:r>
      <w:r w:rsidRPr="0002744D" w:rsidR="0002744D">
        <w:t>’</w:t>
      </w:r>
      <w:r w:rsidRPr="0002744D">
        <w:t xml:space="preserve">s negative attitude towards military service in itself ... guarantees </w:t>
      </w:r>
      <w:r w:rsidRPr="0002744D" w:rsidR="000A246C">
        <w:t xml:space="preserve">the </w:t>
      </w:r>
      <w:r w:rsidRPr="0002744D">
        <w:t>right to have compulsory military service replaced.</w:t>
      </w:r>
    </w:p>
    <w:p w:rsidRPr="0002744D" w:rsidR="007A4ACD" w:rsidP="0002744D" w:rsidRDefault="007A4ACD">
      <w:pPr>
        <w:pStyle w:val="ECHRParaQuote"/>
      </w:pPr>
      <w:r w:rsidRPr="0002744D">
        <w:t>This position is also reflected in the practice of the European Court of Human Rights, which has stated that only when opposition to military service is motivated by a serious and insurmountable conflict between the obligation to serve in the army and a person</w:t>
      </w:r>
      <w:r w:rsidRPr="0002744D" w:rsidR="0002744D">
        <w:t>’</w:t>
      </w:r>
      <w:r w:rsidRPr="0002744D">
        <w:t>s conscience or his deeply and genuinely held religious or other beliefs does it constitute a conviction or belief of sufficient cogency, seriousness, cohesion and importance to attract the guarantees of Article 9 [of the Convention</w:t>
      </w:r>
      <w:proofErr w:type="gramStart"/>
      <w:r w:rsidRPr="0002744D">
        <w:t>] ...</w:t>
      </w:r>
      <w:proofErr w:type="gramEnd"/>
    </w:p>
    <w:p w:rsidRPr="0002744D" w:rsidR="007A4ACD" w:rsidP="0002744D" w:rsidRDefault="007A4ACD">
      <w:pPr>
        <w:pStyle w:val="ECHRParaQuote"/>
      </w:pPr>
      <w:r w:rsidRPr="0002744D">
        <w:t>[The court] finds that it is not sufficient for a citizen to simply indicate that his personal convictions conflict with his obligation to serve in the army in order to have compulsory military service replaced.</w:t>
      </w:r>
    </w:p>
    <w:p w:rsidRPr="0002744D" w:rsidR="007A4ACD" w:rsidP="0002744D" w:rsidRDefault="007A4ACD">
      <w:pPr>
        <w:pStyle w:val="ECHRParaQuote"/>
      </w:pPr>
      <w:r w:rsidRPr="0002744D">
        <w:t xml:space="preserve">An individual must substantiate such an assertion, indicate </w:t>
      </w:r>
      <w:r w:rsidRPr="0002744D" w:rsidR="000A246C">
        <w:t xml:space="preserve">the </w:t>
      </w:r>
      <w:r w:rsidRPr="0002744D">
        <w:t xml:space="preserve">reasons and circumstances </w:t>
      </w:r>
      <w:r w:rsidRPr="0002744D" w:rsidR="000A246C">
        <w:t xml:space="preserve">that </w:t>
      </w:r>
      <w:r w:rsidRPr="0002744D">
        <w:t>impelled him to ask for the replacement</w:t>
      </w:r>
      <w:r w:rsidRPr="0002744D" w:rsidR="000A246C">
        <w:t xml:space="preserve"> [of military by civilian service]</w:t>
      </w:r>
      <w:r w:rsidRPr="0002744D">
        <w:t xml:space="preserve">, </w:t>
      </w:r>
      <w:r w:rsidRPr="0002744D" w:rsidR="000A246C">
        <w:t xml:space="preserve">list </w:t>
      </w:r>
      <w:r w:rsidRPr="0002744D">
        <w:t xml:space="preserve">facts confirming </w:t>
      </w:r>
      <w:r w:rsidRPr="0002744D" w:rsidR="000A246C">
        <w:t xml:space="preserve">those of </w:t>
      </w:r>
      <w:r w:rsidRPr="0002744D">
        <w:t xml:space="preserve">his deep beliefs </w:t>
      </w:r>
      <w:r w:rsidRPr="0002744D" w:rsidR="000A246C">
        <w:t xml:space="preserve">that </w:t>
      </w:r>
      <w:r w:rsidRPr="0002744D">
        <w:t xml:space="preserve">conflict with </w:t>
      </w:r>
      <w:r w:rsidRPr="0002744D" w:rsidR="00A85F67">
        <w:t xml:space="preserve">the </w:t>
      </w:r>
      <w:r w:rsidRPr="0002744D" w:rsidR="000A246C">
        <w:t xml:space="preserve">[the obligation to </w:t>
      </w:r>
      <w:r w:rsidRPr="0002744D" w:rsidR="00D26E33">
        <w:t>perform</w:t>
      </w:r>
      <w:r w:rsidRPr="0002744D" w:rsidR="000A246C">
        <w:t xml:space="preserve">] </w:t>
      </w:r>
      <w:r w:rsidRPr="0002744D">
        <w:t>military service</w:t>
      </w:r>
      <w:r w:rsidRPr="0002744D" w:rsidR="000A246C">
        <w:t>,</w:t>
      </w:r>
      <w:r w:rsidRPr="0002744D">
        <w:t xml:space="preserve"> and adduce relevant evidence.</w:t>
      </w:r>
    </w:p>
    <w:p w:rsidRPr="0002744D" w:rsidR="007A4ACD" w:rsidP="0002744D" w:rsidRDefault="007A4ACD">
      <w:pPr>
        <w:pStyle w:val="ECHRParaQuote"/>
      </w:pPr>
      <w:r w:rsidRPr="0002744D">
        <w:t>...</w:t>
      </w:r>
    </w:p>
    <w:p w:rsidRPr="0002744D" w:rsidR="007A4ACD" w:rsidP="0002744D" w:rsidRDefault="007A4ACD">
      <w:pPr>
        <w:pStyle w:val="ECHRParaQuote"/>
      </w:pPr>
      <w:r w:rsidRPr="0002744D">
        <w:t xml:space="preserve">As </w:t>
      </w:r>
      <w:r w:rsidRPr="0002744D" w:rsidR="003561E6">
        <w:t>can be seen from</w:t>
      </w:r>
      <w:r w:rsidRPr="0002744D">
        <w:t xml:space="preserve"> the facts of the case</w:t>
      </w:r>
      <w:r w:rsidRPr="0002744D" w:rsidR="000A246C">
        <w:t>,</w:t>
      </w:r>
      <w:r w:rsidRPr="0002744D">
        <w:t xml:space="preserve"> [the applicant] ... presented his </w:t>
      </w:r>
      <w:r w:rsidRPr="0002744D" w:rsidR="000A246C">
        <w:t xml:space="preserve">curriculum vitae, </w:t>
      </w:r>
      <w:r w:rsidRPr="0002744D" w:rsidR="003561E6">
        <w:t xml:space="preserve">in which </w:t>
      </w:r>
      <w:r w:rsidRPr="0002744D">
        <w:t xml:space="preserve">he </w:t>
      </w:r>
      <w:r w:rsidRPr="0002744D" w:rsidR="000A246C">
        <w:t xml:space="preserve">listed </w:t>
      </w:r>
      <w:r w:rsidRPr="0002744D">
        <w:t xml:space="preserve">his main </w:t>
      </w:r>
      <w:r w:rsidRPr="0002744D" w:rsidR="000A246C">
        <w:t xml:space="preserve">periods of </w:t>
      </w:r>
      <w:r w:rsidRPr="0002744D">
        <w:t>education</w:t>
      </w:r>
      <w:r w:rsidRPr="0002744D" w:rsidR="000A246C">
        <w:t xml:space="preserve">, </w:t>
      </w:r>
      <w:r w:rsidRPr="0002744D">
        <w:t xml:space="preserve">... stated that his </w:t>
      </w:r>
      <w:r w:rsidRPr="0002744D" w:rsidR="000F5902">
        <w:t>beliefs</w:t>
      </w:r>
      <w:r w:rsidRPr="0002744D">
        <w:t xml:space="preserve"> about human beings </w:t>
      </w:r>
      <w:r w:rsidRPr="0002744D" w:rsidR="000F5902">
        <w:t xml:space="preserve">and their place in the world </w:t>
      </w:r>
      <w:r w:rsidRPr="0002744D">
        <w:t>had been formed under the influence of several philosophers, and</w:t>
      </w:r>
      <w:r w:rsidRPr="0002744D" w:rsidR="000A246C">
        <w:t xml:space="preserve"> [stated]</w:t>
      </w:r>
      <w:r w:rsidRPr="0002744D">
        <w:t xml:space="preserve"> that his views on the army and</w:t>
      </w:r>
      <w:r w:rsidRPr="0002744D" w:rsidR="000A246C">
        <w:t xml:space="preserve"> the</w:t>
      </w:r>
      <w:r w:rsidRPr="0002744D">
        <w:t xml:space="preserve"> military way of life had been affected by his brother</w:t>
      </w:r>
      <w:r w:rsidRPr="0002744D" w:rsidR="0002744D">
        <w:t>’</w:t>
      </w:r>
      <w:r w:rsidRPr="0002744D">
        <w:t>s stories</w:t>
      </w:r>
      <w:r w:rsidRPr="0002744D" w:rsidR="003561E6">
        <w:t xml:space="preserve"> about his own army service</w:t>
      </w:r>
      <w:r w:rsidRPr="0002744D">
        <w:t>. According to the applicant, his convictions</w:t>
      </w:r>
      <w:r w:rsidRPr="0002744D" w:rsidR="000A246C">
        <w:t xml:space="preserve"> had</w:t>
      </w:r>
      <w:r w:rsidRPr="0002744D">
        <w:t xml:space="preserve"> finally crystallised after he had attended a legal seminar organised by t</w:t>
      </w:r>
      <w:r w:rsidRPr="0002744D">
        <w:rPr>
          <w:lang w:val="en"/>
        </w:rPr>
        <w:t xml:space="preserve">he </w:t>
      </w:r>
      <w:r w:rsidRPr="0002744D">
        <w:t>Committee of Soldiers</w:t>
      </w:r>
      <w:r w:rsidRPr="0002744D" w:rsidR="0002744D">
        <w:t>’</w:t>
      </w:r>
      <w:r w:rsidRPr="0002744D">
        <w:t xml:space="preserve"> Mothers in St Petersburg.</w:t>
      </w:r>
    </w:p>
    <w:p w:rsidRPr="0002744D" w:rsidR="007A4ACD" w:rsidP="0002744D" w:rsidRDefault="007A4ACD">
      <w:pPr>
        <w:pStyle w:val="ECHRParaQuote"/>
      </w:pPr>
      <w:r w:rsidRPr="0002744D">
        <w:t xml:space="preserve">A personal reference given to the applicant [by his employer] listed both his negative and positive qualities; however, like his </w:t>
      </w:r>
      <w:r w:rsidRPr="0002744D" w:rsidR="000A246C">
        <w:t>curriculum vitae</w:t>
      </w:r>
      <w:r w:rsidRPr="0002744D">
        <w:t xml:space="preserve">, it did not contain information </w:t>
      </w:r>
      <w:r w:rsidRPr="0002744D" w:rsidR="003561E6">
        <w:t xml:space="preserve">demonstrating </w:t>
      </w:r>
      <w:r w:rsidRPr="0002744D">
        <w:t xml:space="preserve">the existence of </w:t>
      </w:r>
      <w:r w:rsidRPr="0002744D" w:rsidR="003561E6">
        <w:t xml:space="preserve">any </w:t>
      </w:r>
      <w:r w:rsidRPr="0002744D">
        <w:t>deep convictions preventing him from performing military service.</w:t>
      </w:r>
    </w:p>
    <w:p w:rsidRPr="0002744D" w:rsidR="00BB548A" w:rsidP="0002744D" w:rsidRDefault="000F5902">
      <w:pPr>
        <w:pStyle w:val="ECHRParaQuote"/>
      </w:pPr>
      <w:r w:rsidRPr="0002744D">
        <w:t>[The applicant] did not present any additional information [</w:t>
      </w:r>
      <w:r w:rsidRPr="0002744D" w:rsidR="00BB548A">
        <w:t>...</w:t>
      </w:r>
      <w:r w:rsidRPr="0002744D">
        <w:t xml:space="preserve">] before either the military recruitment commission, the first instance or </w:t>
      </w:r>
      <w:r w:rsidRPr="0002744D" w:rsidR="000B0AF9">
        <w:t>the a</w:t>
      </w:r>
      <w:r w:rsidRPr="0002744D">
        <w:t>ppeal court.</w:t>
      </w:r>
    </w:p>
    <w:p w:rsidRPr="0002744D" w:rsidR="007A4ACD" w:rsidP="0002744D" w:rsidRDefault="007A4ACD">
      <w:pPr>
        <w:pStyle w:val="ECHRParaQuote"/>
      </w:pPr>
      <w:r w:rsidRPr="0002744D">
        <w:t xml:space="preserve">[The applicant] has failed to prove ... the existence of a serious and insurmountable conflict between the obligation to serve in the army and his </w:t>
      </w:r>
      <w:proofErr w:type="gramStart"/>
      <w:r w:rsidRPr="0002744D">
        <w:t>convictions ...</w:t>
      </w:r>
      <w:proofErr w:type="gramEnd"/>
    </w:p>
    <w:p w:rsidRPr="0002744D" w:rsidR="007A4ACD" w:rsidP="0002744D" w:rsidRDefault="007A4ACD">
      <w:pPr>
        <w:pStyle w:val="ECHRParaQuote"/>
      </w:pPr>
      <w:r w:rsidRPr="0002744D">
        <w:t>...</w:t>
      </w:r>
    </w:p>
    <w:p w:rsidRPr="0002744D" w:rsidR="007A4ACD" w:rsidP="0002744D" w:rsidRDefault="007A4ACD">
      <w:pPr>
        <w:pStyle w:val="ECHRParaQuote"/>
      </w:pPr>
      <w:r w:rsidRPr="0002744D">
        <w:t xml:space="preserve">[The applicant] was given an opportunity to bring to the attention of the military recruitment commission arguments </w:t>
      </w:r>
      <w:r w:rsidRPr="0002744D" w:rsidR="00BD548E">
        <w:t xml:space="preserve">[supporting] </w:t>
      </w:r>
      <w:r w:rsidRPr="0002744D">
        <w:t xml:space="preserve">the existence of </w:t>
      </w:r>
      <w:r w:rsidRPr="0002744D" w:rsidR="00BD548E">
        <w:t xml:space="preserve">[his] </w:t>
      </w:r>
      <w:r w:rsidRPr="0002744D">
        <w:t xml:space="preserve">convictions or religious beliefs ... However, no convictions objectively preventing him from </w:t>
      </w:r>
      <w:r w:rsidRPr="0002744D" w:rsidR="00D26E33">
        <w:t xml:space="preserve">performing </w:t>
      </w:r>
      <w:r w:rsidRPr="0002744D">
        <w:t>compulsory military service were established.”</w:t>
      </w:r>
    </w:p>
    <w:p w:rsidRPr="0002744D" w:rsidR="00DA4349" w:rsidP="0002744D" w:rsidRDefault="007A4ACD">
      <w:pPr>
        <w:pStyle w:val="ECHRPara"/>
      </w:pPr>
      <w:r w:rsidRPr="0002744D">
        <w:fldChar w:fldCharType="begin"/>
      </w:r>
      <w:r w:rsidRPr="0002744D">
        <w:instrText xml:space="preserve"> SEQ level0 \*arabic </w:instrText>
      </w:r>
      <w:r w:rsidRPr="0002744D">
        <w:fldChar w:fldCharType="separate"/>
      </w:r>
      <w:r w:rsidRPr="0002744D" w:rsidR="0002744D">
        <w:rPr>
          <w:noProof/>
        </w:rPr>
        <w:t>16</w:t>
      </w:r>
      <w:r w:rsidRPr="0002744D">
        <w:fldChar w:fldCharType="end"/>
      </w:r>
      <w:r w:rsidRPr="0002744D">
        <w:t>.  Subsequent cassation appeals lodged by the applicant were dismissed on 3 November 2015 by the St Petersburg City Court</w:t>
      </w:r>
      <w:r w:rsidRPr="0002744D" w:rsidR="00B87D3E">
        <w:t xml:space="preserve"> and on 24 </w:t>
      </w:r>
      <w:r w:rsidRPr="0002744D">
        <w:t>March 2016 by the Supreme Court. The cassation courts fully endorsed the appeal court</w:t>
      </w:r>
      <w:r w:rsidRPr="0002744D" w:rsidR="0002744D">
        <w:t>’</w:t>
      </w:r>
      <w:r w:rsidRPr="0002744D">
        <w:t>s reasoning.</w:t>
      </w:r>
    </w:p>
    <w:p w:rsidRPr="0002744D" w:rsidR="00DA4349" w:rsidP="0002744D" w:rsidRDefault="009E2683">
      <w:pPr>
        <w:pStyle w:val="ECHRHeading1"/>
      </w:pPr>
      <w:r w:rsidRPr="0002744D">
        <w:t>II.</w:t>
      </w:r>
      <w:proofErr w:type="gramStart"/>
      <w:r w:rsidRPr="0002744D">
        <w:t>  RELEVANT</w:t>
      </w:r>
      <w:proofErr w:type="gramEnd"/>
      <w:r w:rsidRPr="0002744D">
        <w:t xml:space="preserve"> DOMESTIC LAW AND PRACTICE</w:t>
      </w:r>
    </w:p>
    <w:p w:rsidRPr="0002744D" w:rsidR="00145A0D" w:rsidP="0002744D" w:rsidRDefault="00145A0D">
      <w:pPr>
        <w:pStyle w:val="ECHRHeading2"/>
      </w:pPr>
      <w:r w:rsidRPr="0002744D">
        <w:t>A.  </w:t>
      </w:r>
      <w:r w:rsidRPr="0002744D" w:rsidR="00730AEE">
        <w:t>The Constitution of the Russian Federation</w:t>
      </w:r>
      <w:r w:rsidRPr="0002744D" w:rsidR="00730AEE">
        <w:tab/>
      </w:r>
    </w:p>
    <w:bookmarkStart w:name="constitution" w:id="4"/>
    <w:p w:rsidRPr="0002744D" w:rsidR="00432CEB" w:rsidP="0002744D" w:rsidRDefault="00432CEB">
      <w:pPr>
        <w:pStyle w:val="ECHRPara"/>
      </w:pPr>
      <w:r w:rsidRPr="0002744D">
        <w:fldChar w:fldCharType="begin"/>
      </w:r>
      <w:r w:rsidRPr="0002744D">
        <w:instrText xml:space="preserve"> SEQ level0 \*arabic </w:instrText>
      </w:r>
      <w:r w:rsidRPr="0002744D">
        <w:fldChar w:fldCharType="separate"/>
      </w:r>
      <w:r w:rsidRPr="0002744D" w:rsidR="0002744D">
        <w:rPr>
          <w:noProof/>
        </w:rPr>
        <w:t>17</w:t>
      </w:r>
      <w:r w:rsidRPr="0002744D">
        <w:fldChar w:fldCharType="end"/>
      </w:r>
      <w:bookmarkEnd w:id="4"/>
      <w:r w:rsidRPr="0002744D">
        <w:t>.  Article 59 of the Constitution reads, in the relevant part, as follows:</w:t>
      </w:r>
    </w:p>
    <w:p w:rsidRPr="0002744D" w:rsidR="00432CEB" w:rsidP="0002744D" w:rsidRDefault="00432CEB">
      <w:pPr>
        <w:pStyle w:val="ECHRParaQuote"/>
        <w:rPr>
          <w:rFonts w:eastAsia="Times New Roman"/>
        </w:rPr>
      </w:pPr>
      <w:r w:rsidRPr="0002744D">
        <w:rPr>
          <w:rFonts w:eastAsia="Times New Roman"/>
        </w:rPr>
        <w:t xml:space="preserve">“1. </w:t>
      </w:r>
      <w:r w:rsidRPr="0002744D" w:rsidR="006C4368">
        <w:rPr>
          <w:rFonts w:eastAsia="Times New Roman"/>
        </w:rPr>
        <w:t xml:space="preserve">The defence </w:t>
      </w:r>
      <w:r w:rsidRPr="0002744D">
        <w:rPr>
          <w:rFonts w:eastAsia="Times New Roman"/>
        </w:rPr>
        <w:t xml:space="preserve">of the Fatherland shall be </w:t>
      </w:r>
      <w:r w:rsidRPr="0002744D" w:rsidR="005B0821">
        <w:rPr>
          <w:rFonts w:eastAsia="Times New Roman"/>
        </w:rPr>
        <w:t xml:space="preserve">the </w:t>
      </w:r>
      <w:r w:rsidRPr="0002744D">
        <w:rPr>
          <w:rFonts w:eastAsia="Times New Roman"/>
        </w:rPr>
        <w:t>duty and obligation of citizens of the Russian Federation.</w:t>
      </w:r>
    </w:p>
    <w:p w:rsidRPr="0002744D" w:rsidR="00432CEB" w:rsidP="0002744D" w:rsidRDefault="001C25EB">
      <w:pPr>
        <w:pStyle w:val="ECHRParaQuote"/>
        <w:rPr>
          <w:rFonts w:eastAsia="Times New Roman"/>
          <w:lang w:val="en-US"/>
        </w:rPr>
      </w:pPr>
      <w:r w:rsidRPr="0002744D">
        <w:rPr>
          <w:rFonts w:eastAsia="Times New Roman"/>
          <w:lang w:val="en-US"/>
        </w:rPr>
        <w:t>...</w:t>
      </w:r>
    </w:p>
    <w:p w:rsidRPr="0002744D" w:rsidR="00432CEB" w:rsidP="0002744D" w:rsidRDefault="00432CEB">
      <w:pPr>
        <w:pStyle w:val="ECHRParaQuote"/>
        <w:rPr>
          <w:rFonts w:eastAsia="Times New Roman"/>
        </w:rPr>
      </w:pPr>
      <w:r w:rsidRPr="0002744D">
        <w:rPr>
          <w:rFonts w:eastAsia="Times New Roman"/>
        </w:rPr>
        <w:t xml:space="preserve">3. A citizen of the Russian Federation shall have the right to replace military service </w:t>
      </w:r>
      <w:r w:rsidRPr="0002744D" w:rsidR="005B0821">
        <w:rPr>
          <w:rFonts w:eastAsia="Times New Roman"/>
        </w:rPr>
        <w:t xml:space="preserve">with </w:t>
      </w:r>
      <w:r w:rsidRPr="0002744D">
        <w:rPr>
          <w:rFonts w:eastAsia="Times New Roman"/>
        </w:rPr>
        <w:t>alternative civilian service in</w:t>
      </w:r>
      <w:r w:rsidRPr="0002744D" w:rsidR="005B0821">
        <w:rPr>
          <w:rFonts w:eastAsia="Times New Roman"/>
        </w:rPr>
        <w:t xml:space="preserve"> the</w:t>
      </w:r>
      <w:r w:rsidRPr="0002744D">
        <w:rPr>
          <w:rFonts w:eastAsia="Times New Roman"/>
        </w:rPr>
        <w:t xml:space="preserve"> case </w:t>
      </w:r>
      <w:r w:rsidRPr="0002744D" w:rsidR="005B0821">
        <w:rPr>
          <w:rFonts w:eastAsia="Times New Roman"/>
        </w:rPr>
        <w:t xml:space="preserve">that </w:t>
      </w:r>
      <w:r w:rsidRPr="0002744D">
        <w:rPr>
          <w:rFonts w:eastAsia="Times New Roman"/>
        </w:rPr>
        <w:t>his convictions or religious belief</w:t>
      </w:r>
      <w:r w:rsidRPr="0002744D" w:rsidR="005B0821">
        <w:rPr>
          <w:rFonts w:eastAsia="Times New Roman"/>
        </w:rPr>
        <w:t>s</w:t>
      </w:r>
      <w:r w:rsidRPr="0002744D">
        <w:rPr>
          <w:rFonts w:eastAsia="Times New Roman"/>
        </w:rPr>
        <w:t xml:space="preserve"> </w:t>
      </w:r>
      <w:r w:rsidRPr="0002744D" w:rsidR="006C4368">
        <w:rPr>
          <w:rFonts w:eastAsia="Times New Roman"/>
        </w:rPr>
        <w:t xml:space="preserve">preclude </w:t>
      </w:r>
      <w:r w:rsidRPr="0002744D">
        <w:rPr>
          <w:rFonts w:eastAsia="Times New Roman"/>
        </w:rPr>
        <w:t>military service</w:t>
      </w:r>
      <w:r w:rsidRPr="0002744D" w:rsidR="005B0821">
        <w:rPr>
          <w:rFonts w:eastAsia="Times New Roman"/>
        </w:rPr>
        <w:t>,</w:t>
      </w:r>
      <w:r w:rsidRPr="0002744D">
        <w:rPr>
          <w:rFonts w:eastAsia="Times New Roman"/>
        </w:rPr>
        <w:t xml:space="preserve"> and also in other cases </w:t>
      </w:r>
      <w:r w:rsidRPr="0002744D" w:rsidR="005B0821">
        <w:rPr>
          <w:rFonts w:eastAsia="Times New Roman"/>
        </w:rPr>
        <w:t xml:space="preserve">provided </w:t>
      </w:r>
      <w:r w:rsidRPr="0002744D">
        <w:rPr>
          <w:rFonts w:eastAsia="Times New Roman"/>
        </w:rPr>
        <w:t>by the federal law.”</w:t>
      </w:r>
    </w:p>
    <w:p w:rsidRPr="0002744D" w:rsidR="007A4ACD" w:rsidP="0002744D" w:rsidRDefault="00145A0D">
      <w:pPr>
        <w:pStyle w:val="ECHRHeading2"/>
      </w:pPr>
      <w:r w:rsidRPr="0002744D">
        <w:t>B</w:t>
      </w:r>
      <w:r w:rsidRPr="0002744D" w:rsidR="007A4ACD">
        <w:t>.  </w:t>
      </w:r>
      <w:r w:rsidRPr="0002744D" w:rsidR="00CC1442">
        <w:t>C</w:t>
      </w:r>
      <w:r w:rsidRPr="0002744D" w:rsidR="007A4ACD">
        <w:t>ivilian Service Act</w:t>
      </w:r>
    </w:p>
    <w:bookmarkStart w:name="domesticlawstart" w:id="5"/>
    <w:p w:rsidRPr="0002744D" w:rsidR="007A4ACD" w:rsidP="0002744D" w:rsidRDefault="007A4ACD">
      <w:pPr>
        <w:pStyle w:val="ECHRPara"/>
      </w:pPr>
      <w:r w:rsidRPr="0002744D">
        <w:fldChar w:fldCharType="begin"/>
      </w:r>
      <w:r w:rsidRPr="0002744D">
        <w:instrText xml:space="preserve"> SEQ level0 \*arabic </w:instrText>
      </w:r>
      <w:r w:rsidRPr="0002744D">
        <w:fldChar w:fldCharType="separate"/>
      </w:r>
      <w:r w:rsidRPr="0002744D" w:rsidR="0002744D">
        <w:rPr>
          <w:noProof/>
        </w:rPr>
        <w:t>18</w:t>
      </w:r>
      <w:r w:rsidRPr="0002744D">
        <w:fldChar w:fldCharType="end"/>
      </w:r>
      <w:bookmarkEnd w:id="5"/>
      <w:r w:rsidRPr="0002744D">
        <w:t>.  </w:t>
      </w:r>
      <w:r w:rsidRPr="0002744D" w:rsidR="00A85F67">
        <w:rPr>
          <w:iCs/>
        </w:rPr>
        <w:t>A</w:t>
      </w:r>
      <w:r w:rsidRPr="0002744D">
        <w:rPr>
          <w:iCs/>
        </w:rPr>
        <w:t>lternative civilian service in Russia is regulated by t</w:t>
      </w:r>
      <w:r w:rsidRPr="0002744D">
        <w:t xml:space="preserve">he Civilian Service Act, Law No. 113-FZ of 25 July 2002 </w:t>
      </w:r>
      <w:r w:rsidRPr="0002744D">
        <w:rPr>
          <w:i/>
        </w:rPr>
        <w:t>(</w:t>
      </w:r>
      <w:proofErr w:type="spellStart"/>
      <w:r w:rsidRPr="0002744D">
        <w:rPr>
          <w:i/>
          <w:iCs/>
        </w:rPr>
        <w:t>Федеральный</w:t>
      </w:r>
      <w:proofErr w:type="spellEnd"/>
      <w:r w:rsidRPr="0002744D">
        <w:rPr>
          <w:i/>
          <w:iCs/>
        </w:rPr>
        <w:t xml:space="preserve"> </w:t>
      </w:r>
      <w:proofErr w:type="spellStart"/>
      <w:r w:rsidRPr="0002744D">
        <w:rPr>
          <w:i/>
          <w:iCs/>
        </w:rPr>
        <w:t>закон</w:t>
      </w:r>
      <w:proofErr w:type="spellEnd"/>
      <w:r w:rsidRPr="0002744D">
        <w:rPr>
          <w:i/>
          <w:iCs/>
        </w:rPr>
        <w:t xml:space="preserve"> </w:t>
      </w:r>
      <w:proofErr w:type="spellStart"/>
      <w:r w:rsidRPr="0002744D">
        <w:rPr>
          <w:i/>
          <w:iCs/>
        </w:rPr>
        <w:t>от</w:t>
      </w:r>
      <w:proofErr w:type="spellEnd"/>
      <w:r w:rsidRPr="0002744D">
        <w:rPr>
          <w:i/>
          <w:iCs/>
        </w:rPr>
        <w:t xml:space="preserve"> 25.07.2002 N 113-ФЗ «</w:t>
      </w:r>
      <w:proofErr w:type="spellStart"/>
      <w:r w:rsidRPr="0002744D">
        <w:rPr>
          <w:i/>
          <w:iCs/>
        </w:rPr>
        <w:t>Об</w:t>
      </w:r>
      <w:proofErr w:type="spellEnd"/>
      <w:r w:rsidRPr="0002744D">
        <w:rPr>
          <w:i/>
          <w:iCs/>
        </w:rPr>
        <w:t xml:space="preserve"> </w:t>
      </w:r>
      <w:proofErr w:type="spellStart"/>
      <w:r w:rsidRPr="0002744D">
        <w:rPr>
          <w:i/>
          <w:iCs/>
        </w:rPr>
        <w:t>альтернативной</w:t>
      </w:r>
      <w:proofErr w:type="spellEnd"/>
      <w:r w:rsidRPr="0002744D">
        <w:rPr>
          <w:i/>
          <w:iCs/>
        </w:rPr>
        <w:t xml:space="preserve"> </w:t>
      </w:r>
      <w:proofErr w:type="spellStart"/>
      <w:r w:rsidRPr="0002744D">
        <w:rPr>
          <w:i/>
          <w:iCs/>
        </w:rPr>
        <w:t>гражданской</w:t>
      </w:r>
      <w:proofErr w:type="spellEnd"/>
      <w:r w:rsidRPr="0002744D">
        <w:rPr>
          <w:i/>
          <w:iCs/>
        </w:rPr>
        <w:t xml:space="preserve"> </w:t>
      </w:r>
      <w:proofErr w:type="spellStart"/>
      <w:r w:rsidRPr="0002744D">
        <w:rPr>
          <w:i/>
          <w:iCs/>
        </w:rPr>
        <w:t>службе</w:t>
      </w:r>
      <w:proofErr w:type="spellEnd"/>
      <w:r w:rsidRPr="0002744D">
        <w:rPr>
          <w:i/>
          <w:iCs/>
        </w:rPr>
        <w:t>»</w:t>
      </w:r>
      <w:r w:rsidRPr="0002744D">
        <w:rPr>
          <w:iCs/>
        </w:rPr>
        <w:t>).</w:t>
      </w:r>
    </w:p>
    <w:p w:rsidRPr="0002744D" w:rsidR="007A4ACD" w:rsidP="0002744D" w:rsidRDefault="007A4ACD">
      <w:pPr>
        <w:pStyle w:val="ECHRPara"/>
      </w:pPr>
      <w:r w:rsidRPr="0002744D">
        <w:fldChar w:fldCharType="begin"/>
      </w:r>
      <w:r w:rsidRPr="0002744D">
        <w:instrText xml:space="preserve"> SEQ level0 \*arabic </w:instrText>
      </w:r>
      <w:r w:rsidRPr="0002744D">
        <w:fldChar w:fldCharType="separate"/>
      </w:r>
      <w:r w:rsidRPr="0002744D" w:rsidR="0002744D">
        <w:rPr>
          <w:noProof/>
        </w:rPr>
        <w:t>19</w:t>
      </w:r>
      <w:r w:rsidRPr="0002744D">
        <w:fldChar w:fldCharType="end"/>
      </w:r>
      <w:r w:rsidRPr="0002744D">
        <w:t xml:space="preserve">.  Section 2 of the Act provides that all citizens are entitled to have compulsory military service replaced by its civilian alternative if their personal convictions or religious beliefs conflict with </w:t>
      </w:r>
      <w:r w:rsidRPr="0002744D" w:rsidR="008F1E3B">
        <w:t xml:space="preserve">the duty to </w:t>
      </w:r>
      <w:r w:rsidRPr="0002744D" w:rsidR="00D26E33">
        <w:t>perform</w:t>
      </w:r>
      <w:r w:rsidRPr="0002744D" w:rsidR="008F1E3B">
        <w:t xml:space="preserve"> </w:t>
      </w:r>
      <w:r w:rsidRPr="0002744D">
        <w:t>military service.</w:t>
      </w:r>
    </w:p>
    <w:p w:rsidRPr="0002744D" w:rsidR="007A4ACD" w:rsidP="0002744D" w:rsidRDefault="007A4ACD">
      <w:pPr>
        <w:pStyle w:val="ECHRPara"/>
      </w:pPr>
      <w:r w:rsidRPr="0002744D">
        <w:fldChar w:fldCharType="begin"/>
      </w:r>
      <w:r w:rsidRPr="0002744D">
        <w:instrText xml:space="preserve"> SEQ level0 \*arabic </w:instrText>
      </w:r>
      <w:r w:rsidRPr="0002744D">
        <w:fldChar w:fldCharType="separate"/>
      </w:r>
      <w:r w:rsidRPr="0002744D" w:rsidR="0002744D">
        <w:rPr>
          <w:noProof/>
        </w:rPr>
        <w:t>20</w:t>
      </w:r>
      <w:r w:rsidRPr="0002744D">
        <w:fldChar w:fldCharType="end"/>
      </w:r>
      <w:r w:rsidRPr="0002744D">
        <w:t>.  Section 10</w:t>
      </w:r>
      <w:r w:rsidRPr="0002744D" w:rsidR="00295DCA">
        <w:t>(</w:t>
      </w:r>
      <w:r w:rsidRPr="0002744D">
        <w:t>1</w:t>
      </w:r>
      <w:r w:rsidRPr="0002744D" w:rsidR="00295DCA">
        <w:t>)</w:t>
      </w:r>
      <w:r w:rsidRPr="0002744D">
        <w:t xml:space="preserve"> sets out </w:t>
      </w:r>
      <w:r w:rsidRPr="0002744D" w:rsidR="00A85F67">
        <w:t xml:space="preserve">a </w:t>
      </w:r>
      <w:r w:rsidRPr="0002744D" w:rsidR="005B0821">
        <w:t>process by</w:t>
      </w:r>
      <w:r w:rsidRPr="0002744D">
        <w:t xml:space="preserve"> which citizens are </w:t>
      </w:r>
      <w:r w:rsidRPr="0002744D" w:rsidR="00E63AD6">
        <w:t xml:space="preserve">assigned </w:t>
      </w:r>
      <w:r w:rsidRPr="0002744D" w:rsidR="008F1E3B">
        <w:t>to</w:t>
      </w:r>
      <w:r w:rsidRPr="0002744D">
        <w:t xml:space="preserve"> alternative civilian service: a</w:t>
      </w:r>
      <w:r w:rsidRPr="0002744D" w:rsidR="00E63AD6">
        <w:t xml:space="preserve">n application </w:t>
      </w:r>
      <w:r w:rsidRPr="0002744D">
        <w:t xml:space="preserve">is </w:t>
      </w:r>
      <w:r w:rsidRPr="0002744D" w:rsidR="00E63AD6">
        <w:t xml:space="preserve">lodged </w:t>
      </w:r>
      <w:r w:rsidRPr="0002744D">
        <w:t>for the replacement of military service</w:t>
      </w:r>
      <w:r w:rsidRPr="0002744D" w:rsidR="00295DCA">
        <w:t xml:space="preserve"> by civilian service</w:t>
      </w:r>
      <w:r w:rsidRPr="0002744D">
        <w:t xml:space="preserve">; the </w:t>
      </w:r>
      <w:r w:rsidRPr="0002744D" w:rsidR="00E63AD6">
        <w:t xml:space="preserve">application </w:t>
      </w:r>
      <w:r w:rsidRPr="0002744D">
        <w:t>is examined by a military recruitment commission; a medical examination is carried out; and the individual concerned is dispatched to his or her assigned duty station.</w:t>
      </w:r>
    </w:p>
    <w:p w:rsidRPr="0002744D" w:rsidR="007A4ACD" w:rsidP="0002744D" w:rsidRDefault="007A4ACD">
      <w:pPr>
        <w:pStyle w:val="ECHRPara"/>
      </w:pPr>
      <w:r w:rsidRPr="0002744D">
        <w:fldChar w:fldCharType="begin"/>
      </w:r>
      <w:r w:rsidRPr="0002744D">
        <w:instrText xml:space="preserve"> SEQ level0 \*arabic </w:instrText>
      </w:r>
      <w:r w:rsidRPr="0002744D">
        <w:fldChar w:fldCharType="separate"/>
      </w:r>
      <w:r w:rsidRPr="0002744D" w:rsidR="0002744D">
        <w:rPr>
          <w:noProof/>
        </w:rPr>
        <w:t>21</w:t>
      </w:r>
      <w:r w:rsidRPr="0002744D">
        <w:fldChar w:fldCharType="end"/>
      </w:r>
      <w:r w:rsidRPr="0002744D">
        <w:t>.  Section 11</w:t>
      </w:r>
      <w:r w:rsidRPr="0002744D" w:rsidR="00295DCA">
        <w:t>(</w:t>
      </w:r>
      <w:r w:rsidRPr="0002744D">
        <w:t>1</w:t>
      </w:r>
      <w:r w:rsidRPr="0002744D" w:rsidR="00295DCA">
        <w:t>)</w:t>
      </w:r>
      <w:r w:rsidRPr="0002744D">
        <w:t xml:space="preserve"> indicates, </w:t>
      </w:r>
      <w:r w:rsidRPr="0002744D">
        <w:rPr>
          <w:i/>
        </w:rPr>
        <w:t>inter alia</w:t>
      </w:r>
      <w:r w:rsidRPr="0002744D">
        <w:t>, that</w:t>
      </w:r>
      <w:r w:rsidRPr="0002744D" w:rsidR="007F1C74">
        <w:t xml:space="preserve"> individuals are to </w:t>
      </w:r>
      <w:r w:rsidRPr="0002744D" w:rsidR="00510048">
        <w:t>lodge</w:t>
      </w:r>
      <w:r w:rsidRPr="0002744D" w:rsidR="00E63AD6">
        <w:t xml:space="preserve"> </w:t>
      </w:r>
      <w:r w:rsidRPr="0002744D" w:rsidR="00295DCA">
        <w:t xml:space="preserve">such </w:t>
      </w:r>
      <w:r w:rsidRPr="0002744D" w:rsidR="00E63AD6">
        <w:t xml:space="preserve">applications </w:t>
      </w:r>
      <w:r w:rsidRPr="0002744D" w:rsidR="007F1C74">
        <w:t xml:space="preserve">at least six months before the beginning of </w:t>
      </w:r>
      <w:r w:rsidRPr="0002744D" w:rsidR="00295DCA">
        <w:t xml:space="preserve">their scheduled </w:t>
      </w:r>
      <w:r w:rsidRPr="0002744D" w:rsidR="007F1C74">
        <w:t>draft</w:t>
      </w:r>
      <w:r w:rsidRPr="0002744D" w:rsidR="00295DCA">
        <w:t xml:space="preserve"> service</w:t>
      </w:r>
      <w:r w:rsidRPr="0002744D" w:rsidR="007F1C74">
        <w:t>.</w:t>
      </w:r>
      <w:r w:rsidRPr="0002744D">
        <w:t xml:space="preserve"> </w:t>
      </w:r>
      <w:r w:rsidRPr="0002744D" w:rsidR="007F1C74">
        <w:t>Those</w:t>
      </w:r>
      <w:r w:rsidRPr="0002744D">
        <w:t xml:space="preserve"> who enjoy draft deferments (</w:t>
      </w:r>
      <w:r w:rsidRPr="0002744D" w:rsidR="00295DCA">
        <w:t>such as for the purpose of</w:t>
      </w:r>
      <w:r w:rsidRPr="0002744D">
        <w:t xml:space="preserve"> university studies) are to </w:t>
      </w:r>
      <w:r w:rsidRPr="0002744D" w:rsidR="00510048">
        <w:t>lodge</w:t>
      </w:r>
      <w:r w:rsidRPr="0002744D" w:rsidR="00E63AD6">
        <w:t xml:space="preserve"> </w:t>
      </w:r>
      <w:r w:rsidRPr="0002744D">
        <w:t xml:space="preserve">their </w:t>
      </w:r>
      <w:r w:rsidRPr="0002744D" w:rsidR="00E63AD6">
        <w:t xml:space="preserve">applications </w:t>
      </w:r>
      <w:r w:rsidRPr="0002744D">
        <w:t xml:space="preserve">within </w:t>
      </w:r>
      <w:r w:rsidRPr="0002744D" w:rsidR="00295DCA">
        <w:t xml:space="preserve">ten </w:t>
      </w:r>
      <w:r w:rsidRPr="0002744D">
        <w:t xml:space="preserve">days </w:t>
      </w:r>
      <w:r w:rsidRPr="0002744D" w:rsidR="00295DCA">
        <w:t xml:space="preserve">of </w:t>
      </w:r>
      <w:r w:rsidRPr="0002744D">
        <w:t xml:space="preserve">such deferment </w:t>
      </w:r>
      <w:r w:rsidRPr="0002744D" w:rsidR="00295DCA">
        <w:t xml:space="preserve">coming </w:t>
      </w:r>
      <w:r w:rsidRPr="0002744D">
        <w:t>to an end.</w:t>
      </w:r>
    </w:p>
    <w:p w:rsidRPr="0002744D" w:rsidR="007A4ACD" w:rsidP="0002744D" w:rsidRDefault="007A4ACD">
      <w:pPr>
        <w:pStyle w:val="ECHRPara"/>
      </w:pPr>
      <w:r w:rsidRPr="0002744D">
        <w:fldChar w:fldCharType="begin"/>
      </w:r>
      <w:r w:rsidRPr="0002744D">
        <w:instrText xml:space="preserve"> SEQ level0 \*arabic </w:instrText>
      </w:r>
      <w:r w:rsidRPr="0002744D">
        <w:fldChar w:fldCharType="separate"/>
      </w:r>
      <w:r w:rsidRPr="0002744D" w:rsidR="0002744D">
        <w:rPr>
          <w:noProof/>
        </w:rPr>
        <w:t>22</w:t>
      </w:r>
      <w:r w:rsidRPr="0002744D">
        <w:fldChar w:fldCharType="end"/>
      </w:r>
      <w:r w:rsidRPr="0002744D">
        <w:t>.  </w:t>
      </w:r>
      <w:r w:rsidRPr="0002744D" w:rsidR="00295DCA">
        <w:t>Under</w:t>
      </w:r>
      <w:r w:rsidRPr="0002744D">
        <w:t xml:space="preserve"> </w:t>
      </w:r>
      <w:r w:rsidRPr="0002744D" w:rsidR="00295DCA">
        <w:t xml:space="preserve">section </w:t>
      </w:r>
      <w:r w:rsidRPr="0002744D">
        <w:t>11</w:t>
      </w:r>
      <w:r w:rsidRPr="0002744D" w:rsidR="000D7C50">
        <w:t>(</w:t>
      </w:r>
      <w:r w:rsidRPr="0002744D">
        <w:t>1</w:t>
      </w:r>
      <w:r w:rsidRPr="0002744D" w:rsidR="000D7C50">
        <w:t>)</w:t>
      </w:r>
      <w:r w:rsidRPr="0002744D">
        <w:t xml:space="preserve"> (</w:t>
      </w:r>
      <w:r w:rsidRPr="0002744D">
        <w:rPr>
          <w:i/>
        </w:rPr>
        <w:t>in fine</w:t>
      </w:r>
      <w:r w:rsidRPr="0002744D">
        <w:t>)</w:t>
      </w:r>
      <w:r w:rsidRPr="0002744D" w:rsidR="00A85F67">
        <w:t xml:space="preserve">, </w:t>
      </w:r>
      <w:r w:rsidRPr="0002744D">
        <w:t xml:space="preserve">individuals </w:t>
      </w:r>
      <w:r w:rsidRPr="0002744D" w:rsidR="00A85F67">
        <w:t>have</w:t>
      </w:r>
      <w:r w:rsidRPr="0002744D">
        <w:t xml:space="preserve"> to substantiate that their </w:t>
      </w:r>
      <w:r w:rsidRPr="0002744D" w:rsidR="000D7C50">
        <w:t xml:space="preserve">beliefs </w:t>
      </w:r>
      <w:r w:rsidRPr="0002744D">
        <w:t>are in conflict with</w:t>
      </w:r>
      <w:r w:rsidRPr="0002744D" w:rsidR="008F1E3B">
        <w:t xml:space="preserve"> the duty to </w:t>
      </w:r>
      <w:r w:rsidRPr="0002744D" w:rsidR="00D26E33">
        <w:t>perform</w:t>
      </w:r>
      <w:r w:rsidRPr="0002744D">
        <w:t xml:space="preserve"> military service.</w:t>
      </w:r>
    </w:p>
    <w:p w:rsidRPr="0002744D" w:rsidR="007A4ACD" w:rsidP="0002744D" w:rsidRDefault="007A4ACD">
      <w:pPr>
        <w:pStyle w:val="ECHRPara"/>
      </w:pPr>
      <w:r w:rsidRPr="0002744D">
        <w:fldChar w:fldCharType="begin"/>
      </w:r>
      <w:r w:rsidRPr="0002744D">
        <w:instrText xml:space="preserve"> SEQ level0 \*arabic </w:instrText>
      </w:r>
      <w:r w:rsidRPr="0002744D">
        <w:fldChar w:fldCharType="separate"/>
      </w:r>
      <w:r w:rsidRPr="0002744D" w:rsidR="0002744D">
        <w:rPr>
          <w:noProof/>
        </w:rPr>
        <w:t>23</w:t>
      </w:r>
      <w:r w:rsidRPr="0002744D">
        <w:fldChar w:fldCharType="end"/>
      </w:r>
      <w:r w:rsidRPr="0002744D">
        <w:t>.  </w:t>
      </w:r>
      <w:r w:rsidRPr="0002744D" w:rsidR="00A85F67">
        <w:t>A</w:t>
      </w:r>
      <w:r w:rsidRPr="0002744D" w:rsidR="00E63AD6">
        <w:t xml:space="preserve">n application </w:t>
      </w:r>
      <w:r w:rsidRPr="0002744D">
        <w:t xml:space="preserve">for the replacement of military service must indicate </w:t>
      </w:r>
      <w:r w:rsidRPr="0002744D" w:rsidR="000D7C50">
        <w:t xml:space="preserve">the </w:t>
      </w:r>
      <w:r w:rsidRPr="0002744D">
        <w:t xml:space="preserve">reasons and circumstances prompting an individual to </w:t>
      </w:r>
      <w:r w:rsidRPr="0002744D" w:rsidR="00510048">
        <w:t xml:space="preserve">lodge </w:t>
      </w:r>
      <w:r w:rsidRPr="0002744D">
        <w:t>it. The request should be accompanied by a</w:t>
      </w:r>
      <w:r w:rsidRPr="0002744D" w:rsidR="000D7C50">
        <w:t xml:space="preserve"> curriculum vitae </w:t>
      </w:r>
      <w:r w:rsidRPr="0002744D">
        <w:t xml:space="preserve">and a personal reference from </w:t>
      </w:r>
      <w:r w:rsidRPr="0002744D" w:rsidR="000D7C50">
        <w:t>that individual</w:t>
      </w:r>
      <w:r w:rsidRPr="0002744D" w:rsidR="0002744D">
        <w:t>’</w:t>
      </w:r>
      <w:r w:rsidRPr="0002744D" w:rsidR="000D7C50">
        <w:t xml:space="preserve">s </w:t>
      </w:r>
      <w:r w:rsidRPr="0002744D">
        <w:t xml:space="preserve">place of work and/or </w:t>
      </w:r>
      <w:r w:rsidRPr="0002744D" w:rsidR="000D7C50">
        <w:t>study</w:t>
      </w:r>
      <w:r w:rsidRPr="0002744D">
        <w:t xml:space="preserve">. Other documents may be attached to the </w:t>
      </w:r>
      <w:r w:rsidRPr="0002744D" w:rsidR="00E63AD6">
        <w:t>application</w:t>
      </w:r>
      <w:r w:rsidRPr="0002744D">
        <w:t xml:space="preserve">, and the individual may </w:t>
      </w:r>
      <w:r w:rsidRPr="0002744D" w:rsidR="000D7C50">
        <w:t xml:space="preserve">give the </w:t>
      </w:r>
      <w:r w:rsidRPr="0002744D">
        <w:t xml:space="preserve">names of persons willing to testify in support of </w:t>
      </w:r>
      <w:r w:rsidRPr="0002744D" w:rsidR="000D7C50">
        <w:t xml:space="preserve">his </w:t>
      </w:r>
      <w:r w:rsidRPr="0002744D" w:rsidR="00E63AD6">
        <w:t xml:space="preserve">application </w:t>
      </w:r>
      <w:r w:rsidRPr="0002744D" w:rsidR="00A85F67">
        <w:t>(</w:t>
      </w:r>
      <w:r w:rsidRPr="0002744D" w:rsidR="00647C3C">
        <w:t>section </w:t>
      </w:r>
      <w:r w:rsidRPr="0002744D" w:rsidR="00A85F67">
        <w:t xml:space="preserve">11 </w:t>
      </w:r>
      <w:r w:rsidRPr="0002744D" w:rsidR="00C61563">
        <w:rPr>
          <w:lang w:val="en-US"/>
        </w:rPr>
        <w:t>(</w:t>
      </w:r>
      <w:r w:rsidRPr="0002744D" w:rsidR="00A85F67">
        <w:t>2</w:t>
      </w:r>
      <w:r w:rsidRPr="0002744D" w:rsidR="00C61563">
        <w:rPr>
          <w:lang w:val="en-US"/>
        </w:rPr>
        <w:t>)</w:t>
      </w:r>
      <w:r w:rsidRPr="0002744D" w:rsidR="00A85F67">
        <w:t>).</w:t>
      </w:r>
    </w:p>
    <w:bookmarkStart w:name="para22" w:id="6"/>
    <w:p w:rsidRPr="0002744D" w:rsidR="006F22BC" w:rsidP="0002744D" w:rsidRDefault="007A4ACD">
      <w:pPr>
        <w:pStyle w:val="ECHRPara"/>
      </w:pPr>
      <w:r w:rsidRPr="0002744D">
        <w:rPr>
          <w:iCs/>
        </w:rPr>
        <w:fldChar w:fldCharType="begin"/>
      </w:r>
      <w:r w:rsidRPr="0002744D">
        <w:rPr>
          <w:iCs/>
        </w:rPr>
        <w:instrText xml:space="preserve"> SEQ level0 \*arabic </w:instrText>
      </w:r>
      <w:r w:rsidRPr="0002744D">
        <w:rPr>
          <w:iCs/>
        </w:rPr>
        <w:fldChar w:fldCharType="separate"/>
      </w:r>
      <w:r w:rsidRPr="0002744D" w:rsidR="0002744D">
        <w:rPr>
          <w:iCs/>
          <w:noProof/>
        </w:rPr>
        <w:t>24</w:t>
      </w:r>
      <w:r w:rsidRPr="0002744D">
        <w:rPr>
          <w:iCs/>
        </w:rPr>
        <w:fldChar w:fldCharType="end"/>
      </w:r>
      <w:bookmarkEnd w:id="6"/>
      <w:r w:rsidRPr="0002744D">
        <w:rPr>
          <w:iCs/>
        </w:rPr>
        <w:t xml:space="preserve">.  Section 12 provides that the </w:t>
      </w:r>
      <w:r w:rsidRPr="0002744D">
        <w:t>military recruitment commission should only examine a</w:t>
      </w:r>
      <w:r w:rsidRPr="0002744D" w:rsidR="00E63AD6">
        <w:t xml:space="preserve">n application </w:t>
      </w:r>
      <w:r w:rsidRPr="0002744D">
        <w:t xml:space="preserve">for the replacement of military service in the presence of </w:t>
      </w:r>
      <w:r w:rsidRPr="0002744D" w:rsidR="00E62CEE">
        <w:t>an</w:t>
      </w:r>
      <w:r w:rsidRPr="0002744D">
        <w:t xml:space="preserve"> applicant. The military recruitment commission should consider</w:t>
      </w:r>
      <w:r w:rsidRPr="0002744D" w:rsidR="000D7C50">
        <w:t>:</w:t>
      </w:r>
      <w:r w:rsidRPr="0002744D">
        <w:t xml:space="preserve"> oral statement</w:t>
      </w:r>
      <w:r w:rsidRPr="0002744D" w:rsidR="00A85F67">
        <w:t>s</w:t>
      </w:r>
      <w:r w:rsidRPr="0002744D">
        <w:t xml:space="preserve"> made </w:t>
      </w:r>
      <w:r w:rsidRPr="0002744D" w:rsidR="00A85F67">
        <w:t xml:space="preserve">by </w:t>
      </w:r>
      <w:r w:rsidRPr="0002744D" w:rsidR="00E62CEE">
        <w:t>an</w:t>
      </w:r>
      <w:r w:rsidRPr="0002744D">
        <w:t xml:space="preserve"> applicant</w:t>
      </w:r>
      <w:r w:rsidRPr="0002744D" w:rsidR="000D7C50">
        <w:t>,</w:t>
      </w:r>
      <w:r w:rsidRPr="0002744D">
        <w:t xml:space="preserve"> </w:t>
      </w:r>
      <w:r w:rsidRPr="0002744D" w:rsidR="000D7C50">
        <w:t>together with statements by</w:t>
      </w:r>
      <w:r w:rsidRPr="0002744D">
        <w:t xml:space="preserve"> any individuals who have agreed to testify in support of </w:t>
      </w:r>
      <w:r w:rsidRPr="0002744D" w:rsidR="000D7C50">
        <w:t xml:space="preserve">his </w:t>
      </w:r>
      <w:r w:rsidRPr="0002744D" w:rsidR="00E63AD6">
        <w:t>application</w:t>
      </w:r>
      <w:r w:rsidRPr="0002744D">
        <w:t xml:space="preserve">; documents provided; and any additional material obtained by the commission. Decisions on </w:t>
      </w:r>
      <w:r w:rsidRPr="0002744D" w:rsidR="00E63AD6">
        <w:t xml:space="preserve">applications </w:t>
      </w:r>
      <w:r w:rsidRPr="0002744D">
        <w:t xml:space="preserve">are to be adopted by a simple majority. Two-thirds of the members of the military recruitment commission must be present </w:t>
      </w:r>
      <w:r w:rsidRPr="0002744D" w:rsidR="000D7C50">
        <w:t xml:space="preserve">in order </w:t>
      </w:r>
      <w:r w:rsidRPr="0002744D">
        <w:t>to constitute a quorum. A</w:t>
      </w:r>
      <w:r w:rsidRPr="0002744D" w:rsidR="00E63AD6">
        <w:t xml:space="preserve">n application </w:t>
      </w:r>
      <w:r w:rsidRPr="0002744D" w:rsidR="000D7C50">
        <w:t xml:space="preserve">may </w:t>
      </w:r>
      <w:r w:rsidRPr="0002744D">
        <w:t xml:space="preserve">be </w:t>
      </w:r>
      <w:r w:rsidRPr="0002744D" w:rsidR="00E63AD6">
        <w:t>dismissed</w:t>
      </w:r>
      <w:r w:rsidRPr="0002744D" w:rsidR="000D7C50">
        <w:t xml:space="preserve"> </w:t>
      </w:r>
      <w:r w:rsidRPr="0002744D">
        <w:t xml:space="preserve">if, </w:t>
      </w:r>
      <w:r w:rsidRPr="0002744D">
        <w:rPr>
          <w:i/>
        </w:rPr>
        <w:t>inter alia</w:t>
      </w:r>
      <w:r w:rsidRPr="0002744D">
        <w:t xml:space="preserve">, </w:t>
      </w:r>
      <w:r w:rsidRPr="0002744D" w:rsidR="000D7C50">
        <w:t xml:space="preserve">the </w:t>
      </w:r>
      <w:r w:rsidRPr="0002744D">
        <w:t xml:space="preserve">documents and other material submitted do not prove that </w:t>
      </w:r>
      <w:r w:rsidRPr="0002744D" w:rsidR="000D7C50">
        <w:t xml:space="preserve">the </w:t>
      </w:r>
      <w:r w:rsidRPr="0002744D">
        <w:t>applicant</w:t>
      </w:r>
      <w:r w:rsidRPr="0002744D" w:rsidR="0002744D">
        <w:t>’</w:t>
      </w:r>
      <w:r w:rsidRPr="0002744D">
        <w:t>s personal convictions or beliefs are in conflict with the obligation to serve in the army.</w:t>
      </w:r>
      <w:r w:rsidRPr="0002744D" w:rsidR="00935813">
        <w:t xml:space="preserve"> Where </w:t>
      </w:r>
      <w:r w:rsidRPr="0002744D" w:rsidR="000D7C50">
        <w:t>a</w:t>
      </w:r>
      <w:r w:rsidRPr="0002744D" w:rsidR="00E63AD6">
        <w:t xml:space="preserve">n application </w:t>
      </w:r>
      <w:r w:rsidRPr="0002744D" w:rsidR="00935813">
        <w:t xml:space="preserve">for </w:t>
      </w:r>
      <w:r w:rsidRPr="0002744D" w:rsidR="00CC1442">
        <w:t>the</w:t>
      </w:r>
      <w:r w:rsidRPr="0002744D" w:rsidR="00BD4465">
        <w:t xml:space="preserve"> replacement</w:t>
      </w:r>
      <w:r w:rsidRPr="0002744D" w:rsidR="000D7C50">
        <w:t xml:space="preserve"> of civilian service </w:t>
      </w:r>
      <w:r w:rsidRPr="0002744D" w:rsidR="00BD4465">
        <w:t>by</w:t>
      </w:r>
      <w:r w:rsidRPr="0002744D" w:rsidR="000D7C50">
        <w:t xml:space="preserve"> military service </w:t>
      </w:r>
      <w:r w:rsidRPr="0002744D" w:rsidR="00935813">
        <w:t xml:space="preserve">is </w:t>
      </w:r>
      <w:r w:rsidRPr="0002744D" w:rsidR="00510048">
        <w:t>dismissed</w:t>
      </w:r>
      <w:r w:rsidRPr="0002744D" w:rsidR="00935813">
        <w:t>, the commission must produce a reasoned decision and provide a copy</w:t>
      </w:r>
      <w:r w:rsidRPr="0002744D" w:rsidR="00861DB4">
        <w:t xml:space="preserve"> thereof</w:t>
      </w:r>
      <w:r w:rsidRPr="0002744D" w:rsidR="00935813">
        <w:t xml:space="preserve"> to </w:t>
      </w:r>
      <w:r w:rsidRPr="0002744D" w:rsidR="00861DB4">
        <w:t xml:space="preserve">the </w:t>
      </w:r>
      <w:r w:rsidRPr="0002744D" w:rsidR="00935813">
        <w:t>applicant.</w:t>
      </w:r>
    </w:p>
    <w:bookmarkStart w:name="civiliaactend" w:id="7"/>
    <w:bookmarkStart w:name="judicialreview" w:id="8"/>
    <w:p w:rsidRPr="0002744D" w:rsidR="006F22BC" w:rsidP="0002744D" w:rsidRDefault="007A4ACD">
      <w:pPr>
        <w:pStyle w:val="ECHRPara"/>
      </w:pPr>
      <w:r w:rsidRPr="0002744D">
        <w:fldChar w:fldCharType="begin"/>
      </w:r>
      <w:r w:rsidRPr="0002744D">
        <w:instrText xml:space="preserve"> SEQ level0 \*arabic </w:instrText>
      </w:r>
      <w:r w:rsidRPr="0002744D">
        <w:fldChar w:fldCharType="separate"/>
      </w:r>
      <w:r w:rsidRPr="0002744D" w:rsidR="0002744D">
        <w:rPr>
          <w:noProof/>
        </w:rPr>
        <w:t>25</w:t>
      </w:r>
      <w:r w:rsidRPr="0002744D">
        <w:fldChar w:fldCharType="end"/>
      </w:r>
      <w:bookmarkEnd w:id="7"/>
      <w:bookmarkEnd w:id="8"/>
      <w:r w:rsidRPr="0002744D">
        <w:t>.  </w:t>
      </w:r>
      <w:r w:rsidRPr="0002744D" w:rsidR="000B57E0">
        <w:t>All</w:t>
      </w:r>
      <w:r w:rsidRPr="0002744D">
        <w:t xml:space="preserve"> decisions adopted by the military recruitment commission may be challenged </w:t>
      </w:r>
      <w:r w:rsidRPr="0002744D" w:rsidR="00725BE1">
        <w:t xml:space="preserve">before </w:t>
      </w:r>
      <w:r w:rsidRPr="0002744D" w:rsidR="00482767">
        <w:t xml:space="preserve">the </w:t>
      </w:r>
      <w:r w:rsidRPr="0002744D" w:rsidR="00725BE1">
        <w:t>courts of general jurisdiction</w:t>
      </w:r>
      <w:r w:rsidRPr="0002744D" w:rsidR="005B6D4E">
        <w:t xml:space="preserve"> </w:t>
      </w:r>
      <w:r w:rsidRPr="0002744D" w:rsidR="00A76063">
        <w:t xml:space="preserve">under </w:t>
      </w:r>
      <w:r w:rsidRPr="0002744D" w:rsidR="00447573">
        <w:t>Chapter 22 of the Code of Administrative Procedure</w:t>
      </w:r>
      <w:r w:rsidRPr="0002744D">
        <w:t xml:space="preserve">. A disputed decision is automatically </w:t>
      </w:r>
      <w:r w:rsidRPr="0002744D" w:rsidR="00D868FE">
        <w:t xml:space="preserve">suspended pending </w:t>
      </w:r>
      <w:r w:rsidRPr="0002744D" w:rsidR="00482767">
        <w:t xml:space="preserve">the </w:t>
      </w:r>
      <w:r w:rsidRPr="0002744D" w:rsidR="00D868FE">
        <w:t xml:space="preserve">adoption of a final </w:t>
      </w:r>
      <w:r w:rsidRPr="0002744D" w:rsidR="003416A7">
        <w:t>judgment</w:t>
      </w:r>
      <w:r w:rsidRPr="0002744D" w:rsidR="00D868FE">
        <w:t xml:space="preserve"> by a domestic court</w:t>
      </w:r>
      <w:r w:rsidRPr="0002744D" w:rsidR="00CC1442">
        <w:t xml:space="preserve"> (</w:t>
      </w:r>
      <w:r w:rsidRPr="0002744D" w:rsidR="00510048">
        <w:t>s</w:t>
      </w:r>
      <w:r w:rsidRPr="0002744D" w:rsidR="00CC1442">
        <w:t>ection 15)</w:t>
      </w:r>
      <w:r w:rsidRPr="0002744D">
        <w:t>.</w:t>
      </w:r>
    </w:p>
    <w:p w:rsidRPr="0002744D" w:rsidR="00946D4D" w:rsidP="0002744D" w:rsidRDefault="00145A0D">
      <w:pPr>
        <w:pStyle w:val="ECHRHeading2"/>
      </w:pPr>
      <w:r w:rsidRPr="0002744D">
        <w:t>C</w:t>
      </w:r>
      <w:r w:rsidRPr="0002744D" w:rsidR="007A4ACD">
        <w:t>.  </w:t>
      </w:r>
      <w:r w:rsidRPr="0002744D" w:rsidR="00CC1442">
        <w:t>C</w:t>
      </w:r>
      <w:r w:rsidRPr="0002744D" w:rsidR="007A4ACD">
        <w:t>ompulsory Military Service Act</w:t>
      </w:r>
      <w:bookmarkStart w:name="compositionofcom" w:id="9"/>
    </w:p>
    <w:bookmarkEnd w:id="9"/>
    <w:p w:rsidRPr="0002744D" w:rsidR="00946D4D" w:rsidP="0002744D" w:rsidRDefault="00586174">
      <w:pPr>
        <w:pStyle w:val="ECHRPara"/>
        <w:rPr>
          <w:iCs/>
        </w:rPr>
      </w:pPr>
      <w:r w:rsidRPr="0002744D">
        <w:fldChar w:fldCharType="begin"/>
      </w:r>
      <w:r w:rsidRPr="0002744D">
        <w:instrText xml:space="preserve"> SEQ level0 \*arabic </w:instrText>
      </w:r>
      <w:r w:rsidRPr="0002744D">
        <w:fldChar w:fldCharType="separate"/>
      </w:r>
      <w:r w:rsidRPr="0002744D" w:rsidR="0002744D">
        <w:rPr>
          <w:noProof/>
        </w:rPr>
        <w:t>26</w:t>
      </w:r>
      <w:r w:rsidRPr="0002744D">
        <w:fldChar w:fldCharType="end"/>
      </w:r>
      <w:r w:rsidRPr="0002744D">
        <w:t>.  </w:t>
      </w:r>
      <w:r w:rsidRPr="0002744D" w:rsidR="00CC1442">
        <w:t xml:space="preserve">Section </w:t>
      </w:r>
      <w:r w:rsidRPr="0002744D" w:rsidR="007A4ACD">
        <w:t>2</w:t>
      </w:r>
      <w:r w:rsidRPr="0002744D" w:rsidR="00946D4D">
        <w:t>5</w:t>
      </w:r>
      <w:r w:rsidRPr="0002744D" w:rsidR="007A4ACD">
        <w:t xml:space="preserve"> § 1 of the Compulsory Military Service Act, Law No.</w:t>
      </w:r>
      <w:r w:rsidRPr="0002744D" w:rsidR="00DA1FFB">
        <w:t> </w:t>
      </w:r>
      <w:r w:rsidRPr="0002744D" w:rsidR="007A4ACD">
        <w:t>53</w:t>
      </w:r>
      <w:r w:rsidRPr="0002744D" w:rsidR="00DA1FFB">
        <w:noBreakHyphen/>
      </w:r>
      <w:r w:rsidRPr="0002744D" w:rsidR="007A4ACD">
        <w:t xml:space="preserve">FZ of 28 March 2002 </w:t>
      </w:r>
      <w:r w:rsidRPr="0002744D" w:rsidR="007A4ACD">
        <w:rPr>
          <w:i/>
        </w:rPr>
        <w:t>(</w:t>
      </w:r>
      <w:proofErr w:type="spellStart"/>
      <w:r w:rsidRPr="0002744D" w:rsidR="007A4ACD">
        <w:rPr>
          <w:i/>
          <w:iCs/>
        </w:rPr>
        <w:t>Федеральный</w:t>
      </w:r>
      <w:proofErr w:type="spellEnd"/>
      <w:r w:rsidRPr="0002744D" w:rsidR="007A4ACD">
        <w:rPr>
          <w:i/>
          <w:iCs/>
        </w:rPr>
        <w:t xml:space="preserve"> </w:t>
      </w:r>
      <w:proofErr w:type="spellStart"/>
      <w:r w:rsidRPr="0002744D" w:rsidR="007A4ACD">
        <w:rPr>
          <w:i/>
          <w:iCs/>
        </w:rPr>
        <w:t>закон</w:t>
      </w:r>
      <w:proofErr w:type="spellEnd"/>
      <w:r w:rsidRPr="0002744D" w:rsidR="007A4ACD">
        <w:rPr>
          <w:i/>
          <w:iCs/>
        </w:rPr>
        <w:t xml:space="preserve"> </w:t>
      </w:r>
      <w:proofErr w:type="spellStart"/>
      <w:r w:rsidRPr="0002744D" w:rsidR="007A4ACD">
        <w:rPr>
          <w:i/>
          <w:iCs/>
        </w:rPr>
        <w:t>от</w:t>
      </w:r>
      <w:proofErr w:type="spellEnd"/>
      <w:r w:rsidRPr="0002744D" w:rsidR="007A4ACD">
        <w:rPr>
          <w:i/>
          <w:iCs/>
        </w:rPr>
        <w:t xml:space="preserve"> 28.03.1998 N 53-ФЗ «О </w:t>
      </w:r>
      <w:proofErr w:type="spellStart"/>
      <w:r w:rsidRPr="0002744D" w:rsidR="007A4ACD">
        <w:rPr>
          <w:i/>
          <w:iCs/>
        </w:rPr>
        <w:t>воинской</w:t>
      </w:r>
      <w:proofErr w:type="spellEnd"/>
      <w:r w:rsidRPr="0002744D" w:rsidR="007A4ACD">
        <w:rPr>
          <w:i/>
          <w:iCs/>
        </w:rPr>
        <w:t xml:space="preserve"> </w:t>
      </w:r>
      <w:proofErr w:type="spellStart"/>
      <w:r w:rsidRPr="0002744D" w:rsidR="007A4ACD">
        <w:rPr>
          <w:i/>
          <w:iCs/>
        </w:rPr>
        <w:t>обязанности</w:t>
      </w:r>
      <w:proofErr w:type="spellEnd"/>
      <w:r w:rsidRPr="0002744D" w:rsidR="007A4ACD">
        <w:rPr>
          <w:i/>
          <w:iCs/>
        </w:rPr>
        <w:t xml:space="preserve"> и </w:t>
      </w:r>
      <w:proofErr w:type="spellStart"/>
      <w:r w:rsidRPr="0002744D" w:rsidR="007A4ACD">
        <w:rPr>
          <w:i/>
          <w:iCs/>
        </w:rPr>
        <w:t>военной</w:t>
      </w:r>
      <w:proofErr w:type="spellEnd"/>
      <w:r w:rsidRPr="0002744D" w:rsidR="007A4ACD">
        <w:rPr>
          <w:i/>
          <w:iCs/>
        </w:rPr>
        <w:t xml:space="preserve"> </w:t>
      </w:r>
      <w:proofErr w:type="spellStart"/>
      <w:r w:rsidRPr="0002744D" w:rsidR="007A4ACD">
        <w:rPr>
          <w:i/>
          <w:iCs/>
        </w:rPr>
        <w:t>службе</w:t>
      </w:r>
      <w:proofErr w:type="spellEnd"/>
      <w:r w:rsidRPr="0002744D" w:rsidR="007A4ACD">
        <w:rPr>
          <w:i/>
          <w:iCs/>
        </w:rPr>
        <w:t>»</w:t>
      </w:r>
      <w:r w:rsidRPr="0002744D" w:rsidR="007A4ACD">
        <w:rPr>
          <w:iCs/>
        </w:rPr>
        <w:t>)</w:t>
      </w:r>
      <w:r w:rsidRPr="0002744D" w:rsidR="00946D4D">
        <w:rPr>
          <w:iCs/>
        </w:rPr>
        <w:t xml:space="preserve"> </w:t>
      </w:r>
      <w:r w:rsidRPr="0002744D">
        <w:rPr>
          <w:iCs/>
        </w:rPr>
        <w:t xml:space="preserve">provides that as </w:t>
      </w:r>
      <w:r w:rsidRPr="0002744D" w:rsidR="008E0E96">
        <w:rPr>
          <w:iCs/>
        </w:rPr>
        <w:t xml:space="preserve">a </w:t>
      </w:r>
      <w:r w:rsidRPr="0002744D">
        <w:rPr>
          <w:iCs/>
        </w:rPr>
        <w:t xml:space="preserve">general rule </w:t>
      </w:r>
      <w:r w:rsidRPr="0002744D" w:rsidR="00482767">
        <w:rPr>
          <w:iCs/>
        </w:rPr>
        <w:t xml:space="preserve">the </w:t>
      </w:r>
      <w:r w:rsidRPr="0002744D">
        <w:rPr>
          <w:iCs/>
        </w:rPr>
        <w:t>military draft takes place twice a year</w:t>
      </w:r>
      <w:r w:rsidRPr="0002744D" w:rsidR="00E17A22">
        <w:rPr>
          <w:iCs/>
        </w:rPr>
        <w:t>:</w:t>
      </w:r>
      <w:r w:rsidRPr="0002744D" w:rsidR="008E0E96">
        <w:rPr>
          <w:iCs/>
        </w:rPr>
        <w:t xml:space="preserve"> from </w:t>
      </w:r>
      <w:r w:rsidRPr="0002744D" w:rsidR="0004634C">
        <w:rPr>
          <w:iCs/>
        </w:rPr>
        <w:t xml:space="preserve">1 April </w:t>
      </w:r>
      <w:r w:rsidRPr="0002744D" w:rsidR="00482767">
        <w:rPr>
          <w:iCs/>
        </w:rPr>
        <w:t xml:space="preserve">until </w:t>
      </w:r>
      <w:r w:rsidRPr="0002744D" w:rsidR="0004634C">
        <w:rPr>
          <w:iCs/>
        </w:rPr>
        <w:t xml:space="preserve">15 </w:t>
      </w:r>
      <w:r w:rsidRPr="0002744D" w:rsidR="008E0E96">
        <w:rPr>
          <w:iCs/>
        </w:rPr>
        <w:t xml:space="preserve">July and from </w:t>
      </w:r>
      <w:r w:rsidRPr="0002744D" w:rsidR="0004634C">
        <w:rPr>
          <w:iCs/>
        </w:rPr>
        <w:t>1 October</w:t>
      </w:r>
      <w:r w:rsidRPr="0002744D" w:rsidR="008E0E96">
        <w:rPr>
          <w:iCs/>
        </w:rPr>
        <w:t xml:space="preserve"> </w:t>
      </w:r>
      <w:r w:rsidRPr="0002744D" w:rsidR="00482767">
        <w:rPr>
          <w:iCs/>
        </w:rPr>
        <w:t xml:space="preserve">until </w:t>
      </w:r>
      <w:r w:rsidRPr="0002744D" w:rsidR="0004634C">
        <w:rPr>
          <w:iCs/>
        </w:rPr>
        <w:t xml:space="preserve">15 </w:t>
      </w:r>
      <w:r w:rsidRPr="0002744D" w:rsidR="008E0E96">
        <w:rPr>
          <w:iCs/>
        </w:rPr>
        <w:t>December</w:t>
      </w:r>
      <w:r w:rsidRPr="0002744D">
        <w:rPr>
          <w:iCs/>
        </w:rPr>
        <w:t>.</w:t>
      </w:r>
    </w:p>
    <w:bookmarkStart w:name="para26" w:id="10"/>
    <w:p w:rsidRPr="0002744D" w:rsidR="007A4ACD" w:rsidP="0002744D" w:rsidRDefault="00946D4D">
      <w:pPr>
        <w:pStyle w:val="ECHRPara"/>
        <w:rPr>
          <w:i/>
        </w:rPr>
      </w:pPr>
      <w:r w:rsidRPr="0002744D">
        <w:rPr>
          <w:iCs/>
        </w:rPr>
        <w:fldChar w:fldCharType="begin"/>
      </w:r>
      <w:r w:rsidRPr="0002744D">
        <w:rPr>
          <w:iCs/>
        </w:rPr>
        <w:instrText xml:space="preserve"> SEQ level0 \*arabic </w:instrText>
      </w:r>
      <w:r w:rsidRPr="0002744D">
        <w:rPr>
          <w:iCs/>
        </w:rPr>
        <w:fldChar w:fldCharType="separate"/>
      </w:r>
      <w:r w:rsidRPr="0002744D" w:rsidR="0002744D">
        <w:rPr>
          <w:iCs/>
          <w:noProof/>
        </w:rPr>
        <w:t>27</w:t>
      </w:r>
      <w:r w:rsidRPr="0002744D">
        <w:rPr>
          <w:iCs/>
        </w:rPr>
        <w:fldChar w:fldCharType="end"/>
      </w:r>
      <w:bookmarkEnd w:id="10"/>
      <w:r w:rsidRPr="0002744D">
        <w:rPr>
          <w:iCs/>
        </w:rPr>
        <w:t>.  </w:t>
      </w:r>
      <w:r w:rsidRPr="0002744D" w:rsidR="00CC1442">
        <w:t>A</w:t>
      </w:r>
      <w:r w:rsidRPr="0002744D" w:rsidR="007A4ACD">
        <w:t xml:space="preserve"> military recruitment commission consists of: </w:t>
      </w:r>
      <w:r w:rsidRPr="0002744D" w:rsidR="00CC1442">
        <w:t xml:space="preserve">the </w:t>
      </w:r>
      <w:r w:rsidRPr="0002744D" w:rsidR="007A4ACD">
        <w:t xml:space="preserve">head or </w:t>
      </w:r>
      <w:r w:rsidRPr="0002744D" w:rsidR="00CC1442">
        <w:t xml:space="preserve">a </w:t>
      </w:r>
      <w:r w:rsidRPr="0002744D" w:rsidR="007A4ACD">
        <w:t>deputy head of a municipal entity</w:t>
      </w:r>
      <w:r w:rsidRPr="0002744D" w:rsidR="00482767">
        <w:t xml:space="preserve">, who serves as the </w:t>
      </w:r>
      <w:r w:rsidRPr="0002744D" w:rsidR="007A4ACD">
        <w:t xml:space="preserve">president of the military recruitment commission; </w:t>
      </w:r>
      <w:r w:rsidRPr="0002744D" w:rsidR="00482767">
        <w:t xml:space="preserve">an </w:t>
      </w:r>
      <w:r w:rsidRPr="0002744D" w:rsidR="007A4ACD">
        <w:t xml:space="preserve">officer of a military </w:t>
      </w:r>
      <w:r w:rsidRPr="0002744D" w:rsidR="00292193">
        <w:t>commissariat</w:t>
      </w:r>
      <w:r w:rsidRPr="0002744D" w:rsidR="00482767">
        <w:t>, who serves as</w:t>
      </w:r>
      <w:r w:rsidRPr="0002744D" w:rsidR="007A4ACD">
        <w:t xml:space="preserve"> </w:t>
      </w:r>
      <w:r w:rsidRPr="0002744D" w:rsidR="00482767">
        <w:t xml:space="preserve">the </w:t>
      </w:r>
      <w:r w:rsidRPr="0002744D" w:rsidR="007A4ACD">
        <w:t xml:space="preserve">deputy president of the military recruitment commission; </w:t>
      </w:r>
      <w:r w:rsidRPr="0002744D" w:rsidR="00482767">
        <w:t xml:space="preserve">the </w:t>
      </w:r>
      <w:r w:rsidRPr="0002744D" w:rsidR="007A4ACD">
        <w:t xml:space="preserve">secretary of the commission; </w:t>
      </w:r>
      <w:r w:rsidRPr="0002744D" w:rsidR="00482767">
        <w:t xml:space="preserve">a </w:t>
      </w:r>
      <w:r w:rsidRPr="0002744D" w:rsidR="007A4ACD">
        <w:t xml:space="preserve">medical officer </w:t>
      </w:r>
      <w:r w:rsidRPr="0002744D" w:rsidR="00482767">
        <w:t>responsible</w:t>
      </w:r>
      <w:r w:rsidRPr="0002744D" w:rsidR="007A4ACD">
        <w:t xml:space="preserve"> </w:t>
      </w:r>
      <w:r w:rsidRPr="0002744D" w:rsidR="0022368F">
        <w:t xml:space="preserve">for </w:t>
      </w:r>
      <w:r w:rsidRPr="0002744D" w:rsidR="00482767">
        <w:t xml:space="preserve">the </w:t>
      </w:r>
      <w:r w:rsidRPr="0002744D" w:rsidR="007A4ACD">
        <w:t xml:space="preserve">medical certification of individuals liable to be called up for </w:t>
      </w:r>
      <w:r w:rsidRPr="0002744D" w:rsidR="00482767">
        <w:t>military service</w:t>
      </w:r>
      <w:r w:rsidRPr="0002744D" w:rsidR="007A4ACD">
        <w:t xml:space="preserve">; </w:t>
      </w:r>
      <w:r w:rsidRPr="0002744D" w:rsidR="00482767">
        <w:t xml:space="preserve">a </w:t>
      </w:r>
      <w:r w:rsidRPr="0002744D" w:rsidR="007A4ACD">
        <w:t>representative of a local internal affairs agency</w:t>
      </w:r>
      <w:r w:rsidRPr="0002744D" w:rsidR="00143848">
        <w:t xml:space="preserve"> (</w:t>
      </w:r>
      <w:r w:rsidRPr="0002744D" w:rsidR="00143848">
        <w:rPr>
          <w:i/>
          <w:lang w:val="ru-RU"/>
        </w:rPr>
        <w:t>орган</w:t>
      </w:r>
      <w:r w:rsidRPr="0002744D" w:rsidR="00143848">
        <w:rPr>
          <w:i/>
          <w:lang w:val="en-US"/>
        </w:rPr>
        <w:t xml:space="preserve"> </w:t>
      </w:r>
      <w:r w:rsidRPr="0002744D" w:rsidR="00143848">
        <w:rPr>
          <w:i/>
          <w:lang w:val="ru-RU"/>
        </w:rPr>
        <w:t>внутренних</w:t>
      </w:r>
      <w:r w:rsidRPr="0002744D" w:rsidR="00143848">
        <w:rPr>
          <w:i/>
          <w:lang w:val="en-US"/>
        </w:rPr>
        <w:t xml:space="preserve"> </w:t>
      </w:r>
      <w:r w:rsidRPr="0002744D" w:rsidR="00143848">
        <w:rPr>
          <w:i/>
          <w:lang w:val="ru-RU"/>
        </w:rPr>
        <w:t>дел</w:t>
      </w:r>
      <w:r w:rsidRPr="0002744D" w:rsidR="00143848">
        <w:rPr>
          <w:i/>
        </w:rPr>
        <w:t xml:space="preserve"> </w:t>
      </w:r>
      <w:r w:rsidRPr="0002744D" w:rsidR="00143848">
        <w:t>– a police body)</w:t>
      </w:r>
      <w:r w:rsidRPr="0002744D" w:rsidR="007A4ACD">
        <w:t xml:space="preserve">; </w:t>
      </w:r>
      <w:r w:rsidRPr="0002744D" w:rsidR="00407C41">
        <w:t xml:space="preserve">a </w:t>
      </w:r>
      <w:r w:rsidRPr="0002744D" w:rsidR="007A4ACD">
        <w:t xml:space="preserve">representative of an </w:t>
      </w:r>
      <w:r w:rsidRPr="0002744D" w:rsidR="00143848">
        <w:t>“</w:t>
      </w:r>
      <w:r w:rsidRPr="0002744D" w:rsidR="007A4ACD">
        <w:t>education governing agency</w:t>
      </w:r>
      <w:r w:rsidRPr="0002744D" w:rsidR="00143848">
        <w:t>” (</w:t>
      </w:r>
      <w:r w:rsidRPr="0002744D" w:rsidR="000813AE">
        <w:rPr>
          <w:i/>
          <w:lang w:val="ru-RU"/>
        </w:rPr>
        <w:t>о</w:t>
      </w:r>
      <w:proofErr w:type="spellStart"/>
      <w:r w:rsidRPr="0002744D" w:rsidR="00143848">
        <w:rPr>
          <w:i/>
        </w:rPr>
        <w:t>рган</w:t>
      </w:r>
      <w:proofErr w:type="spellEnd"/>
      <w:r w:rsidRPr="0002744D" w:rsidR="00143848">
        <w:rPr>
          <w:i/>
        </w:rPr>
        <w:t xml:space="preserve">, </w:t>
      </w:r>
      <w:proofErr w:type="spellStart"/>
      <w:r w:rsidRPr="0002744D" w:rsidR="00143848">
        <w:rPr>
          <w:i/>
        </w:rPr>
        <w:t>осуществляющий</w:t>
      </w:r>
      <w:proofErr w:type="spellEnd"/>
      <w:r w:rsidRPr="0002744D" w:rsidR="00143848">
        <w:rPr>
          <w:i/>
        </w:rPr>
        <w:t xml:space="preserve"> </w:t>
      </w:r>
      <w:proofErr w:type="spellStart"/>
      <w:r w:rsidRPr="0002744D" w:rsidR="00143848">
        <w:rPr>
          <w:i/>
        </w:rPr>
        <w:t>управление</w:t>
      </w:r>
      <w:proofErr w:type="spellEnd"/>
      <w:r w:rsidRPr="0002744D" w:rsidR="00143848">
        <w:rPr>
          <w:i/>
        </w:rPr>
        <w:t xml:space="preserve"> в </w:t>
      </w:r>
      <w:proofErr w:type="spellStart"/>
      <w:r w:rsidRPr="0002744D" w:rsidR="00143848">
        <w:rPr>
          <w:i/>
        </w:rPr>
        <w:t>сфере</w:t>
      </w:r>
      <w:proofErr w:type="spellEnd"/>
      <w:r w:rsidRPr="0002744D" w:rsidR="00143848">
        <w:rPr>
          <w:i/>
        </w:rPr>
        <w:t xml:space="preserve"> </w:t>
      </w:r>
      <w:proofErr w:type="spellStart"/>
      <w:r w:rsidRPr="0002744D" w:rsidR="00143848">
        <w:rPr>
          <w:i/>
        </w:rPr>
        <w:t>образования</w:t>
      </w:r>
      <w:proofErr w:type="spellEnd"/>
      <w:r w:rsidRPr="0002744D" w:rsidR="00143848">
        <w:t>)</w:t>
      </w:r>
      <w:r w:rsidRPr="0002744D" w:rsidR="007A4ACD">
        <w:t xml:space="preserve">; </w:t>
      </w:r>
      <w:r w:rsidRPr="0002744D" w:rsidR="00407C41">
        <w:t xml:space="preserve">and a </w:t>
      </w:r>
      <w:r w:rsidRPr="0002744D" w:rsidR="007A4ACD">
        <w:t>representative of an employment office</w:t>
      </w:r>
      <w:r w:rsidRPr="0002744D" w:rsidR="00CC1442">
        <w:t xml:space="preserve"> (</w:t>
      </w:r>
      <w:r w:rsidRPr="0002744D" w:rsidR="00407C41">
        <w:t xml:space="preserve">section </w:t>
      </w:r>
      <w:r w:rsidRPr="0002744D" w:rsidR="00CC1442">
        <w:t>27</w:t>
      </w:r>
      <w:r w:rsidRPr="0002744D" w:rsidR="00407C41">
        <w:t>(</w:t>
      </w:r>
      <w:r w:rsidRPr="0002744D" w:rsidR="00CC1442">
        <w:t>1)</w:t>
      </w:r>
      <w:r w:rsidRPr="0002744D" w:rsidR="007A4ACD">
        <w:t>.</w:t>
      </w:r>
    </w:p>
    <w:bookmarkStart w:name="domesticlawend" w:id="11"/>
    <w:p w:rsidRPr="0002744D" w:rsidR="007A4ACD" w:rsidP="0002744D" w:rsidRDefault="007A4ACD">
      <w:pPr>
        <w:pStyle w:val="ECHRPara"/>
      </w:pPr>
      <w:r w:rsidRPr="0002744D">
        <w:fldChar w:fldCharType="begin"/>
      </w:r>
      <w:r w:rsidRPr="0002744D">
        <w:instrText xml:space="preserve"> SEQ level0 \*arabic </w:instrText>
      </w:r>
      <w:r w:rsidRPr="0002744D">
        <w:fldChar w:fldCharType="separate"/>
      </w:r>
      <w:r w:rsidRPr="0002744D" w:rsidR="0002744D">
        <w:rPr>
          <w:noProof/>
        </w:rPr>
        <w:t>28</w:t>
      </w:r>
      <w:r w:rsidRPr="0002744D">
        <w:fldChar w:fldCharType="end"/>
      </w:r>
      <w:bookmarkEnd w:id="11"/>
      <w:r w:rsidRPr="0002744D">
        <w:t>.  </w:t>
      </w:r>
      <w:r w:rsidRPr="0002744D" w:rsidR="00407C41">
        <w:t>Under s</w:t>
      </w:r>
      <w:r w:rsidRPr="0002744D">
        <w:t>ection 27</w:t>
      </w:r>
      <w:r w:rsidRPr="0002744D" w:rsidR="00407C41">
        <w:t>(</w:t>
      </w:r>
      <w:r w:rsidRPr="0002744D">
        <w:t>2</w:t>
      </w:r>
      <w:r w:rsidRPr="0002744D" w:rsidR="00407C41">
        <w:t>)</w:t>
      </w:r>
      <w:r w:rsidRPr="0002744D">
        <w:t xml:space="preserve"> of the Act</w:t>
      </w:r>
      <w:r w:rsidRPr="0002744D" w:rsidR="00946D4D">
        <w:t>,</w:t>
      </w:r>
      <w:r w:rsidRPr="0002744D">
        <w:t xml:space="preserve"> representatives of other agencies and organisations </w:t>
      </w:r>
      <w:r w:rsidRPr="0002744D" w:rsidR="00407C41">
        <w:t>may sit on</w:t>
      </w:r>
      <w:r w:rsidRPr="0002744D">
        <w:t xml:space="preserve"> </w:t>
      </w:r>
      <w:r w:rsidRPr="0002744D" w:rsidR="00407C41">
        <w:t xml:space="preserve">a military recruitment </w:t>
      </w:r>
      <w:r w:rsidRPr="0002744D">
        <w:t>commission.</w:t>
      </w:r>
    </w:p>
    <w:p w:rsidRPr="0002744D" w:rsidR="006F22BC" w:rsidP="0002744D" w:rsidRDefault="004528C3">
      <w:pPr>
        <w:pStyle w:val="ECHRHeading2"/>
      </w:pPr>
      <w:r w:rsidRPr="0002744D">
        <w:t>D.  Code of Administrative Procedure</w:t>
      </w:r>
    </w:p>
    <w:bookmarkStart w:name="finalisation28" w:id="12"/>
    <w:bookmarkStart w:name="capstart" w:id="13"/>
    <w:p w:rsidRPr="0002744D" w:rsidR="006F22BC" w:rsidP="0002744D" w:rsidRDefault="00CA217F">
      <w:pPr>
        <w:pStyle w:val="ECHRPara"/>
      </w:pPr>
      <w:r w:rsidRPr="0002744D">
        <w:fldChar w:fldCharType="begin"/>
      </w:r>
      <w:r w:rsidRPr="0002744D">
        <w:instrText xml:space="preserve"> SEQ level0 \*arabic </w:instrText>
      </w:r>
      <w:r w:rsidRPr="0002744D">
        <w:fldChar w:fldCharType="separate"/>
      </w:r>
      <w:r w:rsidRPr="0002744D" w:rsidR="0002744D">
        <w:rPr>
          <w:noProof/>
        </w:rPr>
        <w:t>29</w:t>
      </w:r>
      <w:r w:rsidRPr="0002744D">
        <w:fldChar w:fldCharType="end"/>
      </w:r>
      <w:bookmarkEnd w:id="12"/>
      <w:r w:rsidRPr="0002744D">
        <w:t>.  </w:t>
      </w:r>
      <w:r w:rsidRPr="0002744D" w:rsidR="00510048">
        <w:t>Under</w:t>
      </w:r>
      <w:r w:rsidRPr="0002744D">
        <w:t xml:space="preserve"> Article 186 § 1, a </w:t>
      </w:r>
      <w:r w:rsidRPr="0002744D" w:rsidR="003416A7">
        <w:t>judgment</w:t>
      </w:r>
      <w:r w:rsidRPr="0002744D">
        <w:t xml:space="preserve"> becomes final upon </w:t>
      </w:r>
      <w:r w:rsidRPr="0002744D" w:rsidR="00407C41">
        <w:t xml:space="preserve">the </w:t>
      </w:r>
      <w:r w:rsidRPr="0002744D">
        <w:t xml:space="preserve">expiry of the time-limit set for parties to lodge an appeal, if </w:t>
      </w:r>
      <w:r w:rsidRPr="0002744D" w:rsidR="00143848">
        <w:t xml:space="preserve">that </w:t>
      </w:r>
      <w:r w:rsidRPr="0002744D" w:rsidR="003416A7">
        <w:t>judgment</w:t>
      </w:r>
      <w:r w:rsidRPr="0002744D">
        <w:t xml:space="preserve"> has not been appealed against. </w:t>
      </w:r>
      <w:r w:rsidRPr="0002744D" w:rsidR="00510048">
        <w:t>Under</w:t>
      </w:r>
      <w:r w:rsidRPr="0002744D" w:rsidR="00411823">
        <w:t xml:space="preserve"> Article 298 § 1, parties </w:t>
      </w:r>
      <w:r w:rsidRPr="0002744D" w:rsidR="00510048">
        <w:t xml:space="preserve">have </w:t>
      </w:r>
      <w:r w:rsidRPr="0002744D" w:rsidR="00411823">
        <w:t xml:space="preserve">one month to </w:t>
      </w:r>
      <w:r w:rsidRPr="0002744D" w:rsidR="00EE1C10">
        <w:t xml:space="preserve">lodge </w:t>
      </w:r>
      <w:r w:rsidRPr="0002744D" w:rsidR="00411823">
        <w:t xml:space="preserve">an appeal from the moment of adoption of a </w:t>
      </w:r>
      <w:r w:rsidRPr="0002744D" w:rsidR="003416A7">
        <w:t>judgment</w:t>
      </w:r>
      <w:r w:rsidRPr="0002744D" w:rsidR="00411823">
        <w:t>.</w:t>
      </w:r>
    </w:p>
    <w:bookmarkStart w:name="finalisation29" w:id="14"/>
    <w:p w:rsidRPr="0002744D" w:rsidR="006F22BC" w:rsidP="0002744D" w:rsidRDefault="00CA217F">
      <w:pPr>
        <w:pStyle w:val="ECHRPara"/>
      </w:pPr>
      <w:r w:rsidRPr="0002744D">
        <w:fldChar w:fldCharType="begin"/>
      </w:r>
      <w:r w:rsidRPr="0002744D">
        <w:instrText xml:space="preserve"> SEQ level0 \*arabic </w:instrText>
      </w:r>
      <w:r w:rsidRPr="0002744D">
        <w:fldChar w:fldCharType="separate"/>
      </w:r>
      <w:r w:rsidRPr="0002744D" w:rsidR="0002744D">
        <w:rPr>
          <w:noProof/>
        </w:rPr>
        <w:t>30</w:t>
      </w:r>
      <w:r w:rsidRPr="0002744D">
        <w:fldChar w:fldCharType="end"/>
      </w:r>
      <w:bookmarkEnd w:id="14"/>
      <w:r w:rsidRPr="0002744D">
        <w:t xml:space="preserve">.  Article 186 § 2 </w:t>
      </w:r>
      <w:r w:rsidRPr="0002744D" w:rsidR="00367224">
        <w:t xml:space="preserve">provides </w:t>
      </w:r>
      <w:r w:rsidRPr="0002744D">
        <w:t xml:space="preserve">that where an appeal has been lodged, a judgment enters into force </w:t>
      </w:r>
      <w:r w:rsidRPr="0002744D" w:rsidR="00824AF0">
        <w:t>on</w:t>
      </w:r>
      <w:r w:rsidRPr="0002744D">
        <w:t xml:space="preserve"> the day </w:t>
      </w:r>
      <w:r w:rsidRPr="0002744D" w:rsidR="00407C41">
        <w:t xml:space="preserve">on which </w:t>
      </w:r>
      <w:r w:rsidRPr="0002744D" w:rsidR="00885B76">
        <w:t xml:space="preserve">it is upheld by </w:t>
      </w:r>
      <w:r w:rsidRPr="0002744D">
        <w:t>the appeal court</w:t>
      </w:r>
      <w:r w:rsidRPr="0002744D" w:rsidR="00885B76">
        <w:t xml:space="preserve">. </w:t>
      </w:r>
      <w:r w:rsidRPr="0002744D" w:rsidR="00367224">
        <w:t xml:space="preserve">In the event that </w:t>
      </w:r>
      <w:r w:rsidRPr="0002744D" w:rsidR="00885B76">
        <w:t>the appeal court quashe</w:t>
      </w:r>
      <w:r w:rsidRPr="0002744D" w:rsidR="00824AF0">
        <w:t>s</w:t>
      </w:r>
      <w:r w:rsidRPr="0002744D" w:rsidR="00885B76">
        <w:t xml:space="preserve"> or modifie</w:t>
      </w:r>
      <w:r w:rsidRPr="0002744D" w:rsidR="00824AF0">
        <w:t>s</w:t>
      </w:r>
      <w:r w:rsidRPr="0002744D" w:rsidR="00885B76">
        <w:t xml:space="preserve"> the first</w:t>
      </w:r>
      <w:r w:rsidRPr="0002744D" w:rsidR="00DA1FFB">
        <w:noBreakHyphen/>
      </w:r>
      <w:r w:rsidRPr="0002744D" w:rsidR="00885B76">
        <w:t xml:space="preserve">instance </w:t>
      </w:r>
      <w:r w:rsidRPr="0002744D" w:rsidR="003416A7">
        <w:t>judgment</w:t>
      </w:r>
      <w:r w:rsidRPr="0002744D" w:rsidR="00885B76">
        <w:t xml:space="preserve"> and adopts a new decision, the latter enters into force immediately.</w:t>
      </w:r>
    </w:p>
    <w:bookmarkStart w:name="para30" w:id="15"/>
    <w:p w:rsidRPr="0002744D" w:rsidR="006F22BC" w:rsidP="0002744D" w:rsidRDefault="004528C3">
      <w:pPr>
        <w:pStyle w:val="ECHRPara"/>
      </w:pPr>
      <w:r w:rsidRPr="0002744D">
        <w:fldChar w:fldCharType="begin"/>
      </w:r>
      <w:r w:rsidRPr="0002744D">
        <w:instrText xml:space="preserve"> SEQ level0 \*arabic </w:instrText>
      </w:r>
      <w:r w:rsidRPr="0002744D">
        <w:fldChar w:fldCharType="separate"/>
      </w:r>
      <w:r w:rsidRPr="0002744D" w:rsidR="0002744D">
        <w:rPr>
          <w:noProof/>
        </w:rPr>
        <w:t>31</w:t>
      </w:r>
      <w:r w:rsidRPr="0002744D">
        <w:fldChar w:fldCharType="end"/>
      </w:r>
      <w:bookmarkEnd w:id="13"/>
      <w:bookmarkEnd w:id="15"/>
      <w:r w:rsidRPr="0002744D">
        <w:t xml:space="preserve">.  Chapter 22 of the </w:t>
      </w:r>
      <w:r w:rsidRPr="0002744D" w:rsidR="00482767">
        <w:t xml:space="preserve">Code of </w:t>
      </w:r>
      <w:r w:rsidRPr="0002744D" w:rsidR="00367224">
        <w:t>Administrative</w:t>
      </w:r>
      <w:r w:rsidRPr="0002744D" w:rsidR="00482767">
        <w:t xml:space="preserve"> Procedure </w:t>
      </w:r>
      <w:r w:rsidRPr="0002744D" w:rsidR="009356BB">
        <w:t>govern</w:t>
      </w:r>
      <w:r w:rsidRPr="0002744D" w:rsidR="00CC1442">
        <w:t>s</w:t>
      </w:r>
      <w:r w:rsidRPr="0002744D" w:rsidR="009356BB">
        <w:t xml:space="preserve"> proceedings whereby </w:t>
      </w:r>
      <w:r w:rsidRPr="0002744D" w:rsidR="000D445F">
        <w:t>individuals</w:t>
      </w:r>
      <w:r w:rsidRPr="0002744D" w:rsidR="009356BB">
        <w:t xml:space="preserve"> challenge decisions</w:t>
      </w:r>
      <w:r w:rsidRPr="0002744D" w:rsidR="00CC1442">
        <w:t xml:space="preserve"> and</w:t>
      </w:r>
      <w:r w:rsidRPr="0002744D" w:rsidR="009356BB">
        <w:t xml:space="preserve"> acts </w:t>
      </w:r>
      <w:r w:rsidRPr="0002744D" w:rsidR="00367224">
        <w:t xml:space="preserve">by </w:t>
      </w:r>
      <w:r w:rsidRPr="0002744D" w:rsidR="009356BB">
        <w:t>(</w:t>
      </w:r>
      <w:r w:rsidRPr="0002744D" w:rsidR="00367224">
        <w:t xml:space="preserve">or </w:t>
      </w:r>
      <w:r w:rsidRPr="0002744D" w:rsidR="009356BB">
        <w:t>inaction</w:t>
      </w:r>
      <w:r w:rsidRPr="0002744D" w:rsidR="00367224">
        <w:t xml:space="preserve"> on the part</w:t>
      </w:r>
      <w:r w:rsidRPr="0002744D" w:rsidR="009356BB">
        <w:t xml:space="preserve"> of</w:t>
      </w:r>
      <w:r w:rsidRPr="0002744D" w:rsidR="00367224">
        <w:t>) the</w:t>
      </w:r>
      <w:r w:rsidRPr="0002744D" w:rsidR="009356BB">
        <w:t xml:space="preserve"> public authorities.</w:t>
      </w:r>
    </w:p>
    <w:p w:rsidRPr="0002744D" w:rsidR="006F22BC" w:rsidP="0002744D" w:rsidRDefault="000D445F">
      <w:pPr>
        <w:pStyle w:val="ECHRPara"/>
      </w:pPr>
      <w:r w:rsidRPr="0002744D">
        <w:fldChar w:fldCharType="begin"/>
      </w:r>
      <w:r w:rsidRPr="0002744D">
        <w:instrText xml:space="preserve"> SEQ level0 \*arabic </w:instrText>
      </w:r>
      <w:r w:rsidRPr="0002744D">
        <w:fldChar w:fldCharType="separate"/>
      </w:r>
      <w:r w:rsidRPr="0002744D" w:rsidR="0002744D">
        <w:rPr>
          <w:noProof/>
        </w:rPr>
        <w:t>32</w:t>
      </w:r>
      <w:r w:rsidRPr="0002744D">
        <w:fldChar w:fldCharType="end"/>
      </w:r>
      <w:r w:rsidRPr="0002744D">
        <w:t>.  </w:t>
      </w:r>
      <w:r w:rsidRPr="0002744D" w:rsidR="00367224">
        <w:t>Under</w:t>
      </w:r>
      <w:r w:rsidRPr="0002744D">
        <w:t xml:space="preserve"> Article 226 § 8, domestic courts examine </w:t>
      </w:r>
      <w:r w:rsidRPr="0002744D" w:rsidR="00367224">
        <w:t xml:space="preserve">the </w:t>
      </w:r>
      <w:r w:rsidRPr="0002744D">
        <w:t xml:space="preserve">lawfulness of a challenged decision </w:t>
      </w:r>
      <w:r w:rsidRPr="0002744D" w:rsidR="002672E9">
        <w:t>(</w:t>
      </w:r>
      <w:r w:rsidRPr="0002744D" w:rsidR="00367224">
        <w:t xml:space="preserve">or </w:t>
      </w:r>
      <w:r w:rsidRPr="0002744D">
        <w:t>act</w:t>
      </w:r>
      <w:r w:rsidRPr="0002744D" w:rsidR="002672E9">
        <w:t>/</w:t>
      </w:r>
      <w:r w:rsidRPr="0002744D" w:rsidR="00367224">
        <w:t xml:space="preserve">failure to </w:t>
      </w:r>
      <w:r w:rsidRPr="0002744D">
        <w:t xml:space="preserve">act). Courts are not bound by arguments raised by claimants and are required to </w:t>
      </w:r>
      <w:r w:rsidRPr="0002744D" w:rsidR="00367224">
        <w:t xml:space="preserve">fully </w:t>
      </w:r>
      <w:r w:rsidRPr="0002744D">
        <w:t xml:space="preserve">examine matters listed in </w:t>
      </w:r>
      <w:r w:rsidRPr="0002744D" w:rsidR="00510048">
        <w:t xml:space="preserve">paragraphs </w:t>
      </w:r>
      <w:r w:rsidRPr="0002744D">
        <w:t xml:space="preserve">9 and 10 of the same </w:t>
      </w:r>
      <w:r w:rsidRPr="0002744D" w:rsidR="00CC1442">
        <w:t>A</w:t>
      </w:r>
      <w:r w:rsidRPr="0002744D">
        <w:t xml:space="preserve">rticle. In particular, </w:t>
      </w:r>
      <w:r w:rsidRPr="0002744D" w:rsidR="002672E9">
        <w:t xml:space="preserve">courts </w:t>
      </w:r>
      <w:r w:rsidRPr="0002744D" w:rsidR="00510048">
        <w:t>must</w:t>
      </w:r>
      <w:r w:rsidRPr="0002744D" w:rsidR="002672E9">
        <w:t xml:space="preserve"> assess whether </w:t>
      </w:r>
      <w:r w:rsidRPr="0002744D" w:rsidR="00367224">
        <w:t xml:space="preserve">the </w:t>
      </w:r>
      <w:r w:rsidRPr="0002744D" w:rsidR="002672E9">
        <w:t xml:space="preserve">rights and freedoms of a claimant were breached, whether domestic authorities acted </w:t>
      </w:r>
      <w:r w:rsidRPr="0002744D" w:rsidR="002672E9">
        <w:rPr>
          <w:i/>
        </w:rPr>
        <w:t>ultra vires</w:t>
      </w:r>
      <w:r w:rsidRPr="0002744D" w:rsidR="002672E9">
        <w:t xml:space="preserve">, </w:t>
      </w:r>
      <w:r w:rsidRPr="0002744D" w:rsidR="00367224">
        <w:t xml:space="preserve">and </w:t>
      </w:r>
      <w:r w:rsidRPr="0002744D" w:rsidR="002672E9">
        <w:t xml:space="preserve">whether </w:t>
      </w:r>
      <w:r w:rsidRPr="0002744D" w:rsidR="00367224">
        <w:t xml:space="preserve">the </w:t>
      </w:r>
      <w:r w:rsidRPr="0002744D" w:rsidR="002672E9">
        <w:t xml:space="preserve">requirements </w:t>
      </w:r>
      <w:r w:rsidRPr="0002744D" w:rsidR="00367224">
        <w:t>regarding (</w:t>
      </w:r>
      <w:proofErr w:type="spellStart"/>
      <w:r w:rsidRPr="0002744D" w:rsidR="00367224">
        <w:t>i</w:t>
      </w:r>
      <w:proofErr w:type="spellEnd"/>
      <w:r w:rsidRPr="0002744D" w:rsidR="00367224">
        <w:t xml:space="preserve">) the grounds for a contested decision (or act/failure to act) and (ii) the </w:t>
      </w:r>
      <w:r w:rsidRPr="0002744D" w:rsidR="002672E9">
        <w:t xml:space="preserve">procedure </w:t>
      </w:r>
      <w:r w:rsidRPr="0002744D" w:rsidR="00367224">
        <w:t xml:space="preserve">by </w:t>
      </w:r>
      <w:r w:rsidRPr="0002744D" w:rsidR="00510048">
        <w:t>that decision</w:t>
      </w:r>
      <w:r w:rsidRPr="0002744D" w:rsidR="00367224">
        <w:t xml:space="preserve"> was adopted </w:t>
      </w:r>
      <w:r w:rsidRPr="0002744D" w:rsidR="002672E9">
        <w:t>were observed.</w:t>
      </w:r>
    </w:p>
    <w:bookmarkStart w:name="capend" w:id="16"/>
    <w:bookmarkStart w:name="para30judicialreviewpowers" w:id="17"/>
    <w:bookmarkStart w:name="para32" w:id="18"/>
    <w:p w:rsidRPr="0002744D" w:rsidR="006F22BC" w:rsidP="0002744D" w:rsidRDefault="0079470F">
      <w:pPr>
        <w:pStyle w:val="ECHRPara"/>
      </w:pPr>
      <w:r w:rsidRPr="0002744D">
        <w:fldChar w:fldCharType="begin"/>
      </w:r>
      <w:r w:rsidRPr="0002744D">
        <w:instrText xml:space="preserve"> SEQ level0 \*arabic </w:instrText>
      </w:r>
      <w:r w:rsidRPr="0002744D">
        <w:fldChar w:fldCharType="separate"/>
      </w:r>
      <w:r w:rsidRPr="0002744D" w:rsidR="0002744D">
        <w:rPr>
          <w:noProof/>
        </w:rPr>
        <w:t>33</w:t>
      </w:r>
      <w:r w:rsidRPr="0002744D">
        <w:fldChar w:fldCharType="end"/>
      </w:r>
      <w:bookmarkEnd w:id="16"/>
      <w:bookmarkEnd w:id="17"/>
      <w:bookmarkEnd w:id="18"/>
      <w:r w:rsidRPr="0002744D" w:rsidR="006F22BC">
        <w:t>.  </w:t>
      </w:r>
      <w:r w:rsidRPr="0002744D" w:rsidR="00CC1442">
        <w:t>C</w:t>
      </w:r>
      <w:r w:rsidRPr="0002744D">
        <w:t xml:space="preserve">ourts are empowered to </w:t>
      </w:r>
      <w:r w:rsidRPr="0002744D" w:rsidR="00510048">
        <w:t xml:space="preserve">rule </w:t>
      </w:r>
      <w:r w:rsidRPr="0002744D">
        <w:t>a decision</w:t>
      </w:r>
      <w:r w:rsidRPr="0002744D" w:rsidR="00E739B8">
        <w:t xml:space="preserve"> or</w:t>
      </w:r>
      <w:r w:rsidRPr="0002744D">
        <w:t xml:space="preserve"> act (</w:t>
      </w:r>
      <w:r w:rsidRPr="0002744D" w:rsidR="00E739B8">
        <w:t xml:space="preserve">or failure to </w:t>
      </w:r>
      <w:r w:rsidRPr="0002744D">
        <w:t>act) challenged before them unlawful</w:t>
      </w:r>
      <w:r w:rsidRPr="0002744D" w:rsidR="00CC1442">
        <w:t>,</w:t>
      </w:r>
      <w:r w:rsidRPr="0002744D">
        <w:t xml:space="preserve"> </w:t>
      </w:r>
      <w:r w:rsidRPr="0002744D" w:rsidR="00CC1442">
        <w:t>in full</w:t>
      </w:r>
      <w:r w:rsidRPr="0002744D">
        <w:t xml:space="preserve"> or in part.</w:t>
      </w:r>
      <w:r w:rsidRPr="0002744D" w:rsidR="00BD7035">
        <w:t xml:space="preserve"> In such</w:t>
      </w:r>
      <w:r w:rsidRPr="0002744D" w:rsidR="00CC1442">
        <w:t xml:space="preserve"> a</w:t>
      </w:r>
      <w:r w:rsidRPr="0002744D" w:rsidR="00BD7035">
        <w:t xml:space="preserve"> case a court may, w</w:t>
      </w:r>
      <w:r w:rsidRPr="0002744D" w:rsidR="00CC1442">
        <w:t>h</w:t>
      </w:r>
      <w:r w:rsidRPr="0002744D" w:rsidR="00BD7035">
        <w:t xml:space="preserve">ere necessary, indicate steps required to be made by </w:t>
      </w:r>
      <w:r w:rsidRPr="0002744D" w:rsidR="00CC1442">
        <w:t xml:space="preserve">the </w:t>
      </w:r>
      <w:r w:rsidRPr="0002744D" w:rsidR="00BD7035">
        <w:t xml:space="preserve">relevant authorities in order to remedy </w:t>
      </w:r>
      <w:r w:rsidRPr="0002744D" w:rsidR="00CC1442">
        <w:t xml:space="preserve">a </w:t>
      </w:r>
      <w:r w:rsidRPr="0002744D" w:rsidR="00DC609B">
        <w:t xml:space="preserve">breach of </w:t>
      </w:r>
      <w:r w:rsidRPr="0002744D" w:rsidR="00CC1442">
        <w:t xml:space="preserve">the </w:t>
      </w:r>
      <w:r w:rsidRPr="0002744D" w:rsidR="00DC609B">
        <w:t>domestic law</w:t>
      </w:r>
      <w:r w:rsidRPr="0002744D" w:rsidR="00990A1B">
        <w:t xml:space="preserve"> </w:t>
      </w:r>
      <w:r w:rsidRPr="0002744D" w:rsidR="009A1C57">
        <w:t xml:space="preserve">and </w:t>
      </w:r>
      <w:r w:rsidRPr="0002744D" w:rsidR="00E739B8">
        <w:t xml:space="preserve">the </w:t>
      </w:r>
      <w:r w:rsidRPr="0002744D" w:rsidR="0028632B">
        <w:t>rights and freedoms of a</w:t>
      </w:r>
      <w:r w:rsidRPr="0002744D" w:rsidR="00727D11">
        <w:t xml:space="preserve"> claimant</w:t>
      </w:r>
      <w:r w:rsidRPr="0002744D" w:rsidR="00CC1442">
        <w:t xml:space="preserve"> (Article 227 § 2)</w:t>
      </w:r>
      <w:r w:rsidRPr="0002744D" w:rsidR="00DC609B">
        <w:t>.</w:t>
      </w:r>
    </w:p>
    <w:p w:rsidRPr="0002744D" w:rsidR="00EB3EF7" w:rsidP="0002744D" w:rsidRDefault="00EB3EF7">
      <w:pPr>
        <w:pStyle w:val="ECHRHeading2"/>
        <w:rPr>
          <w:b w:val="0"/>
        </w:rPr>
      </w:pPr>
      <w:r w:rsidRPr="0002744D">
        <w:t>E.  Decree of the Government of the Russian Federation No. 663 of 11</w:t>
      </w:r>
      <w:r w:rsidRPr="0002744D" w:rsidR="005118DB">
        <w:t> </w:t>
      </w:r>
      <w:r w:rsidRPr="0002744D">
        <w:t>November 2006</w:t>
      </w:r>
    </w:p>
    <w:bookmarkStart w:name="para33revokationstart" w:id="19"/>
    <w:p w:rsidRPr="0002744D" w:rsidR="006F22BC" w:rsidP="0002744D" w:rsidRDefault="00022CDC">
      <w:pPr>
        <w:pStyle w:val="ECHRPara"/>
      </w:pPr>
      <w:r w:rsidRPr="0002744D">
        <w:fldChar w:fldCharType="begin"/>
      </w:r>
      <w:r w:rsidRPr="0002744D">
        <w:instrText xml:space="preserve"> SEQ level0 \*arabic </w:instrText>
      </w:r>
      <w:r w:rsidRPr="0002744D">
        <w:fldChar w:fldCharType="separate"/>
      </w:r>
      <w:r w:rsidRPr="0002744D" w:rsidR="0002744D">
        <w:rPr>
          <w:noProof/>
        </w:rPr>
        <w:t>34</w:t>
      </w:r>
      <w:r w:rsidRPr="0002744D">
        <w:fldChar w:fldCharType="end"/>
      </w:r>
      <w:bookmarkEnd w:id="19"/>
      <w:r w:rsidRPr="0002744D">
        <w:t>.  </w:t>
      </w:r>
      <w:r w:rsidRPr="0002744D" w:rsidR="00F85531">
        <w:t xml:space="preserve">The Decree lays down procedural arrangements for </w:t>
      </w:r>
      <w:r w:rsidRPr="0002744D" w:rsidR="00E739B8">
        <w:t xml:space="preserve">the </w:t>
      </w:r>
      <w:r w:rsidRPr="0002744D" w:rsidR="00F85531">
        <w:t xml:space="preserve">organisation of biannual military drafts. Section 22 of the Decree provides that </w:t>
      </w:r>
      <w:r w:rsidRPr="0002744D" w:rsidR="00E739B8">
        <w:t xml:space="preserve">at </w:t>
      </w:r>
      <w:r w:rsidRPr="0002744D" w:rsidR="00F85531">
        <w:t xml:space="preserve">the end of a draft period a military recruitment commission, </w:t>
      </w:r>
      <w:r w:rsidRPr="0002744D" w:rsidR="00F85531">
        <w:rPr>
          <w:i/>
        </w:rPr>
        <w:t>inter alia</w:t>
      </w:r>
      <w:r w:rsidRPr="0002744D" w:rsidR="00F85531">
        <w:t xml:space="preserve">, </w:t>
      </w:r>
      <w:r w:rsidRPr="0002744D" w:rsidR="00E739B8">
        <w:t xml:space="preserve">must </w:t>
      </w:r>
      <w:r w:rsidRPr="0002744D" w:rsidR="00F85531">
        <w:t xml:space="preserve">cancel all </w:t>
      </w:r>
      <w:r w:rsidRPr="0002744D" w:rsidR="00E739B8">
        <w:t xml:space="preserve">those of its </w:t>
      </w:r>
      <w:r w:rsidRPr="0002744D" w:rsidR="00F85531">
        <w:t xml:space="preserve">military conscription decisions </w:t>
      </w:r>
      <w:r w:rsidRPr="0002744D" w:rsidR="00E739B8">
        <w:t xml:space="preserve">that have subsequently been </w:t>
      </w:r>
      <w:r w:rsidRPr="0002744D" w:rsidR="00F85531">
        <w:t xml:space="preserve">overturned </w:t>
      </w:r>
      <w:r w:rsidRPr="0002744D" w:rsidR="00E739B8">
        <w:t xml:space="preserve">during that period </w:t>
      </w:r>
      <w:r w:rsidRPr="0002744D" w:rsidR="00F85531">
        <w:t>by a regional military recruitment commission or a court.</w:t>
      </w:r>
    </w:p>
    <w:bookmarkStart w:name="para34revokationend" w:id="20"/>
    <w:p w:rsidRPr="0002744D" w:rsidR="006F22BC" w:rsidP="0002744D" w:rsidRDefault="00022CDC">
      <w:pPr>
        <w:pStyle w:val="ECHRPara"/>
      </w:pPr>
      <w:r w:rsidRPr="0002744D">
        <w:fldChar w:fldCharType="begin"/>
      </w:r>
      <w:r w:rsidRPr="0002744D">
        <w:instrText xml:space="preserve"> SEQ level0 \*arabic </w:instrText>
      </w:r>
      <w:r w:rsidRPr="0002744D">
        <w:fldChar w:fldCharType="separate"/>
      </w:r>
      <w:r w:rsidRPr="0002744D" w:rsidR="0002744D">
        <w:rPr>
          <w:noProof/>
        </w:rPr>
        <w:t>35</w:t>
      </w:r>
      <w:r w:rsidRPr="0002744D">
        <w:fldChar w:fldCharType="end"/>
      </w:r>
      <w:bookmarkEnd w:id="20"/>
      <w:r w:rsidRPr="0002744D">
        <w:t>.  The Decree is further</w:t>
      </w:r>
      <w:r w:rsidRPr="0002744D" w:rsidR="00E739B8">
        <w:t>more</w:t>
      </w:r>
      <w:r w:rsidRPr="0002744D">
        <w:t xml:space="preserve"> complemented by Order of the Minister of Defence no. 400 of 2 October 2007</w:t>
      </w:r>
      <w:r w:rsidRPr="0002744D" w:rsidR="00E739B8">
        <w:t>,</w:t>
      </w:r>
      <w:r w:rsidRPr="0002744D">
        <w:t xml:space="preserve"> which specified </w:t>
      </w:r>
      <w:r w:rsidRPr="0002744D" w:rsidR="00E739B8">
        <w:t xml:space="preserve">the </w:t>
      </w:r>
      <w:r w:rsidRPr="0002744D">
        <w:t>procedure</w:t>
      </w:r>
      <w:r w:rsidRPr="0002744D" w:rsidR="00E739B8">
        <w:t xml:space="preserve"> to be followed in respect of</w:t>
      </w:r>
      <w:r w:rsidRPr="0002744D">
        <w:t xml:space="preserve"> its implementation. Section 7 of </w:t>
      </w:r>
      <w:r w:rsidRPr="0002744D" w:rsidR="00143848">
        <w:t xml:space="preserve">annex </w:t>
      </w:r>
      <w:r w:rsidRPr="0002744D">
        <w:t>no. 33 to the Order provides that upon the end of a draft period all unimplemented military conscription decisions are to be revoked by a regional military recruitment commission.</w:t>
      </w:r>
    </w:p>
    <w:p w:rsidRPr="0002744D" w:rsidR="007A4ACD" w:rsidP="0002744D" w:rsidRDefault="00CF37F0">
      <w:pPr>
        <w:pStyle w:val="ECHRHeading2"/>
      </w:pPr>
      <w:r w:rsidRPr="0002744D">
        <w:t>F</w:t>
      </w:r>
      <w:r w:rsidRPr="0002744D" w:rsidR="007A4ACD">
        <w:t>.  Ruling of the Constitutional Court no. 447-O of 17 October 2006</w:t>
      </w:r>
    </w:p>
    <w:bookmarkStart w:name="para31constitionalcourt" w:id="21"/>
    <w:p w:rsidRPr="0002744D" w:rsidR="007A4ACD" w:rsidP="0002744D" w:rsidRDefault="007A4ACD">
      <w:pPr>
        <w:pStyle w:val="ECHRPara"/>
      </w:pPr>
      <w:r w:rsidRPr="0002744D">
        <w:fldChar w:fldCharType="begin"/>
      </w:r>
      <w:r w:rsidRPr="0002744D">
        <w:instrText xml:space="preserve"> SEQ level0 \*arabic </w:instrText>
      </w:r>
      <w:r w:rsidRPr="0002744D">
        <w:fldChar w:fldCharType="separate"/>
      </w:r>
      <w:r w:rsidRPr="0002744D" w:rsidR="0002744D">
        <w:rPr>
          <w:noProof/>
        </w:rPr>
        <w:t>36</w:t>
      </w:r>
      <w:r w:rsidRPr="0002744D">
        <w:fldChar w:fldCharType="end"/>
      </w:r>
      <w:bookmarkEnd w:id="21"/>
      <w:r w:rsidRPr="0002744D">
        <w:t xml:space="preserve">.  Examining </w:t>
      </w:r>
      <w:r w:rsidRPr="0002744D" w:rsidR="000F7BF9">
        <w:t xml:space="preserve">the </w:t>
      </w:r>
      <w:r w:rsidRPr="0002744D">
        <w:t xml:space="preserve">compatibility of </w:t>
      </w:r>
      <w:r w:rsidRPr="0002744D" w:rsidR="000F7BF9">
        <w:t>s</w:t>
      </w:r>
      <w:r w:rsidRPr="0002744D">
        <w:t>ection 11 of the Civilian Service Act with the Constitution, the Constitutional Court ruled as follows:</w:t>
      </w:r>
    </w:p>
    <w:p w:rsidRPr="0002744D" w:rsidR="007A4ACD" w:rsidP="0002744D" w:rsidRDefault="007A4ACD">
      <w:pPr>
        <w:pStyle w:val="ECHRParaQuote"/>
      </w:pPr>
      <w:r w:rsidRPr="0002744D">
        <w:t>“</w:t>
      </w:r>
      <w:r w:rsidRPr="0002744D" w:rsidR="00BD411E">
        <w:t>[It</w:t>
      </w:r>
      <w:r w:rsidRPr="0002744D" w:rsidR="00B26AD2">
        <w:t>]</w:t>
      </w:r>
      <w:r w:rsidRPr="0002744D" w:rsidR="00BD411E">
        <w:t xml:space="preserve"> </w:t>
      </w:r>
      <w:r w:rsidRPr="0002744D">
        <w:t xml:space="preserve">is not possible to limit </w:t>
      </w:r>
      <w:r w:rsidRPr="0002744D" w:rsidR="000F7BF9">
        <w:t xml:space="preserve">by </w:t>
      </w:r>
      <w:r w:rsidRPr="0002744D" w:rsidR="00BD411E">
        <w:t xml:space="preserve">means of </w:t>
      </w:r>
      <w:r w:rsidRPr="0002744D" w:rsidR="000F7BF9">
        <w:t xml:space="preserve">procedural rules an </w:t>
      </w:r>
      <w:r w:rsidRPr="0002744D">
        <w:t>individual</w:t>
      </w:r>
      <w:r w:rsidRPr="0002744D" w:rsidR="0002744D">
        <w:t>’</w:t>
      </w:r>
      <w:r w:rsidRPr="0002744D" w:rsidR="000F7BF9">
        <w:t>s</w:t>
      </w:r>
      <w:r w:rsidRPr="0002744D">
        <w:t xml:space="preserve"> freedom of conscience and religion and, accordingly, </w:t>
      </w:r>
      <w:r w:rsidRPr="0002744D" w:rsidR="000F7BF9">
        <w:t xml:space="preserve">his </w:t>
      </w:r>
      <w:r w:rsidRPr="0002744D">
        <w:t xml:space="preserve">right </w:t>
      </w:r>
      <w:r w:rsidRPr="0002744D" w:rsidR="00BD411E">
        <w:t xml:space="preserve">[to be assigned </w:t>
      </w:r>
      <w:r w:rsidRPr="0002744D" w:rsidR="000F7BF9">
        <w:t>to</w:t>
      </w:r>
      <w:r w:rsidRPr="0002744D" w:rsidR="00BD411E">
        <w:t xml:space="preserve">] </w:t>
      </w:r>
      <w:r w:rsidRPr="0002744D">
        <w:t xml:space="preserve">alternative </w:t>
      </w:r>
      <w:r w:rsidRPr="0002744D" w:rsidR="001C25EB">
        <w:t>civilian service ...</w:t>
      </w:r>
      <w:r w:rsidRPr="0002744D">
        <w:t xml:space="preserve">. Therefore, </w:t>
      </w:r>
      <w:r w:rsidRPr="0002744D" w:rsidR="000F7BF9">
        <w:t>s</w:t>
      </w:r>
      <w:r w:rsidRPr="0002744D">
        <w:t xml:space="preserve">ection </w:t>
      </w:r>
      <w:r w:rsidRPr="0002744D" w:rsidR="001C25EB">
        <w:t>11 of the Civilian Service Act ...</w:t>
      </w:r>
      <w:r w:rsidRPr="0002744D">
        <w:t xml:space="preserve"> cannot be interpreted as </w:t>
      </w:r>
      <w:r w:rsidRPr="0002744D" w:rsidR="000F7BF9">
        <w:t>laying down</w:t>
      </w:r>
      <w:r w:rsidRPr="0002744D">
        <w:t xml:space="preserve"> time</w:t>
      </w:r>
      <w:r w:rsidRPr="0002744D" w:rsidR="000F7BF9">
        <w:t>-</w:t>
      </w:r>
      <w:r w:rsidRPr="0002744D" w:rsidR="001C25EB">
        <w:t>limits ...</w:t>
      </w:r>
      <w:r w:rsidRPr="0002744D">
        <w:t xml:space="preserve"> that </w:t>
      </w:r>
      <w:r w:rsidRPr="0002744D" w:rsidR="00BD411E">
        <w:t>cann</w:t>
      </w:r>
      <w:r w:rsidRPr="0002744D">
        <w:t>ot be renewed for good reasons.”</w:t>
      </w:r>
    </w:p>
    <w:p w:rsidRPr="0002744D" w:rsidR="007A4ACD" w:rsidP="0002744D" w:rsidRDefault="007A4ACD">
      <w:pPr>
        <w:pStyle w:val="ECHRHeading1"/>
      </w:pPr>
      <w:r w:rsidRPr="0002744D">
        <w:t>III.</w:t>
      </w:r>
      <w:proofErr w:type="gramStart"/>
      <w:r w:rsidRPr="0002744D">
        <w:t>  RELEVANT</w:t>
      </w:r>
      <w:proofErr w:type="gramEnd"/>
      <w:r w:rsidRPr="0002744D">
        <w:t xml:space="preserve"> INTERNATIONAL DOCUMENT</w:t>
      </w:r>
    </w:p>
    <w:bookmarkStart w:name="COMrecommendation" w:id="22"/>
    <w:p w:rsidRPr="0002744D" w:rsidR="007A4ACD" w:rsidP="0002744D" w:rsidRDefault="00C73030">
      <w:pPr>
        <w:pStyle w:val="ECHRPara"/>
      </w:pPr>
      <w:r w:rsidRPr="0002744D">
        <w:fldChar w:fldCharType="begin"/>
      </w:r>
      <w:r w:rsidRPr="0002744D">
        <w:instrText xml:space="preserve"> SEQ level0 \*arabic </w:instrText>
      </w:r>
      <w:r w:rsidRPr="0002744D">
        <w:fldChar w:fldCharType="separate"/>
      </w:r>
      <w:r w:rsidRPr="0002744D" w:rsidR="0002744D">
        <w:rPr>
          <w:noProof/>
        </w:rPr>
        <w:t>37</w:t>
      </w:r>
      <w:r w:rsidRPr="0002744D">
        <w:rPr>
          <w:noProof/>
        </w:rPr>
        <w:fldChar w:fldCharType="end"/>
      </w:r>
      <w:bookmarkEnd w:id="22"/>
      <w:r w:rsidRPr="0002744D" w:rsidR="001A2B9B">
        <w:t>.  </w:t>
      </w:r>
      <w:r w:rsidRPr="0002744D" w:rsidR="007A4ACD">
        <w:t xml:space="preserve">On 9 April 1987 the Committee of Ministers adopted Recommendation </w:t>
      </w:r>
      <w:r w:rsidRPr="0002744D" w:rsidR="002B7ECD">
        <w:t>No. R (87) 8 to Member States Regarding Conscientious Objection to Compulsory Military Service</w:t>
      </w:r>
      <w:r w:rsidRPr="0002744D" w:rsidR="00F963E6">
        <w:t>,</w:t>
      </w:r>
      <w:r w:rsidRPr="0002744D" w:rsidR="007A4ACD">
        <w:rPr>
          <w:i/>
          <w:iCs/>
        </w:rPr>
        <w:t xml:space="preserve"> </w:t>
      </w:r>
      <w:r w:rsidRPr="0002744D" w:rsidR="007A4ACD">
        <w:rPr>
          <w:iCs/>
        </w:rPr>
        <w:t xml:space="preserve">which laid down, </w:t>
      </w:r>
      <w:r w:rsidRPr="0002744D" w:rsidR="007A4ACD">
        <w:rPr>
          <w:i/>
          <w:iCs/>
        </w:rPr>
        <w:t>inter alia</w:t>
      </w:r>
      <w:r w:rsidRPr="0002744D" w:rsidR="007A4ACD">
        <w:rPr>
          <w:iCs/>
        </w:rPr>
        <w:t>, the following basic principles:</w:t>
      </w:r>
    </w:p>
    <w:p w:rsidRPr="0002744D" w:rsidR="007A4ACD" w:rsidP="0002744D" w:rsidRDefault="007A4ACD">
      <w:pPr>
        <w:pStyle w:val="ECHRParaQuote"/>
      </w:pPr>
      <w:r w:rsidRPr="0002744D">
        <w:t>“A.</w:t>
      </w:r>
      <w:proofErr w:type="gramStart"/>
      <w:r w:rsidRPr="0002744D">
        <w:t>  Basic</w:t>
      </w:r>
      <w:proofErr w:type="gramEnd"/>
      <w:r w:rsidRPr="0002744D">
        <w:t xml:space="preserve"> principle</w:t>
      </w:r>
    </w:p>
    <w:p w:rsidRPr="0002744D" w:rsidR="007A4ACD" w:rsidP="0002744D" w:rsidRDefault="007A4ACD">
      <w:pPr>
        <w:pStyle w:val="ECHRParaQuote"/>
      </w:pPr>
      <w:r w:rsidRPr="0002744D">
        <w:t xml:space="preserve">1.  Anyone liable to conscription for military service </w:t>
      </w:r>
      <w:proofErr w:type="gramStart"/>
      <w:r w:rsidRPr="0002744D">
        <w:t>who</w:t>
      </w:r>
      <w:proofErr w:type="gramEnd"/>
      <w:r w:rsidRPr="0002744D">
        <w:t xml:space="preserve">, for compelling reasons of conscience, refuses to be involved in the use of arms, shall have the right to be released from the obligation to perform such service, </w:t>
      </w:r>
      <w:r w:rsidRPr="0002744D" w:rsidR="00F963E6">
        <w:t xml:space="preserve">under </w:t>
      </w:r>
      <w:r w:rsidRPr="0002744D">
        <w:t>the conditions set out hereafter. Such persons may be liable to perform alternative service;</w:t>
      </w:r>
    </w:p>
    <w:p w:rsidRPr="0002744D" w:rsidR="007A4ACD" w:rsidP="0002744D" w:rsidRDefault="007A4ACD">
      <w:pPr>
        <w:pStyle w:val="ECHRParaQuote"/>
      </w:pPr>
      <w:r w:rsidRPr="0002744D">
        <w:t>B.  Procedure</w:t>
      </w:r>
    </w:p>
    <w:p w:rsidRPr="0002744D" w:rsidR="007A4ACD" w:rsidP="0002744D" w:rsidRDefault="007A4ACD">
      <w:pPr>
        <w:pStyle w:val="ECHRParaQuote"/>
      </w:pPr>
      <w:r w:rsidRPr="0002744D">
        <w:t>2</w:t>
      </w:r>
      <w:r w:rsidRPr="0002744D" w:rsidR="006F22BC">
        <w:t>.  </w:t>
      </w:r>
      <w:r w:rsidRPr="0002744D">
        <w:t xml:space="preserve">States may lay down a suitable procedure for the examination of applications for conscientious objector status or accept a declaration </w:t>
      </w:r>
      <w:r w:rsidRPr="0002744D" w:rsidR="004B264C">
        <w:t xml:space="preserve">by the person concerned </w:t>
      </w:r>
      <w:r w:rsidRPr="0002744D">
        <w:t xml:space="preserve">giving </w:t>
      </w:r>
      <w:r w:rsidRPr="0002744D" w:rsidR="004B264C">
        <w:t xml:space="preserve">his </w:t>
      </w:r>
      <w:r w:rsidRPr="0002744D">
        <w:t>reasons;</w:t>
      </w:r>
    </w:p>
    <w:p w:rsidRPr="0002744D" w:rsidR="007A4ACD" w:rsidP="0002744D" w:rsidRDefault="007A4ACD">
      <w:pPr>
        <w:pStyle w:val="ECHRParaQuote"/>
      </w:pPr>
      <w:r w:rsidRPr="0002744D">
        <w:t xml:space="preserve">3.  With a view to the effective application of the principles and rules of this recommendation, persons liable to conscription shall be informed in advance of their rights. For this purpose, the state shall provide them with all relevant information directly or allow </w:t>
      </w:r>
      <w:r w:rsidRPr="0002744D" w:rsidR="004B264C">
        <w:t xml:space="preserve">the </w:t>
      </w:r>
      <w:r w:rsidRPr="0002744D">
        <w:t>private organisations concerned to furnish that information;</w:t>
      </w:r>
    </w:p>
    <w:p w:rsidRPr="0002744D" w:rsidR="006F22BC" w:rsidP="0002744D" w:rsidRDefault="007A4ACD">
      <w:pPr>
        <w:pStyle w:val="ECHRParaQuote"/>
      </w:pPr>
      <w:r w:rsidRPr="0002744D">
        <w:t xml:space="preserve">4.  Applications for conscientious objector status shall be made in ways and within time-limits to be determined having due regard to the requirement that the procedure for the examination of an application should, as a rule, be completed before the individual concerned is actually </w:t>
      </w:r>
      <w:r w:rsidRPr="0002744D" w:rsidR="008F1E3B">
        <w:t xml:space="preserve">conscripted </w:t>
      </w:r>
      <w:r w:rsidRPr="0002744D">
        <w:t>in</w:t>
      </w:r>
      <w:r w:rsidRPr="0002744D" w:rsidR="008F1E3B">
        <w:t>to</w:t>
      </w:r>
      <w:r w:rsidRPr="0002744D">
        <w:t xml:space="preserve"> the </w:t>
      </w:r>
      <w:r w:rsidRPr="0002744D" w:rsidR="004B264C">
        <w:t xml:space="preserve">armed </w:t>
      </w:r>
      <w:r w:rsidRPr="0002744D">
        <w:t>forces;</w:t>
      </w:r>
    </w:p>
    <w:p w:rsidRPr="0002744D" w:rsidR="007A4ACD" w:rsidP="0002744D" w:rsidRDefault="007A4ACD">
      <w:pPr>
        <w:pStyle w:val="ECHRParaQuote"/>
      </w:pPr>
      <w:r w:rsidRPr="0002744D">
        <w:t>5.  The examination of applications shall include all the necessary guarantees for a fair procedure;</w:t>
      </w:r>
    </w:p>
    <w:p w:rsidRPr="0002744D" w:rsidR="007A4ACD" w:rsidP="0002744D" w:rsidRDefault="007A4ACD">
      <w:pPr>
        <w:pStyle w:val="ECHRParaQuote"/>
      </w:pPr>
      <w:r w:rsidRPr="0002744D">
        <w:t>6.  An applicant shall have the right to appeal against the decision at first instance;</w:t>
      </w:r>
    </w:p>
    <w:p w:rsidRPr="0002744D" w:rsidR="007A4ACD" w:rsidP="0002744D" w:rsidRDefault="007A4ACD">
      <w:pPr>
        <w:pStyle w:val="ECHRParaQuote"/>
      </w:pPr>
      <w:r w:rsidRPr="0002744D">
        <w:t>7.</w:t>
      </w:r>
      <w:proofErr w:type="gramStart"/>
      <w:r w:rsidRPr="0002744D">
        <w:t>  The</w:t>
      </w:r>
      <w:proofErr w:type="gramEnd"/>
      <w:r w:rsidRPr="0002744D">
        <w:t xml:space="preserve"> appeal authority shall be separate from the military administration and composed </w:t>
      </w:r>
      <w:r w:rsidRPr="0002744D" w:rsidR="004B264C">
        <w:t xml:space="preserve">in such a manner </w:t>
      </w:r>
      <w:r w:rsidRPr="0002744D">
        <w:t>as to ensure its independence.”</w:t>
      </w:r>
    </w:p>
    <w:p w:rsidRPr="0002744D" w:rsidR="00DA4349" w:rsidP="0002744D" w:rsidRDefault="009E2683">
      <w:pPr>
        <w:pStyle w:val="ECHRTitle1"/>
      </w:pPr>
      <w:r w:rsidRPr="0002744D">
        <w:t>THE LAW</w:t>
      </w:r>
    </w:p>
    <w:p w:rsidRPr="0002744D" w:rsidR="00DA4349" w:rsidP="0002744D" w:rsidRDefault="009E2683">
      <w:pPr>
        <w:pStyle w:val="ECHRHeading1"/>
      </w:pPr>
      <w:r w:rsidRPr="0002744D">
        <w:t xml:space="preserve">I.  ALLEGED VIOLATION OF ARTICLE </w:t>
      </w:r>
      <w:r w:rsidRPr="0002744D" w:rsidR="006E178E">
        <w:t>9</w:t>
      </w:r>
      <w:r w:rsidRPr="0002744D">
        <w:t xml:space="preserve"> OF THE CONVENTION</w:t>
      </w:r>
    </w:p>
    <w:p w:rsidRPr="0002744D" w:rsidR="00497CD3" w:rsidP="0002744D" w:rsidRDefault="002F5075">
      <w:pPr>
        <w:pStyle w:val="ECHRPara"/>
      </w:pPr>
      <w:r w:rsidRPr="0002744D">
        <w:fldChar w:fldCharType="begin"/>
      </w:r>
      <w:r w:rsidRPr="0002744D">
        <w:instrText xml:space="preserve"> SEQ level0 \*arabic </w:instrText>
      </w:r>
      <w:r w:rsidRPr="0002744D">
        <w:fldChar w:fldCharType="separate"/>
      </w:r>
      <w:r w:rsidRPr="0002744D" w:rsidR="0002744D">
        <w:rPr>
          <w:noProof/>
        </w:rPr>
        <w:t>38</w:t>
      </w:r>
      <w:r w:rsidRPr="0002744D">
        <w:fldChar w:fldCharType="end"/>
      </w:r>
      <w:r w:rsidRPr="0002744D" w:rsidR="009E2683">
        <w:t xml:space="preserve">.  The applicant complained </w:t>
      </w:r>
      <w:r w:rsidRPr="0002744D" w:rsidR="00497CD3">
        <w:t xml:space="preserve">under Article 9 of the Convention </w:t>
      </w:r>
      <w:r w:rsidRPr="0002744D" w:rsidR="009E2683">
        <w:t xml:space="preserve">that </w:t>
      </w:r>
      <w:r w:rsidRPr="0002744D" w:rsidR="00497CD3">
        <w:t xml:space="preserve">his </w:t>
      </w:r>
      <w:r w:rsidRPr="0002744D" w:rsidR="00E63AD6">
        <w:t xml:space="preserve">application </w:t>
      </w:r>
      <w:r w:rsidRPr="0002744D" w:rsidR="00497CD3">
        <w:t xml:space="preserve">for the replacement of </w:t>
      </w:r>
      <w:r w:rsidRPr="0002744D" w:rsidR="00836DF7">
        <w:t xml:space="preserve">his </w:t>
      </w:r>
      <w:r w:rsidRPr="0002744D" w:rsidR="00497CD3">
        <w:t xml:space="preserve">compulsory military service with its civilian alternative had been </w:t>
      </w:r>
      <w:r w:rsidRPr="0002744D" w:rsidR="00511B8B">
        <w:t xml:space="preserve">arbitrarily </w:t>
      </w:r>
      <w:r w:rsidRPr="0002744D" w:rsidR="00E63AD6">
        <w:t>dismissed</w:t>
      </w:r>
      <w:r w:rsidRPr="0002744D" w:rsidR="00497CD3">
        <w:t>.</w:t>
      </w:r>
    </w:p>
    <w:p w:rsidRPr="0002744D" w:rsidR="00497CD3" w:rsidP="0002744D" w:rsidRDefault="00497CD3">
      <w:pPr>
        <w:pStyle w:val="ECHRPara"/>
      </w:pPr>
      <w:r w:rsidRPr="0002744D">
        <w:fldChar w:fldCharType="begin"/>
      </w:r>
      <w:r w:rsidRPr="0002744D">
        <w:instrText xml:space="preserve"> SEQ level0 \*arabic </w:instrText>
      </w:r>
      <w:r w:rsidRPr="0002744D">
        <w:fldChar w:fldCharType="separate"/>
      </w:r>
      <w:r w:rsidRPr="0002744D" w:rsidR="0002744D">
        <w:rPr>
          <w:noProof/>
        </w:rPr>
        <w:t>39</w:t>
      </w:r>
      <w:r w:rsidRPr="0002744D">
        <w:fldChar w:fldCharType="end"/>
      </w:r>
      <w:r w:rsidRPr="0002744D">
        <w:t>.  Article 9 of the Convention reads as follows:</w:t>
      </w:r>
    </w:p>
    <w:p w:rsidRPr="0002744D" w:rsidR="00497CD3" w:rsidP="0002744D" w:rsidRDefault="00497CD3">
      <w:pPr>
        <w:pStyle w:val="ECHRParaQuote"/>
      </w:pPr>
      <w:r w:rsidRPr="0002744D">
        <w:t>“1.</w:t>
      </w:r>
      <w:proofErr w:type="gramStart"/>
      <w:r w:rsidRPr="0002744D">
        <w:t>  Everyone</w:t>
      </w:r>
      <w:proofErr w:type="gramEnd"/>
      <w:r w:rsidRPr="0002744D">
        <w:t xml:space="preserve"> has the right to freedom of thought, conscience and religion; this right includes freedom to change his religion or belief and freedom, either alone or in community with others and in public or private, to manifest his religion or belief, in worship, teaching, practice and observance.</w:t>
      </w:r>
    </w:p>
    <w:p w:rsidRPr="0002744D" w:rsidR="00497CD3" w:rsidP="0002744D" w:rsidRDefault="00497CD3">
      <w:pPr>
        <w:pStyle w:val="ECHRParaQuote"/>
      </w:pPr>
      <w:r w:rsidRPr="0002744D">
        <w:t>2.</w:t>
      </w:r>
      <w:proofErr w:type="gramStart"/>
      <w:r w:rsidRPr="0002744D">
        <w:t>  Freedom</w:t>
      </w:r>
      <w:proofErr w:type="gramEnd"/>
      <w:r w:rsidRPr="0002744D">
        <w:t xml:space="preserve"> to manifest one</w:t>
      </w:r>
      <w:r w:rsidRPr="0002744D" w:rsidR="0002744D">
        <w:t>’</w:t>
      </w:r>
      <w:r w:rsidRPr="0002744D">
        <w:t>s religion or beliefs shall be subject only to such limitations as are prescribed by law and are necessary in a democratic society in the interests of public safety, for the protection of public order, health or morals, or for the protection of the rights and freedoms of others.”</w:t>
      </w:r>
    </w:p>
    <w:p w:rsidRPr="0002744D" w:rsidR="00DA4349" w:rsidP="0002744D" w:rsidRDefault="00497CD3">
      <w:pPr>
        <w:pStyle w:val="ECHRHeading2"/>
      </w:pPr>
      <w:r w:rsidRPr="0002744D">
        <w:t>A.  </w:t>
      </w:r>
      <w:r w:rsidRPr="0002744D" w:rsidR="00CC1442">
        <w:t>S</w:t>
      </w:r>
      <w:r w:rsidRPr="0002744D">
        <w:t>ubmissions</w:t>
      </w:r>
      <w:r w:rsidRPr="0002744D" w:rsidR="00CC1442">
        <w:t xml:space="preserve"> by the parties</w:t>
      </w:r>
    </w:p>
    <w:p w:rsidRPr="0002744D" w:rsidR="00497CD3" w:rsidP="0002744D" w:rsidRDefault="00497CD3">
      <w:pPr>
        <w:pStyle w:val="ECHRHeading3"/>
        <w:rPr>
          <w:b/>
          <w:i w:val="0"/>
          <w:szCs w:val="26"/>
        </w:rPr>
      </w:pPr>
      <w:r w:rsidRPr="0002744D">
        <w:t>1.  The applicant</w:t>
      </w:r>
    </w:p>
    <w:p w:rsidRPr="0002744D" w:rsidR="00554B92" w:rsidP="0002744D" w:rsidRDefault="00AF3E16">
      <w:pPr>
        <w:pStyle w:val="ECHRPara"/>
      </w:pPr>
      <w:r w:rsidRPr="0002744D">
        <w:rPr>
          <w:noProof/>
        </w:rPr>
        <w:fldChar w:fldCharType="begin"/>
      </w:r>
      <w:r w:rsidRPr="0002744D">
        <w:rPr>
          <w:noProof/>
        </w:rPr>
        <w:instrText xml:space="preserve"> SEQ level0 \*arabic </w:instrText>
      </w:r>
      <w:r w:rsidRPr="0002744D">
        <w:rPr>
          <w:noProof/>
        </w:rPr>
        <w:fldChar w:fldCharType="separate"/>
      </w:r>
      <w:r w:rsidRPr="0002744D" w:rsidR="0002744D">
        <w:rPr>
          <w:noProof/>
        </w:rPr>
        <w:t>40</w:t>
      </w:r>
      <w:r w:rsidRPr="0002744D">
        <w:rPr>
          <w:noProof/>
        </w:rPr>
        <w:fldChar w:fldCharType="end"/>
      </w:r>
      <w:r w:rsidRPr="0002744D" w:rsidR="00834A9E">
        <w:t>.  </w:t>
      </w:r>
      <w:r w:rsidRPr="0002744D" w:rsidR="00B87D3E">
        <w:t xml:space="preserve">The applicant </w:t>
      </w:r>
      <w:r w:rsidRPr="0002744D" w:rsidR="000111F1">
        <w:t>submitted</w:t>
      </w:r>
      <w:r w:rsidRPr="0002744D" w:rsidR="00B87D3E">
        <w:t xml:space="preserve"> that </w:t>
      </w:r>
      <w:r w:rsidRPr="0002744D" w:rsidR="00CC1442">
        <w:t xml:space="preserve">the </w:t>
      </w:r>
      <w:r w:rsidRPr="0002744D" w:rsidR="00B87D3E">
        <w:t>d</w:t>
      </w:r>
      <w:r w:rsidRPr="0002744D" w:rsidR="00554B92">
        <w:t xml:space="preserve">enial of </w:t>
      </w:r>
      <w:r w:rsidRPr="0002744D" w:rsidR="00836DF7">
        <w:t xml:space="preserve">permission for him to </w:t>
      </w:r>
      <w:r w:rsidRPr="0002744D" w:rsidR="00D26E33">
        <w:t>perform</w:t>
      </w:r>
      <w:r w:rsidRPr="0002744D" w:rsidR="00836DF7">
        <w:t xml:space="preserve"> </w:t>
      </w:r>
      <w:r w:rsidRPr="0002744D" w:rsidR="00554B92">
        <w:t xml:space="preserve">alternative </w:t>
      </w:r>
      <w:r w:rsidRPr="0002744D" w:rsidR="005D5739">
        <w:t xml:space="preserve">civilian </w:t>
      </w:r>
      <w:r w:rsidRPr="0002744D" w:rsidR="00554B92">
        <w:t xml:space="preserve">service </w:t>
      </w:r>
      <w:r w:rsidRPr="0002744D" w:rsidR="00836DF7">
        <w:t xml:space="preserve">had </w:t>
      </w:r>
      <w:r w:rsidRPr="0002744D" w:rsidR="00822426">
        <w:t>interfered with his right under Article 9 of the Convention.</w:t>
      </w:r>
      <w:r w:rsidRPr="0002744D" w:rsidR="003D7560">
        <w:t xml:space="preserve"> </w:t>
      </w:r>
      <w:r w:rsidRPr="0002744D" w:rsidR="00834A9E">
        <w:t xml:space="preserve">He </w:t>
      </w:r>
      <w:r w:rsidRPr="0002744D" w:rsidR="00836DF7">
        <w:t xml:space="preserve">argued </w:t>
      </w:r>
      <w:r w:rsidRPr="0002744D" w:rsidR="00834A9E">
        <w:t xml:space="preserve">that the interference </w:t>
      </w:r>
      <w:r w:rsidRPr="0002744D" w:rsidR="00836DF7">
        <w:t xml:space="preserve">had </w:t>
      </w:r>
      <w:r w:rsidRPr="0002744D" w:rsidR="00834A9E">
        <w:t xml:space="preserve">not </w:t>
      </w:r>
      <w:r w:rsidRPr="0002744D" w:rsidR="00836DF7">
        <w:t xml:space="preserve">been </w:t>
      </w:r>
      <w:r w:rsidRPr="0002744D" w:rsidR="00834A9E">
        <w:t xml:space="preserve">prescribed by law and </w:t>
      </w:r>
      <w:r w:rsidRPr="0002744D" w:rsidR="00836DF7">
        <w:t xml:space="preserve">had </w:t>
      </w:r>
      <w:r w:rsidRPr="0002744D" w:rsidR="00554B92">
        <w:t xml:space="preserve">not </w:t>
      </w:r>
      <w:r w:rsidRPr="0002744D" w:rsidR="00836DF7">
        <w:t xml:space="preserve">been </w:t>
      </w:r>
      <w:r w:rsidRPr="0002744D" w:rsidR="00554B92">
        <w:t xml:space="preserve">necessary in </w:t>
      </w:r>
      <w:r w:rsidRPr="0002744D" w:rsidR="00836DF7">
        <w:t xml:space="preserve">a </w:t>
      </w:r>
      <w:r w:rsidRPr="0002744D" w:rsidR="00554B92">
        <w:t xml:space="preserve">democratic society because there </w:t>
      </w:r>
      <w:r w:rsidRPr="0002744D" w:rsidR="00C0275D">
        <w:t>had been</w:t>
      </w:r>
      <w:r w:rsidRPr="0002744D" w:rsidR="00554B92">
        <w:t xml:space="preserve"> no independent </w:t>
      </w:r>
      <w:r w:rsidRPr="0002744D" w:rsidR="00B429DC">
        <w:t xml:space="preserve">mechanism </w:t>
      </w:r>
      <w:r w:rsidRPr="0002744D" w:rsidR="00834A9E">
        <w:t xml:space="preserve">in Russia </w:t>
      </w:r>
      <w:r w:rsidRPr="0002744D" w:rsidR="00B429DC">
        <w:t xml:space="preserve">for the examination of </w:t>
      </w:r>
      <w:r w:rsidRPr="0002744D" w:rsidR="00E63AD6">
        <w:rPr>
          <w:color w:val="222222"/>
          <w:lang w:val="en"/>
        </w:rPr>
        <w:t xml:space="preserve">applications </w:t>
      </w:r>
      <w:r w:rsidRPr="0002744D" w:rsidR="00B429DC">
        <w:t xml:space="preserve">for the replacement of compulsory military service </w:t>
      </w:r>
      <w:r w:rsidRPr="0002744D" w:rsidR="00836DF7">
        <w:t xml:space="preserve">by </w:t>
      </w:r>
      <w:r w:rsidRPr="0002744D" w:rsidR="00B429DC">
        <w:t>its civilian alternative</w:t>
      </w:r>
      <w:r w:rsidRPr="0002744D" w:rsidR="00834A9E">
        <w:t xml:space="preserve"> and</w:t>
      </w:r>
      <w:r w:rsidRPr="0002744D" w:rsidR="00D26E33">
        <w:t xml:space="preserve"> that</w:t>
      </w:r>
      <w:r w:rsidRPr="0002744D" w:rsidR="00834A9E">
        <w:t>, in any event,</w:t>
      </w:r>
      <w:r w:rsidRPr="0002744D" w:rsidR="00B04367">
        <w:t xml:space="preserve"> the applicant</w:t>
      </w:r>
      <w:r w:rsidRPr="0002744D" w:rsidR="0002744D">
        <w:t>’</w:t>
      </w:r>
      <w:r w:rsidRPr="0002744D" w:rsidR="00B04367">
        <w:t xml:space="preserve">s </w:t>
      </w:r>
      <w:r w:rsidRPr="0002744D" w:rsidR="00CC4E4F">
        <w:t xml:space="preserve">application </w:t>
      </w:r>
      <w:r w:rsidRPr="0002744D" w:rsidR="00836DF7">
        <w:t xml:space="preserve">to be </w:t>
      </w:r>
      <w:r w:rsidRPr="0002744D" w:rsidR="00CC4E4F">
        <w:t>assigned</w:t>
      </w:r>
      <w:r w:rsidRPr="0002744D" w:rsidR="00836DF7">
        <w:t xml:space="preserve"> to </w:t>
      </w:r>
      <w:r w:rsidRPr="0002744D" w:rsidR="00B04367">
        <w:t xml:space="preserve">alternative </w:t>
      </w:r>
      <w:r w:rsidRPr="0002744D" w:rsidR="00836DF7">
        <w:t xml:space="preserve">civilian </w:t>
      </w:r>
      <w:r w:rsidRPr="0002744D" w:rsidR="00B04367">
        <w:t xml:space="preserve">service </w:t>
      </w:r>
      <w:r w:rsidRPr="0002744D" w:rsidR="00C0275D">
        <w:t>had not been</w:t>
      </w:r>
      <w:r w:rsidRPr="0002744D" w:rsidR="00B04367">
        <w:t xml:space="preserve"> treated in </w:t>
      </w:r>
      <w:r w:rsidRPr="0002744D" w:rsidR="00D26E33">
        <w:t xml:space="preserve">a manner that had been in </w:t>
      </w:r>
      <w:r w:rsidRPr="0002744D" w:rsidR="00B04367">
        <w:t xml:space="preserve">full </w:t>
      </w:r>
      <w:r w:rsidRPr="0002744D" w:rsidR="00001474">
        <w:t xml:space="preserve">compliance </w:t>
      </w:r>
      <w:r w:rsidRPr="0002744D" w:rsidR="00B04367">
        <w:t>with the domestic procedure.</w:t>
      </w:r>
    </w:p>
    <w:p w:rsidRPr="0002744D" w:rsidR="006F22BC" w:rsidP="0002744D" w:rsidRDefault="003D7560">
      <w:pPr>
        <w:pStyle w:val="ECHRPara"/>
      </w:pPr>
      <w:r w:rsidRPr="0002744D">
        <w:fldChar w:fldCharType="begin"/>
      </w:r>
      <w:r w:rsidRPr="0002744D">
        <w:instrText xml:space="preserve"> SEQ level0 \*arabic </w:instrText>
      </w:r>
      <w:r w:rsidRPr="0002744D">
        <w:fldChar w:fldCharType="separate"/>
      </w:r>
      <w:r w:rsidRPr="0002744D" w:rsidR="0002744D">
        <w:rPr>
          <w:noProof/>
        </w:rPr>
        <w:t>41</w:t>
      </w:r>
      <w:r w:rsidRPr="0002744D">
        <w:fldChar w:fldCharType="end"/>
      </w:r>
      <w:r w:rsidRPr="0002744D">
        <w:t>.  </w:t>
      </w:r>
      <w:r w:rsidRPr="0002744D" w:rsidR="00834A9E">
        <w:t>The applicant</w:t>
      </w:r>
      <w:r w:rsidRPr="0002744D" w:rsidR="000A54AA">
        <w:t xml:space="preserve"> </w:t>
      </w:r>
      <w:r w:rsidRPr="0002744D" w:rsidR="00A35639">
        <w:t>indicated that</w:t>
      </w:r>
      <w:r w:rsidRPr="0002744D" w:rsidR="00BA27FE">
        <w:t xml:space="preserve"> the</w:t>
      </w:r>
      <w:r w:rsidRPr="0002744D" w:rsidR="005D227B">
        <w:t xml:space="preserve"> </w:t>
      </w:r>
      <w:r w:rsidRPr="0002744D" w:rsidR="00834A9E">
        <w:t xml:space="preserve">insignificant </w:t>
      </w:r>
      <w:r w:rsidRPr="0002744D" w:rsidR="00BA27FE">
        <w:t xml:space="preserve">number </w:t>
      </w:r>
      <w:r w:rsidRPr="0002744D" w:rsidR="00834A9E">
        <w:t xml:space="preserve">of annual </w:t>
      </w:r>
      <w:r w:rsidRPr="0002744D" w:rsidR="00CC4E4F">
        <w:t xml:space="preserve">applications </w:t>
      </w:r>
      <w:r w:rsidRPr="0002744D" w:rsidR="00BA27FE">
        <w:t xml:space="preserve">to be </w:t>
      </w:r>
      <w:r w:rsidRPr="0002744D" w:rsidR="00CC4E4F">
        <w:t>assigned</w:t>
      </w:r>
      <w:r w:rsidRPr="0002744D" w:rsidR="00BA27FE">
        <w:t xml:space="preserve"> to </w:t>
      </w:r>
      <w:r w:rsidRPr="0002744D" w:rsidR="00834A9E">
        <w:t xml:space="preserve">alterative civil service and </w:t>
      </w:r>
      <w:r w:rsidRPr="0002744D" w:rsidR="00BA27FE">
        <w:t xml:space="preserve">the </w:t>
      </w:r>
      <w:r w:rsidRPr="0002744D" w:rsidR="005D227B">
        <w:t xml:space="preserve">hardships attached to </w:t>
      </w:r>
      <w:r w:rsidRPr="0002744D" w:rsidR="00001474">
        <w:t xml:space="preserve">performing that service </w:t>
      </w:r>
      <w:r w:rsidRPr="0002744D" w:rsidR="005D227B">
        <w:t xml:space="preserve">(such as </w:t>
      </w:r>
      <w:r w:rsidRPr="0002744D" w:rsidR="00001474">
        <w:t xml:space="preserve">its </w:t>
      </w:r>
      <w:r w:rsidRPr="0002744D" w:rsidR="00143848">
        <w:t xml:space="preserve">lengthier </w:t>
      </w:r>
      <w:r w:rsidRPr="0002744D" w:rsidR="00001474">
        <w:t>duration</w:t>
      </w:r>
      <w:r w:rsidRPr="0002744D" w:rsidR="005D227B">
        <w:t xml:space="preserve"> and </w:t>
      </w:r>
      <w:r w:rsidRPr="0002744D" w:rsidR="00BA27FE">
        <w:t xml:space="preserve">the </w:t>
      </w:r>
      <w:r w:rsidRPr="0002744D" w:rsidR="005D227B">
        <w:t xml:space="preserve">particular conditions </w:t>
      </w:r>
      <w:r w:rsidRPr="0002744D" w:rsidR="00143848">
        <w:t xml:space="preserve">under which </w:t>
      </w:r>
      <w:r w:rsidRPr="0002744D" w:rsidR="00BA27FE">
        <w:t xml:space="preserve">such </w:t>
      </w:r>
      <w:r w:rsidRPr="0002744D" w:rsidR="005D227B">
        <w:t>service</w:t>
      </w:r>
      <w:r w:rsidRPr="0002744D" w:rsidR="00143848">
        <w:t xml:space="preserve"> is performed</w:t>
      </w:r>
      <w:r w:rsidRPr="0002744D" w:rsidR="005D227B">
        <w:t xml:space="preserve">) </w:t>
      </w:r>
      <w:r w:rsidRPr="0002744D" w:rsidR="00847C13">
        <w:t>require</w:t>
      </w:r>
      <w:r w:rsidRPr="0002744D" w:rsidR="00280C57">
        <w:t xml:space="preserve"> </w:t>
      </w:r>
      <w:r w:rsidRPr="0002744D" w:rsidR="009F5CEA">
        <w:t xml:space="preserve">that all applicants </w:t>
      </w:r>
      <w:r w:rsidRPr="0002744D" w:rsidR="00CC4E4F">
        <w:t xml:space="preserve">applying for </w:t>
      </w:r>
      <w:r w:rsidRPr="0002744D" w:rsidR="00BA27FE">
        <w:t xml:space="preserve">such </w:t>
      </w:r>
      <w:r w:rsidRPr="0002744D" w:rsidR="00BD4465">
        <w:t>replacement</w:t>
      </w:r>
      <w:r w:rsidRPr="0002744D" w:rsidR="00BA27FE">
        <w:t xml:space="preserve"> </w:t>
      </w:r>
      <w:r w:rsidRPr="0002744D" w:rsidR="009F5CEA">
        <w:t xml:space="preserve">should be presumed </w:t>
      </w:r>
      <w:r w:rsidRPr="0002744D" w:rsidR="00BA27FE">
        <w:t xml:space="preserve">to be </w:t>
      </w:r>
      <w:r w:rsidRPr="0002744D" w:rsidR="009F5CEA">
        <w:t xml:space="preserve">sincere in their beliefs. </w:t>
      </w:r>
      <w:r w:rsidRPr="0002744D">
        <w:t xml:space="preserve">However, the </w:t>
      </w:r>
      <w:r w:rsidRPr="0002744D" w:rsidR="00001474">
        <w:t>authorities</w:t>
      </w:r>
      <w:r w:rsidRPr="0002744D">
        <w:t xml:space="preserve"> require</w:t>
      </w:r>
      <w:r w:rsidRPr="0002744D" w:rsidR="009820BA">
        <w:t>d him to provide evidence to</w:t>
      </w:r>
      <w:r w:rsidRPr="0002744D" w:rsidR="00E55313">
        <w:t xml:space="preserve"> substantiate his convictions.</w:t>
      </w:r>
    </w:p>
    <w:p w:rsidRPr="0002744D" w:rsidR="008804C5" w:rsidP="0002744D" w:rsidRDefault="002C586E">
      <w:pPr>
        <w:pStyle w:val="ECHRPara"/>
      </w:pPr>
      <w:r w:rsidRPr="0002744D">
        <w:fldChar w:fldCharType="begin"/>
      </w:r>
      <w:r w:rsidRPr="0002744D">
        <w:instrText xml:space="preserve"> SEQ level0 \*arabic </w:instrText>
      </w:r>
      <w:r w:rsidRPr="0002744D">
        <w:fldChar w:fldCharType="separate"/>
      </w:r>
      <w:r w:rsidRPr="0002744D" w:rsidR="0002744D">
        <w:rPr>
          <w:noProof/>
        </w:rPr>
        <w:t>42</w:t>
      </w:r>
      <w:r w:rsidRPr="0002744D">
        <w:fldChar w:fldCharType="end"/>
      </w:r>
      <w:r w:rsidRPr="0002744D">
        <w:t>.  </w:t>
      </w:r>
      <w:r w:rsidRPr="0002744D" w:rsidR="005D08CC">
        <w:t xml:space="preserve">As regards </w:t>
      </w:r>
      <w:r w:rsidRPr="0002744D" w:rsidR="00BA27FE">
        <w:t xml:space="preserve">the </w:t>
      </w:r>
      <w:r w:rsidRPr="0002744D" w:rsidR="005D08CC">
        <w:t xml:space="preserve">existence of an effective mechanism for </w:t>
      </w:r>
      <w:r w:rsidRPr="0002744D" w:rsidR="00001474">
        <w:t xml:space="preserve">the </w:t>
      </w:r>
      <w:r w:rsidRPr="0002744D" w:rsidR="005D08CC">
        <w:t xml:space="preserve">examination of </w:t>
      </w:r>
      <w:r w:rsidRPr="0002744D" w:rsidR="00CC4E4F">
        <w:t xml:space="preserve">applications </w:t>
      </w:r>
      <w:r w:rsidRPr="0002744D" w:rsidR="005D08CC">
        <w:t xml:space="preserve">for </w:t>
      </w:r>
      <w:r w:rsidRPr="0002744D" w:rsidR="00BD4465">
        <w:t xml:space="preserve">the </w:t>
      </w:r>
      <w:r w:rsidRPr="0002744D" w:rsidR="005D08CC">
        <w:t xml:space="preserve">replacement of </w:t>
      </w:r>
      <w:r w:rsidRPr="0002744D" w:rsidR="00001474">
        <w:t xml:space="preserve">the </w:t>
      </w:r>
      <w:r w:rsidRPr="0002744D" w:rsidR="005D08CC">
        <w:t>compulsory military service</w:t>
      </w:r>
      <w:r w:rsidRPr="0002744D" w:rsidR="00BA27FE">
        <w:t xml:space="preserve"> </w:t>
      </w:r>
      <w:r w:rsidRPr="0002744D" w:rsidR="00D26E33">
        <w:t>by</w:t>
      </w:r>
      <w:r w:rsidRPr="0002744D" w:rsidR="00BA27FE">
        <w:t xml:space="preserve"> civilian service</w:t>
      </w:r>
      <w:r w:rsidRPr="0002744D" w:rsidR="00001474">
        <w:t>,</w:t>
      </w:r>
      <w:r w:rsidRPr="0002744D" w:rsidR="005D08CC">
        <w:t xml:space="preserve"> t</w:t>
      </w:r>
      <w:r w:rsidRPr="0002744D">
        <w:t xml:space="preserve">he applicant submitted that </w:t>
      </w:r>
      <w:r w:rsidRPr="0002744D" w:rsidR="008804C5">
        <w:t xml:space="preserve">military recruitment commissions </w:t>
      </w:r>
      <w:r w:rsidRPr="0002744D" w:rsidR="00240C8E">
        <w:t xml:space="preserve">in Russia were not independent </w:t>
      </w:r>
      <w:r w:rsidRPr="0002744D" w:rsidR="00BA27FE">
        <w:t xml:space="preserve">of </w:t>
      </w:r>
      <w:r w:rsidRPr="0002744D" w:rsidR="00001474">
        <w:t xml:space="preserve">the </w:t>
      </w:r>
      <w:r w:rsidRPr="0002744D" w:rsidR="00240C8E">
        <w:t>military authorities</w:t>
      </w:r>
      <w:r w:rsidRPr="0002744D" w:rsidR="00D26E33">
        <w:t>,</w:t>
      </w:r>
      <w:r w:rsidRPr="0002744D" w:rsidR="00240C8E">
        <w:t xml:space="preserve"> </w:t>
      </w:r>
      <w:r w:rsidRPr="0002744D" w:rsidR="00D26E33">
        <w:t xml:space="preserve">given </w:t>
      </w:r>
      <w:r w:rsidRPr="0002744D" w:rsidR="003056B3">
        <w:t>certain aspects of</w:t>
      </w:r>
      <w:r w:rsidRPr="0002744D" w:rsidR="00240C8E">
        <w:t xml:space="preserve"> their composition and functioning.</w:t>
      </w:r>
    </w:p>
    <w:p w:rsidRPr="0002744D" w:rsidR="006F22BC" w:rsidP="0002744D" w:rsidRDefault="00240C8E">
      <w:pPr>
        <w:pStyle w:val="ECHRPara"/>
      </w:pPr>
      <w:r w:rsidRPr="0002744D">
        <w:fldChar w:fldCharType="begin"/>
      </w:r>
      <w:r w:rsidRPr="0002744D">
        <w:instrText xml:space="preserve"> SEQ level0 \*arabic </w:instrText>
      </w:r>
      <w:r w:rsidRPr="0002744D">
        <w:fldChar w:fldCharType="separate"/>
      </w:r>
      <w:r w:rsidRPr="0002744D" w:rsidR="0002744D">
        <w:rPr>
          <w:noProof/>
        </w:rPr>
        <w:t>43</w:t>
      </w:r>
      <w:r w:rsidRPr="0002744D">
        <w:fldChar w:fldCharType="end"/>
      </w:r>
      <w:r w:rsidRPr="0002744D">
        <w:t xml:space="preserve">.  In particular, the </w:t>
      </w:r>
      <w:r w:rsidRPr="0002744D" w:rsidR="006F3CE8">
        <w:t xml:space="preserve">applicant stressed that </w:t>
      </w:r>
      <w:r w:rsidRPr="0002744D" w:rsidR="00001474">
        <w:t xml:space="preserve">the </w:t>
      </w:r>
      <w:r w:rsidRPr="0002744D" w:rsidR="006F3CE8">
        <w:t xml:space="preserve">standard composition </w:t>
      </w:r>
      <w:r w:rsidRPr="0002744D" w:rsidR="00946C99">
        <w:t xml:space="preserve">of a recruitment commission </w:t>
      </w:r>
      <w:r w:rsidRPr="0002744D" w:rsidR="00BA27FE">
        <w:t xml:space="preserve">comprised exclusively </w:t>
      </w:r>
      <w:r w:rsidRPr="0002744D" w:rsidR="00946C99">
        <w:t xml:space="preserve">government officials. Typically </w:t>
      </w:r>
      <w:r w:rsidRPr="0002744D" w:rsidR="00BA27FE">
        <w:t>they</w:t>
      </w:r>
      <w:r w:rsidRPr="0002744D" w:rsidR="000568C1">
        <w:t xml:space="preserve"> did not contain </w:t>
      </w:r>
      <w:r w:rsidRPr="0002744D" w:rsidR="00D26E33">
        <w:t xml:space="preserve">either </w:t>
      </w:r>
      <w:r w:rsidRPr="0002744D" w:rsidR="000568C1">
        <w:t>any</w:t>
      </w:r>
      <w:r w:rsidRPr="0002744D" w:rsidR="00946C99">
        <w:t xml:space="preserve"> independent experts acting in </w:t>
      </w:r>
      <w:r w:rsidRPr="0002744D" w:rsidR="000568C1">
        <w:t xml:space="preserve">a </w:t>
      </w:r>
      <w:r w:rsidRPr="0002744D" w:rsidR="00946C99">
        <w:t>personal capacity or members of the public.</w:t>
      </w:r>
    </w:p>
    <w:p w:rsidRPr="0002744D" w:rsidR="00FF0DFC" w:rsidP="0002744D" w:rsidRDefault="00946C99">
      <w:pPr>
        <w:pStyle w:val="ECHRPara"/>
      </w:pPr>
      <w:r w:rsidRPr="0002744D">
        <w:fldChar w:fldCharType="begin"/>
      </w:r>
      <w:r w:rsidRPr="0002744D">
        <w:instrText xml:space="preserve"> SEQ level0 \*arabic </w:instrText>
      </w:r>
      <w:r w:rsidRPr="0002744D">
        <w:fldChar w:fldCharType="separate"/>
      </w:r>
      <w:r w:rsidRPr="0002744D" w:rsidR="0002744D">
        <w:rPr>
          <w:noProof/>
        </w:rPr>
        <w:t>44</w:t>
      </w:r>
      <w:r w:rsidRPr="0002744D">
        <w:fldChar w:fldCharType="end"/>
      </w:r>
      <w:r w:rsidRPr="0002744D">
        <w:t xml:space="preserve">.  Furthermore, the applicant indicated that recruitment commissions did not have their own funding and relied heavily on </w:t>
      </w:r>
      <w:r w:rsidRPr="0002744D" w:rsidR="00001474">
        <w:t xml:space="preserve">the </w:t>
      </w:r>
      <w:r w:rsidRPr="0002744D">
        <w:t xml:space="preserve">administrative support </w:t>
      </w:r>
      <w:r w:rsidRPr="0002744D" w:rsidR="000568C1">
        <w:t xml:space="preserve">of </w:t>
      </w:r>
      <w:r w:rsidRPr="0002744D">
        <w:t>military commissariats. All decision</w:t>
      </w:r>
      <w:r w:rsidRPr="0002744D" w:rsidR="000568C1">
        <w:t xml:space="preserve"> made</w:t>
      </w:r>
      <w:r w:rsidRPr="0002744D">
        <w:t xml:space="preserve"> during recruitment commissions</w:t>
      </w:r>
      <w:r w:rsidRPr="0002744D" w:rsidR="0002744D">
        <w:t>’</w:t>
      </w:r>
      <w:r w:rsidRPr="0002744D">
        <w:t xml:space="preserve"> sessions were </w:t>
      </w:r>
      <w:r w:rsidRPr="0002744D">
        <w:rPr>
          <w:i/>
        </w:rPr>
        <w:t>de facto</w:t>
      </w:r>
      <w:r w:rsidRPr="0002744D">
        <w:t xml:space="preserve"> made by </w:t>
      </w:r>
      <w:r w:rsidRPr="0002744D" w:rsidR="00001474">
        <w:t xml:space="preserve">the </w:t>
      </w:r>
      <w:r w:rsidRPr="0002744D">
        <w:t>heads of military commissariats.</w:t>
      </w:r>
    </w:p>
    <w:p w:rsidRPr="0002744D" w:rsidR="004E234E" w:rsidP="0002744D" w:rsidRDefault="004E234E">
      <w:pPr>
        <w:pStyle w:val="ECHRPara"/>
      </w:pPr>
      <w:r w:rsidRPr="0002744D">
        <w:fldChar w:fldCharType="begin"/>
      </w:r>
      <w:r w:rsidRPr="0002744D">
        <w:instrText xml:space="preserve"> SEQ level0 \*arabic </w:instrText>
      </w:r>
      <w:r w:rsidRPr="0002744D">
        <w:fldChar w:fldCharType="separate"/>
      </w:r>
      <w:r w:rsidRPr="0002744D" w:rsidR="0002744D">
        <w:rPr>
          <w:noProof/>
        </w:rPr>
        <w:t>45</w:t>
      </w:r>
      <w:r w:rsidRPr="0002744D">
        <w:fldChar w:fldCharType="end"/>
      </w:r>
      <w:r w:rsidRPr="0002744D">
        <w:t xml:space="preserve">.  Referring to </w:t>
      </w:r>
      <w:r w:rsidRPr="0002744D" w:rsidR="00001474">
        <w:t xml:space="preserve">the </w:t>
      </w:r>
      <w:r w:rsidRPr="0002744D">
        <w:t xml:space="preserve">circumstances of </w:t>
      </w:r>
      <w:r w:rsidRPr="0002744D" w:rsidR="00001474">
        <w:t>his case</w:t>
      </w:r>
      <w:r w:rsidRPr="0002744D" w:rsidR="00D26E33">
        <w:t>,</w:t>
      </w:r>
      <w:r w:rsidRPr="0002744D">
        <w:t xml:space="preserve"> the applicant submitted that</w:t>
      </w:r>
      <w:r w:rsidRPr="0002744D" w:rsidR="000568C1">
        <w:t xml:space="preserve">, </w:t>
      </w:r>
      <w:r w:rsidRPr="0002744D">
        <w:t xml:space="preserve">contrary to the requirements of </w:t>
      </w:r>
      <w:r w:rsidRPr="0002744D" w:rsidR="00001474">
        <w:t xml:space="preserve">the </w:t>
      </w:r>
      <w:r w:rsidRPr="0002744D">
        <w:t>domestic law</w:t>
      </w:r>
      <w:r w:rsidRPr="0002744D" w:rsidR="000568C1">
        <w:t>,</w:t>
      </w:r>
      <w:r w:rsidRPr="0002744D">
        <w:t xml:space="preserve"> he </w:t>
      </w:r>
      <w:r w:rsidRPr="0002744D" w:rsidR="00001474">
        <w:t xml:space="preserve">had not been given </w:t>
      </w:r>
      <w:r w:rsidRPr="0002744D" w:rsidR="00D26E33">
        <w:t>the full reasoning for the</w:t>
      </w:r>
      <w:r w:rsidRPr="0002744D">
        <w:t xml:space="preserve"> decision of the recruitment commission. </w:t>
      </w:r>
      <w:r w:rsidRPr="0002744D" w:rsidR="00712C1E">
        <w:t>Th</w:t>
      </w:r>
      <w:r w:rsidRPr="0002744D" w:rsidR="00001474">
        <w:t>at</w:t>
      </w:r>
      <w:r w:rsidRPr="0002744D" w:rsidR="00712C1E">
        <w:t xml:space="preserve"> </w:t>
      </w:r>
      <w:r w:rsidRPr="0002744D" w:rsidR="000568C1">
        <w:t xml:space="preserve">had </w:t>
      </w:r>
      <w:r w:rsidRPr="0002744D" w:rsidR="00712C1E">
        <w:t xml:space="preserve">rendered </w:t>
      </w:r>
      <w:r w:rsidRPr="0002744D" w:rsidR="00143848">
        <w:t xml:space="preserve">the </w:t>
      </w:r>
      <w:r w:rsidRPr="0002744D" w:rsidR="00712C1E">
        <w:t>subsequent judicial review</w:t>
      </w:r>
      <w:r w:rsidRPr="0002744D" w:rsidR="00143848">
        <w:t xml:space="preserve"> (see paragraphs 14-16 above)</w:t>
      </w:r>
      <w:r w:rsidRPr="0002744D" w:rsidR="00712C1E">
        <w:t xml:space="preserve"> ineffective.</w:t>
      </w:r>
    </w:p>
    <w:p w:rsidRPr="0002744D" w:rsidR="00712C1E" w:rsidP="0002744D" w:rsidRDefault="00712C1E">
      <w:pPr>
        <w:pStyle w:val="ECHRPara"/>
      </w:pPr>
      <w:r w:rsidRPr="0002744D">
        <w:fldChar w:fldCharType="begin"/>
      </w:r>
      <w:r w:rsidRPr="0002744D">
        <w:instrText xml:space="preserve"> SEQ level0 \*arabic </w:instrText>
      </w:r>
      <w:r w:rsidRPr="0002744D">
        <w:fldChar w:fldCharType="separate"/>
      </w:r>
      <w:r w:rsidRPr="0002744D" w:rsidR="0002744D">
        <w:rPr>
          <w:noProof/>
        </w:rPr>
        <w:t>46</w:t>
      </w:r>
      <w:r w:rsidRPr="0002744D">
        <w:fldChar w:fldCharType="end"/>
      </w:r>
      <w:r w:rsidRPr="0002744D">
        <w:t>.  The applicant also disagreed with the statistical information provided by the respondent Government. According to the information obtained by the applicant</w:t>
      </w:r>
      <w:r w:rsidRPr="0002744D" w:rsidR="0002744D">
        <w:t>’</w:t>
      </w:r>
      <w:r w:rsidRPr="0002744D">
        <w:t xml:space="preserve">s representative </w:t>
      </w:r>
      <w:r w:rsidRPr="0002744D" w:rsidR="000568C1">
        <w:t xml:space="preserve">from the </w:t>
      </w:r>
      <w:r w:rsidRPr="0002744D">
        <w:t xml:space="preserve">St Petersburg </w:t>
      </w:r>
      <w:r w:rsidRPr="0002744D" w:rsidR="00D26E33">
        <w:t>M</w:t>
      </w:r>
      <w:r w:rsidRPr="0002744D">
        <w:t xml:space="preserve">ilitary </w:t>
      </w:r>
      <w:r w:rsidRPr="0002744D" w:rsidR="00D26E33">
        <w:t xml:space="preserve">Commissariat </w:t>
      </w:r>
      <w:r w:rsidRPr="0002744D">
        <w:t xml:space="preserve">and </w:t>
      </w:r>
      <w:r w:rsidRPr="0002744D" w:rsidR="000568C1">
        <w:t xml:space="preserve">the </w:t>
      </w:r>
      <w:r w:rsidRPr="0002744D">
        <w:t>St Petersburg</w:t>
      </w:r>
      <w:r w:rsidRPr="0002744D" w:rsidR="00F84BB4">
        <w:t xml:space="preserve"> </w:t>
      </w:r>
      <w:r w:rsidRPr="0002744D" w:rsidR="00001474">
        <w:t>C</w:t>
      </w:r>
      <w:r w:rsidRPr="0002744D" w:rsidR="00F84BB4">
        <w:t>ity administration</w:t>
      </w:r>
      <w:r w:rsidRPr="0002744D">
        <w:t xml:space="preserve">, out of 560 </w:t>
      </w:r>
      <w:r w:rsidRPr="0002744D" w:rsidR="00CC4E4F">
        <w:t xml:space="preserve">applications </w:t>
      </w:r>
      <w:r w:rsidRPr="0002744D">
        <w:t xml:space="preserve">for </w:t>
      </w:r>
      <w:r w:rsidRPr="0002744D" w:rsidR="00001474">
        <w:t xml:space="preserve">alternative </w:t>
      </w:r>
      <w:r w:rsidRPr="0002744D" w:rsidR="000568C1">
        <w:t xml:space="preserve">civilian </w:t>
      </w:r>
      <w:r w:rsidRPr="0002744D" w:rsidR="00001474">
        <w:t>service lodged</w:t>
      </w:r>
      <w:r w:rsidRPr="0002744D">
        <w:t xml:space="preserve"> in St Petersburg from 2014 </w:t>
      </w:r>
      <w:r w:rsidRPr="0002744D" w:rsidR="000568C1">
        <w:t xml:space="preserve">until </w:t>
      </w:r>
      <w:r w:rsidRPr="0002744D">
        <w:t>2017</w:t>
      </w:r>
      <w:r w:rsidRPr="0002744D" w:rsidR="000568C1">
        <w:t>, only</w:t>
      </w:r>
      <w:r w:rsidRPr="0002744D">
        <w:t xml:space="preserve"> 325 were granted. </w:t>
      </w:r>
      <w:r w:rsidRPr="0002744D" w:rsidR="00001474">
        <w:t xml:space="preserve">That </w:t>
      </w:r>
      <w:r w:rsidRPr="0002744D" w:rsidR="000568C1">
        <w:t xml:space="preserve">ran </w:t>
      </w:r>
      <w:r w:rsidRPr="0002744D" w:rsidR="00001474">
        <w:t>counter to</w:t>
      </w:r>
      <w:r w:rsidRPr="0002744D">
        <w:t xml:space="preserve"> the information provided by the Government in their observations (see below).</w:t>
      </w:r>
    </w:p>
    <w:p w:rsidRPr="0002744D" w:rsidR="006F22BC" w:rsidP="0002744D" w:rsidRDefault="00EC6DDC">
      <w:pPr>
        <w:pStyle w:val="ECHRPara"/>
      </w:pPr>
      <w:r w:rsidRPr="0002744D">
        <w:fldChar w:fldCharType="begin"/>
      </w:r>
      <w:r w:rsidRPr="0002744D">
        <w:instrText xml:space="preserve"> SEQ level0 \*arabic </w:instrText>
      </w:r>
      <w:r w:rsidRPr="0002744D">
        <w:fldChar w:fldCharType="separate"/>
      </w:r>
      <w:r w:rsidRPr="0002744D" w:rsidR="0002744D">
        <w:rPr>
          <w:noProof/>
        </w:rPr>
        <w:t>47</w:t>
      </w:r>
      <w:r w:rsidRPr="0002744D">
        <w:fldChar w:fldCharType="end"/>
      </w:r>
      <w:r w:rsidRPr="0002744D">
        <w:t>.  </w:t>
      </w:r>
      <w:r w:rsidRPr="0002744D" w:rsidR="00C9591F">
        <w:t>He also observed that some of the examples of</w:t>
      </w:r>
      <w:r w:rsidRPr="0002744D" w:rsidR="000568C1">
        <w:t xml:space="preserve"> </w:t>
      </w:r>
      <w:r w:rsidRPr="0002744D" w:rsidR="00001474">
        <w:t xml:space="preserve">the </w:t>
      </w:r>
      <w:r w:rsidRPr="0002744D" w:rsidR="00C9591F">
        <w:t>domestic courts</w:t>
      </w:r>
      <w:r w:rsidRPr="0002744D" w:rsidR="0002744D">
        <w:t>’</w:t>
      </w:r>
      <w:r w:rsidRPr="0002744D" w:rsidR="00C9591F">
        <w:t xml:space="preserve"> </w:t>
      </w:r>
      <w:r w:rsidRPr="0002744D" w:rsidR="00001474">
        <w:t>rulings submitted</w:t>
      </w:r>
      <w:r w:rsidRPr="0002744D" w:rsidR="00C9591F">
        <w:t xml:space="preserve"> by the Government (see below) were not relevant to the subject matter of the present case. </w:t>
      </w:r>
      <w:r w:rsidRPr="0002744D" w:rsidR="00001474">
        <w:t>At the same time</w:t>
      </w:r>
      <w:r w:rsidRPr="0002744D" w:rsidR="000568C1">
        <w:t>,</w:t>
      </w:r>
      <w:r w:rsidRPr="0002744D" w:rsidR="00001474">
        <w:t xml:space="preserve"> the applicant cited</w:t>
      </w:r>
      <w:r w:rsidRPr="0002744D" w:rsidR="00C9591F">
        <w:t xml:space="preserve"> 123</w:t>
      </w:r>
      <w:r w:rsidRPr="0002744D" w:rsidR="00301A4C">
        <w:t> </w:t>
      </w:r>
      <w:r w:rsidRPr="0002744D" w:rsidR="00C9591F">
        <w:t xml:space="preserve">cases considered between 2014 and 2017 where domestic courts had upheld decisions of </w:t>
      </w:r>
      <w:r w:rsidRPr="0002744D" w:rsidR="00001474">
        <w:t xml:space="preserve">the </w:t>
      </w:r>
      <w:r w:rsidRPr="0002744D" w:rsidR="00C9591F">
        <w:t xml:space="preserve">military recruitment commissions </w:t>
      </w:r>
      <w:r w:rsidRPr="0002744D" w:rsidR="00CC4E4F">
        <w:t>dismissing</w:t>
      </w:r>
      <w:r w:rsidRPr="0002744D" w:rsidR="000568C1">
        <w:t xml:space="preserve"> </w:t>
      </w:r>
      <w:r w:rsidRPr="0002744D" w:rsidR="00CC4E4F">
        <w:t xml:space="preserve">applications to be assigned to </w:t>
      </w:r>
      <w:r w:rsidRPr="0002744D" w:rsidR="00C9591F">
        <w:t>civilian service.</w:t>
      </w:r>
    </w:p>
    <w:p w:rsidRPr="0002744D" w:rsidR="006F22BC" w:rsidP="0002744D" w:rsidRDefault="002217D2">
      <w:pPr>
        <w:pStyle w:val="ECHRPara"/>
      </w:pPr>
      <w:r w:rsidRPr="0002744D">
        <w:fldChar w:fldCharType="begin"/>
      </w:r>
      <w:r w:rsidRPr="0002744D">
        <w:instrText xml:space="preserve"> SEQ level0 \*arabic </w:instrText>
      </w:r>
      <w:r w:rsidRPr="0002744D">
        <w:fldChar w:fldCharType="separate"/>
      </w:r>
      <w:r w:rsidRPr="0002744D" w:rsidR="0002744D">
        <w:rPr>
          <w:noProof/>
        </w:rPr>
        <w:t>48</w:t>
      </w:r>
      <w:r w:rsidRPr="0002744D">
        <w:fldChar w:fldCharType="end"/>
      </w:r>
      <w:r w:rsidRPr="0002744D">
        <w:t>.  </w:t>
      </w:r>
      <w:r w:rsidRPr="0002744D" w:rsidR="000568C1">
        <w:t>Lastly</w:t>
      </w:r>
      <w:r w:rsidRPr="0002744D">
        <w:t xml:space="preserve">, the </w:t>
      </w:r>
      <w:r w:rsidRPr="0002744D" w:rsidR="006F42B2">
        <w:t xml:space="preserve">applicant claimed that </w:t>
      </w:r>
      <w:r w:rsidRPr="0002744D" w:rsidR="00001474">
        <w:t xml:space="preserve">the </w:t>
      </w:r>
      <w:r w:rsidRPr="0002744D" w:rsidR="006F42B2">
        <w:t xml:space="preserve">judicial review </w:t>
      </w:r>
      <w:r w:rsidRPr="0002744D" w:rsidR="000568C1">
        <w:t xml:space="preserve">process </w:t>
      </w:r>
      <w:r w:rsidRPr="0002744D" w:rsidR="006F42B2">
        <w:t xml:space="preserve">in Russia was overall ineffective, as courts were not </w:t>
      </w:r>
      <w:r w:rsidRPr="0002744D" w:rsidR="00B70333">
        <w:t xml:space="preserve">empowered </w:t>
      </w:r>
      <w:r w:rsidRPr="0002744D" w:rsidR="002A0209">
        <w:t xml:space="preserve">to </w:t>
      </w:r>
      <w:r w:rsidRPr="0002744D" w:rsidR="00CC4E4F">
        <w:t>allow applications</w:t>
      </w:r>
      <w:r w:rsidRPr="0002744D" w:rsidR="00267A54">
        <w:t xml:space="preserve"> for </w:t>
      </w:r>
      <w:r w:rsidRPr="0002744D" w:rsidR="00001474">
        <w:t xml:space="preserve">the </w:t>
      </w:r>
      <w:r w:rsidRPr="0002744D" w:rsidR="00267A54">
        <w:t>replacement of</w:t>
      </w:r>
      <w:r w:rsidRPr="0002744D" w:rsidR="00001474">
        <w:t xml:space="preserve"> </w:t>
      </w:r>
      <w:r w:rsidRPr="0002744D" w:rsidR="00267A54">
        <w:t xml:space="preserve">military service </w:t>
      </w:r>
      <w:r w:rsidRPr="0002744D" w:rsidR="000568C1">
        <w:t xml:space="preserve">with civilian service </w:t>
      </w:r>
      <w:r w:rsidRPr="0002744D" w:rsidR="00267A54">
        <w:t xml:space="preserve">and were forced to return them </w:t>
      </w:r>
      <w:r w:rsidRPr="0002744D" w:rsidR="00E57FE3">
        <w:t>to</w:t>
      </w:r>
      <w:r w:rsidRPr="0002744D" w:rsidR="00267A54">
        <w:t xml:space="preserve"> the commission</w:t>
      </w:r>
      <w:r w:rsidRPr="0002744D" w:rsidR="005A5048">
        <w:t>s</w:t>
      </w:r>
      <w:r w:rsidRPr="0002744D" w:rsidR="00267A54">
        <w:t xml:space="preserve"> for reconsideration.</w:t>
      </w:r>
    </w:p>
    <w:p w:rsidRPr="0002744D" w:rsidR="00E62CEE" w:rsidP="0002744D" w:rsidRDefault="00FF0DFC">
      <w:pPr>
        <w:pStyle w:val="ECHRHeading3"/>
        <w:rPr>
          <w:rFonts w:asciiTheme="minorHAnsi" w:hAnsiTheme="minorHAnsi" w:eastAsiaTheme="minorEastAsia" w:cstheme="minorBidi"/>
          <w:bCs w:val="0"/>
          <w:i w:val="0"/>
        </w:rPr>
      </w:pPr>
      <w:r w:rsidRPr="0002744D">
        <w:t>2</w:t>
      </w:r>
      <w:r w:rsidRPr="0002744D" w:rsidR="00E62CEE">
        <w:t>.  The</w:t>
      </w:r>
      <w:r w:rsidRPr="0002744D">
        <w:t xml:space="preserve"> Government</w:t>
      </w:r>
    </w:p>
    <w:p w:rsidRPr="0002744D" w:rsidR="006F22BC" w:rsidP="0002744D" w:rsidRDefault="00AF3E16">
      <w:pPr>
        <w:pStyle w:val="ECHRPara"/>
      </w:pPr>
      <w:r w:rsidRPr="0002744D">
        <w:rPr>
          <w:noProof/>
        </w:rPr>
        <w:fldChar w:fldCharType="begin"/>
      </w:r>
      <w:r w:rsidRPr="0002744D">
        <w:rPr>
          <w:noProof/>
        </w:rPr>
        <w:instrText xml:space="preserve"> SEQ level0 \*arabic </w:instrText>
      </w:r>
      <w:r w:rsidRPr="0002744D">
        <w:rPr>
          <w:noProof/>
        </w:rPr>
        <w:fldChar w:fldCharType="separate"/>
      </w:r>
      <w:r w:rsidRPr="0002744D" w:rsidR="0002744D">
        <w:rPr>
          <w:noProof/>
        </w:rPr>
        <w:t>49</w:t>
      </w:r>
      <w:r w:rsidRPr="0002744D">
        <w:rPr>
          <w:noProof/>
        </w:rPr>
        <w:fldChar w:fldCharType="end"/>
      </w:r>
      <w:r w:rsidRPr="0002744D" w:rsidR="00E62CEE">
        <w:t xml:space="preserve">.  The Government submitted that </w:t>
      </w:r>
      <w:r w:rsidRPr="0002744D" w:rsidR="005A5048">
        <w:t xml:space="preserve">the </w:t>
      </w:r>
      <w:r w:rsidRPr="0002744D" w:rsidR="00E62CEE">
        <w:t xml:space="preserve">Russian law </w:t>
      </w:r>
      <w:r w:rsidRPr="0002744D" w:rsidR="005A5048">
        <w:t xml:space="preserve">guaranteed </w:t>
      </w:r>
      <w:r w:rsidRPr="0002744D" w:rsidR="000568C1">
        <w:t xml:space="preserve">the </w:t>
      </w:r>
      <w:r w:rsidRPr="0002744D" w:rsidR="00E62CEE">
        <w:t xml:space="preserve">right of an individual to </w:t>
      </w:r>
      <w:r w:rsidRPr="0002744D" w:rsidR="005A5048">
        <w:t xml:space="preserve">ask for the </w:t>
      </w:r>
      <w:r w:rsidRPr="0002744D" w:rsidR="00E62CEE">
        <w:t>replacement of compulsory military service with its civilian alternative.</w:t>
      </w:r>
    </w:p>
    <w:p w:rsidRPr="0002744D" w:rsidR="006F22BC" w:rsidP="0002744D" w:rsidRDefault="00AF3E16">
      <w:pPr>
        <w:pStyle w:val="ECHRPara"/>
      </w:pPr>
      <w:r w:rsidRPr="0002744D">
        <w:rPr>
          <w:noProof/>
        </w:rPr>
        <w:fldChar w:fldCharType="begin"/>
      </w:r>
      <w:r w:rsidRPr="0002744D">
        <w:rPr>
          <w:noProof/>
        </w:rPr>
        <w:instrText xml:space="preserve"> SEQ level0 \*arabic </w:instrText>
      </w:r>
      <w:r w:rsidRPr="0002744D">
        <w:rPr>
          <w:noProof/>
        </w:rPr>
        <w:fldChar w:fldCharType="separate"/>
      </w:r>
      <w:r w:rsidRPr="0002744D" w:rsidR="0002744D">
        <w:rPr>
          <w:noProof/>
        </w:rPr>
        <w:t>50</w:t>
      </w:r>
      <w:r w:rsidRPr="0002744D">
        <w:rPr>
          <w:noProof/>
        </w:rPr>
        <w:fldChar w:fldCharType="end"/>
      </w:r>
      <w:r w:rsidRPr="0002744D" w:rsidR="00C874AD">
        <w:t>.  They further</w:t>
      </w:r>
      <w:r w:rsidRPr="0002744D" w:rsidR="000568C1">
        <w:t>more</w:t>
      </w:r>
      <w:r w:rsidRPr="0002744D" w:rsidR="00C874AD">
        <w:t xml:space="preserve"> </w:t>
      </w:r>
      <w:r w:rsidRPr="0002744D" w:rsidR="00A20594">
        <w:t xml:space="preserve">stated </w:t>
      </w:r>
      <w:r w:rsidRPr="0002744D" w:rsidR="005A5048">
        <w:t>that</w:t>
      </w:r>
      <w:r w:rsidRPr="0002744D" w:rsidR="00C874AD">
        <w:t xml:space="preserve"> </w:t>
      </w:r>
      <w:r w:rsidRPr="0002744D" w:rsidR="004C2C47">
        <w:t xml:space="preserve">there was an effective and independent domestic mechanism in Russia for </w:t>
      </w:r>
      <w:r w:rsidRPr="0002744D" w:rsidR="005A5048">
        <w:t xml:space="preserve">the </w:t>
      </w:r>
      <w:r w:rsidRPr="0002744D" w:rsidR="004C2C47">
        <w:t>examination of</w:t>
      </w:r>
      <w:r w:rsidRPr="0002744D" w:rsidR="005A5048">
        <w:t xml:space="preserve"> replacement </w:t>
      </w:r>
      <w:r w:rsidRPr="0002744D" w:rsidR="00CC4E4F">
        <w:t>applications</w:t>
      </w:r>
      <w:r w:rsidRPr="0002744D" w:rsidR="004C2C47">
        <w:t xml:space="preserve">. </w:t>
      </w:r>
      <w:r w:rsidRPr="0002744D" w:rsidR="005A5048">
        <w:t>Referring to the provisions of the law</w:t>
      </w:r>
      <w:r w:rsidRPr="0002744D" w:rsidR="006304CA">
        <w:t xml:space="preserve"> (see paragraphs </w:t>
      </w:r>
      <w:r w:rsidRPr="0002744D" w:rsidR="00CB403D">
        <w:fldChar w:fldCharType="begin"/>
      </w:r>
      <w:r w:rsidRPr="0002744D" w:rsidR="00CB403D">
        <w:instrText xml:space="preserve"> REF constitution \h </w:instrText>
      </w:r>
      <w:r w:rsidRPr="0002744D" w:rsidR="002235A2">
        <w:instrText xml:space="preserve"> \* MERGEFORMAT </w:instrText>
      </w:r>
      <w:r w:rsidRPr="0002744D" w:rsidR="00CB403D">
        <w:fldChar w:fldCharType="separate"/>
      </w:r>
      <w:r w:rsidRPr="0002744D" w:rsidR="0002744D">
        <w:rPr>
          <w:noProof/>
        </w:rPr>
        <w:t>17</w:t>
      </w:r>
      <w:r w:rsidRPr="0002744D" w:rsidR="00CB403D">
        <w:fldChar w:fldCharType="end"/>
      </w:r>
      <w:r w:rsidRPr="0002744D" w:rsidR="00301A4C">
        <w:noBreakHyphen/>
      </w:r>
      <w:r w:rsidRPr="0002744D" w:rsidR="006304CA">
        <w:fldChar w:fldCharType="begin"/>
      </w:r>
      <w:r w:rsidRPr="0002744D" w:rsidR="006304CA">
        <w:instrText xml:space="preserve"> REF domesticlawend \h </w:instrText>
      </w:r>
      <w:r w:rsidRPr="0002744D" w:rsidR="002235A2">
        <w:instrText xml:space="preserve"> \* MERGEFORMAT </w:instrText>
      </w:r>
      <w:r w:rsidRPr="0002744D" w:rsidR="006304CA">
        <w:fldChar w:fldCharType="separate"/>
      </w:r>
      <w:r w:rsidRPr="0002744D" w:rsidR="0002744D">
        <w:rPr>
          <w:noProof/>
        </w:rPr>
        <w:t>28</w:t>
      </w:r>
      <w:r w:rsidRPr="0002744D" w:rsidR="006304CA">
        <w:fldChar w:fldCharType="end"/>
      </w:r>
      <w:r w:rsidRPr="0002744D" w:rsidR="00DA1FFB">
        <w:t xml:space="preserve"> </w:t>
      </w:r>
      <w:r w:rsidRPr="0002744D" w:rsidR="006304CA">
        <w:t xml:space="preserve">above) they described </w:t>
      </w:r>
      <w:r w:rsidRPr="0002744D" w:rsidR="00A20594">
        <w:t xml:space="preserve">the </w:t>
      </w:r>
      <w:r w:rsidRPr="0002744D" w:rsidR="005A5048">
        <w:t xml:space="preserve">composition </w:t>
      </w:r>
      <w:r w:rsidRPr="0002744D" w:rsidR="006304CA">
        <w:t xml:space="preserve">of military recruitment commissions, and </w:t>
      </w:r>
      <w:r w:rsidRPr="0002744D" w:rsidR="005A5048">
        <w:t xml:space="preserve">the </w:t>
      </w:r>
      <w:r w:rsidRPr="0002744D" w:rsidR="006304CA">
        <w:t xml:space="preserve">procedure </w:t>
      </w:r>
      <w:r w:rsidRPr="0002744D" w:rsidR="005A5048">
        <w:t>for the</w:t>
      </w:r>
      <w:r w:rsidRPr="0002744D" w:rsidR="006304CA">
        <w:t xml:space="preserve"> examination of </w:t>
      </w:r>
      <w:r w:rsidRPr="0002744D" w:rsidR="005A5048">
        <w:t xml:space="preserve">replacement </w:t>
      </w:r>
      <w:r w:rsidRPr="0002744D" w:rsidR="00CC4E4F">
        <w:t>applications</w:t>
      </w:r>
      <w:r w:rsidRPr="0002744D" w:rsidR="006304CA">
        <w:t>.</w:t>
      </w:r>
    </w:p>
    <w:p w:rsidRPr="0002744D" w:rsidR="007A6301" w:rsidP="0002744D" w:rsidRDefault="00AF3E16">
      <w:pPr>
        <w:pStyle w:val="ECHRPara"/>
      </w:pPr>
      <w:r w:rsidRPr="0002744D">
        <w:rPr>
          <w:noProof/>
        </w:rPr>
        <w:fldChar w:fldCharType="begin"/>
      </w:r>
      <w:r w:rsidRPr="0002744D">
        <w:rPr>
          <w:noProof/>
        </w:rPr>
        <w:instrText xml:space="preserve"> SEQ level0 \*arabic </w:instrText>
      </w:r>
      <w:r w:rsidRPr="0002744D">
        <w:rPr>
          <w:noProof/>
        </w:rPr>
        <w:fldChar w:fldCharType="separate"/>
      </w:r>
      <w:r w:rsidRPr="0002744D" w:rsidR="0002744D">
        <w:rPr>
          <w:noProof/>
        </w:rPr>
        <w:t>51</w:t>
      </w:r>
      <w:r w:rsidRPr="0002744D">
        <w:rPr>
          <w:noProof/>
        </w:rPr>
        <w:fldChar w:fldCharType="end"/>
      </w:r>
      <w:r w:rsidRPr="0002744D" w:rsidR="008523AD">
        <w:t>.  The Government further</w:t>
      </w:r>
      <w:r w:rsidRPr="0002744D" w:rsidR="00A20594">
        <w:t>more</w:t>
      </w:r>
      <w:r w:rsidRPr="0002744D" w:rsidR="008523AD">
        <w:t xml:space="preserve"> indicated that the military recruitment commission in the applicant</w:t>
      </w:r>
      <w:r w:rsidRPr="0002744D" w:rsidR="0002744D">
        <w:t>’</w:t>
      </w:r>
      <w:r w:rsidRPr="0002744D" w:rsidR="008523AD">
        <w:t xml:space="preserve">s case </w:t>
      </w:r>
      <w:r w:rsidRPr="0002744D" w:rsidR="00A20594">
        <w:t xml:space="preserve">had been </w:t>
      </w:r>
      <w:r w:rsidRPr="0002744D" w:rsidR="008523AD">
        <w:t xml:space="preserve">created by a decree </w:t>
      </w:r>
      <w:r w:rsidRPr="0002744D" w:rsidR="00A20594">
        <w:t xml:space="preserve">issued by </w:t>
      </w:r>
      <w:r w:rsidRPr="0002744D" w:rsidR="008523AD">
        <w:t>the Governor of St Petersburg</w:t>
      </w:r>
      <w:r w:rsidRPr="0002744D" w:rsidR="00F70E4C">
        <w:t xml:space="preserve">. The commission </w:t>
      </w:r>
      <w:r w:rsidRPr="0002744D" w:rsidR="00BD4465">
        <w:t xml:space="preserve">had </w:t>
      </w:r>
      <w:r w:rsidRPr="0002744D" w:rsidR="00F70E4C">
        <w:t>consisted of seven members.</w:t>
      </w:r>
      <w:r w:rsidRPr="0002744D" w:rsidR="00636794">
        <w:t xml:space="preserve"> </w:t>
      </w:r>
      <w:r w:rsidRPr="0002744D" w:rsidR="00F70E4C">
        <w:t>Three of them were representatives of the Ministry of Defence. The remaining four members were independent of</w:t>
      </w:r>
      <w:r w:rsidRPr="0002744D" w:rsidR="005A5048">
        <w:t xml:space="preserve"> the</w:t>
      </w:r>
      <w:r w:rsidRPr="0002744D" w:rsidR="00F70E4C">
        <w:t xml:space="preserve"> military authorities.</w:t>
      </w:r>
    </w:p>
    <w:p w:rsidRPr="0002744D" w:rsidR="006F22BC" w:rsidP="0002744D" w:rsidRDefault="007A6301">
      <w:pPr>
        <w:pStyle w:val="ECHRPara"/>
      </w:pPr>
      <w:r w:rsidRPr="0002744D">
        <w:fldChar w:fldCharType="begin"/>
      </w:r>
      <w:r w:rsidRPr="0002744D">
        <w:instrText xml:space="preserve"> SEQ level0 \*arabic </w:instrText>
      </w:r>
      <w:r w:rsidRPr="0002744D">
        <w:fldChar w:fldCharType="separate"/>
      </w:r>
      <w:r w:rsidRPr="0002744D" w:rsidR="0002744D">
        <w:rPr>
          <w:noProof/>
        </w:rPr>
        <w:t>52</w:t>
      </w:r>
      <w:r w:rsidRPr="0002744D">
        <w:fldChar w:fldCharType="end"/>
      </w:r>
      <w:r w:rsidRPr="0002744D">
        <w:t>.  </w:t>
      </w:r>
      <w:r w:rsidRPr="0002744D" w:rsidR="0096212C">
        <w:t xml:space="preserve">Both at </w:t>
      </w:r>
      <w:r w:rsidRPr="0002744D">
        <w:t xml:space="preserve">the meeting of the recruitment commission on 25 November 2014 </w:t>
      </w:r>
      <w:r w:rsidRPr="0002744D" w:rsidR="0096212C">
        <w:t xml:space="preserve">and during </w:t>
      </w:r>
      <w:r w:rsidRPr="0002744D" w:rsidR="005A5048">
        <w:t xml:space="preserve">the </w:t>
      </w:r>
      <w:r w:rsidRPr="0002744D" w:rsidR="0096212C">
        <w:t xml:space="preserve">court proceedings </w:t>
      </w:r>
      <w:r w:rsidRPr="0002744D">
        <w:t xml:space="preserve">the applicant </w:t>
      </w:r>
      <w:r w:rsidRPr="0002744D" w:rsidR="00A20594">
        <w:t xml:space="preserve">had been </w:t>
      </w:r>
      <w:r w:rsidRPr="0002744D" w:rsidR="00AF12AD">
        <w:t xml:space="preserve">provided with an opportunity to </w:t>
      </w:r>
      <w:r w:rsidRPr="0002744D" w:rsidR="0096212C">
        <w:t xml:space="preserve">present his explanations, </w:t>
      </w:r>
      <w:r w:rsidRPr="0002744D" w:rsidR="005A5048">
        <w:t xml:space="preserve">to submit </w:t>
      </w:r>
      <w:r w:rsidRPr="0002744D" w:rsidR="0096212C">
        <w:t xml:space="preserve">evidence and </w:t>
      </w:r>
      <w:r w:rsidRPr="0002744D" w:rsidR="005A5048">
        <w:t xml:space="preserve">to </w:t>
      </w:r>
      <w:r w:rsidRPr="0002744D" w:rsidR="00E66B32">
        <w:t>question</w:t>
      </w:r>
      <w:r w:rsidRPr="0002744D" w:rsidR="0096212C">
        <w:t xml:space="preserve"> witnesses </w:t>
      </w:r>
      <w:r w:rsidRPr="0002744D" w:rsidR="005A5048">
        <w:t>in</w:t>
      </w:r>
      <w:r w:rsidRPr="0002744D" w:rsidR="0096212C">
        <w:t xml:space="preserve"> support </w:t>
      </w:r>
      <w:r w:rsidRPr="0002744D" w:rsidR="005A5048">
        <w:t xml:space="preserve">of his </w:t>
      </w:r>
      <w:r w:rsidRPr="0002744D" w:rsidR="0096212C">
        <w:t xml:space="preserve">claims. </w:t>
      </w:r>
      <w:r w:rsidRPr="0002744D" w:rsidR="00AF12AD">
        <w:t>The Government noted that the applicant had failed to secure presence of a witness in his support during the first instance hearing. They further stated that the</w:t>
      </w:r>
      <w:r w:rsidRPr="0002744D" w:rsidR="005A5048">
        <w:t xml:space="preserve"> replacement </w:t>
      </w:r>
      <w:r w:rsidRPr="0002744D" w:rsidR="00CC4E4F">
        <w:t xml:space="preserve">application </w:t>
      </w:r>
      <w:r w:rsidRPr="0002744D" w:rsidR="00A20594">
        <w:t xml:space="preserve">had been </w:t>
      </w:r>
      <w:r w:rsidRPr="0002744D" w:rsidR="0096212C">
        <w:t>dismissed</w:t>
      </w:r>
      <w:r w:rsidRPr="0002744D" w:rsidR="00BD4465">
        <w:t>,</w:t>
      </w:r>
      <w:r w:rsidRPr="0002744D" w:rsidR="0096212C">
        <w:t xml:space="preserve"> in full </w:t>
      </w:r>
      <w:r w:rsidRPr="0002744D" w:rsidR="005A5048">
        <w:t xml:space="preserve">compliance </w:t>
      </w:r>
      <w:r w:rsidRPr="0002744D" w:rsidR="0096212C">
        <w:t xml:space="preserve">with </w:t>
      </w:r>
      <w:r w:rsidRPr="0002744D" w:rsidR="005A5048">
        <w:t xml:space="preserve">the </w:t>
      </w:r>
      <w:r w:rsidRPr="0002744D" w:rsidR="0096212C">
        <w:t>domestic law</w:t>
      </w:r>
      <w:r w:rsidRPr="0002744D" w:rsidR="00BD4465">
        <w:t>,</w:t>
      </w:r>
      <w:r w:rsidRPr="0002744D" w:rsidR="0096212C">
        <w:t xml:space="preserve"> because he had failed to prove </w:t>
      </w:r>
      <w:r w:rsidRPr="0002744D" w:rsidR="00BD4465">
        <w:t xml:space="preserve">that he had held </w:t>
      </w:r>
      <w:r w:rsidRPr="0002744D" w:rsidR="00A20594">
        <w:t xml:space="preserve">beliefs </w:t>
      </w:r>
      <w:r w:rsidRPr="0002744D" w:rsidR="0096212C">
        <w:t xml:space="preserve">preventing him from serving in the army. </w:t>
      </w:r>
      <w:r w:rsidRPr="0002744D" w:rsidR="003E54F0">
        <w:t xml:space="preserve">The proceedings </w:t>
      </w:r>
      <w:r w:rsidRPr="0002744D" w:rsidR="00A20594">
        <w:t xml:space="preserve">had </w:t>
      </w:r>
      <w:r w:rsidRPr="0002744D" w:rsidR="003E54F0">
        <w:t xml:space="preserve">not </w:t>
      </w:r>
      <w:r w:rsidRPr="0002744D" w:rsidR="00A20594">
        <w:t xml:space="preserve">been </w:t>
      </w:r>
      <w:r w:rsidRPr="0002744D" w:rsidR="003E54F0">
        <w:t xml:space="preserve">tainted </w:t>
      </w:r>
      <w:r w:rsidRPr="0002744D" w:rsidR="00A20594">
        <w:t xml:space="preserve">by </w:t>
      </w:r>
      <w:r w:rsidRPr="0002744D" w:rsidR="003E54F0">
        <w:t>arbitrariness or bias.</w:t>
      </w:r>
    </w:p>
    <w:bookmarkStart w:name="gvtstats" w:id="23"/>
    <w:p w:rsidRPr="0002744D" w:rsidR="006F22BC" w:rsidP="0002744D" w:rsidRDefault="00E641EF">
      <w:pPr>
        <w:pStyle w:val="ECHRPara"/>
      </w:pPr>
      <w:r w:rsidRPr="0002744D">
        <w:fldChar w:fldCharType="begin"/>
      </w:r>
      <w:r w:rsidRPr="0002744D">
        <w:instrText xml:space="preserve"> SEQ level0 \*arabic </w:instrText>
      </w:r>
      <w:r w:rsidRPr="0002744D">
        <w:fldChar w:fldCharType="separate"/>
      </w:r>
      <w:r w:rsidRPr="0002744D" w:rsidR="0002744D">
        <w:rPr>
          <w:noProof/>
        </w:rPr>
        <w:t>53</w:t>
      </w:r>
      <w:r w:rsidRPr="0002744D">
        <w:fldChar w:fldCharType="end"/>
      </w:r>
      <w:bookmarkEnd w:id="23"/>
      <w:r w:rsidRPr="0002744D">
        <w:t xml:space="preserve">.  The Government also provided statistical data on alternative civil service in Russia. According to information </w:t>
      </w:r>
      <w:r w:rsidRPr="0002744D" w:rsidR="00D73DF4">
        <w:t>from</w:t>
      </w:r>
      <w:r w:rsidRPr="0002744D">
        <w:t xml:space="preserve"> the Ministry of Defen</w:t>
      </w:r>
      <w:r w:rsidRPr="0002744D" w:rsidR="00A20594">
        <w:t>c</w:t>
      </w:r>
      <w:r w:rsidRPr="0002744D">
        <w:t>e</w:t>
      </w:r>
      <w:r w:rsidRPr="0002744D" w:rsidR="00A20594">
        <w:t>,</w:t>
      </w:r>
      <w:r w:rsidRPr="0002744D">
        <w:t xml:space="preserve"> </w:t>
      </w:r>
      <w:r w:rsidRPr="0002744D" w:rsidR="00B961E7">
        <w:t xml:space="preserve">from 2014 </w:t>
      </w:r>
      <w:r w:rsidRPr="0002744D" w:rsidR="00A20594">
        <w:t xml:space="preserve">until </w:t>
      </w:r>
      <w:r w:rsidRPr="0002744D" w:rsidR="00B961E7">
        <w:t xml:space="preserve">2017 </w:t>
      </w:r>
      <w:r w:rsidRPr="0002744D" w:rsidR="00143848">
        <w:t xml:space="preserve">individuals </w:t>
      </w:r>
      <w:r w:rsidRPr="0002744D" w:rsidR="00A20594">
        <w:t xml:space="preserve">had </w:t>
      </w:r>
      <w:r w:rsidRPr="0002744D" w:rsidR="00B961E7">
        <w:t>made 4</w:t>
      </w:r>
      <w:r w:rsidRPr="0002744D" w:rsidR="00A20594">
        <w:t>,</w:t>
      </w:r>
      <w:r w:rsidRPr="0002744D" w:rsidR="00B961E7">
        <w:t xml:space="preserve">110 </w:t>
      </w:r>
      <w:r w:rsidRPr="0002744D" w:rsidR="00CC4E4F">
        <w:t xml:space="preserve">applications </w:t>
      </w:r>
      <w:r w:rsidRPr="0002744D" w:rsidR="00A20594">
        <w:t xml:space="preserve">to be </w:t>
      </w:r>
      <w:r w:rsidRPr="0002744D" w:rsidR="00CC4E4F">
        <w:t xml:space="preserve">assigned to </w:t>
      </w:r>
      <w:r w:rsidRPr="0002744D" w:rsidR="00B961E7">
        <w:t xml:space="preserve">alternative civilian service. </w:t>
      </w:r>
      <w:r w:rsidRPr="0002744D" w:rsidR="00D73DF4">
        <w:t>Almost 98</w:t>
      </w:r>
      <w:r w:rsidRPr="0002744D" w:rsidR="00A20594">
        <w:t xml:space="preserve">% </w:t>
      </w:r>
      <w:r w:rsidRPr="0002744D" w:rsidR="00D73DF4">
        <w:t xml:space="preserve">of </w:t>
      </w:r>
      <w:r w:rsidRPr="0002744D" w:rsidR="009A60AD">
        <w:t>them</w:t>
      </w:r>
      <w:r w:rsidRPr="0002744D" w:rsidR="00D73DF4">
        <w:t xml:space="preserve"> </w:t>
      </w:r>
      <w:r w:rsidRPr="0002744D" w:rsidR="00A20594">
        <w:t xml:space="preserve">had been </w:t>
      </w:r>
      <w:r w:rsidRPr="0002744D" w:rsidR="00BD4465">
        <w:t>allowed</w:t>
      </w:r>
      <w:r w:rsidRPr="0002744D" w:rsidR="00D73DF4">
        <w:t>.</w:t>
      </w:r>
    </w:p>
    <w:bookmarkStart w:name="gvtjudicialreview" w:id="24"/>
    <w:p w:rsidRPr="0002744D" w:rsidR="006F22BC" w:rsidP="0002744D" w:rsidRDefault="00D3011A">
      <w:pPr>
        <w:pStyle w:val="ECHRPara"/>
      </w:pPr>
      <w:r w:rsidRPr="0002744D">
        <w:fldChar w:fldCharType="begin"/>
      </w:r>
      <w:r w:rsidRPr="0002744D">
        <w:instrText xml:space="preserve"> SEQ level0 \*arabic </w:instrText>
      </w:r>
      <w:r w:rsidRPr="0002744D">
        <w:fldChar w:fldCharType="separate"/>
      </w:r>
      <w:r w:rsidRPr="0002744D" w:rsidR="0002744D">
        <w:rPr>
          <w:noProof/>
        </w:rPr>
        <w:t>54</w:t>
      </w:r>
      <w:r w:rsidRPr="0002744D">
        <w:fldChar w:fldCharType="end"/>
      </w:r>
      <w:bookmarkEnd w:id="24"/>
      <w:r w:rsidRPr="0002744D">
        <w:t>.  </w:t>
      </w:r>
      <w:r w:rsidRPr="0002744D" w:rsidR="00D445DF">
        <w:t>As regards judicial review of refusal</w:t>
      </w:r>
      <w:r w:rsidRPr="0002744D" w:rsidR="00457172">
        <w:t>s</w:t>
      </w:r>
      <w:r w:rsidRPr="0002744D" w:rsidR="00D445DF">
        <w:t xml:space="preserve"> to </w:t>
      </w:r>
      <w:r w:rsidRPr="0002744D" w:rsidR="00BD4465">
        <w:t xml:space="preserve">replace </w:t>
      </w:r>
      <w:r w:rsidRPr="0002744D" w:rsidR="00D445DF">
        <w:t>military service</w:t>
      </w:r>
      <w:r w:rsidRPr="0002744D" w:rsidR="00A20594">
        <w:t xml:space="preserve"> with civilian service</w:t>
      </w:r>
      <w:r w:rsidRPr="0002744D" w:rsidR="00D445DF">
        <w:t xml:space="preserve">, the </w:t>
      </w:r>
      <w:r w:rsidRPr="0002744D" w:rsidR="00FA2C2E">
        <w:t>Government</w:t>
      </w:r>
      <w:r w:rsidRPr="0002744D" w:rsidR="00D445DF">
        <w:t xml:space="preserve"> indicated</w:t>
      </w:r>
      <w:r w:rsidRPr="0002744D" w:rsidR="00FA2C2E">
        <w:t xml:space="preserve"> that</w:t>
      </w:r>
      <w:r w:rsidRPr="0002744D" w:rsidR="00D445DF">
        <w:t xml:space="preserve"> </w:t>
      </w:r>
      <w:r w:rsidRPr="0002744D" w:rsidR="00FA2C2E">
        <w:t xml:space="preserve">from 2014 </w:t>
      </w:r>
      <w:r w:rsidRPr="0002744D" w:rsidR="00A20594">
        <w:t xml:space="preserve">until </w:t>
      </w:r>
      <w:r w:rsidRPr="0002744D" w:rsidR="00FA2C2E">
        <w:t xml:space="preserve">2017 </w:t>
      </w:r>
      <w:r w:rsidRPr="0002744D" w:rsidR="00457172">
        <w:t xml:space="preserve">courts </w:t>
      </w:r>
      <w:r w:rsidRPr="0002744D" w:rsidR="00A20594">
        <w:t xml:space="preserve">had allowed </w:t>
      </w:r>
      <w:r w:rsidRPr="0002744D" w:rsidR="00725E01">
        <w:t xml:space="preserve">forty-four </w:t>
      </w:r>
      <w:r w:rsidRPr="0002744D" w:rsidR="00FA2C2E">
        <w:t xml:space="preserve">appeals against refusals </w:t>
      </w:r>
      <w:r w:rsidRPr="0002744D" w:rsidR="00A20594">
        <w:t xml:space="preserve">by </w:t>
      </w:r>
      <w:r w:rsidRPr="0002744D" w:rsidR="00FA2C2E">
        <w:t xml:space="preserve">military recruitment commissions to </w:t>
      </w:r>
      <w:r w:rsidRPr="0002744D" w:rsidR="00A20594">
        <w:t xml:space="preserve">allow the </w:t>
      </w:r>
      <w:r w:rsidRPr="0002744D" w:rsidR="00BD4465">
        <w:t>replacement</w:t>
      </w:r>
      <w:r w:rsidRPr="0002744D" w:rsidR="00A20594">
        <w:t xml:space="preserve"> of</w:t>
      </w:r>
      <w:r w:rsidRPr="0002744D" w:rsidR="00725E01">
        <w:t xml:space="preserve"> </w:t>
      </w:r>
      <w:r w:rsidRPr="0002744D" w:rsidR="00FA2C2E">
        <w:t>military service with its civilian alternative.</w:t>
      </w:r>
    </w:p>
    <w:p w:rsidRPr="0002744D" w:rsidR="00497CD3" w:rsidP="0002744D" w:rsidRDefault="00497CD3">
      <w:pPr>
        <w:pStyle w:val="ECHRHeading3"/>
        <w:rPr>
          <w:rFonts w:asciiTheme="minorHAnsi" w:hAnsiTheme="minorHAnsi" w:eastAsiaTheme="minorEastAsia" w:cstheme="minorBidi"/>
          <w:bCs w:val="0"/>
          <w:i w:val="0"/>
        </w:rPr>
      </w:pPr>
      <w:r w:rsidRPr="0002744D">
        <w:t>3.  </w:t>
      </w:r>
      <w:r w:rsidRPr="0002744D" w:rsidR="00725E01">
        <w:t>S</w:t>
      </w:r>
      <w:r w:rsidRPr="0002744D" w:rsidR="00965C25">
        <w:t xml:space="preserve">ubmissions </w:t>
      </w:r>
      <w:r w:rsidRPr="0002744D" w:rsidR="00725E01">
        <w:t>by t</w:t>
      </w:r>
      <w:r w:rsidRPr="0002744D" w:rsidR="00965C25">
        <w:t xml:space="preserve">he </w:t>
      </w:r>
      <w:r w:rsidRPr="0002744D" w:rsidR="005039E4">
        <w:t>third</w:t>
      </w:r>
      <w:r w:rsidRPr="0002744D" w:rsidR="00A20594">
        <w:t>-</w:t>
      </w:r>
      <w:r w:rsidRPr="0002744D" w:rsidR="005039E4">
        <w:t>party intervener</w:t>
      </w:r>
    </w:p>
    <w:p w:rsidRPr="0002744D" w:rsidR="005130D8" w:rsidP="0002744D" w:rsidRDefault="00287D19">
      <w:pPr>
        <w:pStyle w:val="ECHRPara"/>
        <w:rPr>
          <w:rFonts w:asciiTheme="majorHAnsi" w:hAnsiTheme="majorHAnsi" w:eastAsiaTheme="majorEastAsia" w:cstheme="majorBidi"/>
          <w:bCs/>
          <w:i/>
        </w:rPr>
      </w:pPr>
      <w:r w:rsidRPr="0002744D">
        <w:fldChar w:fldCharType="begin"/>
      </w:r>
      <w:r w:rsidRPr="0002744D">
        <w:instrText xml:space="preserve"> SEQ level0 \*arabic </w:instrText>
      </w:r>
      <w:r w:rsidRPr="0002744D">
        <w:fldChar w:fldCharType="separate"/>
      </w:r>
      <w:r w:rsidRPr="0002744D" w:rsidR="0002744D">
        <w:rPr>
          <w:noProof/>
        </w:rPr>
        <w:t>55</w:t>
      </w:r>
      <w:r w:rsidRPr="0002744D">
        <w:rPr>
          <w:noProof/>
        </w:rPr>
        <w:fldChar w:fldCharType="end"/>
      </w:r>
      <w:r w:rsidRPr="0002744D" w:rsidR="00965C25">
        <w:t>.  The Movement of Conscientious Objectors</w:t>
      </w:r>
      <w:r w:rsidRPr="0002744D" w:rsidR="00310D68">
        <w:t>, a non-governmental organisation</w:t>
      </w:r>
      <w:r w:rsidRPr="0002744D" w:rsidR="00310D68">
        <w:rPr>
          <w:color w:val="000000"/>
          <w:sz w:val="20"/>
          <w:szCs w:val="20"/>
        </w:rPr>
        <w:t xml:space="preserve"> </w:t>
      </w:r>
      <w:r w:rsidRPr="0002744D" w:rsidR="00310D68">
        <w:t>working with conscientious objectors in Russia</w:t>
      </w:r>
      <w:r w:rsidRPr="0002744D" w:rsidR="00965C25">
        <w:t xml:space="preserve">, acting as a third party, argued </w:t>
      </w:r>
      <w:r w:rsidRPr="0002744D" w:rsidR="002B6B95">
        <w:t xml:space="preserve">that recruitment commissions were </w:t>
      </w:r>
      <w:r w:rsidRPr="0002744D" w:rsidR="00725E01">
        <w:t xml:space="preserve">not independent </w:t>
      </w:r>
      <w:r w:rsidRPr="0002744D" w:rsidR="00A20594">
        <w:t xml:space="preserve">of </w:t>
      </w:r>
      <w:r w:rsidRPr="0002744D" w:rsidR="00725E01">
        <w:t xml:space="preserve">the </w:t>
      </w:r>
      <w:r w:rsidRPr="0002744D" w:rsidR="002B6B95">
        <w:t xml:space="preserve">military authorities. </w:t>
      </w:r>
      <w:r w:rsidRPr="0002744D" w:rsidR="00CF0520">
        <w:t xml:space="preserve">Commissions relied on administrative and financial support from commissariats. In practice, </w:t>
      </w:r>
      <w:r w:rsidRPr="0002744D" w:rsidR="00725E01">
        <w:t xml:space="preserve">the </w:t>
      </w:r>
      <w:r w:rsidRPr="0002744D" w:rsidR="00CF0520">
        <w:t xml:space="preserve">head of </w:t>
      </w:r>
      <w:r w:rsidRPr="0002744D" w:rsidR="00A20594">
        <w:t xml:space="preserve">each </w:t>
      </w:r>
      <w:r w:rsidRPr="0002744D" w:rsidR="00CF0520">
        <w:t>military commissariat made all the decisions and the remaining members simply concurred with him.</w:t>
      </w:r>
      <w:r w:rsidRPr="0002744D" w:rsidR="007823E1">
        <w:t xml:space="preserve"> </w:t>
      </w:r>
      <w:r w:rsidRPr="0002744D" w:rsidR="00725E01">
        <w:t>Procedural rules</w:t>
      </w:r>
      <w:r w:rsidRPr="0002744D" w:rsidR="00FC04B8">
        <w:t xml:space="preserve"> were quite frequently violated</w:t>
      </w:r>
      <w:r w:rsidRPr="0002744D" w:rsidR="00F2625C">
        <w:t xml:space="preserve"> during </w:t>
      </w:r>
      <w:r w:rsidRPr="0002744D" w:rsidR="00725E01">
        <w:t xml:space="preserve">the </w:t>
      </w:r>
      <w:r w:rsidRPr="0002744D" w:rsidR="00F2625C">
        <w:t>commissions</w:t>
      </w:r>
      <w:r w:rsidRPr="0002744D" w:rsidR="0002744D">
        <w:t>’</w:t>
      </w:r>
      <w:r w:rsidRPr="0002744D" w:rsidR="00F2625C">
        <w:t xml:space="preserve"> sessions</w:t>
      </w:r>
      <w:r w:rsidRPr="0002744D" w:rsidR="00FC04B8">
        <w:t>.</w:t>
      </w:r>
    </w:p>
    <w:p w:rsidRPr="0002744D" w:rsidR="006F22BC" w:rsidP="0002744D" w:rsidRDefault="007823E1">
      <w:pPr>
        <w:pStyle w:val="ECHRPara"/>
      </w:pPr>
      <w:r w:rsidRPr="0002744D">
        <w:fldChar w:fldCharType="begin"/>
      </w:r>
      <w:r w:rsidRPr="0002744D">
        <w:instrText xml:space="preserve"> SEQ level0 \*arabic </w:instrText>
      </w:r>
      <w:r w:rsidRPr="0002744D">
        <w:fldChar w:fldCharType="separate"/>
      </w:r>
      <w:r w:rsidRPr="0002744D" w:rsidR="0002744D">
        <w:rPr>
          <w:noProof/>
        </w:rPr>
        <w:t>56</w:t>
      </w:r>
      <w:r w:rsidRPr="0002744D">
        <w:fldChar w:fldCharType="end"/>
      </w:r>
      <w:r w:rsidRPr="0002744D" w:rsidR="006F22BC">
        <w:t>.  </w:t>
      </w:r>
      <w:r w:rsidRPr="0002744D" w:rsidR="00FC04B8">
        <w:t xml:space="preserve">The </w:t>
      </w:r>
      <w:r w:rsidRPr="0002744D" w:rsidR="00BD4465">
        <w:t>third-party intervener</w:t>
      </w:r>
      <w:r w:rsidRPr="0002744D" w:rsidR="00FC04B8">
        <w:t xml:space="preserve"> </w:t>
      </w:r>
      <w:r w:rsidRPr="0002744D" w:rsidR="0095514F">
        <w:t xml:space="preserve">provided statistics on </w:t>
      </w:r>
      <w:r w:rsidRPr="0002744D" w:rsidR="00CC4E4F">
        <w:t>applications to be assigned</w:t>
      </w:r>
      <w:r w:rsidRPr="0002744D" w:rsidR="00A20594">
        <w:t xml:space="preserve"> to </w:t>
      </w:r>
      <w:r w:rsidRPr="0002744D" w:rsidR="0095514F">
        <w:t>alternative civil service</w:t>
      </w:r>
      <w:r w:rsidRPr="0002744D" w:rsidR="00FC04B8">
        <w:t xml:space="preserve"> </w:t>
      </w:r>
      <w:r w:rsidRPr="0002744D" w:rsidR="00A20594">
        <w:t xml:space="preserve">lodged </w:t>
      </w:r>
      <w:r w:rsidRPr="0002744D" w:rsidR="00996A38">
        <w:t xml:space="preserve">with </w:t>
      </w:r>
      <w:r w:rsidRPr="0002744D" w:rsidR="00A20594">
        <w:t xml:space="preserve">its </w:t>
      </w:r>
      <w:r w:rsidRPr="0002744D" w:rsidR="00996A38">
        <w:t xml:space="preserve">assistance </w:t>
      </w:r>
      <w:r w:rsidRPr="0002744D" w:rsidR="0095514F">
        <w:t xml:space="preserve">from 2015 </w:t>
      </w:r>
      <w:r w:rsidRPr="0002744D" w:rsidR="00A20594">
        <w:t xml:space="preserve">until </w:t>
      </w:r>
      <w:r w:rsidRPr="0002744D" w:rsidR="0095514F">
        <w:t xml:space="preserve">2017. Out of 242 </w:t>
      </w:r>
      <w:r w:rsidRPr="0002744D" w:rsidR="00BD4465">
        <w:t>applications</w:t>
      </w:r>
      <w:r w:rsidRPr="0002744D" w:rsidR="00CC4E4F">
        <w:t xml:space="preserve"> </w:t>
      </w:r>
      <w:r w:rsidRPr="0002744D" w:rsidR="00EE5C27">
        <w:t xml:space="preserve">only </w:t>
      </w:r>
      <w:r w:rsidRPr="0002744D" w:rsidR="0095514F">
        <w:t xml:space="preserve">115 </w:t>
      </w:r>
      <w:r w:rsidRPr="0002744D" w:rsidR="00A20594">
        <w:t xml:space="preserve">had been </w:t>
      </w:r>
      <w:r w:rsidRPr="0002744D" w:rsidR="00CC4E4F">
        <w:t>allowed</w:t>
      </w:r>
      <w:r w:rsidRPr="0002744D" w:rsidR="0095514F">
        <w:t>.</w:t>
      </w:r>
    </w:p>
    <w:p w:rsidRPr="0002744D" w:rsidR="006F22BC" w:rsidP="0002744D" w:rsidRDefault="00996A38">
      <w:pPr>
        <w:pStyle w:val="ECHRPara"/>
      </w:pPr>
      <w:r w:rsidRPr="0002744D">
        <w:fldChar w:fldCharType="begin"/>
      </w:r>
      <w:r w:rsidRPr="0002744D">
        <w:instrText xml:space="preserve"> SEQ level0 \*arabic </w:instrText>
      </w:r>
      <w:r w:rsidRPr="0002744D">
        <w:fldChar w:fldCharType="separate"/>
      </w:r>
      <w:r w:rsidRPr="0002744D" w:rsidR="0002744D">
        <w:rPr>
          <w:noProof/>
        </w:rPr>
        <w:t>57</w:t>
      </w:r>
      <w:r w:rsidRPr="0002744D">
        <w:fldChar w:fldCharType="end"/>
      </w:r>
      <w:r w:rsidRPr="0002744D">
        <w:t xml:space="preserve">.  The Movement of Conscientious Objectors also referred to </w:t>
      </w:r>
      <w:r w:rsidRPr="0002744D" w:rsidR="00A20594">
        <w:t xml:space="preserve">fifty-six </w:t>
      </w:r>
      <w:r w:rsidRPr="0002744D">
        <w:t xml:space="preserve">domestic </w:t>
      </w:r>
      <w:r w:rsidRPr="0002744D" w:rsidR="001A559F">
        <w:t xml:space="preserve">court decisions delivered in 2016. Only </w:t>
      </w:r>
      <w:r w:rsidRPr="0002744D" w:rsidR="00A20594">
        <w:t xml:space="preserve">four </w:t>
      </w:r>
      <w:r w:rsidRPr="0002744D" w:rsidR="001A559F">
        <w:t xml:space="preserve">of </w:t>
      </w:r>
      <w:r w:rsidRPr="0002744D" w:rsidR="00A20594">
        <w:t xml:space="preserve">those decisions had allowed </w:t>
      </w:r>
      <w:r w:rsidRPr="0002744D" w:rsidR="001A559F">
        <w:t xml:space="preserve">appeals against decisions </w:t>
      </w:r>
      <w:r w:rsidRPr="0002744D" w:rsidR="00634EBF">
        <w:t xml:space="preserve">issued by </w:t>
      </w:r>
      <w:r w:rsidRPr="0002744D" w:rsidR="001A559F">
        <w:t>military recruitment commissions.</w:t>
      </w:r>
    </w:p>
    <w:p w:rsidRPr="0002744D" w:rsidR="00CC1442" w:rsidP="0002744D" w:rsidRDefault="00497CD3">
      <w:pPr>
        <w:pStyle w:val="ECHRHeading2"/>
      </w:pPr>
      <w:r w:rsidRPr="0002744D">
        <w:t>B.  </w:t>
      </w:r>
      <w:r w:rsidRPr="0002744D" w:rsidR="00CC1442">
        <w:t>Assessment by the Court</w:t>
      </w:r>
    </w:p>
    <w:p w:rsidRPr="0002744D" w:rsidR="00497CD3" w:rsidP="0002744D" w:rsidRDefault="00725E01">
      <w:pPr>
        <w:pStyle w:val="ECHRHeading3"/>
      </w:pPr>
      <w:r w:rsidRPr="0002744D">
        <w:t>1.  </w:t>
      </w:r>
      <w:r w:rsidRPr="0002744D" w:rsidR="00497CD3">
        <w:t>Admissibility</w:t>
      </w:r>
    </w:p>
    <w:p w:rsidRPr="0002744D" w:rsidR="00497CD3" w:rsidP="0002744D" w:rsidRDefault="00497CD3">
      <w:pPr>
        <w:pStyle w:val="ECHRPara"/>
      </w:pPr>
      <w:r w:rsidRPr="0002744D">
        <w:fldChar w:fldCharType="begin"/>
      </w:r>
      <w:r w:rsidRPr="0002744D">
        <w:instrText xml:space="preserve"> SEQ level0 \*arabic </w:instrText>
      </w:r>
      <w:r w:rsidRPr="0002744D">
        <w:fldChar w:fldCharType="separate"/>
      </w:r>
      <w:r w:rsidRPr="0002744D" w:rsidR="0002744D">
        <w:rPr>
          <w:noProof/>
        </w:rPr>
        <w:t>58</w:t>
      </w:r>
      <w:r w:rsidRPr="0002744D">
        <w:fldChar w:fldCharType="end"/>
      </w:r>
      <w:r w:rsidRPr="0002744D">
        <w:t>.  The Court notes that the complaint is not manifestly ill-founded within the meaning of Article 35 § 3 (a) of the Convention. It further</w:t>
      </w:r>
      <w:r w:rsidRPr="0002744D" w:rsidR="005C6D78">
        <w:t>more</w:t>
      </w:r>
      <w:r w:rsidRPr="0002744D">
        <w:t xml:space="preserve"> notes that it is not inadmissible on any other grounds. It must therefore be declared admissible.</w:t>
      </w:r>
    </w:p>
    <w:p w:rsidRPr="0002744D" w:rsidR="00DA4349" w:rsidP="0002744D" w:rsidRDefault="00725E01">
      <w:pPr>
        <w:pStyle w:val="ECHRHeading3"/>
        <w:keepNext w:val="0"/>
        <w:keepLines w:val="0"/>
      </w:pPr>
      <w:r w:rsidRPr="0002744D">
        <w:t>2</w:t>
      </w:r>
      <w:r w:rsidRPr="0002744D" w:rsidR="009E2683">
        <w:t>.  Merits</w:t>
      </w:r>
    </w:p>
    <w:p w:rsidRPr="0002744D" w:rsidR="00DC3306" w:rsidP="0002744D" w:rsidRDefault="00725E01">
      <w:pPr>
        <w:pStyle w:val="ECHRHeading4"/>
        <w:rPr>
          <w:rFonts w:asciiTheme="minorHAnsi" w:hAnsiTheme="minorHAnsi" w:eastAsiaTheme="minorEastAsia" w:cstheme="minorBidi"/>
          <w:b w:val="0"/>
          <w:bCs w:val="0"/>
          <w:i/>
          <w:iCs w:val="0"/>
          <w:sz w:val="24"/>
        </w:rPr>
      </w:pPr>
      <w:r w:rsidRPr="0002744D">
        <w:t>(a)</w:t>
      </w:r>
      <w:r w:rsidRPr="0002744D" w:rsidR="00D05763">
        <w:t>  </w:t>
      </w:r>
      <w:r w:rsidRPr="0002744D" w:rsidR="003D231E">
        <w:t>T</w:t>
      </w:r>
      <w:r w:rsidRPr="0002744D" w:rsidR="00F53E3E">
        <w:t>he Court</w:t>
      </w:r>
      <w:r w:rsidRPr="0002744D" w:rsidR="0002744D">
        <w:t>’</w:t>
      </w:r>
      <w:r w:rsidRPr="0002744D" w:rsidR="00F53E3E">
        <w:t>s approach</w:t>
      </w:r>
      <w:r w:rsidRPr="0002744D" w:rsidR="003D231E">
        <w:t xml:space="preserve"> in the present case</w:t>
      </w:r>
    </w:p>
    <w:p w:rsidRPr="0002744D" w:rsidR="00BE4840" w:rsidP="0002744D" w:rsidRDefault="00BE4840">
      <w:pPr>
        <w:pStyle w:val="ECHRPara"/>
      </w:pPr>
      <w:r w:rsidRPr="0002744D">
        <w:fldChar w:fldCharType="begin"/>
      </w:r>
      <w:r w:rsidRPr="0002744D">
        <w:instrText xml:space="preserve"> SEQ level0 \*arabic </w:instrText>
      </w:r>
      <w:r w:rsidRPr="0002744D">
        <w:fldChar w:fldCharType="separate"/>
      </w:r>
      <w:r w:rsidRPr="0002744D" w:rsidR="0002744D">
        <w:rPr>
          <w:noProof/>
        </w:rPr>
        <w:t>59</w:t>
      </w:r>
      <w:r w:rsidRPr="0002744D">
        <w:fldChar w:fldCharType="end"/>
      </w:r>
      <w:r w:rsidRPr="0002744D">
        <w:t>.  The Court reiterates that opposition to military service, where it is motivated by a serious and insurmountable conflict between the obligation to serve in the army and a person</w:t>
      </w:r>
      <w:r w:rsidRPr="0002744D" w:rsidR="0002744D">
        <w:t>’</w:t>
      </w:r>
      <w:r w:rsidRPr="0002744D">
        <w:t xml:space="preserve">s conscience or his deeply and genuinely held religious or other beliefs, constitutes a conviction or belief of sufficient cogency, seriousness, cohesion and importance to attract the guarantees of Article 9 of the Convention. Whether and to what extent objection to military service falls within the ambit of that provision must be assessed in the light of the particular circumstances of the case (see </w:t>
      </w:r>
      <w:proofErr w:type="spellStart"/>
      <w:r w:rsidRPr="0002744D" w:rsidR="003F2557">
        <w:rPr>
          <w:i/>
        </w:rPr>
        <w:t>Bayatyan</w:t>
      </w:r>
      <w:proofErr w:type="spellEnd"/>
      <w:r w:rsidRPr="0002744D" w:rsidR="003F2557">
        <w:rPr>
          <w:i/>
        </w:rPr>
        <w:t xml:space="preserve"> v. </w:t>
      </w:r>
      <w:r w:rsidRPr="0002744D" w:rsidR="002B7C0A">
        <w:rPr>
          <w:i/>
        </w:rPr>
        <w:t>Armenia</w:t>
      </w:r>
      <w:r w:rsidRPr="0002744D" w:rsidR="002B7C0A">
        <w:t xml:space="preserve"> [GC], no. 23459/03, §110, ECHR 2011</w:t>
      </w:r>
      <w:r w:rsidRPr="0002744D">
        <w:t>).</w:t>
      </w:r>
    </w:p>
    <w:p w:rsidRPr="0002744D" w:rsidR="00BB548A" w:rsidP="0002744D" w:rsidRDefault="00670E99">
      <w:pPr>
        <w:pStyle w:val="ECHRPara"/>
      </w:pPr>
      <w:r w:rsidRPr="0002744D">
        <w:fldChar w:fldCharType="begin"/>
      </w:r>
      <w:r w:rsidRPr="0002744D">
        <w:instrText xml:space="preserve"> SEQ level0 \*arabic </w:instrText>
      </w:r>
      <w:r w:rsidRPr="0002744D">
        <w:fldChar w:fldCharType="separate"/>
      </w:r>
      <w:r w:rsidRPr="0002744D" w:rsidR="0002744D">
        <w:rPr>
          <w:noProof/>
        </w:rPr>
        <w:t>60</w:t>
      </w:r>
      <w:r w:rsidRPr="0002744D">
        <w:fldChar w:fldCharType="end"/>
      </w:r>
      <w:r w:rsidRPr="0002744D">
        <w:t>.  </w:t>
      </w:r>
      <w:r w:rsidRPr="0002744D" w:rsidR="00BF19D6">
        <w:t xml:space="preserve">The Court </w:t>
      </w:r>
      <w:r w:rsidRPr="0002744D" w:rsidR="00E2376D">
        <w:t xml:space="preserve">furthermore </w:t>
      </w:r>
      <w:r w:rsidRPr="0002744D" w:rsidR="00BF19D6">
        <w:t>notes that States are bound by primarily negative undertaking to abstain from any interference with the rights guaranteed by Article 9 of the Convention. The Court finds that interference will take place where an individual</w:t>
      </w:r>
      <w:r w:rsidRPr="0002744D" w:rsidR="0002744D">
        <w:t>’</w:t>
      </w:r>
      <w:r w:rsidRPr="0002744D" w:rsidR="00BF19D6">
        <w:t xml:space="preserve">s request, motivated by religious beliefs or convictions, to be drafted for alternative civilian service is dismissed </w:t>
      </w:r>
      <w:r w:rsidRPr="0002744D" w:rsidR="00145B7C">
        <w:t>by national authorities</w:t>
      </w:r>
      <w:r w:rsidRPr="0002744D" w:rsidR="00E2376D">
        <w:t xml:space="preserve">. Such interference will be contrary to Article 9 of the Convention unless </w:t>
      </w:r>
      <w:bookmarkStart w:name="HIT1" w:id="25"/>
      <w:bookmarkEnd w:id="25"/>
      <w:r w:rsidRPr="0002744D" w:rsidR="00E2376D">
        <w:t>it is “</w:t>
      </w:r>
      <w:bookmarkStart w:name="HIT2" w:id="26"/>
      <w:bookmarkEnd w:id="26"/>
      <w:r w:rsidRPr="0002744D" w:rsidR="00E2376D">
        <w:t xml:space="preserve">prescribed by </w:t>
      </w:r>
      <w:bookmarkStart w:name="HIT3" w:id="27"/>
      <w:bookmarkEnd w:id="27"/>
      <w:r w:rsidRPr="0002744D" w:rsidR="00E2376D">
        <w:t>law”, pursues one or more of the legitimate aims set out in paragraph 2 and is “necessary in a democratic society”</w:t>
      </w:r>
      <w:r w:rsidRPr="0002744D" w:rsidR="00BF19D6">
        <w:t xml:space="preserve"> (see</w:t>
      </w:r>
      <w:r w:rsidRPr="0002744D" w:rsidR="00145B7C">
        <w:t xml:space="preserve">, </w:t>
      </w:r>
      <w:r w:rsidRPr="0002744D" w:rsidR="00145B7C">
        <w:rPr>
          <w:i/>
        </w:rPr>
        <w:t>mutatis mutandis</w:t>
      </w:r>
      <w:r w:rsidRPr="0002744D" w:rsidR="00145B7C">
        <w:t>,</w:t>
      </w:r>
      <w:r w:rsidRPr="0002744D" w:rsidR="00BF19D6">
        <w:t xml:space="preserve"> </w:t>
      </w:r>
      <w:proofErr w:type="spellStart"/>
      <w:r w:rsidRPr="0002744D" w:rsidR="00BF19D6">
        <w:rPr>
          <w:i/>
          <w:iCs/>
        </w:rPr>
        <w:t>Adyan</w:t>
      </w:r>
      <w:proofErr w:type="spellEnd"/>
      <w:r w:rsidRPr="0002744D" w:rsidR="00BF19D6">
        <w:rPr>
          <w:i/>
          <w:iCs/>
        </w:rPr>
        <w:t xml:space="preserve"> and Others v. Armenia</w:t>
      </w:r>
      <w:r w:rsidRPr="0002744D" w:rsidR="003F2557">
        <w:rPr>
          <w:lang w:eastAsia="en-GB"/>
        </w:rPr>
        <w:t>, no. </w:t>
      </w:r>
      <w:r w:rsidRPr="0002744D" w:rsidR="00BF19D6">
        <w:t>75604/11</w:t>
      </w:r>
      <w:r w:rsidRPr="0002744D" w:rsidR="00BF19D6">
        <w:rPr>
          <w:lang w:eastAsia="en-GB"/>
        </w:rPr>
        <w:t xml:space="preserve">, </w:t>
      </w:r>
      <w:r w:rsidRPr="0002744D" w:rsidR="00BF19D6">
        <w:t>§ 60, 12 October 2017).</w:t>
      </w:r>
    </w:p>
    <w:p w:rsidRPr="0002744D" w:rsidR="00E2376D" w:rsidP="0002744D" w:rsidRDefault="00670E99">
      <w:pPr>
        <w:pStyle w:val="ECHRPara"/>
      </w:pPr>
      <w:r w:rsidRPr="0002744D">
        <w:fldChar w:fldCharType="begin"/>
      </w:r>
      <w:r w:rsidRPr="0002744D">
        <w:instrText xml:space="preserve"> SEQ level0 \*arabic </w:instrText>
      </w:r>
      <w:r w:rsidRPr="0002744D">
        <w:fldChar w:fldCharType="separate"/>
      </w:r>
      <w:r w:rsidRPr="0002744D" w:rsidR="0002744D">
        <w:rPr>
          <w:noProof/>
        </w:rPr>
        <w:t>61</w:t>
      </w:r>
      <w:r w:rsidRPr="0002744D">
        <w:fldChar w:fldCharType="end"/>
      </w:r>
      <w:r w:rsidRPr="0002744D">
        <w:t>.  </w:t>
      </w:r>
      <w:r w:rsidRPr="0002744D" w:rsidR="00AD025D">
        <w:t>In this regard,</w:t>
      </w:r>
      <w:r w:rsidRPr="0002744D" w:rsidR="00A918FC">
        <w:t xml:space="preserve"> t</w:t>
      </w:r>
      <w:r w:rsidRPr="0002744D" w:rsidR="00E2376D">
        <w:t xml:space="preserve">he Court </w:t>
      </w:r>
      <w:r w:rsidRPr="0002744D" w:rsidR="001E155C">
        <w:t xml:space="preserve">also </w:t>
      </w:r>
      <w:r w:rsidRPr="0002744D" w:rsidR="00A918FC">
        <w:t xml:space="preserve">reiterates that it </w:t>
      </w:r>
      <w:r w:rsidRPr="0002744D" w:rsidR="00E2376D">
        <w:t xml:space="preserve">has previously found that denying an individual an opportunity to </w:t>
      </w:r>
      <w:r w:rsidRPr="0002744D" w:rsidR="00A918FC">
        <w:t xml:space="preserve">perform </w:t>
      </w:r>
      <w:r w:rsidRPr="0002744D" w:rsidR="004B5F65">
        <w:t xml:space="preserve">alternative civilian service would not be necessary in a democratic society within the meaning of Article 9 of the Convention, where, </w:t>
      </w:r>
      <w:r w:rsidRPr="0002744D" w:rsidR="004B5F65">
        <w:rPr>
          <w:i/>
        </w:rPr>
        <w:t>inter alia</w:t>
      </w:r>
      <w:r w:rsidRPr="0002744D" w:rsidR="004B5F65">
        <w:t xml:space="preserve">, this individual had provided solid and convincing reasons justifying his exemption from military service (see </w:t>
      </w:r>
      <w:proofErr w:type="spellStart"/>
      <w:r w:rsidRPr="0002744D" w:rsidR="004B5F65">
        <w:rPr>
          <w:i/>
        </w:rPr>
        <w:t>Bayatyan</w:t>
      </w:r>
      <w:proofErr w:type="spellEnd"/>
      <w:r w:rsidRPr="0002744D" w:rsidR="004B5F65">
        <w:rPr>
          <w:i/>
        </w:rPr>
        <w:t xml:space="preserve">, </w:t>
      </w:r>
      <w:r w:rsidRPr="0002744D" w:rsidR="004B5F65">
        <w:t>cited above, §§ 125-28)</w:t>
      </w:r>
    </w:p>
    <w:p w:rsidRPr="0002744D" w:rsidR="00BB548A" w:rsidP="0002744D" w:rsidRDefault="0008329A">
      <w:pPr>
        <w:pStyle w:val="ECHRPara"/>
      </w:pPr>
      <w:r w:rsidRPr="0002744D">
        <w:fldChar w:fldCharType="begin"/>
      </w:r>
      <w:r w:rsidRPr="0002744D">
        <w:instrText xml:space="preserve"> SEQ level0 \*arabic </w:instrText>
      </w:r>
      <w:r w:rsidRPr="0002744D">
        <w:fldChar w:fldCharType="separate"/>
      </w:r>
      <w:r w:rsidRPr="0002744D" w:rsidR="0002744D">
        <w:rPr>
          <w:noProof/>
        </w:rPr>
        <w:t>62</w:t>
      </w:r>
      <w:r w:rsidRPr="0002744D">
        <w:fldChar w:fldCharType="end"/>
      </w:r>
      <w:r w:rsidRPr="0002744D">
        <w:t>.  </w:t>
      </w:r>
      <w:r w:rsidRPr="0002744D" w:rsidR="002F0D42">
        <w:t>At the same time</w:t>
      </w:r>
      <w:r w:rsidRPr="0002744D" w:rsidR="00B34A82">
        <w:t>, the Court is mindful that were an individual requests a special exemption bestowed upon him due to his religious beliefs or convictions, it is not oppressive or in fundamental conflict with freedom of conscience to require some level of substantiation of genuine belief and, if that substantiation is not forthcoming, to reach a negative conclusion (</w:t>
      </w:r>
      <w:r w:rsidRPr="0002744D" w:rsidR="00647C3C">
        <w:t xml:space="preserve">see </w:t>
      </w:r>
      <w:proofErr w:type="spellStart"/>
      <w:r w:rsidRPr="0002744D">
        <w:rPr>
          <w:i/>
          <w:iCs/>
        </w:rPr>
        <w:t>Kosteski</w:t>
      </w:r>
      <w:proofErr w:type="spellEnd"/>
      <w:r w:rsidRPr="0002744D">
        <w:rPr>
          <w:i/>
          <w:iCs/>
        </w:rPr>
        <w:t xml:space="preserve"> v. the former Yugoslav Republic of Macedonia</w:t>
      </w:r>
      <w:r w:rsidRPr="0002744D">
        <w:t>, no. 55170/00, §</w:t>
      </w:r>
      <w:r w:rsidRPr="0002744D" w:rsidR="003F2557">
        <w:t> </w:t>
      </w:r>
      <w:r w:rsidRPr="0002744D">
        <w:t xml:space="preserve">39, 13 April 2006; </w:t>
      </w:r>
      <w:proofErr w:type="spellStart"/>
      <w:r w:rsidRPr="0002744D">
        <w:rPr>
          <w:i/>
          <w:iCs/>
          <w:lang w:val="es-ES_tradnl"/>
        </w:rPr>
        <w:t>Enver</w:t>
      </w:r>
      <w:proofErr w:type="spellEnd"/>
      <w:r w:rsidRPr="0002744D">
        <w:rPr>
          <w:i/>
          <w:iCs/>
          <w:lang w:val="es-ES_tradnl"/>
        </w:rPr>
        <w:t xml:space="preserve"> </w:t>
      </w:r>
      <w:proofErr w:type="spellStart"/>
      <w:r w:rsidRPr="0002744D">
        <w:rPr>
          <w:i/>
          <w:iCs/>
          <w:lang w:val="es-ES_tradnl"/>
        </w:rPr>
        <w:t>Aydemir</w:t>
      </w:r>
      <w:proofErr w:type="spellEnd"/>
      <w:r w:rsidRPr="0002744D">
        <w:rPr>
          <w:i/>
          <w:iCs/>
          <w:lang w:val="es-ES_tradnl"/>
        </w:rPr>
        <w:t xml:space="preserve"> v. </w:t>
      </w:r>
      <w:proofErr w:type="spellStart"/>
      <w:r w:rsidRPr="0002744D">
        <w:rPr>
          <w:i/>
          <w:iCs/>
          <w:lang w:val="es-ES_tradnl"/>
        </w:rPr>
        <w:t>Turkey</w:t>
      </w:r>
      <w:proofErr w:type="spellEnd"/>
      <w:r w:rsidRPr="0002744D" w:rsidR="003F2557">
        <w:rPr>
          <w:lang w:val="es-ES_tradnl"/>
        </w:rPr>
        <w:t>, no. 26012/11, § 81, 7 </w:t>
      </w:r>
      <w:r w:rsidRPr="0002744D">
        <w:rPr>
          <w:lang w:val="es-ES_tradnl"/>
        </w:rPr>
        <w:t xml:space="preserve">June 2016; </w:t>
      </w:r>
      <w:proofErr w:type="spellStart"/>
      <w:r w:rsidRPr="0002744D">
        <w:rPr>
          <w:i/>
          <w:iCs/>
        </w:rPr>
        <w:t>Papavasilakis</w:t>
      </w:r>
      <w:proofErr w:type="spellEnd"/>
      <w:r w:rsidRPr="0002744D">
        <w:rPr>
          <w:i/>
          <w:iCs/>
        </w:rPr>
        <w:t xml:space="preserve"> v. Greece</w:t>
      </w:r>
      <w:r w:rsidRPr="0002744D">
        <w:t>, no. 66899/14, § 54, 15 September 2016</w:t>
      </w:r>
      <w:r w:rsidRPr="0002744D" w:rsidR="00B34A82">
        <w:t>).</w:t>
      </w:r>
    </w:p>
    <w:p w:rsidRPr="0002744D" w:rsidR="00366CDA" w:rsidP="0002744D" w:rsidRDefault="00863061">
      <w:pPr>
        <w:pStyle w:val="ECHRPara"/>
      </w:pPr>
      <w:r w:rsidRPr="0002744D">
        <w:fldChar w:fldCharType="begin"/>
      </w:r>
      <w:r w:rsidRPr="0002744D">
        <w:instrText xml:space="preserve"> SEQ level0 \*arabic </w:instrText>
      </w:r>
      <w:r w:rsidRPr="0002744D">
        <w:fldChar w:fldCharType="separate"/>
      </w:r>
      <w:r w:rsidRPr="0002744D" w:rsidR="0002744D">
        <w:rPr>
          <w:noProof/>
        </w:rPr>
        <w:t>63</w:t>
      </w:r>
      <w:r w:rsidRPr="0002744D">
        <w:fldChar w:fldCharType="end"/>
      </w:r>
      <w:r w:rsidRPr="0002744D">
        <w:t>.  </w:t>
      </w:r>
      <w:r w:rsidRPr="0002744D" w:rsidR="00B34A82">
        <w:t>Accordingly, States are allowed to establish procedures to assess the seriousness of the individual</w:t>
      </w:r>
      <w:r w:rsidRPr="0002744D" w:rsidR="0002744D">
        <w:t>’</w:t>
      </w:r>
      <w:r w:rsidRPr="0002744D" w:rsidR="00B34A82">
        <w:t xml:space="preserve">s beliefs and to thwart any attempt to abuse the possibility of an exemption on the part of individuals who are in a position to perform their military service (see </w:t>
      </w:r>
      <w:proofErr w:type="spellStart"/>
      <w:r w:rsidRPr="0002744D" w:rsidR="00B34A82">
        <w:rPr>
          <w:i/>
        </w:rPr>
        <w:t>Papavasilakis</w:t>
      </w:r>
      <w:proofErr w:type="spellEnd"/>
      <w:r w:rsidRPr="0002744D" w:rsidR="00B34A82">
        <w:t xml:space="preserve">, </w:t>
      </w:r>
      <w:r w:rsidRPr="0002744D" w:rsidR="0008329A">
        <w:t>cited above</w:t>
      </w:r>
      <w:r w:rsidRPr="0002744D" w:rsidR="003F2557">
        <w:t>, § </w:t>
      </w:r>
      <w:r w:rsidRPr="0002744D" w:rsidR="00B34A82">
        <w:t>54).</w:t>
      </w:r>
      <w:r w:rsidRPr="0002744D">
        <w:t xml:space="preserve"> </w:t>
      </w:r>
      <w:r w:rsidRPr="0002744D" w:rsidR="00B34A82">
        <w:t>A</w:t>
      </w:r>
      <w:r w:rsidRPr="0002744D">
        <w:t>t</w:t>
      </w:r>
      <w:r w:rsidRPr="0002744D" w:rsidR="00B34A82">
        <w:t xml:space="preserve"> the same time, </w:t>
      </w:r>
      <w:r w:rsidRPr="0002744D" w:rsidR="00366CDA">
        <w:t xml:space="preserve">there is a </w:t>
      </w:r>
      <w:r w:rsidRPr="0002744D">
        <w:t xml:space="preserve">corresponding </w:t>
      </w:r>
      <w:r w:rsidRPr="0002744D" w:rsidR="00366CDA">
        <w:t xml:space="preserve">positive obligation on domestic authorities to </w:t>
      </w:r>
      <w:r w:rsidRPr="0002744D">
        <w:t xml:space="preserve">ensure that </w:t>
      </w:r>
      <w:r w:rsidRPr="0002744D" w:rsidR="00366CDA">
        <w:t>procedure</w:t>
      </w:r>
      <w:r w:rsidRPr="0002744D">
        <w:t>s</w:t>
      </w:r>
      <w:r w:rsidRPr="0002744D" w:rsidR="00366CDA">
        <w:t xml:space="preserve"> for establishing whether an applicant is entitled to conscientious objector status</w:t>
      </w:r>
      <w:r w:rsidRPr="0002744D">
        <w:t xml:space="preserve"> are effective and accessible</w:t>
      </w:r>
      <w:r w:rsidRPr="0002744D" w:rsidR="00366CDA">
        <w:t xml:space="preserve"> (see </w:t>
      </w:r>
      <w:proofErr w:type="spellStart"/>
      <w:r w:rsidRPr="0002744D" w:rsidR="00366CDA">
        <w:rPr>
          <w:i/>
        </w:rPr>
        <w:t>Papavasilakis</w:t>
      </w:r>
      <w:proofErr w:type="spellEnd"/>
      <w:r w:rsidRPr="0002744D" w:rsidR="00366CDA">
        <w:t xml:space="preserve">, </w:t>
      </w:r>
      <w:r w:rsidRPr="0002744D">
        <w:t>cited above</w:t>
      </w:r>
      <w:r w:rsidRPr="0002744D" w:rsidR="00366CDA">
        <w:t>, §§</w:t>
      </w:r>
      <w:r w:rsidRPr="0002744D" w:rsidR="001E155C">
        <w:t> </w:t>
      </w:r>
      <w:r w:rsidRPr="0002744D" w:rsidR="00366CDA">
        <w:t>50-53</w:t>
      </w:r>
      <w:r w:rsidRPr="0002744D">
        <w:t>;</w:t>
      </w:r>
      <w:r w:rsidRPr="0002744D" w:rsidR="00366CDA">
        <w:t xml:space="preserve"> </w:t>
      </w:r>
      <w:proofErr w:type="spellStart"/>
      <w:r w:rsidRPr="0002744D" w:rsidR="003F2557">
        <w:rPr>
          <w:i/>
        </w:rPr>
        <w:t>Savda</w:t>
      </w:r>
      <w:proofErr w:type="spellEnd"/>
      <w:r w:rsidRPr="0002744D" w:rsidR="003F2557">
        <w:rPr>
          <w:i/>
        </w:rPr>
        <w:t xml:space="preserve"> v. </w:t>
      </w:r>
      <w:r w:rsidRPr="0002744D" w:rsidR="00366CDA">
        <w:rPr>
          <w:i/>
        </w:rPr>
        <w:t>Turkey</w:t>
      </w:r>
      <w:r w:rsidRPr="0002744D" w:rsidR="00366CDA">
        <w:t xml:space="preserve">, no. 42730/05, § 99, 12 June 2012). One of the fundamental conditions for </w:t>
      </w:r>
      <w:r w:rsidRPr="0002744D" w:rsidR="002D741F">
        <w:t xml:space="preserve">such </w:t>
      </w:r>
      <w:r w:rsidRPr="0002744D" w:rsidR="009D6913">
        <w:t>procedure</w:t>
      </w:r>
      <w:r w:rsidRPr="0002744D" w:rsidR="00366CDA">
        <w:t xml:space="preserve"> to be considered effective is the independence of the individuals </w:t>
      </w:r>
      <w:r w:rsidRPr="0002744D" w:rsidR="00AB0443">
        <w:t xml:space="preserve">examining requests for the replacement of military service </w:t>
      </w:r>
      <w:r w:rsidRPr="0002744D" w:rsidR="00A7326E">
        <w:t xml:space="preserve">(see </w:t>
      </w:r>
      <w:proofErr w:type="spellStart"/>
      <w:r w:rsidRPr="0002744D" w:rsidR="00A7326E">
        <w:rPr>
          <w:i/>
        </w:rPr>
        <w:t>Papavasilakis</w:t>
      </w:r>
      <w:proofErr w:type="spellEnd"/>
      <w:r w:rsidRPr="0002744D" w:rsidR="00A7326E">
        <w:t>, cited above, § 60).</w:t>
      </w:r>
    </w:p>
    <w:p w:rsidRPr="0002744D" w:rsidR="00450D4E" w:rsidP="0002744D" w:rsidRDefault="00AC144F">
      <w:pPr>
        <w:pStyle w:val="ECHRPara"/>
      </w:pPr>
      <w:r w:rsidRPr="0002744D">
        <w:fldChar w:fldCharType="begin"/>
      </w:r>
      <w:r w:rsidRPr="0002744D">
        <w:instrText xml:space="preserve"> SEQ level0 \*arabic </w:instrText>
      </w:r>
      <w:r w:rsidRPr="0002744D">
        <w:fldChar w:fldCharType="separate"/>
      </w:r>
      <w:r w:rsidRPr="0002744D" w:rsidR="0002744D">
        <w:rPr>
          <w:noProof/>
        </w:rPr>
        <w:t>64</w:t>
      </w:r>
      <w:r w:rsidRPr="0002744D">
        <w:fldChar w:fldCharType="end"/>
      </w:r>
      <w:r w:rsidRPr="0002744D">
        <w:t>.  </w:t>
      </w:r>
      <w:r w:rsidRPr="0002744D" w:rsidR="007E4A26">
        <w:t>In the light of the above observations, i</w:t>
      </w:r>
      <w:r w:rsidRPr="0002744D" w:rsidR="00450D4E">
        <w:t xml:space="preserve">n order to establish whether the requirements of Article 9 of the Convention were met in the present case the Court will examine, firstly, whether </w:t>
      </w:r>
      <w:r w:rsidRPr="0002744D" w:rsidR="002F0D42">
        <w:t xml:space="preserve">domestic authorities managed to establish an </w:t>
      </w:r>
      <w:r w:rsidRPr="0002744D" w:rsidR="00926DCE">
        <w:t>appropriate</w:t>
      </w:r>
      <w:r w:rsidRPr="0002744D" w:rsidR="002F0D42">
        <w:t xml:space="preserve"> framework in Russia</w:t>
      </w:r>
      <w:r w:rsidRPr="0002744D" w:rsidR="00450D4E">
        <w:t xml:space="preserve"> and, secondly, </w:t>
      </w:r>
      <w:r w:rsidRPr="0002744D" w:rsidR="002F0D42">
        <w:t>whether the respondent State complied with their negative obligations in the applicant</w:t>
      </w:r>
      <w:r w:rsidRPr="0002744D" w:rsidR="0002744D">
        <w:t>’</w:t>
      </w:r>
      <w:r w:rsidRPr="0002744D" w:rsidR="002F0D42">
        <w:t>s case.</w:t>
      </w:r>
    </w:p>
    <w:p w:rsidRPr="0002744D" w:rsidR="006F22BC" w:rsidP="0002744D" w:rsidRDefault="00725E01">
      <w:pPr>
        <w:pStyle w:val="ECHRHeading4"/>
      </w:pPr>
      <w:r w:rsidRPr="0002744D">
        <w:t>(b)</w:t>
      </w:r>
      <w:r w:rsidRPr="0002744D" w:rsidR="004F1F69">
        <w:t>  </w:t>
      </w:r>
      <w:r w:rsidRPr="0002744D" w:rsidR="009E26A8">
        <w:t>Positive obligations of the respondent State</w:t>
      </w:r>
    </w:p>
    <w:p w:rsidRPr="0002744D" w:rsidR="006F22BC" w:rsidP="0002744D" w:rsidRDefault="005118DB">
      <w:pPr>
        <w:pStyle w:val="ECHRHeading5"/>
      </w:pPr>
      <w:r w:rsidRPr="0002744D">
        <w:t>(</w:t>
      </w:r>
      <w:proofErr w:type="spellStart"/>
      <w:r w:rsidRPr="0002744D" w:rsidR="00725E01">
        <w:t>i</w:t>
      </w:r>
      <w:proofErr w:type="spellEnd"/>
      <w:r w:rsidRPr="0002744D">
        <w:t>)</w:t>
      </w:r>
      <w:r w:rsidRPr="0002744D" w:rsidR="004F1F69">
        <w:t>  Proceedings before a military commission</w:t>
      </w:r>
    </w:p>
    <w:p w:rsidRPr="0002744D" w:rsidR="006F22BC" w:rsidP="0002744D" w:rsidRDefault="004613E6">
      <w:pPr>
        <w:pStyle w:val="ECHRPara"/>
      </w:pPr>
      <w:r w:rsidRPr="0002744D">
        <w:fldChar w:fldCharType="begin"/>
      </w:r>
      <w:r w:rsidRPr="0002744D">
        <w:instrText xml:space="preserve"> SEQ level0 \*arabic </w:instrText>
      </w:r>
      <w:r w:rsidRPr="0002744D">
        <w:fldChar w:fldCharType="separate"/>
      </w:r>
      <w:r w:rsidRPr="0002744D" w:rsidR="0002744D">
        <w:rPr>
          <w:noProof/>
        </w:rPr>
        <w:t>65</w:t>
      </w:r>
      <w:r w:rsidRPr="0002744D">
        <w:fldChar w:fldCharType="end"/>
      </w:r>
      <w:r w:rsidRPr="0002744D">
        <w:t>.  </w:t>
      </w:r>
      <w:r w:rsidRPr="0002744D" w:rsidR="00F11411">
        <w:t>The Court notes that the Constitution of the Russian Federation expressly provide</w:t>
      </w:r>
      <w:r w:rsidRPr="0002744D" w:rsidR="00BD4465">
        <w:t>s</w:t>
      </w:r>
      <w:r w:rsidRPr="0002744D" w:rsidR="005F71F8">
        <w:t xml:space="preserve"> </w:t>
      </w:r>
      <w:bookmarkStart w:name="lt_pId193" w:id="28"/>
      <w:r w:rsidRPr="0002744D" w:rsidR="005F71F8">
        <w:t xml:space="preserve">the </w:t>
      </w:r>
      <w:r w:rsidRPr="0002744D" w:rsidR="00F11411">
        <w:t xml:space="preserve">general right </w:t>
      </w:r>
      <w:r w:rsidRPr="0002744D" w:rsidR="005F71F8">
        <w:t xml:space="preserve">of </w:t>
      </w:r>
      <w:r w:rsidRPr="0002744D" w:rsidR="00F11411">
        <w:t xml:space="preserve">conscientious objectors to </w:t>
      </w:r>
      <w:r w:rsidRPr="0002744D" w:rsidR="00725E01">
        <w:t>have the</w:t>
      </w:r>
      <w:r w:rsidRPr="0002744D" w:rsidR="004C3E5B">
        <w:t>ir obligatory</w:t>
      </w:r>
      <w:r w:rsidRPr="0002744D" w:rsidR="00F11411">
        <w:t xml:space="preserve"> military service</w:t>
      </w:r>
      <w:bookmarkEnd w:id="28"/>
      <w:r w:rsidRPr="0002744D" w:rsidR="00F11411">
        <w:t xml:space="preserve"> </w:t>
      </w:r>
      <w:r w:rsidRPr="0002744D" w:rsidR="00725E01">
        <w:t xml:space="preserve">replaced </w:t>
      </w:r>
      <w:r w:rsidRPr="0002744D" w:rsidR="00F11411">
        <w:t>wit</w:t>
      </w:r>
      <w:r w:rsidRPr="0002744D" w:rsidR="003F2557">
        <w:t xml:space="preserve">h its civilian </w:t>
      </w:r>
      <w:r w:rsidRPr="0002744D" w:rsidR="00647C3C">
        <w:t xml:space="preserve">alternative (see </w:t>
      </w:r>
      <w:r w:rsidRPr="0002744D" w:rsidR="00F11411">
        <w:t xml:space="preserve">paragraph </w:t>
      </w:r>
      <w:r w:rsidRPr="0002744D" w:rsidR="00F11411">
        <w:fldChar w:fldCharType="begin"/>
      </w:r>
      <w:r w:rsidRPr="0002744D" w:rsidR="00F11411">
        <w:instrText xml:space="preserve"> REF constitution \h </w:instrText>
      </w:r>
      <w:r w:rsidRPr="0002744D" w:rsidR="007A2B2D">
        <w:instrText xml:space="preserve"> \* MERGEFORMAT </w:instrText>
      </w:r>
      <w:r w:rsidRPr="0002744D" w:rsidR="00F11411">
        <w:fldChar w:fldCharType="separate"/>
      </w:r>
      <w:r w:rsidRPr="0002744D" w:rsidR="0002744D">
        <w:t>17</w:t>
      </w:r>
      <w:r w:rsidRPr="0002744D" w:rsidR="00F11411">
        <w:fldChar w:fldCharType="end"/>
      </w:r>
      <w:r w:rsidRPr="0002744D" w:rsidR="00725E01">
        <w:t xml:space="preserve"> above</w:t>
      </w:r>
      <w:r w:rsidRPr="0002744D" w:rsidR="00F11411">
        <w:t>).</w:t>
      </w:r>
    </w:p>
    <w:p w:rsidRPr="0002744D" w:rsidR="006F22BC" w:rsidP="0002744D" w:rsidRDefault="002F7C69">
      <w:pPr>
        <w:pStyle w:val="ECHRPara"/>
      </w:pPr>
      <w:r w:rsidRPr="0002744D">
        <w:fldChar w:fldCharType="begin"/>
      </w:r>
      <w:r w:rsidRPr="0002744D">
        <w:instrText xml:space="preserve"> SEQ level0 \*arabic </w:instrText>
      </w:r>
      <w:r w:rsidRPr="0002744D">
        <w:fldChar w:fldCharType="separate"/>
      </w:r>
      <w:r w:rsidRPr="0002744D" w:rsidR="0002744D">
        <w:rPr>
          <w:noProof/>
        </w:rPr>
        <w:t>66</w:t>
      </w:r>
      <w:r w:rsidRPr="0002744D">
        <w:fldChar w:fldCharType="end"/>
      </w:r>
      <w:r w:rsidRPr="0002744D">
        <w:t>.  </w:t>
      </w:r>
      <w:r w:rsidRPr="0002744D" w:rsidR="007A5709">
        <w:t>The</w:t>
      </w:r>
      <w:r w:rsidRPr="0002744D" w:rsidR="002464E6">
        <w:t xml:space="preserve"> r</w:t>
      </w:r>
      <w:r w:rsidRPr="0002744D" w:rsidR="00CB403D">
        <w:t xml:space="preserve">eplacement of military service is not unconditional. </w:t>
      </w:r>
      <w:r w:rsidRPr="0002744D" w:rsidR="00CC4E4F">
        <w:t xml:space="preserve">Applications </w:t>
      </w:r>
      <w:r w:rsidRPr="0002744D" w:rsidR="0001238C">
        <w:t xml:space="preserve">are subject to </w:t>
      </w:r>
      <w:r w:rsidRPr="0002744D" w:rsidR="004C3E5B">
        <w:t xml:space="preserve">the </w:t>
      </w:r>
      <w:r w:rsidRPr="0002744D" w:rsidR="0001238C">
        <w:t xml:space="preserve">approval </w:t>
      </w:r>
      <w:r w:rsidRPr="0002744D" w:rsidR="004C3E5B">
        <w:t xml:space="preserve">of </w:t>
      </w:r>
      <w:r w:rsidRPr="0002744D" w:rsidR="001649BF">
        <w:t>a</w:t>
      </w:r>
      <w:r w:rsidRPr="0002744D" w:rsidR="0001238C">
        <w:t xml:space="preserve"> recruitment commission</w:t>
      </w:r>
      <w:r w:rsidRPr="0002744D" w:rsidR="004C3E5B">
        <w:t>,</w:t>
      </w:r>
      <w:r w:rsidRPr="0002744D" w:rsidR="0001238C">
        <w:t xml:space="preserve"> in accordance with</w:t>
      </w:r>
      <w:r w:rsidRPr="0002744D" w:rsidR="00725E01">
        <w:t xml:space="preserve"> the</w:t>
      </w:r>
      <w:r w:rsidRPr="0002744D" w:rsidR="0001238C">
        <w:t xml:space="preserve"> provisions of t</w:t>
      </w:r>
      <w:r w:rsidRPr="0002744D" w:rsidR="00CB403D">
        <w:t>he Civil</w:t>
      </w:r>
      <w:r w:rsidRPr="0002744D" w:rsidR="00647C3C">
        <w:t>ian Service Act (see paragraphs </w:t>
      </w:r>
      <w:r w:rsidRPr="0002744D" w:rsidR="00CB403D">
        <w:fldChar w:fldCharType="begin"/>
      </w:r>
      <w:r w:rsidRPr="0002744D" w:rsidR="00CB403D">
        <w:instrText xml:space="preserve"> REF domesticlawstart \h </w:instrText>
      </w:r>
      <w:r w:rsidRPr="0002744D" w:rsidR="007A2B2D">
        <w:instrText xml:space="preserve"> \* MERGEFORMAT </w:instrText>
      </w:r>
      <w:r w:rsidRPr="0002744D" w:rsidR="00CB403D">
        <w:fldChar w:fldCharType="separate"/>
      </w:r>
      <w:r w:rsidRPr="0002744D" w:rsidR="0002744D">
        <w:t>18</w:t>
      </w:r>
      <w:r w:rsidRPr="0002744D" w:rsidR="00CB403D">
        <w:fldChar w:fldCharType="end"/>
      </w:r>
      <w:r w:rsidRPr="0002744D" w:rsidR="00CB403D">
        <w:t>-</w:t>
      </w:r>
      <w:r w:rsidRPr="0002744D" w:rsidR="00CB403D">
        <w:fldChar w:fldCharType="begin"/>
      </w:r>
      <w:r w:rsidRPr="0002744D" w:rsidR="00CB403D">
        <w:instrText xml:space="preserve"> REF civiliaactend \h </w:instrText>
      </w:r>
      <w:r w:rsidRPr="0002744D" w:rsidR="007A2B2D">
        <w:instrText xml:space="preserve"> \* MERGEFORMAT </w:instrText>
      </w:r>
      <w:r w:rsidRPr="0002744D" w:rsidR="00CB403D">
        <w:fldChar w:fldCharType="separate"/>
      </w:r>
      <w:r w:rsidRPr="0002744D" w:rsidR="0002744D">
        <w:t>25</w:t>
      </w:r>
      <w:r w:rsidRPr="0002744D" w:rsidR="00CB403D">
        <w:fldChar w:fldCharType="end"/>
      </w:r>
      <w:r w:rsidRPr="0002744D" w:rsidR="00725E01">
        <w:t xml:space="preserve"> above</w:t>
      </w:r>
      <w:r w:rsidRPr="0002744D" w:rsidR="00CB403D">
        <w:t>)</w:t>
      </w:r>
      <w:r w:rsidRPr="0002744D" w:rsidR="0001238C">
        <w:t>.</w:t>
      </w:r>
      <w:r w:rsidRPr="0002744D" w:rsidR="00D24EC5">
        <w:t xml:space="preserve"> In this regard </w:t>
      </w:r>
      <w:r w:rsidRPr="0002744D" w:rsidR="002464E6">
        <w:t xml:space="preserve">the Court </w:t>
      </w:r>
      <w:r w:rsidRPr="0002744D" w:rsidR="00725E01">
        <w:t>reiterates</w:t>
      </w:r>
      <w:r w:rsidRPr="0002744D" w:rsidR="002464E6">
        <w:t xml:space="preserve"> that </w:t>
      </w:r>
      <w:r w:rsidRPr="0002744D" w:rsidR="003345C5">
        <w:t xml:space="preserve">an </w:t>
      </w:r>
      <w:r w:rsidRPr="0002744D" w:rsidR="002464E6">
        <w:t xml:space="preserve">assessment of </w:t>
      </w:r>
      <w:bookmarkStart w:name="lt_pId196" w:id="29"/>
      <w:r w:rsidRPr="0002744D" w:rsidR="00725E01">
        <w:t xml:space="preserve">the </w:t>
      </w:r>
      <w:r w:rsidRPr="0002744D" w:rsidR="002464E6">
        <w:t>seriousness of an individual</w:t>
      </w:r>
      <w:r w:rsidRPr="0002744D" w:rsidR="0002744D">
        <w:t>’</w:t>
      </w:r>
      <w:r w:rsidRPr="0002744D" w:rsidR="002464E6">
        <w:t>s</w:t>
      </w:r>
      <w:bookmarkEnd w:id="29"/>
      <w:r w:rsidRPr="0002744D" w:rsidR="002464E6">
        <w:t xml:space="preserve"> convictions </w:t>
      </w:r>
      <w:r w:rsidRPr="0002744D" w:rsidR="00226374">
        <w:t>cannot</w:t>
      </w:r>
      <w:r w:rsidRPr="0002744D" w:rsidR="002464E6">
        <w:t xml:space="preserve"> in itself </w:t>
      </w:r>
      <w:r w:rsidRPr="0002744D" w:rsidR="005735C8">
        <w:t xml:space="preserve">be regarded as </w:t>
      </w:r>
      <w:r w:rsidRPr="0002744D" w:rsidR="003345C5">
        <w:t xml:space="preserve">being </w:t>
      </w:r>
      <w:r w:rsidRPr="0002744D" w:rsidR="002464E6">
        <w:t xml:space="preserve">contrary to </w:t>
      </w:r>
      <w:r w:rsidRPr="0002744D" w:rsidR="005735C8">
        <w:t>Article</w:t>
      </w:r>
      <w:r w:rsidRPr="0002744D" w:rsidR="00D24EC5">
        <w:t> </w:t>
      </w:r>
      <w:r w:rsidRPr="0002744D" w:rsidR="005735C8">
        <w:t xml:space="preserve">9 of the Convention, </w:t>
      </w:r>
      <w:r w:rsidRPr="0002744D" w:rsidR="00725E01">
        <w:t xml:space="preserve">given the </w:t>
      </w:r>
      <w:r w:rsidRPr="0002744D" w:rsidR="005735C8">
        <w:t xml:space="preserve">necessity to identify </w:t>
      </w:r>
      <w:bookmarkStart w:name="lt_pId197" w:id="30"/>
      <w:r w:rsidRPr="0002744D" w:rsidR="005735C8">
        <w:t xml:space="preserve">conscripts </w:t>
      </w:r>
      <w:r w:rsidRPr="0002744D" w:rsidR="003345C5">
        <w:t xml:space="preserve">who are </w:t>
      </w:r>
      <w:r w:rsidRPr="0002744D" w:rsidR="00EC0352">
        <w:t xml:space="preserve">simply </w:t>
      </w:r>
      <w:r w:rsidRPr="0002744D" w:rsidR="005735C8">
        <w:t>pretend</w:t>
      </w:r>
      <w:r w:rsidRPr="0002744D" w:rsidR="00EC0352">
        <w:t>ing</w:t>
      </w:r>
      <w:r w:rsidRPr="0002744D" w:rsidR="005735C8">
        <w:t xml:space="preserve"> to be conscientious objectors</w:t>
      </w:r>
      <w:bookmarkEnd w:id="30"/>
      <w:r w:rsidRPr="0002744D" w:rsidR="00647C3C">
        <w:t xml:space="preserve"> (see </w:t>
      </w:r>
      <w:proofErr w:type="spellStart"/>
      <w:r w:rsidRPr="0002744D" w:rsidR="00245BB1">
        <w:rPr>
          <w:i/>
        </w:rPr>
        <w:t>Papavasilakis</w:t>
      </w:r>
      <w:proofErr w:type="spellEnd"/>
      <w:r w:rsidRPr="0002744D" w:rsidR="002572FC">
        <w:t>, cited above, § </w:t>
      </w:r>
      <w:r w:rsidRPr="0002744D" w:rsidR="00245BB1">
        <w:t>54)</w:t>
      </w:r>
      <w:r w:rsidRPr="0002744D" w:rsidR="005735C8">
        <w:t>.</w:t>
      </w:r>
    </w:p>
    <w:p w:rsidRPr="0002744D" w:rsidR="006F22BC" w:rsidP="0002744D" w:rsidRDefault="000727AD">
      <w:pPr>
        <w:pStyle w:val="ECHRPara"/>
      </w:pPr>
      <w:r w:rsidRPr="0002744D">
        <w:fldChar w:fldCharType="begin"/>
      </w:r>
      <w:r w:rsidRPr="0002744D">
        <w:instrText xml:space="preserve"> SEQ level0 \*arabic </w:instrText>
      </w:r>
      <w:r w:rsidRPr="0002744D">
        <w:fldChar w:fldCharType="separate"/>
      </w:r>
      <w:r w:rsidRPr="0002744D" w:rsidR="0002744D">
        <w:rPr>
          <w:noProof/>
        </w:rPr>
        <w:t>67</w:t>
      </w:r>
      <w:r w:rsidRPr="0002744D">
        <w:fldChar w:fldCharType="end"/>
      </w:r>
      <w:r w:rsidRPr="0002744D">
        <w:t>.  </w:t>
      </w:r>
      <w:r w:rsidRPr="0002744D" w:rsidR="003345C5">
        <w:t xml:space="preserve">The </w:t>
      </w:r>
      <w:r w:rsidRPr="0002744D" w:rsidR="00725E01">
        <w:t>e</w:t>
      </w:r>
      <w:r w:rsidRPr="0002744D" w:rsidR="00E41017">
        <w:t xml:space="preserve">xamination of </w:t>
      </w:r>
      <w:r w:rsidRPr="0002744D" w:rsidR="003345C5">
        <w:t xml:space="preserve">a </w:t>
      </w:r>
      <w:r w:rsidRPr="0002744D" w:rsidR="00E41017">
        <w:t xml:space="preserve">replacement </w:t>
      </w:r>
      <w:r w:rsidRPr="0002744D" w:rsidR="00CC4E4F">
        <w:t xml:space="preserve">application </w:t>
      </w:r>
      <w:r w:rsidRPr="0002744D" w:rsidR="00E372E2">
        <w:t xml:space="preserve">is </w:t>
      </w:r>
      <w:r w:rsidRPr="0002744D" w:rsidR="00BD411E">
        <w:t xml:space="preserve">undertaken </w:t>
      </w:r>
      <w:r w:rsidRPr="0002744D" w:rsidR="002572FC">
        <w:t xml:space="preserve">by a recruitment commission </w:t>
      </w:r>
      <w:r w:rsidRPr="0002744D" w:rsidR="00E372E2">
        <w:t xml:space="preserve">in </w:t>
      </w:r>
      <w:r w:rsidRPr="0002744D" w:rsidR="00C512AE">
        <w:t xml:space="preserve">the </w:t>
      </w:r>
      <w:r w:rsidRPr="0002744D" w:rsidR="00E372E2">
        <w:t xml:space="preserve">presence of </w:t>
      </w:r>
      <w:r w:rsidRPr="0002744D" w:rsidR="003345C5">
        <w:t xml:space="preserve">the </w:t>
      </w:r>
      <w:r w:rsidRPr="0002744D" w:rsidR="00C512AE">
        <w:t>claimant</w:t>
      </w:r>
      <w:r w:rsidRPr="0002744D" w:rsidR="003345C5">
        <w:t>,</w:t>
      </w:r>
      <w:r w:rsidRPr="0002744D" w:rsidR="00E372E2">
        <w:t xml:space="preserve"> who is able to </w:t>
      </w:r>
      <w:r w:rsidRPr="0002744D" w:rsidR="003345C5">
        <w:t xml:space="preserve">present </w:t>
      </w:r>
      <w:r w:rsidRPr="0002744D" w:rsidR="00E372E2">
        <w:t xml:space="preserve">evidence and witness </w:t>
      </w:r>
      <w:r w:rsidRPr="0002744D" w:rsidR="003345C5">
        <w:t xml:space="preserve">testimony </w:t>
      </w:r>
      <w:r w:rsidRPr="0002744D" w:rsidR="00E372E2">
        <w:t>without any restrictions.</w:t>
      </w:r>
      <w:r w:rsidRPr="0002744D" w:rsidR="005D285D">
        <w:t xml:space="preserve"> </w:t>
      </w:r>
      <w:r w:rsidRPr="0002744D" w:rsidR="002F778C">
        <w:t>A c</w:t>
      </w:r>
      <w:r w:rsidRPr="0002744D" w:rsidR="005D285D">
        <w:t xml:space="preserve">ommission is also able to collect on its own motion any information </w:t>
      </w:r>
      <w:r w:rsidRPr="0002744D" w:rsidR="003345C5">
        <w:t xml:space="preserve">that </w:t>
      </w:r>
      <w:r w:rsidRPr="0002744D" w:rsidR="005D285D">
        <w:t xml:space="preserve">it </w:t>
      </w:r>
      <w:r w:rsidRPr="0002744D" w:rsidR="003345C5">
        <w:t xml:space="preserve">deems </w:t>
      </w:r>
      <w:r w:rsidRPr="0002744D" w:rsidR="005D285D">
        <w:t>necessary.</w:t>
      </w:r>
    </w:p>
    <w:p w:rsidRPr="0002744D" w:rsidR="006F22BC" w:rsidP="0002744D" w:rsidRDefault="00070A45">
      <w:pPr>
        <w:pStyle w:val="ECHRPara"/>
      </w:pPr>
      <w:r w:rsidRPr="0002744D">
        <w:fldChar w:fldCharType="begin"/>
      </w:r>
      <w:r w:rsidRPr="0002744D">
        <w:instrText xml:space="preserve"> SEQ level0 \*arabic </w:instrText>
      </w:r>
      <w:r w:rsidRPr="0002744D">
        <w:fldChar w:fldCharType="separate"/>
      </w:r>
      <w:r w:rsidRPr="0002744D" w:rsidR="0002744D">
        <w:rPr>
          <w:noProof/>
        </w:rPr>
        <w:t>68</w:t>
      </w:r>
      <w:r w:rsidRPr="0002744D">
        <w:fldChar w:fldCharType="end"/>
      </w:r>
      <w:r w:rsidRPr="0002744D">
        <w:t>.  </w:t>
      </w:r>
      <w:r w:rsidRPr="0002744D" w:rsidR="00075DF9">
        <w:t xml:space="preserve">The Court </w:t>
      </w:r>
      <w:bookmarkStart w:name="lt_pId216" w:id="31"/>
      <w:r w:rsidRPr="0002744D" w:rsidR="003345C5">
        <w:t xml:space="preserve">furthermore </w:t>
      </w:r>
      <w:r w:rsidRPr="0002744D" w:rsidR="007A5709">
        <w:t>reiterates that</w:t>
      </w:r>
      <w:bookmarkStart w:name="lt_pId218" w:id="32"/>
      <w:bookmarkEnd w:id="31"/>
      <w:r w:rsidRPr="0002744D" w:rsidR="00D24EC5">
        <w:t xml:space="preserve"> </w:t>
      </w:r>
      <w:r w:rsidRPr="0002744D" w:rsidR="000D2AFA">
        <w:t>one of the fundamental conditions for an investigation to be considered effective is the independence of the individuals conducting it</w:t>
      </w:r>
      <w:r w:rsidRPr="0002744D" w:rsidR="00A30982">
        <w:t xml:space="preserve"> (see </w:t>
      </w:r>
      <w:proofErr w:type="spellStart"/>
      <w:r w:rsidRPr="0002744D" w:rsidR="00A30982">
        <w:rPr>
          <w:i/>
        </w:rPr>
        <w:t>Papavasilakis</w:t>
      </w:r>
      <w:proofErr w:type="spellEnd"/>
      <w:r w:rsidRPr="0002744D" w:rsidR="00A30982">
        <w:t>, cited above, § 6</w:t>
      </w:r>
      <w:r w:rsidRPr="0002744D" w:rsidR="000D2AFA">
        <w:t>0</w:t>
      </w:r>
      <w:r w:rsidRPr="0002744D" w:rsidR="00A30982">
        <w:t>)</w:t>
      </w:r>
      <w:r w:rsidRPr="0002744D" w:rsidR="00D20B77">
        <w:t>.</w:t>
      </w:r>
      <w:bookmarkEnd w:id="32"/>
    </w:p>
    <w:p w:rsidRPr="0002744D" w:rsidR="006F22BC" w:rsidP="0002744D" w:rsidRDefault="002419E1">
      <w:pPr>
        <w:pStyle w:val="ECHRPara"/>
      </w:pPr>
      <w:r w:rsidRPr="0002744D">
        <w:rPr>
          <w:bCs/>
        </w:rPr>
        <w:fldChar w:fldCharType="begin"/>
      </w:r>
      <w:r w:rsidRPr="0002744D">
        <w:rPr>
          <w:bCs/>
        </w:rPr>
        <w:instrText xml:space="preserve"> SEQ level0 \*arabic </w:instrText>
      </w:r>
      <w:r w:rsidRPr="0002744D">
        <w:rPr>
          <w:bCs/>
        </w:rPr>
        <w:fldChar w:fldCharType="separate"/>
      </w:r>
      <w:r w:rsidRPr="0002744D" w:rsidR="0002744D">
        <w:rPr>
          <w:bCs/>
          <w:noProof/>
        </w:rPr>
        <w:t>69</w:t>
      </w:r>
      <w:r w:rsidRPr="0002744D">
        <w:rPr>
          <w:bCs/>
        </w:rPr>
        <w:fldChar w:fldCharType="end"/>
      </w:r>
      <w:r w:rsidRPr="0002744D">
        <w:rPr>
          <w:bCs/>
        </w:rPr>
        <w:t>.  </w:t>
      </w:r>
      <w:r w:rsidRPr="0002744D" w:rsidR="008640AA">
        <w:rPr>
          <w:bCs/>
        </w:rPr>
        <w:t>T</w:t>
      </w:r>
      <w:r w:rsidRPr="0002744D">
        <w:rPr>
          <w:bCs/>
        </w:rPr>
        <w:t xml:space="preserve">he Court observes that </w:t>
      </w:r>
      <w:r w:rsidRPr="0002744D" w:rsidR="003345C5">
        <w:rPr>
          <w:bCs/>
        </w:rPr>
        <w:t>under</w:t>
      </w:r>
      <w:r w:rsidRPr="0002744D">
        <w:rPr>
          <w:bCs/>
        </w:rPr>
        <w:t xml:space="preserve"> the Compulsory Military Service Act (see paragraph</w:t>
      </w:r>
      <w:r w:rsidRPr="0002744D" w:rsidR="00DA64ED">
        <w:rPr>
          <w:bCs/>
        </w:rPr>
        <w:t xml:space="preserve"> </w:t>
      </w:r>
      <w:r w:rsidRPr="0002744D" w:rsidR="00DA64ED">
        <w:rPr>
          <w:bCs/>
        </w:rPr>
        <w:fldChar w:fldCharType="begin"/>
      </w:r>
      <w:r w:rsidRPr="0002744D" w:rsidR="00DA64ED">
        <w:rPr>
          <w:bCs/>
        </w:rPr>
        <w:instrText xml:space="preserve"> REF para26 \h </w:instrText>
      </w:r>
      <w:r w:rsidRPr="0002744D" w:rsidR="002235A2">
        <w:rPr>
          <w:bCs/>
        </w:rPr>
        <w:instrText xml:space="preserve"> \* MERGEFORMAT </w:instrText>
      </w:r>
      <w:r w:rsidRPr="0002744D" w:rsidR="00DA64ED">
        <w:rPr>
          <w:bCs/>
        </w:rPr>
      </w:r>
      <w:r w:rsidRPr="0002744D" w:rsidR="00DA64ED">
        <w:rPr>
          <w:bCs/>
        </w:rPr>
        <w:fldChar w:fldCharType="separate"/>
      </w:r>
      <w:r w:rsidRPr="0002744D" w:rsidR="0002744D">
        <w:rPr>
          <w:iCs/>
          <w:noProof/>
        </w:rPr>
        <w:t>27</w:t>
      </w:r>
      <w:r w:rsidRPr="0002744D" w:rsidR="00DA64ED">
        <w:rPr>
          <w:bCs/>
        </w:rPr>
        <w:fldChar w:fldCharType="end"/>
      </w:r>
      <w:r w:rsidRPr="0002744D" w:rsidR="00C512AE">
        <w:rPr>
          <w:bCs/>
        </w:rPr>
        <w:t xml:space="preserve"> above</w:t>
      </w:r>
      <w:r w:rsidRPr="0002744D">
        <w:t xml:space="preserve">) a military </w:t>
      </w:r>
      <w:r w:rsidRPr="0002744D" w:rsidR="00A25AB4">
        <w:t>recruitment commission is compo</w:t>
      </w:r>
      <w:r w:rsidRPr="0002744D">
        <w:t>sed of</w:t>
      </w:r>
      <w:r w:rsidRPr="0002744D" w:rsidR="00D93221">
        <w:t xml:space="preserve"> at least</w:t>
      </w:r>
      <w:r w:rsidRPr="0002744D">
        <w:t xml:space="preserve"> seven members. Three of them are representatives of the Ministry of Defence. The remaining four members, including </w:t>
      </w:r>
      <w:r w:rsidRPr="0002744D" w:rsidR="00C512AE">
        <w:t xml:space="preserve">the </w:t>
      </w:r>
      <w:r w:rsidRPr="0002744D">
        <w:t xml:space="preserve">president of </w:t>
      </w:r>
      <w:r w:rsidRPr="0002744D" w:rsidR="00FE5BF7">
        <w:t xml:space="preserve">the military </w:t>
      </w:r>
      <w:r w:rsidRPr="0002744D">
        <w:t xml:space="preserve">commission, are </w:t>
      </w:r>
      <w:r w:rsidRPr="0002744D" w:rsidR="008640AA">
        <w:t xml:space="preserve">officials </w:t>
      </w:r>
      <w:r w:rsidRPr="0002744D" w:rsidR="00143848">
        <w:t xml:space="preserve">of public bodies that are </w:t>
      </w:r>
      <w:r w:rsidRPr="0002744D">
        <w:t xml:space="preserve">structurally independent </w:t>
      </w:r>
      <w:r w:rsidRPr="0002744D" w:rsidR="00FE5BF7">
        <w:t xml:space="preserve">of </w:t>
      </w:r>
      <w:r w:rsidRPr="0002744D" w:rsidR="00C512AE">
        <w:t xml:space="preserve">the </w:t>
      </w:r>
      <w:r w:rsidRPr="0002744D" w:rsidR="00D93221">
        <w:t>military authorities</w:t>
      </w:r>
      <w:r w:rsidRPr="0002744D">
        <w:t>.</w:t>
      </w:r>
    </w:p>
    <w:p w:rsidRPr="0002744D" w:rsidR="00BB548A" w:rsidP="0002744D" w:rsidRDefault="001649BF">
      <w:pPr>
        <w:pStyle w:val="ECHRPara"/>
      </w:pPr>
      <w:r w:rsidRPr="0002744D">
        <w:fldChar w:fldCharType="begin"/>
      </w:r>
      <w:r w:rsidRPr="0002744D">
        <w:instrText xml:space="preserve"> SEQ level0 \*arabic </w:instrText>
      </w:r>
      <w:r w:rsidRPr="0002744D">
        <w:fldChar w:fldCharType="separate"/>
      </w:r>
      <w:r w:rsidRPr="0002744D" w:rsidR="0002744D">
        <w:rPr>
          <w:noProof/>
        </w:rPr>
        <w:t>70</w:t>
      </w:r>
      <w:r w:rsidRPr="0002744D">
        <w:fldChar w:fldCharType="end"/>
      </w:r>
      <w:r w:rsidRPr="0002744D">
        <w:t>.  </w:t>
      </w:r>
      <w:r w:rsidRPr="0002744D" w:rsidR="00C512AE">
        <w:t xml:space="preserve">It follows that </w:t>
      </w:r>
      <w:r w:rsidRPr="0002744D" w:rsidR="0096077B">
        <w:t xml:space="preserve">Russian </w:t>
      </w:r>
      <w:r w:rsidRPr="0002744D" w:rsidR="00C512AE">
        <w:t>military recruitment commission</w:t>
      </w:r>
      <w:r w:rsidRPr="0002744D" w:rsidR="0096077B">
        <w:t>s</w:t>
      </w:r>
      <w:r w:rsidRPr="0002744D" w:rsidR="00C512AE">
        <w:t xml:space="preserve"> are comprised of</w:t>
      </w:r>
      <w:r w:rsidRPr="0002744D" w:rsidR="00E55313">
        <w:t xml:space="preserve"> government officials</w:t>
      </w:r>
      <w:r w:rsidRPr="0002744D" w:rsidR="00952BE6">
        <w:t xml:space="preserve"> (</w:t>
      </w:r>
      <w:r w:rsidRPr="0002744D" w:rsidR="00E55313">
        <w:t>either military or civil</w:t>
      </w:r>
      <w:r w:rsidRPr="0002744D" w:rsidR="00952BE6">
        <w:t>)</w:t>
      </w:r>
      <w:r w:rsidRPr="0002744D" w:rsidR="00E55313">
        <w:t xml:space="preserve">. </w:t>
      </w:r>
      <w:r w:rsidRPr="0002744D" w:rsidR="00952BE6">
        <w:t>They do not comprise any</w:t>
      </w:r>
      <w:r w:rsidRPr="0002744D" w:rsidR="00E55313">
        <w:t xml:space="preserve"> </w:t>
      </w:r>
      <w:r w:rsidRPr="0002744D" w:rsidR="00C512AE">
        <w:t xml:space="preserve">civil society </w:t>
      </w:r>
      <w:r w:rsidRPr="0002744D" w:rsidR="00E55313">
        <w:t xml:space="preserve">experts acting in </w:t>
      </w:r>
      <w:r w:rsidRPr="0002744D" w:rsidR="00952BE6">
        <w:t xml:space="preserve">a </w:t>
      </w:r>
      <w:r w:rsidRPr="0002744D" w:rsidR="00E55313">
        <w:t>personal capacity or members of the public.</w:t>
      </w:r>
      <w:r w:rsidRPr="0002744D" w:rsidR="008640AA">
        <w:t xml:space="preserve"> T</w:t>
      </w:r>
      <w:r w:rsidRPr="0002744D" w:rsidR="00150B00">
        <w:t xml:space="preserve">he Court is mindful that the Compulsory Military Service Act provides for </w:t>
      </w:r>
      <w:r w:rsidRPr="0002744D" w:rsidR="00952BE6">
        <w:t>the possibility</w:t>
      </w:r>
      <w:r w:rsidRPr="0002744D" w:rsidR="00150B00">
        <w:t xml:space="preserve"> to have representatives of other agencies and organisations </w:t>
      </w:r>
      <w:r w:rsidRPr="0002744D" w:rsidR="00C512AE">
        <w:t>in</w:t>
      </w:r>
      <w:r w:rsidRPr="0002744D" w:rsidR="00150B00">
        <w:t xml:space="preserve"> the </w:t>
      </w:r>
      <w:r w:rsidRPr="0002744D" w:rsidR="0096077B">
        <w:t>composition</w:t>
      </w:r>
      <w:r w:rsidRPr="0002744D" w:rsidR="00952BE6">
        <w:t xml:space="preserve"> of recruitment commissions</w:t>
      </w:r>
      <w:r w:rsidRPr="0002744D" w:rsidR="00150B00">
        <w:t xml:space="preserve">. </w:t>
      </w:r>
      <w:r w:rsidRPr="0002744D" w:rsidR="008640AA">
        <w:t xml:space="preserve">However, </w:t>
      </w:r>
      <w:r w:rsidRPr="0002744D" w:rsidR="00E16B8D">
        <w:t>the parties did not provide examples of such cases.</w:t>
      </w:r>
    </w:p>
    <w:p w:rsidRPr="0002744D" w:rsidR="00D24EC5" w:rsidP="0002744D" w:rsidRDefault="00150B00">
      <w:pPr>
        <w:pStyle w:val="ECHRPara"/>
      </w:pPr>
      <w:r w:rsidRPr="0002744D">
        <w:fldChar w:fldCharType="begin"/>
      </w:r>
      <w:r w:rsidRPr="0002744D">
        <w:instrText xml:space="preserve"> SEQ level0 \*arabic </w:instrText>
      </w:r>
      <w:r w:rsidRPr="0002744D">
        <w:fldChar w:fldCharType="separate"/>
      </w:r>
      <w:r w:rsidRPr="0002744D" w:rsidR="0002744D">
        <w:rPr>
          <w:noProof/>
        </w:rPr>
        <w:t>71</w:t>
      </w:r>
      <w:r w:rsidRPr="0002744D">
        <w:fldChar w:fldCharType="end"/>
      </w:r>
      <w:r w:rsidRPr="0002744D">
        <w:t>.  </w:t>
      </w:r>
      <w:r w:rsidRPr="0002744D" w:rsidR="0096077B">
        <w:t>Assessing the procedure further</w:t>
      </w:r>
      <w:r w:rsidRPr="0002744D" w:rsidR="00A25AB4">
        <w:t>, t</w:t>
      </w:r>
      <w:r w:rsidRPr="0002744D">
        <w:t>he Court notes that</w:t>
      </w:r>
      <w:r w:rsidRPr="0002744D" w:rsidR="00D82901">
        <w:t>,</w:t>
      </w:r>
      <w:r w:rsidRPr="0002744D">
        <w:t xml:space="preserve"> </w:t>
      </w:r>
      <w:r w:rsidRPr="0002744D" w:rsidR="00D82901">
        <w:t>under</w:t>
      </w:r>
      <w:r w:rsidRPr="0002744D" w:rsidR="005370A7">
        <w:t xml:space="preserve"> the Civilian Service Act</w:t>
      </w:r>
      <w:r w:rsidRPr="0002744D" w:rsidR="00D82901">
        <w:t>,</w:t>
      </w:r>
      <w:r w:rsidRPr="0002744D" w:rsidR="005370A7">
        <w:t xml:space="preserve"> </w:t>
      </w:r>
      <w:r w:rsidRPr="0002744D">
        <w:t xml:space="preserve">a commission </w:t>
      </w:r>
      <w:r w:rsidRPr="0002744D" w:rsidR="00C512AE">
        <w:t xml:space="preserve">can </w:t>
      </w:r>
      <w:r w:rsidRPr="0002744D">
        <w:t>deliver decisions</w:t>
      </w:r>
      <w:r w:rsidRPr="0002744D" w:rsidR="00C512AE">
        <w:t xml:space="preserve"> if</w:t>
      </w:r>
      <w:r w:rsidRPr="0002744D">
        <w:t xml:space="preserve"> no less than two-thirds of its members </w:t>
      </w:r>
      <w:r w:rsidRPr="0002744D" w:rsidR="00C512AE">
        <w:t xml:space="preserve">are </w:t>
      </w:r>
      <w:r w:rsidRPr="0002744D">
        <w:t>present.</w:t>
      </w:r>
      <w:r w:rsidRPr="0002744D" w:rsidR="005370A7">
        <w:t xml:space="preserve"> </w:t>
      </w:r>
      <w:r w:rsidRPr="0002744D" w:rsidR="00F53CBF">
        <w:t xml:space="preserve">That </w:t>
      </w:r>
      <w:r w:rsidRPr="0002744D" w:rsidR="005370A7">
        <w:t xml:space="preserve">could result in situations where </w:t>
      </w:r>
      <w:r w:rsidRPr="0002744D" w:rsidR="00C512AE">
        <w:t xml:space="preserve">the </w:t>
      </w:r>
      <w:r w:rsidRPr="0002744D" w:rsidR="005370A7">
        <w:t xml:space="preserve">majority of </w:t>
      </w:r>
      <w:r w:rsidRPr="0002744D" w:rsidR="00C512AE">
        <w:t xml:space="preserve">its </w:t>
      </w:r>
      <w:r w:rsidRPr="0002744D" w:rsidR="005370A7">
        <w:t xml:space="preserve">members </w:t>
      </w:r>
      <w:r w:rsidRPr="0002744D" w:rsidR="00BD4465">
        <w:t>are</w:t>
      </w:r>
      <w:r w:rsidRPr="0002744D" w:rsidR="00C512AE">
        <w:t xml:space="preserve"> military officials</w:t>
      </w:r>
      <w:r w:rsidRPr="0002744D" w:rsidR="00EE5C27">
        <w:t>.</w:t>
      </w:r>
    </w:p>
    <w:p w:rsidRPr="0002744D" w:rsidR="006F22BC" w:rsidP="0002744D" w:rsidRDefault="005370A7">
      <w:pPr>
        <w:pStyle w:val="ECHRPara"/>
      </w:pPr>
      <w:r w:rsidRPr="0002744D">
        <w:fldChar w:fldCharType="begin"/>
      </w:r>
      <w:r w:rsidRPr="0002744D">
        <w:instrText xml:space="preserve"> SEQ level0 \*arabic </w:instrText>
      </w:r>
      <w:r w:rsidRPr="0002744D">
        <w:fldChar w:fldCharType="separate"/>
      </w:r>
      <w:r w:rsidRPr="0002744D" w:rsidR="0002744D">
        <w:rPr>
          <w:noProof/>
        </w:rPr>
        <w:t>72</w:t>
      </w:r>
      <w:r w:rsidRPr="0002744D">
        <w:fldChar w:fldCharType="end"/>
      </w:r>
      <w:r w:rsidRPr="0002744D">
        <w:t>.  </w:t>
      </w:r>
      <w:r w:rsidRPr="0002744D" w:rsidR="00EA72BB">
        <w:t>Therefore</w:t>
      </w:r>
      <w:r w:rsidRPr="0002744D">
        <w:t xml:space="preserve">, </w:t>
      </w:r>
      <w:r w:rsidRPr="0002744D" w:rsidR="005053BC">
        <w:t>in practice</w:t>
      </w:r>
      <w:r w:rsidRPr="0002744D" w:rsidR="004733B8">
        <w:t>,</w:t>
      </w:r>
      <w:r w:rsidRPr="0002744D" w:rsidR="005053BC">
        <w:t xml:space="preserve"> </w:t>
      </w:r>
      <w:r w:rsidRPr="0002744D" w:rsidR="00C512AE">
        <w:t xml:space="preserve">the </w:t>
      </w:r>
      <w:r w:rsidRPr="0002744D" w:rsidR="008640AA">
        <w:t xml:space="preserve">composition of a </w:t>
      </w:r>
      <w:r w:rsidRPr="0002744D" w:rsidR="004264F0">
        <w:t xml:space="preserve">recruitment </w:t>
      </w:r>
      <w:r w:rsidRPr="0002744D" w:rsidR="008640AA">
        <w:t xml:space="preserve">commission </w:t>
      </w:r>
      <w:r w:rsidRPr="0002744D" w:rsidR="004733B8">
        <w:t xml:space="preserve">may </w:t>
      </w:r>
      <w:r w:rsidRPr="0002744D" w:rsidR="008640AA">
        <w:t>vary</w:t>
      </w:r>
      <w:r w:rsidRPr="0002744D" w:rsidR="00AF11C6">
        <w:t xml:space="preserve"> not only from one region to another</w:t>
      </w:r>
      <w:r w:rsidRPr="0002744D" w:rsidR="004733B8">
        <w:t xml:space="preserve"> – </w:t>
      </w:r>
      <w:r w:rsidRPr="0002744D" w:rsidR="00AF11C6">
        <w:t>it can also change between sessions.</w:t>
      </w:r>
      <w:r w:rsidRPr="0002744D" w:rsidR="0096077B">
        <w:t xml:space="preserve"> While such </w:t>
      </w:r>
      <w:r w:rsidRPr="0002744D" w:rsidR="004264F0">
        <w:t>variability</w:t>
      </w:r>
      <w:r w:rsidRPr="0002744D" w:rsidR="0096077B">
        <w:t xml:space="preserve"> in the composition of the body </w:t>
      </w:r>
      <w:r w:rsidRPr="0002744D" w:rsidR="004733B8">
        <w:t xml:space="preserve">that is responsible </w:t>
      </w:r>
      <w:r w:rsidRPr="0002744D" w:rsidR="0096077B">
        <w:t xml:space="preserve">for deciding on replacement </w:t>
      </w:r>
      <w:r w:rsidRPr="0002744D" w:rsidR="00CC4E4F">
        <w:t xml:space="preserve">applications </w:t>
      </w:r>
      <w:r w:rsidRPr="0002744D" w:rsidR="003C2B86">
        <w:t>may be</w:t>
      </w:r>
      <w:r w:rsidRPr="0002744D" w:rsidR="0096077B">
        <w:t xml:space="preserve"> unfortunate, </w:t>
      </w:r>
      <w:r w:rsidRPr="0002744D" w:rsidR="00165266">
        <w:t>t</w:t>
      </w:r>
      <w:r w:rsidRPr="0002744D" w:rsidR="004264F0">
        <w:t>he</w:t>
      </w:r>
      <w:r w:rsidRPr="0002744D" w:rsidR="00357245">
        <w:t xml:space="preserve"> question for the</w:t>
      </w:r>
      <w:r w:rsidRPr="0002744D" w:rsidR="004264F0">
        <w:t xml:space="preserve"> Court </w:t>
      </w:r>
      <w:r w:rsidRPr="0002744D" w:rsidR="00357245">
        <w:t>is</w:t>
      </w:r>
      <w:r w:rsidRPr="0002744D" w:rsidR="004264F0">
        <w:t xml:space="preserve"> whether the requirement </w:t>
      </w:r>
      <w:r w:rsidRPr="0002744D" w:rsidR="004733B8">
        <w:t xml:space="preserve">that </w:t>
      </w:r>
      <w:r w:rsidRPr="0002744D" w:rsidR="0096077B">
        <w:t>the</w:t>
      </w:r>
      <w:r w:rsidRPr="0002744D" w:rsidR="00AF11C6">
        <w:t xml:space="preserve"> </w:t>
      </w:r>
      <w:r w:rsidRPr="0002744D" w:rsidR="00B40BDA">
        <w:t>military</w:t>
      </w:r>
      <w:r w:rsidRPr="0002744D" w:rsidR="004264F0">
        <w:t xml:space="preserve"> recruitment commission</w:t>
      </w:r>
      <w:r w:rsidRPr="0002744D" w:rsidR="00B40BDA">
        <w:t xml:space="preserve"> </w:t>
      </w:r>
      <w:r w:rsidRPr="0002744D" w:rsidR="004733B8">
        <w:t xml:space="preserve">be independent </w:t>
      </w:r>
      <w:r w:rsidRPr="0002744D" w:rsidR="00357245">
        <w:t>has been</w:t>
      </w:r>
      <w:r w:rsidRPr="0002744D" w:rsidR="004733B8">
        <w:t xml:space="preserve"> </w:t>
      </w:r>
      <w:r w:rsidRPr="0002744D" w:rsidR="004264F0">
        <w:t>complied with in</w:t>
      </w:r>
      <w:r w:rsidRPr="0002744D" w:rsidR="008640AA">
        <w:t xml:space="preserve"> </w:t>
      </w:r>
      <w:r w:rsidRPr="0002744D" w:rsidR="0096077B">
        <w:t xml:space="preserve">the specific </w:t>
      </w:r>
      <w:r w:rsidRPr="0002744D" w:rsidR="008640AA">
        <w:t xml:space="preserve">circumstances of </w:t>
      </w:r>
      <w:r w:rsidRPr="0002744D" w:rsidR="004264F0">
        <w:t>the present</w:t>
      </w:r>
      <w:r w:rsidRPr="0002744D" w:rsidR="008640AA">
        <w:t xml:space="preserve"> case.</w:t>
      </w:r>
    </w:p>
    <w:p w:rsidRPr="0002744D" w:rsidR="00EB25DF" w:rsidP="0002744D" w:rsidRDefault="00EB25DF">
      <w:pPr>
        <w:pStyle w:val="ECHRPara"/>
      </w:pPr>
      <w:r w:rsidRPr="0002744D">
        <w:fldChar w:fldCharType="begin"/>
      </w:r>
      <w:r w:rsidRPr="0002744D">
        <w:instrText xml:space="preserve"> SEQ level0 \*arabic </w:instrText>
      </w:r>
      <w:r w:rsidRPr="0002744D">
        <w:fldChar w:fldCharType="separate"/>
      </w:r>
      <w:r w:rsidRPr="0002744D" w:rsidR="0002744D">
        <w:rPr>
          <w:noProof/>
        </w:rPr>
        <w:t>73</w:t>
      </w:r>
      <w:r w:rsidRPr="0002744D">
        <w:fldChar w:fldCharType="end"/>
      </w:r>
      <w:r w:rsidRPr="0002744D">
        <w:t>.  </w:t>
      </w:r>
      <w:r w:rsidRPr="0002744D" w:rsidR="004B6F06">
        <w:t>In this</w:t>
      </w:r>
      <w:r w:rsidRPr="0002744D" w:rsidR="002F0EAA">
        <w:t xml:space="preserve"> connection</w:t>
      </w:r>
      <w:r w:rsidRPr="0002744D" w:rsidR="004264F0">
        <w:t>,</w:t>
      </w:r>
      <w:r w:rsidRPr="0002744D" w:rsidR="002F0EAA">
        <w:t xml:space="preserve"> t</w:t>
      </w:r>
      <w:r w:rsidRPr="0002744D" w:rsidR="00332144">
        <w:t xml:space="preserve">he Court </w:t>
      </w:r>
      <w:r w:rsidRPr="0002744D" w:rsidR="004264F0">
        <w:t xml:space="preserve">also does not lose sight of </w:t>
      </w:r>
      <w:r w:rsidRPr="0002744D" w:rsidR="004733B8">
        <w:t xml:space="preserve">the </w:t>
      </w:r>
      <w:r w:rsidRPr="0002744D" w:rsidR="004264F0">
        <w:t>argument put forward</w:t>
      </w:r>
      <w:r w:rsidRPr="0002744D" w:rsidR="00332144">
        <w:t xml:space="preserve"> both</w:t>
      </w:r>
      <w:r w:rsidRPr="0002744D">
        <w:t xml:space="preserve"> </w:t>
      </w:r>
      <w:r w:rsidRPr="0002744D" w:rsidR="004264F0">
        <w:t xml:space="preserve">by </w:t>
      </w:r>
      <w:r w:rsidRPr="0002744D">
        <w:t xml:space="preserve">the applicant and the </w:t>
      </w:r>
      <w:r w:rsidRPr="0002744D" w:rsidR="00BD4465">
        <w:t>third-</w:t>
      </w:r>
      <w:r w:rsidRPr="0002744D">
        <w:t>party intervener</w:t>
      </w:r>
      <w:r w:rsidRPr="0002744D" w:rsidR="00393534">
        <w:t xml:space="preserve"> </w:t>
      </w:r>
      <w:r w:rsidRPr="0002744D" w:rsidR="00332144">
        <w:t xml:space="preserve">that recruitment commissions relied heavily on administrative support from military commissariats and </w:t>
      </w:r>
      <w:r w:rsidRPr="0002744D" w:rsidR="004733B8">
        <w:t xml:space="preserve">it was </w:t>
      </w:r>
      <w:r w:rsidRPr="0002744D" w:rsidR="004264F0">
        <w:t xml:space="preserve">the </w:t>
      </w:r>
      <w:r w:rsidRPr="0002744D" w:rsidR="00332144">
        <w:t>heads</w:t>
      </w:r>
      <w:r w:rsidRPr="0002744D" w:rsidR="00C0736E">
        <w:t xml:space="preserve"> of commissariats</w:t>
      </w:r>
      <w:r w:rsidRPr="0002744D" w:rsidR="004733B8">
        <w:t xml:space="preserve"> who</w:t>
      </w:r>
      <w:r w:rsidRPr="0002744D" w:rsidR="00924E7F">
        <w:t xml:space="preserve"> </w:t>
      </w:r>
      <w:r w:rsidRPr="0002744D" w:rsidR="00332144">
        <w:rPr>
          <w:i/>
        </w:rPr>
        <w:t>de facto</w:t>
      </w:r>
      <w:r w:rsidRPr="0002744D" w:rsidR="00332144">
        <w:t xml:space="preserve"> made all decisions during sessions of recruitment commissions.</w:t>
      </w:r>
    </w:p>
    <w:p w:rsidRPr="0002744D" w:rsidR="006F22BC" w:rsidP="0002744D" w:rsidRDefault="00332144">
      <w:pPr>
        <w:pStyle w:val="ECHRPara"/>
      </w:pPr>
      <w:r w:rsidRPr="0002744D">
        <w:fldChar w:fldCharType="begin"/>
      </w:r>
      <w:r w:rsidRPr="0002744D">
        <w:instrText xml:space="preserve"> SEQ level0 \*arabic </w:instrText>
      </w:r>
      <w:r w:rsidRPr="0002744D">
        <w:fldChar w:fldCharType="separate"/>
      </w:r>
      <w:r w:rsidRPr="0002744D" w:rsidR="0002744D">
        <w:rPr>
          <w:noProof/>
        </w:rPr>
        <w:t>74</w:t>
      </w:r>
      <w:r w:rsidRPr="0002744D">
        <w:fldChar w:fldCharType="end"/>
      </w:r>
      <w:r w:rsidRPr="0002744D">
        <w:t>.  </w:t>
      </w:r>
      <w:r w:rsidRPr="0002744D" w:rsidR="0058059F">
        <w:t>While</w:t>
      </w:r>
      <w:r w:rsidRPr="0002744D">
        <w:t xml:space="preserve"> it appears that military commissariats indeed provide premises for commissions</w:t>
      </w:r>
      <w:r w:rsidRPr="0002744D" w:rsidR="0002744D">
        <w:t>’</w:t>
      </w:r>
      <w:r w:rsidRPr="0002744D">
        <w:t xml:space="preserve"> sessions, </w:t>
      </w:r>
      <w:r w:rsidRPr="0002744D" w:rsidR="00C0736E">
        <w:t xml:space="preserve">nothing suggests that </w:t>
      </w:r>
      <w:r w:rsidRPr="0002744D">
        <w:t xml:space="preserve">individual members </w:t>
      </w:r>
      <w:r w:rsidRPr="0002744D" w:rsidR="009D1173">
        <w:t>obtain</w:t>
      </w:r>
      <w:r w:rsidRPr="0002744D" w:rsidR="00FD5953">
        <w:t xml:space="preserve"> any payments or incentives from </w:t>
      </w:r>
      <w:r w:rsidRPr="0002744D" w:rsidR="004264F0">
        <w:t xml:space="preserve">the </w:t>
      </w:r>
      <w:r w:rsidRPr="0002744D" w:rsidR="004821A1">
        <w:t>military authorities</w:t>
      </w:r>
      <w:r w:rsidRPr="0002744D" w:rsidR="00FD5953">
        <w:t xml:space="preserve">. </w:t>
      </w:r>
      <w:r w:rsidRPr="0002744D" w:rsidR="00131CFD">
        <w:t xml:space="preserve">They </w:t>
      </w:r>
      <w:r w:rsidRPr="0002744D" w:rsidR="003C2B86">
        <w:t>remain</w:t>
      </w:r>
      <w:r w:rsidRPr="0002744D" w:rsidR="00131CFD">
        <w:t xml:space="preserve"> employed </w:t>
      </w:r>
      <w:r w:rsidRPr="0002744D" w:rsidR="004733B8">
        <w:t xml:space="preserve">by </w:t>
      </w:r>
      <w:r w:rsidRPr="0002744D" w:rsidR="00131CFD">
        <w:t xml:space="preserve">their own </w:t>
      </w:r>
      <w:r w:rsidRPr="0002744D" w:rsidR="004264F0">
        <w:t xml:space="preserve">State </w:t>
      </w:r>
      <w:r w:rsidRPr="0002744D" w:rsidR="00131CFD">
        <w:t xml:space="preserve">agencies and </w:t>
      </w:r>
      <w:r w:rsidRPr="0002744D" w:rsidR="00143848">
        <w:t>are</w:t>
      </w:r>
      <w:r w:rsidRPr="0002744D" w:rsidR="004733B8">
        <w:t xml:space="preserve"> </w:t>
      </w:r>
      <w:r w:rsidRPr="0002744D" w:rsidR="003C2B86">
        <w:t xml:space="preserve">not </w:t>
      </w:r>
      <w:r w:rsidRPr="0002744D" w:rsidR="00131CFD">
        <w:t>subject to any pressure or receive any instructions from the Ministry of Defence</w:t>
      </w:r>
      <w:r w:rsidRPr="0002744D" w:rsidR="00036C33">
        <w:t>. Accordingly, t</w:t>
      </w:r>
      <w:r w:rsidRPr="0002744D" w:rsidR="004821A1">
        <w:t xml:space="preserve">he Court finds that </w:t>
      </w:r>
      <w:r w:rsidRPr="0002744D" w:rsidR="004733B8">
        <w:t xml:space="preserve">the provision of </w:t>
      </w:r>
      <w:r w:rsidRPr="0002744D" w:rsidR="004821A1">
        <w:t xml:space="preserve">ordinary administrative support </w:t>
      </w:r>
      <w:r w:rsidRPr="0002744D" w:rsidR="00143848">
        <w:t>can</w:t>
      </w:r>
      <w:r w:rsidRPr="0002744D" w:rsidR="004821A1">
        <w:t xml:space="preserve">not </w:t>
      </w:r>
      <w:r w:rsidRPr="0002744D" w:rsidR="00036C33">
        <w:t xml:space="preserve">in itself </w:t>
      </w:r>
      <w:r w:rsidRPr="0002744D" w:rsidR="004821A1">
        <w:t xml:space="preserve">be seen as </w:t>
      </w:r>
      <w:r w:rsidRPr="0002744D" w:rsidR="00036C33">
        <w:t>affecting</w:t>
      </w:r>
      <w:r w:rsidRPr="0002744D" w:rsidR="004733B8">
        <w:t xml:space="preserve"> the</w:t>
      </w:r>
      <w:r w:rsidRPr="0002744D" w:rsidR="00036C33">
        <w:t xml:space="preserve"> </w:t>
      </w:r>
      <w:r w:rsidRPr="0002744D" w:rsidR="003C2B86">
        <w:t>independence</w:t>
      </w:r>
      <w:r w:rsidRPr="0002744D" w:rsidR="00036C33">
        <w:t xml:space="preserve"> of a commission</w:t>
      </w:r>
      <w:r w:rsidRPr="0002744D" w:rsidR="0002744D">
        <w:t>’</w:t>
      </w:r>
      <w:r w:rsidRPr="0002744D" w:rsidR="00036C33">
        <w:t>s members.</w:t>
      </w:r>
    </w:p>
    <w:p w:rsidRPr="0002744D" w:rsidR="006F22BC" w:rsidP="0002744D" w:rsidRDefault="007A346F">
      <w:pPr>
        <w:pStyle w:val="ECHRPara"/>
      </w:pPr>
      <w:r w:rsidRPr="0002744D">
        <w:fldChar w:fldCharType="begin"/>
      </w:r>
      <w:r w:rsidRPr="0002744D">
        <w:instrText xml:space="preserve"> SEQ level0 \*arabic </w:instrText>
      </w:r>
      <w:r w:rsidRPr="0002744D">
        <w:fldChar w:fldCharType="separate"/>
      </w:r>
      <w:r w:rsidRPr="0002744D" w:rsidR="0002744D">
        <w:rPr>
          <w:noProof/>
        </w:rPr>
        <w:t>75</w:t>
      </w:r>
      <w:r w:rsidRPr="0002744D">
        <w:fldChar w:fldCharType="end"/>
      </w:r>
      <w:r w:rsidRPr="0002744D">
        <w:t>.  </w:t>
      </w:r>
      <w:r w:rsidRPr="0002744D" w:rsidR="007470F1">
        <w:t xml:space="preserve">Furthermore, </w:t>
      </w:r>
      <w:r w:rsidRPr="0002744D" w:rsidR="00680D4E">
        <w:t xml:space="preserve">the Court considers that </w:t>
      </w:r>
      <w:r w:rsidRPr="0002744D" w:rsidR="00143848">
        <w:t xml:space="preserve">the </w:t>
      </w:r>
      <w:r w:rsidRPr="0002744D" w:rsidR="00187F15">
        <w:t>allegation</w:t>
      </w:r>
      <w:r w:rsidRPr="0002744D" w:rsidR="00924E7F">
        <w:t xml:space="preserve"> </w:t>
      </w:r>
      <w:r w:rsidRPr="0002744D" w:rsidR="00143848">
        <w:t>(see the submissions of the applicant and the third party in paragraphs 4</w:t>
      </w:r>
      <w:r w:rsidRPr="0002744D" w:rsidR="00F33EA3">
        <w:t>4</w:t>
      </w:r>
      <w:r w:rsidRPr="0002744D" w:rsidR="00143848">
        <w:t xml:space="preserve"> and 5</w:t>
      </w:r>
      <w:r w:rsidRPr="0002744D" w:rsidR="00F33EA3">
        <w:t>5</w:t>
      </w:r>
      <w:r w:rsidRPr="0002744D" w:rsidR="00143848">
        <w:t xml:space="preserve"> above) </w:t>
      </w:r>
      <w:r w:rsidRPr="0002744D" w:rsidR="00924E7F">
        <w:t>that members of recruitment commissions</w:t>
      </w:r>
      <w:r w:rsidRPr="0002744D" w:rsidR="004264F0">
        <w:t xml:space="preserve"> did not ha</w:t>
      </w:r>
      <w:r w:rsidRPr="0002744D" w:rsidR="00A30861">
        <w:t>v</w:t>
      </w:r>
      <w:r w:rsidRPr="0002744D" w:rsidR="004264F0">
        <w:t xml:space="preserve">e true </w:t>
      </w:r>
      <w:r w:rsidRPr="0002744D" w:rsidR="00924E7F">
        <w:t>voting power</w:t>
      </w:r>
      <w:r w:rsidRPr="0002744D" w:rsidR="004264F0">
        <w:t>s</w:t>
      </w:r>
      <w:r w:rsidRPr="0002744D" w:rsidR="00924E7F">
        <w:t xml:space="preserve"> and </w:t>
      </w:r>
      <w:r w:rsidRPr="0002744D" w:rsidR="004264F0">
        <w:t xml:space="preserve">that </w:t>
      </w:r>
      <w:r w:rsidRPr="0002744D" w:rsidR="00924E7F">
        <w:t xml:space="preserve">all decisions were </w:t>
      </w:r>
      <w:r w:rsidRPr="0002744D" w:rsidR="001841F2">
        <w:rPr>
          <w:i/>
        </w:rPr>
        <w:t xml:space="preserve">de facto </w:t>
      </w:r>
      <w:r w:rsidRPr="0002744D" w:rsidR="00924E7F">
        <w:t xml:space="preserve">made by </w:t>
      </w:r>
      <w:r w:rsidRPr="0002744D" w:rsidR="004264F0">
        <w:t xml:space="preserve">the </w:t>
      </w:r>
      <w:r w:rsidRPr="0002744D" w:rsidR="00CF6989">
        <w:t xml:space="preserve">heads of </w:t>
      </w:r>
      <w:r w:rsidRPr="0002744D" w:rsidR="004264F0">
        <w:t xml:space="preserve">the </w:t>
      </w:r>
      <w:r w:rsidRPr="0002744D" w:rsidR="00CF6989">
        <w:t xml:space="preserve">military commissariats </w:t>
      </w:r>
      <w:r w:rsidRPr="0002744D" w:rsidR="003C2B86">
        <w:t>is</w:t>
      </w:r>
      <w:r w:rsidRPr="0002744D" w:rsidR="00CF6989">
        <w:t xml:space="preserve"> speculative </w:t>
      </w:r>
      <w:r w:rsidRPr="0002744D" w:rsidR="00680D4E">
        <w:t xml:space="preserve">and </w:t>
      </w:r>
      <w:r w:rsidRPr="0002744D" w:rsidR="003C2B86">
        <w:t>cannot</w:t>
      </w:r>
      <w:r w:rsidRPr="0002744D" w:rsidR="00680D4E">
        <w:t xml:space="preserve"> be regarded as valid</w:t>
      </w:r>
      <w:r w:rsidRPr="0002744D" w:rsidR="004264F0">
        <w:t xml:space="preserve"> in the absence of any credible </w:t>
      </w:r>
      <w:r w:rsidRPr="0002744D" w:rsidR="009B6E29">
        <w:t>evidence to support it</w:t>
      </w:r>
      <w:r w:rsidRPr="0002744D" w:rsidR="006E6069">
        <w:t>.</w:t>
      </w:r>
    </w:p>
    <w:p w:rsidRPr="0002744D" w:rsidR="006F22BC" w:rsidP="0002744D" w:rsidRDefault="005118DB">
      <w:pPr>
        <w:pStyle w:val="ECHRHeading5"/>
      </w:pPr>
      <w:r w:rsidRPr="0002744D">
        <w:t>(</w:t>
      </w:r>
      <w:r w:rsidRPr="0002744D" w:rsidR="00370658">
        <w:t>ii</w:t>
      </w:r>
      <w:r w:rsidRPr="0002744D">
        <w:t>)</w:t>
      </w:r>
      <w:r w:rsidRPr="0002744D" w:rsidR="00680D4E">
        <w:t xml:space="preserve">  Proceedings before </w:t>
      </w:r>
      <w:r w:rsidRPr="0002744D" w:rsidR="00370658">
        <w:t xml:space="preserve">the </w:t>
      </w:r>
      <w:r w:rsidRPr="0002744D" w:rsidR="00680D4E">
        <w:t>domestic courts</w:t>
      </w:r>
    </w:p>
    <w:p w:rsidRPr="0002744D" w:rsidR="005B6D4E" w:rsidP="0002744D" w:rsidRDefault="00993D7D">
      <w:pPr>
        <w:pStyle w:val="ECHRPara"/>
      </w:pPr>
      <w:r w:rsidRPr="0002744D">
        <w:fldChar w:fldCharType="begin"/>
      </w:r>
      <w:r w:rsidRPr="0002744D">
        <w:instrText xml:space="preserve"> SEQ level0 \*arabic </w:instrText>
      </w:r>
      <w:r w:rsidRPr="0002744D">
        <w:fldChar w:fldCharType="separate"/>
      </w:r>
      <w:r w:rsidRPr="0002744D" w:rsidR="0002744D">
        <w:rPr>
          <w:noProof/>
        </w:rPr>
        <w:t>76</w:t>
      </w:r>
      <w:r w:rsidRPr="0002744D">
        <w:fldChar w:fldCharType="end"/>
      </w:r>
      <w:r w:rsidRPr="0002744D">
        <w:t>.  </w:t>
      </w:r>
      <w:r w:rsidRPr="0002744D" w:rsidR="00C85E63">
        <w:t xml:space="preserve">The Court observes that all decisions adopted by a military recruitment commission </w:t>
      </w:r>
      <w:r w:rsidRPr="0002744D" w:rsidR="00370658">
        <w:t>are amenable to an appeal</w:t>
      </w:r>
      <w:r w:rsidRPr="0002744D" w:rsidR="00C85E63">
        <w:t xml:space="preserve"> before </w:t>
      </w:r>
      <w:r w:rsidRPr="0002744D" w:rsidR="00370658">
        <w:t xml:space="preserve">the </w:t>
      </w:r>
      <w:r w:rsidRPr="0002744D" w:rsidR="00C85E63">
        <w:t>national courts</w:t>
      </w:r>
      <w:r w:rsidRPr="0002744D" w:rsidR="00725BE1">
        <w:t xml:space="preserve"> of general jurisdiction</w:t>
      </w:r>
      <w:r w:rsidRPr="0002744D" w:rsidR="00C85E63">
        <w:t xml:space="preserve"> (see paragraph </w:t>
      </w:r>
      <w:r w:rsidRPr="0002744D" w:rsidR="00C85E63">
        <w:fldChar w:fldCharType="begin"/>
      </w:r>
      <w:r w:rsidRPr="0002744D" w:rsidR="00C85E63">
        <w:instrText xml:space="preserve"> REF judicialreview \h </w:instrText>
      </w:r>
      <w:r w:rsidRPr="0002744D" w:rsidR="002235A2">
        <w:instrText xml:space="preserve"> \* MERGEFORMAT </w:instrText>
      </w:r>
      <w:r w:rsidRPr="0002744D" w:rsidR="00C85E63">
        <w:fldChar w:fldCharType="separate"/>
      </w:r>
      <w:r w:rsidRPr="0002744D" w:rsidR="0002744D">
        <w:rPr>
          <w:noProof/>
        </w:rPr>
        <w:t>25</w:t>
      </w:r>
      <w:r w:rsidRPr="0002744D" w:rsidR="00C85E63">
        <w:fldChar w:fldCharType="end"/>
      </w:r>
      <w:r w:rsidRPr="0002744D" w:rsidR="00370658">
        <w:t xml:space="preserve"> above</w:t>
      </w:r>
      <w:r w:rsidRPr="0002744D" w:rsidR="00C85E63">
        <w:t xml:space="preserve">). </w:t>
      </w:r>
      <w:r w:rsidRPr="0002744D" w:rsidR="00370658">
        <w:t>Courts</w:t>
      </w:r>
      <w:r w:rsidRPr="0002744D" w:rsidR="00662552">
        <w:t xml:space="preserve"> </w:t>
      </w:r>
      <w:r w:rsidRPr="0002744D" w:rsidR="00370658">
        <w:t xml:space="preserve">are </w:t>
      </w:r>
      <w:r w:rsidRPr="0002744D" w:rsidR="00662552">
        <w:t xml:space="preserve">vested with </w:t>
      </w:r>
      <w:r w:rsidRPr="0002744D" w:rsidR="00FD3D60">
        <w:t>broad powers</w:t>
      </w:r>
      <w:r w:rsidRPr="0002744D" w:rsidR="00ED04DC">
        <w:t xml:space="preserve"> </w:t>
      </w:r>
      <w:r w:rsidRPr="0002744D" w:rsidR="00370658">
        <w:t xml:space="preserve">of review </w:t>
      </w:r>
      <w:r w:rsidRPr="0002744D" w:rsidR="00ED04DC">
        <w:t>with regard to military commissions</w:t>
      </w:r>
      <w:r w:rsidRPr="0002744D" w:rsidR="0002744D">
        <w:t>’</w:t>
      </w:r>
      <w:r w:rsidRPr="0002744D" w:rsidR="00ED04DC">
        <w:t xml:space="preserve"> decisions</w:t>
      </w:r>
      <w:r w:rsidRPr="0002744D" w:rsidR="00662552">
        <w:t xml:space="preserve">. Judicial scrutiny covers </w:t>
      </w:r>
      <w:r w:rsidRPr="0002744D" w:rsidR="009A31DF">
        <w:t xml:space="preserve">all matters of fact and law as well as </w:t>
      </w:r>
      <w:r w:rsidRPr="0002744D" w:rsidR="00662552">
        <w:t xml:space="preserve">observance of </w:t>
      </w:r>
      <w:r w:rsidRPr="0002744D">
        <w:t xml:space="preserve">the </w:t>
      </w:r>
      <w:r w:rsidRPr="0002744D" w:rsidR="00662552">
        <w:t>rights and freedoms of a claimant</w:t>
      </w:r>
      <w:r w:rsidRPr="0002744D">
        <w:t xml:space="preserve">. Courts are empowered to declare a contested decision unlawful, as well as to order measures to remedy breaches of the law and individual rights and freedoms </w:t>
      </w:r>
      <w:r w:rsidRPr="0002744D" w:rsidR="00647C3C">
        <w:t xml:space="preserve">(see </w:t>
      </w:r>
      <w:r w:rsidRPr="0002744D" w:rsidR="00370658">
        <w:t xml:space="preserve">paragraphs </w:t>
      </w:r>
      <w:r w:rsidRPr="0002744D" w:rsidR="00E746DA">
        <w:fldChar w:fldCharType="begin"/>
      </w:r>
      <w:r w:rsidRPr="0002744D" w:rsidR="00E746DA">
        <w:instrText xml:space="preserve"> REF para30 \h </w:instrText>
      </w:r>
      <w:r w:rsidRPr="0002744D" w:rsidR="002235A2">
        <w:instrText xml:space="preserve"> \* MERGEFORMAT </w:instrText>
      </w:r>
      <w:r w:rsidRPr="0002744D" w:rsidR="00E746DA">
        <w:fldChar w:fldCharType="separate"/>
      </w:r>
      <w:r w:rsidRPr="0002744D" w:rsidR="0002744D">
        <w:rPr>
          <w:noProof/>
        </w:rPr>
        <w:t>31</w:t>
      </w:r>
      <w:r w:rsidRPr="0002744D" w:rsidR="00E746DA">
        <w:fldChar w:fldCharType="end"/>
      </w:r>
      <w:r w:rsidRPr="0002744D" w:rsidR="00E746DA">
        <w:t>-</w:t>
      </w:r>
      <w:r w:rsidRPr="0002744D" w:rsidR="00E746DA">
        <w:fldChar w:fldCharType="begin"/>
      </w:r>
      <w:r w:rsidRPr="0002744D" w:rsidR="00E746DA">
        <w:instrText xml:space="preserve"> REF para32 \h </w:instrText>
      </w:r>
      <w:r w:rsidRPr="0002744D" w:rsidR="002235A2">
        <w:instrText xml:space="preserve"> \* MERGEFORMAT </w:instrText>
      </w:r>
      <w:r w:rsidRPr="0002744D" w:rsidR="00E746DA">
        <w:fldChar w:fldCharType="separate"/>
      </w:r>
      <w:r w:rsidRPr="0002744D" w:rsidR="0002744D">
        <w:rPr>
          <w:noProof/>
        </w:rPr>
        <w:t>33</w:t>
      </w:r>
      <w:r w:rsidRPr="0002744D" w:rsidR="00E746DA">
        <w:fldChar w:fldCharType="end"/>
      </w:r>
      <w:r w:rsidRPr="0002744D" w:rsidR="00E746DA">
        <w:t xml:space="preserve"> above).</w:t>
      </w:r>
    </w:p>
    <w:p w:rsidRPr="0002744D" w:rsidR="006F22BC" w:rsidP="0002744D" w:rsidRDefault="00993D7D">
      <w:pPr>
        <w:pStyle w:val="ECHRPara"/>
      </w:pPr>
      <w:r w:rsidRPr="0002744D">
        <w:fldChar w:fldCharType="begin"/>
      </w:r>
      <w:r w:rsidRPr="0002744D">
        <w:instrText xml:space="preserve"> SEQ level0 \*arabic </w:instrText>
      </w:r>
      <w:r w:rsidRPr="0002744D">
        <w:fldChar w:fldCharType="separate"/>
      </w:r>
      <w:r w:rsidRPr="0002744D" w:rsidR="0002744D">
        <w:rPr>
          <w:noProof/>
        </w:rPr>
        <w:t>77</w:t>
      </w:r>
      <w:r w:rsidRPr="0002744D">
        <w:fldChar w:fldCharType="end"/>
      </w:r>
      <w:r w:rsidRPr="0002744D">
        <w:t>.  </w:t>
      </w:r>
      <w:r w:rsidRPr="0002744D" w:rsidR="00133E79">
        <w:t>T</w:t>
      </w:r>
      <w:r w:rsidRPr="0002744D" w:rsidR="00B419FA">
        <w:t xml:space="preserve">he Court </w:t>
      </w:r>
      <w:r w:rsidRPr="0002744D" w:rsidR="005F4C2E">
        <w:t>further</w:t>
      </w:r>
      <w:r w:rsidRPr="0002744D" w:rsidR="00D27D43">
        <w:t>more</w:t>
      </w:r>
      <w:r w:rsidRPr="0002744D" w:rsidR="00133E79">
        <w:t xml:space="preserve"> </w:t>
      </w:r>
      <w:r w:rsidRPr="0002744D" w:rsidR="00B419FA">
        <w:t xml:space="preserve">notes </w:t>
      </w:r>
      <w:proofErr w:type="gramStart"/>
      <w:r w:rsidRPr="0002744D" w:rsidR="00B419FA">
        <w:t xml:space="preserve">that </w:t>
      </w:r>
      <w:r w:rsidRPr="0002744D" w:rsidR="00643696">
        <w:t>commissions</w:t>
      </w:r>
      <w:proofErr w:type="gramEnd"/>
      <w:r w:rsidRPr="0002744D" w:rsidR="0002744D">
        <w:t>’</w:t>
      </w:r>
      <w:r w:rsidRPr="0002744D" w:rsidR="00C85E63">
        <w:t xml:space="preserve"> decision</w:t>
      </w:r>
      <w:r w:rsidRPr="0002744D" w:rsidR="004D2526">
        <w:t>s</w:t>
      </w:r>
      <w:r w:rsidRPr="0002744D" w:rsidR="00C85E63">
        <w:t xml:space="preserve"> </w:t>
      </w:r>
      <w:r w:rsidRPr="0002744D" w:rsidR="004D2526">
        <w:t>are</w:t>
      </w:r>
      <w:r w:rsidRPr="0002744D" w:rsidR="00C85E63">
        <w:t xml:space="preserve"> automatically suspended pending </w:t>
      </w:r>
      <w:r w:rsidRPr="0002744D" w:rsidR="00D27D43">
        <w:t xml:space="preserve">the </w:t>
      </w:r>
      <w:r w:rsidRPr="0002744D" w:rsidR="004425C4">
        <w:t xml:space="preserve">adoption of a final </w:t>
      </w:r>
      <w:r w:rsidRPr="0002744D" w:rsidR="003416A7">
        <w:t>judgment</w:t>
      </w:r>
      <w:r w:rsidRPr="0002744D" w:rsidR="004425C4">
        <w:t xml:space="preserve"> by a domestic court.</w:t>
      </w:r>
      <w:r w:rsidRPr="0002744D" w:rsidR="009B0A7B">
        <w:t xml:space="preserve"> </w:t>
      </w:r>
      <w:r w:rsidRPr="0002744D" w:rsidR="00377CF0">
        <w:t xml:space="preserve">This is an important safeguard preventing individuals from being </w:t>
      </w:r>
      <w:r w:rsidRPr="0002744D" w:rsidR="00D27D43">
        <w:t>conscripted in</w:t>
      </w:r>
      <w:r w:rsidRPr="0002744D" w:rsidR="00377CF0">
        <w:t xml:space="preserve">to military service </w:t>
      </w:r>
      <w:r w:rsidRPr="0002744D" w:rsidR="00CC1C91">
        <w:t>while court proceedings are still ongoing.</w:t>
      </w:r>
    </w:p>
    <w:p w:rsidRPr="0002744D" w:rsidR="00BB548A" w:rsidP="0002744D" w:rsidRDefault="00DB2072">
      <w:pPr>
        <w:pStyle w:val="ECHRPara"/>
      </w:pPr>
      <w:r w:rsidRPr="0002744D">
        <w:fldChar w:fldCharType="begin"/>
      </w:r>
      <w:r w:rsidRPr="0002744D">
        <w:instrText xml:space="preserve"> SEQ level0 \*arabic </w:instrText>
      </w:r>
      <w:r w:rsidRPr="0002744D">
        <w:fldChar w:fldCharType="separate"/>
      </w:r>
      <w:r w:rsidRPr="0002744D" w:rsidR="0002744D">
        <w:rPr>
          <w:noProof/>
        </w:rPr>
        <w:t>78</w:t>
      </w:r>
      <w:r w:rsidRPr="0002744D">
        <w:fldChar w:fldCharType="end"/>
      </w:r>
      <w:r w:rsidRPr="0002744D">
        <w:t>.  </w:t>
      </w:r>
      <w:r w:rsidRPr="0002744D" w:rsidR="00655516">
        <w:t>The Court is mindful that u</w:t>
      </w:r>
      <w:r w:rsidRPr="0002744D" w:rsidR="009B0A7B">
        <w:t xml:space="preserve">nder the </w:t>
      </w:r>
      <w:r w:rsidRPr="0002744D" w:rsidR="002537EB">
        <w:t>Russian Code of Administrative Procedure</w:t>
      </w:r>
      <w:r w:rsidRPr="0002744D" w:rsidR="009B0A7B">
        <w:t xml:space="preserve"> a </w:t>
      </w:r>
      <w:r w:rsidRPr="0002744D" w:rsidR="003416A7">
        <w:t>judgment</w:t>
      </w:r>
      <w:r w:rsidRPr="0002744D" w:rsidR="009B0A7B">
        <w:t xml:space="preserve"> becomes final on the day </w:t>
      </w:r>
      <w:r w:rsidRPr="0002744D" w:rsidR="00D27D43">
        <w:t xml:space="preserve">that </w:t>
      </w:r>
      <w:r w:rsidRPr="0002744D" w:rsidR="009B0A7B">
        <w:t xml:space="preserve">it is upheld by an appeal court (see </w:t>
      </w:r>
      <w:r w:rsidRPr="0002744D" w:rsidR="00E746DA">
        <w:t xml:space="preserve">paragraphs </w:t>
      </w:r>
      <w:r w:rsidRPr="0002744D" w:rsidR="00E746DA">
        <w:fldChar w:fldCharType="begin"/>
      </w:r>
      <w:r w:rsidRPr="0002744D" w:rsidR="00E746DA">
        <w:instrText xml:space="preserve"> REF finalisation28 \h </w:instrText>
      </w:r>
      <w:r w:rsidRPr="0002744D" w:rsidR="002235A2">
        <w:instrText xml:space="preserve"> \* MERGEFORMAT </w:instrText>
      </w:r>
      <w:r w:rsidRPr="0002744D" w:rsidR="00E746DA">
        <w:fldChar w:fldCharType="separate"/>
      </w:r>
      <w:r w:rsidRPr="0002744D" w:rsidR="0002744D">
        <w:rPr>
          <w:noProof/>
        </w:rPr>
        <w:t>29</w:t>
      </w:r>
      <w:r w:rsidRPr="0002744D" w:rsidR="00E746DA">
        <w:fldChar w:fldCharType="end"/>
      </w:r>
      <w:r w:rsidRPr="0002744D" w:rsidR="00E746DA">
        <w:t xml:space="preserve"> and </w:t>
      </w:r>
      <w:r w:rsidRPr="0002744D" w:rsidR="00E746DA">
        <w:fldChar w:fldCharType="begin"/>
      </w:r>
      <w:r w:rsidRPr="0002744D" w:rsidR="00E746DA">
        <w:instrText xml:space="preserve"> REF finalisation29 \h </w:instrText>
      </w:r>
      <w:r w:rsidRPr="0002744D" w:rsidR="002235A2">
        <w:instrText xml:space="preserve"> \* MERGEFORMAT </w:instrText>
      </w:r>
      <w:r w:rsidRPr="0002744D" w:rsidR="00E746DA">
        <w:fldChar w:fldCharType="separate"/>
      </w:r>
      <w:r w:rsidRPr="0002744D" w:rsidR="0002744D">
        <w:rPr>
          <w:noProof/>
        </w:rPr>
        <w:t>30</w:t>
      </w:r>
      <w:r w:rsidRPr="0002744D" w:rsidR="00E746DA">
        <w:fldChar w:fldCharType="end"/>
      </w:r>
      <w:r w:rsidRPr="0002744D" w:rsidR="009B0A7B">
        <w:t>)</w:t>
      </w:r>
      <w:r w:rsidRPr="0002744D" w:rsidR="00133E79">
        <w:t>.</w:t>
      </w:r>
      <w:r w:rsidRPr="0002744D" w:rsidR="00655516">
        <w:t xml:space="preserve"> </w:t>
      </w:r>
      <w:r w:rsidRPr="0002744D" w:rsidR="001E442F">
        <w:t>Consequently,</w:t>
      </w:r>
      <w:r w:rsidRPr="0002744D" w:rsidR="00D27D43">
        <w:t xml:space="preserve"> a</w:t>
      </w:r>
      <w:r w:rsidRPr="0002744D" w:rsidR="001E442F">
        <w:t xml:space="preserve"> </w:t>
      </w:r>
      <w:r w:rsidRPr="0002744D" w:rsidR="00773880">
        <w:t xml:space="preserve">two-tier </w:t>
      </w:r>
      <w:r w:rsidRPr="0002744D" w:rsidR="007C535F">
        <w:t xml:space="preserve">review in </w:t>
      </w:r>
      <w:r w:rsidRPr="0002744D" w:rsidR="00773880">
        <w:t xml:space="preserve">cassation </w:t>
      </w:r>
      <w:r w:rsidRPr="0002744D" w:rsidR="007C535F">
        <w:t xml:space="preserve">proceedings </w:t>
      </w:r>
      <w:r w:rsidRPr="0002744D" w:rsidR="00773880">
        <w:t xml:space="preserve">before </w:t>
      </w:r>
      <w:r w:rsidRPr="0002744D" w:rsidR="00993D7D">
        <w:t xml:space="preserve">the </w:t>
      </w:r>
      <w:r w:rsidRPr="0002744D" w:rsidR="00773880">
        <w:t xml:space="preserve">regional courts and the Supreme Court </w:t>
      </w:r>
      <w:r w:rsidRPr="0002744D" w:rsidR="008742A5">
        <w:t>has</w:t>
      </w:r>
      <w:r w:rsidRPr="0002744D" w:rsidR="00773880">
        <w:t xml:space="preserve"> no suspensive effect. </w:t>
      </w:r>
      <w:r w:rsidRPr="0002744D" w:rsidR="002625D6">
        <w:t xml:space="preserve">However, this would not automatically render cassation </w:t>
      </w:r>
      <w:r w:rsidRPr="0002744D" w:rsidR="00B5541B">
        <w:t>proceedings</w:t>
      </w:r>
      <w:r w:rsidRPr="0002744D" w:rsidR="009A31DF">
        <w:t xml:space="preserve"> ineffective. Moreover, t</w:t>
      </w:r>
      <w:r w:rsidRPr="0002744D" w:rsidR="00613F93">
        <w:t xml:space="preserve">he applicant never argued that cassation </w:t>
      </w:r>
      <w:r w:rsidRPr="0002744D" w:rsidR="00165266">
        <w:t>appeal</w:t>
      </w:r>
      <w:r w:rsidRPr="0002744D" w:rsidR="007C535F">
        <w:t xml:space="preserve"> </w:t>
      </w:r>
      <w:r w:rsidRPr="0002744D" w:rsidR="00D27D43">
        <w:t xml:space="preserve">had </w:t>
      </w:r>
      <w:r w:rsidRPr="0002744D" w:rsidR="00613F93">
        <w:t xml:space="preserve">not </w:t>
      </w:r>
      <w:r w:rsidRPr="0002744D" w:rsidR="00D27D43">
        <w:t xml:space="preserve">in practice been </w:t>
      </w:r>
      <w:r w:rsidRPr="0002744D" w:rsidR="00613F93">
        <w:t xml:space="preserve">accessible to him or </w:t>
      </w:r>
      <w:r w:rsidRPr="0002744D" w:rsidR="00D27D43">
        <w:t xml:space="preserve">had </w:t>
      </w:r>
      <w:r w:rsidRPr="0002744D" w:rsidR="00613F93">
        <w:t>otherwise</w:t>
      </w:r>
      <w:r w:rsidRPr="0002744D" w:rsidR="00D27D43">
        <w:t xml:space="preserve"> been</w:t>
      </w:r>
      <w:r w:rsidRPr="0002744D" w:rsidR="00613F93">
        <w:t xml:space="preserve"> ineffective</w:t>
      </w:r>
      <w:r w:rsidRPr="0002744D" w:rsidR="00D27D43">
        <w:t xml:space="preserve"> owing </w:t>
      </w:r>
      <w:r w:rsidRPr="0002744D" w:rsidR="00613F93">
        <w:t xml:space="preserve">to </w:t>
      </w:r>
      <w:r w:rsidRPr="0002744D" w:rsidR="002537EB">
        <w:t xml:space="preserve">the </w:t>
      </w:r>
      <w:r w:rsidRPr="0002744D" w:rsidR="00613F93">
        <w:t xml:space="preserve">lack of </w:t>
      </w:r>
      <w:r w:rsidRPr="0002744D" w:rsidR="00D27D43">
        <w:t xml:space="preserve">any </w:t>
      </w:r>
      <w:r w:rsidRPr="0002744D" w:rsidR="00613F93">
        <w:t>suspensive effect.</w:t>
      </w:r>
    </w:p>
    <w:p w:rsidRPr="0002744D" w:rsidR="00F53E3E" w:rsidP="0002744D" w:rsidRDefault="005118DB">
      <w:pPr>
        <w:pStyle w:val="ECHRHeading5"/>
        <w:rPr>
          <w:rFonts w:asciiTheme="minorHAnsi" w:hAnsiTheme="minorHAnsi" w:eastAsiaTheme="minorEastAsia" w:cstheme="minorBidi"/>
          <w:bCs w:val="0"/>
          <w:i w:val="0"/>
          <w:sz w:val="24"/>
        </w:rPr>
      </w:pPr>
      <w:r w:rsidRPr="0002744D">
        <w:t>(</w:t>
      </w:r>
      <w:r w:rsidRPr="0002744D" w:rsidR="00CB2394">
        <w:t>iii</w:t>
      </w:r>
      <w:r w:rsidRPr="0002744D">
        <w:t>)</w:t>
      </w:r>
      <w:r w:rsidRPr="0002744D" w:rsidR="00CB2394">
        <w:t> </w:t>
      </w:r>
      <w:r w:rsidRPr="0002744D" w:rsidR="00F53E3E">
        <w:t> </w:t>
      </w:r>
      <w:r w:rsidRPr="0002744D" w:rsidR="00FA5E9E">
        <w:t>S</w:t>
      </w:r>
      <w:r w:rsidRPr="0002744D" w:rsidR="00E06E62">
        <w:t>tatistical information</w:t>
      </w:r>
    </w:p>
    <w:p w:rsidRPr="0002744D" w:rsidR="006F22BC" w:rsidP="0002744D" w:rsidRDefault="00AF3E16">
      <w:pPr>
        <w:pStyle w:val="ECHRPara"/>
      </w:pPr>
      <w:r w:rsidRPr="0002744D">
        <w:rPr>
          <w:noProof/>
        </w:rPr>
        <w:fldChar w:fldCharType="begin"/>
      </w:r>
      <w:r w:rsidRPr="0002744D">
        <w:rPr>
          <w:noProof/>
        </w:rPr>
        <w:instrText xml:space="preserve"> SEQ level0 \*arabic </w:instrText>
      </w:r>
      <w:r w:rsidRPr="0002744D">
        <w:rPr>
          <w:noProof/>
        </w:rPr>
        <w:fldChar w:fldCharType="separate"/>
      </w:r>
      <w:r w:rsidRPr="0002744D" w:rsidR="0002744D">
        <w:rPr>
          <w:noProof/>
        </w:rPr>
        <w:t>79</w:t>
      </w:r>
      <w:r w:rsidRPr="0002744D">
        <w:rPr>
          <w:noProof/>
        </w:rPr>
        <w:fldChar w:fldCharType="end"/>
      </w:r>
      <w:r w:rsidRPr="0002744D" w:rsidR="00814ED6">
        <w:t>.  </w:t>
      </w:r>
      <w:r w:rsidRPr="0002744D" w:rsidR="00FA5E9E">
        <w:t xml:space="preserve">The Court observes that both the applicant and the respondent Government relied on statistical data. However, there was </w:t>
      </w:r>
      <w:r w:rsidRPr="0002744D" w:rsidR="00CB2394">
        <w:t xml:space="preserve">a </w:t>
      </w:r>
      <w:r w:rsidRPr="0002744D" w:rsidR="00FA5E9E">
        <w:t xml:space="preserve">significant discrepancy </w:t>
      </w:r>
      <w:r w:rsidRPr="0002744D" w:rsidR="00D87236">
        <w:t xml:space="preserve">between </w:t>
      </w:r>
      <w:r w:rsidRPr="0002744D" w:rsidR="00FA5E9E">
        <w:t xml:space="preserve">the </w:t>
      </w:r>
      <w:r w:rsidRPr="0002744D" w:rsidR="00D87236">
        <w:t xml:space="preserve">respective </w:t>
      </w:r>
      <w:r w:rsidRPr="0002744D" w:rsidR="005548A9">
        <w:t>information</w:t>
      </w:r>
      <w:r w:rsidRPr="0002744D" w:rsidR="00FA5E9E">
        <w:t xml:space="preserve"> submitted.</w:t>
      </w:r>
    </w:p>
    <w:p w:rsidRPr="0002744D" w:rsidR="006F22BC" w:rsidP="0002744D" w:rsidRDefault="00AF3E16">
      <w:pPr>
        <w:pStyle w:val="ECHRPara"/>
      </w:pPr>
      <w:r w:rsidRPr="0002744D">
        <w:rPr>
          <w:noProof/>
        </w:rPr>
        <w:fldChar w:fldCharType="begin"/>
      </w:r>
      <w:r w:rsidRPr="0002744D">
        <w:rPr>
          <w:noProof/>
        </w:rPr>
        <w:instrText xml:space="preserve"> SEQ level0 \*arabic </w:instrText>
      </w:r>
      <w:r w:rsidRPr="0002744D">
        <w:rPr>
          <w:noProof/>
        </w:rPr>
        <w:fldChar w:fldCharType="separate"/>
      </w:r>
      <w:r w:rsidRPr="0002744D" w:rsidR="0002744D">
        <w:rPr>
          <w:noProof/>
        </w:rPr>
        <w:t>80</w:t>
      </w:r>
      <w:r w:rsidRPr="0002744D">
        <w:rPr>
          <w:noProof/>
        </w:rPr>
        <w:fldChar w:fldCharType="end"/>
      </w:r>
      <w:r w:rsidRPr="0002744D" w:rsidR="00CB6D92">
        <w:t xml:space="preserve">.  According to the applicant, </w:t>
      </w:r>
      <w:r w:rsidRPr="0002744D" w:rsidR="00B13CE6">
        <w:t xml:space="preserve">from 2014 </w:t>
      </w:r>
      <w:r w:rsidRPr="0002744D" w:rsidR="00D87236">
        <w:t xml:space="preserve">until </w:t>
      </w:r>
      <w:r w:rsidRPr="0002744D" w:rsidR="00B13CE6">
        <w:t xml:space="preserve">2017 </w:t>
      </w:r>
      <w:r w:rsidRPr="0002744D" w:rsidR="00EC6DDC">
        <w:t xml:space="preserve">approximately </w:t>
      </w:r>
      <w:r w:rsidRPr="0002744D" w:rsidR="00CB6D92">
        <w:t>60</w:t>
      </w:r>
      <w:r w:rsidRPr="0002744D" w:rsidR="00D87236">
        <w:t>%</w:t>
      </w:r>
      <w:r w:rsidRPr="0002744D" w:rsidR="00CB6D92">
        <w:t xml:space="preserve"> of all </w:t>
      </w:r>
      <w:r w:rsidRPr="0002744D" w:rsidR="00CC4E4F">
        <w:t xml:space="preserve">applications </w:t>
      </w:r>
      <w:r w:rsidRPr="0002744D" w:rsidR="00CB6D92">
        <w:t xml:space="preserve">for </w:t>
      </w:r>
      <w:r w:rsidRPr="0002744D" w:rsidR="00CB2394">
        <w:t xml:space="preserve">the </w:t>
      </w:r>
      <w:r w:rsidRPr="0002744D" w:rsidR="00CB6D92">
        <w:t xml:space="preserve">replacement of military service </w:t>
      </w:r>
      <w:r w:rsidRPr="0002744D" w:rsidR="00D87236">
        <w:t xml:space="preserve">lodged </w:t>
      </w:r>
      <w:r w:rsidRPr="0002744D" w:rsidR="00CB2394">
        <w:t>in St</w:t>
      </w:r>
      <w:r w:rsidRPr="0002744D" w:rsidR="00301A4C">
        <w:t> </w:t>
      </w:r>
      <w:r w:rsidRPr="0002744D" w:rsidR="00CB2394">
        <w:t>Petersburg</w:t>
      </w:r>
      <w:r w:rsidRPr="0002744D" w:rsidDel="00CB2394" w:rsidR="00CB2394">
        <w:t xml:space="preserve"> </w:t>
      </w:r>
      <w:r w:rsidRPr="0002744D" w:rsidR="00CB6D92">
        <w:t>were granted</w:t>
      </w:r>
      <w:r w:rsidRPr="0002744D" w:rsidR="00EC6DDC">
        <w:t xml:space="preserve"> (325 </w:t>
      </w:r>
      <w:r w:rsidRPr="0002744D" w:rsidR="00CC4E4F">
        <w:t>applications</w:t>
      </w:r>
      <w:r w:rsidRPr="0002744D" w:rsidR="00EC6DDC">
        <w:t xml:space="preserve"> out of 560)</w:t>
      </w:r>
      <w:r w:rsidRPr="0002744D" w:rsidR="00CB6D92">
        <w:t xml:space="preserve">. </w:t>
      </w:r>
      <w:r w:rsidRPr="0002744D" w:rsidR="00D87236">
        <w:t xml:space="preserve">By contrast, the </w:t>
      </w:r>
      <w:r w:rsidRPr="0002744D" w:rsidR="00CB6D92">
        <w:t xml:space="preserve">Government indicated </w:t>
      </w:r>
      <w:r w:rsidRPr="0002744D" w:rsidR="00D87236">
        <w:t xml:space="preserve">an </w:t>
      </w:r>
      <w:r w:rsidRPr="0002744D" w:rsidR="00CB6D92">
        <w:t>almost 98</w:t>
      </w:r>
      <w:r w:rsidRPr="0002744D" w:rsidR="00D87236">
        <w:t>%</w:t>
      </w:r>
      <w:r w:rsidRPr="0002744D" w:rsidR="00CB6D92">
        <w:t xml:space="preserve"> </w:t>
      </w:r>
      <w:r w:rsidRPr="0002744D" w:rsidR="00D743BB">
        <w:t xml:space="preserve">approval rate regarding such </w:t>
      </w:r>
      <w:r w:rsidRPr="0002744D" w:rsidR="00CC4E4F">
        <w:t>applications</w:t>
      </w:r>
      <w:r w:rsidRPr="0002744D" w:rsidR="00D743BB">
        <w:t xml:space="preserve"> </w:t>
      </w:r>
      <w:r w:rsidRPr="0002744D" w:rsidR="00CB2394">
        <w:t>for the entire country</w:t>
      </w:r>
      <w:r w:rsidRPr="0002744D" w:rsidR="00337DBB">
        <w:t xml:space="preserve"> in the same period</w:t>
      </w:r>
      <w:r w:rsidRPr="0002744D" w:rsidR="001D47E9">
        <w:t xml:space="preserve">, which would amount to </w:t>
      </w:r>
      <w:r w:rsidRPr="0002744D" w:rsidR="00D743BB">
        <w:t xml:space="preserve">a total of </w:t>
      </w:r>
      <w:r w:rsidRPr="0002744D" w:rsidR="001D47E9">
        <w:t xml:space="preserve">approximately </w:t>
      </w:r>
      <w:r w:rsidRPr="0002744D" w:rsidR="00D743BB">
        <w:t xml:space="preserve">eighty-eight </w:t>
      </w:r>
      <w:r w:rsidRPr="0002744D" w:rsidR="007C535F">
        <w:t xml:space="preserve">dismissals </w:t>
      </w:r>
      <w:r w:rsidRPr="0002744D" w:rsidR="00D743BB">
        <w:t xml:space="preserve">out </w:t>
      </w:r>
      <w:r w:rsidRPr="0002744D" w:rsidR="001D47E9">
        <w:t>of 4</w:t>
      </w:r>
      <w:r w:rsidRPr="0002744D" w:rsidR="00D743BB">
        <w:t>,</w:t>
      </w:r>
      <w:r w:rsidRPr="0002744D" w:rsidR="001D47E9">
        <w:t>110</w:t>
      </w:r>
      <w:r w:rsidRPr="0002744D" w:rsidR="00CB2394">
        <w:t xml:space="preserve"> replacement </w:t>
      </w:r>
      <w:r w:rsidRPr="0002744D" w:rsidR="00CC4E4F">
        <w:t xml:space="preserve">applications </w:t>
      </w:r>
      <w:r w:rsidRPr="0002744D" w:rsidR="00510048">
        <w:t xml:space="preserve">lodged </w:t>
      </w:r>
      <w:r w:rsidRPr="0002744D" w:rsidR="00962739">
        <w:t>country-wide</w:t>
      </w:r>
      <w:r w:rsidRPr="0002744D" w:rsidR="00CB6D92">
        <w:t>. Information provided by the third</w:t>
      </w:r>
      <w:r w:rsidRPr="0002744D" w:rsidR="00D743BB">
        <w:t>-</w:t>
      </w:r>
      <w:r w:rsidRPr="0002744D" w:rsidR="00CB6D92">
        <w:t xml:space="preserve">party intervener </w:t>
      </w:r>
      <w:r w:rsidRPr="0002744D" w:rsidR="00D743BB">
        <w:t xml:space="preserve">indicated </w:t>
      </w:r>
      <w:r w:rsidRPr="0002744D" w:rsidR="00CB6D92">
        <w:t>that approximately 50</w:t>
      </w:r>
      <w:r w:rsidRPr="0002744D" w:rsidR="00D743BB">
        <w:t>%</w:t>
      </w:r>
      <w:r w:rsidRPr="0002744D" w:rsidR="00CB6D92">
        <w:t xml:space="preserve"> of all </w:t>
      </w:r>
      <w:r w:rsidRPr="0002744D" w:rsidR="00CC4E4F">
        <w:t xml:space="preserve">applications </w:t>
      </w:r>
      <w:r w:rsidRPr="0002744D" w:rsidR="00D743BB">
        <w:t xml:space="preserve">lodged </w:t>
      </w:r>
      <w:r w:rsidRPr="0002744D" w:rsidR="00814ED6">
        <w:t xml:space="preserve">with their assistance </w:t>
      </w:r>
      <w:r w:rsidRPr="0002744D" w:rsidR="00CB6D92">
        <w:t>were approved in the period</w:t>
      </w:r>
      <w:r w:rsidRPr="0002744D" w:rsidR="00D743BB">
        <w:t xml:space="preserve"> in question</w:t>
      </w:r>
      <w:r w:rsidRPr="0002744D" w:rsidR="00CB6D92">
        <w:t>.</w:t>
      </w:r>
    </w:p>
    <w:p w:rsidRPr="0002744D" w:rsidR="00535539" w:rsidP="0002744D" w:rsidRDefault="00AF3E16">
      <w:pPr>
        <w:pStyle w:val="ECHRPara"/>
      </w:pPr>
      <w:r w:rsidRPr="0002744D">
        <w:rPr>
          <w:noProof/>
        </w:rPr>
        <w:fldChar w:fldCharType="begin"/>
      </w:r>
      <w:r w:rsidRPr="0002744D">
        <w:rPr>
          <w:noProof/>
        </w:rPr>
        <w:instrText xml:space="preserve"> SEQ level0 \*arabic </w:instrText>
      </w:r>
      <w:r w:rsidRPr="0002744D">
        <w:rPr>
          <w:noProof/>
        </w:rPr>
        <w:fldChar w:fldCharType="separate"/>
      </w:r>
      <w:r w:rsidRPr="0002744D" w:rsidR="0002744D">
        <w:rPr>
          <w:noProof/>
        </w:rPr>
        <w:t>81</w:t>
      </w:r>
      <w:r w:rsidRPr="0002744D">
        <w:rPr>
          <w:noProof/>
        </w:rPr>
        <w:fldChar w:fldCharType="end"/>
      </w:r>
      <w:r w:rsidRPr="0002744D" w:rsidR="00FA5E9E">
        <w:t>.  The Court is</w:t>
      </w:r>
      <w:r w:rsidRPr="0002744D" w:rsidR="005B05DF">
        <w:t xml:space="preserve"> not in a position to </w:t>
      </w:r>
      <w:r w:rsidRPr="0002744D" w:rsidR="00FA5E9E">
        <w:t xml:space="preserve">determine </w:t>
      </w:r>
      <w:r w:rsidRPr="0002744D" w:rsidR="005B05DF">
        <w:t>whether the reasons</w:t>
      </w:r>
      <w:r w:rsidRPr="0002744D" w:rsidR="00FA5E9E">
        <w:t xml:space="preserve"> </w:t>
      </w:r>
      <w:r w:rsidRPr="0002744D" w:rsidR="00CB6D92">
        <w:t>for such</w:t>
      </w:r>
      <w:r w:rsidRPr="0002744D" w:rsidR="00046A49">
        <w:t xml:space="preserve"> a </w:t>
      </w:r>
      <w:r w:rsidRPr="0002744D" w:rsidR="00CB6D92">
        <w:t xml:space="preserve">significant </w:t>
      </w:r>
      <w:r w:rsidRPr="0002744D" w:rsidR="00537E85">
        <w:t xml:space="preserve">discrepancy </w:t>
      </w:r>
      <w:r w:rsidRPr="0002744D" w:rsidR="005B05DF">
        <w:t xml:space="preserve">were </w:t>
      </w:r>
      <w:r w:rsidRPr="0002744D" w:rsidR="007A2E9D">
        <w:t xml:space="preserve">due to the </w:t>
      </w:r>
      <w:r w:rsidRPr="0002744D" w:rsidR="005B05DF">
        <w:t>differen</w:t>
      </w:r>
      <w:r w:rsidRPr="0002744D" w:rsidR="007A2E9D">
        <w:t xml:space="preserve">ces in </w:t>
      </w:r>
      <w:r w:rsidRPr="0002744D" w:rsidR="005B05DF">
        <w:t xml:space="preserve">statistical technology or </w:t>
      </w:r>
      <w:r w:rsidRPr="0002744D" w:rsidR="007A2E9D">
        <w:t xml:space="preserve">to </w:t>
      </w:r>
      <w:r w:rsidRPr="0002744D" w:rsidR="005B05DF">
        <w:t>calculation errors.</w:t>
      </w:r>
      <w:r w:rsidRPr="0002744D" w:rsidR="00063BCD">
        <w:t xml:space="preserve"> Nonetheless, </w:t>
      </w:r>
      <w:r w:rsidRPr="0002744D" w:rsidR="00D87AAB">
        <w:t xml:space="preserve">all three </w:t>
      </w:r>
      <w:r w:rsidRPr="0002744D" w:rsidR="004A4803">
        <w:t>approaches</w:t>
      </w:r>
      <w:r w:rsidRPr="0002744D" w:rsidR="00D87AAB">
        <w:t xml:space="preserve"> </w:t>
      </w:r>
      <w:r w:rsidRPr="0002744D" w:rsidR="00046A49">
        <w:t xml:space="preserve">confirm the absence </w:t>
      </w:r>
      <w:r w:rsidRPr="0002744D" w:rsidR="00063BCD">
        <w:t xml:space="preserve">of institutional bias </w:t>
      </w:r>
      <w:r w:rsidRPr="0002744D" w:rsidR="00500BDA">
        <w:t xml:space="preserve">against </w:t>
      </w:r>
      <w:r w:rsidRPr="0002744D" w:rsidR="00063BCD">
        <w:t xml:space="preserve">individuals seeking </w:t>
      </w:r>
      <w:r w:rsidRPr="0002744D" w:rsidR="007C535F">
        <w:t xml:space="preserve">the </w:t>
      </w:r>
      <w:r w:rsidRPr="0002744D" w:rsidR="00E8591E">
        <w:t xml:space="preserve">replacement of military </w:t>
      </w:r>
      <w:r w:rsidRPr="0002744D" w:rsidR="00D87AAB">
        <w:t>service</w:t>
      </w:r>
      <w:r w:rsidRPr="0002744D" w:rsidR="00500BDA">
        <w:t xml:space="preserve"> with </w:t>
      </w:r>
      <w:r w:rsidRPr="0002744D" w:rsidR="00AC144F">
        <w:t xml:space="preserve">its </w:t>
      </w:r>
      <w:r w:rsidRPr="0002744D" w:rsidR="00500BDA">
        <w:t xml:space="preserve">civilian </w:t>
      </w:r>
      <w:r w:rsidRPr="0002744D" w:rsidR="00AC144F">
        <w:t>alternative.</w:t>
      </w:r>
      <w:r w:rsidRPr="0002744D" w:rsidR="00535539">
        <w:t xml:space="preserve"> </w:t>
      </w:r>
      <w:r w:rsidRPr="0002744D" w:rsidR="00EA1861">
        <w:t xml:space="preserve">The Court will, therefore, proceed </w:t>
      </w:r>
      <w:r w:rsidRPr="0002744D" w:rsidR="00500BDA">
        <w:t xml:space="preserve">with </w:t>
      </w:r>
      <w:r w:rsidRPr="0002744D" w:rsidR="00EA1861">
        <w:t>that</w:t>
      </w:r>
      <w:r w:rsidRPr="0002744D" w:rsidR="00500BDA">
        <w:t xml:space="preserve"> in mind</w:t>
      </w:r>
      <w:r w:rsidRPr="0002744D" w:rsidR="00EA1861">
        <w:t>.</w:t>
      </w:r>
    </w:p>
    <w:p w:rsidRPr="0002744D" w:rsidR="00FA5E9E" w:rsidP="0002744D" w:rsidRDefault="005118DB">
      <w:pPr>
        <w:pStyle w:val="ECHRHeading5"/>
      </w:pPr>
      <w:proofErr w:type="gramStart"/>
      <w:r w:rsidRPr="0002744D">
        <w:t>(</w:t>
      </w:r>
      <w:r w:rsidRPr="0002744D" w:rsidR="007A2E9D">
        <w:t>iv</w:t>
      </w:r>
      <w:r w:rsidRPr="0002744D">
        <w:t>)</w:t>
      </w:r>
      <w:r w:rsidRPr="0002744D" w:rsidR="007A2E9D">
        <w:t>  </w:t>
      </w:r>
      <w:r w:rsidRPr="0002744D" w:rsidR="00FA5E9E">
        <w:t>Conclusion</w:t>
      </w:r>
      <w:proofErr w:type="gramEnd"/>
    </w:p>
    <w:p w:rsidRPr="0002744D" w:rsidR="006F22BC" w:rsidP="0002744D" w:rsidRDefault="00535539">
      <w:pPr>
        <w:pStyle w:val="ECHRPara"/>
      </w:pPr>
      <w:r w:rsidRPr="0002744D">
        <w:fldChar w:fldCharType="begin"/>
      </w:r>
      <w:r w:rsidRPr="0002744D">
        <w:instrText xml:space="preserve"> SEQ level0 \*arabic </w:instrText>
      </w:r>
      <w:r w:rsidRPr="0002744D">
        <w:fldChar w:fldCharType="separate"/>
      </w:r>
      <w:r w:rsidRPr="0002744D" w:rsidR="0002744D">
        <w:rPr>
          <w:noProof/>
        </w:rPr>
        <w:t>82</w:t>
      </w:r>
      <w:r w:rsidRPr="0002744D">
        <w:fldChar w:fldCharType="end"/>
      </w:r>
      <w:r w:rsidRPr="0002744D">
        <w:t>.  </w:t>
      </w:r>
      <w:r w:rsidRPr="0002744D" w:rsidR="00814353">
        <w:t xml:space="preserve">To sum up, the </w:t>
      </w:r>
      <w:r w:rsidRPr="0002744D" w:rsidR="00F53E3E">
        <w:t xml:space="preserve">Court </w:t>
      </w:r>
      <w:r w:rsidRPr="0002744D" w:rsidR="00814353">
        <w:t xml:space="preserve">considers that the </w:t>
      </w:r>
      <w:r w:rsidRPr="0002744D" w:rsidR="005414CA">
        <w:t>existing mechanism</w:t>
      </w:r>
      <w:r w:rsidRPr="0002744D" w:rsidR="00814353">
        <w:t xml:space="preserve"> in Russia for the </w:t>
      </w:r>
      <w:r w:rsidRPr="0002744D" w:rsidR="00F53E3E">
        <w:t>examination of</w:t>
      </w:r>
      <w:r w:rsidRPr="0002744D" w:rsidR="005414CA">
        <w:t xml:space="preserve"> </w:t>
      </w:r>
      <w:r w:rsidRPr="0002744D" w:rsidR="00CC4E4F">
        <w:t xml:space="preserve">applications </w:t>
      </w:r>
      <w:r w:rsidRPr="0002744D" w:rsidR="005414CA">
        <w:t>for</w:t>
      </w:r>
      <w:r w:rsidRPr="0002744D" w:rsidR="00F53E3E">
        <w:t xml:space="preserve"> </w:t>
      </w:r>
      <w:r w:rsidRPr="0002744D" w:rsidR="00500BDA">
        <w:t xml:space="preserve">the </w:t>
      </w:r>
      <w:r w:rsidRPr="0002744D" w:rsidR="00F53E3E">
        <w:t xml:space="preserve">replacement </w:t>
      </w:r>
      <w:r w:rsidRPr="0002744D" w:rsidR="005414CA">
        <w:t>of compulsory military service</w:t>
      </w:r>
      <w:r w:rsidRPr="0002744D" w:rsidR="00F53E3E">
        <w:t xml:space="preserve"> </w:t>
      </w:r>
      <w:r w:rsidRPr="0002744D" w:rsidR="00814353">
        <w:t xml:space="preserve">with its alternative civilian version </w:t>
      </w:r>
      <w:r w:rsidRPr="0002744D" w:rsidR="0008329A">
        <w:t xml:space="preserve">provides wide scope for an examination </w:t>
      </w:r>
      <w:r w:rsidRPr="0002744D" w:rsidR="00165266">
        <w:t xml:space="preserve">of individual circumstances and </w:t>
      </w:r>
      <w:r w:rsidRPr="0002744D" w:rsidR="00F53E3E">
        <w:t xml:space="preserve">encompasses sufficient procedural guarantees </w:t>
      </w:r>
      <w:r w:rsidRPr="0002744D" w:rsidR="00E95E84">
        <w:t xml:space="preserve">for a fair procedure </w:t>
      </w:r>
      <w:r w:rsidRPr="0002744D" w:rsidR="00165266">
        <w:t xml:space="preserve">as required by international standards </w:t>
      </w:r>
      <w:r w:rsidRPr="0002744D" w:rsidR="00E95E84">
        <w:t>(see</w:t>
      </w:r>
      <w:r w:rsidRPr="0002744D" w:rsidR="00165266">
        <w:t xml:space="preserve"> paragraph</w:t>
      </w:r>
      <w:r w:rsidRPr="0002744D" w:rsidR="0008329A">
        <w:t xml:space="preserve"> 37</w:t>
      </w:r>
      <w:r w:rsidRPr="0002744D" w:rsidR="00E95E84">
        <w:t>)</w:t>
      </w:r>
      <w:r w:rsidRPr="0002744D" w:rsidR="00165266">
        <w:t xml:space="preserve"> and the Court</w:t>
      </w:r>
      <w:r w:rsidRPr="0002744D" w:rsidR="0002744D">
        <w:t>’</w:t>
      </w:r>
      <w:r w:rsidRPr="0002744D" w:rsidR="00165266">
        <w:t>s case law (see paragraph 6</w:t>
      </w:r>
      <w:r w:rsidRPr="0002744D" w:rsidR="0008329A">
        <w:t>3</w:t>
      </w:r>
      <w:r w:rsidRPr="0002744D" w:rsidR="00165266">
        <w:t xml:space="preserve">). </w:t>
      </w:r>
      <w:r w:rsidRPr="0002744D" w:rsidR="005414CA">
        <w:t>While in practice</w:t>
      </w:r>
      <w:r w:rsidRPr="0002744D" w:rsidR="00814353">
        <w:t xml:space="preserve">, in certain circumstances, the </w:t>
      </w:r>
      <w:r w:rsidRPr="0002744D" w:rsidR="005414CA">
        <w:t xml:space="preserve">composition of a commission </w:t>
      </w:r>
      <w:r w:rsidRPr="0002744D" w:rsidR="00814353">
        <w:t xml:space="preserve">may </w:t>
      </w:r>
      <w:r w:rsidRPr="0002744D" w:rsidR="00761171">
        <w:t xml:space="preserve">raise </w:t>
      </w:r>
      <w:r w:rsidRPr="0002744D" w:rsidR="005414CA">
        <w:t>doubt</w:t>
      </w:r>
      <w:r w:rsidRPr="0002744D" w:rsidR="00814353">
        <w:t xml:space="preserve">s as to </w:t>
      </w:r>
      <w:r w:rsidRPr="0002744D" w:rsidR="005414CA">
        <w:t xml:space="preserve">its </w:t>
      </w:r>
      <w:r w:rsidRPr="0002744D" w:rsidR="0008329A">
        <w:t>independence</w:t>
      </w:r>
      <w:r w:rsidRPr="0002744D" w:rsidR="005414CA">
        <w:t xml:space="preserve">, </w:t>
      </w:r>
      <w:r w:rsidRPr="0002744D" w:rsidR="00814353">
        <w:t>the general rule</w:t>
      </w:r>
      <w:r w:rsidRPr="0002744D" w:rsidR="00472633">
        <w:t xml:space="preserve">, as </w:t>
      </w:r>
      <w:r w:rsidRPr="0002744D" w:rsidR="00761171">
        <w:t xml:space="preserve">can be </w:t>
      </w:r>
      <w:r w:rsidRPr="0002744D" w:rsidR="00472633">
        <w:t xml:space="preserve">seen from </w:t>
      </w:r>
      <w:r w:rsidRPr="0002744D" w:rsidR="00814353">
        <w:t xml:space="preserve">the </w:t>
      </w:r>
      <w:r w:rsidRPr="0002744D" w:rsidR="00391887">
        <w:t xml:space="preserve">regulatory framework and </w:t>
      </w:r>
      <w:r w:rsidRPr="0002744D" w:rsidR="00761171">
        <w:t xml:space="preserve">the </w:t>
      </w:r>
      <w:r w:rsidRPr="0002744D" w:rsidR="00472633">
        <w:t>examples provided by the parties, is that</w:t>
      </w:r>
      <w:r w:rsidRPr="0002744D" w:rsidR="005414CA">
        <w:t xml:space="preserve"> </w:t>
      </w:r>
      <w:r w:rsidRPr="0002744D" w:rsidR="00814353">
        <w:t xml:space="preserve">a recruitment commission, given the structural </w:t>
      </w:r>
      <w:r w:rsidRPr="0002744D" w:rsidR="007C5797">
        <w:t xml:space="preserve">detachment </w:t>
      </w:r>
      <w:r w:rsidRPr="0002744D" w:rsidR="00814353">
        <w:t xml:space="preserve">of the majority of its members </w:t>
      </w:r>
      <w:r w:rsidRPr="0002744D" w:rsidR="00472633">
        <w:t xml:space="preserve">from </w:t>
      </w:r>
      <w:r w:rsidRPr="0002744D" w:rsidR="00814353">
        <w:t xml:space="preserve">the </w:t>
      </w:r>
      <w:r w:rsidRPr="0002744D" w:rsidR="00472633">
        <w:t>military authorities</w:t>
      </w:r>
      <w:r w:rsidRPr="0002744D" w:rsidR="00814353">
        <w:t xml:space="preserve">, satisfies the </w:t>
      </w:r>
      <w:r w:rsidRPr="0002744D" w:rsidR="00814353">
        <w:rPr>
          <w:i/>
        </w:rPr>
        <w:t>prima facie</w:t>
      </w:r>
      <w:r w:rsidRPr="0002744D" w:rsidR="00814353">
        <w:t xml:space="preserve"> requirement of independence</w:t>
      </w:r>
      <w:r w:rsidRPr="0002744D" w:rsidR="00165266">
        <w:t xml:space="preserve"> (see, </w:t>
      </w:r>
      <w:r w:rsidRPr="0002744D" w:rsidR="00165266">
        <w:rPr>
          <w:i/>
        </w:rPr>
        <w:t xml:space="preserve">a </w:t>
      </w:r>
      <w:proofErr w:type="spellStart"/>
      <w:r w:rsidRPr="0002744D" w:rsidR="00165266">
        <w:rPr>
          <w:i/>
        </w:rPr>
        <w:t>contrario</w:t>
      </w:r>
      <w:proofErr w:type="spellEnd"/>
      <w:r w:rsidRPr="0002744D" w:rsidR="00165266">
        <w:t xml:space="preserve">, </w:t>
      </w:r>
      <w:proofErr w:type="spellStart"/>
      <w:r w:rsidRPr="0002744D" w:rsidR="00165266">
        <w:rPr>
          <w:i/>
        </w:rPr>
        <w:t>Papavasilakis</w:t>
      </w:r>
      <w:proofErr w:type="spellEnd"/>
      <w:r w:rsidRPr="0002744D" w:rsidR="00165266">
        <w:t>, cited above, §§ 61-64)</w:t>
      </w:r>
      <w:r w:rsidRPr="0002744D" w:rsidR="00472633">
        <w:t>.</w:t>
      </w:r>
    </w:p>
    <w:p w:rsidRPr="0002744D" w:rsidR="006F22BC" w:rsidP="0002744D" w:rsidRDefault="00472633">
      <w:pPr>
        <w:pStyle w:val="ECHRPara"/>
      </w:pPr>
      <w:r w:rsidRPr="0002744D">
        <w:fldChar w:fldCharType="begin"/>
      </w:r>
      <w:r w:rsidRPr="0002744D">
        <w:instrText xml:space="preserve"> SEQ level0 \*arabic </w:instrText>
      </w:r>
      <w:r w:rsidRPr="0002744D">
        <w:fldChar w:fldCharType="separate"/>
      </w:r>
      <w:r w:rsidRPr="0002744D" w:rsidR="0002744D">
        <w:rPr>
          <w:noProof/>
        </w:rPr>
        <w:t>83</w:t>
      </w:r>
      <w:r w:rsidRPr="0002744D">
        <w:fldChar w:fldCharType="end"/>
      </w:r>
      <w:r w:rsidRPr="0002744D">
        <w:t xml:space="preserve">.  Furthermore, any procedural defects occurring at the commission level could be </w:t>
      </w:r>
      <w:r w:rsidRPr="0002744D" w:rsidR="00AE07BB">
        <w:t xml:space="preserve">subsequently </w:t>
      </w:r>
      <w:r w:rsidRPr="0002744D">
        <w:t xml:space="preserve">remedied </w:t>
      </w:r>
      <w:r w:rsidRPr="0002744D" w:rsidR="00AE07BB">
        <w:t>during</w:t>
      </w:r>
      <w:r w:rsidRPr="0002744D">
        <w:t xml:space="preserve"> the judicial </w:t>
      </w:r>
      <w:r w:rsidRPr="0002744D" w:rsidR="00AE07BB">
        <w:t>proceedings</w:t>
      </w:r>
      <w:r w:rsidRPr="0002744D" w:rsidR="00761171">
        <w:t>,</w:t>
      </w:r>
      <w:r w:rsidRPr="0002744D">
        <w:t xml:space="preserve"> given </w:t>
      </w:r>
      <w:r w:rsidRPr="0002744D" w:rsidR="00814353">
        <w:t>the scope of the judicial review</w:t>
      </w:r>
      <w:r w:rsidRPr="0002744D" w:rsidR="00761171">
        <w:t xml:space="preserve"> process</w:t>
      </w:r>
      <w:r w:rsidRPr="0002744D" w:rsidR="00814353">
        <w:t xml:space="preserve"> and the courts</w:t>
      </w:r>
      <w:r w:rsidRPr="0002744D" w:rsidR="0002744D">
        <w:t>’</w:t>
      </w:r>
      <w:r w:rsidRPr="0002744D" w:rsidR="00814353">
        <w:t xml:space="preserve"> </w:t>
      </w:r>
      <w:r w:rsidRPr="0002744D">
        <w:t>wide powers.</w:t>
      </w:r>
    </w:p>
    <w:p w:rsidRPr="0002744D" w:rsidR="00472633" w:rsidP="0002744D" w:rsidRDefault="00472633">
      <w:pPr>
        <w:pStyle w:val="ECHRPara"/>
      </w:pPr>
      <w:r w:rsidRPr="0002744D">
        <w:fldChar w:fldCharType="begin"/>
      </w:r>
      <w:r w:rsidRPr="0002744D">
        <w:instrText xml:space="preserve"> SEQ level0 \*arabic </w:instrText>
      </w:r>
      <w:r w:rsidRPr="0002744D">
        <w:fldChar w:fldCharType="separate"/>
      </w:r>
      <w:r w:rsidRPr="0002744D" w:rsidR="0002744D">
        <w:rPr>
          <w:noProof/>
        </w:rPr>
        <w:t>84</w:t>
      </w:r>
      <w:r w:rsidRPr="0002744D">
        <w:fldChar w:fldCharType="end"/>
      </w:r>
      <w:r w:rsidRPr="0002744D">
        <w:t xml:space="preserve">.  Accordingly, the Court concludes that </w:t>
      </w:r>
      <w:r w:rsidRPr="0002744D" w:rsidR="00814353">
        <w:t xml:space="preserve">the </w:t>
      </w:r>
      <w:r w:rsidRPr="0002744D">
        <w:t xml:space="preserve">Russian authorities </w:t>
      </w:r>
      <w:r w:rsidRPr="0002744D" w:rsidR="00814353">
        <w:t xml:space="preserve">complied </w:t>
      </w:r>
      <w:r w:rsidRPr="0002744D">
        <w:t xml:space="preserve">with their </w:t>
      </w:r>
      <w:r w:rsidRPr="0002744D" w:rsidR="00035C43">
        <w:t xml:space="preserve">positive </w:t>
      </w:r>
      <w:r w:rsidRPr="0002744D">
        <w:t>obligation</w:t>
      </w:r>
      <w:r w:rsidRPr="0002744D" w:rsidR="00035C43">
        <w:t>s</w:t>
      </w:r>
      <w:r w:rsidRPr="0002744D">
        <w:t xml:space="preserve"> </w:t>
      </w:r>
      <w:r w:rsidRPr="0002744D" w:rsidR="005A26A3">
        <w:t xml:space="preserve">under Article 9 of the Convention </w:t>
      </w:r>
      <w:r w:rsidRPr="0002744D">
        <w:t xml:space="preserve">to establish an effective and accessible procedure for </w:t>
      </w:r>
      <w:r w:rsidRPr="0002744D" w:rsidR="007C5797">
        <w:t xml:space="preserve">determining </w:t>
      </w:r>
      <w:r w:rsidRPr="0002744D">
        <w:t>whether an applicant is entitled to conscientious objector status.</w:t>
      </w:r>
    </w:p>
    <w:p w:rsidRPr="0002744D" w:rsidR="00EB25DF" w:rsidP="0002744D" w:rsidRDefault="007C5797">
      <w:pPr>
        <w:pStyle w:val="ECHRHeading4"/>
        <w:rPr>
          <w:rFonts w:asciiTheme="minorHAnsi" w:hAnsiTheme="minorHAnsi" w:eastAsiaTheme="minorEastAsia" w:cstheme="minorBidi"/>
          <w:b w:val="0"/>
          <w:bCs w:val="0"/>
          <w:iCs w:val="0"/>
          <w:sz w:val="24"/>
        </w:rPr>
      </w:pPr>
      <w:r w:rsidRPr="0002744D">
        <w:t>(c)</w:t>
      </w:r>
      <w:r w:rsidRPr="0002744D" w:rsidR="004D2526">
        <w:t>  </w:t>
      </w:r>
      <w:r w:rsidRPr="0002744D" w:rsidR="009E26A8">
        <w:t>Negative obligations of the respondent State</w:t>
      </w:r>
    </w:p>
    <w:p w:rsidRPr="0002744D" w:rsidR="00BB548A" w:rsidP="0002744D" w:rsidRDefault="00743B85">
      <w:pPr>
        <w:pStyle w:val="ECHRPara"/>
      </w:pPr>
      <w:r w:rsidRPr="0002744D">
        <w:fldChar w:fldCharType="begin"/>
      </w:r>
      <w:r w:rsidRPr="0002744D">
        <w:instrText xml:space="preserve"> SEQ level0 \*arabic </w:instrText>
      </w:r>
      <w:r w:rsidRPr="0002744D">
        <w:fldChar w:fldCharType="separate"/>
      </w:r>
      <w:r w:rsidRPr="0002744D" w:rsidR="0002744D">
        <w:rPr>
          <w:noProof/>
        </w:rPr>
        <w:t>85</w:t>
      </w:r>
      <w:r w:rsidRPr="0002744D">
        <w:fldChar w:fldCharType="end"/>
      </w:r>
      <w:r w:rsidRPr="0002744D">
        <w:t>.  </w:t>
      </w:r>
      <w:r w:rsidRPr="0002744D" w:rsidR="00165266">
        <w:t>The Court reiterates that interference will take place where an individual</w:t>
      </w:r>
      <w:r w:rsidRPr="0002744D" w:rsidR="0002744D">
        <w:t>’</w:t>
      </w:r>
      <w:r w:rsidRPr="0002744D" w:rsidR="00165266">
        <w:t xml:space="preserve">s request for the replacement of the compulsory military service by civilian service, motivated by </w:t>
      </w:r>
      <w:r w:rsidRPr="0002744D" w:rsidR="001F36F2">
        <w:t xml:space="preserve">serious </w:t>
      </w:r>
      <w:r w:rsidRPr="0002744D" w:rsidR="00165266">
        <w:t>religious beliefs or convictions, is dismissed by national authorities</w:t>
      </w:r>
      <w:r w:rsidRPr="0002744D" w:rsidR="00F71C1F">
        <w:t xml:space="preserve"> (see paragraph 6</w:t>
      </w:r>
      <w:r w:rsidRPr="0002744D" w:rsidR="0008329A">
        <w:t>0</w:t>
      </w:r>
      <w:r w:rsidRPr="0002744D" w:rsidR="00F71C1F">
        <w:t xml:space="preserve"> above)</w:t>
      </w:r>
      <w:r w:rsidRPr="0002744D" w:rsidR="00165266">
        <w:t>.</w:t>
      </w:r>
    </w:p>
    <w:p w:rsidRPr="0002744D" w:rsidR="00BB548A" w:rsidP="0002744D" w:rsidRDefault="008B47A4">
      <w:pPr>
        <w:pStyle w:val="ECHRPara"/>
      </w:pPr>
      <w:r w:rsidRPr="0002744D">
        <w:fldChar w:fldCharType="begin"/>
      </w:r>
      <w:r w:rsidRPr="0002744D">
        <w:instrText xml:space="preserve"> SEQ level0 \*arabic </w:instrText>
      </w:r>
      <w:proofErr w:type="gramStart"/>
      <w:r w:rsidRPr="0002744D">
        <w:fldChar w:fldCharType="separate"/>
      </w:r>
      <w:r w:rsidRPr="0002744D" w:rsidR="0002744D">
        <w:rPr>
          <w:noProof/>
        </w:rPr>
        <w:t>86</w:t>
      </w:r>
      <w:r w:rsidRPr="0002744D">
        <w:fldChar w:fldCharType="end"/>
      </w:r>
      <w:r w:rsidRPr="0002744D">
        <w:t>.</w:t>
      </w:r>
      <w:proofErr w:type="gramEnd"/>
      <w:r w:rsidRPr="0002744D">
        <w:t>  The Court furthermore notes that States are generally allowed to assess the seriousness of the individual</w:t>
      </w:r>
      <w:r w:rsidRPr="0002744D" w:rsidR="0002744D">
        <w:t>’</w:t>
      </w:r>
      <w:r w:rsidRPr="0002744D">
        <w:t>s beliefs while examining whether he is entitled to conscientious objector status</w:t>
      </w:r>
      <w:r w:rsidRPr="0002744D" w:rsidR="0008329A">
        <w:t xml:space="preserve"> (see paragraphs 62 and 63</w:t>
      </w:r>
      <w:r w:rsidRPr="0002744D">
        <w:t xml:space="preserve"> above).</w:t>
      </w:r>
    </w:p>
    <w:p w:rsidRPr="0002744D" w:rsidR="00BB548A" w:rsidP="0002744D" w:rsidRDefault="008B47A4">
      <w:pPr>
        <w:pStyle w:val="ECHRPara"/>
      </w:pPr>
      <w:r w:rsidRPr="0002744D">
        <w:fldChar w:fldCharType="begin"/>
      </w:r>
      <w:r w:rsidRPr="0002744D">
        <w:instrText xml:space="preserve"> SEQ level0 \*arabic </w:instrText>
      </w:r>
      <w:r w:rsidRPr="0002744D">
        <w:fldChar w:fldCharType="separate"/>
      </w:r>
      <w:r w:rsidRPr="0002744D" w:rsidR="0002744D">
        <w:rPr>
          <w:noProof/>
        </w:rPr>
        <w:t>87</w:t>
      </w:r>
      <w:r w:rsidRPr="0002744D">
        <w:fldChar w:fldCharType="end"/>
      </w:r>
      <w:r w:rsidRPr="0002744D">
        <w:t xml:space="preserve">.  The </w:t>
      </w:r>
      <w:r w:rsidRPr="0002744D" w:rsidR="00AC144F">
        <w:t xml:space="preserve">Court must retain its supervisory function. </w:t>
      </w:r>
      <w:r w:rsidRPr="0002744D" w:rsidR="007E4A26">
        <w:t>I</w:t>
      </w:r>
      <w:r w:rsidRPr="0002744D" w:rsidR="00AC144F">
        <w:t xml:space="preserve">t is not </w:t>
      </w:r>
      <w:r w:rsidRPr="0002744D">
        <w:t>its</w:t>
      </w:r>
      <w:r w:rsidRPr="0002744D" w:rsidR="00AC144F">
        <w:t xml:space="preserve"> task to evaluate the meaning of an applicant</w:t>
      </w:r>
      <w:r w:rsidRPr="0002744D" w:rsidR="0002744D">
        <w:t>’</w:t>
      </w:r>
      <w:r w:rsidRPr="0002744D" w:rsidR="00AC144F">
        <w:t xml:space="preserve">s statements before domestic </w:t>
      </w:r>
      <w:r w:rsidRPr="0002744D" w:rsidR="000838BC">
        <w:t>authorities</w:t>
      </w:r>
      <w:r w:rsidRPr="0002744D" w:rsidR="00AC144F">
        <w:t xml:space="preserve"> and the way in which they were interpreted, this being first and foremost the role of the national authorities (see </w:t>
      </w:r>
      <w:proofErr w:type="spellStart"/>
      <w:r w:rsidRPr="0002744D" w:rsidR="00AC144F">
        <w:rPr>
          <w:i/>
        </w:rPr>
        <w:t>Papavasilakis</w:t>
      </w:r>
      <w:proofErr w:type="spellEnd"/>
      <w:r w:rsidRPr="0002744D" w:rsidR="00AC144F">
        <w:t xml:space="preserve">, cited above, § 58 </w:t>
      </w:r>
      <w:r w:rsidRPr="0002744D" w:rsidR="00AC144F">
        <w:rPr>
          <w:i/>
        </w:rPr>
        <w:t>in fine</w:t>
      </w:r>
      <w:r w:rsidRPr="0002744D" w:rsidR="00AC144F">
        <w:t>).</w:t>
      </w:r>
      <w:r w:rsidRPr="0002744D">
        <w:t xml:space="preserve"> Accordingly, save for the instances of arbitrariness</w:t>
      </w:r>
      <w:r w:rsidRPr="0002744D" w:rsidR="0008329A">
        <w:t xml:space="preserve"> or manifest unreasonableness</w:t>
      </w:r>
      <w:r w:rsidRPr="0002744D">
        <w:t xml:space="preserve">, the Court will </w:t>
      </w:r>
      <w:r w:rsidRPr="0002744D" w:rsidR="00706FC5">
        <w:t>rely</w:t>
      </w:r>
      <w:r w:rsidRPr="0002744D">
        <w:t xml:space="preserve"> </w:t>
      </w:r>
      <w:r w:rsidRPr="0002744D" w:rsidR="00706FC5">
        <w:t xml:space="preserve">on </w:t>
      </w:r>
      <w:r w:rsidRPr="0002744D">
        <w:t>the conclusion</w:t>
      </w:r>
      <w:r w:rsidRPr="0002744D" w:rsidR="00706FC5">
        <w:t>s</w:t>
      </w:r>
      <w:r w:rsidRPr="0002744D">
        <w:t xml:space="preserve"> reached </w:t>
      </w:r>
      <w:r w:rsidRPr="0002744D" w:rsidR="00581516">
        <w:t xml:space="preserve">by an effective domestic mechanism </w:t>
      </w:r>
      <w:r w:rsidRPr="0002744D">
        <w:t>after examination of an individual request.</w:t>
      </w:r>
    </w:p>
    <w:p w:rsidRPr="0002744D" w:rsidR="006C5687" w:rsidP="0002744D" w:rsidRDefault="007A2B2D">
      <w:pPr>
        <w:pStyle w:val="ECHRPara"/>
      </w:pPr>
      <w:r w:rsidRPr="0002744D">
        <w:fldChar w:fldCharType="begin"/>
      </w:r>
      <w:r w:rsidRPr="0002744D">
        <w:instrText xml:space="preserve"> SEQ level0 \*arabic </w:instrText>
      </w:r>
      <w:r w:rsidRPr="0002744D">
        <w:fldChar w:fldCharType="separate"/>
      </w:r>
      <w:r w:rsidRPr="0002744D" w:rsidR="0002744D">
        <w:rPr>
          <w:noProof/>
        </w:rPr>
        <w:t>88</w:t>
      </w:r>
      <w:r w:rsidRPr="0002744D">
        <w:fldChar w:fldCharType="end"/>
      </w:r>
      <w:r w:rsidRPr="0002744D">
        <w:t>.  </w:t>
      </w:r>
      <w:r w:rsidRPr="0002744D" w:rsidR="00581516">
        <w:t>Turning to the circumstances of the present case, t</w:t>
      </w:r>
      <w:r w:rsidRPr="0002744D" w:rsidR="007F1567">
        <w:t xml:space="preserve">he Court observes </w:t>
      </w:r>
      <w:r w:rsidRPr="0002744D" w:rsidR="005A6FB6">
        <w:t xml:space="preserve">that </w:t>
      </w:r>
      <w:r w:rsidRPr="0002744D" w:rsidR="00E16B8D">
        <w:t>the military recruitment commission in the applicant</w:t>
      </w:r>
      <w:r w:rsidRPr="0002744D" w:rsidR="0002744D">
        <w:t>’</w:t>
      </w:r>
      <w:r w:rsidRPr="0002744D" w:rsidR="00E16B8D">
        <w:t>s case</w:t>
      </w:r>
      <w:r w:rsidRPr="0002744D" w:rsidR="009E4409">
        <w:t xml:space="preserve"> had a standard composition and</w:t>
      </w:r>
      <w:r w:rsidRPr="0002744D" w:rsidR="00E16B8D">
        <w:t xml:space="preserve"> consisted of seven members. </w:t>
      </w:r>
      <w:r w:rsidRPr="0002744D" w:rsidR="00FF0BFC">
        <w:t xml:space="preserve">Four </w:t>
      </w:r>
      <w:r w:rsidRPr="0002744D" w:rsidR="00EF1F5A">
        <w:t xml:space="preserve">of </w:t>
      </w:r>
      <w:r w:rsidRPr="0002744D" w:rsidR="008646D6">
        <w:t>them</w:t>
      </w:r>
      <w:r w:rsidRPr="0002744D" w:rsidR="006306C8">
        <w:t>, including the president of the commission,</w:t>
      </w:r>
      <w:r w:rsidRPr="0002744D" w:rsidR="00FF0BFC">
        <w:t xml:space="preserve"> were </w:t>
      </w:r>
      <w:r w:rsidRPr="0002744D" w:rsidR="006C5687">
        <w:t xml:space="preserve">structurally independent </w:t>
      </w:r>
      <w:r w:rsidRPr="0002744D" w:rsidR="00EF1F5A">
        <w:t xml:space="preserve">of </w:t>
      </w:r>
      <w:r w:rsidRPr="0002744D" w:rsidR="006C5687">
        <w:t>the Ministry of Defen</w:t>
      </w:r>
      <w:r w:rsidRPr="0002744D" w:rsidR="005A6FB6">
        <w:t>ce</w:t>
      </w:r>
      <w:r w:rsidRPr="0002744D" w:rsidR="001A0721">
        <w:t xml:space="preserve"> (see paragraph </w:t>
      </w:r>
      <w:r w:rsidRPr="0002744D" w:rsidR="001A0721">
        <w:fldChar w:fldCharType="begin"/>
      </w:r>
      <w:r w:rsidRPr="0002744D" w:rsidR="001A0721">
        <w:instrText xml:space="preserve"> REF composition10 \h </w:instrText>
      </w:r>
      <w:r w:rsidRPr="0002744D" w:rsidR="002235A2">
        <w:instrText xml:space="preserve"> \* MERGEFORMAT </w:instrText>
      </w:r>
      <w:r w:rsidRPr="0002744D" w:rsidR="001A0721">
        <w:fldChar w:fldCharType="separate"/>
      </w:r>
      <w:r w:rsidRPr="0002744D" w:rsidR="0002744D">
        <w:rPr>
          <w:noProof/>
        </w:rPr>
        <w:t>10</w:t>
      </w:r>
      <w:r w:rsidRPr="0002744D" w:rsidR="001A0721">
        <w:fldChar w:fldCharType="end"/>
      </w:r>
      <w:r w:rsidRPr="0002744D" w:rsidR="00301A4C">
        <w:t> </w:t>
      </w:r>
      <w:r w:rsidRPr="0002744D" w:rsidR="001A0721">
        <w:t>above).</w:t>
      </w:r>
    </w:p>
    <w:p w:rsidRPr="0002744D" w:rsidR="009E4409" w:rsidP="0002744D" w:rsidRDefault="00AF3E16">
      <w:pPr>
        <w:pStyle w:val="ECHRPara"/>
      </w:pPr>
      <w:r w:rsidRPr="0002744D">
        <w:rPr>
          <w:noProof/>
        </w:rPr>
        <w:fldChar w:fldCharType="begin"/>
      </w:r>
      <w:r w:rsidRPr="0002744D">
        <w:rPr>
          <w:noProof/>
        </w:rPr>
        <w:instrText xml:space="preserve"> SEQ level0 \*arabic </w:instrText>
      </w:r>
      <w:r w:rsidRPr="0002744D">
        <w:rPr>
          <w:noProof/>
        </w:rPr>
        <w:fldChar w:fldCharType="separate"/>
      </w:r>
      <w:r w:rsidRPr="0002744D" w:rsidR="0002744D">
        <w:rPr>
          <w:noProof/>
        </w:rPr>
        <w:t>89</w:t>
      </w:r>
      <w:r w:rsidRPr="0002744D">
        <w:rPr>
          <w:noProof/>
        </w:rPr>
        <w:fldChar w:fldCharType="end"/>
      </w:r>
      <w:r w:rsidRPr="0002744D" w:rsidR="009E4409">
        <w:t>.  </w:t>
      </w:r>
      <w:r w:rsidRPr="0002744D" w:rsidR="00751B4C">
        <w:t xml:space="preserve">Consequently, the Court </w:t>
      </w:r>
      <w:r w:rsidRPr="0002744D" w:rsidR="009411B2">
        <w:t xml:space="preserve">is satisfied that the composition of </w:t>
      </w:r>
      <w:r w:rsidRPr="0002744D" w:rsidR="005A6FB6">
        <w:t xml:space="preserve">the </w:t>
      </w:r>
      <w:r w:rsidRPr="0002744D" w:rsidR="009411B2">
        <w:t xml:space="preserve">commission afforded </w:t>
      </w:r>
      <w:bookmarkStart w:name="lt_pId231" w:id="33"/>
      <w:r w:rsidRPr="0002744D" w:rsidR="00EF1F5A">
        <w:t xml:space="preserve">the </w:t>
      </w:r>
      <w:r w:rsidRPr="0002744D" w:rsidR="009411B2">
        <w:t>requisite guarantees of independence</w:t>
      </w:r>
      <w:bookmarkEnd w:id="33"/>
      <w:r w:rsidRPr="0002744D" w:rsidR="009411B2">
        <w:t xml:space="preserve"> </w:t>
      </w:r>
      <w:r w:rsidRPr="0002744D" w:rsidR="00484F23">
        <w:t xml:space="preserve">to the applicant </w:t>
      </w:r>
      <w:r w:rsidRPr="0002744D" w:rsidR="00751B4C">
        <w:t>(</w:t>
      </w:r>
      <w:r w:rsidRPr="0002744D" w:rsidR="00EF1F5A">
        <w:t>compare</w:t>
      </w:r>
      <w:r w:rsidRPr="0002744D" w:rsidR="00751B4C">
        <w:t xml:space="preserve"> </w:t>
      </w:r>
      <w:proofErr w:type="spellStart"/>
      <w:r w:rsidRPr="0002744D" w:rsidR="00751B4C">
        <w:rPr>
          <w:i/>
        </w:rPr>
        <w:t>Papavasilakis</w:t>
      </w:r>
      <w:proofErr w:type="spellEnd"/>
      <w:r w:rsidRPr="0002744D" w:rsidR="00751B4C">
        <w:t>, cited above, § 61).</w:t>
      </w:r>
    </w:p>
    <w:p w:rsidRPr="0002744D" w:rsidR="00BB548A" w:rsidP="0002744D" w:rsidRDefault="00484F23">
      <w:pPr>
        <w:pStyle w:val="ECHRPara"/>
      </w:pPr>
      <w:r w:rsidRPr="0002744D">
        <w:fldChar w:fldCharType="begin"/>
      </w:r>
      <w:r w:rsidRPr="0002744D">
        <w:instrText xml:space="preserve"> SEQ level0 \*arabic </w:instrText>
      </w:r>
      <w:r w:rsidRPr="0002744D">
        <w:fldChar w:fldCharType="separate"/>
      </w:r>
      <w:r w:rsidRPr="0002744D" w:rsidR="0002744D">
        <w:rPr>
          <w:noProof/>
        </w:rPr>
        <w:t>90</w:t>
      </w:r>
      <w:r w:rsidRPr="0002744D">
        <w:fldChar w:fldCharType="end"/>
      </w:r>
      <w:r w:rsidRPr="0002744D">
        <w:t xml:space="preserve">.  The Court </w:t>
      </w:r>
      <w:r w:rsidRPr="0002744D" w:rsidR="00706FC5">
        <w:t xml:space="preserve">furthermore </w:t>
      </w:r>
      <w:r w:rsidRPr="0002744D" w:rsidR="00581516">
        <w:t>notes that the applicant</w:t>
      </w:r>
      <w:r w:rsidRPr="0002744D" w:rsidR="0002744D">
        <w:t>’</w:t>
      </w:r>
      <w:r w:rsidRPr="0002744D" w:rsidR="00581516">
        <w:t xml:space="preserve">s </w:t>
      </w:r>
      <w:r w:rsidRPr="0002744D" w:rsidR="00065541">
        <w:t>request for the replacement of military service</w:t>
      </w:r>
      <w:r w:rsidRPr="0002744D" w:rsidR="00581516">
        <w:t xml:space="preserve"> was dismissed by the </w:t>
      </w:r>
      <w:r w:rsidRPr="0002744D">
        <w:t>commission</w:t>
      </w:r>
      <w:r w:rsidRPr="0002744D" w:rsidR="00581516">
        <w:t xml:space="preserve"> as</w:t>
      </w:r>
      <w:r w:rsidRPr="0002744D">
        <w:t xml:space="preserve"> </w:t>
      </w:r>
      <w:r w:rsidRPr="0002744D" w:rsidR="00581516">
        <w:t xml:space="preserve">not </w:t>
      </w:r>
      <w:r w:rsidRPr="0002744D" w:rsidR="00152AB7">
        <w:t>sufficiently persuasive</w:t>
      </w:r>
      <w:r w:rsidRPr="0002744D">
        <w:t>.</w:t>
      </w:r>
      <w:r w:rsidRPr="0002744D" w:rsidR="00FA67F0">
        <w:t xml:space="preserve"> </w:t>
      </w:r>
      <w:r w:rsidRPr="0002744D" w:rsidR="00901BE1">
        <w:t>The applicant challenged the dismissal in courts. He did not complain about scarcity of reasons before the national authorities.</w:t>
      </w:r>
    </w:p>
    <w:p w:rsidRPr="0002744D" w:rsidR="00BB548A" w:rsidP="0002744D" w:rsidRDefault="00FA67F0">
      <w:pPr>
        <w:pStyle w:val="ECHRPara"/>
      </w:pPr>
      <w:r w:rsidRPr="0002744D">
        <w:fldChar w:fldCharType="begin"/>
      </w:r>
      <w:r w:rsidRPr="0002744D">
        <w:instrText xml:space="preserve"> SEQ level0 \*arabic </w:instrText>
      </w:r>
      <w:r w:rsidRPr="0002744D">
        <w:fldChar w:fldCharType="separate"/>
      </w:r>
      <w:r w:rsidRPr="0002744D" w:rsidR="0002744D">
        <w:rPr>
          <w:noProof/>
        </w:rPr>
        <w:t>91</w:t>
      </w:r>
      <w:r w:rsidRPr="0002744D">
        <w:fldChar w:fldCharType="end"/>
      </w:r>
      <w:r w:rsidRPr="0002744D">
        <w:t>.  </w:t>
      </w:r>
      <w:r w:rsidRPr="0002744D" w:rsidR="005A6FB6">
        <w:t>The domestic courts did not limit the scope of the review to the decision of the commission. The applicant</w:t>
      </w:r>
      <w:r w:rsidRPr="0002744D" w:rsidR="0002744D">
        <w:t>’</w:t>
      </w:r>
      <w:r w:rsidRPr="0002744D" w:rsidR="005A6FB6">
        <w:t>s</w:t>
      </w:r>
      <w:r w:rsidRPr="0002744D">
        <w:t xml:space="preserve"> replacement </w:t>
      </w:r>
      <w:r w:rsidRPr="0002744D" w:rsidR="00CC4E4F">
        <w:t xml:space="preserve">application </w:t>
      </w:r>
      <w:r w:rsidRPr="0002744D">
        <w:t xml:space="preserve">was </w:t>
      </w:r>
      <w:r w:rsidRPr="0002744D" w:rsidR="005A6FB6">
        <w:t>examined anew</w:t>
      </w:r>
      <w:r w:rsidRPr="0002744D">
        <w:t xml:space="preserve">. The applicant was afforded an opportunity to </w:t>
      </w:r>
      <w:r w:rsidRPr="0002744D" w:rsidR="005A6FB6">
        <w:t xml:space="preserve">put forward </w:t>
      </w:r>
      <w:r w:rsidRPr="0002744D">
        <w:t>arguments</w:t>
      </w:r>
      <w:r w:rsidRPr="0002744D" w:rsidR="00EF1F5A">
        <w:t xml:space="preserve"> and</w:t>
      </w:r>
      <w:r w:rsidRPr="0002744D">
        <w:t xml:space="preserve"> </w:t>
      </w:r>
      <w:r w:rsidRPr="0002744D" w:rsidR="005A6FB6">
        <w:t xml:space="preserve">to </w:t>
      </w:r>
      <w:r w:rsidRPr="0002744D">
        <w:t>adduce evidence</w:t>
      </w:r>
      <w:r w:rsidRPr="0002744D" w:rsidR="005A6FB6">
        <w:t xml:space="preserve"> of his </w:t>
      </w:r>
      <w:r w:rsidRPr="0002744D" w:rsidR="00EF1F5A">
        <w:t>beliefs (</w:t>
      </w:r>
      <w:r w:rsidRPr="0002744D" w:rsidR="005A6FB6">
        <w:t>including by introducing witness testimony</w:t>
      </w:r>
      <w:r w:rsidRPr="0002744D" w:rsidR="00EF1F5A">
        <w:t>)</w:t>
      </w:r>
      <w:r w:rsidRPr="0002744D" w:rsidR="006C7B0E">
        <w:t>.</w:t>
      </w:r>
      <w:r w:rsidRPr="0002744D" w:rsidR="00706FC5">
        <w:t xml:space="preserve"> However, </w:t>
      </w:r>
      <w:r w:rsidRPr="0002744D" w:rsidR="006263D3">
        <w:t>he</w:t>
      </w:r>
      <w:r w:rsidRPr="0002744D" w:rsidR="00237CED">
        <w:t xml:space="preserve"> did not bring any new evidence or witness</w:t>
      </w:r>
      <w:r w:rsidRPr="0002744D" w:rsidR="00A57120">
        <w:t>es</w:t>
      </w:r>
      <w:r w:rsidRPr="0002744D" w:rsidR="00237CED">
        <w:t xml:space="preserve"> before the domestic courts. </w:t>
      </w:r>
      <w:r w:rsidRPr="0002744D" w:rsidR="007B658C">
        <w:t>He adduced his curriculum vitae and a letter of recommendation (see paragraphs 12 and 15).</w:t>
      </w:r>
    </w:p>
    <w:p w:rsidRPr="0002744D" w:rsidR="00BB548A" w:rsidP="0002744D" w:rsidRDefault="00237CED">
      <w:pPr>
        <w:pStyle w:val="ECHRPara"/>
      </w:pPr>
      <w:r w:rsidRPr="0002744D">
        <w:fldChar w:fldCharType="begin"/>
      </w:r>
      <w:r w:rsidRPr="0002744D">
        <w:instrText xml:space="preserve"> SEQ level0 \*arabic </w:instrText>
      </w:r>
      <w:r w:rsidRPr="0002744D">
        <w:fldChar w:fldCharType="separate"/>
      </w:r>
      <w:r w:rsidRPr="0002744D" w:rsidR="0002744D">
        <w:rPr>
          <w:noProof/>
        </w:rPr>
        <w:t>92</w:t>
      </w:r>
      <w:r w:rsidRPr="0002744D">
        <w:fldChar w:fldCharType="end"/>
      </w:r>
      <w:r w:rsidRPr="0002744D">
        <w:t>.  </w:t>
      </w:r>
      <w:r w:rsidRPr="0002744D" w:rsidR="00706FC5">
        <w:t>Moreover, n</w:t>
      </w:r>
      <w:r w:rsidRPr="0002744D" w:rsidR="00465457">
        <w:t>either party argued that the judicial proceedings had been tainted by a violation of fair-trial guarantees; nor was there any indication that the courts held any presumptions of facts or of law against the applicant.</w:t>
      </w:r>
    </w:p>
    <w:p w:rsidRPr="0002744D" w:rsidR="00237CED" w:rsidP="0002744D" w:rsidRDefault="00F84C50">
      <w:pPr>
        <w:pStyle w:val="ECHRPara"/>
      </w:pPr>
      <w:r w:rsidRPr="0002744D">
        <w:fldChar w:fldCharType="begin"/>
      </w:r>
      <w:r w:rsidRPr="0002744D">
        <w:instrText xml:space="preserve"> SEQ level0 \*arabic </w:instrText>
      </w:r>
      <w:r w:rsidRPr="0002744D">
        <w:fldChar w:fldCharType="separate"/>
      </w:r>
      <w:r w:rsidRPr="0002744D" w:rsidR="0002744D">
        <w:rPr>
          <w:noProof/>
        </w:rPr>
        <w:t>93</w:t>
      </w:r>
      <w:r w:rsidRPr="0002744D">
        <w:fldChar w:fldCharType="end"/>
      </w:r>
      <w:r w:rsidRPr="0002744D">
        <w:t>.  </w:t>
      </w:r>
      <w:r w:rsidRPr="0002744D" w:rsidR="00355E1A">
        <w:t xml:space="preserve">The Court reiterates that it is not its task to substitute its own assessment of factual evidence for that of the national courts. </w:t>
      </w:r>
      <w:r w:rsidRPr="0002744D" w:rsidR="0047459F">
        <w:t xml:space="preserve">The </w:t>
      </w:r>
      <w:r w:rsidRPr="0002744D" w:rsidR="00766FEE">
        <w:t>Court sees no reason to doubt the domestic authorities</w:t>
      </w:r>
      <w:r w:rsidRPr="0002744D" w:rsidR="0002744D">
        <w:t>’</w:t>
      </w:r>
      <w:r w:rsidRPr="0002744D" w:rsidR="00766FEE">
        <w:t xml:space="preserve"> assessment of </w:t>
      </w:r>
      <w:r w:rsidRPr="0002744D" w:rsidR="005A6FB6">
        <w:t xml:space="preserve">the </w:t>
      </w:r>
      <w:r w:rsidRPr="0002744D" w:rsidR="00766FEE">
        <w:t>seriousness of the applicant</w:t>
      </w:r>
      <w:r w:rsidRPr="0002744D" w:rsidR="0002744D">
        <w:t>’</w:t>
      </w:r>
      <w:r w:rsidRPr="0002744D" w:rsidR="00766FEE">
        <w:t>s convictions</w:t>
      </w:r>
      <w:r w:rsidRPr="0002744D" w:rsidR="00237CED">
        <w:t>.</w:t>
      </w:r>
    </w:p>
    <w:p w:rsidRPr="0002744D" w:rsidR="00706FC5" w:rsidP="0002744D" w:rsidRDefault="00706FC5">
      <w:pPr>
        <w:pStyle w:val="ECHRPara"/>
      </w:pPr>
      <w:r w:rsidRPr="0002744D">
        <w:fldChar w:fldCharType="begin"/>
      </w:r>
      <w:r w:rsidRPr="0002744D">
        <w:instrText xml:space="preserve"> SEQ level0 \*arabic </w:instrText>
      </w:r>
      <w:r w:rsidRPr="0002744D">
        <w:fldChar w:fldCharType="separate"/>
      </w:r>
      <w:r w:rsidRPr="0002744D" w:rsidR="0002744D">
        <w:rPr>
          <w:noProof/>
        </w:rPr>
        <w:t>94</w:t>
      </w:r>
      <w:r w:rsidRPr="0002744D">
        <w:fldChar w:fldCharType="end"/>
      </w:r>
      <w:r w:rsidRPr="0002744D">
        <w:t xml:space="preserve">.  The Court </w:t>
      </w:r>
      <w:r w:rsidRPr="0002744D" w:rsidR="0008329A">
        <w:t>therefore accepts</w:t>
      </w:r>
      <w:r w:rsidRPr="0002744D">
        <w:t xml:space="preserve"> that the applicant has failed to substantiate the existence of a serious and insurmountable conflict between the obligation to serve in the army and his convictions.</w:t>
      </w:r>
    </w:p>
    <w:p w:rsidRPr="0002744D" w:rsidR="00AC5939" w:rsidP="0002744D" w:rsidRDefault="00D3362B">
      <w:pPr>
        <w:pStyle w:val="ECHRPara"/>
      </w:pPr>
      <w:r w:rsidRPr="0002744D">
        <w:fldChar w:fldCharType="begin"/>
      </w:r>
      <w:r w:rsidRPr="0002744D">
        <w:instrText xml:space="preserve"> SEQ level0 \*arabic </w:instrText>
      </w:r>
      <w:r w:rsidRPr="0002744D">
        <w:fldChar w:fldCharType="separate"/>
      </w:r>
      <w:r w:rsidRPr="0002744D" w:rsidR="0002744D">
        <w:rPr>
          <w:noProof/>
        </w:rPr>
        <w:t>95</w:t>
      </w:r>
      <w:r w:rsidRPr="0002744D">
        <w:fldChar w:fldCharType="end"/>
      </w:r>
      <w:r w:rsidRPr="0002744D">
        <w:t>.  </w:t>
      </w:r>
      <w:bookmarkStart w:name="lt_pId1554" w:id="34"/>
      <w:r w:rsidRPr="0002744D">
        <w:t>Accordingly, there has been no violation of Article 9 of the Convention.</w:t>
      </w:r>
      <w:bookmarkEnd w:id="34"/>
    </w:p>
    <w:p w:rsidRPr="0002744D" w:rsidR="00DA4349" w:rsidP="0002744D" w:rsidRDefault="009E2683">
      <w:pPr>
        <w:pStyle w:val="ECHRTitle1"/>
      </w:pPr>
      <w:bookmarkStart w:name="lt_pId213" w:id="35"/>
      <w:bookmarkEnd w:id="35"/>
      <w:r w:rsidRPr="0002744D">
        <w:t>FOR THESE REASONS, THE COURT</w:t>
      </w:r>
    </w:p>
    <w:p w:rsidRPr="0002744D" w:rsidR="00DA4349" w:rsidP="0002744D" w:rsidRDefault="009E2683">
      <w:pPr>
        <w:pStyle w:val="JuList"/>
      </w:pPr>
      <w:r w:rsidRPr="0002744D">
        <w:t>1.  </w:t>
      </w:r>
      <w:r w:rsidRPr="0002744D">
        <w:rPr>
          <w:i/>
        </w:rPr>
        <w:t>Declares</w:t>
      </w:r>
      <w:r w:rsidRPr="0002744D" w:rsidR="002F5075">
        <w:t xml:space="preserve">, </w:t>
      </w:r>
      <w:r w:rsidRPr="0002744D" w:rsidR="004435A2">
        <w:t>unanimously,</w:t>
      </w:r>
      <w:r w:rsidRPr="0002744D">
        <w:t xml:space="preserve"> the </w:t>
      </w:r>
      <w:r w:rsidRPr="0002744D" w:rsidR="00B17226">
        <w:t>application</w:t>
      </w:r>
      <w:r w:rsidRPr="0002744D" w:rsidR="00984FEC">
        <w:t xml:space="preserve"> </w:t>
      </w:r>
      <w:r w:rsidRPr="0002744D">
        <w:t>admissible;</w:t>
      </w:r>
    </w:p>
    <w:p w:rsidRPr="0002744D" w:rsidR="00287D19" w:rsidP="0002744D" w:rsidRDefault="00287D19">
      <w:pPr>
        <w:pStyle w:val="JuList"/>
      </w:pPr>
    </w:p>
    <w:p w:rsidRPr="0002744D" w:rsidR="00DA4349" w:rsidP="0002744D" w:rsidRDefault="00984FEC">
      <w:pPr>
        <w:pStyle w:val="JuList"/>
      </w:pPr>
      <w:r w:rsidRPr="0002744D">
        <w:t>2</w:t>
      </w:r>
      <w:r w:rsidRPr="0002744D" w:rsidR="009E2683">
        <w:t>.  </w:t>
      </w:r>
      <w:r w:rsidRPr="0002744D" w:rsidR="009E2683">
        <w:rPr>
          <w:i/>
        </w:rPr>
        <w:t>Holds</w:t>
      </w:r>
      <w:r w:rsidRPr="0002744D" w:rsidR="002F5075">
        <w:t xml:space="preserve">, by </w:t>
      </w:r>
      <w:r w:rsidRPr="0002744D" w:rsidR="00DB1461">
        <w:t>four</w:t>
      </w:r>
      <w:r w:rsidRPr="0002744D" w:rsidR="002F5075">
        <w:t xml:space="preserve"> votes to </w:t>
      </w:r>
      <w:r w:rsidRPr="0002744D" w:rsidR="00DB1461">
        <w:t>three</w:t>
      </w:r>
      <w:r w:rsidRPr="0002744D" w:rsidR="002F5075">
        <w:t>,</w:t>
      </w:r>
      <w:r w:rsidRPr="0002744D" w:rsidR="009E2683">
        <w:t xml:space="preserve"> </w:t>
      </w:r>
      <w:r w:rsidRPr="0002744D">
        <w:t>that there has been no</w:t>
      </w:r>
      <w:r w:rsidRPr="0002744D" w:rsidR="009E2683">
        <w:t xml:space="preserve"> violation of Article </w:t>
      </w:r>
      <w:r w:rsidRPr="0002744D">
        <w:t>9 of the Convention.</w:t>
      </w:r>
    </w:p>
    <w:p w:rsidRPr="0002744D" w:rsidR="00DA4349" w:rsidP="0002744D" w:rsidRDefault="009E2683">
      <w:pPr>
        <w:pStyle w:val="JuParaLast"/>
      </w:pPr>
      <w:r w:rsidRPr="0002744D">
        <w:t xml:space="preserve">Done in English, and notified in writing on </w:t>
      </w:r>
      <w:r w:rsidRPr="0002744D" w:rsidR="004435A2">
        <w:t>10 March 2020</w:t>
      </w:r>
      <w:r w:rsidRPr="0002744D">
        <w:t>, pursuant to Rule 77 §§ 2 and 3 of the Rules of Court.</w:t>
      </w:r>
    </w:p>
    <w:p w:rsidRPr="0002744D" w:rsidR="00DA4349" w:rsidP="0002744D" w:rsidRDefault="009E2683">
      <w:pPr>
        <w:pStyle w:val="JuSigned"/>
      </w:pPr>
      <w:r w:rsidRPr="0002744D">
        <w:tab/>
      </w:r>
      <w:r w:rsidRPr="0002744D" w:rsidR="002F5075">
        <w:t>Stephen Phillips</w:t>
      </w:r>
      <w:r w:rsidRPr="0002744D">
        <w:tab/>
      </w:r>
      <w:r w:rsidRPr="0002744D" w:rsidR="00F42182">
        <w:t>Paul Lemmens</w:t>
      </w:r>
      <w:r w:rsidRPr="0002744D">
        <w:rPr>
          <w:szCs w:val="24"/>
        </w:rPr>
        <w:br/>
      </w:r>
      <w:r w:rsidRPr="0002744D">
        <w:tab/>
      </w:r>
      <w:r w:rsidRPr="0002744D" w:rsidR="002F5075">
        <w:rPr>
          <w:iCs/>
        </w:rPr>
        <w:t>Registrar</w:t>
      </w:r>
      <w:r w:rsidRPr="0002744D">
        <w:tab/>
        <w:t>President</w:t>
      </w:r>
    </w:p>
    <w:p w:rsidRPr="0002744D" w:rsidR="00670A47" w:rsidP="0002744D" w:rsidRDefault="00670A47">
      <w:pPr>
        <w:pStyle w:val="JuParaLast"/>
      </w:pPr>
    </w:p>
    <w:p w:rsidRPr="0002744D" w:rsidR="006266E7" w:rsidP="0002744D" w:rsidRDefault="006266E7">
      <w:pPr>
        <w:pStyle w:val="JuParaLast"/>
      </w:pPr>
      <w:r w:rsidRPr="0002744D">
        <w:t>In accordance with Article 45 § 2 of the Convention and Rule 74 § 2 of the Rules of Court, the following separate opinions are annexed to this judgment:</w:t>
      </w:r>
    </w:p>
    <w:p w:rsidRPr="0002744D" w:rsidR="006266E7" w:rsidP="0002744D" w:rsidRDefault="006266E7">
      <w:pPr>
        <w:pStyle w:val="ECHRPara"/>
      </w:pPr>
      <w:r w:rsidRPr="0002744D">
        <w:t>(</w:t>
      </w:r>
      <w:r w:rsidRPr="0002744D" w:rsidR="00BB5327">
        <w:t>a</w:t>
      </w:r>
      <w:r w:rsidRPr="0002744D">
        <w:t>)  </w:t>
      </w:r>
      <w:proofErr w:type="gramStart"/>
      <w:r w:rsidRPr="0002744D">
        <w:t>concurring</w:t>
      </w:r>
      <w:proofErr w:type="gramEnd"/>
      <w:r w:rsidRPr="0002744D">
        <w:t xml:space="preserve"> opinion of Judge </w:t>
      </w:r>
      <w:proofErr w:type="spellStart"/>
      <w:r w:rsidRPr="0002744D">
        <w:t>Serghides</w:t>
      </w:r>
      <w:proofErr w:type="spellEnd"/>
      <w:r w:rsidRPr="0002744D">
        <w:t>;</w:t>
      </w:r>
    </w:p>
    <w:p w:rsidRPr="0002744D" w:rsidR="006266E7" w:rsidP="0002744D" w:rsidRDefault="006266E7">
      <w:pPr>
        <w:pStyle w:val="ECHRPara"/>
      </w:pPr>
      <w:r w:rsidRPr="0002744D">
        <w:t>(</w:t>
      </w:r>
      <w:r w:rsidRPr="0002744D" w:rsidR="00BB5327">
        <w:t>b</w:t>
      </w:r>
      <w:r w:rsidRPr="0002744D">
        <w:t>)  </w:t>
      </w:r>
      <w:proofErr w:type="gramStart"/>
      <w:r w:rsidRPr="0002744D" w:rsidR="00765181">
        <w:t>joint</w:t>
      </w:r>
      <w:proofErr w:type="gramEnd"/>
      <w:r w:rsidRPr="0002744D" w:rsidR="00765181">
        <w:t xml:space="preserve"> </w:t>
      </w:r>
      <w:r w:rsidRPr="0002744D">
        <w:t>dissenting opinion of Judge</w:t>
      </w:r>
      <w:r w:rsidRPr="0002744D" w:rsidR="00765181">
        <w:t>s</w:t>
      </w:r>
      <w:r w:rsidRPr="0002744D">
        <w:t xml:space="preserve"> Pint</w:t>
      </w:r>
      <w:r w:rsidRPr="0002744D" w:rsidR="003F6E42">
        <w:t>o</w:t>
      </w:r>
      <w:r w:rsidRPr="0002744D">
        <w:t xml:space="preserve"> de Albuquerque</w:t>
      </w:r>
      <w:r w:rsidRPr="0002744D" w:rsidR="00765181">
        <w:t>,</w:t>
      </w:r>
      <w:r w:rsidRPr="0002744D" w:rsidR="00F05396">
        <w:t xml:space="preserve"> </w:t>
      </w:r>
      <w:r w:rsidRPr="0002744D">
        <w:t>Keller</w:t>
      </w:r>
      <w:r w:rsidRPr="0002744D" w:rsidR="00765181">
        <w:t xml:space="preserve"> and</w:t>
      </w:r>
      <w:r w:rsidRPr="0002744D" w:rsidR="00F05396">
        <w:t xml:space="preserve"> </w:t>
      </w:r>
      <w:proofErr w:type="spellStart"/>
      <w:r w:rsidRPr="0002744D">
        <w:t>Schembri</w:t>
      </w:r>
      <w:proofErr w:type="spellEnd"/>
      <w:r w:rsidRPr="0002744D" w:rsidR="00765181">
        <w:t xml:space="preserve"> Orland</w:t>
      </w:r>
      <w:r w:rsidRPr="0002744D">
        <w:t>.</w:t>
      </w:r>
    </w:p>
    <w:p w:rsidRPr="0002744D" w:rsidR="006266E7" w:rsidP="0002744D" w:rsidRDefault="006266E7">
      <w:pPr>
        <w:pStyle w:val="ECHRPara"/>
      </w:pPr>
    </w:p>
    <w:p w:rsidRPr="0002744D" w:rsidR="006266E7" w:rsidP="0002744D" w:rsidRDefault="006266E7">
      <w:pPr>
        <w:pStyle w:val="JuInitialled"/>
      </w:pPr>
      <w:r w:rsidRPr="0002744D">
        <w:t>P</w:t>
      </w:r>
      <w:r w:rsidRPr="0002744D" w:rsidR="00626156">
        <w:t>.</w:t>
      </w:r>
      <w:r w:rsidRPr="0002744D">
        <w:t>L</w:t>
      </w:r>
      <w:proofErr w:type="gramStart"/>
      <w:r w:rsidRPr="0002744D" w:rsidR="00626156">
        <w:t>.</w:t>
      </w:r>
      <w:proofErr w:type="gramEnd"/>
      <w:r w:rsidRPr="0002744D">
        <w:br/>
        <w:t>J</w:t>
      </w:r>
      <w:r w:rsidRPr="0002744D" w:rsidR="00626156">
        <w:t>.</w:t>
      </w:r>
      <w:r w:rsidRPr="0002744D">
        <w:t>S</w:t>
      </w:r>
      <w:r w:rsidRPr="0002744D" w:rsidR="00626156">
        <w:t>.</w:t>
      </w:r>
      <w:r w:rsidRPr="0002744D">
        <w:t>P</w:t>
      </w:r>
      <w:r w:rsidRPr="0002744D" w:rsidR="00626156">
        <w:t>.</w:t>
      </w:r>
    </w:p>
    <w:p w:rsidRPr="0002744D" w:rsidR="006266E7" w:rsidP="0002744D" w:rsidRDefault="006266E7">
      <w:pPr>
        <w:pStyle w:val="ECHRPara"/>
        <w:ind w:firstLine="0"/>
      </w:pPr>
    </w:p>
    <w:p w:rsidRPr="0002744D" w:rsidR="006266E7" w:rsidP="0002744D" w:rsidRDefault="006266E7">
      <w:pPr>
        <w:pStyle w:val="ECHRPara"/>
        <w:rPr>
          <w:rStyle w:val="PlaceholderText"/>
          <w:shd w:val="clear" w:color="auto" w:fill="auto"/>
        </w:rPr>
        <w:sectPr w:rsidRPr="0002744D" w:rsidR="006266E7" w:rsidSect="00C72C09">
          <w:headerReference w:type="even" r:id="rId11"/>
          <w:headerReference w:type="default" r:id="rId12"/>
          <w:footnotePr>
            <w:numRestart w:val="eachSect"/>
          </w:footnotePr>
          <w:pgSz w:w="11906" w:h="16838" w:code="9"/>
          <w:pgMar w:top="2274" w:right="2274" w:bottom="2274" w:left="2274" w:header="1701" w:footer="720" w:gutter="0"/>
          <w:pgNumType w:start="1"/>
          <w:cols w:space="720"/>
          <w:docGrid w:linePitch="326"/>
        </w:sectPr>
      </w:pPr>
    </w:p>
    <w:p w:rsidRPr="0002744D" w:rsidR="00A34B26" w:rsidP="0002744D" w:rsidRDefault="00A34B26">
      <w:pPr>
        <w:pStyle w:val="DecHTitle"/>
      </w:pPr>
      <w:r w:rsidRPr="0002744D">
        <w:t>CONCURRING OPINION OF JUDGE SERGHIDES</w:t>
      </w:r>
    </w:p>
    <w:p w:rsidRPr="0002744D" w:rsidR="00A34B26" w:rsidP="0002744D" w:rsidRDefault="00A34B26">
      <w:pPr>
        <w:pStyle w:val="ECHRPara"/>
      </w:pPr>
      <w:r w:rsidRPr="0002744D">
        <w:fldChar w:fldCharType="begin"/>
      </w:r>
      <w:r w:rsidRPr="0002744D">
        <w:instrText xml:space="preserve"> SEQ level0 \*arabic \r1 </w:instrText>
      </w:r>
      <w:r w:rsidRPr="0002744D">
        <w:fldChar w:fldCharType="separate"/>
      </w:r>
      <w:r w:rsidRPr="0002744D" w:rsidR="0002744D">
        <w:rPr>
          <w:noProof/>
        </w:rPr>
        <w:t>1</w:t>
      </w:r>
      <w:r w:rsidRPr="0002744D">
        <w:fldChar w:fldCharType="end"/>
      </w:r>
      <w:r w:rsidRPr="0002744D">
        <w:t>.  In the present case the applicant complained under Article 9 of the Convention that his request for replacement of compulsory military service by its civilian alternative had been arbitrarily dismissed.</w:t>
      </w:r>
    </w:p>
    <w:p w:rsidRPr="0002744D" w:rsidR="00A34B26" w:rsidP="0002744D" w:rsidRDefault="00A34B26">
      <w:pPr>
        <w:pStyle w:val="ECHRPara"/>
        <w:rPr>
          <w:rFonts w:eastAsia="Times New Roman"/>
        </w:rPr>
      </w:pPr>
      <w:r w:rsidRPr="0002744D">
        <w:rPr>
          <w:rFonts w:eastAsia="Times New Roman"/>
        </w:rPr>
        <w:fldChar w:fldCharType="begin"/>
      </w:r>
      <w:r w:rsidRPr="0002744D">
        <w:rPr>
          <w:rFonts w:eastAsia="Times New Roman"/>
        </w:rPr>
        <w:instrText xml:space="preserve"> SEQ level0 \*arabic </w:instrText>
      </w:r>
      <w:r w:rsidRPr="0002744D">
        <w:rPr>
          <w:rFonts w:eastAsia="Times New Roman"/>
        </w:rPr>
        <w:fldChar w:fldCharType="separate"/>
      </w:r>
      <w:r w:rsidRPr="0002744D" w:rsidR="0002744D">
        <w:rPr>
          <w:rFonts w:eastAsia="Times New Roman"/>
          <w:noProof/>
        </w:rPr>
        <w:t>2</w:t>
      </w:r>
      <w:r w:rsidRPr="0002744D">
        <w:rPr>
          <w:rFonts w:eastAsia="Times New Roman"/>
        </w:rPr>
        <w:fldChar w:fldCharType="end"/>
      </w:r>
      <w:r w:rsidRPr="0002744D">
        <w:rPr>
          <w:rFonts w:eastAsia="Times New Roman"/>
        </w:rPr>
        <w:t>.  By a majority of four to three, the Court found that there had been no violation of Article 9. Being in the majority, I voted in favour of no violation of this provision and I fully subscribed to everything that was said in the judgment.</w:t>
      </w:r>
    </w:p>
    <w:p w:rsidRPr="0002744D" w:rsidR="00A34B26" w:rsidP="0002744D" w:rsidRDefault="00A34B26">
      <w:pPr>
        <w:pStyle w:val="ECHRPara"/>
        <w:rPr>
          <w:rFonts w:eastAsia="Times New Roman"/>
        </w:rPr>
      </w:pPr>
      <w:r w:rsidRPr="0002744D">
        <w:rPr>
          <w:rFonts w:eastAsia="Times New Roman"/>
        </w:rPr>
        <w:fldChar w:fldCharType="begin"/>
      </w:r>
      <w:r w:rsidRPr="0002744D">
        <w:rPr>
          <w:rFonts w:eastAsia="Times New Roman"/>
        </w:rPr>
        <w:instrText xml:space="preserve"> SEQ level0 \*arabic </w:instrText>
      </w:r>
      <w:r w:rsidRPr="0002744D">
        <w:rPr>
          <w:rFonts w:eastAsia="Times New Roman"/>
        </w:rPr>
        <w:fldChar w:fldCharType="separate"/>
      </w:r>
      <w:r w:rsidRPr="0002744D" w:rsidR="0002744D">
        <w:rPr>
          <w:rFonts w:eastAsia="Times New Roman"/>
          <w:noProof/>
        </w:rPr>
        <w:t>3</w:t>
      </w:r>
      <w:r w:rsidRPr="0002744D">
        <w:rPr>
          <w:rFonts w:eastAsia="Times New Roman"/>
        </w:rPr>
        <w:fldChar w:fldCharType="end"/>
      </w:r>
      <w:r w:rsidRPr="0002744D">
        <w:rPr>
          <w:rFonts w:eastAsia="Times New Roman"/>
        </w:rPr>
        <w:t>.  The purpose of this concurring opinion is only to provide an additional argument which may support the judgment: an argument deriving from Article 4 §§ 2 and 3 (b) of the Convention.</w:t>
      </w:r>
    </w:p>
    <w:p w:rsidRPr="0002744D" w:rsidR="00A34B26" w:rsidP="0002744D" w:rsidRDefault="00A34B26">
      <w:pPr>
        <w:pStyle w:val="ECHRPara"/>
        <w:rPr>
          <w:rFonts w:eastAsia="Times New Roman"/>
        </w:rPr>
      </w:pPr>
      <w:r w:rsidRPr="0002744D">
        <w:rPr>
          <w:rFonts w:eastAsia="Times New Roman"/>
        </w:rPr>
        <w:fldChar w:fldCharType="begin"/>
      </w:r>
      <w:r w:rsidRPr="0002744D">
        <w:rPr>
          <w:rFonts w:eastAsia="Times New Roman"/>
        </w:rPr>
        <w:instrText xml:space="preserve"> SEQ level0 \*arabic </w:instrText>
      </w:r>
      <w:r w:rsidRPr="0002744D">
        <w:rPr>
          <w:rFonts w:eastAsia="Times New Roman"/>
        </w:rPr>
        <w:fldChar w:fldCharType="separate"/>
      </w:r>
      <w:r w:rsidRPr="0002744D" w:rsidR="0002744D">
        <w:rPr>
          <w:rFonts w:eastAsia="Times New Roman"/>
          <w:noProof/>
        </w:rPr>
        <w:t>4</w:t>
      </w:r>
      <w:r w:rsidRPr="0002744D">
        <w:rPr>
          <w:rFonts w:eastAsia="Times New Roman"/>
        </w:rPr>
        <w:fldChar w:fldCharType="end"/>
      </w:r>
      <w:r w:rsidRPr="0002744D">
        <w:rPr>
          <w:rFonts w:eastAsia="Times New Roman"/>
        </w:rPr>
        <w:t>.  Article 4 § 2 of the Convention provides that “[n]o one shall be required to perform forced or compuls</w:t>
      </w:r>
      <w:r w:rsidRPr="0002744D" w:rsidR="00670A47">
        <w:rPr>
          <w:rFonts w:eastAsia="Times New Roman"/>
        </w:rPr>
        <w:t xml:space="preserve">ory labour”. However, Article 4 </w:t>
      </w:r>
      <w:r w:rsidRPr="0002744D">
        <w:rPr>
          <w:rFonts w:eastAsia="Times New Roman"/>
        </w:rPr>
        <w:t>§ 3 (b) of the Convention clearly and in a mandatory manner does not include military service within the meaning of “forced or compulsory labour” (emphasis added):</w:t>
      </w:r>
    </w:p>
    <w:p w:rsidRPr="0002744D" w:rsidR="00A34B26" w:rsidP="0002744D" w:rsidRDefault="00A34B26">
      <w:pPr>
        <w:pStyle w:val="ECHRParaQuote"/>
        <w:rPr>
          <w:rFonts w:eastAsia="Times New Roman"/>
        </w:rPr>
      </w:pPr>
      <w:r w:rsidRPr="0002744D">
        <w:rPr>
          <w:rFonts w:eastAsia="Times New Roman"/>
        </w:rPr>
        <w:t xml:space="preserve">“3. For the purpose of this Article the term </w:t>
      </w:r>
      <w:r w:rsidRPr="0002744D" w:rsidR="0002744D">
        <w:rPr>
          <w:rFonts w:eastAsia="Times New Roman"/>
        </w:rPr>
        <w:t>‘</w:t>
      </w:r>
      <w:r w:rsidRPr="0002744D">
        <w:rPr>
          <w:rFonts w:eastAsia="Times New Roman"/>
        </w:rPr>
        <w:t>forced or compulsory labour</w:t>
      </w:r>
      <w:r w:rsidRPr="0002744D" w:rsidR="0002744D">
        <w:rPr>
          <w:rFonts w:eastAsia="Times New Roman"/>
        </w:rPr>
        <w:t>’</w:t>
      </w:r>
      <w:r w:rsidRPr="0002744D">
        <w:rPr>
          <w:rFonts w:eastAsia="Times New Roman"/>
        </w:rPr>
        <w:t xml:space="preserve"> </w:t>
      </w:r>
      <w:r w:rsidRPr="0002744D">
        <w:rPr>
          <w:rFonts w:eastAsia="Times New Roman"/>
          <w:i/>
          <w:iCs/>
        </w:rPr>
        <w:t>shall not</w:t>
      </w:r>
      <w:r w:rsidRPr="0002744D">
        <w:rPr>
          <w:rFonts w:eastAsia="Times New Roman"/>
        </w:rPr>
        <w:t xml:space="preserve"> include:</w:t>
      </w:r>
    </w:p>
    <w:p w:rsidRPr="0002744D" w:rsidR="00A34B26" w:rsidP="0002744D" w:rsidRDefault="00A34B26">
      <w:pPr>
        <w:pStyle w:val="ECHRParaQuote"/>
        <w:rPr>
          <w:rFonts w:eastAsia="Times New Roman"/>
        </w:rPr>
      </w:pPr>
      <w:r w:rsidRPr="0002744D">
        <w:rPr>
          <w:rFonts w:eastAsia="Times New Roman"/>
        </w:rPr>
        <w:t>...</w:t>
      </w:r>
    </w:p>
    <w:p w:rsidRPr="0002744D" w:rsidR="00736500" w:rsidP="0002744D" w:rsidRDefault="00A34B26">
      <w:pPr>
        <w:pStyle w:val="ECHRParaQuote"/>
        <w:rPr>
          <w:rFonts w:eastAsia="Times New Roman"/>
        </w:rPr>
      </w:pPr>
      <w:r w:rsidRPr="0002744D">
        <w:rPr>
          <w:rFonts w:eastAsia="Times New Roman"/>
        </w:rPr>
        <w:t>(b) </w:t>
      </w:r>
      <w:proofErr w:type="gramStart"/>
      <w:r w:rsidRPr="0002744D">
        <w:rPr>
          <w:rFonts w:eastAsia="Times New Roman"/>
          <w:i/>
          <w:iCs/>
        </w:rPr>
        <w:t>any</w:t>
      </w:r>
      <w:proofErr w:type="gramEnd"/>
      <w:r w:rsidRPr="0002744D">
        <w:rPr>
          <w:rFonts w:eastAsia="Times New Roman"/>
          <w:i/>
          <w:iCs/>
        </w:rPr>
        <w:t xml:space="preserve"> service of a military character</w:t>
      </w:r>
      <w:r w:rsidRPr="0002744D">
        <w:rPr>
          <w:rFonts w:eastAsia="Times New Roman"/>
        </w:rPr>
        <w:t xml:space="preserve"> or, in case of conscientious objectors in countries where they are recognised, service exacted </w:t>
      </w:r>
      <w:r w:rsidRPr="0002744D">
        <w:rPr>
          <w:rFonts w:eastAsia="Times New Roman"/>
          <w:i/>
          <w:iCs/>
        </w:rPr>
        <w:t>instead of compulsory military service</w:t>
      </w:r>
      <w:r w:rsidRPr="0002744D">
        <w:rPr>
          <w:rFonts w:eastAsia="Times New Roman"/>
          <w:iCs/>
        </w:rPr>
        <w:t>.</w:t>
      </w:r>
      <w:r w:rsidRPr="0002744D">
        <w:rPr>
          <w:rFonts w:eastAsia="Times New Roman"/>
        </w:rPr>
        <w:t>”</w:t>
      </w:r>
    </w:p>
    <w:p w:rsidRPr="0002744D" w:rsidR="00A34B26" w:rsidP="0002744D" w:rsidRDefault="00A34B26">
      <w:pPr>
        <w:pStyle w:val="ECHRPara"/>
        <w:rPr>
          <w:rFonts w:eastAsia="Times New Roman"/>
        </w:rPr>
      </w:pPr>
      <w:r w:rsidRPr="0002744D">
        <w:rPr>
          <w:rFonts w:eastAsia="Times New Roman"/>
        </w:rPr>
        <w:fldChar w:fldCharType="begin"/>
      </w:r>
      <w:r w:rsidRPr="0002744D">
        <w:rPr>
          <w:rFonts w:eastAsia="Times New Roman"/>
        </w:rPr>
        <w:instrText xml:space="preserve"> SEQ level0 \*arabic </w:instrText>
      </w:r>
      <w:r w:rsidRPr="0002744D">
        <w:rPr>
          <w:rFonts w:eastAsia="Times New Roman"/>
        </w:rPr>
        <w:fldChar w:fldCharType="separate"/>
      </w:r>
      <w:r w:rsidRPr="0002744D" w:rsidR="0002744D">
        <w:rPr>
          <w:rFonts w:eastAsia="Times New Roman"/>
          <w:noProof/>
        </w:rPr>
        <w:t>5</w:t>
      </w:r>
      <w:r w:rsidRPr="0002744D">
        <w:rPr>
          <w:rFonts w:eastAsia="Times New Roman"/>
        </w:rPr>
        <w:fldChar w:fldCharType="end"/>
      </w:r>
      <w:r w:rsidRPr="0002744D">
        <w:rPr>
          <w:rFonts w:eastAsia="Times New Roman"/>
        </w:rPr>
        <w:t xml:space="preserve">.  Indeed, “compulsory military service” is a form of labour which by its very nature is compulsory. However, it is apparent from </w:t>
      </w:r>
      <w:bookmarkStart w:name="_Hlk32164593" w:id="36"/>
      <w:r w:rsidRPr="0002744D">
        <w:rPr>
          <w:rFonts w:eastAsia="Times New Roman"/>
        </w:rPr>
        <w:t xml:space="preserve">Article 4 §§ 2 and 3 (c) that such service </w:t>
      </w:r>
      <w:bookmarkEnd w:id="36"/>
      <w:r w:rsidRPr="0002744D">
        <w:rPr>
          <w:rFonts w:eastAsia="Times New Roman"/>
        </w:rPr>
        <w:t>cannot be considered compulsory for the purposes of Article 4 §</w:t>
      </w:r>
      <w:r w:rsidRPr="0002744D">
        <w:t> 2 to the effect of entailing a violation of that provision.</w:t>
      </w:r>
    </w:p>
    <w:p w:rsidRPr="0002744D" w:rsidR="00736500" w:rsidP="0002744D" w:rsidRDefault="00A34B26">
      <w:pPr>
        <w:pStyle w:val="ECHRPara"/>
        <w:rPr>
          <w:rFonts w:eastAsia="Times New Roman"/>
        </w:rPr>
      </w:pPr>
      <w:r w:rsidRPr="0002744D">
        <w:rPr>
          <w:rFonts w:eastAsia="Times New Roman"/>
        </w:rPr>
        <w:fldChar w:fldCharType="begin"/>
      </w:r>
      <w:r w:rsidRPr="0002744D">
        <w:rPr>
          <w:rFonts w:eastAsia="Times New Roman"/>
        </w:rPr>
        <w:instrText xml:space="preserve"> SEQ level0 \*arabic </w:instrText>
      </w:r>
      <w:r w:rsidRPr="0002744D">
        <w:rPr>
          <w:rFonts w:eastAsia="Times New Roman"/>
        </w:rPr>
        <w:fldChar w:fldCharType="separate"/>
      </w:r>
      <w:r w:rsidRPr="0002744D" w:rsidR="0002744D">
        <w:rPr>
          <w:rFonts w:eastAsia="Times New Roman"/>
          <w:noProof/>
        </w:rPr>
        <w:t>6</w:t>
      </w:r>
      <w:r w:rsidRPr="0002744D">
        <w:rPr>
          <w:rFonts w:eastAsia="Times New Roman"/>
        </w:rPr>
        <w:fldChar w:fldCharType="end"/>
      </w:r>
      <w:r w:rsidRPr="0002744D">
        <w:rPr>
          <w:rFonts w:eastAsia="Times New Roman"/>
        </w:rPr>
        <w:t xml:space="preserve">.  From Article 4 § 3 (b) it is clear that the drafters of the Convention intended to afford States parties to the Convention a </w:t>
      </w:r>
      <w:r w:rsidRPr="0002744D">
        <w:rPr>
          <w:rFonts w:eastAsia="Times New Roman"/>
          <w:i/>
          <w:iCs/>
        </w:rPr>
        <w:t>wide</w:t>
      </w:r>
      <w:r w:rsidRPr="0002744D">
        <w:rPr>
          <w:rFonts w:eastAsia="Times New Roman"/>
        </w:rPr>
        <w:t xml:space="preserve"> discretion to maintain compulsory military service and an alternative civilian service, in case of conscientious objectors, if they are so recognised. The drafting of Article 4 </w:t>
      </w:r>
      <w:r w:rsidRPr="0002744D">
        <w:rPr>
          <w:rFonts w:eastAsia="Times New Roman" w:cstheme="minorHAnsi"/>
        </w:rPr>
        <w:t>§</w:t>
      </w:r>
      <w:r w:rsidRPr="0002744D">
        <w:rPr>
          <w:rFonts w:eastAsia="Times New Roman"/>
        </w:rPr>
        <w:t xml:space="preserve"> 3 (b) thus ensured full respect for the principle of subsidiarity and for the sovereignty of each member State to deal with compulsory military service, an issue which may be necessary or relevant to the maintenance of peace in a given country or to its defence.</w:t>
      </w:r>
    </w:p>
    <w:p w:rsidRPr="0002744D" w:rsidR="00A34B26" w:rsidP="0002744D" w:rsidRDefault="00A34B26">
      <w:pPr>
        <w:pStyle w:val="ECHRPara"/>
        <w:rPr>
          <w:rFonts w:eastAsia="Times New Roman"/>
        </w:rPr>
      </w:pPr>
      <w:r w:rsidRPr="0002744D">
        <w:rPr>
          <w:rFonts w:eastAsia="Times New Roman"/>
        </w:rPr>
        <w:fldChar w:fldCharType="begin"/>
      </w:r>
      <w:r w:rsidRPr="0002744D">
        <w:rPr>
          <w:rFonts w:eastAsia="Times New Roman"/>
        </w:rPr>
        <w:instrText xml:space="preserve"> SEQ level0 \*arabic </w:instrText>
      </w:r>
      <w:r w:rsidRPr="0002744D">
        <w:rPr>
          <w:rFonts w:eastAsia="Times New Roman"/>
        </w:rPr>
        <w:fldChar w:fldCharType="separate"/>
      </w:r>
      <w:r w:rsidRPr="0002744D" w:rsidR="0002744D">
        <w:rPr>
          <w:rFonts w:eastAsia="Times New Roman"/>
          <w:noProof/>
        </w:rPr>
        <w:t>7</w:t>
      </w:r>
      <w:r w:rsidRPr="0002744D">
        <w:rPr>
          <w:rFonts w:eastAsia="Times New Roman"/>
        </w:rPr>
        <w:fldChar w:fldCharType="end"/>
      </w:r>
      <w:r w:rsidRPr="0002744D">
        <w:rPr>
          <w:rFonts w:eastAsia="Times New Roman"/>
        </w:rPr>
        <w:t xml:space="preserve">.  According to the well-established case-law of the Court, the Convention should be interpreted as a whole, thus, its provisions should be interpreted in an internal harmony and in a coherent manner (see, </w:t>
      </w:r>
      <w:r w:rsidRPr="0002744D">
        <w:rPr>
          <w:rFonts w:eastAsia="Times New Roman"/>
          <w:i/>
        </w:rPr>
        <w:t xml:space="preserve">inter alia, Johnston and Others v. Ireland, </w:t>
      </w:r>
      <w:r w:rsidRPr="0002744D">
        <w:rPr>
          <w:rFonts w:eastAsia="Times New Roman"/>
        </w:rPr>
        <w:t xml:space="preserve">no. 9697/82, </w:t>
      </w:r>
      <w:r w:rsidRPr="0002744D">
        <w:rPr>
          <w:rFonts w:eastAsia="Times New Roman" w:cstheme="minorHAnsi"/>
        </w:rPr>
        <w:t xml:space="preserve">§ 57, 18 December 1986, and </w:t>
      </w:r>
      <w:proofErr w:type="spellStart"/>
      <w:r w:rsidRPr="0002744D">
        <w:rPr>
          <w:rFonts w:eastAsia="Times New Roman" w:cstheme="minorHAnsi"/>
          <w:i/>
        </w:rPr>
        <w:t>Stec</w:t>
      </w:r>
      <w:proofErr w:type="spellEnd"/>
      <w:r w:rsidRPr="0002744D">
        <w:rPr>
          <w:rFonts w:eastAsia="Times New Roman" w:cstheme="minorHAnsi"/>
          <w:i/>
        </w:rPr>
        <w:t xml:space="preserve"> and Others v. the United Kingdom </w:t>
      </w:r>
      <w:r w:rsidRPr="0002744D" w:rsidR="00670A47">
        <w:rPr>
          <w:rFonts w:eastAsia="Times New Roman" w:cstheme="minorHAnsi"/>
        </w:rPr>
        <w:t>(</w:t>
      </w:r>
      <w:proofErr w:type="spellStart"/>
      <w:r w:rsidRPr="0002744D" w:rsidR="00670A47">
        <w:rPr>
          <w:rFonts w:eastAsia="Times New Roman" w:cstheme="minorHAnsi"/>
        </w:rPr>
        <w:t>dec.</w:t>
      </w:r>
      <w:proofErr w:type="spellEnd"/>
      <w:r w:rsidRPr="0002744D" w:rsidR="00670A47">
        <w:rPr>
          <w:rFonts w:eastAsia="Times New Roman" w:cstheme="minorHAnsi"/>
        </w:rPr>
        <w:t>) [GC], nos. 65731/01 and </w:t>
      </w:r>
      <w:r w:rsidRPr="0002744D">
        <w:rPr>
          <w:rFonts w:eastAsia="Times New Roman" w:cstheme="minorHAnsi"/>
        </w:rPr>
        <w:t xml:space="preserve">65900/01, § 48, </w:t>
      </w:r>
      <w:r w:rsidRPr="0002744D">
        <w:t>ECHR 2005</w:t>
      </w:r>
      <w:r w:rsidRPr="0002744D">
        <w:noBreakHyphen/>
        <w:t>X</w:t>
      </w:r>
      <w:r w:rsidRPr="0002744D">
        <w:rPr>
          <w:rFonts w:eastAsia="Times New Roman" w:cstheme="minorHAnsi"/>
        </w:rPr>
        <w:t>)</w:t>
      </w:r>
      <w:r w:rsidRPr="0002744D">
        <w:rPr>
          <w:rFonts w:eastAsia="Times New Roman"/>
        </w:rPr>
        <w:t xml:space="preserve">. Such an interpretation is based on common sense and for me it is a requirement or facet of the principle of effectiveness. It would be pointless, therefore, on the issue of compulsory military service, for member States to have a wide discretion regarding the right/prohibition guaranteed by Article 4 §§ 2 and 3 (c), but not to have such a discretion regarding the right guaranteed by Article 9 </w:t>
      </w:r>
      <w:r w:rsidRPr="0002744D">
        <w:t>of the Convention. The extent of the discretion of member States is a factor affecting the exercise of the supervisory function of the Court; the wider the discretion of member States in a given area of law, the less intrusive the Court</w:t>
      </w:r>
      <w:r w:rsidRPr="0002744D" w:rsidR="0002744D">
        <w:t>’</w:t>
      </w:r>
      <w:r w:rsidRPr="0002744D">
        <w:t>s intervention. What is submitted here about the harmonious interpretation of Articles 9 and 4 of the Convention as regards the member States</w:t>
      </w:r>
      <w:r w:rsidRPr="0002744D" w:rsidR="0002744D">
        <w:t>’</w:t>
      </w:r>
      <w:r w:rsidRPr="0002744D">
        <w:t xml:space="preserve"> discretion is supported by the Court</w:t>
      </w:r>
      <w:r w:rsidRPr="0002744D" w:rsidR="0002744D">
        <w:t>’</w:t>
      </w:r>
      <w:r w:rsidRPr="0002744D">
        <w:t>s case-law on Article 9, according to which</w:t>
      </w:r>
      <w:r w:rsidRPr="0002744D">
        <w:rPr>
          <w:rFonts w:eastAsia="Times New Roman"/>
        </w:rPr>
        <w:t xml:space="preserve"> States enjoy such a margin of appreciation regarding the manner in which their systems of alternative service are organised and implemented (see, </w:t>
      </w:r>
      <w:r w:rsidRPr="0002744D">
        <w:rPr>
          <w:rFonts w:eastAsia="Times New Roman"/>
          <w:i/>
        </w:rPr>
        <w:t xml:space="preserve">inter alia, </w:t>
      </w:r>
      <w:proofErr w:type="spellStart"/>
      <w:r w:rsidRPr="0002744D">
        <w:rPr>
          <w:rFonts w:eastAsia="Times New Roman"/>
          <w:i/>
        </w:rPr>
        <w:t>Adyan</w:t>
      </w:r>
      <w:proofErr w:type="spellEnd"/>
      <w:r w:rsidRPr="0002744D">
        <w:rPr>
          <w:rFonts w:eastAsia="Times New Roman"/>
          <w:i/>
        </w:rPr>
        <w:t xml:space="preserve"> and Others v. Armenia, </w:t>
      </w:r>
      <w:r w:rsidRPr="0002744D">
        <w:rPr>
          <w:rFonts w:eastAsia="Times New Roman"/>
        </w:rPr>
        <w:t xml:space="preserve">no. 75604/11, </w:t>
      </w:r>
      <w:r w:rsidRPr="0002744D">
        <w:rPr>
          <w:rFonts w:eastAsia="Times New Roman" w:cstheme="minorHAnsi"/>
        </w:rPr>
        <w:t>§ </w:t>
      </w:r>
      <w:r w:rsidRPr="0002744D">
        <w:rPr>
          <w:rFonts w:eastAsia="Times New Roman"/>
        </w:rPr>
        <w:t>67, 12 October 2017).</w:t>
      </w:r>
    </w:p>
    <w:p w:rsidRPr="0002744D" w:rsidR="00D67FC6" w:rsidP="0002744D" w:rsidRDefault="00D67FC6">
      <w:pPr>
        <w:pStyle w:val="ECHRPara"/>
      </w:pPr>
      <w:r w:rsidRPr="0002744D">
        <w:t xml:space="preserve">It should be made clear that the argument made here is not whether there is a right under Article 9 to conscientious objection. This is an issue which was decided in the affirmative, in a progressive manner and without any association with Article 4 § 3, in </w:t>
      </w:r>
      <w:proofErr w:type="spellStart"/>
      <w:r w:rsidRPr="0002744D">
        <w:rPr>
          <w:i/>
          <w:iCs/>
        </w:rPr>
        <w:t>Bayatyan</w:t>
      </w:r>
      <w:proofErr w:type="spellEnd"/>
      <w:r w:rsidRPr="0002744D">
        <w:rPr>
          <w:i/>
          <w:iCs/>
        </w:rPr>
        <w:t xml:space="preserve"> v. Armenia</w:t>
      </w:r>
      <w:r w:rsidRPr="0002744D">
        <w:t xml:space="preserve"> [GC], no. 23459/03, 7 July 2012. The Court in that case observed that Article 4 § 3 “[</w:t>
      </w:r>
      <w:proofErr w:type="spellStart"/>
      <w:r w:rsidRPr="0002744D">
        <w:t>i</w:t>
      </w:r>
      <w:proofErr w:type="spellEnd"/>
      <w:r w:rsidRPr="0002744D">
        <w:t>]n itself ... neither recognise[d] nor exclude[d] a right to conscientious objection and should therefore not have a delimiting effect on the rights guaranteed by Article 9” (ibid.</w:t>
      </w:r>
      <w:r w:rsidRPr="0002744D">
        <w:rPr>
          <w:i/>
          <w:iCs/>
        </w:rPr>
        <w:t xml:space="preserve">, </w:t>
      </w:r>
      <w:r w:rsidRPr="0002744D">
        <w:t xml:space="preserve">§ 100). However, accepting that there is a right to conscientious objection under Article 9 does not preclude the need for a harmonious interpretation of Articles 9 and 4 § 3 (b) regarding the extent of the margin of appreciation afforded to member States in organising and implementing alternative civilian service under Article 9, an issue which is different from the question whether there is a right to conscientious objection. On the contrary, as has been said above, such a harmonising interpretative approach is an important aspect of the principle of effectiveness, which must be taken into account. Furthermore, the Court in </w:t>
      </w:r>
      <w:proofErr w:type="spellStart"/>
      <w:r w:rsidRPr="0002744D">
        <w:rPr>
          <w:i/>
          <w:iCs/>
        </w:rPr>
        <w:t>Bayatyan</w:t>
      </w:r>
      <w:proofErr w:type="spellEnd"/>
      <w:r w:rsidRPr="0002744D">
        <w:rPr>
          <w:i/>
          <w:iCs/>
        </w:rPr>
        <w:t xml:space="preserve"> </w:t>
      </w:r>
      <w:r w:rsidRPr="0002744D">
        <w:rPr>
          <w:iCs/>
        </w:rPr>
        <w:t>(</w:t>
      </w:r>
      <w:proofErr w:type="gramStart"/>
      <w:r w:rsidRPr="0002744D">
        <w:t>ibid.,</w:t>
      </w:r>
      <w:proofErr w:type="gramEnd"/>
      <w:r w:rsidRPr="0002744D">
        <w:t xml:space="preserve"> § 125), following case-law of the European Commission of Human Rights, accepted that exemptions from compulsory military service should be granted on the basis of “solid and convincing grounds”. It can be said that this strict standard of proof is borne out by reading Article 9 together with Article 4 § 3 (b); and by analogy the wide margin of appreciation of member States in organising and implementing alternative civilian service also stems from such a reading.</w:t>
      </w:r>
    </w:p>
    <w:p w:rsidRPr="0002744D" w:rsidR="00A34B26" w:rsidP="0002744D" w:rsidRDefault="00A34B26">
      <w:pPr>
        <w:pStyle w:val="ECHRPara"/>
      </w:pPr>
      <w:r w:rsidRPr="0002744D">
        <w:fldChar w:fldCharType="begin"/>
      </w:r>
      <w:r w:rsidRPr="0002744D">
        <w:instrText xml:space="preserve"> SEQ level0 \*arabic </w:instrText>
      </w:r>
      <w:r w:rsidRPr="0002744D">
        <w:fldChar w:fldCharType="separate"/>
      </w:r>
      <w:r w:rsidRPr="0002744D" w:rsidR="0002744D">
        <w:rPr>
          <w:noProof/>
        </w:rPr>
        <w:t>8</w:t>
      </w:r>
      <w:r w:rsidRPr="0002744D">
        <w:fldChar w:fldCharType="end"/>
      </w:r>
      <w:r w:rsidRPr="0002744D">
        <w:t>.  In the present case the national authorities acted neither manifestly unreasonably nor arbitrarily and did nothing which overstepped their margin of appreciation, a margin which was a broad one on the issue in question, as explained above.</w:t>
      </w:r>
    </w:p>
    <w:p w:rsidRPr="0002744D" w:rsidR="00A34B26" w:rsidP="0002744D" w:rsidRDefault="00A34B26">
      <w:pPr>
        <w:pStyle w:val="ECHRPara"/>
      </w:pPr>
      <w:r w:rsidRPr="0002744D">
        <w:fldChar w:fldCharType="begin"/>
      </w:r>
      <w:r w:rsidRPr="0002744D">
        <w:instrText xml:space="preserve"> SEQ level0 \*arabic </w:instrText>
      </w:r>
      <w:r w:rsidRPr="0002744D">
        <w:fldChar w:fldCharType="separate"/>
      </w:r>
      <w:r w:rsidRPr="0002744D" w:rsidR="0002744D">
        <w:rPr>
          <w:noProof/>
        </w:rPr>
        <w:t>9</w:t>
      </w:r>
      <w:r w:rsidRPr="0002744D">
        <w:fldChar w:fldCharType="end"/>
      </w:r>
      <w:r w:rsidRPr="0002744D">
        <w:t>.  In any event, as the Court rightly concluded, “the applicant has failed to substantiate the existence of a serious and insurmountable conflict between the obligation to serve in the army and his convictions” (see paragraph 94 of the judgment), and, consequently, “there has been no violation of Article 9 of the Convention” (see paragraph 95 of the judgment).</w:t>
      </w:r>
    </w:p>
    <w:p w:rsidRPr="0002744D" w:rsidR="006266E7" w:rsidP="0002744D" w:rsidRDefault="006266E7">
      <w:pPr>
        <w:pStyle w:val="ECHRPara"/>
        <w:rPr>
          <w:rStyle w:val="PlaceholderText"/>
          <w:shd w:val="clear" w:color="auto" w:fill="auto"/>
          <w:lang w:val="en-US"/>
        </w:rPr>
      </w:pPr>
    </w:p>
    <w:p w:rsidRPr="0002744D" w:rsidR="003C3F94" w:rsidP="0002744D" w:rsidRDefault="003C3F94">
      <w:pPr>
        <w:pStyle w:val="ECHRPara"/>
        <w:rPr>
          <w:rStyle w:val="PlaceholderText"/>
          <w:shd w:val="clear" w:color="auto" w:fill="auto"/>
          <w:lang w:val="en-US"/>
        </w:rPr>
      </w:pPr>
      <w:r w:rsidRPr="0002744D">
        <w:rPr>
          <w:rStyle w:val="PlaceholderText"/>
          <w:shd w:val="clear" w:color="auto" w:fill="auto"/>
          <w:lang w:val="en-US"/>
        </w:rPr>
        <w:br w:type="page"/>
      </w:r>
    </w:p>
    <w:p w:rsidRPr="0002744D" w:rsidR="003C3F94" w:rsidP="0002744D" w:rsidRDefault="003C3F94">
      <w:pPr>
        <w:pStyle w:val="DecHTitle"/>
      </w:pPr>
      <w:r w:rsidRPr="0002744D">
        <w:rPr>
          <w:caps/>
        </w:rPr>
        <w:t>JOINT DISSENTING OPINION</w:t>
      </w:r>
      <w:r w:rsidRPr="0002744D">
        <w:rPr>
          <w:caps/>
        </w:rPr>
        <w:br/>
        <w:t xml:space="preserve">OF JUDGES Pinto de Albuquerque, Keller </w:t>
      </w:r>
      <w:r w:rsidRPr="0002744D">
        <w:rPr>
          <w:caps/>
        </w:rPr>
        <w:br/>
        <w:t>and Schembri Orland</w:t>
      </w:r>
    </w:p>
    <w:p w:rsidRPr="0002744D" w:rsidR="003C3F94" w:rsidP="0002744D" w:rsidRDefault="003C3F94">
      <w:pPr>
        <w:pStyle w:val="ECHRPara"/>
        <w:rPr>
          <w:b/>
          <w:bCs/>
        </w:rPr>
      </w:pPr>
      <w:r w:rsidRPr="0002744D">
        <w:rPr>
          <w:b/>
          <w:bCs/>
        </w:rPr>
        <w:t>Introduction</w:t>
      </w:r>
    </w:p>
    <w:p w:rsidRPr="0002744D" w:rsidR="003C3F94" w:rsidP="0002744D" w:rsidRDefault="003C3F94">
      <w:pPr>
        <w:pStyle w:val="ECHRPara"/>
        <w:rPr>
          <w:b/>
          <w:bCs/>
        </w:rPr>
      </w:pPr>
    </w:p>
    <w:p w:rsidRPr="0002744D" w:rsidR="003C3F94" w:rsidP="0002744D" w:rsidRDefault="003C3F94">
      <w:pPr>
        <w:pStyle w:val="ECHRPara"/>
      </w:pPr>
      <w:r w:rsidRPr="0002744D">
        <w:fldChar w:fldCharType="begin"/>
      </w:r>
      <w:r w:rsidRPr="0002744D">
        <w:instrText xml:space="preserve"> SEQ level0 \*arabic </w:instrText>
      </w:r>
      <w:r w:rsidRPr="0002744D">
        <w:fldChar w:fldCharType="separate"/>
      </w:r>
      <w:r w:rsidRPr="0002744D" w:rsidR="0002744D">
        <w:rPr>
          <w:noProof/>
        </w:rPr>
        <w:t>10</w:t>
      </w:r>
      <w:r w:rsidRPr="0002744D">
        <w:fldChar w:fldCharType="end"/>
      </w:r>
      <w:r w:rsidRPr="0002744D">
        <w:t>.  The applicant, a young philosophy graduate, sought permission from the domestic authorities to undertake civilian service, rather than compulsory military service, on the basis that he had converted to pacifism (see paragraphs 6-16 of the judgment).</w:t>
      </w:r>
    </w:p>
    <w:p w:rsidRPr="0002744D" w:rsidR="003C3F94" w:rsidP="0002744D" w:rsidRDefault="003C3F94">
      <w:pPr>
        <w:pStyle w:val="ECHRPara"/>
      </w:pPr>
      <w:r w:rsidRPr="0002744D">
        <w:fldChar w:fldCharType="begin"/>
      </w:r>
      <w:r w:rsidRPr="0002744D">
        <w:instrText xml:space="preserve"> SEQ level0 \*arabic </w:instrText>
      </w:r>
      <w:r w:rsidRPr="0002744D">
        <w:fldChar w:fldCharType="separate"/>
      </w:r>
      <w:r w:rsidRPr="0002744D" w:rsidR="0002744D">
        <w:rPr>
          <w:noProof/>
        </w:rPr>
        <w:t>11</w:t>
      </w:r>
      <w:r w:rsidRPr="0002744D">
        <w:fldChar w:fldCharType="end"/>
      </w:r>
      <w:r w:rsidRPr="0002744D">
        <w:t>.  Article 9 of the Convention obliges the respondent Government to provide an effective and accessible procedure for establishing whether individuals in the applicant</w:t>
      </w:r>
      <w:r w:rsidRPr="0002744D" w:rsidR="0002744D">
        <w:t>’</w:t>
      </w:r>
      <w:r w:rsidRPr="0002744D">
        <w:t xml:space="preserve">s position are entitled to conscientious objector status (see </w:t>
      </w:r>
      <w:proofErr w:type="spellStart"/>
      <w:r w:rsidRPr="0002744D">
        <w:rPr>
          <w:i/>
        </w:rPr>
        <w:t>Savda</w:t>
      </w:r>
      <w:proofErr w:type="spellEnd"/>
      <w:r w:rsidRPr="0002744D">
        <w:rPr>
          <w:i/>
        </w:rPr>
        <w:t xml:space="preserve"> v. Turkey</w:t>
      </w:r>
      <w:r w:rsidRPr="0002744D">
        <w:t>, no. 42730/05, § 100, 12 June 2012). In our view, that obligation was not met in the present case. We accordingly dissent from the Court</w:t>
      </w:r>
      <w:r w:rsidRPr="0002744D" w:rsidR="0002744D">
        <w:t>’</w:t>
      </w:r>
      <w:r w:rsidRPr="0002744D">
        <w:t>s judgment.</w:t>
      </w:r>
    </w:p>
    <w:p w:rsidRPr="0002744D" w:rsidR="00736500" w:rsidP="0002744D" w:rsidRDefault="003C3F94">
      <w:pPr>
        <w:pStyle w:val="ECHRPara"/>
      </w:pPr>
      <w:r w:rsidRPr="0002744D">
        <w:fldChar w:fldCharType="begin"/>
      </w:r>
      <w:r w:rsidRPr="0002744D">
        <w:instrText xml:space="preserve"> SEQ level0 \*arabic </w:instrText>
      </w:r>
      <w:r w:rsidRPr="0002744D">
        <w:fldChar w:fldCharType="separate"/>
      </w:r>
      <w:r w:rsidRPr="0002744D" w:rsidR="0002744D">
        <w:rPr>
          <w:noProof/>
        </w:rPr>
        <w:t>12</w:t>
      </w:r>
      <w:r w:rsidRPr="0002744D">
        <w:fldChar w:fldCharType="end"/>
      </w:r>
      <w:r w:rsidRPr="0002744D">
        <w:t>.</w:t>
      </w:r>
      <w:r w:rsidRPr="0002744D" w:rsidR="00736500">
        <w:rPr>
          <w:lang w:val="en-US"/>
        </w:rPr>
        <w:t> </w:t>
      </w:r>
      <w:r w:rsidRPr="0002744D">
        <w:t> On our analysis, it is unnecessary for us to express a conclusive view as to certain matters addressed in the Court</w:t>
      </w:r>
      <w:r w:rsidRPr="0002744D" w:rsidR="0002744D">
        <w:t>’</w:t>
      </w:r>
      <w:r w:rsidRPr="0002744D">
        <w:t>s judgment. However, we question the Court</w:t>
      </w:r>
      <w:r w:rsidRPr="0002744D" w:rsidR="0002744D">
        <w:t>’</w:t>
      </w:r>
      <w:r w:rsidRPr="0002744D">
        <w:t>s approach.</w:t>
      </w:r>
    </w:p>
    <w:p w:rsidRPr="0002744D" w:rsidR="003C3F94" w:rsidP="0002744D" w:rsidRDefault="003C3F94">
      <w:pPr>
        <w:pStyle w:val="ECHRPara"/>
      </w:pPr>
    </w:p>
    <w:p w:rsidRPr="0002744D" w:rsidR="003C3F94" w:rsidP="0002744D" w:rsidRDefault="003C3F94">
      <w:pPr>
        <w:pStyle w:val="ECHRPara"/>
        <w:rPr>
          <w:b/>
          <w:bCs/>
        </w:rPr>
      </w:pPr>
      <w:r w:rsidRPr="0002744D">
        <w:rPr>
          <w:b/>
          <w:bCs/>
          <w:lang w:val="en-US"/>
        </w:rPr>
        <w:t>The arbitrary treatment of the applicant</w:t>
      </w:r>
      <w:r w:rsidRPr="0002744D" w:rsidR="0002744D">
        <w:rPr>
          <w:b/>
          <w:bCs/>
          <w:lang w:val="en-US"/>
        </w:rPr>
        <w:t>’</w:t>
      </w:r>
      <w:r w:rsidRPr="0002744D">
        <w:rPr>
          <w:b/>
          <w:bCs/>
          <w:lang w:val="en-US"/>
        </w:rPr>
        <w:t>s request</w:t>
      </w:r>
    </w:p>
    <w:p w:rsidRPr="0002744D" w:rsidR="003C3F94" w:rsidP="0002744D" w:rsidRDefault="003C3F94">
      <w:pPr>
        <w:pStyle w:val="ECHRPara"/>
        <w:rPr>
          <w:b/>
          <w:bCs/>
        </w:rPr>
      </w:pPr>
    </w:p>
    <w:p w:rsidRPr="0002744D" w:rsidR="003C3F94" w:rsidP="0002744D" w:rsidRDefault="003C3F94">
      <w:pPr>
        <w:pStyle w:val="ECHRPara"/>
      </w:pPr>
      <w:r w:rsidRPr="0002744D">
        <w:fldChar w:fldCharType="begin"/>
      </w:r>
      <w:r w:rsidRPr="0002744D">
        <w:instrText xml:space="preserve"> SEQ level0 \*arabic </w:instrText>
      </w:r>
      <w:r w:rsidRPr="0002744D">
        <w:fldChar w:fldCharType="separate"/>
      </w:r>
      <w:r w:rsidRPr="0002744D" w:rsidR="0002744D">
        <w:rPr>
          <w:noProof/>
        </w:rPr>
        <w:t>13</w:t>
      </w:r>
      <w:r w:rsidRPr="0002744D">
        <w:fldChar w:fldCharType="end"/>
      </w:r>
      <w:r w:rsidRPr="0002744D">
        <w:t>.  The Court</w:t>
      </w:r>
      <w:r w:rsidRPr="0002744D" w:rsidR="0002744D">
        <w:t>’</w:t>
      </w:r>
      <w:r w:rsidRPr="0002744D">
        <w:t>s judgment identifies three initial tiers to the procedure by which conscientious objector status is adjudicated in the Russian Federation: the military recruitment commission, the first-instance court of general jurisdiction before which the commission</w:t>
      </w:r>
      <w:r w:rsidRPr="0002744D" w:rsidR="0002744D">
        <w:t>’</w:t>
      </w:r>
      <w:r w:rsidRPr="0002744D">
        <w:t>s decision can be challenged under Chapter 22 of the Code of Administrative Procedure, and the appellate court to which the first-instance judgment can be appealed (see paragraphs 20-25, 29-33 and 76-77). We consider that, as a matter of fact, the review of the applicant</w:t>
      </w:r>
      <w:r w:rsidRPr="0002744D" w:rsidR="0002744D">
        <w:t>’</w:t>
      </w:r>
      <w:r w:rsidRPr="0002744D">
        <w:t>s request to undertake civilian service was ineffective at each of these tiers.</w:t>
      </w:r>
    </w:p>
    <w:p w:rsidRPr="0002744D" w:rsidR="003C3F94" w:rsidP="0002744D" w:rsidRDefault="003C3F94">
      <w:pPr>
        <w:pStyle w:val="ECHRPara"/>
      </w:pPr>
      <w:r w:rsidRPr="0002744D">
        <w:fldChar w:fldCharType="begin"/>
      </w:r>
      <w:r w:rsidRPr="0002744D">
        <w:instrText xml:space="preserve"> SEQ level0 \*arabic </w:instrText>
      </w:r>
      <w:r w:rsidRPr="0002744D">
        <w:fldChar w:fldCharType="separate"/>
      </w:r>
      <w:r w:rsidRPr="0002744D" w:rsidR="0002744D">
        <w:rPr>
          <w:noProof/>
        </w:rPr>
        <w:t>14</w:t>
      </w:r>
      <w:r w:rsidRPr="0002744D">
        <w:fldChar w:fldCharType="end"/>
      </w:r>
      <w:r w:rsidRPr="0002744D">
        <w:t>.  We begin our evaluation with the commission</w:t>
      </w:r>
      <w:r w:rsidRPr="0002744D" w:rsidR="0002744D">
        <w:t>’</w:t>
      </w:r>
      <w:r w:rsidRPr="0002744D">
        <w:t>s handling of the request. It is apparent from the Court</w:t>
      </w:r>
      <w:r w:rsidRPr="0002744D" w:rsidR="0002744D">
        <w:t>’</w:t>
      </w:r>
      <w:r w:rsidRPr="0002744D">
        <w:t>s account of the commission</w:t>
      </w:r>
      <w:r w:rsidRPr="0002744D" w:rsidR="0002744D">
        <w:t>’</w:t>
      </w:r>
      <w:r w:rsidRPr="0002744D">
        <w:t>s reasoning that the commission confined itself to examining the curriculum vitae and the letter of recommendation adduced by the applicant (see paragraphs 9 and 11 of the judgment).</w:t>
      </w:r>
    </w:p>
    <w:p w:rsidRPr="0002744D" w:rsidR="003C3F94" w:rsidP="0002744D" w:rsidRDefault="003C3F94">
      <w:pPr>
        <w:pStyle w:val="ECHRPara"/>
      </w:pPr>
      <w:r w:rsidRPr="0002744D">
        <w:fldChar w:fldCharType="begin"/>
      </w:r>
      <w:r w:rsidRPr="0002744D">
        <w:instrText xml:space="preserve"> SEQ level0 \*arabic </w:instrText>
      </w:r>
      <w:r w:rsidRPr="0002744D">
        <w:fldChar w:fldCharType="separate"/>
      </w:r>
      <w:r w:rsidRPr="0002744D" w:rsidR="0002744D">
        <w:rPr>
          <w:noProof/>
        </w:rPr>
        <w:t>15</w:t>
      </w:r>
      <w:r w:rsidRPr="0002744D">
        <w:fldChar w:fldCharType="end"/>
      </w:r>
      <w:r w:rsidRPr="0002744D">
        <w:t xml:space="preserve">.  In the light of the principle of subsidiarity, it is not usually for judges of this Court to question the assessment of evidence by domestic authorities (see, for example, </w:t>
      </w:r>
      <w:proofErr w:type="spellStart"/>
      <w:r w:rsidRPr="0002744D">
        <w:rPr>
          <w:i/>
        </w:rPr>
        <w:t>Sisojeva</w:t>
      </w:r>
      <w:proofErr w:type="spellEnd"/>
      <w:r w:rsidRPr="0002744D">
        <w:rPr>
          <w:i/>
        </w:rPr>
        <w:t xml:space="preserve"> and Others v. Latvia </w:t>
      </w:r>
      <w:r w:rsidRPr="0002744D">
        <w:t>(striking out) [GC], no. 60654/00, § 89, ECHR 2007</w:t>
      </w:r>
      <w:r w:rsidRPr="0002744D">
        <w:noBreakHyphen/>
        <w:t>I). However, by confining itself as it did, the commission acted arbitrarily. It could not have properly weighed up the evidence before it without regard to the alleged spontaneity of the applicant</w:t>
      </w:r>
      <w:r w:rsidRPr="0002744D" w:rsidR="0002744D">
        <w:t>’</w:t>
      </w:r>
      <w:r w:rsidRPr="0002744D">
        <w:t>s conversion to pacifism, which might explain the lack of reference to this belief in the documents. Equally, it could not have fairly come to a conclusion as to the truthfulness of the applicant</w:t>
      </w:r>
      <w:r w:rsidRPr="0002744D" w:rsidR="0002744D">
        <w:t>’</w:t>
      </w:r>
      <w:r w:rsidRPr="0002744D">
        <w:t>s belief without taking account of his willingness to complete a term of civilian service longer than the term of military service that he would otherwise have performed. According to information available to the Court, the term of civilian service performed by conscripts in the Russian Federation is generally half or three quarters as long again as the term of military service.</w:t>
      </w:r>
    </w:p>
    <w:p w:rsidRPr="0002744D" w:rsidR="003C3F94" w:rsidP="0002744D" w:rsidRDefault="003C3F94">
      <w:pPr>
        <w:pStyle w:val="ECHRPara"/>
      </w:pPr>
      <w:r w:rsidRPr="0002744D">
        <w:fldChar w:fldCharType="begin"/>
      </w:r>
      <w:r w:rsidRPr="0002744D">
        <w:instrText xml:space="preserve"> SEQ level0 \*arabic </w:instrText>
      </w:r>
      <w:r w:rsidRPr="0002744D">
        <w:fldChar w:fldCharType="separate"/>
      </w:r>
      <w:r w:rsidRPr="0002744D" w:rsidR="0002744D">
        <w:rPr>
          <w:noProof/>
        </w:rPr>
        <w:t>16</w:t>
      </w:r>
      <w:r w:rsidRPr="0002744D">
        <w:fldChar w:fldCharType="end"/>
      </w:r>
      <w:r w:rsidRPr="0002744D">
        <w:t>.  These faults were also displayed in the judgment of the first-instance court to which the applicant complained about the commission</w:t>
      </w:r>
      <w:r w:rsidRPr="0002744D" w:rsidR="0002744D">
        <w:t>’</w:t>
      </w:r>
      <w:r w:rsidRPr="0002744D">
        <w:t>s decision; in addition, that court fell into even graver error by suggesting that “spontaneously crystallised convictions cannot serve as grounds for requesting permission to perform alternative civilian service” (see paragraphs 12 and 14 of the judgment).</w:t>
      </w:r>
    </w:p>
    <w:p w:rsidRPr="0002744D" w:rsidR="003C3F94" w:rsidP="0002744D" w:rsidRDefault="003C3F94">
      <w:pPr>
        <w:pStyle w:val="ECHRPara"/>
      </w:pPr>
      <w:r w:rsidRPr="0002744D">
        <w:fldChar w:fldCharType="begin"/>
      </w:r>
      <w:r w:rsidRPr="0002744D">
        <w:instrText xml:space="preserve"> SEQ level0 \*arabic </w:instrText>
      </w:r>
      <w:r w:rsidRPr="0002744D">
        <w:fldChar w:fldCharType="separate"/>
      </w:r>
      <w:r w:rsidRPr="0002744D" w:rsidR="0002744D">
        <w:rPr>
          <w:noProof/>
        </w:rPr>
        <w:t>17</w:t>
      </w:r>
      <w:r w:rsidRPr="0002744D">
        <w:fldChar w:fldCharType="end"/>
      </w:r>
      <w:r w:rsidRPr="0002744D">
        <w:t xml:space="preserve">.  We accept that, as the Supreme Court of the United States of America has held, the belatedness of a claim that an individual has a conscientious objection “might cast doubt upon” its “genuineness” (see </w:t>
      </w:r>
      <w:proofErr w:type="spellStart"/>
      <w:r w:rsidRPr="0002744D">
        <w:rPr>
          <w:i/>
        </w:rPr>
        <w:t>Ehlert</w:t>
      </w:r>
      <w:proofErr w:type="spellEnd"/>
      <w:r w:rsidRPr="0002744D">
        <w:rPr>
          <w:i/>
        </w:rPr>
        <w:t xml:space="preserve"> v. United States</w:t>
      </w:r>
      <w:r w:rsidRPr="0002744D">
        <w:t>, 402 US 99 (1971), 103-104). But we also agree with the US Supreme Court that “there is no reason to suppose that such claims could not be every bit as bona fide and substantial as the claims of those whose conscientious objection ripens” earlier (</w:t>
      </w:r>
      <w:proofErr w:type="gramStart"/>
      <w:r w:rsidRPr="0002744D">
        <w:t>ibid.,</w:t>
      </w:r>
      <w:proofErr w:type="gramEnd"/>
      <w:r w:rsidRPr="0002744D">
        <w:t xml:space="preserve"> 104). We are constrained to conclude that the generalised reasoning of the </w:t>
      </w:r>
      <w:proofErr w:type="spellStart"/>
      <w:r w:rsidRPr="0002744D">
        <w:t>Frunzenskiy</w:t>
      </w:r>
      <w:proofErr w:type="spellEnd"/>
      <w:r w:rsidRPr="0002744D">
        <w:t xml:space="preserve"> District Court of St Petersburg was baseless and thus arbitrary.</w:t>
      </w:r>
    </w:p>
    <w:p w:rsidRPr="0002744D" w:rsidR="00736500" w:rsidP="0002744D" w:rsidRDefault="003C3F94">
      <w:pPr>
        <w:pStyle w:val="ECHRPara"/>
      </w:pPr>
      <w:r w:rsidRPr="0002744D">
        <w:fldChar w:fldCharType="begin"/>
      </w:r>
      <w:r w:rsidRPr="0002744D">
        <w:instrText xml:space="preserve"> SEQ level0 \*arabic </w:instrText>
      </w:r>
      <w:r w:rsidRPr="0002744D">
        <w:fldChar w:fldCharType="separate"/>
      </w:r>
      <w:r w:rsidRPr="0002744D" w:rsidR="0002744D">
        <w:rPr>
          <w:noProof/>
        </w:rPr>
        <w:t>18</w:t>
      </w:r>
      <w:r w:rsidRPr="0002744D">
        <w:fldChar w:fldCharType="end"/>
      </w:r>
      <w:r w:rsidRPr="0002744D">
        <w:t>.  On appeal to the St Petersburg City Court, this troubling aspect of the first-instance judgment was not disapproved. Moreover, the applicant</w:t>
      </w:r>
      <w:r w:rsidRPr="0002744D" w:rsidR="0002744D">
        <w:t>’</w:t>
      </w:r>
      <w:r w:rsidRPr="0002744D">
        <w:t>s explanation of the spontaneity of his conversion and his willingness to serve for a longer period were ignored. The City Court</w:t>
      </w:r>
      <w:r w:rsidRPr="0002744D" w:rsidDel="00B638AD">
        <w:t xml:space="preserve"> </w:t>
      </w:r>
      <w:r w:rsidRPr="0002744D">
        <w:t xml:space="preserve">even stated that the applicant had done no more than “simply indicate” </w:t>
      </w:r>
      <w:proofErr w:type="gramStart"/>
      <w:r w:rsidRPr="0002744D">
        <w:t>an</w:t>
      </w:r>
      <w:proofErr w:type="gramEnd"/>
      <w:r w:rsidRPr="0002744D">
        <w:t xml:space="preserve"> unwillingness to perform military service (see paragraph 15 of the judgment). For the reasons given above, such treatment of the applicant</w:t>
      </w:r>
      <w:r w:rsidRPr="0002744D" w:rsidR="0002744D">
        <w:t>’</w:t>
      </w:r>
      <w:r w:rsidRPr="0002744D">
        <w:t>s request was arbitrary.</w:t>
      </w:r>
    </w:p>
    <w:p w:rsidRPr="0002744D" w:rsidR="003C3F94" w:rsidP="0002744D" w:rsidRDefault="003C3F94">
      <w:pPr>
        <w:pStyle w:val="ECHRPara"/>
      </w:pPr>
      <w:r w:rsidRPr="0002744D">
        <w:fldChar w:fldCharType="begin"/>
      </w:r>
      <w:r w:rsidRPr="0002744D">
        <w:instrText xml:space="preserve"> SEQ level0 \*arabic </w:instrText>
      </w:r>
      <w:r w:rsidRPr="0002744D">
        <w:fldChar w:fldCharType="separate"/>
      </w:r>
      <w:r w:rsidRPr="0002744D" w:rsidR="0002744D">
        <w:rPr>
          <w:noProof/>
        </w:rPr>
        <w:t>19</w:t>
      </w:r>
      <w:r w:rsidRPr="0002744D">
        <w:fldChar w:fldCharType="end"/>
      </w:r>
      <w:r w:rsidRPr="0002744D">
        <w:t xml:space="preserve">.  We readily accept that the High Contracting Parties are entitled to assess the seriousness of an alleged conscientious objection in order to thwart attempted abuse of the possibility of an exemption by those who are in fact able to perform military service (see </w:t>
      </w:r>
      <w:proofErr w:type="spellStart"/>
      <w:r w:rsidRPr="0002744D">
        <w:rPr>
          <w:i/>
        </w:rPr>
        <w:t>Papavasilakis</w:t>
      </w:r>
      <w:proofErr w:type="spellEnd"/>
      <w:r w:rsidRPr="0002744D">
        <w:rPr>
          <w:i/>
        </w:rPr>
        <w:t xml:space="preserve"> v. Greece</w:t>
      </w:r>
      <w:r w:rsidRPr="0002744D">
        <w:t xml:space="preserve">, no. 66899/14, § 54, 15 September 2016). However, we are of the opinion that the assessment undertaken by the first three tiers of the domestic procedure was </w:t>
      </w:r>
      <w:r w:rsidRPr="0002744D">
        <w:rPr>
          <w:lang w:val="en-US"/>
        </w:rPr>
        <w:t>arbitrary and therefore ineffective</w:t>
      </w:r>
      <w:r w:rsidRPr="0002744D">
        <w:t>.</w:t>
      </w:r>
    </w:p>
    <w:p w:rsidRPr="0002744D" w:rsidR="003C3F94" w:rsidP="0002744D" w:rsidRDefault="003C3F94">
      <w:pPr>
        <w:pStyle w:val="ECHRPara"/>
      </w:pPr>
    </w:p>
    <w:p w:rsidRPr="0002744D" w:rsidR="003C3F94" w:rsidP="0002744D" w:rsidRDefault="003C3F94">
      <w:pPr>
        <w:pStyle w:val="ECHRPara"/>
        <w:rPr>
          <w:b/>
          <w:bCs/>
        </w:rPr>
      </w:pPr>
      <w:r w:rsidRPr="0002744D">
        <w:rPr>
          <w:b/>
          <w:bCs/>
        </w:rPr>
        <w:t>The appropriate standard of proof</w:t>
      </w:r>
    </w:p>
    <w:p w:rsidRPr="0002744D" w:rsidR="003C3F94" w:rsidP="0002744D" w:rsidRDefault="003C3F94">
      <w:pPr>
        <w:pStyle w:val="ECHRPara"/>
        <w:rPr>
          <w:b/>
          <w:bCs/>
        </w:rPr>
      </w:pPr>
    </w:p>
    <w:p w:rsidRPr="0002744D" w:rsidR="003C3F94" w:rsidP="0002744D" w:rsidRDefault="003C3F94">
      <w:pPr>
        <w:pStyle w:val="ECHRPara"/>
      </w:pPr>
      <w:r w:rsidRPr="0002744D">
        <w:fldChar w:fldCharType="begin"/>
      </w:r>
      <w:r w:rsidRPr="0002744D">
        <w:instrText xml:space="preserve"> SEQ level0 \*arabic </w:instrText>
      </w:r>
      <w:r w:rsidRPr="0002744D">
        <w:fldChar w:fldCharType="separate"/>
      </w:r>
      <w:r w:rsidRPr="0002744D" w:rsidR="0002744D">
        <w:rPr>
          <w:noProof/>
        </w:rPr>
        <w:t>20</w:t>
      </w:r>
      <w:r w:rsidRPr="0002744D">
        <w:fldChar w:fldCharType="end"/>
      </w:r>
      <w:r w:rsidRPr="0002744D">
        <w:t>.  We are also concerned that this assessment was based on an overly burdensome standard of proof. There is an emerging trend away from such approaches both within Europe and internationally.</w:t>
      </w:r>
    </w:p>
    <w:p w:rsidRPr="0002744D" w:rsidR="003C3F94" w:rsidP="0002744D" w:rsidRDefault="003C3F94">
      <w:pPr>
        <w:pStyle w:val="ECHRPara"/>
      </w:pPr>
      <w:r w:rsidRPr="0002744D">
        <w:fldChar w:fldCharType="begin"/>
      </w:r>
      <w:r w:rsidRPr="0002744D">
        <w:instrText xml:space="preserve"> SEQ level0 \*arabic </w:instrText>
      </w:r>
      <w:r w:rsidRPr="0002744D">
        <w:fldChar w:fldCharType="separate"/>
      </w:r>
      <w:r w:rsidRPr="0002744D" w:rsidR="0002744D">
        <w:rPr>
          <w:noProof/>
        </w:rPr>
        <w:t>21</w:t>
      </w:r>
      <w:r w:rsidRPr="0002744D">
        <w:fldChar w:fldCharType="end"/>
      </w:r>
      <w:r w:rsidRPr="0002744D">
        <w:t>.  Indeed, in its resolution 24/17, the United Nations Human Rights Council “welcomed the practice of some States accepting claims of conscientious objection as valid without any inquiry process”, while the European Parliament and the former United Nations Commission on Human Rights have also endorsed this approach, which has been adopted by certain High Contracting Parties: Austria, Norway, and Switzerland (see the Report of the Office of the United Nations High Commissioner for Human Rights on “Approaches and challenges with regard to application procedures for obtaining the status of conscientious objector to military service in accordance with human rights standards”, §§ 10-12, 24 May 2019, A/HRC/41/23).</w:t>
      </w:r>
    </w:p>
    <w:p w:rsidRPr="0002744D" w:rsidR="003C3F94" w:rsidP="0002744D" w:rsidRDefault="003C3F94">
      <w:pPr>
        <w:pStyle w:val="ECHRPara"/>
      </w:pPr>
      <w:r w:rsidRPr="0002744D">
        <w:fldChar w:fldCharType="begin"/>
      </w:r>
      <w:r w:rsidRPr="0002744D">
        <w:instrText xml:space="preserve"> SEQ level0 \*arabic </w:instrText>
      </w:r>
      <w:r w:rsidRPr="0002744D">
        <w:fldChar w:fldCharType="separate"/>
      </w:r>
      <w:r w:rsidRPr="0002744D" w:rsidR="0002744D">
        <w:rPr>
          <w:noProof/>
        </w:rPr>
        <w:t>22</w:t>
      </w:r>
      <w:r w:rsidRPr="0002744D">
        <w:fldChar w:fldCharType="end"/>
      </w:r>
      <w:r w:rsidRPr="0002744D">
        <w:t xml:space="preserve">.  Moreover, the genuineness of belief has not been contested in the proceedings involving the Republic of Korea in the United Nations Human Rights Committee (see, for example, </w:t>
      </w:r>
      <w:r w:rsidRPr="0002744D">
        <w:rPr>
          <w:i/>
        </w:rPr>
        <w:t>Kim et al. v. Republic of Korea</w:t>
      </w:r>
      <w:r w:rsidRPr="0002744D">
        <w:t xml:space="preserve">, § 7.4, 14 January 2015, CCPR/C/112/D/2179/2012). The Court referred to this jurisprudence in </w:t>
      </w:r>
      <w:proofErr w:type="spellStart"/>
      <w:r w:rsidRPr="0002744D">
        <w:rPr>
          <w:i/>
        </w:rPr>
        <w:t>Bayatyan</w:t>
      </w:r>
      <w:proofErr w:type="spellEnd"/>
      <w:r w:rsidRPr="0002744D">
        <w:rPr>
          <w:i/>
        </w:rPr>
        <w:t xml:space="preserve"> v. Armenia</w:t>
      </w:r>
      <w:r w:rsidRPr="0002744D">
        <w:t xml:space="preserve"> ([GC], no. 23459/03, § 63, ECHR 2011).</w:t>
      </w:r>
    </w:p>
    <w:p w:rsidRPr="0002744D" w:rsidR="003C3F94" w:rsidP="0002744D" w:rsidRDefault="003C3F94">
      <w:pPr>
        <w:pStyle w:val="ECHRPara"/>
      </w:pPr>
      <w:r w:rsidRPr="0002744D">
        <w:fldChar w:fldCharType="begin"/>
      </w:r>
      <w:r w:rsidRPr="0002744D">
        <w:instrText xml:space="preserve"> SEQ level0 \*arabic </w:instrText>
      </w:r>
      <w:r w:rsidRPr="0002744D">
        <w:fldChar w:fldCharType="separate"/>
      </w:r>
      <w:r w:rsidRPr="0002744D" w:rsidR="0002744D">
        <w:rPr>
          <w:noProof/>
        </w:rPr>
        <w:t>23</w:t>
      </w:r>
      <w:r w:rsidRPr="0002744D">
        <w:fldChar w:fldCharType="end"/>
      </w:r>
      <w:r w:rsidRPr="0002744D">
        <w:t xml:space="preserve">.  This is also a feature of the Views on individual communications about Turkish conduct (see </w:t>
      </w:r>
      <w:proofErr w:type="spellStart"/>
      <w:r w:rsidRPr="0002744D">
        <w:rPr>
          <w:i/>
        </w:rPr>
        <w:t>Atasoy</w:t>
      </w:r>
      <w:proofErr w:type="spellEnd"/>
      <w:r w:rsidRPr="0002744D">
        <w:rPr>
          <w:i/>
        </w:rPr>
        <w:t xml:space="preserve"> and </w:t>
      </w:r>
      <w:proofErr w:type="spellStart"/>
      <w:r w:rsidRPr="0002744D">
        <w:rPr>
          <w:i/>
        </w:rPr>
        <w:t>Sarkut</w:t>
      </w:r>
      <w:proofErr w:type="spellEnd"/>
      <w:r w:rsidRPr="0002744D">
        <w:rPr>
          <w:i/>
        </w:rPr>
        <w:t xml:space="preserve"> v. Turkey</w:t>
      </w:r>
      <w:r w:rsidRPr="0002744D">
        <w:t>, § 10.5, 19 June 2012, CCPR/C/104/D/1853-1854/2008).</w:t>
      </w:r>
    </w:p>
    <w:p w:rsidRPr="0002744D" w:rsidR="003C3F94" w:rsidP="0002744D" w:rsidRDefault="003C3F94">
      <w:pPr>
        <w:pStyle w:val="ECHRPara"/>
      </w:pPr>
      <w:r w:rsidRPr="0002744D">
        <w:fldChar w:fldCharType="begin"/>
      </w:r>
      <w:r w:rsidRPr="0002744D">
        <w:instrText xml:space="preserve"> SEQ level0 \*arabic </w:instrText>
      </w:r>
      <w:r w:rsidRPr="0002744D">
        <w:fldChar w:fldCharType="separate"/>
      </w:r>
      <w:r w:rsidRPr="0002744D" w:rsidR="0002744D">
        <w:rPr>
          <w:noProof/>
        </w:rPr>
        <w:t>24</w:t>
      </w:r>
      <w:r w:rsidRPr="0002744D">
        <w:fldChar w:fldCharType="end"/>
      </w:r>
      <w:r w:rsidRPr="0002744D">
        <w:t xml:space="preserve">.  Although it is true that the individuals in </w:t>
      </w:r>
      <w:r w:rsidRPr="0002744D">
        <w:rPr>
          <w:i/>
        </w:rPr>
        <w:t xml:space="preserve">Kim et al. </w:t>
      </w:r>
      <w:r w:rsidRPr="0002744D">
        <w:t xml:space="preserve">and </w:t>
      </w:r>
      <w:proofErr w:type="spellStart"/>
      <w:r w:rsidRPr="0002744D">
        <w:rPr>
          <w:i/>
        </w:rPr>
        <w:t>Atasoy</w:t>
      </w:r>
      <w:proofErr w:type="spellEnd"/>
      <w:r w:rsidRPr="0002744D">
        <w:rPr>
          <w:i/>
        </w:rPr>
        <w:t xml:space="preserve"> and </w:t>
      </w:r>
      <w:proofErr w:type="spellStart"/>
      <w:r w:rsidRPr="0002744D">
        <w:rPr>
          <w:i/>
        </w:rPr>
        <w:t>Sarkut</w:t>
      </w:r>
      <w:proofErr w:type="spellEnd"/>
      <w:r w:rsidRPr="0002744D">
        <w:t xml:space="preserve"> were Jehovah</w:t>
      </w:r>
      <w:r w:rsidRPr="0002744D" w:rsidR="0002744D">
        <w:t>’</w:t>
      </w:r>
      <w:r w:rsidRPr="0002744D">
        <w:t xml:space="preserve">s Witnesses, the Human Rights Committee has made it clear that States “should give equal treatment” to all alleged conscientious objectors (see </w:t>
      </w:r>
      <w:proofErr w:type="spellStart"/>
      <w:r w:rsidRPr="0002744D">
        <w:rPr>
          <w:i/>
        </w:rPr>
        <w:t>Brinkhof</w:t>
      </w:r>
      <w:proofErr w:type="spellEnd"/>
      <w:r w:rsidRPr="0002744D">
        <w:rPr>
          <w:i/>
        </w:rPr>
        <w:t xml:space="preserve"> v. the Netherlands</w:t>
      </w:r>
      <w:r w:rsidRPr="0002744D">
        <w:t>, § 9.4, 27 July 1993, CCPR/C/48/D/402/1990).</w:t>
      </w:r>
    </w:p>
    <w:p w:rsidRPr="0002744D" w:rsidR="003C3F94" w:rsidP="0002744D" w:rsidRDefault="003C3F94">
      <w:pPr>
        <w:pStyle w:val="ECHRPara"/>
      </w:pPr>
      <w:r w:rsidRPr="0002744D">
        <w:fldChar w:fldCharType="begin"/>
      </w:r>
      <w:r w:rsidRPr="0002744D">
        <w:instrText xml:space="preserve"> SEQ level0 \*arabic </w:instrText>
      </w:r>
      <w:r w:rsidRPr="0002744D">
        <w:fldChar w:fldCharType="separate"/>
      </w:r>
      <w:r w:rsidRPr="0002744D" w:rsidR="0002744D">
        <w:rPr>
          <w:noProof/>
        </w:rPr>
        <w:t>25</w:t>
      </w:r>
      <w:r w:rsidRPr="0002744D">
        <w:fldChar w:fldCharType="end"/>
      </w:r>
      <w:r w:rsidRPr="0002744D">
        <w:t>.  In line with this trend, we consider that, having chosen to assess the applicant</w:t>
      </w:r>
      <w:r w:rsidRPr="0002744D" w:rsidR="0002744D">
        <w:t>’</w:t>
      </w:r>
      <w:r w:rsidRPr="0002744D">
        <w:t>s belief, the national authorities were erroneously rigorous at the initial three tiers of the domestic procedure. They ought to have given due consideration to factors such as his willingness to accept the alternative of civilian service, regarding them as significant (albeit perhaps not decisive) evidence of the veracity of his belief.</w:t>
      </w:r>
    </w:p>
    <w:p w:rsidRPr="0002744D" w:rsidR="003C3F94" w:rsidP="0002744D" w:rsidRDefault="003C3F94">
      <w:pPr>
        <w:pStyle w:val="ECHRPara"/>
      </w:pPr>
    </w:p>
    <w:p w:rsidRPr="0002744D" w:rsidR="003C3F94" w:rsidP="0002744D" w:rsidRDefault="003C3F94">
      <w:pPr>
        <w:pStyle w:val="ECHRPara"/>
        <w:rPr>
          <w:b/>
          <w:bCs/>
        </w:rPr>
      </w:pPr>
      <w:r w:rsidRPr="0002744D">
        <w:rPr>
          <w:b/>
          <w:bCs/>
        </w:rPr>
        <w:t>The ineffective cassation proceedings</w:t>
      </w:r>
    </w:p>
    <w:p w:rsidRPr="0002744D" w:rsidR="003C3F94" w:rsidP="0002744D" w:rsidRDefault="003C3F94">
      <w:pPr>
        <w:pStyle w:val="ECHRPara"/>
        <w:rPr>
          <w:b/>
          <w:bCs/>
        </w:rPr>
      </w:pPr>
    </w:p>
    <w:p w:rsidRPr="0002744D" w:rsidR="00736500" w:rsidP="0002744D" w:rsidRDefault="003C3F94">
      <w:pPr>
        <w:pStyle w:val="ECHRPara"/>
      </w:pPr>
      <w:r w:rsidRPr="0002744D">
        <w:fldChar w:fldCharType="begin"/>
      </w:r>
      <w:r w:rsidRPr="0002744D">
        <w:instrText xml:space="preserve"> SEQ level0 \*arabic </w:instrText>
      </w:r>
      <w:r w:rsidRPr="0002744D">
        <w:fldChar w:fldCharType="separate"/>
      </w:r>
      <w:r w:rsidRPr="0002744D" w:rsidR="0002744D">
        <w:rPr>
          <w:noProof/>
        </w:rPr>
        <w:t>26</w:t>
      </w:r>
      <w:r w:rsidRPr="0002744D">
        <w:fldChar w:fldCharType="end"/>
      </w:r>
      <w:r w:rsidRPr="0002744D">
        <w:t>.  We note that the applicant lodged cassation appeals (see paragraph 16 of the judgment). Contrary to the Court</w:t>
      </w:r>
      <w:r w:rsidRPr="0002744D" w:rsidR="0002744D">
        <w:t>’</w:t>
      </w:r>
      <w:r w:rsidRPr="0002744D">
        <w:t>s suggestion at paragraph 78 of the judgment, we are of the view that the additional two-tier review in cassation proceedings before the regional courts and the Supreme Court is structurally ineffective.</w:t>
      </w:r>
    </w:p>
    <w:p w:rsidRPr="0002744D" w:rsidR="003C3F94" w:rsidP="0002744D" w:rsidRDefault="003C3F94">
      <w:pPr>
        <w:pStyle w:val="ECHRPara"/>
      </w:pPr>
      <w:r w:rsidRPr="0002744D">
        <w:fldChar w:fldCharType="begin"/>
      </w:r>
      <w:r w:rsidRPr="0002744D">
        <w:instrText xml:space="preserve"> SEQ level0 \*arabic </w:instrText>
      </w:r>
      <w:r w:rsidRPr="0002744D">
        <w:fldChar w:fldCharType="separate"/>
      </w:r>
      <w:r w:rsidRPr="0002744D" w:rsidR="0002744D">
        <w:rPr>
          <w:noProof/>
        </w:rPr>
        <w:t>27</w:t>
      </w:r>
      <w:r w:rsidRPr="0002744D">
        <w:fldChar w:fldCharType="end"/>
      </w:r>
      <w:r w:rsidRPr="0002744D">
        <w:t xml:space="preserve">.  Since the cassation proceedings are without suspensive effect, they can only determine conscientious objector status </w:t>
      </w:r>
      <w:r w:rsidRPr="0002744D">
        <w:rPr>
          <w:i/>
        </w:rPr>
        <w:t>after</w:t>
      </w:r>
      <w:r w:rsidRPr="0002744D">
        <w:t xml:space="preserve"> the commission</w:t>
      </w:r>
      <w:r w:rsidRPr="0002744D" w:rsidR="0002744D">
        <w:t>’</w:t>
      </w:r>
      <w:r w:rsidRPr="0002744D">
        <w:t>s decision has taken effect. It follows that individuals seeking this status may be required to perform military service in the interim. If it is subsequently accepted that these individuals are indeed conscientious objectors, then they will have suffered precisely the violation of rights under Article 9 that is meant to be avoided. As a matter of principle, such cassation proceedings cannot form part of the effective and accessible procedure that Article 9 warrants (compare</w:t>
      </w:r>
      <w:r w:rsidRPr="0002744D">
        <w:rPr>
          <w:i/>
        </w:rPr>
        <w:t xml:space="preserve"> DELTA PEKÁRNY </w:t>
      </w:r>
      <w:proofErr w:type="spellStart"/>
      <w:proofErr w:type="gramStart"/>
      <w:r w:rsidRPr="0002744D">
        <w:rPr>
          <w:i/>
        </w:rPr>
        <w:t>a.s</w:t>
      </w:r>
      <w:proofErr w:type="spellEnd"/>
      <w:proofErr w:type="gramEnd"/>
      <w:r w:rsidRPr="0002744D">
        <w:rPr>
          <w:i/>
        </w:rPr>
        <w:t>. v. the Czech Republic</w:t>
      </w:r>
      <w:r w:rsidRPr="0002744D">
        <w:t>, no. 97/11, §§ 92-93, 2 October 2014).</w:t>
      </w:r>
    </w:p>
    <w:p w:rsidRPr="0002744D" w:rsidR="003C3F94" w:rsidP="0002744D" w:rsidRDefault="003C3F94">
      <w:pPr>
        <w:pStyle w:val="ECHRPara"/>
      </w:pPr>
    </w:p>
    <w:p w:rsidRPr="0002744D" w:rsidR="003C3F94" w:rsidP="0002744D" w:rsidRDefault="003C3F94">
      <w:pPr>
        <w:pStyle w:val="ECHRPara"/>
        <w:rPr>
          <w:b/>
          <w:bCs/>
        </w:rPr>
      </w:pPr>
      <w:r w:rsidRPr="0002744D">
        <w:rPr>
          <w:b/>
          <w:bCs/>
          <w:lang w:val="en-US"/>
        </w:rPr>
        <w:t>Observations of a general nature</w:t>
      </w:r>
    </w:p>
    <w:p w:rsidRPr="0002744D" w:rsidR="003C3F94" w:rsidP="0002744D" w:rsidRDefault="003C3F94">
      <w:pPr>
        <w:pStyle w:val="ECHRPara"/>
        <w:rPr>
          <w:b/>
          <w:bCs/>
        </w:rPr>
      </w:pPr>
    </w:p>
    <w:p w:rsidRPr="0002744D" w:rsidR="003C3F94" w:rsidP="0002744D" w:rsidRDefault="003C3F94">
      <w:pPr>
        <w:pStyle w:val="ECHRPara"/>
      </w:pPr>
      <w:r w:rsidRPr="0002744D">
        <w:fldChar w:fldCharType="begin"/>
      </w:r>
      <w:r w:rsidRPr="0002744D">
        <w:instrText xml:space="preserve"> SEQ level0 \*arabic </w:instrText>
      </w:r>
      <w:r w:rsidRPr="0002744D">
        <w:fldChar w:fldCharType="separate"/>
      </w:r>
      <w:r w:rsidRPr="0002744D" w:rsidR="0002744D">
        <w:rPr>
          <w:noProof/>
        </w:rPr>
        <w:t>28</w:t>
      </w:r>
      <w:r w:rsidRPr="0002744D">
        <w:fldChar w:fldCharType="end"/>
      </w:r>
      <w:r w:rsidRPr="0002744D">
        <w:t>.  We voted in favour of a finding that Article 9 had been violated in view of the foregoing considerations. Having come to that conclusion, it is strictly unnecessary for us to address the other aspects of the applicant</w:t>
      </w:r>
      <w:r w:rsidRPr="0002744D" w:rsidR="0002744D">
        <w:t>’</w:t>
      </w:r>
      <w:r w:rsidRPr="0002744D">
        <w:t>s argument.</w:t>
      </w:r>
    </w:p>
    <w:p w:rsidRPr="0002744D" w:rsidR="003C3F94" w:rsidP="0002744D" w:rsidRDefault="003C3F94">
      <w:pPr>
        <w:pStyle w:val="ECHRPara"/>
      </w:pPr>
      <w:r w:rsidRPr="0002744D">
        <w:fldChar w:fldCharType="begin"/>
      </w:r>
      <w:r w:rsidRPr="0002744D">
        <w:instrText xml:space="preserve"> SEQ level0 \*arabic </w:instrText>
      </w:r>
      <w:r w:rsidRPr="0002744D">
        <w:fldChar w:fldCharType="separate"/>
      </w:r>
      <w:r w:rsidRPr="0002744D" w:rsidR="0002744D">
        <w:rPr>
          <w:noProof/>
        </w:rPr>
        <w:t>29</w:t>
      </w:r>
      <w:r w:rsidRPr="0002744D">
        <w:fldChar w:fldCharType="end"/>
      </w:r>
      <w:r w:rsidRPr="0002744D">
        <w:t>.  We nevertheless wish to express our regret that the Court did not refrain from coming to a conclusion as to institutional bias against alleged conscientious objectors (see paragraph 81 of the judgment). The Court was unable to resolve the discrepancy in the statistical data on which it comments at paragraphs 79 to 81 of the judgment. It is therefore apparent to us that the extent to which applications for conscientious objector status are successful throughout the Russian Federation remains uncertain.</w:t>
      </w:r>
    </w:p>
    <w:p w:rsidRPr="0002744D" w:rsidR="003C3F94" w:rsidP="0002744D" w:rsidRDefault="003C3F94">
      <w:pPr>
        <w:pStyle w:val="ECHRPara"/>
      </w:pPr>
      <w:r w:rsidRPr="0002744D">
        <w:fldChar w:fldCharType="begin"/>
      </w:r>
      <w:r w:rsidRPr="0002744D">
        <w:instrText xml:space="preserve"> SEQ level0 \*arabic </w:instrText>
      </w:r>
      <w:r w:rsidRPr="0002744D">
        <w:fldChar w:fldCharType="separate"/>
      </w:r>
      <w:r w:rsidRPr="0002744D" w:rsidR="0002744D">
        <w:rPr>
          <w:noProof/>
        </w:rPr>
        <w:t>30</w:t>
      </w:r>
      <w:r w:rsidRPr="0002744D">
        <w:fldChar w:fldCharType="end"/>
      </w:r>
      <w:r w:rsidRPr="0002744D">
        <w:t xml:space="preserve">.  We also observe that the framework governing the composition of the commissions, which is analysed at paragraphs 69 to 75 of the judgment, appears to be less conducive to independence than the framework in certain other High Contracting Parties. The Russian commissions do not include “civil-society representatives with specialist knowledge” and are not “chaired by a legal expert” (contrast </w:t>
      </w:r>
      <w:proofErr w:type="spellStart"/>
      <w:r w:rsidRPr="0002744D">
        <w:rPr>
          <w:i/>
        </w:rPr>
        <w:t>Papavasilakis</w:t>
      </w:r>
      <w:proofErr w:type="spellEnd"/>
      <w:r w:rsidRPr="0002744D">
        <w:t>, cited above, §§ 59-63). The significance of this may be compounded by the power of the commissions to deliver decisions in the absence of a third of their membership, which can leave military officials in the majority, and by the support afforded to the commissions by the military commissariats (see paragraphs 71 and 73-74 of the judgment).</w:t>
      </w:r>
    </w:p>
    <w:p w:rsidRPr="0002744D" w:rsidR="003C3F94" w:rsidP="0002744D" w:rsidRDefault="003C3F94">
      <w:pPr>
        <w:pStyle w:val="ECHRPara"/>
      </w:pPr>
      <w:r w:rsidRPr="0002744D">
        <w:fldChar w:fldCharType="begin"/>
      </w:r>
      <w:r w:rsidRPr="0002744D">
        <w:instrText xml:space="preserve"> SEQ level0 \*arabic </w:instrText>
      </w:r>
      <w:r w:rsidRPr="0002744D">
        <w:fldChar w:fldCharType="separate"/>
      </w:r>
      <w:r w:rsidRPr="0002744D" w:rsidR="0002744D">
        <w:rPr>
          <w:noProof/>
        </w:rPr>
        <w:t>31</w:t>
      </w:r>
      <w:r w:rsidRPr="0002744D">
        <w:fldChar w:fldCharType="end"/>
      </w:r>
      <w:r w:rsidRPr="0002744D">
        <w:t>.  Finally, we note that the applicant</w:t>
      </w:r>
      <w:r w:rsidRPr="0002744D" w:rsidR="0002744D">
        <w:t>’</w:t>
      </w:r>
      <w:r w:rsidRPr="0002744D">
        <w:t>s complaint about the ineffectiveness of judicial remedies under Chapter 22 of the Code of Administrative Procedure (see paragraph 48 of the judgment) does not appear to have been answered at either paragraph 76 or elsewhere in the judgment.</w:t>
      </w:r>
    </w:p>
    <w:p w:rsidRPr="0002744D" w:rsidR="00736500" w:rsidP="0002744D" w:rsidRDefault="003C3F94">
      <w:pPr>
        <w:pStyle w:val="ECHRPara"/>
      </w:pPr>
      <w:r w:rsidRPr="0002744D">
        <w:fldChar w:fldCharType="begin"/>
      </w:r>
      <w:r w:rsidRPr="0002744D">
        <w:instrText xml:space="preserve"> SEQ level0 \*arabic </w:instrText>
      </w:r>
      <w:r w:rsidRPr="0002744D">
        <w:fldChar w:fldCharType="separate"/>
      </w:r>
      <w:r w:rsidRPr="0002744D" w:rsidR="0002744D">
        <w:rPr>
          <w:noProof/>
        </w:rPr>
        <w:t>32</w:t>
      </w:r>
      <w:r w:rsidRPr="0002744D">
        <w:fldChar w:fldCharType="end"/>
      </w:r>
      <w:r w:rsidRPr="0002744D">
        <w:t>.  Each of these matters deserves renewed scrutiny by the Court.</w:t>
      </w:r>
    </w:p>
    <w:p w:rsidRPr="0002744D" w:rsidR="003C3F94" w:rsidP="0002744D" w:rsidRDefault="003C3F94">
      <w:pPr>
        <w:pStyle w:val="ECHRPara"/>
      </w:pPr>
    </w:p>
    <w:p w:rsidRPr="0002744D" w:rsidR="003C3F94" w:rsidP="0002744D" w:rsidRDefault="003C3F94">
      <w:pPr>
        <w:pStyle w:val="ECHRPara"/>
        <w:rPr>
          <w:b/>
          <w:bCs/>
        </w:rPr>
      </w:pPr>
      <w:r w:rsidRPr="0002744D">
        <w:rPr>
          <w:b/>
          <w:bCs/>
        </w:rPr>
        <w:t>Conclusion</w:t>
      </w:r>
    </w:p>
    <w:p w:rsidRPr="0002744D" w:rsidR="003C3F94" w:rsidP="0002744D" w:rsidRDefault="003C3F94">
      <w:pPr>
        <w:pStyle w:val="ECHRPara"/>
        <w:rPr>
          <w:b/>
          <w:bCs/>
        </w:rPr>
      </w:pPr>
    </w:p>
    <w:p w:rsidRPr="0002744D" w:rsidR="006266E7" w:rsidP="0002744D" w:rsidRDefault="003C3F94">
      <w:pPr>
        <w:pStyle w:val="ECHRPara"/>
        <w:rPr>
          <w:rStyle w:val="ECHRParaChar1"/>
        </w:rPr>
      </w:pPr>
      <w:r w:rsidRPr="0002744D">
        <w:fldChar w:fldCharType="begin"/>
      </w:r>
      <w:r w:rsidRPr="0002744D">
        <w:instrText xml:space="preserve"> SEQ level0 \*arabic </w:instrText>
      </w:r>
      <w:r w:rsidRPr="0002744D">
        <w:fldChar w:fldCharType="separate"/>
      </w:r>
      <w:r w:rsidRPr="0002744D" w:rsidR="0002744D">
        <w:rPr>
          <w:noProof/>
        </w:rPr>
        <w:t>33</w:t>
      </w:r>
      <w:r w:rsidRPr="0002744D">
        <w:fldChar w:fldCharType="end"/>
      </w:r>
      <w:r w:rsidRPr="0002744D">
        <w:t xml:space="preserve">.  It has been understood for decades that alleged conscientious objectors “whose views are late in crystallising” cannot “be deprived of a full and fair opportunity to present the merits” of their claims (see, for example, the US Supreme Court case of </w:t>
      </w:r>
      <w:proofErr w:type="spellStart"/>
      <w:r w:rsidRPr="0002744D">
        <w:rPr>
          <w:i/>
        </w:rPr>
        <w:t>Ehlert</w:t>
      </w:r>
      <w:proofErr w:type="spellEnd"/>
      <w:r w:rsidRPr="0002744D">
        <w:t>, cited above, 103). It is unfortunate that the Court has failed to follow this wisdom in the present case</w:t>
      </w:r>
      <w:r w:rsidRPr="0002744D">
        <w:rPr>
          <w:rStyle w:val="ECHRParaChar1"/>
        </w:rPr>
        <w:t>.</w:t>
      </w:r>
    </w:p>
    <w:p w:rsidRPr="0002744D" w:rsidR="0002744D" w:rsidP="0002744D" w:rsidRDefault="0002744D">
      <w:pPr>
        <w:pStyle w:val="ECHRPara"/>
      </w:pPr>
    </w:p>
    <w:sectPr w:rsidRPr="0002744D" w:rsidR="0002744D" w:rsidSect="006266E7">
      <w:headerReference w:type="even" r:id="rId13"/>
      <w:headerReference w:type="default" r:id="rId14"/>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C3C" w:rsidRDefault="00647C3C">
      <w:r>
        <w:separator/>
      </w:r>
    </w:p>
  </w:endnote>
  <w:endnote w:type="continuationSeparator" w:id="0">
    <w:p w:rsidR="00647C3C" w:rsidRDefault="00647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C3C" w:rsidRPr="00150BFA" w:rsidRDefault="00647C3C" w:rsidP="003F2557">
    <w:pPr>
      <w:jc w:val="center"/>
    </w:pPr>
    <w:r>
      <w:rPr>
        <w:noProof/>
        <w:lang w:val="en-US" w:eastAsia="ja-JP"/>
      </w:rPr>
      <w:drawing>
        <wp:inline distT="0" distB="0" distL="0" distR="0" wp14:anchorId="13709D42" wp14:editId="624D9D01">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647C3C" w:rsidRDefault="00647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C3C" w:rsidRPr="003152BA" w:rsidRDefault="00647C3C" w:rsidP="00DA4349">
      <w:r w:rsidRPr="003152BA">
        <w:separator/>
      </w:r>
    </w:p>
  </w:footnote>
  <w:footnote w:type="continuationSeparator" w:id="0">
    <w:p w:rsidR="00647C3C" w:rsidRPr="003152BA" w:rsidRDefault="00647C3C" w:rsidP="00DA4349">
      <w:r w:rsidRPr="003152B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C3C" w:rsidRPr="00BB548A" w:rsidRDefault="00647C3C" w:rsidP="00BB548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C3C" w:rsidRPr="00A45145" w:rsidRDefault="00647C3C" w:rsidP="003F2557">
    <w:pPr>
      <w:jc w:val="center"/>
    </w:pPr>
    <w:r>
      <w:rPr>
        <w:noProof/>
        <w:lang w:val="en-US" w:eastAsia="ja-JP"/>
      </w:rPr>
      <w:drawing>
        <wp:inline distT="0" distB="0" distL="0" distR="0" wp14:anchorId="58B6D7BA" wp14:editId="797EE052">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647C3C" w:rsidRDefault="00647C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C3C" w:rsidRPr="00C668EC" w:rsidRDefault="00647C3C" w:rsidP="00714BAB">
    <w:pPr>
      <w:pStyle w:val="ECHRHeader"/>
      <w:tabs>
        <w:tab w:val="center" w:pos="3685"/>
      </w:tabs>
      <w:jc w:val="left"/>
      <w:rPr>
        <w:lang w:val="ru-RU"/>
      </w:rPr>
    </w:pPr>
    <w:r>
      <w:rPr>
        <w:rStyle w:val="PageNumber"/>
        <w:szCs w:val="18"/>
      </w:rPr>
      <w:fldChar w:fldCharType="begin"/>
    </w:r>
    <w:r>
      <w:rPr>
        <w:rStyle w:val="PageNumber"/>
        <w:szCs w:val="18"/>
      </w:rPr>
      <w:instrText xml:space="preserve"> PAGE </w:instrText>
    </w:r>
    <w:r>
      <w:rPr>
        <w:rStyle w:val="PageNumber"/>
        <w:szCs w:val="18"/>
      </w:rPr>
      <w:fldChar w:fldCharType="separate"/>
    </w:r>
    <w:r w:rsidR="0002744D">
      <w:rPr>
        <w:rStyle w:val="PageNumber"/>
        <w:noProof/>
        <w:szCs w:val="18"/>
      </w:rPr>
      <w:t>16</w:t>
    </w:r>
    <w:r>
      <w:rPr>
        <w:rStyle w:val="PageNumber"/>
        <w:szCs w:val="18"/>
      </w:rPr>
      <w:fldChar w:fldCharType="end"/>
    </w:r>
    <w:r w:rsidRPr="003152BA">
      <w:tab/>
    </w:r>
    <w:r>
      <w:t>DYAGILEV v. RUSSIA</w:t>
    </w:r>
    <w:r w:rsidRPr="003152BA">
      <w:t xml:space="preserve"> </w:t>
    </w:r>
    <w:r>
      <w:t xml:space="preserve">JUDGMENT </w:t>
    </w:r>
    <w:r>
      <w:rPr>
        <w:lang w:val="ru-RU"/>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C3C" w:rsidRPr="003152BA" w:rsidRDefault="00647C3C" w:rsidP="006266E7">
    <w:pPr>
      <w:pStyle w:val="ECHRHeader"/>
      <w:tabs>
        <w:tab w:val="center" w:pos="3685"/>
        <w:tab w:val="right" w:pos="7370"/>
      </w:tabs>
    </w:pPr>
    <w:r w:rsidRPr="003152BA">
      <w:tab/>
    </w:r>
    <w:r>
      <w:t>DYAGILEV v. RUSSIA</w:t>
    </w:r>
    <w:r w:rsidRPr="003152BA">
      <w:t xml:space="preserve"> </w:t>
    </w:r>
    <w:r>
      <w:t>JUDGMENT</w:t>
    </w:r>
    <w:r w:rsidRPr="003152BA">
      <w:tab/>
    </w:r>
    <w:r>
      <w:rPr>
        <w:rStyle w:val="PageNumber"/>
        <w:szCs w:val="18"/>
      </w:rPr>
      <w:fldChar w:fldCharType="begin"/>
    </w:r>
    <w:r>
      <w:rPr>
        <w:rStyle w:val="PageNumber"/>
        <w:szCs w:val="18"/>
      </w:rPr>
      <w:instrText xml:space="preserve"> PAGE </w:instrText>
    </w:r>
    <w:r>
      <w:rPr>
        <w:rStyle w:val="PageNumber"/>
        <w:szCs w:val="18"/>
      </w:rPr>
      <w:fldChar w:fldCharType="separate"/>
    </w:r>
    <w:r w:rsidR="0002744D">
      <w:rPr>
        <w:rStyle w:val="PageNumber"/>
        <w:noProof/>
        <w:szCs w:val="18"/>
      </w:rPr>
      <w:t>1</w:t>
    </w:r>
    <w:r>
      <w:rPr>
        <w:rStyle w:val="PageNumber"/>
        <w:szCs w:val="1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C3C" w:rsidRPr="003152BA" w:rsidRDefault="00647C3C" w:rsidP="00696F37">
    <w:pPr>
      <w:pStyle w:val="ECHRHeader"/>
      <w:tabs>
        <w:tab w:val="center" w:pos="3685"/>
      </w:tabs>
      <w:jc w:val="left"/>
    </w:pPr>
    <w:r>
      <w:rPr>
        <w:rStyle w:val="PageNumber"/>
        <w:szCs w:val="18"/>
      </w:rPr>
      <w:fldChar w:fldCharType="begin"/>
    </w:r>
    <w:r>
      <w:rPr>
        <w:rStyle w:val="PageNumber"/>
        <w:szCs w:val="18"/>
      </w:rPr>
      <w:instrText xml:space="preserve"> PAGE </w:instrText>
    </w:r>
    <w:r>
      <w:rPr>
        <w:rStyle w:val="PageNumber"/>
        <w:szCs w:val="18"/>
      </w:rPr>
      <w:fldChar w:fldCharType="separate"/>
    </w:r>
    <w:r w:rsidR="0002744D">
      <w:rPr>
        <w:rStyle w:val="PageNumber"/>
        <w:noProof/>
        <w:szCs w:val="18"/>
      </w:rPr>
      <w:t>24</w:t>
    </w:r>
    <w:r>
      <w:rPr>
        <w:rStyle w:val="PageNumber"/>
        <w:szCs w:val="18"/>
      </w:rPr>
      <w:fldChar w:fldCharType="end"/>
    </w:r>
    <w:r w:rsidRPr="003152BA">
      <w:tab/>
    </w:r>
    <w:r>
      <w:t>DYAGILEV v. RUSSIA</w:t>
    </w:r>
    <w:r w:rsidRPr="003152BA">
      <w:t xml:space="preserve"> </w:t>
    </w:r>
    <w:r>
      <w:t>JUDGMENT - SEPARATE OPINIONS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C3C" w:rsidRPr="003152BA" w:rsidRDefault="00647C3C" w:rsidP="006266E7">
    <w:pPr>
      <w:pStyle w:val="ECHRHeader"/>
      <w:tabs>
        <w:tab w:val="center" w:pos="3685"/>
        <w:tab w:val="right" w:pos="7370"/>
      </w:tabs>
    </w:pPr>
    <w:r w:rsidRPr="003152BA">
      <w:tab/>
    </w:r>
    <w:r>
      <w:t>DYAGILEV v. RUSSIA</w:t>
    </w:r>
    <w:r w:rsidRPr="003152BA">
      <w:t xml:space="preserve"> </w:t>
    </w:r>
    <w:r>
      <w:t>JUDGMENT - SEPARATE OPINIONS</w:t>
    </w:r>
    <w:r w:rsidRPr="003152BA">
      <w:tab/>
    </w:r>
    <w:r>
      <w:rPr>
        <w:rStyle w:val="PageNumber"/>
        <w:szCs w:val="18"/>
      </w:rPr>
      <w:fldChar w:fldCharType="begin"/>
    </w:r>
    <w:r>
      <w:rPr>
        <w:rStyle w:val="PageNumber"/>
        <w:szCs w:val="18"/>
      </w:rPr>
      <w:instrText xml:space="preserve"> PAGE </w:instrText>
    </w:r>
    <w:r>
      <w:rPr>
        <w:rStyle w:val="PageNumber"/>
        <w:szCs w:val="18"/>
      </w:rPr>
      <w:fldChar w:fldCharType="separate"/>
    </w:r>
    <w:r w:rsidR="0002744D">
      <w:rPr>
        <w:rStyle w:val="PageNumber"/>
        <w:noProof/>
        <w:szCs w:val="18"/>
      </w:rPr>
      <w:t>23</w:t>
    </w:r>
    <w:r>
      <w:rPr>
        <w:rStyle w:val="PageNumber"/>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FD1241"/>
    <w:multiLevelType w:val="hybridMultilevel"/>
    <w:tmpl w:val="F6D86CC2"/>
    <w:lvl w:ilvl="0" w:tplc="5840E398">
      <w:start w:val="1"/>
      <w:numFmt w:val="bullet"/>
      <w:pStyle w:val="ListBullet"/>
      <w:lvlText w:val=""/>
      <w:lvlJc w:val="left"/>
      <w:pPr>
        <w:tabs>
          <w:tab w:val="num" w:pos="851"/>
        </w:tabs>
        <w:ind w:left="568" w:firstLine="0"/>
      </w:pPr>
      <w:rPr>
        <w:rFonts w:ascii="Wingdings" w:hAnsi="Wingdings" w:hint="default"/>
        <w:color w:val="808080"/>
        <w:sz w:val="16"/>
      </w:rPr>
    </w:lvl>
    <w:lvl w:ilvl="1" w:tplc="C4B4A4D4" w:tentative="1">
      <w:start w:val="1"/>
      <w:numFmt w:val="bullet"/>
      <w:lvlText w:val="o"/>
      <w:lvlJc w:val="left"/>
      <w:pPr>
        <w:tabs>
          <w:tab w:val="num" w:pos="1724"/>
        </w:tabs>
        <w:ind w:left="1724" w:hanging="360"/>
      </w:pPr>
      <w:rPr>
        <w:rFonts w:ascii="Courier New" w:hAnsi="Courier New" w:cs="Courier New" w:hint="default"/>
      </w:rPr>
    </w:lvl>
    <w:lvl w:ilvl="2" w:tplc="D26E76C8" w:tentative="1">
      <w:start w:val="1"/>
      <w:numFmt w:val="bullet"/>
      <w:lvlText w:val=""/>
      <w:lvlJc w:val="left"/>
      <w:pPr>
        <w:tabs>
          <w:tab w:val="num" w:pos="2444"/>
        </w:tabs>
        <w:ind w:left="2444" w:hanging="360"/>
      </w:pPr>
      <w:rPr>
        <w:rFonts w:ascii="Wingdings" w:hAnsi="Wingdings" w:hint="default"/>
      </w:rPr>
    </w:lvl>
    <w:lvl w:ilvl="3" w:tplc="709A54C0" w:tentative="1">
      <w:start w:val="1"/>
      <w:numFmt w:val="bullet"/>
      <w:lvlText w:val=""/>
      <w:lvlJc w:val="left"/>
      <w:pPr>
        <w:tabs>
          <w:tab w:val="num" w:pos="3164"/>
        </w:tabs>
        <w:ind w:left="3164" w:hanging="360"/>
      </w:pPr>
      <w:rPr>
        <w:rFonts w:ascii="Symbol" w:hAnsi="Symbol" w:hint="default"/>
      </w:rPr>
    </w:lvl>
    <w:lvl w:ilvl="4" w:tplc="B7A49566" w:tentative="1">
      <w:start w:val="1"/>
      <w:numFmt w:val="bullet"/>
      <w:lvlText w:val="o"/>
      <w:lvlJc w:val="left"/>
      <w:pPr>
        <w:tabs>
          <w:tab w:val="num" w:pos="3884"/>
        </w:tabs>
        <w:ind w:left="3884" w:hanging="360"/>
      </w:pPr>
      <w:rPr>
        <w:rFonts w:ascii="Courier New" w:hAnsi="Courier New" w:cs="Courier New" w:hint="default"/>
      </w:rPr>
    </w:lvl>
    <w:lvl w:ilvl="5" w:tplc="CD60541A" w:tentative="1">
      <w:start w:val="1"/>
      <w:numFmt w:val="bullet"/>
      <w:lvlText w:val=""/>
      <w:lvlJc w:val="left"/>
      <w:pPr>
        <w:tabs>
          <w:tab w:val="num" w:pos="4604"/>
        </w:tabs>
        <w:ind w:left="4604" w:hanging="360"/>
      </w:pPr>
      <w:rPr>
        <w:rFonts w:ascii="Wingdings" w:hAnsi="Wingdings" w:hint="default"/>
      </w:rPr>
    </w:lvl>
    <w:lvl w:ilvl="6" w:tplc="E79CDB52" w:tentative="1">
      <w:start w:val="1"/>
      <w:numFmt w:val="bullet"/>
      <w:lvlText w:val=""/>
      <w:lvlJc w:val="left"/>
      <w:pPr>
        <w:tabs>
          <w:tab w:val="num" w:pos="5324"/>
        </w:tabs>
        <w:ind w:left="5324" w:hanging="360"/>
      </w:pPr>
      <w:rPr>
        <w:rFonts w:ascii="Symbol" w:hAnsi="Symbol" w:hint="default"/>
      </w:rPr>
    </w:lvl>
    <w:lvl w:ilvl="7" w:tplc="8CE6E36C" w:tentative="1">
      <w:start w:val="1"/>
      <w:numFmt w:val="bullet"/>
      <w:lvlText w:val="o"/>
      <w:lvlJc w:val="left"/>
      <w:pPr>
        <w:tabs>
          <w:tab w:val="num" w:pos="6044"/>
        </w:tabs>
        <w:ind w:left="6044" w:hanging="360"/>
      </w:pPr>
      <w:rPr>
        <w:rFonts w:ascii="Courier New" w:hAnsi="Courier New" w:cs="Courier New" w:hint="default"/>
      </w:rPr>
    </w:lvl>
    <w:lvl w:ilvl="8" w:tplc="3D681AB4" w:tentative="1">
      <w:start w:val="1"/>
      <w:numFmt w:val="bullet"/>
      <w:lvlText w:val=""/>
      <w:lvlJc w:val="left"/>
      <w:pPr>
        <w:tabs>
          <w:tab w:val="num" w:pos="6764"/>
        </w:tabs>
        <w:ind w:left="6764" w:hanging="360"/>
      </w:pPr>
      <w:rPr>
        <w:rFonts w:ascii="Wingdings" w:hAnsi="Wingdings" w:hint="default"/>
      </w:r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EMMDOC" w:val="0"/>
  </w:docVars>
  <w:rsids>
    <w:rsidRoot w:val="002F5075"/>
    <w:rsid w:val="00001474"/>
    <w:rsid w:val="00007866"/>
    <w:rsid w:val="000111F1"/>
    <w:rsid w:val="00011C63"/>
    <w:rsid w:val="0001238C"/>
    <w:rsid w:val="0001753F"/>
    <w:rsid w:val="00022CDC"/>
    <w:rsid w:val="000251B4"/>
    <w:rsid w:val="0002744D"/>
    <w:rsid w:val="00035C43"/>
    <w:rsid w:val="00036C33"/>
    <w:rsid w:val="00041342"/>
    <w:rsid w:val="0004634C"/>
    <w:rsid w:val="00046A49"/>
    <w:rsid w:val="00054020"/>
    <w:rsid w:val="00055063"/>
    <w:rsid w:val="000568C1"/>
    <w:rsid w:val="00057D62"/>
    <w:rsid w:val="000619CB"/>
    <w:rsid w:val="00061B8A"/>
    <w:rsid w:val="00063BCD"/>
    <w:rsid w:val="00065541"/>
    <w:rsid w:val="00065678"/>
    <w:rsid w:val="00070A45"/>
    <w:rsid w:val="000724AC"/>
    <w:rsid w:val="000727AD"/>
    <w:rsid w:val="00075DF9"/>
    <w:rsid w:val="000813AE"/>
    <w:rsid w:val="0008329A"/>
    <w:rsid w:val="000838BC"/>
    <w:rsid w:val="00083DB5"/>
    <w:rsid w:val="00084306"/>
    <w:rsid w:val="00091514"/>
    <w:rsid w:val="000A246C"/>
    <w:rsid w:val="000A472E"/>
    <w:rsid w:val="000A54AA"/>
    <w:rsid w:val="000A614C"/>
    <w:rsid w:val="000A6BF5"/>
    <w:rsid w:val="000A6D2D"/>
    <w:rsid w:val="000B0AF9"/>
    <w:rsid w:val="000B57E0"/>
    <w:rsid w:val="000B6113"/>
    <w:rsid w:val="000D2AFA"/>
    <w:rsid w:val="000D445F"/>
    <w:rsid w:val="000D7C50"/>
    <w:rsid w:val="000E07BD"/>
    <w:rsid w:val="000E12CB"/>
    <w:rsid w:val="000E6F0A"/>
    <w:rsid w:val="000F5902"/>
    <w:rsid w:val="000F7BF9"/>
    <w:rsid w:val="00101AE3"/>
    <w:rsid w:val="0010717B"/>
    <w:rsid w:val="001079C3"/>
    <w:rsid w:val="00114921"/>
    <w:rsid w:val="00124A2C"/>
    <w:rsid w:val="00131CFD"/>
    <w:rsid w:val="00133E79"/>
    <w:rsid w:val="00141222"/>
    <w:rsid w:val="00143848"/>
    <w:rsid w:val="00144B40"/>
    <w:rsid w:val="00145A0D"/>
    <w:rsid w:val="00145B7C"/>
    <w:rsid w:val="00147887"/>
    <w:rsid w:val="00150B00"/>
    <w:rsid w:val="00150B79"/>
    <w:rsid w:val="00152AB7"/>
    <w:rsid w:val="00156250"/>
    <w:rsid w:val="001625E5"/>
    <w:rsid w:val="001649BF"/>
    <w:rsid w:val="00165266"/>
    <w:rsid w:val="00166C86"/>
    <w:rsid w:val="00173559"/>
    <w:rsid w:val="00173714"/>
    <w:rsid w:val="00176220"/>
    <w:rsid w:val="00180EB7"/>
    <w:rsid w:val="001841F2"/>
    <w:rsid w:val="00187267"/>
    <w:rsid w:val="00187F15"/>
    <w:rsid w:val="001A0721"/>
    <w:rsid w:val="001A2B9B"/>
    <w:rsid w:val="001A4493"/>
    <w:rsid w:val="001A559F"/>
    <w:rsid w:val="001C25EB"/>
    <w:rsid w:val="001C3468"/>
    <w:rsid w:val="001D25C9"/>
    <w:rsid w:val="001D47E9"/>
    <w:rsid w:val="001E155C"/>
    <w:rsid w:val="001E23FE"/>
    <w:rsid w:val="001E442F"/>
    <w:rsid w:val="001F36F2"/>
    <w:rsid w:val="00211468"/>
    <w:rsid w:val="002131E5"/>
    <w:rsid w:val="002217D2"/>
    <w:rsid w:val="002235A2"/>
    <w:rsid w:val="0022368F"/>
    <w:rsid w:val="00226374"/>
    <w:rsid w:val="0022770B"/>
    <w:rsid w:val="00237CED"/>
    <w:rsid w:val="00240C8E"/>
    <w:rsid w:val="002419E1"/>
    <w:rsid w:val="00245BB1"/>
    <w:rsid w:val="002464E6"/>
    <w:rsid w:val="002537EB"/>
    <w:rsid w:val="00254487"/>
    <w:rsid w:val="002572FC"/>
    <w:rsid w:val="002625D6"/>
    <w:rsid w:val="002672E9"/>
    <w:rsid w:val="00267A54"/>
    <w:rsid w:val="00280C57"/>
    <w:rsid w:val="0028632B"/>
    <w:rsid w:val="00287D19"/>
    <w:rsid w:val="00292193"/>
    <w:rsid w:val="00292FD1"/>
    <w:rsid w:val="00295DCA"/>
    <w:rsid w:val="002A0209"/>
    <w:rsid w:val="002A0456"/>
    <w:rsid w:val="002B1C49"/>
    <w:rsid w:val="002B3FE5"/>
    <w:rsid w:val="002B6B95"/>
    <w:rsid w:val="002B74C8"/>
    <w:rsid w:val="002B7C0A"/>
    <w:rsid w:val="002B7ECD"/>
    <w:rsid w:val="002C5865"/>
    <w:rsid w:val="002C586E"/>
    <w:rsid w:val="002D148D"/>
    <w:rsid w:val="002D741F"/>
    <w:rsid w:val="002E1681"/>
    <w:rsid w:val="002E4E49"/>
    <w:rsid w:val="002F0D42"/>
    <w:rsid w:val="002F0EAA"/>
    <w:rsid w:val="002F5075"/>
    <w:rsid w:val="002F778C"/>
    <w:rsid w:val="002F7C69"/>
    <w:rsid w:val="002F7CEB"/>
    <w:rsid w:val="00301A4C"/>
    <w:rsid w:val="003056B3"/>
    <w:rsid w:val="00310D68"/>
    <w:rsid w:val="00332144"/>
    <w:rsid w:val="00333C36"/>
    <w:rsid w:val="003345C5"/>
    <w:rsid w:val="0033462F"/>
    <w:rsid w:val="00335227"/>
    <w:rsid w:val="00336D11"/>
    <w:rsid w:val="00337DBB"/>
    <w:rsid w:val="003416A7"/>
    <w:rsid w:val="00355E1A"/>
    <w:rsid w:val="003561E6"/>
    <w:rsid w:val="00357245"/>
    <w:rsid w:val="00364271"/>
    <w:rsid w:val="00366CDA"/>
    <w:rsid w:val="00367224"/>
    <w:rsid w:val="00370658"/>
    <w:rsid w:val="00372C71"/>
    <w:rsid w:val="00377CF0"/>
    <w:rsid w:val="0038346D"/>
    <w:rsid w:val="00391887"/>
    <w:rsid w:val="00393534"/>
    <w:rsid w:val="003963A0"/>
    <w:rsid w:val="003A6413"/>
    <w:rsid w:val="003B6165"/>
    <w:rsid w:val="003C2B86"/>
    <w:rsid w:val="003C3F94"/>
    <w:rsid w:val="003D231E"/>
    <w:rsid w:val="003D6D96"/>
    <w:rsid w:val="003D7560"/>
    <w:rsid w:val="003E54F0"/>
    <w:rsid w:val="003E6DF6"/>
    <w:rsid w:val="003F2557"/>
    <w:rsid w:val="003F2B1C"/>
    <w:rsid w:val="003F6E42"/>
    <w:rsid w:val="00407C41"/>
    <w:rsid w:val="00411823"/>
    <w:rsid w:val="00416C49"/>
    <w:rsid w:val="004204D1"/>
    <w:rsid w:val="004264F0"/>
    <w:rsid w:val="00431C79"/>
    <w:rsid w:val="00432CEB"/>
    <w:rsid w:val="00434884"/>
    <w:rsid w:val="00435AEA"/>
    <w:rsid w:val="004425C4"/>
    <w:rsid w:val="004435A2"/>
    <w:rsid w:val="00447573"/>
    <w:rsid w:val="00450D4E"/>
    <w:rsid w:val="004517F0"/>
    <w:rsid w:val="004528C3"/>
    <w:rsid w:val="00452BF8"/>
    <w:rsid w:val="00456BF3"/>
    <w:rsid w:val="00457172"/>
    <w:rsid w:val="004613E6"/>
    <w:rsid w:val="00465457"/>
    <w:rsid w:val="00472633"/>
    <w:rsid w:val="004733B8"/>
    <w:rsid w:val="0047459F"/>
    <w:rsid w:val="00475554"/>
    <w:rsid w:val="004821A1"/>
    <w:rsid w:val="00482767"/>
    <w:rsid w:val="00484F23"/>
    <w:rsid w:val="004860DA"/>
    <w:rsid w:val="00486CA9"/>
    <w:rsid w:val="0049197C"/>
    <w:rsid w:val="00497CD3"/>
    <w:rsid w:val="004A00BB"/>
    <w:rsid w:val="004A4803"/>
    <w:rsid w:val="004B264C"/>
    <w:rsid w:val="004B4E91"/>
    <w:rsid w:val="004B5F65"/>
    <w:rsid w:val="004B6F06"/>
    <w:rsid w:val="004C2C47"/>
    <w:rsid w:val="004C3E5B"/>
    <w:rsid w:val="004D0768"/>
    <w:rsid w:val="004D2526"/>
    <w:rsid w:val="004D465D"/>
    <w:rsid w:val="004E234E"/>
    <w:rsid w:val="004E4EDA"/>
    <w:rsid w:val="004F1F69"/>
    <w:rsid w:val="004F5B8B"/>
    <w:rsid w:val="00500BDA"/>
    <w:rsid w:val="005039E4"/>
    <w:rsid w:val="005053BC"/>
    <w:rsid w:val="00510048"/>
    <w:rsid w:val="005118DB"/>
    <w:rsid w:val="00511AB5"/>
    <w:rsid w:val="00511B8B"/>
    <w:rsid w:val="005130D8"/>
    <w:rsid w:val="0051404F"/>
    <w:rsid w:val="00520DF1"/>
    <w:rsid w:val="00535539"/>
    <w:rsid w:val="005370A7"/>
    <w:rsid w:val="00537E85"/>
    <w:rsid w:val="00540186"/>
    <w:rsid w:val="005414CA"/>
    <w:rsid w:val="00552B8E"/>
    <w:rsid w:val="005548A9"/>
    <w:rsid w:val="00554B92"/>
    <w:rsid w:val="00561632"/>
    <w:rsid w:val="005616F0"/>
    <w:rsid w:val="005735C8"/>
    <w:rsid w:val="00574B1B"/>
    <w:rsid w:val="0058059F"/>
    <w:rsid w:val="00581516"/>
    <w:rsid w:val="00586174"/>
    <w:rsid w:val="00590E7F"/>
    <w:rsid w:val="0059402F"/>
    <w:rsid w:val="005A26A3"/>
    <w:rsid w:val="005A5048"/>
    <w:rsid w:val="005A6FB6"/>
    <w:rsid w:val="005B05DF"/>
    <w:rsid w:val="005B0821"/>
    <w:rsid w:val="005B6D4E"/>
    <w:rsid w:val="005C0215"/>
    <w:rsid w:val="005C2FBA"/>
    <w:rsid w:val="005C6D78"/>
    <w:rsid w:val="005D015F"/>
    <w:rsid w:val="005D08CC"/>
    <w:rsid w:val="005D227B"/>
    <w:rsid w:val="005D285D"/>
    <w:rsid w:val="005D5739"/>
    <w:rsid w:val="005E2250"/>
    <w:rsid w:val="005E344C"/>
    <w:rsid w:val="005E490C"/>
    <w:rsid w:val="005E50F8"/>
    <w:rsid w:val="005E59E9"/>
    <w:rsid w:val="005F4C2E"/>
    <w:rsid w:val="005F71F8"/>
    <w:rsid w:val="00607738"/>
    <w:rsid w:val="00613F93"/>
    <w:rsid w:val="00615D2A"/>
    <w:rsid w:val="00626156"/>
    <w:rsid w:val="006263D3"/>
    <w:rsid w:val="006266E7"/>
    <w:rsid w:val="00626A24"/>
    <w:rsid w:val="00627C16"/>
    <w:rsid w:val="006304CA"/>
    <w:rsid w:val="006306C8"/>
    <w:rsid w:val="006348AB"/>
    <w:rsid w:val="00634EBF"/>
    <w:rsid w:val="00635484"/>
    <w:rsid w:val="00636794"/>
    <w:rsid w:val="00643696"/>
    <w:rsid w:val="00647C3C"/>
    <w:rsid w:val="00651F75"/>
    <w:rsid w:val="00655516"/>
    <w:rsid w:val="00662552"/>
    <w:rsid w:val="00670A47"/>
    <w:rsid w:val="00670E99"/>
    <w:rsid w:val="00673588"/>
    <w:rsid w:val="00674208"/>
    <w:rsid w:val="00674BC7"/>
    <w:rsid w:val="00680D4E"/>
    <w:rsid w:val="00685372"/>
    <w:rsid w:val="00696F37"/>
    <w:rsid w:val="00697A6E"/>
    <w:rsid w:val="006A207F"/>
    <w:rsid w:val="006A2956"/>
    <w:rsid w:val="006B760C"/>
    <w:rsid w:val="006C18C1"/>
    <w:rsid w:val="006C4368"/>
    <w:rsid w:val="006C5467"/>
    <w:rsid w:val="006C5687"/>
    <w:rsid w:val="006C7B0E"/>
    <w:rsid w:val="006D452E"/>
    <w:rsid w:val="006D514D"/>
    <w:rsid w:val="006D5BC4"/>
    <w:rsid w:val="006D6ADC"/>
    <w:rsid w:val="006E0FA4"/>
    <w:rsid w:val="006E178E"/>
    <w:rsid w:val="006E6069"/>
    <w:rsid w:val="006F21B4"/>
    <w:rsid w:val="006F22BC"/>
    <w:rsid w:val="006F3CE8"/>
    <w:rsid w:val="006F42B2"/>
    <w:rsid w:val="00706FC5"/>
    <w:rsid w:val="00707751"/>
    <w:rsid w:val="00712C1E"/>
    <w:rsid w:val="00714BAB"/>
    <w:rsid w:val="00715FA4"/>
    <w:rsid w:val="0071617B"/>
    <w:rsid w:val="0071667C"/>
    <w:rsid w:val="00721B99"/>
    <w:rsid w:val="007245AA"/>
    <w:rsid w:val="00724BA1"/>
    <w:rsid w:val="00725BE1"/>
    <w:rsid w:val="00725E01"/>
    <w:rsid w:val="00727D11"/>
    <w:rsid w:val="00730AEE"/>
    <w:rsid w:val="00736500"/>
    <w:rsid w:val="00742D17"/>
    <w:rsid w:val="00743B85"/>
    <w:rsid w:val="00745B9B"/>
    <w:rsid w:val="007470F1"/>
    <w:rsid w:val="00750990"/>
    <w:rsid w:val="00751B4C"/>
    <w:rsid w:val="007552A3"/>
    <w:rsid w:val="00761171"/>
    <w:rsid w:val="00765181"/>
    <w:rsid w:val="00766FEE"/>
    <w:rsid w:val="00767168"/>
    <w:rsid w:val="00773880"/>
    <w:rsid w:val="0078175B"/>
    <w:rsid w:val="007823E1"/>
    <w:rsid w:val="00783E03"/>
    <w:rsid w:val="007944B0"/>
    <w:rsid w:val="0079470F"/>
    <w:rsid w:val="007A2B2D"/>
    <w:rsid w:val="007A2E9D"/>
    <w:rsid w:val="007A346F"/>
    <w:rsid w:val="007A490C"/>
    <w:rsid w:val="007A4ACD"/>
    <w:rsid w:val="007A5709"/>
    <w:rsid w:val="007A6301"/>
    <w:rsid w:val="007A7B8C"/>
    <w:rsid w:val="007B23C1"/>
    <w:rsid w:val="007B47FB"/>
    <w:rsid w:val="007B658C"/>
    <w:rsid w:val="007C1026"/>
    <w:rsid w:val="007C535F"/>
    <w:rsid w:val="007C5797"/>
    <w:rsid w:val="007D0A42"/>
    <w:rsid w:val="007E4A26"/>
    <w:rsid w:val="007E5F86"/>
    <w:rsid w:val="007F1567"/>
    <w:rsid w:val="007F1C74"/>
    <w:rsid w:val="00800B70"/>
    <w:rsid w:val="00814353"/>
    <w:rsid w:val="00814ED6"/>
    <w:rsid w:val="00816C99"/>
    <w:rsid w:val="00822426"/>
    <w:rsid w:val="00822672"/>
    <w:rsid w:val="00824AF0"/>
    <w:rsid w:val="00824B7A"/>
    <w:rsid w:val="00826392"/>
    <w:rsid w:val="00834A9E"/>
    <w:rsid w:val="008367F7"/>
    <w:rsid w:val="00836DF7"/>
    <w:rsid w:val="00841E46"/>
    <w:rsid w:val="00847C13"/>
    <w:rsid w:val="008523AD"/>
    <w:rsid w:val="00854B3B"/>
    <w:rsid w:val="00861DB4"/>
    <w:rsid w:val="00863061"/>
    <w:rsid w:val="008640AA"/>
    <w:rsid w:val="008646D6"/>
    <w:rsid w:val="0087133F"/>
    <w:rsid w:val="008739C4"/>
    <w:rsid w:val="008742A5"/>
    <w:rsid w:val="008804C5"/>
    <w:rsid w:val="00884DA3"/>
    <w:rsid w:val="00885B76"/>
    <w:rsid w:val="008874CC"/>
    <w:rsid w:val="008B0E0D"/>
    <w:rsid w:val="008B47A4"/>
    <w:rsid w:val="008D1EE4"/>
    <w:rsid w:val="008D2759"/>
    <w:rsid w:val="008E0E96"/>
    <w:rsid w:val="008E165C"/>
    <w:rsid w:val="008F1E3B"/>
    <w:rsid w:val="00901BE1"/>
    <w:rsid w:val="00904BD4"/>
    <w:rsid w:val="00905CA4"/>
    <w:rsid w:val="00924E7F"/>
    <w:rsid w:val="00926DCE"/>
    <w:rsid w:val="009356BB"/>
    <w:rsid w:val="00935813"/>
    <w:rsid w:val="009411B2"/>
    <w:rsid w:val="00943FB0"/>
    <w:rsid w:val="00946C99"/>
    <w:rsid w:val="00946D4D"/>
    <w:rsid w:val="0095196B"/>
    <w:rsid w:val="00952BE6"/>
    <w:rsid w:val="0095514F"/>
    <w:rsid w:val="0096077B"/>
    <w:rsid w:val="0096212C"/>
    <w:rsid w:val="00962739"/>
    <w:rsid w:val="00963933"/>
    <w:rsid w:val="00964C0C"/>
    <w:rsid w:val="00965C25"/>
    <w:rsid w:val="00972EBE"/>
    <w:rsid w:val="00980C3D"/>
    <w:rsid w:val="0098135E"/>
    <w:rsid w:val="009820BA"/>
    <w:rsid w:val="00984FEC"/>
    <w:rsid w:val="009908A1"/>
    <w:rsid w:val="00990A1B"/>
    <w:rsid w:val="00990B0D"/>
    <w:rsid w:val="00993D7D"/>
    <w:rsid w:val="00994EEC"/>
    <w:rsid w:val="00996548"/>
    <w:rsid w:val="00996A38"/>
    <w:rsid w:val="009A0A8C"/>
    <w:rsid w:val="009A1C57"/>
    <w:rsid w:val="009A31DF"/>
    <w:rsid w:val="009A60AD"/>
    <w:rsid w:val="009B0A7B"/>
    <w:rsid w:val="009B6E29"/>
    <w:rsid w:val="009D1173"/>
    <w:rsid w:val="009D34F6"/>
    <w:rsid w:val="009D6913"/>
    <w:rsid w:val="009D6951"/>
    <w:rsid w:val="009E01EC"/>
    <w:rsid w:val="009E2683"/>
    <w:rsid w:val="009E26A8"/>
    <w:rsid w:val="009E4409"/>
    <w:rsid w:val="009E6C8D"/>
    <w:rsid w:val="009F5CEA"/>
    <w:rsid w:val="00A02234"/>
    <w:rsid w:val="00A16B6B"/>
    <w:rsid w:val="00A20594"/>
    <w:rsid w:val="00A20E3B"/>
    <w:rsid w:val="00A21FBA"/>
    <w:rsid w:val="00A25AB4"/>
    <w:rsid w:val="00A30861"/>
    <w:rsid w:val="00A30982"/>
    <w:rsid w:val="00A34B26"/>
    <w:rsid w:val="00A35639"/>
    <w:rsid w:val="00A35C17"/>
    <w:rsid w:val="00A4278D"/>
    <w:rsid w:val="00A445AB"/>
    <w:rsid w:val="00A57120"/>
    <w:rsid w:val="00A65C43"/>
    <w:rsid w:val="00A7326E"/>
    <w:rsid w:val="00A74264"/>
    <w:rsid w:val="00A76063"/>
    <w:rsid w:val="00A81F54"/>
    <w:rsid w:val="00A82988"/>
    <w:rsid w:val="00A85F67"/>
    <w:rsid w:val="00A918FC"/>
    <w:rsid w:val="00A95EB3"/>
    <w:rsid w:val="00A96754"/>
    <w:rsid w:val="00A97F79"/>
    <w:rsid w:val="00AB0443"/>
    <w:rsid w:val="00AB2B03"/>
    <w:rsid w:val="00AC144F"/>
    <w:rsid w:val="00AC5939"/>
    <w:rsid w:val="00AD025D"/>
    <w:rsid w:val="00AD19E9"/>
    <w:rsid w:val="00AD61CD"/>
    <w:rsid w:val="00AE07BB"/>
    <w:rsid w:val="00AF11C6"/>
    <w:rsid w:val="00AF12AD"/>
    <w:rsid w:val="00AF3E16"/>
    <w:rsid w:val="00B04367"/>
    <w:rsid w:val="00B06024"/>
    <w:rsid w:val="00B10894"/>
    <w:rsid w:val="00B13CE6"/>
    <w:rsid w:val="00B17226"/>
    <w:rsid w:val="00B2294B"/>
    <w:rsid w:val="00B26AD2"/>
    <w:rsid w:val="00B341A3"/>
    <w:rsid w:val="00B34A82"/>
    <w:rsid w:val="00B40BDA"/>
    <w:rsid w:val="00B419FA"/>
    <w:rsid w:val="00B429DC"/>
    <w:rsid w:val="00B53029"/>
    <w:rsid w:val="00B5541B"/>
    <w:rsid w:val="00B60F70"/>
    <w:rsid w:val="00B62AD2"/>
    <w:rsid w:val="00B64280"/>
    <w:rsid w:val="00B65687"/>
    <w:rsid w:val="00B65DE6"/>
    <w:rsid w:val="00B70333"/>
    <w:rsid w:val="00B71195"/>
    <w:rsid w:val="00B87D3E"/>
    <w:rsid w:val="00B907BA"/>
    <w:rsid w:val="00B907D0"/>
    <w:rsid w:val="00B93FC0"/>
    <w:rsid w:val="00B961E7"/>
    <w:rsid w:val="00BA27FE"/>
    <w:rsid w:val="00BA7B68"/>
    <w:rsid w:val="00BB2930"/>
    <w:rsid w:val="00BB5327"/>
    <w:rsid w:val="00BB548A"/>
    <w:rsid w:val="00BC358A"/>
    <w:rsid w:val="00BC368A"/>
    <w:rsid w:val="00BD411E"/>
    <w:rsid w:val="00BD4465"/>
    <w:rsid w:val="00BD548E"/>
    <w:rsid w:val="00BD6696"/>
    <w:rsid w:val="00BD7035"/>
    <w:rsid w:val="00BE10C4"/>
    <w:rsid w:val="00BE4840"/>
    <w:rsid w:val="00BF19D6"/>
    <w:rsid w:val="00BF6201"/>
    <w:rsid w:val="00C0275D"/>
    <w:rsid w:val="00C06DF3"/>
    <w:rsid w:val="00C0736E"/>
    <w:rsid w:val="00C13F22"/>
    <w:rsid w:val="00C14DE6"/>
    <w:rsid w:val="00C17665"/>
    <w:rsid w:val="00C227FB"/>
    <w:rsid w:val="00C413B7"/>
    <w:rsid w:val="00C512AE"/>
    <w:rsid w:val="00C54F81"/>
    <w:rsid w:val="00C61563"/>
    <w:rsid w:val="00C61C9C"/>
    <w:rsid w:val="00C668EC"/>
    <w:rsid w:val="00C72C09"/>
    <w:rsid w:val="00C73030"/>
    <w:rsid w:val="00C76A6C"/>
    <w:rsid w:val="00C83D87"/>
    <w:rsid w:val="00C848BA"/>
    <w:rsid w:val="00C85E63"/>
    <w:rsid w:val="00C874AD"/>
    <w:rsid w:val="00C9591F"/>
    <w:rsid w:val="00C95E1D"/>
    <w:rsid w:val="00C9781F"/>
    <w:rsid w:val="00CA217F"/>
    <w:rsid w:val="00CA7E17"/>
    <w:rsid w:val="00CB2394"/>
    <w:rsid w:val="00CB403D"/>
    <w:rsid w:val="00CB6D92"/>
    <w:rsid w:val="00CC1442"/>
    <w:rsid w:val="00CC1C91"/>
    <w:rsid w:val="00CC4E4F"/>
    <w:rsid w:val="00CC7192"/>
    <w:rsid w:val="00CD4C9E"/>
    <w:rsid w:val="00CD609C"/>
    <w:rsid w:val="00CE0378"/>
    <w:rsid w:val="00CE777E"/>
    <w:rsid w:val="00CF0520"/>
    <w:rsid w:val="00CF260C"/>
    <w:rsid w:val="00CF37F0"/>
    <w:rsid w:val="00CF6989"/>
    <w:rsid w:val="00D00481"/>
    <w:rsid w:val="00D036C7"/>
    <w:rsid w:val="00D05763"/>
    <w:rsid w:val="00D077E7"/>
    <w:rsid w:val="00D20B77"/>
    <w:rsid w:val="00D24EC5"/>
    <w:rsid w:val="00D2510C"/>
    <w:rsid w:val="00D26E33"/>
    <w:rsid w:val="00D27D43"/>
    <w:rsid w:val="00D3011A"/>
    <w:rsid w:val="00D30C69"/>
    <w:rsid w:val="00D321B5"/>
    <w:rsid w:val="00D3362B"/>
    <w:rsid w:val="00D43653"/>
    <w:rsid w:val="00D445DF"/>
    <w:rsid w:val="00D67FC6"/>
    <w:rsid w:val="00D73DF4"/>
    <w:rsid w:val="00D743BB"/>
    <w:rsid w:val="00D81448"/>
    <w:rsid w:val="00D82901"/>
    <w:rsid w:val="00D868FE"/>
    <w:rsid w:val="00D87236"/>
    <w:rsid w:val="00D87AAB"/>
    <w:rsid w:val="00D914E2"/>
    <w:rsid w:val="00D93221"/>
    <w:rsid w:val="00D974DC"/>
    <w:rsid w:val="00DA1FFB"/>
    <w:rsid w:val="00DA4349"/>
    <w:rsid w:val="00DA64ED"/>
    <w:rsid w:val="00DB1461"/>
    <w:rsid w:val="00DB2072"/>
    <w:rsid w:val="00DC3306"/>
    <w:rsid w:val="00DC609B"/>
    <w:rsid w:val="00DD30FC"/>
    <w:rsid w:val="00DD46A4"/>
    <w:rsid w:val="00DD668C"/>
    <w:rsid w:val="00DE7F24"/>
    <w:rsid w:val="00E02E16"/>
    <w:rsid w:val="00E06E62"/>
    <w:rsid w:val="00E10E60"/>
    <w:rsid w:val="00E11CA0"/>
    <w:rsid w:val="00E1214F"/>
    <w:rsid w:val="00E16B8D"/>
    <w:rsid w:val="00E17A22"/>
    <w:rsid w:val="00E2376D"/>
    <w:rsid w:val="00E27E26"/>
    <w:rsid w:val="00E36ECC"/>
    <w:rsid w:val="00E372E2"/>
    <w:rsid w:val="00E41017"/>
    <w:rsid w:val="00E47EA9"/>
    <w:rsid w:val="00E5339E"/>
    <w:rsid w:val="00E55313"/>
    <w:rsid w:val="00E57FE3"/>
    <w:rsid w:val="00E61EA7"/>
    <w:rsid w:val="00E62CEE"/>
    <w:rsid w:val="00E63AD6"/>
    <w:rsid w:val="00E641EF"/>
    <w:rsid w:val="00E66B32"/>
    <w:rsid w:val="00E6765A"/>
    <w:rsid w:val="00E6779A"/>
    <w:rsid w:val="00E70FBD"/>
    <w:rsid w:val="00E73708"/>
    <w:rsid w:val="00E739B8"/>
    <w:rsid w:val="00E746DA"/>
    <w:rsid w:val="00E8591E"/>
    <w:rsid w:val="00E95E84"/>
    <w:rsid w:val="00EA1861"/>
    <w:rsid w:val="00EA70F7"/>
    <w:rsid w:val="00EA72BB"/>
    <w:rsid w:val="00EB25DF"/>
    <w:rsid w:val="00EB3DD1"/>
    <w:rsid w:val="00EB3EF7"/>
    <w:rsid w:val="00EB4D8B"/>
    <w:rsid w:val="00EC0352"/>
    <w:rsid w:val="00EC6DDC"/>
    <w:rsid w:val="00ED04DC"/>
    <w:rsid w:val="00ED133A"/>
    <w:rsid w:val="00EE1C10"/>
    <w:rsid w:val="00EE5C27"/>
    <w:rsid w:val="00EE7DA2"/>
    <w:rsid w:val="00EF0CA5"/>
    <w:rsid w:val="00EF1F5A"/>
    <w:rsid w:val="00EF3547"/>
    <w:rsid w:val="00EF3ECD"/>
    <w:rsid w:val="00EF61D9"/>
    <w:rsid w:val="00EF6767"/>
    <w:rsid w:val="00EF6E67"/>
    <w:rsid w:val="00F05396"/>
    <w:rsid w:val="00F0646F"/>
    <w:rsid w:val="00F11411"/>
    <w:rsid w:val="00F11BC9"/>
    <w:rsid w:val="00F14D8F"/>
    <w:rsid w:val="00F21D9E"/>
    <w:rsid w:val="00F23CD9"/>
    <w:rsid w:val="00F255BF"/>
    <w:rsid w:val="00F25D06"/>
    <w:rsid w:val="00F2625C"/>
    <w:rsid w:val="00F302ED"/>
    <w:rsid w:val="00F33EA3"/>
    <w:rsid w:val="00F42182"/>
    <w:rsid w:val="00F53CBF"/>
    <w:rsid w:val="00F53E3E"/>
    <w:rsid w:val="00F64571"/>
    <w:rsid w:val="00F70E4C"/>
    <w:rsid w:val="00F71C1F"/>
    <w:rsid w:val="00F84BB4"/>
    <w:rsid w:val="00F84C50"/>
    <w:rsid w:val="00F851AC"/>
    <w:rsid w:val="00F85531"/>
    <w:rsid w:val="00F95D03"/>
    <w:rsid w:val="00F963E6"/>
    <w:rsid w:val="00F96C44"/>
    <w:rsid w:val="00F9749D"/>
    <w:rsid w:val="00FA0C50"/>
    <w:rsid w:val="00FA2C2E"/>
    <w:rsid w:val="00FA5E9E"/>
    <w:rsid w:val="00FA6504"/>
    <w:rsid w:val="00FA661F"/>
    <w:rsid w:val="00FA67F0"/>
    <w:rsid w:val="00FB4370"/>
    <w:rsid w:val="00FB560D"/>
    <w:rsid w:val="00FB7246"/>
    <w:rsid w:val="00FC04B8"/>
    <w:rsid w:val="00FC6012"/>
    <w:rsid w:val="00FD3D60"/>
    <w:rsid w:val="00FD5953"/>
    <w:rsid w:val="00FE4506"/>
    <w:rsid w:val="00FE5BF7"/>
    <w:rsid w:val="00FF0BFC"/>
    <w:rsid w:val="00FF0DFC"/>
    <w:rsid w:val="00FF1B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647C3C"/>
    <w:pPr>
      <w:jc w:val="both"/>
    </w:pPr>
    <w:rPr>
      <w:rFonts w:eastAsiaTheme="minorEastAsia"/>
      <w:sz w:val="24"/>
      <w:lang w:val="en-GB"/>
    </w:rPr>
  </w:style>
  <w:style w:type="paragraph" w:styleId="Heading1">
    <w:name w:val="heading 1"/>
    <w:basedOn w:val="Normal"/>
    <w:next w:val="Normal"/>
    <w:link w:val="Heading1Char"/>
    <w:uiPriority w:val="99"/>
    <w:semiHidden/>
    <w:rsid w:val="00647C3C"/>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647C3C"/>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647C3C"/>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647C3C"/>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647C3C"/>
    <w:pPr>
      <w:spacing w:before="200"/>
      <w:outlineLvl w:val="4"/>
    </w:pPr>
    <w:rPr>
      <w:rFonts w:asciiTheme="majorHAnsi" w:eastAsiaTheme="majorEastAsia" w:hAnsiTheme="majorHAnsi" w:cstheme="majorBidi"/>
      <w:b/>
      <w:bCs/>
      <w:color w:val="808080"/>
      <w:sz w:val="22"/>
      <w:lang w:val="en-US"/>
    </w:rPr>
  </w:style>
  <w:style w:type="paragraph" w:styleId="Heading6">
    <w:name w:val="heading 6"/>
    <w:basedOn w:val="Normal"/>
    <w:next w:val="Normal"/>
    <w:link w:val="Heading6Char"/>
    <w:uiPriority w:val="99"/>
    <w:semiHidden/>
    <w:rsid w:val="00647C3C"/>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647C3C"/>
    <w:pPr>
      <w:outlineLvl w:val="6"/>
    </w:pPr>
    <w:rPr>
      <w:rFonts w:asciiTheme="majorHAnsi" w:eastAsiaTheme="majorEastAsia" w:hAnsiTheme="majorHAnsi" w:cstheme="majorBidi"/>
      <w:i/>
      <w:iCs/>
      <w:sz w:val="22"/>
      <w:lang w:val="en-US" w:bidi="en-US"/>
    </w:rPr>
  </w:style>
  <w:style w:type="paragraph" w:styleId="Heading8">
    <w:name w:val="heading 8"/>
    <w:basedOn w:val="Normal"/>
    <w:next w:val="Normal"/>
    <w:link w:val="Heading8Char"/>
    <w:uiPriority w:val="99"/>
    <w:semiHidden/>
    <w:qFormat/>
    <w:rsid w:val="00647C3C"/>
    <w:pPr>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9"/>
    <w:semiHidden/>
    <w:qFormat/>
    <w:rsid w:val="00647C3C"/>
    <w:pPr>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7C3C"/>
    <w:rPr>
      <w:rFonts w:ascii="Tahoma" w:hAnsi="Tahoma" w:cs="Tahoma"/>
      <w:sz w:val="16"/>
      <w:szCs w:val="16"/>
    </w:rPr>
  </w:style>
  <w:style w:type="character" w:customStyle="1" w:styleId="BalloonTextChar">
    <w:name w:val="Balloon Text Char"/>
    <w:basedOn w:val="DefaultParagraphFont"/>
    <w:link w:val="BalloonText"/>
    <w:uiPriority w:val="99"/>
    <w:semiHidden/>
    <w:rsid w:val="00647C3C"/>
    <w:rPr>
      <w:rFonts w:ascii="Tahoma" w:eastAsiaTheme="minorEastAsia" w:hAnsi="Tahoma" w:cs="Tahoma"/>
      <w:sz w:val="16"/>
      <w:szCs w:val="16"/>
      <w:lang w:val="en-GB"/>
    </w:rPr>
  </w:style>
  <w:style w:type="character" w:styleId="BookTitle">
    <w:name w:val="Book Title"/>
    <w:uiPriority w:val="99"/>
    <w:semiHidden/>
    <w:qFormat/>
    <w:rsid w:val="00647C3C"/>
    <w:rPr>
      <w:i/>
      <w:iCs/>
      <w:smallCaps/>
      <w:spacing w:val="5"/>
    </w:rPr>
  </w:style>
  <w:style w:type="paragraph" w:customStyle="1" w:styleId="ECHRHeader">
    <w:name w:val="ECHR_Header"/>
    <w:aliases w:val="Ju_Header"/>
    <w:basedOn w:val="Header"/>
    <w:uiPriority w:val="4"/>
    <w:qFormat/>
    <w:rsid w:val="00647C3C"/>
    <w:pPr>
      <w:tabs>
        <w:tab w:val="clear" w:pos="4536"/>
        <w:tab w:val="clear" w:pos="9072"/>
      </w:tabs>
      <w:jc w:val="center"/>
    </w:pPr>
    <w:rPr>
      <w:sz w:val="18"/>
    </w:rPr>
  </w:style>
  <w:style w:type="paragraph" w:customStyle="1" w:styleId="ECHRFooter">
    <w:name w:val="ECHR_Footer"/>
    <w:aliases w:val="Footer_ECHR"/>
    <w:basedOn w:val="Footer"/>
    <w:uiPriority w:val="57"/>
    <w:semiHidden/>
    <w:rsid w:val="00647C3C"/>
    <w:pPr>
      <w:jc w:val="left"/>
    </w:pPr>
    <w:rPr>
      <w:sz w:val="8"/>
    </w:rPr>
  </w:style>
  <w:style w:type="character" w:styleId="Strong">
    <w:name w:val="Strong"/>
    <w:uiPriority w:val="99"/>
    <w:semiHidden/>
    <w:qFormat/>
    <w:rsid w:val="00647C3C"/>
    <w:rPr>
      <w:b/>
      <w:bCs/>
    </w:rPr>
  </w:style>
  <w:style w:type="paragraph" w:styleId="NoSpacing">
    <w:name w:val="No Spacing"/>
    <w:basedOn w:val="Normal"/>
    <w:link w:val="NoSpacingChar"/>
    <w:semiHidden/>
    <w:qFormat/>
    <w:rsid w:val="00647C3C"/>
    <w:rPr>
      <w:sz w:val="22"/>
      <w:lang w:val="en-US"/>
    </w:rPr>
  </w:style>
  <w:style w:type="character" w:customStyle="1" w:styleId="NoSpacingChar">
    <w:name w:val="No Spacing Char"/>
    <w:basedOn w:val="DefaultParagraphFont"/>
    <w:link w:val="NoSpacing"/>
    <w:semiHidden/>
    <w:rsid w:val="00647C3C"/>
    <w:rPr>
      <w:rFonts w:eastAsiaTheme="minorEastAsia"/>
    </w:rPr>
  </w:style>
  <w:style w:type="paragraph" w:customStyle="1" w:styleId="ECHRFooterLine">
    <w:name w:val="ECHR_Footer_Line"/>
    <w:aliases w:val="Footer_Line"/>
    <w:basedOn w:val="Normal"/>
    <w:next w:val="ECHRFooter"/>
    <w:uiPriority w:val="57"/>
    <w:semiHidden/>
    <w:rsid w:val="00647C3C"/>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qFormat/>
    <w:rsid w:val="00647C3C"/>
    <w:pPr>
      <w:numPr>
        <w:numId w:val="29"/>
      </w:numPr>
      <w:jc w:val="left"/>
    </w:pPr>
    <w:rPr>
      <w:b/>
    </w:rPr>
  </w:style>
  <w:style w:type="paragraph" w:customStyle="1" w:styleId="DummyStyle">
    <w:name w:val="Dummy_Style"/>
    <w:basedOn w:val="Normal"/>
    <w:semiHidden/>
    <w:qFormat/>
    <w:rsid w:val="00647C3C"/>
    <w:rPr>
      <w:color w:val="00B050"/>
    </w:rPr>
  </w:style>
  <w:style w:type="paragraph" w:customStyle="1" w:styleId="JuParaSub">
    <w:name w:val="Ju_Para_Sub"/>
    <w:basedOn w:val="ECHRPara"/>
    <w:uiPriority w:val="13"/>
    <w:qFormat/>
    <w:rsid w:val="00647C3C"/>
    <w:pPr>
      <w:ind w:left="284"/>
    </w:pPr>
  </w:style>
  <w:style w:type="paragraph" w:customStyle="1" w:styleId="ECHRTitleCentre3">
    <w:name w:val="ECHR_Title_Centre_3"/>
    <w:aliases w:val="Ju_H_Article"/>
    <w:basedOn w:val="Normal"/>
    <w:next w:val="ECHRParaQuote"/>
    <w:uiPriority w:val="27"/>
    <w:qFormat/>
    <w:rsid w:val="00647C3C"/>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647C3C"/>
    <w:pPr>
      <w:keepNext/>
      <w:keepLines/>
      <w:spacing w:after="240"/>
      <w:jc w:val="center"/>
      <w:outlineLvl w:val="0"/>
    </w:pPr>
    <w:rPr>
      <w:rFonts w:asciiTheme="majorHAnsi" w:hAnsiTheme="majorHAnsi"/>
      <w:sz w:val="28"/>
    </w:rPr>
  </w:style>
  <w:style w:type="paragraph" w:customStyle="1" w:styleId="OpiH1">
    <w:name w:val="Opi_H_1"/>
    <w:basedOn w:val="ECHRHeading2"/>
    <w:uiPriority w:val="42"/>
    <w:qFormat/>
    <w:rsid w:val="00647C3C"/>
    <w:pPr>
      <w:ind w:left="635" w:hanging="357"/>
      <w:outlineLvl w:val="2"/>
    </w:pPr>
  </w:style>
  <w:style w:type="paragraph" w:customStyle="1" w:styleId="OpiHa">
    <w:name w:val="Opi_H_a"/>
    <w:basedOn w:val="ECHRHeading3"/>
    <w:uiPriority w:val="43"/>
    <w:qFormat/>
    <w:rsid w:val="00647C3C"/>
    <w:pPr>
      <w:ind w:left="833" w:hanging="357"/>
      <w:outlineLvl w:val="3"/>
    </w:pPr>
    <w:rPr>
      <w:b/>
      <w:i w:val="0"/>
      <w:sz w:val="20"/>
    </w:rPr>
  </w:style>
  <w:style w:type="paragraph" w:customStyle="1" w:styleId="OpiHA0">
    <w:name w:val="Opi_H_A"/>
    <w:basedOn w:val="ECHRHeading1"/>
    <w:next w:val="OpiPara"/>
    <w:uiPriority w:val="41"/>
    <w:qFormat/>
    <w:rsid w:val="00647C3C"/>
    <w:pPr>
      <w:tabs>
        <w:tab w:val="clear" w:pos="357"/>
      </w:tabs>
      <w:outlineLvl w:val="1"/>
    </w:pPr>
    <w:rPr>
      <w:b/>
    </w:rPr>
  </w:style>
  <w:style w:type="paragraph" w:customStyle="1" w:styleId="ECHRTitleCentre2">
    <w:name w:val="ECHR_Title_Centre_2"/>
    <w:aliases w:val="Dec_H_Case"/>
    <w:basedOn w:val="Normal"/>
    <w:next w:val="ECHRPara"/>
    <w:uiPriority w:val="8"/>
    <w:qFormat/>
    <w:rsid w:val="00647C3C"/>
    <w:pPr>
      <w:spacing w:after="240"/>
      <w:jc w:val="center"/>
      <w:outlineLvl w:val="0"/>
    </w:pPr>
    <w:rPr>
      <w:rFonts w:asciiTheme="majorHAnsi" w:hAnsiTheme="majorHAnsi"/>
    </w:rPr>
  </w:style>
  <w:style w:type="paragraph" w:customStyle="1" w:styleId="JuTitle">
    <w:name w:val="Ju_Title"/>
    <w:basedOn w:val="Normal"/>
    <w:next w:val="ECHRPara"/>
    <w:uiPriority w:val="3"/>
    <w:qFormat/>
    <w:rsid w:val="00647C3C"/>
    <w:pPr>
      <w:spacing w:before="720" w:after="240"/>
      <w:jc w:val="center"/>
      <w:outlineLvl w:val="0"/>
    </w:pPr>
    <w:rPr>
      <w:rFonts w:asciiTheme="majorHAnsi" w:hAnsiTheme="majorHAnsi"/>
      <w:b/>
      <w:caps/>
    </w:rPr>
  </w:style>
  <w:style w:type="paragraph" w:styleId="Title">
    <w:name w:val="Title"/>
    <w:basedOn w:val="Normal"/>
    <w:next w:val="Normal"/>
    <w:link w:val="TitleChar"/>
    <w:uiPriority w:val="99"/>
    <w:semiHidden/>
    <w:qFormat/>
    <w:rsid w:val="00647C3C"/>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99"/>
    <w:semiHidden/>
    <w:rsid w:val="00647C3C"/>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647C3C"/>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647C3C"/>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647C3C"/>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Heading6"/>
    <w:next w:val="ECHRPara"/>
    <w:uiPriority w:val="24"/>
    <w:qFormat/>
    <w:rsid w:val="00647C3C"/>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647C3C"/>
    <w:pPr>
      <w:keepNext/>
      <w:keepLines/>
      <w:spacing w:before="240" w:after="120"/>
      <w:ind w:left="1236"/>
    </w:pPr>
    <w:rPr>
      <w:sz w:val="20"/>
      <w:lang w:val="en-GB"/>
    </w:rPr>
  </w:style>
  <w:style w:type="paragraph" w:customStyle="1" w:styleId="JuQuotSub">
    <w:name w:val="Ju_Quot_Sub"/>
    <w:basedOn w:val="ECHRParaQuote"/>
    <w:uiPriority w:val="15"/>
    <w:qFormat/>
    <w:rsid w:val="00647C3C"/>
    <w:pPr>
      <w:ind w:left="567"/>
    </w:pPr>
  </w:style>
  <w:style w:type="paragraph" w:customStyle="1" w:styleId="JuInitialled">
    <w:name w:val="Ju_Initialled"/>
    <w:basedOn w:val="Normal"/>
    <w:uiPriority w:val="31"/>
    <w:qFormat/>
    <w:rsid w:val="00647C3C"/>
    <w:pPr>
      <w:tabs>
        <w:tab w:val="center" w:pos="6407"/>
      </w:tabs>
      <w:spacing w:before="720"/>
      <w:jc w:val="right"/>
    </w:pPr>
  </w:style>
  <w:style w:type="paragraph" w:customStyle="1" w:styleId="OpiHi">
    <w:name w:val="Opi_H_i"/>
    <w:basedOn w:val="ECHRHeading4"/>
    <w:uiPriority w:val="44"/>
    <w:qFormat/>
    <w:rsid w:val="00647C3C"/>
    <w:pPr>
      <w:ind w:left="1037" w:hanging="357"/>
      <w:outlineLvl w:val="4"/>
    </w:pPr>
    <w:rPr>
      <w:b w:val="0"/>
      <w:i/>
    </w:rPr>
  </w:style>
  <w:style w:type="paragraph" w:styleId="Header">
    <w:name w:val="header"/>
    <w:basedOn w:val="Normal"/>
    <w:link w:val="HeaderChar"/>
    <w:uiPriority w:val="57"/>
    <w:semiHidden/>
    <w:rsid w:val="00647C3C"/>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647C3C"/>
    <w:rPr>
      <w:sz w:val="24"/>
      <w:lang w:val="en-GB"/>
    </w:rPr>
  </w:style>
  <w:style w:type="character" w:customStyle="1" w:styleId="Heading1Char">
    <w:name w:val="Heading 1 Char"/>
    <w:basedOn w:val="DefaultParagraphFont"/>
    <w:link w:val="Heading1"/>
    <w:uiPriority w:val="99"/>
    <w:semiHidden/>
    <w:rsid w:val="00647C3C"/>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Heading1"/>
    <w:next w:val="ECHRPara"/>
    <w:uiPriority w:val="19"/>
    <w:qFormat/>
    <w:rsid w:val="00647C3C"/>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647C3C"/>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647C3C"/>
    <w:rPr>
      <w:rFonts w:asciiTheme="majorHAnsi" w:eastAsiaTheme="majorEastAsia" w:hAnsiTheme="majorHAnsi" w:cstheme="majorBidi"/>
      <w:b/>
      <w:bCs/>
      <w:color w:val="4D4D4D"/>
      <w:sz w:val="26"/>
      <w:szCs w:val="26"/>
      <w:lang w:val="en-GB"/>
    </w:rPr>
  </w:style>
  <w:style w:type="character" w:customStyle="1" w:styleId="JUNAMES">
    <w:name w:val="JU_NAMES"/>
    <w:uiPriority w:val="17"/>
    <w:qFormat/>
    <w:rsid w:val="00647C3C"/>
    <w:rPr>
      <w:caps w:val="0"/>
      <w:smallCaps/>
    </w:rPr>
  </w:style>
  <w:style w:type="paragraph" w:customStyle="1" w:styleId="JuCase">
    <w:name w:val="Ju_Case"/>
    <w:basedOn w:val="Normal"/>
    <w:next w:val="ECHRPara"/>
    <w:uiPriority w:val="10"/>
    <w:rsid w:val="00647C3C"/>
    <w:pPr>
      <w:ind w:firstLine="284"/>
    </w:pPr>
    <w:rPr>
      <w:b/>
    </w:rPr>
  </w:style>
  <w:style w:type="character" w:customStyle="1" w:styleId="Heading3Char">
    <w:name w:val="Heading 3 Char"/>
    <w:basedOn w:val="DefaultParagraphFont"/>
    <w:link w:val="Heading3"/>
    <w:uiPriority w:val="99"/>
    <w:semiHidden/>
    <w:rsid w:val="00647C3C"/>
    <w:rPr>
      <w:rFonts w:asciiTheme="majorHAnsi" w:eastAsiaTheme="majorEastAsia" w:hAnsiTheme="majorHAnsi" w:cstheme="majorBidi"/>
      <w:b/>
      <w:bCs/>
      <w:color w:val="5F5F5F"/>
      <w:sz w:val="24"/>
      <w:lang w:val="en-GB"/>
    </w:rPr>
  </w:style>
  <w:style w:type="character" w:customStyle="1" w:styleId="Heading4Char">
    <w:name w:val="Heading 4 Char"/>
    <w:basedOn w:val="DefaultParagraphFont"/>
    <w:link w:val="Heading4"/>
    <w:uiPriority w:val="99"/>
    <w:semiHidden/>
    <w:rsid w:val="00647C3C"/>
    <w:rPr>
      <w:rFonts w:asciiTheme="majorHAnsi" w:eastAsiaTheme="majorEastAsia" w:hAnsiTheme="majorHAnsi" w:cstheme="majorBidi"/>
      <w:b/>
      <w:bCs/>
      <w:i/>
      <w:iCs/>
      <w:color w:val="777777"/>
      <w:sz w:val="24"/>
      <w:lang w:val="en-GB"/>
    </w:rPr>
  </w:style>
  <w:style w:type="character" w:customStyle="1" w:styleId="Heading5Char">
    <w:name w:val="Heading 5 Char"/>
    <w:basedOn w:val="DefaultParagraphFont"/>
    <w:link w:val="Heading5"/>
    <w:uiPriority w:val="99"/>
    <w:semiHidden/>
    <w:rsid w:val="00647C3C"/>
    <w:rPr>
      <w:rFonts w:asciiTheme="majorHAnsi" w:eastAsiaTheme="majorEastAsia" w:hAnsiTheme="majorHAnsi" w:cstheme="majorBidi"/>
      <w:b/>
      <w:bCs/>
      <w:color w:val="808080"/>
    </w:rPr>
  </w:style>
  <w:style w:type="character" w:styleId="SubtleEmphasis">
    <w:name w:val="Subtle Emphasis"/>
    <w:uiPriority w:val="99"/>
    <w:semiHidden/>
    <w:qFormat/>
    <w:rsid w:val="00647C3C"/>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647C3C"/>
    <w:pPr>
      <w:keepNext/>
      <w:keepLines/>
      <w:spacing w:before="720" w:after="240"/>
      <w:outlineLvl w:val="0"/>
    </w:pPr>
    <w:rPr>
      <w:rFonts w:asciiTheme="majorHAnsi" w:hAnsiTheme="majorHAnsi"/>
      <w:sz w:val="28"/>
    </w:rPr>
  </w:style>
  <w:style w:type="character" w:styleId="Emphasis">
    <w:name w:val="Emphasis"/>
    <w:uiPriority w:val="99"/>
    <w:semiHidden/>
    <w:qFormat/>
    <w:rsid w:val="00647C3C"/>
    <w:rPr>
      <w:b/>
      <w:bCs/>
      <w:i/>
      <w:iCs/>
      <w:spacing w:val="10"/>
      <w:bdr w:val="none" w:sz="0" w:space="0" w:color="auto"/>
      <w:shd w:val="clear" w:color="auto" w:fill="auto"/>
    </w:rPr>
  </w:style>
  <w:style w:type="paragraph" w:styleId="Footer">
    <w:name w:val="footer"/>
    <w:basedOn w:val="Normal"/>
    <w:link w:val="FooterChar"/>
    <w:uiPriority w:val="57"/>
    <w:semiHidden/>
    <w:rsid w:val="00647C3C"/>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647C3C"/>
    <w:rPr>
      <w:sz w:val="24"/>
      <w:lang w:val="en-GB"/>
    </w:rPr>
  </w:style>
  <w:style w:type="character" w:styleId="FootnoteReference">
    <w:name w:val="footnote reference"/>
    <w:basedOn w:val="DefaultParagraphFont"/>
    <w:uiPriority w:val="99"/>
    <w:semiHidden/>
    <w:rsid w:val="00647C3C"/>
    <w:rPr>
      <w:vertAlign w:val="superscript"/>
    </w:rPr>
  </w:style>
  <w:style w:type="paragraph" w:styleId="FootnoteText">
    <w:name w:val="footnote text"/>
    <w:basedOn w:val="Normal"/>
    <w:link w:val="FootnoteTextChar"/>
    <w:uiPriority w:val="99"/>
    <w:semiHidden/>
    <w:rsid w:val="00647C3C"/>
    <w:rPr>
      <w:sz w:val="20"/>
      <w:szCs w:val="20"/>
    </w:rPr>
  </w:style>
  <w:style w:type="character" w:customStyle="1" w:styleId="FootnoteTextChar">
    <w:name w:val="Footnote Text Char"/>
    <w:basedOn w:val="DefaultParagraphFont"/>
    <w:link w:val="FootnoteText"/>
    <w:uiPriority w:val="99"/>
    <w:semiHidden/>
    <w:rsid w:val="00647C3C"/>
    <w:rPr>
      <w:rFonts w:eastAsiaTheme="minorEastAsia"/>
      <w:sz w:val="20"/>
      <w:szCs w:val="20"/>
      <w:lang w:val="en-GB"/>
    </w:rPr>
  </w:style>
  <w:style w:type="character" w:customStyle="1" w:styleId="Heading6Char">
    <w:name w:val="Heading 6 Char"/>
    <w:basedOn w:val="DefaultParagraphFont"/>
    <w:link w:val="Heading6"/>
    <w:uiPriority w:val="99"/>
    <w:semiHidden/>
    <w:rsid w:val="00647C3C"/>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647C3C"/>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647C3C"/>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647C3C"/>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647C3C"/>
    <w:rPr>
      <w:color w:val="0072BC" w:themeColor="hyperlink"/>
      <w:u w:val="single"/>
    </w:rPr>
  </w:style>
  <w:style w:type="character" w:styleId="IntenseEmphasis">
    <w:name w:val="Intense Emphasis"/>
    <w:uiPriority w:val="99"/>
    <w:semiHidden/>
    <w:qFormat/>
    <w:rsid w:val="00647C3C"/>
    <w:rPr>
      <w:b/>
      <w:bCs/>
    </w:rPr>
  </w:style>
  <w:style w:type="paragraph" w:styleId="IntenseQuote">
    <w:name w:val="Intense Quote"/>
    <w:basedOn w:val="Normal"/>
    <w:next w:val="Normal"/>
    <w:link w:val="IntenseQuoteChar"/>
    <w:uiPriority w:val="99"/>
    <w:semiHidden/>
    <w:qFormat/>
    <w:rsid w:val="00647C3C"/>
    <w:pPr>
      <w:pBdr>
        <w:bottom w:val="single" w:sz="4" w:space="1" w:color="auto"/>
      </w:pBdr>
      <w:spacing w:before="200" w:after="280"/>
      <w:ind w:left="1008" w:right="1152"/>
    </w:pPr>
    <w:rPr>
      <w:b/>
      <w:bCs/>
      <w:i/>
      <w:iCs/>
      <w:sz w:val="22"/>
      <w:lang w:val="en-US" w:bidi="en-US"/>
    </w:rPr>
  </w:style>
  <w:style w:type="character" w:customStyle="1" w:styleId="IntenseQuoteChar">
    <w:name w:val="Intense Quote Char"/>
    <w:basedOn w:val="DefaultParagraphFont"/>
    <w:link w:val="IntenseQuote"/>
    <w:uiPriority w:val="99"/>
    <w:semiHidden/>
    <w:rsid w:val="00647C3C"/>
    <w:rPr>
      <w:rFonts w:eastAsiaTheme="minorEastAsia"/>
      <w:b/>
      <w:bCs/>
      <w:i/>
      <w:iCs/>
      <w:lang w:bidi="en-US"/>
    </w:rPr>
  </w:style>
  <w:style w:type="character" w:styleId="IntenseReference">
    <w:name w:val="Intense Reference"/>
    <w:uiPriority w:val="99"/>
    <w:semiHidden/>
    <w:qFormat/>
    <w:rsid w:val="00647C3C"/>
    <w:rPr>
      <w:smallCaps/>
      <w:spacing w:val="5"/>
      <w:u w:val="single"/>
    </w:rPr>
  </w:style>
  <w:style w:type="paragraph" w:styleId="ListParagraph">
    <w:name w:val="List Paragraph"/>
    <w:basedOn w:val="Normal"/>
    <w:uiPriority w:val="99"/>
    <w:semiHidden/>
    <w:qFormat/>
    <w:rsid w:val="00647C3C"/>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647C3C"/>
    <w:pPr>
      <w:spacing w:before="200"/>
      <w:ind w:left="360" w:right="360"/>
    </w:pPr>
    <w:rPr>
      <w:i/>
      <w:iCs/>
      <w:sz w:val="22"/>
      <w:lang w:val="en-US" w:bidi="en-US"/>
    </w:rPr>
  </w:style>
  <w:style w:type="character" w:customStyle="1" w:styleId="QuoteChar">
    <w:name w:val="Quote Char"/>
    <w:basedOn w:val="DefaultParagraphFont"/>
    <w:link w:val="Quote"/>
    <w:uiPriority w:val="99"/>
    <w:semiHidden/>
    <w:rsid w:val="00647C3C"/>
    <w:rPr>
      <w:rFonts w:eastAsiaTheme="minorEastAsia"/>
      <w:i/>
      <w:iCs/>
      <w:lang w:bidi="en-US"/>
    </w:rPr>
  </w:style>
  <w:style w:type="character" w:styleId="SubtleReference">
    <w:name w:val="Subtle Reference"/>
    <w:uiPriority w:val="99"/>
    <w:semiHidden/>
    <w:qFormat/>
    <w:rsid w:val="00647C3C"/>
    <w:rPr>
      <w:smallCaps/>
    </w:rPr>
  </w:style>
  <w:style w:type="table" w:styleId="TableGrid">
    <w:name w:val="Table Grid"/>
    <w:basedOn w:val="TableNormal"/>
    <w:uiPriority w:val="59"/>
    <w:semiHidden/>
    <w:rsid w:val="00647C3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647C3C"/>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647C3C"/>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647C3C"/>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647C3C"/>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647C3C"/>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647C3C"/>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647C3C"/>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647C3C"/>
    <w:pPr>
      <w:spacing w:before="120" w:after="120"/>
      <w:ind w:left="425" w:firstLine="142"/>
    </w:pPr>
    <w:rPr>
      <w:sz w:val="20"/>
    </w:rPr>
  </w:style>
  <w:style w:type="paragraph" w:customStyle="1" w:styleId="ECHRPara">
    <w:name w:val="ECHR_Para"/>
    <w:aliases w:val="Ju_Para"/>
    <w:basedOn w:val="Normal"/>
    <w:link w:val="ECHRParaChar1"/>
    <w:uiPriority w:val="12"/>
    <w:qFormat/>
    <w:rsid w:val="00647C3C"/>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647C3C"/>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647C3C"/>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647C3C"/>
    <w:pPr>
      <w:ind w:left="340" w:hanging="340"/>
    </w:pPr>
  </w:style>
  <w:style w:type="paragraph" w:customStyle="1" w:styleId="JuSigned">
    <w:name w:val="Ju_Signed"/>
    <w:basedOn w:val="Normal"/>
    <w:next w:val="JuParaLast"/>
    <w:uiPriority w:val="32"/>
    <w:qFormat/>
    <w:rsid w:val="00647C3C"/>
    <w:pPr>
      <w:tabs>
        <w:tab w:val="center" w:pos="851"/>
        <w:tab w:val="center" w:pos="6407"/>
      </w:tabs>
      <w:spacing w:before="720"/>
      <w:jc w:val="left"/>
    </w:pPr>
  </w:style>
  <w:style w:type="paragraph" w:customStyle="1" w:styleId="JuParaLast">
    <w:name w:val="Ju_Para_Last"/>
    <w:basedOn w:val="Normal"/>
    <w:next w:val="ECHRPara"/>
    <w:uiPriority w:val="30"/>
    <w:qFormat/>
    <w:rsid w:val="00647C3C"/>
    <w:pPr>
      <w:keepNext/>
      <w:keepLines/>
      <w:spacing w:before="240"/>
      <w:ind w:firstLine="284"/>
    </w:pPr>
  </w:style>
  <w:style w:type="paragraph" w:customStyle="1" w:styleId="JuCourt">
    <w:name w:val="Ju_Court"/>
    <w:basedOn w:val="Normal"/>
    <w:next w:val="Normal"/>
    <w:uiPriority w:val="16"/>
    <w:qFormat/>
    <w:rsid w:val="00647C3C"/>
    <w:pPr>
      <w:tabs>
        <w:tab w:val="left" w:pos="907"/>
        <w:tab w:val="left" w:pos="1701"/>
        <w:tab w:val="right" w:pos="7371"/>
      </w:tabs>
      <w:spacing w:before="240"/>
      <w:ind w:left="397" w:hanging="397"/>
      <w:jc w:val="left"/>
    </w:pPr>
    <w:rPr>
      <w:lang w:bidi="en-US"/>
    </w:r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647C3C"/>
    <w:pPr>
      <w:ind w:left="346" w:firstLine="0"/>
    </w:pPr>
  </w:style>
  <w:style w:type="paragraph" w:customStyle="1" w:styleId="JuListi">
    <w:name w:val="Ju_List_i"/>
    <w:basedOn w:val="Normal"/>
    <w:next w:val="JuLista"/>
    <w:uiPriority w:val="28"/>
    <w:qFormat/>
    <w:rsid w:val="00647C3C"/>
    <w:pPr>
      <w:ind w:left="794"/>
    </w:p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basedOn w:val="DefaultParagraphFont"/>
    <w:link w:val="CommentText"/>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basedOn w:val="DefaultParagraphFont"/>
    <w:uiPriority w:val="99"/>
    <w:semiHidden/>
    <w:rsid w:val="00647C3C"/>
    <w:rPr>
      <w:vertAlign w:val="superscript"/>
    </w:rPr>
  </w:style>
  <w:style w:type="paragraph" w:styleId="EndnoteText">
    <w:name w:val="endnote text"/>
    <w:basedOn w:val="Normal"/>
    <w:link w:val="EndnoteTextChar"/>
    <w:uiPriority w:val="99"/>
    <w:semiHidden/>
    <w:rsid w:val="00647C3C"/>
    <w:rPr>
      <w:sz w:val="20"/>
      <w:szCs w:val="20"/>
    </w:rPr>
  </w:style>
  <w:style w:type="character" w:customStyle="1" w:styleId="EndnoteTextChar">
    <w:name w:val="Endnote Text Char"/>
    <w:basedOn w:val="DefaultParagraphFont"/>
    <w:link w:val="EndnoteText"/>
    <w:uiPriority w:val="99"/>
    <w:semiHidden/>
    <w:rsid w:val="00647C3C"/>
    <w:rPr>
      <w:rFonts w:eastAsiaTheme="minorEastAsia"/>
      <w:sz w:val="20"/>
      <w:szCs w:val="20"/>
      <w:lang w:val="en-GB"/>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character" w:customStyle="1" w:styleId="JuNames0">
    <w:name w:val="Ju_Names"/>
    <w:rsid w:val="00014566"/>
    <w:rPr>
      <w:smallCaps/>
    </w:rPr>
  </w:style>
  <w:style w:type="paragraph" w:styleId="ListBullet">
    <w:name w:val="List Bullet"/>
    <w:basedOn w:val="Normal"/>
    <w:uiPriority w:val="99"/>
    <w:semiHidden/>
    <w:rsid w:val="00014566"/>
    <w:pPr>
      <w:numPr>
        <w:numId w:val="1"/>
      </w:numPr>
    </w:pPr>
  </w:style>
  <w:style w:type="character" w:customStyle="1" w:styleId="JuITMark">
    <w:name w:val="Ju_ITMark"/>
    <w:basedOn w:val="DefaultParagraphFont"/>
    <w:uiPriority w:val="38"/>
    <w:qFormat/>
    <w:rsid w:val="00647C3C"/>
    <w:rPr>
      <w:vanish w:val="0"/>
      <w:color w:val="auto"/>
      <w:sz w:val="14"/>
      <w:bdr w:val="none" w:sz="0" w:space="0" w:color="auto"/>
      <w:shd w:val="clear" w:color="auto" w:fill="BEE5FF" w:themeFill="background1" w:themeFillTint="33"/>
    </w:rPr>
  </w:style>
  <w:style w:type="paragraph" w:styleId="Subtitle">
    <w:name w:val="Subtitle"/>
    <w:basedOn w:val="Normal"/>
    <w:next w:val="Normal"/>
    <w:link w:val="SubtitleChar"/>
    <w:uiPriority w:val="99"/>
    <w:semiHidden/>
    <w:qFormat/>
    <w:rsid w:val="00647C3C"/>
    <w:pPr>
      <w:spacing w:after="600"/>
    </w:pPr>
    <w:rPr>
      <w:rFonts w:asciiTheme="majorHAnsi" w:eastAsiaTheme="majorEastAsia" w:hAnsiTheme="majorHAnsi" w:cstheme="majorBidi"/>
      <w:i/>
      <w:iCs/>
      <w:spacing w:val="13"/>
      <w:szCs w:val="24"/>
      <w:lang w:val="en-US" w:bidi="en-US"/>
    </w:rPr>
  </w:style>
  <w:style w:type="character" w:customStyle="1" w:styleId="SubtitleChar">
    <w:name w:val="Subtitle Char"/>
    <w:basedOn w:val="DefaultParagraphFont"/>
    <w:link w:val="Subtitle"/>
    <w:uiPriority w:val="99"/>
    <w:semiHidden/>
    <w:rsid w:val="00647C3C"/>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unhideWhenUsed/>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en-GB" w:eastAsia="fr-FR"/>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customStyle="1" w:styleId="OpiPara">
    <w:name w:val="Opi_Para"/>
    <w:basedOn w:val="ECHRPara"/>
    <w:uiPriority w:val="46"/>
    <w:qFormat/>
    <w:rsid w:val="00647C3C"/>
  </w:style>
  <w:style w:type="paragraph" w:customStyle="1" w:styleId="OpiParaSub">
    <w:name w:val="Opi_Para_Sub"/>
    <w:basedOn w:val="JuParaSub"/>
    <w:uiPriority w:val="47"/>
    <w:qFormat/>
    <w:rsid w:val="00647C3C"/>
  </w:style>
  <w:style w:type="character" w:styleId="PlaceholderText">
    <w:name w:val="Placeholder Text"/>
    <w:basedOn w:val="DefaultParagraphFont"/>
    <w:uiPriority w:val="99"/>
    <w:semiHidden/>
    <w:rsid w:val="00647C3C"/>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647C3C"/>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647C3C"/>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Quot">
    <w:name w:val="Opi_Quot"/>
    <w:basedOn w:val="ECHRParaQuote"/>
    <w:uiPriority w:val="48"/>
    <w:qFormat/>
    <w:rsid w:val="00647C3C"/>
  </w:style>
  <w:style w:type="paragraph" w:customStyle="1" w:styleId="DecHTitle">
    <w:name w:val="Dec_H_Title"/>
    <w:basedOn w:val="ECHRTitleCentre1"/>
    <w:uiPriority w:val="7"/>
    <w:qFormat/>
    <w:rsid w:val="00647C3C"/>
  </w:style>
  <w:style w:type="paragraph" w:customStyle="1" w:styleId="DecList">
    <w:name w:val="Dec_List"/>
    <w:basedOn w:val="Normal"/>
    <w:uiPriority w:val="9"/>
    <w:qFormat/>
    <w:rsid w:val="00647C3C"/>
    <w:pPr>
      <w:spacing w:before="240"/>
      <w:ind w:left="284"/>
    </w:pPr>
  </w:style>
  <w:style w:type="paragraph" w:customStyle="1" w:styleId="OpiQuotSub">
    <w:name w:val="Opi_Quot_Sub"/>
    <w:basedOn w:val="JuQuotSub"/>
    <w:uiPriority w:val="49"/>
    <w:qFormat/>
    <w:rsid w:val="00647C3C"/>
  </w:style>
  <w:style w:type="paragraph" w:customStyle="1" w:styleId="OpiTranslation">
    <w:name w:val="Opi_Translation"/>
    <w:basedOn w:val="Normal"/>
    <w:next w:val="OpiPara"/>
    <w:uiPriority w:val="40"/>
    <w:qFormat/>
    <w:rsid w:val="00647C3C"/>
    <w:pPr>
      <w:jc w:val="center"/>
      <w:outlineLvl w:val="0"/>
    </w:pPr>
    <w:rPr>
      <w:i/>
    </w:rPr>
  </w:style>
  <w:style w:type="paragraph" w:styleId="NoteHeading">
    <w:name w:val="Note Heading"/>
    <w:basedOn w:val="Normal"/>
    <w:next w:val="Normal"/>
    <w:link w:val="NoteHeadingChar"/>
    <w:uiPriority w:val="99"/>
    <w:semiHidden/>
    <w:unhideWhenUsed/>
    <w:rsid w:val="006F22BC"/>
  </w:style>
  <w:style w:type="character" w:customStyle="1" w:styleId="NoteHeadingChar">
    <w:name w:val="Note Heading Char"/>
    <w:basedOn w:val="DefaultParagraphFont"/>
    <w:link w:val="NoteHeading"/>
    <w:uiPriority w:val="99"/>
    <w:semiHidden/>
    <w:rsid w:val="006F22BC"/>
    <w:rPr>
      <w:rFonts w:eastAsiaTheme="minorEastAsia"/>
      <w:sz w:val="24"/>
    </w:rPr>
  </w:style>
  <w:style w:type="paragraph" w:customStyle="1" w:styleId="JuHeaderLandscape">
    <w:name w:val="Ju_Header_Landscape"/>
    <w:basedOn w:val="ECHRHeader"/>
    <w:uiPriority w:val="4"/>
    <w:rsid w:val="006D6ADC"/>
    <w:pPr>
      <w:tabs>
        <w:tab w:val="center" w:pos="6146"/>
        <w:tab w:val="right" w:pos="12293"/>
      </w:tabs>
    </w:pPr>
  </w:style>
  <w:style w:type="character" w:customStyle="1" w:styleId="ECHRParaChar1">
    <w:name w:val="ECHR_Para Char1"/>
    <w:aliases w:val="Ju_Para Char1"/>
    <w:link w:val="ECHRPara"/>
    <w:uiPriority w:val="12"/>
    <w:rsid w:val="007A4ACD"/>
    <w:rPr>
      <w:rFonts w:eastAsiaTheme="minorEastAsia"/>
      <w:sz w:val="24"/>
      <w:lang w:val="en-GB"/>
    </w:rPr>
  </w:style>
  <w:style w:type="paragraph" w:styleId="Revision">
    <w:name w:val="Revision"/>
    <w:hidden/>
    <w:uiPriority w:val="99"/>
    <w:semiHidden/>
    <w:rsid w:val="005A6FB6"/>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335188">
      <w:bodyDiv w:val="1"/>
      <w:marLeft w:val="0"/>
      <w:marRight w:val="0"/>
      <w:marTop w:val="0"/>
      <w:marBottom w:val="0"/>
      <w:divBdr>
        <w:top w:val="none" w:sz="0" w:space="0" w:color="auto"/>
        <w:left w:val="none" w:sz="0" w:space="0" w:color="auto"/>
        <w:bottom w:val="none" w:sz="0" w:space="0" w:color="auto"/>
        <w:right w:val="none" w:sz="0" w:space="0" w:color="auto"/>
      </w:divBdr>
      <w:divsChild>
        <w:div w:id="409348977">
          <w:marLeft w:val="0"/>
          <w:marRight w:val="0"/>
          <w:marTop w:val="0"/>
          <w:marBottom w:val="0"/>
          <w:divBdr>
            <w:top w:val="none" w:sz="0" w:space="0" w:color="auto"/>
            <w:left w:val="none" w:sz="0" w:space="0" w:color="auto"/>
            <w:bottom w:val="none" w:sz="0" w:space="0" w:color="auto"/>
            <w:right w:val="none" w:sz="0" w:space="0" w:color="auto"/>
          </w:divBdr>
          <w:divsChild>
            <w:div w:id="6748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957525">
      <w:bodyDiv w:val="1"/>
      <w:marLeft w:val="0"/>
      <w:marRight w:val="0"/>
      <w:marTop w:val="0"/>
      <w:marBottom w:val="0"/>
      <w:divBdr>
        <w:top w:val="none" w:sz="0" w:space="0" w:color="auto"/>
        <w:left w:val="none" w:sz="0" w:space="0" w:color="auto"/>
        <w:bottom w:val="none" w:sz="0" w:space="0" w:color="auto"/>
        <w:right w:val="none" w:sz="0" w:space="0" w:color="auto"/>
      </w:divBdr>
      <w:divsChild>
        <w:div w:id="1989699764">
          <w:marLeft w:val="0"/>
          <w:marRight w:val="0"/>
          <w:marTop w:val="0"/>
          <w:marBottom w:val="0"/>
          <w:divBdr>
            <w:top w:val="none" w:sz="0" w:space="0" w:color="auto"/>
            <w:left w:val="none" w:sz="0" w:space="0" w:color="auto"/>
            <w:bottom w:val="none" w:sz="0" w:space="0" w:color="auto"/>
            <w:right w:val="none" w:sz="0" w:space="0" w:color="auto"/>
          </w:divBdr>
          <w:divsChild>
            <w:div w:id="109400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0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357A24-C2BE-475A-B69B-E585444D8F31}"/>
</file>

<file path=customXml/itemProps2.xml><?xml version="1.0" encoding="utf-8"?>
<ds:datastoreItem xmlns:ds="http://schemas.openxmlformats.org/officeDocument/2006/customXml" ds:itemID="{E9C3EB80-D244-408A-8E92-A7495F3BE56F}"/>
</file>

<file path=customXml/itemProps3.xml><?xml version="1.0" encoding="utf-8"?>
<ds:datastoreItem xmlns:ds="http://schemas.openxmlformats.org/officeDocument/2006/customXml" ds:itemID="{4DDE81A8-2F63-4EA6-9A27-501413FC7B76}"/>
</file>

<file path=customXml/itemProps4.xml><?xml version="1.0" encoding="utf-8"?>
<ds:datastoreItem xmlns:ds="http://schemas.openxmlformats.org/officeDocument/2006/customXml" ds:itemID="{C4D0ED75-2F3F-4F4C-809B-FFC30A8FC7D7}"/>
</file>

<file path=docProps/app.xml><?xml version="1.0" encoding="utf-8"?>
<Properties xmlns="http://schemas.openxmlformats.org/officeDocument/2006/extended-properties" xmlns:vt="http://schemas.openxmlformats.org/officeDocument/2006/docPropsVTypes">
  <Template>Normal.dotm</Template>
  <TotalTime>0</TotalTime>
  <Pages>1</Pages>
  <Words>9421</Words>
  <Characters>53704</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ECHR</vt:lpstr>
    </vt:vector>
  </TitlesOfParts>
  <LinksUpToDate>false</LinksUpToDate>
  <CharactersWithSpaces>63000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2020-03-10T15:07:00Z</dcterms:created>
  <dcterms:modified xsi:type="dcterms:W3CDTF">2020-03-10T15:07:00Z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49972/16</vt:lpwstr>
  </property>
  <property fmtid="{D5CDD505-2E9C-101B-9397-08002B2CF9AE}" pid="4" name="CASEID">
    <vt:lpwstr>1233220</vt:lpwstr>
  </property>
  <property fmtid="{D5CDD505-2E9C-101B-9397-08002B2CF9AE}" pid="5" name="ContentTypeId">
    <vt:lpwstr>0x010100558EB02BDB9E204AB350EDD385B68E10</vt:lpwstr>
  </property>
</Properties>
</file>