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F67E5" w:rsidR="00624CCB" w:rsidP="009F67E5" w:rsidRDefault="00624CCB">
      <w:pPr>
        <w:jc w:val="center"/>
        <w:rPr>
          <w:rFonts w:ascii="Times New Roman" w:hAnsi="Times New Roman" w:cs="Times New Roman"/>
        </w:rPr>
      </w:pPr>
      <w:bookmarkStart w:name="_GoBack" w:id="0"/>
      <w:bookmarkEnd w:id="0"/>
    </w:p>
    <w:p w:rsidRPr="009F67E5" w:rsidR="0098410D" w:rsidP="009F67E5" w:rsidRDefault="0098410D">
      <w:pPr>
        <w:jc w:val="center"/>
      </w:pPr>
    </w:p>
    <w:p w:rsidRPr="009F67E5" w:rsidR="0098410D" w:rsidP="009F67E5" w:rsidRDefault="00624CCB">
      <w:pPr>
        <w:pStyle w:val="DecHCase"/>
      </w:pPr>
      <w:r w:rsidRPr="009F67E5">
        <w:t>THIRD SECTION</w:t>
      </w:r>
    </w:p>
    <w:p w:rsidRPr="009F67E5" w:rsidR="00257938" w:rsidP="009F67E5" w:rsidRDefault="00257938">
      <w:pPr>
        <w:pStyle w:val="JuPara"/>
      </w:pPr>
    </w:p>
    <w:p w:rsidRPr="009F67E5" w:rsidR="008E6217" w:rsidP="009F67E5" w:rsidRDefault="008E6217">
      <w:pPr>
        <w:pStyle w:val="JuTitle"/>
      </w:pPr>
      <w:bookmarkStart w:name="To" w:id="1"/>
      <w:r w:rsidRPr="009F67E5">
        <w:rPr>
          <w:color w:val="000000" w:themeColor="text1"/>
        </w:rPr>
        <w:t xml:space="preserve">CASE OF </w:t>
      </w:r>
      <w:bookmarkEnd w:id="1"/>
      <w:r w:rsidRPr="009F67E5" w:rsidR="00624CCB">
        <w:t>SVAROVSKIY</w:t>
      </w:r>
      <w:r w:rsidRPr="009F67E5" w:rsidR="00AD7C1F">
        <w:t xml:space="preserve"> AND OTHERS</w:t>
      </w:r>
      <w:r w:rsidRPr="009F67E5" w:rsidR="00624CCB">
        <w:t xml:space="preserve"> v. RUSSIA</w:t>
      </w:r>
    </w:p>
    <w:p w:rsidRPr="009F67E5" w:rsidR="00D74888" w:rsidP="009F67E5" w:rsidRDefault="008E6217">
      <w:pPr>
        <w:pStyle w:val="ECHRCoverTitle4"/>
      </w:pPr>
      <w:r w:rsidRPr="009F67E5">
        <w:t>(</w:t>
      </w:r>
      <w:r w:rsidRPr="009F67E5" w:rsidR="00624CCB">
        <w:t>Applications nos.</w:t>
      </w:r>
      <w:r w:rsidRPr="009F67E5">
        <w:t xml:space="preserve"> </w:t>
      </w:r>
      <w:r w:rsidRPr="009F67E5" w:rsidR="00624CCB">
        <w:t xml:space="preserve">47800/14 and </w:t>
      </w:r>
      <w:r w:rsidRPr="009F67E5" w:rsidR="00AD7C1F">
        <w:t>2</w:t>
      </w:r>
      <w:r w:rsidRPr="009F67E5" w:rsidR="00624CCB">
        <w:t xml:space="preserve"> others</w:t>
      </w:r>
      <w:r w:rsidRPr="009F67E5" w:rsidR="00624BFE">
        <w:t xml:space="preserve"> – see appended list</w:t>
      </w:r>
      <w:r w:rsidRPr="009F67E5">
        <w:t>)</w:t>
      </w:r>
    </w:p>
    <w:p w:rsidRPr="009F67E5" w:rsidR="0098410D" w:rsidP="009F67E5" w:rsidRDefault="0098410D">
      <w:pPr>
        <w:pStyle w:val="DecHCase"/>
      </w:pPr>
    </w:p>
    <w:p w:rsidRPr="009F67E5" w:rsidR="0098410D" w:rsidP="009F67E5" w:rsidRDefault="0098410D">
      <w:pPr>
        <w:pStyle w:val="DecHCase"/>
      </w:pPr>
    </w:p>
    <w:p w:rsidRPr="009F67E5" w:rsidR="00AC4CD4" w:rsidP="009F67E5" w:rsidRDefault="00AC4CD4">
      <w:pPr>
        <w:pStyle w:val="DecHCase"/>
      </w:pPr>
    </w:p>
    <w:p w:rsidRPr="009F67E5" w:rsidR="0098410D" w:rsidP="009F67E5" w:rsidRDefault="0098410D">
      <w:pPr>
        <w:pStyle w:val="DecHCase"/>
      </w:pPr>
    </w:p>
    <w:p w:rsidRPr="009F67E5" w:rsidR="0098410D" w:rsidP="009F67E5" w:rsidRDefault="0098410D">
      <w:pPr>
        <w:pStyle w:val="DecHCase"/>
      </w:pPr>
      <w:r w:rsidRPr="009F67E5">
        <w:t>JUDGMENT</w:t>
      </w:r>
      <w:r w:rsidRPr="009F67E5" w:rsidR="00AC4CD4">
        <w:br/>
      </w:r>
    </w:p>
    <w:p w:rsidRPr="009F67E5" w:rsidR="00587F29" w:rsidP="009F67E5" w:rsidRDefault="00587F29">
      <w:pPr>
        <w:pStyle w:val="JuPara"/>
      </w:pPr>
    </w:p>
    <w:p w:rsidRPr="009F67E5" w:rsidR="0098410D" w:rsidP="009F67E5" w:rsidRDefault="0098410D">
      <w:pPr>
        <w:pStyle w:val="DecHCase"/>
      </w:pPr>
      <w:r w:rsidRPr="009F67E5">
        <w:t>STRASBOURG</w:t>
      </w:r>
    </w:p>
    <w:p w:rsidRPr="009F67E5" w:rsidR="0098410D" w:rsidP="009F67E5" w:rsidRDefault="00624CCB">
      <w:pPr>
        <w:pStyle w:val="DecHCase"/>
      </w:pPr>
      <w:r w:rsidRPr="009F67E5">
        <w:rPr>
          <w:rFonts w:ascii="Times New Roman" w:hAnsi="Times New Roman" w:cs="Times New Roman"/>
        </w:rPr>
        <w:t>6 October 2020</w:t>
      </w:r>
    </w:p>
    <w:p w:rsidRPr="009F67E5" w:rsidR="00AC4CD4" w:rsidP="009F67E5" w:rsidRDefault="00AC4CD4">
      <w:pPr>
        <w:pStyle w:val="JuPara"/>
      </w:pPr>
    </w:p>
    <w:p w:rsidRPr="009F67E5" w:rsidR="004363BC" w:rsidP="009F67E5" w:rsidRDefault="004363BC">
      <w:pPr>
        <w:pStyle w:val="JuPara"/>
      </w:pPr>
    </w:p>
    <w:p w:rsidRPr="009F67E5" w:rsidR="004363BC" w:rsidP="009F67E5" w:rsidRDefault="004363BC">
      <w:pPr>
        <w:pStyle w:val="JuPara"/>
      </w:pPr>
    </w:p>
    <w:p w:rsidRPr="009F67E5" w:rsidR="00587F29" w:rsidP="009F67E5" w:rsidRDefault="00587F29">
      <w:pPr>
        <w:pStyle w:val="JuPara"/>
      </w:pPr>
    </w:p>
    <w:p w:rsidRPr="009F67E5" w:rsidR="00587F29" w:rsidP="009F67E5" w:rsidRDefault="00587F29">
      <w:pPr>
        <w:pStyle w:val="JuPara"/>
      </w:pPr>
    </w:p>
    <w:p w:rsidRPr="009F67E5" w:rsidR="00587F29" w:rsidP="009F67E5" w:rsidRDefault="00587F29">
      <w:pPr>
        <w:pStyle w:val="JuPara"/>
      </w:pPr>
    </w:p>
    <w:p w:rsidRPr="009F67E5" w:rsidR="002422B6" w:rsidP="009F67E5" w:rsidRDefault="0098410D">
      <w:pPr>
        <w:rPr>
          <w:i/>
          <w:sz w:val="22"/>
        </w:rPr>
      </w:pPr>
      <w:r w:rsidRPr="009F67E5">
        <w:rPr>
          <w:i/>
          <w:sz w:val="22"/>
        </w:rPr>
        <w:t xml:space="preserve">This judgment </w:t>
      </w:r>
      <w:r w:rsidRPr="009F67E5" w:rsidR="00624CCB">
        <w:rPr>
          <w:i/>
          <w:sz w:val="22"/>
        </w:rPr>
        <w:t>is final but it</w:t>
      </w:r>
      <w:r w:rsidRPr="009F67E5">
        <w:rPr>
          <w:i/>
          <w:sz w:val="22"/>
        </w:rPr>
        <w:t xml:space="preserve"> may be subject to editorial revision.</w:t>
      </w:r>
    </w:p>
    <w:p w:rsidRPr="009F67E5" w:rsidR="0098410D" w:rsidP="009F67E5" w:rsidRDefault="0098410D"/>
    <w:p w:rsidRPr="009F67E5" w:rsidR="00E1006B" w:rsidP="009F67E5" w:rsidRDefault="00E1006B">
      <w:pPr>
        <w:sectPr w:rsidRPr="009F67E5" w:rsidR="00E1006B"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F67E5" w:rsidR="0098410D" w:rsidP="009F67E5" w:rsidRDefault="0098410D">
      <w:pPr>
        <w:pStyle w:val="JuCase"/>
      </w:pPr>
      <w:r w:rsidRPr="009F67E5">
        <w:t xml:space="preserve">In the case of </w:t>
      </w:r>
      <w:proofErr w:type="spellStart"/>
      <w:r w:rsidRPr="009F67E5" w:rsidR="00624CCB">
        <w:t>Svarovskiy</w:t>
      </w:r>
      <w:proofErr w:type="spellEnd"/>
      <w:r w:rsidRPr="009F67E5" w:rsidR="00624CCB">
        <w:t xml:space="preserve"> </w:t>
      </w:r>
      <w:r w:rsidRPr="009F67E5" w:rsidR="00AD7C1F">
        <w:t xml:space="preserve">and Others </w:t>
      </w:r>
      <w:r w:rsidRPr="009F67E5" w:rsidR="00624CCB">
        <w:t>v. Russia</w:t>
      </w:r>
      <w:r w:rsidRPr="009F67E5">
        <w:t>,</w:t>
      </w:r>
    </w:p>
    <w:p w:rsidRPr="009F67E5" w:rsidR="009F4C8F" w:rsidP="009F67E5" w:rsidRDefault="009F4C8F">
      <w:pPr>
        <w:pStyle w:val="JuPara"/>
      </w:pPr>
      <w:r w:rsidRPr="009F67E5">
        <w:t>The European Court of Human Rights (</w:t>
      </w:r>
      <w:r w:rsidRPr="009F67E5" w:rsidR="00624CCB">
        <w:t>Third Section</w:t>
      </w:r>
      <w:r w:rsidRPr="009F67E5">
        <w:t xml:space="preserve">), sitting as a </w:t>
      </w:r>
      <w:r w:rsidRPr="009F67E5" w:rsidR="00624CCB">
        <w:t>Committee</w:t>
      </w:r>
      <w:r w:rsidRPr="009F67E5">
        <w:t xml:space="preserve"> composed of:</w:t>
      </w:r>
    </w:p>
    <w:p w:rsidRPr="009F67E5" w:rsidR="009F4C8F" w:rsidP="009F67E5" w:rsidRDefault="00AD7C1F">
      <w:pPr>
        <w:pStyle w:val="JuJudges"/>
      </w:pPr>
      <w:r w:rsidRPr="009F67E5">
        <w:tab/>
        <w:t>Helen Keller,</w:t>
      </w:r>
      <w:r w:rsidRPr="009F67E5">
        <w:rPr>
          <w:i/>
        </w:rPr>
        <w:t xml:space="preserve"> President,</w:t>
      </w:r>
      <w:r w:rsidRPr="009F67E5">
        <w:rPr>
          <w:i/>
        </w:rPr>
        <w:br/>
      </w:r>
      <w:r w:rsidRPr="009F67E5">
        <w:tab/>
      </w:r>
      <w:proofErr w:type="spellStart"/>
      <w:r w:rsidRPr="009F67E5">
        <w:t>María</w:t>
      </w:r>
      <w:proofErr w:type="spellEnd"/>
      <w:r w:rsidRPr="009F67E5">
        <w:t xml:space="preserve"> </w:t>
      </w:r>
      <w:proofErr w:type="spellStart"/>
      <w:r w:rsidRPr="009F67E5">
        <w:t>Elósegui</w:t>
      </w:r>
      <w:proofErr w:type="spellEnd"/>
      <w:r w:rsidRPr="009F67E5">
        <w:t>,</w:t>
      </w:r>
      <w:r w:rsidRPr="009F67E5">
        <w:rPr>
          <w:i/>
        </w:rPr>
        <w:br/>
      </w:r>
      <w:r w:rsidRPr="009F67E5">
        <w:tab/>
        <w:t>Ana Maria Guerra Martins,</w:t>
      </w:r>
      <w:r w:rsidRPr="009F67E5">
        <w:rPr>
          <w:i/>
        </w:rPr>
        <w:t xml:space="preserve"> judges,</w:t>
      </w:r>
      <w:r w:rsidRPr="009F67E5" w:rsidR="009F4C8F">
        <w:br/>
        <w:t xml:space="preserve">and </w:t>
      </w:r>
      <w:r w:rsidRPr="009F67E5" w:rsidR="00624CCB">
        <w:t>Olga Chernishova</w:t>
      </w:r>
      <w:r w:rsidRPr="009F67E5" w:rsidR="009F4C8F">
        <w:t xml:space="preserve">, </w:t>
      </w:r>
      <w:r w:rsidRPr="009F67E5" w:rsidR="00624CCB">
        <w:rPr>
          <w:i/>
        </w:rPr>
        <w:t xml:space="preserve">Deputy Section </w:t>
      </w:r>
      <w:r w:rsidRPr="009F67E5" w:rsidR="00624CCB">
        <w:rPr>
          <w:i/>
          <w:iCs/>
        </w:rPr>
        <w:t>Registrar</w:t>
      </w:r>
      <w:r w:rsidRPr="009F67E5" w:rsidR="009F4C8F">
        <w:rPr>
          <w:i/>
        </w:rPr>
        <w:t>,</w:t>
      </w:r>
    </w:p>
    <w:p w:rsidRPr="009F67E5" w:rsidR="00624CCB" w:rsidP="009F67E5" w:rsidRDefault="00624CCB">
      <w:pPr>
        <w:pStyle w:val="JuPara"/>
      </w:pPr>
      <w:bookmarkStart w:name="ITMARKHavingStart" w:id="2"/>
      <w:bookmarkEnd w:id="2"/>
      <w:r w:rsidRPr="009F67E5">
        <w:t xml:space="preserve">Having </w:t>
      </w:r>
      <w:proofErr w:type="gramStart"/>
      <w:r w:rsidRPr="009F67E5">
        <w:t>regard</w:t>
      </w:r>
      <w:proofErr w:type="gramEnd"/>
      <w:r w:rsidRPr="009F67E5">
        <w:t xml:space="preserve"> to:</w:t>
      </w:r>
    </w:p>
    <w:p w:rsidRPr="009F67E5" w:rsidR="00624CCB" w:rsidP="009F67E5" w:rsidRDefault="00624CCB">
      <w:pPr>
        <w:pStyle w:val="JuPara"/>
      </w:pPr>
      <w:r w:rsidRPr="009F67E5">
        <w:t xml:space="preserve">the applications (nos. 47800/14, 67936/14 and 68196/14) against the Russian Federation lodged with the Court under Article 34 of the Convention for the Protection of Human Rights and Fundamental Freedoms (“the Convention”) by twelve Russian nationals (“the applicants”), on the </w:t>
      </w:r>
      <w:r w:rsidRPr="009F67E5">
        <w:rPr>
          <w:rFonts w:eastAsia="PMingLiU"/>
        </w:rPr>
        <w:t>various dates indicated in the Appendix</w:t>
      </w:r>
      <w:r w:rsidRPr="009F67E5">
        <w:t>;</w:t>
      </w:r>
    </w:p>
    <w:p w:rsidRPr="009F67E5" w:rsidR="00624CCB" w:rsidP="009F67E5" w:rsidRDefault="00624CCB">
      <w:pPr>
        <w:pStyle w:val="JuPara"/>
      </w:pPr>
      <w:proofErr w:type="gramStart"/>
      <w:r w:rsidRPr="009F67E5">
        <w:t>the</w:t>
      </w:r>
      <w:proofErr w:type="gramEnd"/>
      <w:r w:rsidRPr="009F67E5">
        <w:t xml:space="preserve"> decision to give notice of the applications to the Russian Government (“the Government”);</w:t>
      </w:r>
    </w:p>
    <w:p w:rsidRPr="009F67E5" w:rsidR="00624CCB" w:rsidP="009F67E5" w:rsidRDefault="00624CCB">
      <w:pPr>
        <w:pStyle w:val="JuPara"/>
      </w:pPr>
      <w:proofErr w:type="gramStart"/>
      <w:r w:rsidRPr="009F67E5">
        <w:t>the</w:t>
      </w:r>
      <w:proofErr w:type="gramEnd"/>
      <w:r w:rsidRPr="009F67E5">
        <w:t xml:space="preserve"> parties</w:t>
      </w:r>
      <w:r w:rsidRPr="009F67E5" w:rsidR="009F67E5">
        <w:t>’</w:t>
      </w:r>
      <w:r w:rsidRPr="009F67E5">
        <w:t xml:space="preserve"> observations;</w:t>
      </w:r>
    </w:p>
    <w:p w:rsidRPr="009F67E5" w:rsidR="009F4C8F" w:rsidP="009F67E5" w:rsidRDefault="009F4C8F">
      <w:pPr>
        <w:pStyle w:val="JuPara"/>
      </w:pPr>
      <w:r w:rsidRPr="009F67E5">
        <w:t xml:space="preserve">Having deliberated in private on </w:t>
      </w:r>
      <w:r w:rsidRPr="009F67E5" w:rsidR="00624CCB">
        <w:t>15 September 2020</w:t>
      </w:r>
      <w:r w:rsidRPr="009F67E5">
        <w:t>,</w:t>
      </w:r>
    </w:p>
    <w:p w:rsidRPr="009F67E5" w:rsidR="009F4C8F" w:rsidP="009F67E5" w:rsidRDefault="009F4C8F">
      <w:pPr>
        <w:pStyle w:val="JuPara"/>
      </w:pPr>
      <w:r w:rsidRPr="009F67E5">
        <w:t>Delivers the following judgment, which was adopted on that date:</w:t>
      </w:r>
    </w:p>
    <w:p w:rsidRPr="009F67E5" w:rsidR="00624CCB" w:rsidP="009F67E5" w:rsidRDefault="00624CCB">
      <w:pPr>
        <w:pStyle w:val="JuHHead"/>
        <w:numPr>
          <w:ilvl w:val="0"/>
          <w:numId w:val="0"/>
        </w:numPr>
      </w:pPr>
      <w:r w:rsidRPr="009F67E5">
        <w:t>INTRODUCTION</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1</w:t>
      </w:r>
      <w:r w:rsidRPr="009F67E5">
        <w:fldChar w:fldCharType="end"/>
      </w:r>
      <w:r w:rsidRPr="009F67E5">
        <w:t xml:space="preserve">.  On 24 February 2014 the applicants participated in a spontaneous gathering in front of the </w:t>
      </w:r>
      <w:proofErr w:type="spellStart"/>
      <w:r w:rsidRPr="009F67E5">
        <w:t>Zamoskvoretskiy</w:t>
      </w:r>
      <w:proofErr w:type="spellEnd"/>
      <w:r w:rsidRPr="009F67E5">
        <w:t xml:space="preserve"> District Court of Moscow where they came to attend a public hearing involving activists who were on trial in relation to mass disorders at </w:t>
      </w:r>
      <w:proofErr w:type="spellStart"/>
      <w:r w:rsidRPr="009F67E5">
        <w:t>Bolotnaya</w:t>
      </w:r>
      <w:proofErr w:type="spellEnd"/>
      <w:r w:rsidRPr="009F67E5">
        <w:t xml:space="preserve"> Square in Moscow on 6 May 2012. They were arrested during the gathering and convicted of administrative offences.</w:t>
      </w:r>
    </w:p>
    <w:p w:rsidRPr="009F67E5" w:rsidR="00624CCB" w:rsidP="009F67E5" w:rsidRDefault="00624CCB">
      <w:pPr>
        <w:pStyle w:val="JuHHead"/>
        <w:numPr>
          <w:ilvl w:val="0"/>
          <w:numId w:val="22"/>
        </w:numPr>
        <w:jc w:val="left"/>
      </w:pPr>
      <w:r w:rsidRPr="009F67E5">
        <w:t>THE FACTS</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w:t>
      </w:r>
      <w:r w:rsidRPr="009F67E5">
        <w:fldChar w:fldCharType="end"/>
      </w:r>
      <w:r w:rsidRPr="009F67E5">
        <w:t>.  The applicants</w:t>
      </w:r>
      <w:r w:rsidRPr="009F67E5" w:rsidR="009F67E5">
        <w:t>’</w:t>
      </w:r>
      <w:r w:rsidRPr="009F67E5">
        <w:t xml:space="preserve"> details are set out in the appended table. The applicants were represented before the Court by Mr A. </w:t>
      </w:r>
      <w:proofErr w:type="spellStart"/>
      <w:r w:rsidRPr="009F67E5">
        <w:t>Savelyev</w:t>
      </w:r>
      <w:proofErr w:type="spellEnd"/>
      <w:r w:rsidRPr="009F67E5">
        <w:t xml:space="preserve">, a lawyer practising in Domodedovo (no. 47800/14), the lawyers of the Memorial Human Rights Centre and the European Human Rights Advocacy Centre (EHRAC) (no. 67936/14), and Mr N. </w:t>
      </w:r>
      <w:proofErr w:type="spellStart"/>
      <w:r w:rsidRPr="009F67E5">
        <w:t>Zboroshenko</w:t>
      </w:r>
      <w:proofErr w:type="spellEnd"/>
      <w:r w:rsidRPr="009F67E5">
        <w:t>, a lawyer practising in Moscow (no. 68196/14).</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3</w:t>
      </w:r>
      <w:r w:rsidRPr="009F67E5">
        <w:fldChar w:fldCharType="end"/>
      </w:r>
      <w:r w:rsidRPr="009F67E5">
        <w:t>.  The Russian Government (“the Government”) were represented initially by Mr G. </w:t>
      </w:r>
      <w:proofErr w:type="spellStart"/>
      <w:r w:rsidRPr="009F67E5">
        <w:t>Matyushkin</w:t>
      </w:r>
      <w:proofErr w:type="spellEnd"/>
      <w:r w:rsidRPr="009F67E5">
        <w:t>, Representative of the Russian Federation to the European Court of Human Rights, and then by his successor in that office, Mr M. </w:t>
      </w:r>
      <w:proofErr w:type="spellStart"/>
      <w:r w:rsidRPr="009F67E5">
        <w:t>Galperin</w:t>
      </w:r>
      <w:proofErr w:type="spellEnd"/>
      <w:r w:rsidRPr="009F67E5">
        <w:t>.</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4</w:t>
      </w:r>
      <w:r w:rsidRPr="009F67E5">
        <w:fldChar w:fldCharType="end"/>
      </w:r>
      <w:r w:rsidRPr="009F67E5">
        <w:t>.  The facts of the case, as submitted by the parties, may be summarised as follows.</w:t>
      </w:r>
    </w:p>
    <w:p w:rsidRPr="009F67E5" w:rsidR="00624CCB" w:rsidP="009F67E5" w:rsidRDefault="00624CCB">
      <w:pPr>
        <w:pStyle w:val="JuPara"/>
        <w:rPr>
          <w:rFonts w:ascii="Times New Roman" w:hAnsi="Times New Roman" w:cs="Times New Roman"/>
        </w:rPr>
      </w:pPr>
      <w:r w:rsidRPr="009F67E5">
        <w:fldChar w:fldCharType="begin"/>
      </w:r>
      <w:r w:rsidRPr="009F67E5">
        <w:instrText xml:space="preserve"> SEQ level0 \*arabic </w:instrText>
      </w:r>
      <w:r w:rsidRPr="009F67E5">
        <w:fldChar w:fldCharType="separate"/>
      </w:r>
      <w:r w:rsidRPr="009F67E5" w:rsidR="009F67E5">
        <w:rPr>
          <w:noProof/>
        </w:rPr>
        <w:t>5</w:t>
      </w:r>
      <w:r w:rsidRPr="009F67E5">
        <w:fldChar w:fldCharType="end"/>
      </w:r>
      <w:r w:rsidRPr="009F67E5">
        <w:t xml:space="preserve">.  On the morning of 24 February 2014 the applicants among some 150 people came to the </w:t>
      </w:r>
      <w:proofErr w:type="spellStart"/>
      <w:r w:rsidRPr="009F67E5">
        <w:t>Zamoskvoretskiy</w:t>
      </w:r>
      <w:proofErr w:type="spellEnd"/>
      <w:r w:rsidRPr="009F67E5">
        <w:t xml:space="preserve"> District Court of Moscow to attend the public delivery of the judgment in the criminal case concerning mass disorders at </w:t>
      </w:r>
      <w:proofErr w:type="spellStart"/>
      <w:r w:rsidRPr="009F67E5">
        <w:t>Bolotnaya</w:t>
      </w:r>
      <w:proofErr w:type="spellEnd"/>
      <w:r w:rsidRPr="009F67E5">
        <w:t xml:space="preserve"> Square in Moscow on 6 May 2012. However, the court-house was cordoned off by the police and the applicants could not enter. They </w:t>
      </w:r>
      <w:r w:rsidRPr="009F67E5">
        <w:rPr>
          <w:rFonts w:ascii="Times New Roman" w:hAnsi="Times New Roman" w:cs="Times New Roman"/>
        </w:rPr>
        <w:t xml:space="preserve">remained outside among other members of the public aspiring to attend the hearing, thus forming a gathering (for more details about the gathering see </w:t>
      </w:r>
      <w:proofErr w:type="spellStart"/>
      <w:r w:rsidRPr="009F67E5">
        <w:rPr>
          <w:i/>
        </w:rPr>
        <w:t>Navalnyy</w:t>
      </w:r>
      <w:proofErr w:type="spellEnd"/>
      <w:r w:rsidRPr="009F67E5">
        <w:rPr>
          <w:i/>
        </w:rPr>
        <w:t xml:space="preserve"> v. Russia</w:t>
      </w:r>
      <w:r w:rsidRPr="009F67E5">
        <w:t xml:space="preserve"> [GC], nos. 29580/12 and 4 others, </w:t>
      </w:r>
      <w:r w:rsidRPr="009F67E5">
        <w:rPr>
          <w:sz w:val="22"/>
          <w:szCs w:val="22"/>
        </w:rPr>
        <w:t>§§ 35</w:t>
      </w:r>
      <w:r w:rsidRPr="009F67E5">
        <w:rPr>
          <w:sz w:val="22"/>
          <w:szCs w:val="22"/>
        </w:rPr>
        <w:noBreakHyphen/>
        <w:t xml:space="preserve">42, </w:t>
      </w:r>
      <w:r w:rsidRPr="009F67E5">
        <w:t>15 November 2018)</w:t>
      </w:r>
      <w:r w:rsidRPr="009F67E5">
        <w:rPr>
          <w:rFonts w:ascii="Times New Roman" w:hAnsi="Times New Roman" w:cs="Times New Roman"/>
        </w:rPr>
        <w:t>. At different times the applicants were arrested and transferred to a police station.</w:t>
      </w:r>
    </w:p>
    <w:p w:rsidRPr="009F67E5" w:rsidR="00624CCB" w:rsidP="009F67E5" w:rsidRDefault="00624CCB">
      <w:pPr>
        <w:pStyle w:val="JuPara"/>
      </w:pPr>
      <w:r w:rsidRPr="009F67E5">
        <w:rPr>
          <w:rFonts w:ascii="Times New Roman" w:hAnsi="Times New Roman" w:cs="Times New Roman"/>
        </w:rPr>
        <w:fldChar w:fldCharType="begin"/>
      </w:r>
      <w:r w:rsidRPr="009F67E5">
        <w:rPr>
          <w:rFonts w:ascii="Times New Roman" w:hAnsi="Times New Roman" w:cs="Times New Roman"/>
        </w:rPr>
        <w:instrText xml:space="preserve"> SEQ level0 \*arabic </w:instrText>
      </w:r>
      <w:r w:rsidRPr="009F67E5">
        <w:rPr>
          <w:rFonts w:ascii="Times New Roman" w:hAnsi="Times New Roman" w:cs="Times New Roman"/>
        </w:rPr>
        <w:fldChar w:fldCharType="separate"/>
      </w:r>
      <w:r w:rsidRPr="009F67E5" w:rsidR="009F67E5">
        <w:rPr>
          <w:rFonts w:ascii="Times New Roman" w:hAnsi="Times New Roman" w:cs="Times New Roman"/>
          <w:noProof/>
        </w:rPr>
        <w:t>6</w:t>
      </w:r>
      <w:r w:rsidRPr="009F67E5">
        <w:rPr>
          <w:rFonts w:ascii="Times New Roman" w:hAnsi="Times New Roman" w:cs="Times New Roman"/>
        </w:rPr>
        <w:fldChar w:fldCharType="end"/>
      </w:r>
      <w:r w:rsidRPr="009F67E5">
        <w:rPr>
          <w:rFonts w:ascii="Times New Roman" w:hAnsi="Times New Roman" w:cs="Times New Roman"/>
        </w:rPr>
        <w:t>.  Details as regards the administrative proceedings against each applicant are outlined in the Appendix</w:t>
      </w:r>
      <w:r w:rsidRPr="009F67E5">
        <w:t>.</w:t>
      </w:r>
    </w:p>
    <w:p w:rsidRPr="009F67E5" w:rsidR="00624CCB" w:rsidP="009F67E5" w:rsidRDefault="00624CCB">
      <w:pPr>
        <w:pStyle w:val="JuHHead"/>
        <w:numPr>
          <w:ilvl w:val="0"/>
          <w:numId w:val="22"/>
        </w:numPr>
        <w:jc w:val="left"/>
      </w:pPr>
      <w:r w:rsidRPr="009F67E5">
        <w:t>RELEVANT LEGAL FRAMEWORK</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7</w:t>
      </w:r>
      <w:r w:rsidRPr="009F67E5">
        <w:fldChar w:fldCharType="end"/>
      </w:r>
      <w:r w:rsidRPr="009F67E5">
        <w:t>.  Article 20.2 § 5 of the Code of Administrative Offences (CAO) provides that violation by a participant in a public event of the established procedure for conducting a public event is punishable with a fine of 10,000 to 20,000 roubles (RUB) or up to forty hours of community work.</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8</w:t>
      </w:r>
      <w:r w:rsidRPr="009F67E5">
        <w:fldChar w:fldCharType="end"/>
      </w:r>
      <w:r w:rsidRPr="009F67E5">
        <w:t xml:space="preserve">.  For a summary of other relevant domestic provisions see </w:t>
      </w:r>
      <w:proofErr w:type="spellStart"/>
      <w:r w:rsidRPr="009F67E5">
        <w:rPr>
          <w:i/>
        </w:rPr>
        <w:t>Navalnyy</w:t>
      </w:r>
      <w:proofErr w:type="spellEnd"/>
      <w:r w:rsidRPr="009F67E5">
        <w:rPr>
          <w:i/>
        </w:rPr>
        <w:t xml:space="preserve"> v. Russia</w:t>
      </w:r>
      <w:r w:rsidRPr="009F67E5">
        <w:t xml:space="preserve"> [GC] (cited above, §§ 46-47); </w:t>
      </w:r>
      <w:proofErr w:type="spellStart"/>
      <w:r w:rsidRPr="009F67E5">
        <w:rPr>
          <w:i/>
        </w:rPr>
        <w:t>Lashmankin</w:t>
      </w:r>
      <w:proofErr w:type="spellEnd"/>
      <w:r w:rsidRPr="009F67E5">
        <w:rPr>
          <w:i/>
        </w:rPr>
        <w:t xml:space="preserve"> and Others v. Russia</w:t>
      </w:r>
      <w:r w:rsidRPr="009F67E5">
        <w:t xml:space="preserve"> (nos. 57818/09 and 14 others, §§ 223 and 226, 7 February 2017); and</w:t>
      </w:r>
      <w:r w:rsidRPr="009F67E5">
        <w:rPr>
          <w:i/>
          <w:lang w:val="en-US"/>
        </w:rPr>
        <w:t xml:space="preserve"> </w:t>
      </w:r>
      <w:proofErr w:type="spellStart"/>
      <w:r w:rsidRPr="009F67E5">
        <w:rPr>
          <w:i/>
          <w:lang w:val="en-US"/>
        </w:rPr>
        <w:t>Korneyeva</w:t>
      </w:r>
      <w:proofErr w:type="spellEnd"/>
      <w:r w:rsidRPr="009F67E5">
        <w:rPr>
          <w:i/>
          <w:lang w:val="en-US"/>
        </w:rPr>
        <w:t xml:space="preserve"> </w:t>
      </w:r>
      <w:r w:rsidRPr="009F67E5">
        <w:rPr>
          <w:i/>
        </w:rPr>
        <w:t>v. Russia</w:t>
      </w:r>
      <w:r w:rsidRPr="009F67E5">
        <w:t xml:space="preserve"> (no. </w:t>
      </w:r>
      <w:r w:rsidRPr="009F67E5">
        <w:rPr>
          <w:lang w:val="en-US"/>
        </w:rPr>
        <w:t>72051/17, §§ 22-26, 8 </w:t>
      </w:r>
      <w:r w:rsidRPr="009F67E5">
        <w:t xml:space="preserve">October </w:t>
      </w:r>
      <w:r w:rsidRPr="009F67E5">
        <w:rPr>
          <w:lang w:val="en-US"/>
        </w:rPr>
        <w:t>2019).</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9</w:t>
      </w:r>
      <w:r w:rsidRPr="009F67E5">
        <w:fldChar w:fldCharType="end"/>
      </w:r>
      <w:r w:rsidRPr="009F67E5">
        <w:t>.  </w:t>
      </w:r>
      <w:r w:rsidRPr="009F67E5">
        <w:rPr>
          <w:lang w:val="en-US"/>
        </w:rPr>
        <w:t xml:space="preserve">The domestic legal provisions governing administrative transfer (escorting) and detention are also set out in the case of </w:t>
      </w:r>
      <w:proofErr w:type="spellStart"/>
      <w:r w:rsidRPr="009F67E5">
        <w:rPr>
          <w:i/>
          <w:iCs/>
        </w:rPr>
        <w:t>Butkevich</w:t>
      </w:r>
      <w:proofErr w:type="spellEnd"/>
      <w:r w:rsidRPr="009F67E5">
        <w:rPr>
          <w:i/>
          <w:iCs/>
        </w:rPr>
        <w:t xml:space="preserve"> v. Russia</w:t>
      </w:r>
      <w:r w:rsidRPr="009F67E5">
        <w:rPr>
          <w:lang w:val="en-US"/>
        </w:rPr>
        <w:t xml:space="preserve"> (see</w:t>
      </w:r>
      <w:r w:rsidRPr="009F67E5">
        <w:t xml:space="preserve"> no. 5865/07, §§ 33-36, 13 February 2018).</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10</w:t>
      </w:r>
      <w:r w:rsidRPr="009F67E5">
        <w:fldChar w:fldCharType="end"/>
      </w:r>
      <w:r w:rsidRPr="009F67E5">
        <w:t xml:space="preserve">.  According to </w:t>
      </w:r>
      <w:r w:rsidRPr="009F67E5">
        <w:rPr>
          <w:lang w:val="en-US"/>
        </w:rPr>
        <w:t xml:space="preserve">Article 31.9 of the </w:t>
      </w:r>
      <w:r w:rsidRPr="009F67E5">
        <w:t>Code of Administrative Offences</w:t>
      </w:r>
      <w:r w:rsidRPr="009F67E5">
        <w:rPr>
          <w:lang w:val="en-US"/>
        </w:rPr>
        <w:t>, if a decision imposing an administrative punishment is not enforced during two years from its entry into force, it can no longer be executed. The time when enforcement of such a decision is suspended or stayed is excluded from the aforementioned period.</w:t>
      </w:r>
    </w:p>
    <w:p w:rsidRPr="009F67E5" w:rsidR="00624CCB" w:rsidP="009F67E5" w:rsidRDefault="00624CCB">
      <w:pPr>
        <w:pStyle w:val="JuHHead"/>
        <w:jc w:val="left"/>
      </w:pPr>
      <w:r w:rsidRPr="009F67E5">
        <w:t>THE LAW</w:t>
      </w:r>
    </w:p>
    <w:p w:rsidRPr="009F67E5" w:rsidR="00624CCB" w:rsidP="009F67E5" w:rsidRDefault="00624CCB">
      <w:pPr>
        <w:pStyle w:val="JuHIRoman"/>
        <w:numPr>
          <w:ilvl w:val="1"/>
          <w:numId w:val="22"/>
        </w:numPr>
        <w:jc w:val="left"/>
      </w:pPr>
      <w:r w:rsidRPr="009F67E5">
        <w:t>JOINDER OF THE APPLICATIONS</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11</w:t>
      </w:r>
      <w:r w:rsidRPr="009F67E5">
        <w:fldChar w:fldCharType="end"/>
      </w:r>
      <w:r w:rsidRPr="009F67E5">
        <w:t>.  Having regard to the similar subject matter of the applications, the Court finds it appropriate to examine them jointly in a single judgment.</w:t>
      </w:r>
    </w:p>
    <w:p w:rsidRPr="009F67E5" w:rsidR="00624CCB" w:rsidP="009F67E5" w:rsidRDefault="00624CCB">
      <w:pPr>
        <w:pStyle w:val="JuHIRoman"/>
        <w:numPr>
          <w:ilvl w:val="1"/>
          <w:numId w:val="22"/>
        </w:numPr>
        <w:jc w:val="left"/>
      </w:pPr>
      <w:r w:rsidRPr="009F67E5">
        <w:t>ALLEGED VIOLATION OF ARTICLE 11 OF THE CONVENTION</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12</w:t>
      </w:r>
      <w:r w:rsidRPr="009F67E5">
        <w:fldChar w:fldCharType="end"/>
      </w:r>
      <w:r w:rsidRPr="009F67E5">
        <w:t>.  The applicants complained of disproportionate measures taken against them as participants of a peaceful public assembly, namely their arrest followed by their transfer to the police station and conviction for administrative offences</w:t>
      </w:r>
      <w:r w:rsidRPr="009F67E5">
        <w:rPr>
          <w:bCs/>
        </w:rPr>
        <w:t xml:space="preserve">. </w:t>
      </w:r>
      <w:r w:rsidRPr="009F67E5">
        <w:t>They relied on Articles 10 and 11 of the Convention. However, this falls to be examined under Article 11, which read</w:t>
      </w:r>
      <w:r w:rsidRPr="009F67E5">
        <w:rPr>
          <w:bCs/>
        </w:rPr>
        <w:t>s</w:t>
      </w:r>
      <w:r w:rsidRPr="009F67E5">
        <w:t xml:space="preserve"> as follows:</w:t>
      </w:r>
    </w:p>
    <w:p w:rsidRPr="009F67E5" w:rsidR="00624CCB" w:rsidP="009F67E5" w:rsidRDefault="00624CCB">
      <w:pPr>
        <w:pStyle w:val="JuQuot"/>
        <w:rPr>
          <w:lang w:val="en-US"/>
        </w:rPr>
      </w:pPr>
      <w:r w:rsidRPr="009F67E5">
        <w:rPr>
          <w:lang w:val="en-US"/>
        </w:rPr>
        <w:t>“1.</w:t>
      </w:r>
      <w:proofErr w:type="gramStart"/>
      <w:r w:rsidRPr="009F67E5">
        <w:rPr>
          <w:lang w:val="en-US"/>
        </w:rPr>
        <w:t>  Everyone</w:t>
      </w:r>
      <w:proofErr w:type="gramEnd"/>
      <w:r w:rsidRPr="009F67E5">
        <w:rPr>
          <w:lang w:val="en-US"/>
        </w:rPr>
        <w:t xml:space="preserve"> has the right to freedom of peaceful assembly and to freedom of association with others, including the right to form and to join trade unions for the protection of his interests.</w:t>
      </w:r>
    </w:p>
    <w:p w:rsidRPr="009F67E5" w:rsidR="00624CCB" w:rsidP="009F67E5" w:rsidRDefault="00624CCB">
      <w:pPr>
        <w:pStyle w:val="JuQuot"/>
        <w:rPr>
          <w:lang w:val="en-US"/>
        </w:rPr>
      </w:pPr>
      <w:r w:rsidRPr="009F67E5">
        <w:rPr>
          <w:lang w:val="en-US"/>
        </w:rP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bookmarkStart w:name="_Hlk34206479" w:id="3"/>
    </w:p>
    <w:bookmarkEnd w:id="3"/>
    <w:p w:rsidRPr="009F67E5" w:rsidR="00624CCB" w:rsidP="009F67E5" w:rsidRDefault="00624CCB">
      <w:pPr>
        <w:pStyle w:val="JuPara"/>
        <w:rPr>
          <w:lang w:val="en-US"/>
        </w:rPr>
      </w:pPr>
      <w:r w:rsidRPr="009F67E5">
        <w:rPr>
          <w:lang w:val="en-US"/>
        </w:rPr>
        <w:fldChar w:fldCharType="begin"/>
      </w:r>
      <w:r w:rsidRPr="009F67E5">
        <w:rPr>
          <w:lang w:val="en-US"/>
        </w:rPr>
        <w:instrText xml:space="preserve"> SEQ level0 \*arabic </w:instrText>
      </w:r>
      <w:r w:rsidRPr="009F67E5">
        <w:rPr>
          <w:lang w:val="en-US"/>
        </w:rPr>
        <w:fldChar w:fldCharType="separate"/>
      </w:r>
      <w:r w:rsidRPr="009F67E5" w:rsidR="009F67E5">
        <w:rPr>
          <w:noProof/>
          <w:lang w:val="en-US"/>
        </w:rPr>
        <w:t>13</w:t>
      </w:r>
      <w:r w:rsidRPr="009F67E5">
        <w:rPr>
          <w:lang w:val="en-US"/>
        </w:rPr>
        <w:fldChar w:fldCharType="end"/>
      </w:r>
      <w:r w:rsidRPr="009F67E5">
        <w:rPr>
          <w:lang w:val="en-US"/>
        </w:rPr>
        <w:t xml:space="preserve">.  The Court refers to its finding that the gathering in question </w:t>
      </w:r>
      <w:r w:rsidRPr="009F67E5">
        <w:t>fell within the scope of Article 11 of the Convention</w:t>
      </w:r>
      <w:r w:rsidRPr="009F67E5">
        <w:rPr>
          <w:lang w:val="en-US"/>
        </w:rPr>
        <w:t xml:space="preserve"> (see </w:t>
      </w:r>
      <w:proofErr w:type="spellStart"/>
      <w:r w:rsidRPr="009F67E5">
        <w:rPr>
          <w:i/>
        </w:rPr>
        <w:t>Navalnyy</w:t>
      </w:r>
      <w:proofErr w:type="spellEnd"/>
      <w:r w:rsidRPr="009F67E5">
        <w:rPr>
          <w:i/>
        </w:rPr>
        <w:t xml:space="preserve"> v. Russia</w:t>
      </w:r>
      <w:r w:rsidRPr="009F67E5">
        <w:t xml:space="preserve"> [GC], nos. 29580/12 and 4 others, §§ 110-12, 15 November 2018). It considers that in the present case the applicants</w:t>
      </w:r>
      <w:r w:rsidRPr="009F67E5" w:rsidR="009F67E5">
        <w:t>’</w:t>
      </w:r>
      <w:r w:rsidRPr="009F67E5">
        <w:t xml:space="preserve"> intentions and conduct were also covered by the notion of peaceful assembly, including those of Ms </w:t>
      </w:r>
      <w:proofErr w:type="spellStart"/>
      <w:r w:rsidRPr="009F67E5">
        <w:t>Polyakova</w:t>
      </w:r>
      <w:proofErr w:type="spellEnd"/>
      <w:r w:rsidRPr="009F67E5">
        <w:t xml:space="preserve"> who claimed that she was acting as an observer for a group of human rights defender organisations. It finds that the applicants</w:t>
      </w:r>
      <w:r w:rsidRPr="009F67E5" w:rsidR="009F67E5">
        <w:t>’</w:t>
      </w:r>
      <w:r w:rsidRPr="009F67E5">
        <w:t xml:space="preserve"> arrests, transfer to the police station and the ensuing sanctions constituted an interference with the right to freedom of peaceful assembly under Article 11 § 2.</w:t>
      </w:r>
    </w:p>
    <w:p w:rsidRPr="009F67E5" w:rsidR="00624CCB" w:rsidP="009F67E5" w:rsidRDefault="00624CCB">
      <w:pPr>
        <w:pStyle w:val="JuPara"/>
        <w:rPr>
          <w:rFonts w:eastAsia="Times New Roman"/>
          <w:lang w:eastAsia="fr-FR"/>
        </w:rPr>
      </w:pPr>
      <w:r w:rsidRPr="009F67E5">
        <w:fldChar w:fldCharType="begin"/>
      </w:r>
      <w:r w:rsidRPr="009F67E5">
        <w:instrText xml:space="preserve"> SEQ level0 \*arabic </w:instrText>
      </w:r>
      <w:r w:rsidRPr="009F67E5">
        <w:fldChar w:fldCharType="separate"/>
      </w:r>
      <w:r w:rsidRPr="009F67E5" w:rsidR="009F67E5">
        <w:rPr>
          <w:noProof/>
        </w:rPr>
        <w:t>14</w:t>
      </w:r>
      <w:r w:rsidRPr="009F67E5">
        <w:fldChar w:fldCharType="end"/>
      </w:r>
      <w:r w:rsidRPr="009F67E5">
        <w:t>.  The</w:t>
      </w:r>
      <w:r w:rsidRPr="009F67E5">
        <w:rPr>
          <w:lang w:val="en-US"/>
        </w:rPr>
        <w:t xml:space="preserve"> Government submitted that</w:t>
      </w:r>
      <w:r w:rsidRPr="009F67E5">
        <w:rPr>
          <w:rFonts w:eastAsia="Times New Roman"/>
          <w:lang w:eastAsia="fr-FR"/>
        </w:rPr>
        <w:t xml:space="preserve"> the gathering in the present case had not been a spontaneous one because the date of the public hearing had been set in advance and many activists had publically expressed their intention to attend it. They pointed out that the applicants in the present case had been convicted </w:t>
      </w:r>
      <w:r w:rsidRPr="009F67E5">
        <w:t xml:space="preserve">under Articles 19.3 § 1 (failure to comply with a lawful order of an official in connection with the exercise of his duties) and 20.2 § 5 (violation by a participant of the procedure for a public event) of the Code of Administrative Offences (“the CAO”) with reference to the failure to notify the authorities of the public gathering in accordance with the procedure prescribed by sections 5 and 7 of the </w:t>
      </w:r>
      <w:r w:rsidRPr="009F67E5">
        <w:rPr>
          <w:rFonts w:eastAsia="Times New Roman"/>
          <w:lang w:eastAsia="fr-FR"/>
        </w:rPr>
        <w:t>Public Events Act.</w:t>
      </w:r>
    </w:p>
    <w:p w:rsidRPr="009F67E5" w:rsidR="00624CCB" w:rsidP="009F67E5" w:rsidRDefault="00624CCB">
      <w:pPr>
        <w:pStyle w:val="JuPara"/>
      </w:pPr>
      <w:r w:rsidRPr="009F67E5">
        <w:rPr>
          <w:rFonts w:eastAsia="Times New Roman"/>
          <w:lang w:eastAsia="fr-FR"/>
        </w:rPr>
        <w:fldChar w:fldCharType="begin"/>
      </w:r>
      <w:r w:rsidRPr="009F67E5">
        <w:rPr>
          <w:rFonts w:eastAsia="Times New Roman"/>
          <w:lang w:eastAsia="fr-FR"/>
        </w:rPr>
        <w:instrText xml:space="preserve"> SEQ level0 \*arabic </w:instrText>
      </w:r>
      <w:r w:rsidRPr="009F67E5">
        <w:rPr>
          <w:rFonts w:eastAsia="Times New Roman"/>
          <w:lang w:eastAsia="fr-FR"/>
        </w:rPr>
        <w:fldChar w:fldCharType="separate"/>
      </w:r>
      <w:r w:rsidRPr="009F67E5" w:rsidR="009F67E5">
        <w:rPr>
          <w:rFonts w:eastAsia="Times New Roman"/>
          <w:noProof/>
          <w:lang w:eastAsia="fr-FR"/>
        </w:rPr>
        <w:t>15</w:t>
      </w:r>
      <w:r w:rsidRPr="009F67E5">
        <w:rPr>
          <w:rFonts w:eastAsia="Times New Roman"/>
          <w:lang w:eastAsia="fr-FR"/>
        </w:rPr>
        <w:fldChar w:fldCharType="end"/>
      </w:r>
      <w:r w:rsidRPr="009F67E5">
        <w:rPr>
          <w:rFonts w:eastAsia="Times New Roman"/>
          <w:lang w:eastAsia="fr-FR"/>
        </w:rPr>
        <w:t xml:space="preserve">.  It follows that the applicants were arrested, transferred to the police station and charged with administrative offences </w:t>
      </w:r>
      <w:r w:rsidRPr="009F67E5">
        <w:t>for the sole reason that their gathering as such had not been authorised.</w:t>
      </w:r>
    </w:p>
    <w:p w:rsidRPr="009F67E5" w:rsidR="00624CCB" w:rsidP="009F67E5" w:rsidRDefault="00624CCB">
      <w:pPr>
        <w:pStyle w:val="JuPara"/>
        <w:rPr>
          <w:lang w:val="en-US"/>
        </w:rPr>
      </w:pPr>
      <w:r w:rsidRPr="009F67E5">
        <w:rPr>
          <w:lang w:val="en-US"/>
        </w:rPr>
        <w:fldChar w:fldCharType="begin"/>
      </w:r>
      <w:r w:rsidRPr="009F67E5">
        <w:rPr>
          <w:lang w:val="en-US"/>
        </w:rPr>
        <w:instrText xml:space="preserve"> SEQ level0 \*arabic </w:instrText>
      </w:r>
      <w:r w:rsidRPr="009F67E5">
        <w:rPr>
          <w:lang w:val="en-US"/>
        </w:rPr>
        <w:fldChar w:fldCharType="separate"/>
      </w:r>
      <w:r w:rsidRPr="009F67E5" w:rsidR="009F67E5">
        <w:rPr>
          <w:noProof/>
          <w:lang w:val="en-US"/>
        </w:rPr>
        <w:t>16</w:t>
      </w:r>
      <w:r w:rsidRPr="009F67E5">
        <w:rPr>
          <w:lang w:val="en-US"/>
        </w:rPr>
        <w:fldChar w:fldCharType="end"/>
      </w:r>
      <w:r w:rsidRPr="009F67E5">
        <w:rPr>
          <w:lang w:val="en-US"/>
        </w:rPr>
        <w:t xml:space="preserve">.  The Court refers to the principles established in its case-law regarding freedom of assembly (see </w:t>
      </w:r>
      <w:proofErr w:type="spellStart"/>
      <w:r w:rsidRPr="009F67E5">
        <w:rPr>
          <w:i/>
          <w:iCs/>
          <w:lang w:val="en-US"/>
        </w:rPr>
        <w:t>Kudrevičius</w:t>
      </w:r>
      <w:proofErr w:type="spellEnd"/>
      <w:r w:rsidRPr="009F67E5">
        <w:rPr>
          <w:lang w:val="en-US"/>
        </w:rPr>
        <w:t xml:space="preserve"> </w:t>
      </w:r>
      <w:r w:rsidRPr="009F67E5">
        <w:rPr>
          <w:i/>
          <w:iCs/>
          <w:lang w:val="en-US"/>
        </w:rPr>
        <w:t xml:space="preserve">and Others v. Lithuania </w:t>
      </w:r>
      <w:r w:rsidRPr="009F67E5">
        <w:rPr>
          <w:lang w:val="en-US"/>
        </w:rPr>
        <w:t xml:space="preserve">[GC], no. 37553/05, ECHR 2015, with further references) and proportionality of interference with it (see </w:t>
      </w:r>
      <w:proofErr w:type="spellStart"/>
      <w:r w:rsidRPr="009F67E5">
        <w:rPr>
          <w:i/>
          <w:lang w:val="en-US"/>
        </w:rPr>
        <w:t>Oya</w:t>
      </w:r>
      <w:proofErr w:type="spellEnd"/>
      <w:r w:rsidRPr="009F67E5">
        <w:rPr>
          <w:i/>
          <w:lang w:val="en-US"/>
        </w:rPr>
        <w:t xml:space="preserve"> Ataman v. Turkey</w:t>
      </w:r>
      <w:r w:rsidRPr="009F67E5">
        <w:rPr>
          <w:lang w:val="en-US"/>
        </w:rPr>
        <w:t>, no. 74552/01, ECHR 2006</w:t>
      </w:r>
      <w:r w:rsidRPr="009F67E5">
        <w:rPr>
          <w:lang w:val="en-US"/>
        </w:rPr>
        <w:noBreakHyphen/>
        <w:t xml:space="preserve">XIV, and </w:t>
      </w:r>
      <w:r w:rsidRPr="009F67E5">
        <w:rPr>
          <w:i/>
          <w:lang w:val="en-US"/>
        </w:rPr>
        <w:t>Hyde Park and Others v. Moldova</w:t>
      </w:r>
      <w:r w:rsidRPr="009F67E5">
        <w:rPr>
          <w:lang w:val="en-US"/>
        </w:rPr>
        <w:t>, no. 33482/06, 31 March 2009).</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17</w:t>
      </w:r>
      <w:r w:rsidRPr="009F67E5">
        <w:fldChar w:fldCharType="end"/>
      </w:r>
      <w:r w:rsidRPr="009F67E5">
        <w:t xml:space="preserve">.  In the leading cases (see, for example, </w:t>
      </w:r>
      <w:proofErr w:type="spellStart"/>
      <w:r w:rsidRPr="009F67E5">
        <w:rPr>
          <w:i/>
          <w:lang w:val="it-IT"/>
        </w:rPr>
        <w:t>Frumkin</w:t>
      </w:r>
      <w:proofErr w:type="spellEnd"/>
      <w:r w:rsidRPr="009F67E5">
        <w:rPr>
          <w:i/>
          <w:lang w:val="it-IT"/>
        </w:rPr>
        <w:t xml:space="preserve"> v. Russia</w:t>
      </w:r>
      <w:r w:rsidRPr="009F67E5">
        <w:rPr>
          <w:lang w:val="it-IT"/>
        </w:rPr>
        <w:t>, no. 74568/12, 5 </w:t>
      </w:r>
      <w:proofErr w:type="spellStart"/>
      <w:r w:rsidRPr="009F67E5">
        <w:rPr>
          <w:lang w:val="it-IT"/>
        </w:rPr>
        <w:t>January</w:t>
      </w:r>
      <w:proofErr w:type="spellEnd"/>
      <w:r w:rsidRPr="009F67E5">
        <w:rPr>
          <w:lang w:val="it-IT"/>
        </w:rPr>
        <w:t xml:space="preserve"> 2016; </w:t>
      </w:r>
      <w:proofErr w:type="spellStart"/>
      <w:r w:rsidRPr="009F67E5">
        <w:rPr>
          <w:i/>
        </w:rPr>
        <w:t>Navalnyy</w:t>
      </w:r>
      <w:proofErr w:type="spellEnd"/>
      <w:r w:rsidRPr="009F67E5">
        <w:rPr>
          <w:i/>
        </w:rPr>
        <w:t xml:space="preserve"> and </w:t>
      </w:r>
      <w:proofErr w:type="spellStart"/>
      <w:r w:rsidRPr="009F67E5">
        <w:rPr>
          <w:i/>
        </w:rPr>
        <w:t>Yashin</w:t>
      </w:r>
      <w:proofErr w:type="spellEnd"/>
      <w:r w:rsidRPr="009F67E5">
        <w:t xml:space="preserve"> </w:t>
      </w:r>
      <w:r w:rsidRPr="009F67E5">
        <w:rPr>
          <w:i/>
        </w:rPr>
        <w:t>v. Russia</w:t>
      </w:r>
      <w:r w:rsidRPr="009F67E5">
        <w:t xml:space="preserve">, no. 76204/11, 4 December 2014; and </w:t>
      </w:r>
      <w:r w:rsidRPr="009F67E5">
        <w:rPr>
          <w:i/>
        </w:rPr>
        <w:t>Kasparov and Others v. Russia</w:t>
      </w:r>
      <w:r w:rsidRPr="009F67E5">
        <w:t>, no. 21613/07, 3 October 2013)</w:t>
      </w:r>
      <w:r w:rsidRPr="009F67E5">
        <w:rPr>
          <w:lang w:val="en-US"/>
        </w:rPr>
        <w:t xml:space="preserve">, </w:t>
      </w:r>
      <w:r w:rsidRPr="009F67E5">
        <w:t>the Court already found a violation in respect of issues similar to those in the present case.</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18</w:t>
      </w:r>
      <w:r w:rsidRPr="009F67E5">
        <w:fldChar w:fldCharType="end"/>
      </w:r>
      <w:r w:rsidRPr="009F67E5">
        <w:t>.  Having examined all the material submitted to it, the Court has not found any fact or argument capable of persuading it to reach a different conclusion as to the admissibility and merits of these complaints. Having regard to its case-law on the subject, the Court considers that in the instant case the measures applied to the applicants as peaceful participants in the public assembly did not correspond to a pressing social need and were thus not necessary in a democratic society.</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19</w:t>
      </w:r>
      <w:r w:rsidRPr="009F67E5">
        <w:fldChar w:fldCharType="end"/>
      </w:r>
      <w:r w:rsidRPr="009F67E5">
        <w:t xml:space="preserve">.  These complaints are therefore admissible and disclose a breach of </w:t>
      </w:r>
      <w:r w:rsidRPr="009F67E5">
        <w:rPr>
          <w:lang w:val="en-US"/>
        </w:rPr>
        <w:t>Article 11 of the Convention.</w:t>
      </w:r>
    </w:p>
    <w:p w:rsidRPr="009F67E5" w:rsidR="00624CCB" w:rsidP="009F67E5" w:rsidRDefault="00624CCB">
      <w:pPr>
        <w:pStyle w:val="JuHIRoman"/>
        <w:numPr>
          <w:ilvl w:val="1"/>
          <w:numId w:val="22"/>
        </w:numPr>
        <w:jc w:val="left"/>
      </w:pPr>
      <w:r w:rsidRPr="009F67E5">
        <w:t>OTHER ALLEGED VIOLATIONS UNDER WELL-ESTABLISHED CASE LAW</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20</w:t>
      </w:r>
      <w:r w:rsidRPr="009F67E5">
        <w:fldChar w:fldCharType="end"/>
      </w:r>
      <w:r w:rsidRPr="009F67E5">
        <w:t>.  The applicants submitted other complaints which also raised issues under Articles 5 and 6 of the Convention, and Article 4 of Protocol No. 7 to the Convention, given the relevant well</w:t>
      </w:r>
      <w:r w:rsidRPr="009F67E5">
        <w:noBreakHyphen/>
        <w:t>established case-law of the Court. These complaints are neither manifestly ill-founded nor inadmissible on any other grounds listed in Article 35 of the Convention. They must therefore be declared admissible.</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21</w:t>
      </w:r>
      <w:r w:rsidRPr="009F67E5">
        <w:fldChar w:fldCharType="end"/>
      </w:r>
      <w:r w:rsidRPr="009F67E5">
        <w:t xml:space="preserve">.  Having examined all the material before it, the Court concludes that these remaining complaints also disclose violations of Articles 5 and 6 of the Convention and of Article 4 of Protocol No. 7 to the Convention, as indicated in the appended table, in the light of its findings in </w:t>
      </w:r>
      <w:proofErr w:type="spellStart"/>
      <w:r w:rsidRPr="009F67E5">
        <w:rPr>
          <w:i/>
          <w:iCs/>
          <w:lang w:val="en-US"/>
        </w:rPr>
        <w:t>Vyerentsov</w:t>
      </w:r>
      <w:proofErr w:type="spellEnd"/>
      <w:r w:rsidRPr="009F67E5">
        <w:rPr>
          <w:i/>
          <w:iCs/>
          <w:lang w:val="en-US"/>
        </w:rPr>
        <w:t xml:space="preserve"> v. Ukraine</w:t>
      </w:r>
      <w:r w:rsidRPr="009F67E5">
        <w:rPr>
          <w:lang w:val="en-US"/>
        </w:rPr>
        <w:t xml:space="preserve"> (no. 20372/11, §§ 81-83, 11 April 2013);</w:t>
      </w:r>
      <w:r w:rsidRPr="009F67E5">
        <w:t xml:space="preserve"> </w:t>
      </w:r>
      <w:proofErr w:type="spellStart"/>
      <w:r w:rsidRPr="009F67E5">
        <w:rPr>
          <w:i/>
        </w:rPr>
        <w:t>Karelin</w:t>
      </w:r>
      <w:proofErr w:type="spellEnd"/>
      <w:r w:rsidRPr="009F67E5">
        <w:rPr>
          <w:i/>
        </w:rPr>
        <w:t xml:space="preserve"> v. Russia</w:t>
      </w:r>
      <w:r w:rsidRPr="009F67E5">
        <w:t xml:space="preserve"> (no. 926/08, §§ 60-84, 20 September 2016); </w:t>
      </w:r>
      <w:proofErr w:type="spellStart"/>
      <w:r w:rsidRPr="009F67E5">
        <w:rPr>
          <w:i/>
        </w:rPr>
        <w:t>Lashmankin</w:t>
      </w:r>
      <w:proofErr w:type="spellEnd"/>
      <w:r w:rsidRPr="009F67E5">
        <w:rPr>
          <w:i/>
        </w:rPr>
        <w:t xml:space="preserve"> and Others v. Russia</w:t>
      </w:r>
      <w:r w:rsidRPr="009F67E5">
        <w:t xml:space="preserve"> (nos. 57818/09 and 14 others, §§ 486</w:t>
      </w:r>
      <w:r w:rsidRPr="009F67E5">
        <w:noBreakHyphen/>
        <w:t>92, 7 February 2017);</w:t>
      </w:r>
      <w:r w:rsidRPr="009F67E5">
        <w:rPr>
          <w:lang w:val="it-IT"/>
        </w:rPr>
        <w:t xml:space="preserve"> and </w:t>
      </w:r>
      <w:proofErr w:type="spellStart"/>
      <w:r w:rsidRPr="009F67E5">
        <w:rPr>
          <w:i/>
          <w:lang w:val="en-US"/>
        </w:rPr>
        <w:t>Korneyeva</w:t>
      </w:r>
      <w:proofErr w:type="spellEnd"/>
      <w:r w:rsidRPr="009F67E5">
        <w:rPr>
          <w:i/>
          <w:lang w:val="en-US"/>
        </w:rPr>
        <w:t xml:space="preserve"> </w:t>
      </w:r>
      <w:r w:rsidRPr="009F67E5">
        <w:rPr>
          <w:i/>
        </w:rPr>
        <w:t>v. Russia</w:t>
      </w:r>
      <w:r w:rsidRPr="009F67E5">
        <w:t xml:space="preserve"> (no. </w:t>
      </w:r>
      <w:r w:rsidRPr="009F67E5">
        <w:rPr>
          <w:lang w:val="en-US"/>
        </w:rPr>
        <w:t>72051/17, §§ 58-65, 8 </w:t>
      </w:r>
      <w:r w:rsidRPr="009F67E5">
        <w:t xml:space="preserve">October </w:t>
      </w:r>
      <w:r w:rsidRPr="009F67E5">
        <w:rPr>
          <w:lang w:val="en-US"/>
        </w:rPr>
        <w:t>2019)</w:t>
      </w:r>
      <w:r w:rsidRPr="009F67E5">
        <w:t>.</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22</w:t>
      </w:r>
      <w:r w:rsidRPr="009F67E5">
        <w:fldChar w:fldCharType="end"/>
      </w:r>
      <w:r w:rsidRPr="009F67E5">
        <w:t>.  As regards Article 5 § 1, the finding of a violation relates to the arbitrary character of the applicants</w:t>
      </w:r>
      <w:r w:rsidRPr="009F67E5" w:rsidR="009F67E5">
        <w:t>’</w:t>
      </w:r>
      <w:r w:rsidRPr="009F67E5">
        <w:t xml:space="preserve"> arrests on 24 February 2014. Having reached this conclusion, in the circumstances of this case the Court does not consider it necessary to examine some of the applicants</w:t>
      </w:r>
      <w:r w:rsidRPr="009F67E5" w:rsidR="009F67E5">
        <w:t>’</w:t>
      </w:r>
      <w:r w:rsidRPr="009F67E5">
        <w:t xml:space="preserve"> allegations that their detention on that day exceeded the statutory limit of three hours (see the appended table).</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23</w:t>
      </w:r>
      <w:r w:rsidRPr="009F67E5">
        <w:fldChar w:fldCharType="end"/>
      </w:r>
      <w:r w:rsidRPr="009F67E5">
        <w:t>.  As regards Article 6 § 1, the complaints relying on this provision disclose a violation of the impartiality requirement on account of the absence of a prosecuting party (see the appended table). As regards Ms </w:t>
      </w:r>
      <w:proofErr w:type="spellStart"/>
      <w:r w:rsidRPr="009F67E5">
        <w:t>Polyakova</w:t>
      </w:r>
      <w:r w:rsidRPr="009F67E5" w:rsidR="009F67E5">
        <w:t>’</w:t>
      </w:r>
      <w:r w:rsidRPr="009F67E5">
        <w:t>s</w:t>
      </w:r>
      <w:proofErr w:type="spellEnd"/>
      <w:r w:rsidRPr="009F67E5">
        <w:t xml:space="preserve"> complaint about the first set of administrative proceedings being conducted in her and her lawyer</w:t>
      </w:r>
      <w:r w:rsidRPr="009F67E5" w:rsidR="009F67E5">
        <w:t>’</w:t>
      </w:r>
      <w:r w:rsidRPr="009F67E5">
        <w:t>s absence, the Court notes that they were absent in both instances because of the courts</w:t>
      </w:r>
      <w:r w:rsidRPr="009F67E5" w:rsidR="009F67E5">
        <w:t>’</w:t>
      </w:r>
      <w:r w:rsidRPr="009F67E5">
        <w:t xml:space="preserve"> administrative errors; moreover, the judges did not verify whether the nature of the charges called for the defendant</w:t>
      </w:r>
      <w:r w:rsidRPr="009F67E5" w:rsidR="009F67E5">
        <w:t>’</w:t>
      </w:r>
      <w:r w:rsidRPr="009F67E5">
        <w:t xml:space="preserve">s personal testimony and whether her attendance was essential to ensure the overall fairness of the proceedings. She was thus deprived of the opportunity to present her case effectively, in breach of Article 6 § 1 of the Convention (see, </w:t>
      </w:r>
      <w:r w:rsidRPr="009F67E5">
        <w:rPr>
          <w:i/>
        </w:rPr>
        <w:t>mutatis mutandis</w:t>
      </w:r>
      <w:r w:rsidRPr="009F67E5">
        <w:t xml:space="preserve">, </w:t>
      </w:r>
      <w:proofErr w:type="spellStart"/>
      <w:r w:rsidRPr="009F67E5">
        <w:rPr>
          <w:i/>
        </w:rPr>
        <w:t>Gankin</w:t>
      </w:r>
      <w:proofErr w:type="spellEnd"/>
      <w:r w:rsidRPr="009F67E5">
        <w:rPr>
          <w:i/>
        </w:rPr>
        <w:t xml:space="preserve"> and Others v. Russia</w:t>
      </w:r>
      <w:r w:rsidRPr="009F67E5">
        <w:t xml:space="preserve">, nos. 2430/06 and 3 others, § 42, 31 May 2016, and </w:t>
      </w:r>
      <w:proofErr w:type="spellStart"/>
      <w:r w:rsidRPr="009F67E5">
        <w:rPr>
          <w:i/>
          <w:iCs/>
        </w:rPr>
        <w:t>Igranov</w:t>
      </w:r>
      <w:proofErr w:type="spellEnd"/>
      <w:r w:rsidRPr="009F67E5">
        <w:rPr>
          <w:i/>
          <w:iCs/>
        </w:rPr>
        <w:t xml:space="preserve"> and Others v. Russia</w:t>
      </w:r>
      <w:r w:rsidRPr="009F67E5">
        <w:rPr>
          <w:lang w:eastAsia="en-GB"/>
        </w:rPr>
        <w:t>, nos.</w:t>
      </w:r>
      <w:r w:rsidRPr="009F67E5">
        <w:t xml:space="preserve"> 42399/13 and 8 others</w:t>
      </w:r>
      <w:r w:rsidRPr="009F67E5">
        <w:rPr>
          <w:lang w:eastAsia="en-GB"/>
        </w:rPr>
        <w:t xml:space="preserve">, </w:t>
      </w:r>
      <w:r w:rsidRPr="009F67E5">
        <w:t>§ 35, 20 March 2018).</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24</w:t>
      </w:r>
      <w:r w:rsidRPr="009F67E5">
        <w:fldChar w:fldCharType="end"/>
      </w:r>
      <w:r w:rsidRPr="009F67E5">
        <w:t>.  The Court notes that many of the applicants also complained under Article 6 § 1 about their convictions being based exclusively on the evidence submitted by the police officers and/or under Article 6 § 3 (d) of the Convention about their alleged inability to cross-examine the police officers on whose written statements their conviction was based. The Court considers that as it has already concluded that the administrative proceedings, taken as a whole, were conducted in violation of the right to a fair hearing, it is not necessary to address the remainder of the applicants</w:t>
      </w:r>
      <w:r w:rsidRPr="009F67E5" w:rsidR="009F67E5">
        <w:t>’</w:t>
      </w:r>
      <w:r w:rsidRPr="009F67E5">
        <w:t xml:space="preserve"> complaints under Article 6 §§ 1 and 3 (d) of the Convention (see </w:t>
      </w:r>
      <w:proofErr w:type="spellStart"/>
      <w:r w:rsidRPr="009F67E5">
        <w:rPr>
          <w:i/>
        </w:rPr>
        <w:t>Frumkin</w:t>
      </w:r>
      <w:proofErr w:type="spellEnd"/>
      <w:r w:rsidRPr="009F67E5">
        <w:rPr>
          <w:i/>
        </w:rPr>
        <w:t>,</w:t>
      </w:r>
      <w:r w:rsidRPr="009F67E5">
        <w:t xml:space="preserve"> cited above, § 168).</w:t>
      </w:r>
    </w:p>
    <w:p w:rsidRPr="009F67E5" w:rsidR="00624CCB" w:rsidP="009F67E5" w:rsidRDefault="00624CCB">
      <w:pPr>
        <w:pStyle w:val="JuHIRoman"/>
        <w:numPr>
          <w:ilvl w:val="1"/>
          <w:numId w:val="22"/>
        </w:numPr>
        <w:jc w:val="left"/>
      </w:pPr>
      <w:r w:rsidRPr="009F67E5">
        <w:t>APPLICATION OF ARTICLE 41 OF THE CONVENTION</w:t>
      </w:r>
    </w:p>
    <w:p w:rsidRPr="009F67E5" w:rsidR="00624CCB" w:rsidP="009F67E5" w:rsidRDefault="00624CCB">
      <w:pPr>
        <w:pStyle w:val="JuPara"/>
        <w:keepNext/>
        <w:keepLines/>
      </w:pPr>
      <w:r w:rsidRPr="009F67E5">
        <w:fldChar w:fldCharType="begin"/>
      </w:r>
      <w:r w:rsidRPr="009F67E5">
        <w:instrText xml:space="preserve"> SEQ level0 \*arabic </w:instrText>
      </w:r>
      <w:r w:rsidRPr="009F67E5">
        <w:fldChar w:fldCharType="separate"/>
      </w:r>
      <w:r w:rsidRPr="009F67E5" w:rsidR="009F67E5">
        <w:rPr>
          <w:noProof/>
        </w:rPr>
        <w:t>25</w:t>
      </w:r>
      <w:r w:rsidRPr="009F67E5">
        <w:fldChar w:fldCharType="end"/>
      </w:r>
      <w:r w:rsidRPr="009F67E5">
        <w:t>.  Article 41 of the Convention provides:</w:t>
      </w:r>
    </w:p>
    <w:p w:rsidRPr="009F67E5" w:rsidR="00624CCB" w:rsidP="009F67E5" w:rsidRDefault="00624CCB">
      <w:pPr>
        <w:pStyle w:val="JuQuot"/>
      </w:pPr>
      <w:r w:rsidRPr="009F67E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F67E5" w:rsidR="00624CCB" w:rsidP="009F67E5" w:rsidRDefault="00624CCB">
      <w:pPr>
        <w:pStyle w:val="JuHA"/>
        <w:numPr>
          <w:ilvl w:val="2"/>
          <w:numId w:val="23"/>
        </w:numPr>
        <w:jc w:val="left"/>
      </w:pPr>
      <w:r w:rsidRPr="009F67E5">
        <w:t>Damage</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26</w:t>
      </w:r>
      <w:r w:rsidRPr="009F67E5">
        <w:fldChar w:fldCharType="end"/>
      </w:r>
      <w:r w:rsidRPr="009F67E5">
        <w:t>.  The applicants in application no. 67936/14 requested non</w:t>
      </w:r>
      <w:r w:rsidRPr="009F67E5">
        <w:noBreakHyphen/>
        <w:t>pecuniary damages in the amount to be determined by the Court. Mr </w:t>
      </w:r>
      <w:proofErr w:type="spellStart"/>
      <w:r w:rsidRPr="009F67E5">
        <w:t>Svarovskiy</w:t>
      </w:r>
      <w:proofErr w:type="spellEnd"/>
      <w:r w:rsidRPr="009F67E5">
        <w:t xml:space="preserve"> claimed 20,000 euros (EUR), and Ms </w:t>
      </w:r>
      <w:proofErr w:type="spellStart"/>
      <w:r w:rsidRPr="009F67E5">
        <w:t>Polyakova</w:t>
      </w:r>
      <w:proofErr w:type="spellEnd"/>
      <w:r w:rsidRPr="009F67E5">
        <w:t xml:space="preserve"> claimed EUR 30,000 under this head.</w:t>
      </w:r>
    </w:p>
    <w:p w:rsidRPr="009F67E5" w:rsidR="00624CCB" w:rsidP="009F67E5" w:rsidRDefault="00624CCB">
      <w:pPr>
        <w:pStyle w:val="JuPara"/>
      </w:pPr>
      <w:r w:rsidRPr="009F67E5">
        <w:rPr>
          <w:lang w:val="en-US"/>
        </w:rPr>
        <w:fldChar w:fldCharType="begin"/>
      </w:r>
      <w:r w:rsidRPr="009F67E5">
        <w:rPr>
          <w:lang w:val="en-US"/>
        </w:rPr>
        <w:instrText xml:space="preserve"> SEQ level0 \*arabic </w:instrText>
      </w:r>
      <w:r w:rsidRPr="009F67E5">
        <w:rPr>
          <w:lang w:val="en-US"/>
        </w:rPr>
        <w:fldChar w:fldCharType="separate"/>
      </w:r>
      <w:r w:rsidRPr="009F67E5" w:rsidR="009F67E5">
        <w:rPr>
          <w:noProof/>
          <w:lang w:val="en-US"/>
        </w:rPr>
        <w:t>27</w:t>
      </w:r>
      <w:r w:rsidRPr="009F67E5">
        <w:rPr>
          <w:lang w:val="en-US"/>
        </w:rPr>
        <w:fldChar w:fldCharType="end"/>
      </w:r>
      <w:r w:rsidRPr="009F67E5">
        <w:rPr>
          <w:lang w:val="en-US"/>
        </w:rPr>
        <w:t>.  As regards pecuniary damage, some of the applicants claimed the amounts of the administrative fines paid by them (see the appended table). Other applicants did not submit any pecuniary damage claims because they did not pay the fines. They requested the Court to find that any attempt to enforce the domestic decisions ordering them to pay the fines would violate Article 11 of the Convention.</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28</w:t>
      </w:r>
      <w:r w:rsidRPr="009F67E5">
        <w:fldChar w:fldCharType="end"/>
      </w:r>
      <w:r w:rsidRPr="009F67E5">
        <w:t xml:space="preserve">.  The Government contested the claims in respect of non-pecuniary damage as unfounded. They submitted that the amounts specified in two applications were excessive, while the claim for an unspecified amount should be dismissed as having been formulated </w:t>
      </w:r>
      <w:r w:rsidRPr="009F67E5">
        <w:rPr>
          <w:i/>
        </w:rPr>
        <w:t xml:space="preserve">in </w:t>
      </w:r>
      <w:proofErr w:type="spellStart"/>
      <w:r w:rsidRPr="009F67E5">
        <w:rPr>
          <w:i/>
        </w:rPr>
        <w:t>abstracto</w:t>
      </w:r>
      <w:proofErr w:type="spellEnd"/>
      <w:r w:rsidRPr="009F67E5">
        <w:t>. In any event, no compensation should be granted, as there had been no violation of the applicant</w:t>
      </w:r>
      <w:r w:rsidRPr="009F67E5" w:rsidR="009F67E5">
        <w:t>’</w:t>
      </w:r>
      <w:r w:rsidRPr="009F67E5">
        <w:t>s rights. They contested the claims in respect of pecuniary damage on the grounds that the fines in question had been lawfully imposed and, in some cases, had not been actually paid.</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29</w:t>
      </w:r>
      <w:r w:rsidRPr="009F67E5">
        <w:fldChar w:fldCharType="end"/>
      </w:r>
      <w:r w:rsidRPr="009F67E5">
        <w:t xml:space="preserve">.  Having </w:t>
      </w:r>
      <w:proofErr w:type="gramStart"/>
      <w:r w:rsidRPr="009F67E5">
        <w:t>regard</w:t>
      </w:r>
      <w:proofErr w:type="gramEnd"/>
      <w:r w:rsidRPr="009F67E5">
        <w:t xml:space="preserve"> to the parties</w:t>
      </w:r>
      <w:r w:rsidRPr="009F67E5" w:rsidR="009F67E5">
        <w:t>’</w:t>
      </w:r>
      <w:r w:rsidRPr="009F67E5">
        <w:t xml:space="preserve"> submissions and to its case</w:t>
      </w:r>
      <w:r w:rsidRPr="009F67E5">
        <w:noBreakHyphen/>
        <w:t>law concerning violations of Article 11 on account of arbitrary arrests at peaceful assemblies, the Court considers it reasonable to award the applicants EUR 5,000 each in respect of non-pecuniary damage and the amounts indicated in the appended table in respect of pecuniary damage.</w:t>
      </w:r>
    </w:p>
    <w:p w:rsidRPr="009F67E5" w:rsidR="00624CCB" w:rsidP="009F67E5" w:rsidRDefault="00624CCB">
      <w:pPr>
        <w:pStyle w:val="JuPara"/>
        <w:rPr>
          <w:lang w:val="en-US"/>
        </w:rPr>
      </w:pPr>
      <w:r w:rsidRPr="009F67E5">
        <w:fldChar w:fldCharType="begin"/>
      </w:r>
      <w:r w:rsidRPr="009F67E5">
        <w:instrText xml:space="preserve"> SEQ level0 \*arabic </w:instrText>
      </w:r>
      <w:r w:rsidRPr="009F67E5">
        <w:fldChar w:fldCharType="separate"/>
      </w:r>
      <w:r w:rsidRPr="009F67E5" w:rsidR="009F67E5">
        <w:rPr>
          <w:noProof/>
        </w:rPr>
        <w:t>30</w:t>
      </w:r>
      <w:r w:rsidRPr="009F67E5">
        <w:fldChar w:fldCharType="end"/>
      </w:r>
      <w:r w:rsidRPr="009F67E5">
        <w:t>.  </w:t>
      </w:r>
      <w:r w:rsidRPr="009F67E5">
        <w:rPr>
          <w:lang w:val="en-US"/>
        </w:rPr>
        <w:t xml:space="preserve">As regards the applicants who submitted that they had not paid the fines the Court notes that a decision ordering an administrative punishment is enforceable during two years from the time when the decision became final (see above). This period would normally </w:t>
      </w:r>
      <w:r w:rsidRPr="009F67E5">
        <w:t xml:space="preserve">have </w:t>
      </w:r>
      <w:r w:rsidRPr="009F67E5">
        <w:rPr>
          <w:lang w:val="en-US"/>
        </w:rPr>
        <w:t>expired in 2016 in respect of the applicants concerned. In the absence of any information as to enforcement of the relevant domestic decisions and, in particular, stay or suspension of their enforcement, the Court assumes that the decisions will not be enforced.</w:t>
      </w:r>
    </w:p>
    <w:p w:rsidRPr="009F67E5" w:rsidR="00624CCB" w:rsidP="009F67E5" w:rsidRDefault="00624CCB">
      <w:pPr>
        <w:pStyle w:val="JuHA"/>
        <w:numPr>
          <w:ilvl w:val="2"/>
          <w:numId w:val="23"/>
        </w:numPr>
        <w:jc w:val="left"/>
      </w:pPr>
      <w:r w:rsidRPr="009F67E5">
        <w:t>Costs and expenses</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31</w:t>
      </w:r>
      <w:r w:rsidRPr="009F67E5">
        <w:fldChar w:fldCharType="end"/>
      </w:r>
      <w:r w:rsidRPr="009F67E5">
        <w:t>.  The applicant in application no. 47800/14 claimed EUR 5,650 for costs and expenses including legal fees incurred in the domestic proceedings and before the Court set out in the legal services agreement and the itemised invoice, and postal expenses.</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32</w:t>
      </w:r>
      <w:r w:rsidRPr="009F67E5">
        <w:fldChar w:fldCharType="end"/>
      </w:r>
      <w:r w:rsidRPr="009F67E5">
        <w:t>.  The applicants in application no. 67936/14 claimed the following amounts in respect of total costs and expenses, including legal fees incurred by the ten applicants in the domestic proceedings and before the Court, the administrative expenses and the translation costs, itemised in the documents they have submitted: EUR 20,180 and 1,865 pounds sterling (GBP, approximately EUR 2,100), payable to the applicants</w:t>
      </w:r>
      <w:r w:rsidRPr="009F67E5" w:rsidR="009F67E5">
        <w:t>’</w:t>
      </w:r>
      <w:r w:rsidRPr="009F67E5">
        <w:t xml:space="preserve"> representatives.</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33</w:t>
      </w:r>
      <w:r w:rsidRPr="009F67E5">
        <w:fldChar w:fldCharType="end"/>
      </w:r>
      <w:r w:rsidRPr="009F67E5">
        <w:t>.  The applicant in application no. 68196/14 claimed EUR 20,700 for costs and expenses including legal fees incurred in the domestic proceedings and before the Court set out in the itemised schedule, and postal expenses. She requested this amount to be paid to the account of her representative.</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34</w:t>
      </w:r>
      <w:r w:rsidRPr="009F67E5">
        <w:fldChar w:fldCharType="end"/>
      </w:r>
      <w:r w:rsidRPr="009F67E5">
        <w:t>.  The Government submitted that these claims in respect of legal fees were not sufficiently detailed and were not supported by relevant documents. They also contested them as excessive.</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35</w:t>
      </w:r>
      <w:r w:rsidRPr="009F67E5">
        <w:fldChar w:fldCharType="end"/>
      </w:r>
      <w:r w:rsidRPr="009F67E5">
        <w:t>.  According to the Court</w:t>
      </w:r>
      <w:r w:rsidRPr="009F67E5" w:rsidR="009F67E5">
        <w:t>’</w:t>
      </w:r>
      <w:r w:rsidRPr="009F67E5">
        <w:t>s case-law, an applicant is entitled to the reimbursement of costs and expenses only in so far as it has been shown that these have been actually and necessarily incurred and are reasonable as to quantum. Regard being had to the documents in its possession, the number of represented applicants, to its case-law and the repetitive nature of the legal issues examined in this case, the Court considers it reasonable to award the following amounts, plus any tax that may be chargeable to the applicants: EUR 1,700 to each applicant in applications nos. 47800/14 and 68196/14 (representing EUR 850 in respect costs and expenses incurred in the domestic proceedings plus EUR 850 for representation before the Court); and EUR 9,350 in application no. 67936/14 (representing the joint award of EUR 8,500 in respect costs and expenses incurred by ten applicants in the domestic proceedings plus EUR 850 for their joint representation before the Court). In respect of applications nos. 67936/14 and 68196/14 these awards are to be paid into the representatives</w:t>
      </w:r>
      <w:r w:rsidRPr="009F67E5" w:rsidR="009F67E5">
        <w:t>’</w:t>
      </w:r>
      <w:r w:rsidRPr="009F67E5">
        <w:t xml:space="preserve"> bank accounts, as requested by the applicants.</w:t>
      </w:r>
    </w:p>
    <w:p w:rsidRPr="009F67E5" w:rsidR="00624CCB" w:rsidP="009F67E5" w:rsidRDefault="00624CCB">
      <w:pPr>
        <w:pStyle w:val="JuHA"/>
        <w:numPr>
          <w:ilvl w:val="2"/>
          <w:numId w:val="23"/>
        </w:numPr>
        <w:jc w:val="left"/>
      </w:pPr>
      <w:r w:rsidRPr="009F67E5">
        <w:t>Default interest</w:t>
      </w:r>
    </w:p>
    <w:p w:rsidRPr="009F67E5" w:rsidR="00624CCB" w:rsidP="009F67E5" w:rsidRDefault="00624CCB">
      <w:pPr>
        <w:pStyle w:val="JuPara"/>
      </w:pPr>
      <w:r w:rsidRPr="009F67E5">
        <w:fldChar w:fldCharType="begin"/>
      </w:r>
      <w:r w:rsidRPr="009F67E5">
        <w:instrText xml:space="preserve"> SEQ level0 \*arabic </w:instrText>
      </w:r>
      <w:r w:rsidRPr="009F67E5">
        <w:fldChar w:fldCharType="separate"/>
      </w:r>
      <w:r w:rsidRPr="009F67E5" w:rsidR="009F67E5">
        <w:rPr>
          <w:noProof/>
        </w:rPr>
        <w:t>36</w:t>
      </w:r>
      <w:r w:rsidRPr="009F67E5">
        <w:fldChar w:fldCharType="end"/>
      </w:r>
      <w:r w:rsidRPr="009F67E5">
        <w:t>.  The Court considers it appropriate that the default interest rate should be based on the marginal lending rate of the European Central Bank, to which should be added three percentage points.</w:t>
      </w:r>
    </w:p>
    <w:p w:rsidRPr="009F67E5" w:rsidR="00624CCB" w:rsidP="009F67E5" w:rsidRDefault="00624CCB">
      <w:pPr>
        <w:pStyle w:val="JuHHead"/>
        <w:numPr>
          <w:ilvl w:val="0"/>
          <w:numId w:val="23"/>
        </w:numPr>
        <w:jc w:val="left"/>
      </w:pPr>
      <w:r w:rsidRPr="009F67E5">
        <w:t>FOR THESE REASONS, THE COURT, UNANIMOUSLY,</w:t>
      </w:r>
    </w:p>
    <w:p w:rsidRPr="009F67E5" w:rsidR="00624CCB" w:rsidP="009F67E5" w:rsidRDefault="00624CCB">
      <w:pPr>
        <w:pStyle w:val="JuList"/>
        <w:ind w:left="0" w:firstLine="0"/>
      </w:pPr>
      <w:r w:rsidRPr="009F67E5">
        <w:rPr>
          <w:i/>
        </w:rPr>
        <w:t xml:space="preserve">Decides </w:t>
      </w:r>
      <w:r w:rsidRPr="009F67E5">
        <w:t>to join the applications;</w:t>
      </w:r>
    </w:p>
    <w:p w:rsidRPr="009F67E5" w:rsidR="00624CCB" w:rsidP="009F67E5" w:rsidRDefault="00624CCB">
      <w:pPr>
        <w:pStyle w:val="JuList"/>
      </w:pPr>
      <w:r w:rsidRPr="009F67E5">
        <w:rPr>
          <w:i/>
        </w:rPr>
        <w:t xml:space="preserve">Declares </w:t>
      </w:r>
      <w:r w:rsidRPr="009F67E5">
        <w:t>the applications admissible;</w:t>
      </w:r>
    </w:p>
    <w:p w:rsidRPr="009F67E5" w:rsidR="00624CCB" w:rsidP="009F67E5" w:rsidRDefault="00624CCB">
      <w:pPr>
        <w:pStyle w:val="JuList"/>
      </w:pPr>
      <w:r w:rsidRPr="009F67E5">
        <w:rPr>
          <w:i/>
        </w:rPr>
        <w:t xml:space="preserve">Holds </w:t>
      </w:r>
      <w:r w:rsidRPr="009F67E5">
        <w:t>that there has been a violation of Article 11 of the Convention in respect of all applicants;</w:t>
      </w:r>
    </w:p>
    <w:p w:rsidRPr="009F67E5" w:rsidR="00624CCB" w:rsidP="009F67E5" w:rsidRDefault="00624CCB">
      <w:pPr>
        <w:pStyle w:val="JuList"/>
      </w:pPr>
      <w:r w:rsidRPr="009F67E5">
        <w:rPr>
          <w:i/>
        </w:rPr>
        <w:t>Holds</w:t>
      </w:r>
      <w:r w:rsidRPr="009F67E5">
        <w:rPr>
          <w:color w:val="000000"/>
        </w:rPr>
        <w:t xml:space="preserve"> </w:t>
      </w:r>
      <w:r w:rsidRPr="009F67E5">
        <w:t>that there has been a violation of Articles 5 and 6 of the Convention and of Article 4 of Protocol No. 7 to the Convention as regards the other complaints raised under the well</w:t>
      </w:r>
      <w:r w:rsidRPr="009F67E5">
        <w:noBreakHyphen/>
        <w:t>established case-law of the Court (see the appended table);</w:t>
      </w:r>
    </w:p>
    <w:p w:rsidRPr="009F67E5" w:rsidR="00624CCB" w:rsidP="009F67E5" w:rsidRDefault="00624CCB">
      <w:pPr>
        <w:pStyle w:val="JuList"/>
      </w:pPr>
      <w:r w:rsidRPr="009F67E5">
        <w:rPr>
          <w:i/>
        </w:rPr>
        <w:t>Holds</w:t>
      </w:r>
      <w:r w:rsidRPr="009F67E5">
        <w:rPr>
          <w:color w:val="000000"/>
        </w:rPr>
        <w:t xml:space="preserve"> </w:t>
      </w:r>
      <w:r w:rsidRPr="009F67E5">
        <w:t>that there is no need to examine the complaints under Article 5 § 1 of the Convention concerning deprivation of liberty in excess of three hours</w:t>
      </w:r>
      <w:r w:rsidRPr="009F67E5">
        <w:rPr>
          <w:bCs/>
          <w:lang w:val="en-US"/>
        </w:rPr>
        <w:t xml:space="preserve"> and the complaints under </w:t>
      </w:r>
      <w:r w:rsidRPr="009F67E5">
        <w:rPr>
          <w:bCs/>
        </w:rPr>
        <w:t>Article 6 §§ 1 and 3 (d) of the Convention concerning the assessment of evidence and cross</w:t>
      </w:r>
      <w:r w:rsidRPr="009F67E5">
        <w:rPr>
          <w:bCs/>
        </w:rPr>
        <w:noBreakHyphen/>
        <w:t>examination of certain witnesses (</w:t>
      </w:r>
      <w:r w:rsidRPr="009F67E5">
        <w:t>see the appended table);</w:t>
      </w:r>
    </w:p>
    <w:p w:rsidRPr="009F67E5" w:rsidR="00624CCB" w:rsidP="009F67E5" w:rsidRDefault="00624CCB">
      <w:pPr>
        <w:pStyle w:val="JuList"/>
      </w:pPr>
      <w:r w:rsidRPr="009F67E5">
        <w:rPr>
          <w:i/>
        </w:rPr>
        <w:t>Holds</w:t>
      </w:r>
    </w:p>
    <w:p w:rsidRPr="009F67E5" w:rsidR="00624CCB" w:rsidP="009F67E5" w:rsidRDefault="00624CCB">
      <w:pPr>
        <w:pStyle w:val="JuLista"/>
      </w:pPr>
      <w:r w:rsidRPr="009F67E5">
        <w:t>that the respondent State is to pay the applicants, within three months, the following amounts, to be converted into the currency of the respondent State at the rate applicable at the date of settlement, except in relation to the payment of costs and expenses payable to EHRAC, which are to be paid in euros:</w:t>
      </w:r>
    </w:p>
    <w:p w:rsidRPr="009F67E5" w:rsidR="00624CCB" w:rsidP="009F67E5" w:rsidRDefault="00624CCB">
      <w:pPr>
        <w:pStyle w:val="JuListi"/>
      </w:pPr>
      <w:r w:rsidRPr="009F67E5">
        <w:t>the amounts indicated in the appended table, plus any tax that may be chargeable, in respect of pecuniary damage;</w:t>
      </w:r>
    </w:p>
    <w:p w:rsidRPr="009F67E5" w:rsidR="00624CCB" w:rsidP="009F67E5" w:rsidRDefault="00624CCB">
      <w:pPr>
        <w:pStyle w:val="JuListi"/>
      </w:pPr>
      <w:r w:rsidRPr="009F67E5">
        <w:t>EUR 5,000 (five thousand euros) to each of the applicants, plus any tax that may be chargeable, in respect of non-pecuniary damage;</w:t>
      </w:r>
    </w:p>
    <w:p w:rsidRPr="009F67E5" w:rsidR="00624CCB" w:rsidP="009F67E5" w:rsidRDefault="00624CCB">
      <w:pPr>
        <w:pStyle w:val="JuListi"/>
      </w:pPr>
      <w:r w:rsidRPr="009F67E5">
        <w:t>the following amounts, plus any tax that may be chargeable to the applicants, in respect of costs and expenses:</w:t>
      </w:r>
    </w:p>
    <w:p w:rsidRPr="009F67E5" w:rsidR="00624CCB" w:rsidP="009F67E5" w:rsidRDefault="00624CCB">
      <w:pPr>
        <w:pStyle w:val="JuListi"/>
        <w:numPr>
          <w:ilvl w:val="0"/>
          <w:numId w:val="0"/>
        </w:numPr>
        <w:ind w:left="1021"/>
      </w:pPr>
      <w:r w:rsidRPr="009F67E5">
        <w:t>- EUR 1,700 (one thousand seven hundred euros) to the applicant in application no. 47800/14;</w:t>
      </w:r>
    </w:p>
    <w:p w:rsidRPr="009F67E5" w:rsidR="00624CCB" w:rsidP="009F67E5" w:rsidRDefault="00624CCB">
      <w:pPr>
        <w:pStyle w:val="JuListi"/>
        <w:numPr>
          <w:ilvl w:val="0"/>
          <w:numId w:val="0"/>
        </w:numPr>
        <w:ind w:left="1021"/>
      </w:pPr>
      <w:r w:rsidRPr="009F67E5">
        <w:t>- EUR 9,350 (nine thousand three hundred and fifty euros) jointly to the applicants in application no. 67936/14, payable to the applicants</w:t>
      </w:r>
      <w:r w:rsidRPr="009F67E5" w:rsidR="009F67E5">
        <w:t>’</w:t>
      </w:r>
      <w:r w:rsidRPr="009F67E5">
        <w:t xml:space="preserve"> representatives, as indicated by the applicants;</w:t>
      </w:r>
    </w:p>
    <w:p w:rsidRPr="009F67E5" w:rsidR="00624CCB" w:rsidP="009F67E5" w:rsidRDefault="00624CCB">
      <w:pPr>
        <w:pStyle w:val="JuListi"/>
        <w:numPr>
          <w:ilvl w:val="0"/>
          <w:numId w:val="0"/>
        </w:numPr>
        <w:ind w:left="1021"/>
      </w:pPr>
      <w:r w:rsidRPr="009F67E5">
        <w:t>- EUR 1,700 (one thousand seven hundred euros) to the applicant in application no. 68196/14, payable to the applicant</w:t>
      </w:r>
      <w:r w:rsidRPr="009F67E5" w:rsidR="009F67E5">
        <w:t>’</w:t>
      </w:r>
      <w:r w:rsidRPr="009F67E5">
        <w:t>s representative, as indicated by the applicant;</w:t>
      </w:r>
    </w:p>
    <w:p w:rsidRPr="009F67E5" w:rsidR="00624CCB" w:rsidP="009F67E5" w:rsidRDefault="00624CCB">
      <w:pPr>
        <w:pStyle w:val="JuLista"/>
      </w:pPr>
      <w:r w:rsidRPr="009F67E5">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9F67E5" w:rsidR="004D0EC7" w:rsidP="009F67E5" w:rsidRDefault="00624CCB">
      <w:pPr>
        <w:pStyle w:val="JuList"/>
      </w:pPr>
      <w:r w:rsidRPr="009F67E5">
        <w:rPr>
          <w:i/>
        </w:rPr>
        <w:t>Dismisses</w:t>
      </w:r>
      <w:r w:rsidRPr="009F67E5">
        <w:t xml:space="preserve"> the remainder of the claims for just satisfaction.</w:t>
      </w:r>
    </w:p>
    <w:p w:rsidRPr="009F67E5" w:rsidR="008E3A08" w:rsidP="009F67E5" w:rsidRDefault="007E2C8C">
      <w:pPr>
        <w:pStyle w:val="JuParaLast"/>
      </w:pPr>
      <w:r w:rsidRPr="009F67E5">
        <w:t xml:space="preserve">Done in English, and notified in writing on </w:t>
      </w:r>
      <w:r w:rsidRPr="009F67E5" w:rsidR="00624CCB">
        <w:rPr>
          <w:rFonts w:ascii="Times New Roman" w:hAnsi="Times New Roman" w:cs="Times New Roman"/>
        </w:rPr>
        <w:t>6 October 2020</w:t>
      </w:r>
      <w:r w:rsidRPr="009F67E5">
        <w:t>, pursuant to Rule 77 §§ 2 and 3 of the Rules of Court.</w:t>
      </w:r>
    </w:p>
    <w:p w:rsidRPr="009F67E5" w:rsidR="001C055B" w:rsidP="009F67E5" w:rsidRDefault="00624CCB">
      <w:pPr>
        <w:pStyle w:val="JuSigned"/>
      </w:pPr>
      <w:r w:rsidRPr="009F67E5">
        <w:t>Olga Chernishova</w:t>
      </w:r>
      <w:r w:rsidRPr="009F67E5" w:rsidR="005879A2">
        <w:t xml:space="preserve"> </w:t>
      </w:r>
      <w:r w:rsidRPr="009F67E5" w:rsidR="009F4C8F">
        <w:tab/>
      </w:r>
      <w:r w:rsidRPr="009F67E5">
        <w:t>Helen Keller</w:t>
      </w:r>
      <w:r w:rsidRPr="009F67E5" w:rsidR="009F4C8F">
        <w:br/>
      </w:r>
      <w:r w:rsidRPr="009F67E5" w:rsidR="009F4C8F">
        <w:tab/>
      </w:r>
      <w:r w:rsidRPr="009F67E5">
        <w:t xml:space="preserve">Deputy </w:t>
      </w:r>
      <w:r w:rsidRPr="009F67E5">
        <w:rPr>
          <w:iCs/>
        </w:rPr>
        <w:t>Registrar</w:t>
      </w:r>
      <w:r w:rsidRPr="009F67E5" w:rsidR="009F4C8F">
        <w:tab/>
        <w:t>President</w:t>
      </w:r>
    </w:p>
    <w:p w:rsidRPr="009F67E5" w:rsidR="00C87CBF" w:rsidP="009F67E5" w:rsidRDefault="00C87CBF"/>
    <w:p w:rsidRPr="009F67E5" w:rsidR="00E1006B" w:rsidP="009F67E5" w:rsidRDefault="00E1006B">
      <w:pPr>
        <w:sectPr w:rsidRPr="009F67E5" w:rsidR="00E1006B"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pPr>
    </w:p>
    <w:p w:rsidRPr="009F67E5" w:rsidR="002A613A" w:rsidP="009F67E5" w:rsidRDefault="00AD46B8">
      <w:pPr>
        <w:jc w:val="center"/>
        <w:rPr>
          <w:b/>
        </w:rPr>
      </w:pPr>
      <w:r w:rsidRPr="009F67E5">
        <w:rPr>
          <w:b/>
        </w:rPr>
        <w:t>APPENDIX</w:t>
      </w:r>
    </w:p>
    <w:p w:rsidRPr="009F67E5" w:rsidR="00AD46B8" w:rsidP="009F67E5" w:rsidRDefault="00AD46B8">
      <w:pPr>
        <w:jc w:val="center"/>
        <w:rPr>
          <w:sz w:val="16"/>
          <w:szCs w:val="16"/>
        </w:rPr>
      </w:pPr>
    </w:p>
    <w:tbl>
      <w:tblPr>
        <w:tblStyle w:val="ECHRListTable"/>
        <w:tblW w:w="12724" w:type="dxa"/>
        <w:tblLook w:val="05E0" w:firstRow="1" w:lastRow="1" w:firstColumn="1" w:lastColumn="1" w:noHBand="0" w:noVBand="1"/>
      </w:tblPr>
      <w:tblGrid>
        <w:gridCol w:w="452"/>
        <w:gridCol w:w="1104"/>
        <w:gridCol w:w="1437"/>
        <w:gridCol w:w="1793"/>
        <w:gridCol w:w="1559"/>
        <w:gridCol w:w="4536"/>
        <w:gridCol w:w="1843"/>
      </w:tblGrid>
      <w:tr w:rsidRPr="009F67E5" w:rsidR="00AD46B8" w:rsidTr="00B67313">
        <w:trPr>
          <w:cnfStyle w:val="100000000000" w:firstRow="1" w:lastRow="0" w:firstColumn="0" w:lastColumn="0" w:oddVBand="0" w:evenVBand="0" w:oddHBand="0" w:evenHBand="0" w:firstRowFirstColumn="0" w:firstRowLastColumn="0" w:lastRowFirstColumn="0" w:lastRowLastColumn="0"/>
        </w:trPr>
        <w:tc>
          <w:tcPr>
            <w:tcW w:w="0" w:type="auto"/>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No.</w:t>
            </w:r>
          </w:p>
        </w:tc>
        <w:tc>
          <w:tcPr>
            <w:tcW w:w="1104"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Application</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no. and date of introduction</w:t>
            </w:r>
          </w:p>
        </w:tc>
        <w:tc>
          <w:tcPr>
            <w:tcW w:w="1437"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Applicant name</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date of birth</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place of residence</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nationality</w:t>
            </w: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Charge and penalty</w:t>
            </w: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Final domestic decision details</w:t>
            </w:r>
          </w:p>
        </w:tc>
        <w:tc>
          <w:tcPr>
            <w:tcW w:w="4536" w:type="dxa"/>
          </w:tcPr>
          <w:p w:rsidRPr="009F67E5" w:rsidR="00AD46B8" w:rsidP="009F67E5" w:rsidRDefault="00AD46B8">
            <w:pPr>
              <w:jc w:val="center"/>
              <w:rPr>
                <w:rFonts w:ascii="Times New Roman" w:hAnsi="Times New Roman" w:cs="Times New Roman"/>
                <w:sz w:val="16"/>
              </w:rPr>
            </w:pPr>
            <w:r w:rsidRPr="009F67E5">
              <w:rPr>
                <w:rFonts w:ascii="Times New Roman" w:hAnsi="Times New Roman" w:cs="Times New Roman"/>
                <w:sz w:val="16"/>
              </w:rPr>
              <w:t>Other complaints under well-established case-law</w:t>
            </w:r>
          </w:p>
          <w:p w:rsidRPr="009F67E5" w:rsidR="00AD46B8" w:rsidP="009F67E5" w:rsidRDefault="00AD46B8">
            <w:pPr>
              <w:jc w:val="center"/>
              <w:rPr>
                <w:rFonts w:ascii="Times New Roman" w:hAnsi="Times New Roman" w:cs="Times New Roman"/>
                <w:sz w:val="16"/>
              </w:rPr>
            </w:pPr>
            <w:r w:rsidRPr="009F67E5">
              <w:rPr>
                <w:rFonts w:ascii="Times New Roman" w:hAnsi="Times New Roman" w:cs="Times New Roman"/>
                <w:sz w:val="16"/>
              </w:rPr>
              <w:t>(</w:t>
            </w:r>
            <w:proofErr w:type="spellStart"/>
            <w:r w:rsidRPr="009F67E5">
              <w:rPr>
                <w:rFonts w:ascii="Times New Roman" w:hAnsi="Times New Roman" w:cs="Times New Roman"/>
                <w:sz w:val="16"/>
              </w:rPr>
              <w:t>i</w:t>
            </w:r>
            <w:proofErr w:type="spellEnd"/>
            <w:r w:rsidRPr="009F67E5">
              <w:rPr>
                <w:rFonts w:ascii="Times New Roman" w:hAnsi="Times New Roman" w:cs="Times New Roman"/>
                <w:sz w:val="16"/>
              </w:rPr>
              <w:t>) admissible and disclosing a violation</w:t>
            </w:r>
          </w:p>
          <w:p w:rsidRPr="009F67E5" w:rsidR="00AD46B8" w:rsidP="009F67E5" w:rsidRDefault="00AD46B8">
            <w:pPr>
              <w:jc w:val="center"/>
              <w:rPr>
                <w:rFonts w:ascii="Times New Roman" w:hAnsi="Times New Roman" w:cs="Times New Roman"/>
                <w:sz w:val="16"/>
              </w:rPr>
            </w:pPr>
            <w:r w:rsidRPr="009F67E5">
              <w:rPr>
                <w:rFonts w:ascii="Times New Roman" w:hAnsi="Times New Roman" w:cs="Times New Roman"/>
                <w:sz w:val="16"/>
              </w:rPr>
              <w:t>(ii) not necessary to examine</w:t>
            </w:r>
          </w:p>
          <w:p w:rsidRPr="009F67E5" w:rsidR="00AD46B8" w:rsidP="009F67E5" w:rsidRDefault="00AD46B8">
            <w:pPr>
              <w:jc w:val="cente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rPr>
              <w:t>Amount awarded for pecuniary damage per applicant (in euros)</w:t>
            </w:r>
          </w:p>
        </w:tc>
      </w:tr>
      <w:tr w:rsidRPr="009F67E5" w:rsidR="00AD46B8" w:rsidTr="00B67313">
        <w:tc>
          <w:tcPr>
            <w:tcW w:w="0" w:type="auto"/>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47800/14</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19/06/2014</w:t>
            </w:r>
          </w:p>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proofErr w:type="spellStart"/>
            <w:r w:rsidRPr="009F67E5">
              <w:rPr>
                <w:rFonts w:ascii="Times New Roman" w:hAnsi="Times New Roman" w:cs="Times New Roman"/>
                <w:b/>
                <w:sz w:val="16"/>
                <w:szCs w:val="16"/>
              </w:rPr>
              <w:t>Yevgeniy</w:t>
            </w:r>
            <w:proofErr w:type="spellEnd"/>
            <w:r w:rsidRPr="009F67E5">
              <w:rPr>
                <w:rFonts w:ascii="Times New Roman" w:hAnsi="Times New Roman" w:cs="Times New Roman"/>
                <w:b/>
                <w:sz w:val="16"/>
                <w:szCs w:val="16"/>
              </w:rPr>
              <w:t xml:space="preserve"> </w:t>
            </w:r>
            <w:proofErr w:type="spellStart"/>
            <w:r w:rsidRPr="009F67E5">
              <w:rPr>
                <w:rFonts w:ascii="Times New Roman" w:hAnsi="Times New Roman" w:cs="Times New Roman"/>
                <w:b/>
                <w:sz w:val="16"/>
                <w:szCs w:val="16"/>
              </w:rPr>
              <w:t>Igorevich</w:t>
            </w:r>
            <w:proofErr w:type="spellEnd"/>
            <w:r w:rsidRPr="009F67E5">
              <w:rPr>
                <w:rFonts w:ascii="Times New Roman" w:hAnsi="Times New Roman" w:cs="Times New Roman"/>
                <w:b/>
                <w:sz w:val="16"/>
                <w:szCs w:val="16"/>
              </w:rPr>
              <w:t xml:space="preserve"> SVAROVSKIY</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1971</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Russian, American</w:t>
            </w:r>
          </w:p>
          <w:p w:rsidRPr="009F67E5" w:rsidR="00AD46B8" w:rsidP="009F67E5" w:rsidRDefault="00AD46B8">
            <w:pPr>
              <w:jc w:val="center"/>
              <w:rPr>
                <w:rFonts w:ascii="Times New Roman" w:hAnsi="Times New Roman" w:cs="Times New Roman"/>
                <w:sz w:val="16"/>
                <w:szCs w:val="16"/>
              </w:rPr>
            </w:pP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14/05/2014</w:t>
            </w: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rPr>
            </w:pP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(ii)</w:t>
            </w:r>
            <w:r w:rsidRPr="009F67E5">
              <w:rPr>
                <w:rFonts w:ascii="Times New Roman" w:hAnsi="Times New Roman" w:cs="Times New Roman"/>
                <w:sz w:val="16"/>
              </w:rPr>
              <w:t xml:space="preserve"> </w:t>
            </w:r>
            <w:r w:rsidRPr="009F67E5">
              <w:rPr>
                <w:rFonts w:ascii="Times New Roman" w:hAnsi="Times New Roman" w:cs="Times New Roman"/>
                <w:b/>
                <w:sz w:val="16"/>
              </w:rPr>
              <w:t>Art. 6 § 1</w:t>
            </w:r>
            <w:r w:rsidRPr="009F67E5">
              <w:rPr>
                <w:rFonts w:ascii="Times New Roman" w:hAnsi="Times New Roman" w:cs="Times New Roman"/>
                <w:sz w:val="16"/>
              </w:rPr>
              <w:t xml:space="preserve"> – the courts based their findings exclusively on the evidence submitted by the police officers and dismissed the applicant</w:t>
            </w:r>
            <w:r w:rsidRPr="009F67E5" w:rsidR="009F67E5">
              <w:rPr>
                <w:rFonts w:ascii="Times New Roman" w:hAnsi="Times New Roman" w:cs="Times New Roman"/>
                <w:sz w:val="16"/>
              </w:rPr>
              <w:t>’</w:t>
            </w:r>
            <w:r w:rsidRPr="009F67E5">
              <w:rPr>
                <w:rFonts w:ascii="Times New Roman" w:hAnsi="Times New Roman" w:cs="Times New Roman"/>
                <w:sz w:val="16"/>
              </w:rPr>
              <w:t>s statements and his evidence;</w:t>
            </w: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Art. 6 § 3 (d)</w:t>
            </w:r>
            <w:r w:rsidRPr="009F67E5">
              <w:rPr>
                <w:rFonts w:ascii="Times New Roman" w:hAnsi="Times New Roman" w:cs="Times New Roman"/>
                <w:sz w:val="16"/>
                <w:szCs w:val="16"/>
              </w:rPr>
              <w:t xml:space="preserve"> – the courts refused to call the police officers who had arrested the applicant.</w:t>
            </w: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 xml:space="preserve">EUR 202 </w:t>
            </w:r>
            <w:r w:rsidRPr="009F67E5">
              <w:rPr>
                <w:rFonts w:ascii="Times New Roman" w:hAnsi="Times New Roman" w:cs="Times New Roman"/>
                <w:sz w:val="16"/>
                <w:szCs w:val="16"/>
              </w:rPr>
              <w:br/>
              <w:t>(two hundred and two euros)</w:t>
            </w:r>
          </w:p>
        </w:tc>
      </w:tr>
      <w:tr w:rsidRPr="009F67E5" w:rsidR="00AD46B8" w:rsidTr="00B67313">
        <w:tc>
          <w:tcPr>
            <w:tcW w:w="0" w:type="auto"/>
            <w:vMerge w:val="restart"/>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val="restart"/>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67936/14</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14/10/2014</w:t>
            </w:r>
          </w:p>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proofErr w:type="spellStart"/>
            <w:r w:rsidRPr="009F67E5">
              <w:rPr>
                <w:rFonts w:ascii="Times New Roman" w:hAnsi="Times New Roman" w:cs="Times New Roman"/>
                <w:b/>
                <w:sz w:val="16"/>
                <w:szCs w:val="16"/>
              </w:rPr>
              <w:t>Zoya</w:t>
            </w:r>
            <w:proofErr w:type="spellEnd"/>
            <w:r w:rsidRPr="009F67E5">
              <w:rPr>
                <w:rFonts w:ascii="Times New Roman" w:hAnsi="Times New Roman" w:cs="Times New Roman"/>
                <w:b/>
                <w:sz w:val="16"/>
                <w:szCs w:val="16"/>
              </w:rPr>
              <w:t xml:space="preserve"> </w:t>
            </w:r>
            <w:proofErr w:type="spellStart"/>
            <w:r w:rsidRPr="009F67E5">
              <w:rPr>
                <w:rFonts w:ascii="Times New Roman" w:hAnsi="Times New Roman" w:cs="Times New Roman"/>
                <w:b/>
                <w:sz w:val="16"/>
                <w:szCs w:val="16"/>
              </w:rPr>
              <w:t>Nikolayevna</w:t>
            </w:r>
            <w:proofErr w:type="spellEnd"/>
            <w:r w:rsidRPr="009F67E5">
              <w:rPr>
                <w:rFonts w:ascii="Times New Roman" w:hAnsi="Times New Roman" w:cs="Times New Roman"/>
                <w:b/>
                <w:sz w:val="16"/>
                <w:szCs w:val="16"/>
              </w:rPr>
              <w:t xml:space="preserve"> ANDREYEVA</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1989</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Russian</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04/06/2014</w:t>
            </w: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rPr>
            </w:pP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6 § 3 (d)</w:t>
            </w:r>
            <w:r w:rsidRPr="009F67E5">
              <w:rPr>
                <w:rFonts w:ascii="Times New Roman" w:hAnsi="Times New Roman" w:cs="Times New Roman"/>
                <w:sz w:val="16"/>
                <w:szCs w:val="16"/>
              </w:rPr>
              <w:t xml:space="preserve"> – the courts refused to call the police officers who had arrested the applicant.</w:t>
            </w: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sz w:val="16"/>
                <w:szCs w:val="16"/>
              </w:rPr>
              <w:t>Not claimed</w:t>
            </w:r>
          </w:p>
        </w:tc>
      </w:tr>
      <w:tr w:rsidRPr="009F67E5" w:rsidR="00AD46B8" w:rsidTr="00B67313">
        <w:tc>
          <w:tcPr>
            <w:tcW w:w="0" w:type="auto"/>
            <w:vMerge/>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 xml:space="preserve">Oleg </w:t>
            </w:r>
            <w:proofErr w:type="spellStart"/>
            <w:r w:rsidRPr="009F67E5">
              <w:rPr>
                <w:rFonts w:ascii="Times New Roman" w:hAnsi="Times New Roman" w:cs="Times New Roman"/>
                <w:b/>
                <w:sz w:val="16"/>
                <w:szCs w:val="16"/>
              </w:rPr>
              <w:t>Petrovich</w:t>
            </w:r>
            <w:proofErr w:type="spellEnd"/>
            <w:r w:rsidRPr="009F67E5">
              <w:rPr>
                <w:rFonts w:ascii="Times New Roman" w:hAnsi="Times New Roman" w:cs="Times New Roman"/>
                <w:b/>
                <w:sz w:val="16"/>
                <w:szCs w:val="16"/>
              </w:rPr>
              <w:t xml:space="preserve"> ORLOV</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1953</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Russian</w:t>
            </w:r>
          </w:p>
          <w:p w:rsidRPr="009F67E5" w:rsidR="00AD46B8" w:rsidP="009F67E5" w:rsidRDefault="00AD46B8">
            <w:pPr>
              <w:jc w:val="center"/>
              <w:rPr>
                <w:rFonts w:ascii="Times New Roman" w:hAnsi="Times New Roman" w:cs="Times New Roman"/>
                <w:b/>
                <w:sz w:val="16"/>
                <w:szCs w:val="16"/>
              </w:rPr>
            </w:pP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12/05/2014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6 § 3 (d)</w:t>
            </w:r>
            <w:r w:rsidRPr="009F67E5">
              <w:rPr>
                <w:rFonts w:ascii="Times New Roman" w:hAnsi="Times New Roman" w:cs="Times New Roman"/>
                <w:sz w:val="16"/>
                <w:szCs w:val="16"/>
              </w:rPr>
              <w:t xml:space="preserve"> – the courts refused to call the police officers who had arrested the applicant.</w:t>
            </w:r>
          </w:p>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sz w:val="16"/>
                <w:szCs w:val="16"/>
              </w:rPr>
              <w:t xml:space="preserve"> </w:t>
            </w: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 xml:space="preserve">EUR 202 </w:t>
            </w:r>
            <w:r w:rsidRPr="009F67E5">
              <w:rPr>
                <w:rFonts w:ascii="Times New Roman" w:hAnsi="Times New Roman" w:cs="Times New Roman"/>
                <w:sz w:val="16"/>
                <w:szCs w:val="16"/>
              </w:rPr>
              <w:br/>
              <w:t>(two hundred and two euros)</w:t>
            </w:r>
          </w:p>
        </w:tc>
      </w:tr>
      <w:tr w:rsidRPr="009F67E5" w:rsidR="00AD46B8" w:rsidTr="00B67313">
        <w:tc>
          <w:tcPr>
            <w:tcW w:w="0" w:type="auto"/>
            <w:vMerge/>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proofErr w:type="spellStart"/>
            <w:r w:rsidRPr="009F67E5">
              <w:rPr>
                <w:rFonts w:ascii="Times New Roman" w:hAnsi="Times New Roman" w:cs="Times New Roman"/>
                <w:b/>
                <w:sz w:val="16"/>
                <w:szCs w:val="16"/>
              </w:rPr>
              <w:t>Moteyus</w:t>
            </w:r>
            <w:proofErr w:type="spellEnd"/>
            <w:r w:rsidRPr="009F67E5">
              <w:rPr>
                <w:rFonts w:ascii="Times New Roman" w:hAnsi="Times New Roman" w:cs="Times New Roman"/>
                <w:b/>
                <w:sz w:val="16"/>
                <w:szCs w:val="16"/>
              </w:rPr>
              <w:t xml:space="preserve"> </w:t>
            </w:r>
            <w:proofErr w:type="spellStart"/>
            <w:r w:rsidRPr="009F67E5">
              <w:rPr>
                <w:rFonts w:ascii="Times New Roman" w:hAnsi="Times New Roman" w:cs="Times New Roman"/>
                <w:b/>
                <w:sz w:val="16"/>
                <w:szCs w:val="16"/>
              </w:rPr>
              <w:t>Tomasevich</w:t>
            </w:r>
            <w:proofErr w:type="spellEnd"/>
            <w:r w:rsidRPr="009F67E5">
              <w:rPr>
                <w:rFonts w:ascii="Times New Roman" w:hAnsi="Times New Roman" w:cs="Times New Roman"/>
                <w:b/>
                <w:sz w:val="16"/>
                <w:szCs w:val="16"/>
              </w:rPr>
              <w:t xml:space="preserve"> CHEPAYTIS</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1979</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p w:rsidRPr="009F67E5" w:rsidR="00AD46B8" w:rsidP="009F67E5" w:rsidRDefault="00AD46B8">
            <w:pPr>
              <w:jc w:val="center"/>
              <w:rPr>
                <w:rFonts w:ascii="Times New Roman" w:hAnsi="Times New Roman" w:cs="Times New Roman"/>
                <w:b/>
                <w:sz w:val="16"/>
                <w:szCs w:val="16"/>
              </w:rPr>
            </w:pP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04/06/2014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szCs w:val="16"/>
              </w:rPr>
            </w:pPr>
          </w:p>
          <w:p w:rsidRPr="009F67E5" w:rsidR="00AD46B8" w:rsidP="009F67E5" w:rsidRDefault="00AD46B8">
            <w:pPr>
              <w:rPr>
                <w:rFonts w:ascii="Times New Roman" w:hAnsi="Times New Roman" w:cs="Times New Roman"/>
                <w:sz w:val="16"/>
                <w:szCs w:val="16"/>
              </w:rPr>
            </w:pP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Not claimed</w:t>
            </w:r>
          </w:p>
        </w:tc>
      </w:tr>
      <w:tr w:rsidRPr="009F67E5" w:rsidR="00AD46B8" w:rsidTr="00B67313">
        <w:tc>
          <w:tcPr>
            <w:tcW w:w="0" w:type="auto"/>
            <w:vMerge/>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 xml:space="preserve">Mikhail </w:t>
            </w:r>
            <w:proofErr w:type="spellStart"/>
            <w:r w:rsidRPr="009F67E5">
              <w:rPr>
                <w:rFonts w:ascii="Times New Roman" w:hAnsi="Times New Roman" w:cs="Times New Roman"/>
                <w:b/>
                <w:sz w:val="16"/>
                <w:szCs w:val="16"/>
              </w:rPr>
              <w:t>Olegovich</w:t>
            </w:r>
            <w:proofErr w:type="spellEnd"/>
            <w:r w:rsidRPr="009F67E5">
              <w:rPr>
                <w:rFonts w:ascii="Times New Roman" w:hAnsi="Times New Roman" w:cs="Times New Roman"/>
                <w:b/>
                <w:sz w:val="16"/>
                <w:szCs w:val="16"/>
              </w:rPr>
              <w:t xml:space="preserve"> GARDER</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1986</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Petrozavodsk</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14/05/2014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rPr>
            </w:pP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6 § 3 (d)</w:t>
            </w:r>
            <w:r w:rsidRPr="009F67E5">
              <w:rPr>
                <w:rFonts w:ascii="Times New Roman" w:hAnsi="Times New Roman" w:cs="Times New Roman"/>
                <w:sz w:val="16"/>
                <w:szCs w:val="16"/>
              </w:rPr>
              <w:t xml:space="preserve"> – the courts refused to call the police officers who had arrested the applicant.</w:t>
            </w:r>
          </w:p>
          <w:p w:rsidRPr="009F67E5" w:rsidR="00AD46B8" w:rsidP="009F67E5" w:rsidRDefault="00AD46B8">
            <w:pPr>
              <w:rPr>
                <w:rFonts w:ascii="Times New Roman" w:hAnsi="Times New Roman" w:cs="Times New Roman"/>
                <w:sz w:val="16"/>
                <w:szCs w:val="16"/>
              </w:rPr>
            </w:pP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Not claimed</w:t>
            </w:r>
          </w:p>
        </w:tc>
      </w:tr>
      <w:tr w:rsidRPr="009F67E5" w:rsidR="00AD46B8" w:rsidTr="00B67313">
        <w:tc>
          <w:tcPr>
            <w:tcW w:w="0" w:type="auto"/>
            <w:vMerge/>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 xml:space="preserve">Anna </w:t>
            </w:r>
            <w:proofErr w:type="spellStart"/>
            <w:r w:rsidRPr="009F67E5">
              <w:rPr>
                <w:rFonts w:ascii="Times New Roman" w:hAnsi="Times New Roman" w:cs="Times New Roman"/>
                <w:b/>
                <w:sz w:val="16"/>
                <w:szCs w:val="16"/>
              </w:rPr>
              <w:t>Yuryevna</w:t>
            </w:r>
            <w:proofErr w:type="spellEnd"/>
            <w:r w:rsidRPr="009F67E5">
              <w:rPr>
                <w:rFonts w:ascii="Times New Roman" w:hAnsi="Times New Roman" w:cs="Times New Roman"/>
                <w:b/>
                <w:sz w:val="16"/>
                <w:szCs w:val="16"/>
              </w:rPr>
              <w:t xml:space="preserve"> GLUKHOVA</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1972</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St Petersburg</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p w:rsidRPr="009F67E5" w:rsidR="00AD46B8" w:rsidP="009F67E5" w:rsidRDefault="00AD46B8">
            <w:pPr>
              <w:jc w:val="center"/>
              <w:rPr>
                <w:rFonts w:ascii="Times New Roman" w:hAnsi="Times New Roman" w:cs="Times New Roman"/>
                <w:b/>
                <w:sz w:val="16"/>
                <w:szCs w:val="16"/>
              </w:rPr>
            </w:pP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10/06/2014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rPr>
            </w:pP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 xml:space="preserve">EUR 202 </w:t>
            </w:r>
            <w:r w:rsidRPr="009F67E5">
              <w:rPr>
                <w:rFonts w:ascii="Times New Roman" w:hAnsi="Times New Roman" w:cs="Times New Roman"/>
                <w:sz w:val="16"/>
                <w:szCs w:val="16"/>
              </w:rPr>
              <w:br/>
              <w:t>(two hundred and two euros)</w:t>
            </w:r>
          </w:p>
        </w:tc>
      </w:tr>
      <w:tr w:rsidRPr="009F67E5" w:rsidR="00AD46B8" w:rsidTr="00B67313">
        <w:tc>
          <w:tcPr>
            <w:tcW w:w="0" w:type="auto"/>
            <w:vMerge/>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 xml:space="preserve">Veronika </w:t>
            </w:r>
            <w:proofErr w:type="spellStart"/>
            <w:r w:rsidRPr="009F67E5">
              <w:rPr>
                <w:rFonts w:ascii="Times New Roman" w:hAnsi="Times New Roman" w:cs="Times New Roman"/>
                <w:b/>
                <w:sz w:val="16"/>
                <w:szCs w:val="16"/>
              </w:rPr>
              <w:t>Anatolyevna</w:t>
            </w:r>
            <w:proofErr w:type="spellEnd"/>
            <w:r w:rsidRPr="009F67E5">
              <w:rPr>
                <w:rFonts w:ascii="Times New Roman" w:hAnsi="Times New Roman" w:cs="Times New Roman"/>
                <w:b/>
                <w:sz w:val="16"/>
                <w:szCs w:val="16"/>
              </w:rPr>
              <w:t xml:space="preserve"> KIRYANOVA</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1986</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19.3 § 1 of the CAO Administrative fine RUB 500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28/05/2014</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12/05/2014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b/>
                <w:sz w:val="16"/>
                <w:szCs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Art. 4 Prot. 7</w:t>
            </w:r>
            <w:r w:rsidRPr="009F67E5">
              <w:rPr>
                <w:rFonts w:ascii="Times New Roman" w:hAnsi="Times New Roman" w:cs="Times New Roman"/>
                <w:sz w:val="16"/>
                <w:szCs w:val="16"/>
              </w:rPr>
              <w:t xml:space="preserve"> – punished twice for the same conduct.</w:t>
            </w:r>
            <w:r w:rsidRPr="009F67E5">
              <w:rPr>
                <w:rFonts w:ascii="Times New Roman" w:hAnsi="Times New Roman" w:cs="Times New Roman"/>
                <w:i/>
              </w:rPr>
              <w:t xml:space="preserve"> </w:t>
            </w:r>
            <w:proofErr w:type="spellStart"/>
            <w:r w:rsidRPr="009F67E5">
              <w:rPr>
                <w:rFonts w:ascii="Times New Roman" w:hAnsi="Times New Roman" w:cs="Times New Roman"/>
                <w:i/>
                <w:sz w:val="16"/>
                <w:szCs w:val="16"/>
              </w:rPr>
              <w:t>Korneyeva</w:t>
            </w:r>
            <w:proofErr w:type="spellEnd"/>
            <w:r w:rsidRPr="009F67E5">
              <w:rPr>
                <w:rFonts w:ascii="Times New Roman" w:hAnsi="Times New Roman" w:cs="Times New Roman"/>
                <w:i/>
                <w:sz w:val="16"/>
                <w:szCs w:val="16"/>
              </w:rPr>
              <w:t xml:space="preserve"> v.</w:t>
            </w:r>
            <w:r w:rsidRPr="009F67E5" w:rsidR="00257938">
              <w:t> </w:t>
            </w:r>
            <w:r w:rsidRPr="009F67E5">
              <w:rPr>
                <w:rFonts w:ascii="Times New Roman" w:hAnsi="Times New Roman" w:cs="Times New Roman"/>
                <w:i/>
                <w:sz w:val="16"/>
                <w:szCs w:val="16"/>
              </w:rPr>
              <w:t>Russia</w:t>
            </w:r>
            <w:r w:rsidRPr="009F67E5">
              <w:rPr>
                <w:rFonts w:ascii="Times New Roman" w:hAnsi="Times New Roman" w:cs="Times New Roman"/>
                <w:sz w:val="16"/>
                <w:szCs w:val="16"/>
              </w:rPr>
              <w:t xml:space="preserve"> (no. 72051/17, §§ 58-65, 8 October 2019).</w:t>
            </w:r>
          </w:p>
          <w:p w:rsidRPr="009F67E5" w:rsidR="00AD46B8" w:rsidP="009F67E5" w:rsidRDefault="00AD46B8">
            <w:pPr>
              <w:rPr>
                <w:rFonts w:ascii="Times New Roman" w:hAnsi="Times New Roman" w:cs="Times New Roman"/>
                <w:b/>
                <w:sz w:val="16"/>
                <w:szCs w:val="16"/>
              </w:rPr>
            </w:pP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5 § 1</w:t>
            </w:r>
            <w:r w:rsidRPr="009F67E5">
              <w:rPr>
                <w:rFonts w:ascii="Times New Roman" w:hAnsi="Times New Roman" w:cs="Times New Roman"/>
                <w:sz w:val="16"/>
                <w:szCs w:val="16"/>
              </w:rPr>
              <w:t xml:space="preserve"> – unlawful detention at the police station for 5</w:t>
            </w:r>
            <w:proofErr w:type="gramStart"/>
            <w:r w:rsidRPr="009F67E5">
              <w:rPr>
                <w:rFonts w:ascii="Times New Roman" w:hAnsi="Times New Roman" w:cs="Times New Roman"/>
                <w:sz w:val="16"/>
                <w:szCs w:val="16"/>
              </w:rPr>
              <w:t>  hours</w:t>
            </w:r>
            <w:proofErr w:type="gramEnd"/>
            <w:r w:rsidRPr="009F67E5">
              <w:rPr>
                <w:rFonts w:ascii="Times New Roman" w:hAnsi="Times New Roman" w:cs="Times New Roman"/>
                <w:sz w:val="16"/>
                <w:szCs w:val="16"/>
              </w:rPr>
              <w:t>.</w:t>
            </w: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rPr>
              <w:t xml:space="preserve">EUR 215 </w:t>
            </w:r>
            <w:r w:rsidRPr="009F67E5">
              <w:rPr>
                <w:rFonts w:ascii="Times New Roman" w:hAnsi="Times New Roman" w:cs="Times New Roman"/>
                <w:sz w:val="16"/>
              </w:rPr>
              <w:br/>
            </w:r>
            <w:r w:rsidRPr="009F67E5">
              <w:rPr>
                <w:rFonts w:ascii="Times New Roman" w:hAnsi="Times New Roman" w:cs="Times New Roman"/>
                <w:sz w:val="16"/>
                <w:szCs w:val="16"/>
              </w:rPr>
              <w:t>(two hundred and fifteen euros)</w:t>
            </w:r>
          </w:p>
        </w:tc>
      </w:tr>
      <w:tr w:rsidRPr="009F67E5" w:rsidR="00AD46B8" w:rsidTr="00B67313">
        <w:tc>
          <w:tcPr>
            <w:tcW w:w="0" w:type="auto"/>
            <w:vMerge/>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proofErr w:type="spellStart"/>
            <w:r w:rsidRPr="009F67E5">
              <w:rPr>
                <w:rFonts w:ascii="Times New Roman" w:hAnsi="Times New Roman" w:cs="Times New Roman"/>
                <w:b/>
                <w:sz w:val="16"/>
                <w:szCs w:val="16"/>
              </w:rPr>
              <w:t>Mariya</w:t>
            </w:r>
            <w:proofErr w:type="spellEnd"/>
            <w:r w:rsidRPr="009F67E5">
              <w:rPr>
                <w:rFonts w:ascii="Times New Roman" w:hAnsi="Times New Roman" w:cs="Times New Roman"/>
                <w:b/>
                <w:sz w:val="16"/>
                <w:szCs w:val="16"/>
              </w:rPr>
              <w:t xml:space="preserve"> </w:t>
            </w:r>
            <w:proofErr w:type="spellStart"/>
            <w:r w:rsidRPr="009F67E5">
              <w:rPr>
                <w:rFonts w:ascii="Times New Roman" w:hAnsi="Times New Roman" w:cs="Times New Roman"/>
                <w:b/>
                <w:sz w:val="16"/>
                <w:szCs w:val="16"/>
              </w:rPr>
              <w:t>Sergeyevna</w:t>
            </w:r>
            <w:proofErr w:type="spellEnd"/>
            <w:r w:rsidRPr="009F67E5">
              <w:rPr>
                <w:rFonts w:ascii="Times New Roman" w:hAnsi="Times New Roman" w:cs="Times New Roman"/>
                <w:b/>
                <w:sz w:val="16"/>
                <w:szCs w:val="16"/>
              </w:rPr>
              <w:t xml:space="preserve"> KOKOVKINA</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1979</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 Administrative fine RUB 5,000</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19.3 § 1 of the CAO Administrative fine RUB 500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02/06/2014</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02/06/2014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b/>
                <w:sz w:val="16"/>
                <w:szCs w:val="16"/>
              </w:rPr>
            </w:pP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5 § 1</w:t>
            </w:r>
            <w:r w:rsidRPr="009F67E5">
              <w:rPr>
                <w:rFonts w:ascii="Times New Roman" w:hAnsi="Times New Roman" w:cs="Times New Roman"/>
                <w:sz w:val="16"/>
                <w:szCs w:val="16"/>
              </w:rPr>
              <w:t xml:space="preserve"> – unlawful detention at the police station for 4</w:t>
            </w:r>
            <w:proofErr w:type="gramStart"/>
            <w:r w:rsidRPr="009F67E5">
              <w:rPr>
                <w:rFonts w:ascii="Times New Roman" w:hAnsi="Times New Roman" w:cs="Times New Roman"/>
                <w:sz w:val="16"/>
                <w:szCs w:val="16"/>
              </w:rPr>
              <w:t>  hours</w:t>
            </w:r>
            <w:proofErr w:type="gramEnd"/>
            <w:r w:rsidRPr="009F67E5">
              <w:rPr>
                <w:rFonts w:ascii="Times New Roman" w:hAnsi="Times New Roman" w:cs="Times New Roman"/>
                <w:sz w:val="16"/>
                <w:szCs w:val="16"/>
              </w:rPr>
              <w:t>.</w:t>
            </w: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rPr>
              <w:t xml:space="preserve">EUR 215 </w:t>
            </w:r>
            <w:r w:rsidRPr="009F67E5">
              <w:rPr>
                <w:rFonts w:ascii="Times New Roman" w:hAnsi="Times New Roman" w:cs="Times New Roman"/>
                <w:sz w:val="16"/>
              </w:rPr>
              <w:br/>
            </w:r>
            <w:r w:rsidRPr="009F67E5">
              <w:rPr>
                <w:rFonts w:ascii="Times New Roman" w:hAnsi="Times New Roman" w:cs="Times New Roman"/>
                <w:sz w:val="16"/>
                <w:szCs w:val="16"/>
              </w:rPr>
              <w:t>(two hundred and fifteen euros)</w:t>
            </w:r>
          </w:p>
        </w:tc>
      </w:tr>
      <w:tr w:rsidRPr="009F67E5" w:rsidR="00AD46B8" w:rsidTr="00B67313">
        <w:tc>
          <w:tcPr>
            <w:tcW w:w="0" w:type="auto"/>
            <w:vMerge/>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 xml:space="preserve">Karina </w:t>
            </w:r>
            <w:proofErr w:type="spellStart"/>
            <w:r w:rsidRPr="009F67E5">
              <w:rPr>
                <w:rFonts w:ascii="Times New Roman" w:hAnsi="Times New Roman" w:cs="Times New Roman"/>
                <w:b/>
                <w:sz w:val="16"/>
                <w:szCs w:val="16"/>
              </w:rPr>
              <w:t>Anatolyevna</w:t>
            </w:r>
            <w:proofErr w:type="spellEnd"/>
            <w:r w:rsidRPr="009F67E5">
              <w:rPr>
                <w:rFonts w:ascii="Times New Roman" w:hAnsi="Times New Roman" w:cs="Times New Roman"/>
                <w:b/>
                <w:sz w:val="16"/>
                <w:szCs w:val="16"/>
              </w:rPr>
              <w:t xml:space="preserve"> KOTOVA</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1978</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28/04/2014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rPr>
            </w:pPr>
          </w:p>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6 § 3 (d)</w:t>
            </w:r>
            <w:r w:rsidRPr="009F67E5">
              <w:rPr>
                <w:rFonts w:ascii="Times New Roman" w:hAnsi="Times New Roman" w:cs="Times New Roman"/>
                <w:sz w:val="16"/>
                <w:szCs w:val="16"/>
              </w:rPr>
              <w:t xml:space="preserve"> – the courts refused to call the police officers who had arrested the applicant. </w:t>
            </w:r>
          </w:p>
        </w:tc>
        <w:tc>
          <w:tcPr>
            <w:tcW w:w="1843" w:type="dxa"/>
          </w:tcPr>
          <w:p w:rsidRPr="009F67E5" w:rsidR="00AD46B8" w:rsidP="009F67E5" w:rsidRDefault="00AD46B8">
            <w:pPr>
              <w:rPr>
                <w:rFonts w:ascii="Times New Roman" w:hAnsi="Times New Roman" w:cs="Times New Roman"/>
                <w:sz w:val="16"/>
                <w:szCs w:val="16"/>
              </w:rPr>
            </w:pPr>
          </w:p>
        </w:tc>
      </w:tr>
      <w:tr w:rsidRPr="009F67E5" w:rsidR="00AD46B8" w:rsidTr="00B67313">
        <w:tc>
          <w:tcPr>
            <w:tcW w:w="0" w:type="auto"/>
            <w:vMerge/>
          </w:tcPr>
          <w:p w:rsidRPr="009F67E5" w:rsidR="00AD46B8" w:rsidP="009F67E5" w:rsidRDefault="00AD46B8">
            <w:pPr>
              <w:pStyle w:val="ListParagraph"/>
              <w:ind w:left="0"/>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proofErr w:type="spellStart"/>
            <w:r w:rsidRPr="009F67E5">
              <w:rPr>
                <w:rFonts w:ascii="Times New Roman" w:hAnsi="Times New Roman" w:cs="Times New Roman"/>
                <w:b/>
                <w:sz w:val="16"/>
                <w:szCs w:val="16"/>
              </w:rPr>
              <w:t>Dmitriy</w:t>
            </w:r>
            <w:proofErr w:type="spellEnd"/>
            <w:r w:rsidRPr="009F67E5">
              <w:rPr>
                <w:rFonts w:ascii="Times New Roman" w:hAnsi="Times New Roman" w:cs="Times New Roman"/>
                <w:b/>
                <w:sz w:val="16"/>
                <w:szCs w:val="16"/>
              </w:rPr>
              <w:t xml:space="preserve"> </w:t>
            </w:r>
            <w:proofErr w:type="spellStart"/>
            <w:r w:rsidRPr="009F67E5">
              <w:rPr>
                <w:rFonts w:ascii="Times New Roman" w:hAnsi="Times New Roman" w:cs="Times New Roman"/>
                <w:b/>
                <w:sz w:val="16"/>
                <w:szCs w:val="16"/>
              </w:rPr>
              <w:t>Vladislavovich</w:t>
            </w:r>
            <w:proofErr w:type="spellEnd"/>
            <w:r w:rsidRPr="009F67E5">
              <w:rPr>
                <w:rFonts w:ascii="Times New Roman" w:hAnsi="Times New Roman" w:cs="Times New Roman"/>
                <w:b/>
                <w:sz w:val="16"/>
                <w:szCs w:val="16"/>
              </w:rPr>
              <w:t xml:space="preserve"> NESTEROV</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1977</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19.3 § 1 of the CAO Administrative fine RUB 500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14/04/2014</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14/04/2014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rPr>
            </w:pPr>
          </w:p>
          <w:p w:rsidRPr="009F67E5" w:rsidR="00AD46B8" w:rsidP="009F67E5" w:rsidRDefault="00AD46B8">
            <w:pPr>
              <w:rPr>
                <w:rFonts w:ascii="Times New Roman" w:hAnsi="Times New Roman" w:cs="Times New Roman"/>
                <w:sz w:val="16"/>
              </w:rPr>
            </w:pP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6 § 3 (d)</w:t>
            </w:r>
            <w:r w:rsidRPr="009F67E5">
              <w:rPr>
                <w:rFonts w:ascii="Times New Roman" w:hAnsi="Times New Roman" w:cs="Times New Roman"/>
                <w:sz w:val="16"/>
                <w:szCs w:val="16"/>
              </w:rPr>
              <w:t xml:space="preserve"> – the courts refused to call the police officers who had arrested the applicant as regards the proceedings under Article 19.3 § 1 of the CAO.</w:t>
            </w:r>
          </w:p>
          <w:p w:rsidRPr="009F67E5" w:rsidR="00AD46B8" w:rsidP="009F67E5" w:rsidRDefault="00AD46B8">
            <w:pPr>
              <w:rPr>
                <w:rFonts w:ascii="Times New Roman" w:hAnsi="Times New Roman" w:cs="Times New Roman"/>
                <w:sz w:val="16"/>
                <w:szCs w:val="16"/>
              </w:rPr>
            </w:pP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rPr>
              <w:t xml:space="preserve">EUR 215 </w:t>
            </w:r>
            <w:r w:rsidRPr="009F67E5">
              <w:rPr>
                <w:rFonts w:ascii="Times New Roman" w:hAnsi="Times New Roman" w:cs="Times New Roman"/>
                <w:sz w:val="16"/>
              </w:rPr>
              <w:br/>
            </w:r>
            <w:r w:rsidRPr="009F67E5">
              <w:rPr>
                <w:rFonts w:ascii="Times New Roman" w:hAnsi="Times New Roman" w:cs="Times New Roman"/>
                <w:sz w:val="16"/>
                <w:szCs w:val="16"/>
              </w:rPr>
              <w:t>(two hundred and fifteen euros)</w:t>
            </w:r>
          </w:p>
        </w:tc>
      </w:tr>
      <w:tr w:rsidRPr="009F67E5" w:rsidR="00AD46B8" w:rsidTr="00B67313">
        <w:tc>
          <w:tcPr>
            <w:tcW w:w="0" w:type="auto"/>
            <w:vMerge/>
          </w:tcPr>
          <w:p w:rsidRPr="009F67E5" w:rsidR="00AD46B8" w:rsidP="009F67E5" w:rsidRDefault="00AD46B8">
            <w:pPr>
              <w:pStyle w:val="ListParagraph"/>
              <w:ind w:left="0"/>
              <w:rPr>
                <w:rFonts w:ascii="Times New Roman" w:hAnsi="Times New Roman" w:cs="Times New Roman"/>
                <w:sz w:val="16"/>
                <w:szCs w:val="16"/>
              </w:rPr>
            </w:pPr>
          </w:p>
        </w:tc>
        <w:tc>
          <w:tcPr>
            <w:tcW w:w="1104" w:type="dxa"/>
            <w:vMerge/>
          </w:tcPr>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proofErr w:type="spellStart"/>
            <w:r w:rsidRPr="009F67E5">
              <w:rPr>
                <w:rFonts w:ascii="Times New Roman" w:hAnsi="Times New Roman" w:cs="Times New Roman"/>
                <w:b/>
                <w:sz w:val="16"/>
                <w:szCs w:val="16"/>
              </w:rPr>
              <w:t>Dmitriy</w:t>
            </w:r>
            <w:proofErr w:type="spellEnd"/>
            <w:r w:rsidRPr="009F67E5">
              <w:rPr>
                <w:rFonts w:ascii="Times New Roman" w:hAnsi="Times New Roman" w:cs="Times New Roman"/>
                <w:b/>
                <w:sz w:val="16"/>
                <w:szCs w:val="16"/>
              </w:rPr>
              <w:t xml:space="preserve"> </w:t>
            </w:r>
            <w:proofErr w:type="spellStart"/>
            <w:r w:rsidRPr="009F67E5">
              <w:rPr>
                <w:rFonts w:ascii="Times New Roman" w:hAnsi="Times New Roman" w:cs="Times New Roman"/>
                <w:b/>
                <w:sz w:val="16"/>
                <w:szCs w:val="16"/>
              </w:rPr>
              <w:t>Valeryevich</w:t>
            </w:r>
            <w:proofErr w:type="spellEnd"/>
            <w:r w:rsidRPr="009F67E5">
              <w:rPr>
                <w:rFonts w:ascii="Times New Roman" w:hAnsi="Times New Roman" w:cs="Times New Roman"/>
                <w:b/>
                <w:sz w:val="16"/>
                <w:szCs w:val="16"/>
              </w:rPr>
              <w:t xml:space="preserve"> VINOGRADOV</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1983</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Russian</w:t>
            </w: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10,000</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19.3 § 1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500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06/06/2014</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Moscow City Court 16/06/2014</w:t>
            </w:r>
          </w:p>
          <w:p w:rsidRPr="009F67E5" w:rsidR="00AD46B8" w:rsidP="009F67E5" w:rsidRDefault="00AD46B8">
            <w:pPr>
              <w:jc w:val="center"/>
              <w:rPr>
                <w:rFonts w:ascii="Times New Roman" w:hAnsi="Times New Roman" w:cs="Times New Roman"/>
                <w:sz w:val="16"/>
                <w:szCs w:val="16"/>
              </w:rPr>
            </w:pP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AD46B8" w:rsidP="009F67E5" w:rsidRDefault="00AD46B8">
            <w:pPr>
              <w:rPr>
                <w:rFonts w:ascii="Times New Roman" w:hAnsi="Times New Roman" w:cs="Times New Roman"/>
                <w:sz w:val="16"/>
              </w:rPr>
            </w:pPr>
            <w:r w:rsidRPr="009F67E5">
              <w:rPr>
                <w:rFonts w:ascii="Times New Roman" w:hAnsi="Times New Roman" w:cs="Times New Roman"/>
                <w:b/>
                <w:sz w:val="16"/>
              </w:rPr>
              <w:t>Art. 6 § 1 –</w:t>
            </w:r>
            <w:r w:rsidRPr="009F67E5">
              <w:rPr>
                <w:rFonts w:ascii="Times New Roman" w:hAnsi="Times New Roman" w:cs="Times New Roman"/>
                <w:sz w:val="16"/>
              </w:rPr>
              <w:t xml:space="preserve"> lack of impartiality of tribunal: absence of a prosecuting party in the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Art. 4 Prot. 7</w:t>
            </w:r>
            <w:r w:rsidRPr="009F67E5">
              <w:rPr>
                <w:rFonts w:ascii="Times New Roman" w:hAnsi="Times New Roman" w:cs="Times New Roman"/>
                <w:sz w:val="16"/>
                <w:szCs w:val="16"/>
              </w:rPr>
              <w:t xml:space="preserve"> – punished twice for the same conduct </w:t>
            </w:r>
            <w:proofErr w:type="spellStart"/>
            <w:r w:rsidRPr="009F67E5">
              <w:rPr>
                <w:rFonts w:ascii="Times New Roman" w:hAnsi="Times New Roman" w:cs="Times New Roman"/>
                <w:i/>
                <w:sz w:val="16"/>
                <w:szCs w:val="16"/>
              </w:rPr>
              <w:t>Korneyeva</w:t>
            </w:r>
            <w:proofErr w:type="spellEnd"/>
            <w:r w:rsidRPr="009F67E5">
              <w:rPr>
                <w:rFonts w:ascii="Times New Roman" w:hAnsi="Times New Roman" w:cs="Times New Roman"/>
                <w:i/>
                <w:sz w:val="16"/>
                <w:szCs w:val="16"/>
              </w:rPr>
              <w:t xml:space="preserve"> v. Russia</w:t>
            </w:r>
            <w:r w:rsidRPr="009F67E5">
              <w:rPr>
                <w:rFonts w:ascii="Times New Roman" w:hAnsi="Times New Roman" w:cs="Times New Roman"/>
                <w:sz w:val="16"/>
                <w:szCs w:val="16"/>
              </w:rPr>
              <w:t xml:space="preserve"> (no. 72051/17, §§ 58-65, 8 October 2019).</w:t>
            </w:r>
          </w:p>
          <w:p w:rsidRPr="009F67E5" w:rsidR="00AD46B8" w:rsidP="009F67E5" w:rsidRDefault="00AD46B8">
            <w:pPr>
              <w:rPr>
                <w:rFonts w:ascii="Times New Roman" w:hAnsi="Times New Roman" w:cs="Times New Roman"/>
                <w:sz w:val="16"/>
              </w:rPr>
            </w:pPr>
          </w:p>
          <w:p w:rsidRPr="009F67E5" w:rsidR="00AD46B8" w:rsidP="009F67E5" w:rsidRDefault="00AD46B8">
            <w:pPr>
              <w:rPr>
                <w:rFonts w:ascii="Times New Roman" w:hAnsi="Times New Roman" w:cs="Times New Roman"/>
                <w:sz w:val="16"/>
              </w:rPr>
            </w:pP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5 § 1</w:t>
            </w:r>
            <w:r w:rsidRPr="009F67E5">
              <w:rPr>
                <w:rFonts w:ascii="Times New Roman" w:hAnsi="Times New Roman" w:cs="Times New Roman"/>
                <w:sz w:val="16"/>
                <w:szCs w:val="16"/>
              </w:rPr>
              <w:t xml:space="preserve"> – unlawful detention at the police station for 4  hours;</w:t>
            </w:r>
          </w:p>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 xml:space="preserve">Art. 6 § 3 (d) </w:t>
            </w:r>
            <w:r w:rsidRPr="009F67E5">
              <w:rPr>
                <w:rFonts w:ascii="Times New Roman" w:hAnsi="Times New Roman" w:cs="Times New Roman"/>
                <w:sz w:val="16"/>
                <w:szCs w:val="16"/>
              </w:rPr>
              <w:t>– the courts refused to call the police officers who had arrested the applicant, as regards both sets of administrative proceedings against the applicant.</w:t>
            </w:r>
          </w:p>
          <w:p w:rsidRPr="009F67E5" w:rsidR="00AD46B8" w:rsidP="009F67E5" w:rsidRDefault="00AD46B8">
            <w:pPr>
              <w:rPr>
                <w:rFonts w:ascii="Times New Roman" w:hAnsi="Times New Roman" w:cs="Times New Roman"/>
                <w:sz w:val="16"/>
                <w:szCs w:val="16"/>
              </w:rPr>
            </w:pPr>
          </w:p>
          <w:p w:rsidRPr="009F67E5" w:rsidR="00AD46B8" w:rsidP="009F67E5" w:rsidRDefault="00AD46B8">
            <w:pPr>
              <w:rPr>
                <w:rFonts w:ascii="Times New Roman" w:hAnsi="Times New Roman" w:cs="Times New Roman"/>
                <w:sz w:val="16"/>
                <w:szCs w:val="16"/>
              </w:rPr>
            </w:pPr>
          </w:p>
          <w:p w:rsidRPr="009F67E5" w:rsidR="00AD46B8" w:rsidP="009F67E5" w:rsidRDefault="00AD46B8">
            <w:pPr>
              <w:rPr>
                <w:rFonts w:ascii="Times New Roman" w:hAnsi="Times New Roman" w:cs="Times New Roman"/>
                <w:sz w:val="16"/>
                <w:szCs w:val="16"/>
              </w:rPr>
            </w:pP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rPr>
              <w:t xml:space="preserve">EUR 215 </w:t>
            </w:r>
            <w:r w:rsidRPr="009F67E5">
              <w:rPr>
                <w:rFonts w:ascii="Times New Roman" w:hAnsi="Times New Roman" w:cs="Times New Roman"/>
                <w:sz w:val="16"/>
              </w:rPr>
              <w:br/>
            </w:r>
            <w:r w:rsidRPr="009F67E5">
              <w:rPr>
                <w:rFonts w:ascii="Times New Roman" w:hAnsi="Times New Roman" w:cs="Times New Roman"/>
                <w:sz w:val="16"/>
                <w:szCs w:val="16"/>
              </w:rPr>
              <w:t>(two hundred and fifteen euros)</w:t>
            </w:r>
          </w:p>
        </w:tc>
      </w:tr>
      <w:tr w:rsidRPr="009F67E5" w:rsidR="00AD46B8" w:rsidTr="00B67313">
        <w:tc>
          <w:tcPr>
            <w:tcW w:w="0" w:type="auto"/>
          </w:tcPr>
          <w:p w:rsidRPr="009F67E5" w:rsidR="00AD46B8" w:rsidP="009F67E5" w:rsidRDefault="00AD46B8">
            <w:pPr>
              <w:pStyle w:val="ListParagraph"/>
              <w:numPr>
                <w:ilvl w:val="0"/>
                <w:numId w:val="24"/>
              </w:numPr>
              <w:tabs>
                <w:tab w:val="num" w:pos="283"/>
              </w:tabs>
              <w:ind w:left="0" w:firstLine="0"/>
              <w:jc w:val="center"/>
              <w:rPr>
                <w:rFonts w:ascii="Times New Roman" w:hAnsi="Times New Roman" w:cs="Times New Roman"/>
                <w:sz w:val="16"/>
                <w:szCs w:val="16"/>
              </w:rPr>
            </w:pPr>
          </w:p>
        </w:tc>
        <w:tc>
          <w:tcPr>
            <w:tcW w:w="1104" w:type="dxa"/>
          </w:tcPr>
          <w:p w:rsidRPr="009F67E5" w:rsidR="00AD46B8" w:rsidP="009F67E5" w:rsidRDefault="00AD46B8">
            <w:pPr>
              <w:jc w:val="center"/>
              <w:rPr>
                <w:rFonts w:ascii="Times New Roman" w:hAnsi="Times New Roman" w:cs="Times New Roman"/>
                <w:b/>
                <w:sz w:val="16"/>
                <w:szCs w:val="16"/>
              </w:rPr>
            </w:pPr>
            <w:r w:rsidRPr="009F67E5">
              <w:rPr>
                <w:rFonts w:ascii="Times New Roman" w:hAnsi="Times New Roman" w:cs="Times New Roman"/>
                <w:b/>
                <w:sz w:val="16"/>
                <w:szCs w:val="16"/>
              </w:rPr>
              <w:t>68196/14</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29/09/2014</w:t>
            </w:r>
          </w:p>
          <w:p w:rsidRPr="009F67E5" w:rsidR="00AD46B8" w:rsidP="009F67E5" w:rsidRDefault="00AD46B8">
            <w:pPr>
              <w:jc w:val="center"/>
              <w:rPr>
                <w:rFonts w:ascii="Times New Roman" w:hAnsi="Times New Roman" w:cs="Times New Roman"/>
                <w:sz w:val="16"/>
                <w:szCs w:val="16"/>
              </w:rPr>
            </w:pPr>
          </w:p>
        </w:tc>
        <w:tc>
          <w:tcPr>
            <w:tcW w:w="1437" w:type="dxa"/>
          </w:tcPr>
          <w:p w:rsidRPr="009F67E5" w:rsidR="00AD46B8" w:rsidP="009F67E5" w:rsidRDefault="00AD46B8">
            <w:pPr>
              <w:jc w:val="center"/>
              <w:rPr>
                <w:rFonts w:ascii="Times New Roman" w:hAnsi="Times New Roman" w:cs="Times New Roman"/>
                <w:b/>
                <w:sz w:val="16"/>
                <w:szCs w:val="16"/>
              </w:rPr>
            </w:pPr>
            <w:proofErr w:type="spellStart"/>
            <w:r w:rsidRPr="009F67E5">
              <w:rPr>
                <w:rFonts w:ascii="Times New Roman" w:hAnsi="Times New Roman" w:cs="Times New Roman"/>
                <w:b/>
                <w:sz w:val="16"/>
                <w:szCs w:val="16"/>
              </w:rPr>
              <w:t>Tarya</w:t>
            </w:r>
            <w:proofErr w:type="spellEnd"/>
            <w:r w:rsidRPr="009F67E5">
              <w:rPr>
                <w:rFonts w:ascii="Times New Roman" w:hAnsi="Times New Roman" w:cs="Times New Roman"/>
                <w:b/>
                <w:sz w:val="16"/>
                <w:szCs w:val="16"/>
              </w:rPr>
              <w:t xml:space="preserve"> </w:t>
            </w:r>
            <w:proofErr w:type="spellStart"/>
            <w:r w:rsidRPr="009F67E5">
              <w:rPr>
                <w:rFonts w:ascii="Times New Roman" w:hAnsi="Times New Roman" w:cs="Times New Roman"/>
                <w:b/>
                <w:sz w:val="16"/>
                <w:szCs w:val="16"/>
              </w:rPr>
              <w:t>Nikolayevna</w:t>
            </w:r>
            <w:proofErr w:type="spellEnd"/>
            <w:r w:rsidRPr="009F67E5">
              <w:rPr>
                <w:rFonts w:ascii="Times New Roman" w:hAnsi="Times New Roman" w:cs="Times New Roman"/>
                <w:b/>
                <w:sz w:val="16"/>
                <w:szCs w:val="16"/>
              </w:rPr>
              <w:t xml:space="preserve"> POLYAKOVA</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1985</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Moscow</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Russian</w:t>
            </w:r>
          </w:p>
          <w:p w:rsidRPr="009F67E5" w:rsidR="00AD46B8" w:rsidP="009F67E5" w:rsidRDefault="00AD46B8">
            <w:pPr>
              <w:jc w:val="center"/>
              <w:rPr>
                <w:rFonts w:ascii="Times New Roman" w:hAnsi="Times New Roman" w:cs="Times New Roman"/>
                <w:sz w:val="16"/>
                <w:szCs w:val="16"/>
              </w:rPr>
            </w:pPr>
          </w:p>
        </w:tc>
        <w:tc>
          <w:tcPr>
            <w:tcW w:w="179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20.2 § 5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 11,000</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Article 19.3 § 1 of the CAO</w:t>
            </w: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Administrative fine RUB,500</w:t>
            </w:r>
          </w:p>
          <w:p w:rsidRPr="009F67E5" w:rsidR="00AD46B8" w:rsidP="009F67E5" w:rsidRDefault="00AD46B8">
            <w:pPr>
              <w:jc w:val="center"/>
              <w:rPr>
                <w:rFonts w:ascii="Times New Roman" w:hAnsi="Times New Roman" w:cs="Times New Roman"/>
                <w:sz w:val="16"/>
                <w:szCs w:val="16"/>
              </w:rPr>
            </w:pPr>
          </w:p>
        </w:tc>
        <w:tc>
          <w:tcPr>
            <w:tcW w:w="1559"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02/04/2014 Moscow City Court</w:t>
            </w: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p>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Appeal decision 08/09/2014 Moscow City Court</w:t>
            </w:r>
          </w:p>
        </w:tc>
        <w:tc>
          <w:tcPr>
            <w:tcW w:w="4536" w:type="dxa"/>
          </w:tcPr>
          <w:p w:rsidRPr="009F67E5" w:rsidR="00AD46B8" w:rsidP="009F67E5" w:rsidRDefault="00AD46B8">
            <w:pPr>
              <w:rPr>
                <w:rFonts w:ascii="Times New Roman" w:hAnsi="Times New Roman" w:cs="Times New Roman"/>
                <w:b/>
                <w:sz w:val="16"/>
              </w:rPr>
            </w:pPr>
            <w:r w:rsidRPr="009F67E5">
              <w:rPr>
                <w:rFonts w:ascii="Times New Roman" w:hAnsi="Times New Roman" w:cs="Times New Roman"/>
                <w:b/>
                <w:sz w:val="16"/>
              </w:rPr>
              <w:t>(</w:t>
            </w:r>
            <w:proofErr w:type="spellStart"/>
            <w:r w:rsidRPr="009F67E5">
              <w:rPr>
                <w:rFonts w:ascii="Times New Roman" w:hAnsi="Times New Roman" w:cs="Times New Roman"/>
                <w:b/>
                <w:sz w:val="16"/>
              </w:rPr>
              <w:t>i</w:t>
            </w:r>
            <w:proofErr w:type="spellEnd"/>
            <w:r w:rsidRPr="009F67E5">
              <w:rPr>
                <w:rFonts w:ascii="Times New Roman" w:hAnsi="Times New Roman" w:cs="Times New Roman"/>
                <w:b/>
                <w:sz w:val="16"/>
              </w:rPr>
              <w:t>) Art. 5 § 1</w:t>
            </w:r>
            <w:r w:rsidRPr="009F67E5">
              <w:rPr>
                <w:rFonts w:ascii="Times New Roman" w:hAnsi="Times New Roman" w:cs="Times New Roman"/>
                <w:sz w:val="16"/>
              </w:rPr>
              <w:t xml:space="preserve"> – unlawful deprivation of liberty: arrest and transfer to the police station for the purpose of drawing up a record of administrative offence (see </w:t>
            </w:r>
            <w:proofErr w:type="spellStart"/>
            <w:r w:rsidRPr="009F67E5">
              <w:rPr>
                <w:rFonts w:ascii="Times New Roman" w:hAnsi="Times New Roman" w:cs="Times New Roman"/>
                <w:i/>
                <w:sz w:val="16"/>
              </w:rPr>
              <w:t>Lashmankin</w:t>
            </w:r>
            <w:proofErr w:type="spellEnd"/>
            <w:r w:rsidRPr="009F67E5">
              <w:rPr>
                <w:rFonts w:ascii="Times New Roman" w:hAnsi="Times New Roman" w:cs="Times New Roman"/>
                <w:i/>
                <w:sz w:val="16"/>
              </w:rPr>
              <w:t xml:space="preserve"> and Others v. Russia</w:t>
            </w:r>
            <w:r w:rsidRPr="009F67E5">
              <w:rPr>
                <w:rFonts w:ascii="Times New Roman" w:hAnsi="Times New Roman" w:cs="Times New Roman"/>
                <w:sz w:val="16"/>
              </w:rPr>
              <w:t>, nos. 57818/09 and 14 others, §§  486</w:t>
            </w:r>
            <w:r w:rsidRPr="009F67E5">
              <w:rPr>
                <w:rFonts w:ascii="Times New Roman" w:hAnsi="Times New Roman" w:cs="Times New Roman"/>
                <w:sz w:val="16"/>
              </w:rPr>
              <w:noBreakHyphen/>
              <w:t>92, 7 February 2017);</w:t>
            </w:r>
          </w:p>
          <w:p w:rsidRPr="009F67E5" w:rsidR="00E1006B" w:rsidP="009F67E5" w:rsidRDefault="00AD46B8">
            <w:pPr>
              <w:rPr>
                <w:rFonts w:ascii="Times New Roman" w:hAnsi="Times New Roman" w:cs="Times New Roman"/>
                <w:b/>
                <w:sz w:val="16"/>
              </w:rPr>
            </w:pPr>
            <w:r w:rsidRPr="009F67E5">
              <w:rPr>
                <w:rFonts w:ascii="Times New Roman" w:hAnsi="Times New Roman" w:cs="Times New Roman"/>
                <w:b/>
                <w:sz w:val="16"/>
              </w:rPr>
              <w:t>Art. 6 § 1</w:t>
            </w:r>
            <w:r w:rsidRPr="009F67E5">
              <w:rPr>
                <w:rFonts w:ascii="Times New Roman" w:hAnsi="Times New Roman" w:cs="Times New Roman"/>
                <w:sz w:val="16"/>
              </w:rPr>
              <w:t xml:space="preserve"> lack of impartiality of tribunal: absence of a prosecuting party in both sets of administrative proceedings (see </w:t>
            </w:r>
            <w:proofErr w:type="spellStart"/>
            <w:r w:rsidRPr="009F67E5">
              <w:rPr>
                <w:rFonts w:ascii="Times New Roman" w:hAnsi="Times New Roman" w:cs="Times New Roman"/>
                <w:i/>
                <w:sz w:val="16"/>
              </w:rPr>
              <w:t>Karelin</w:t>
            </w:r>
            <w:proofErr w:type="spellEnd"/>
            <w:r w:rsidRPr="009F67E5">
              <w:rPr>
                <w:rFonts w:ascii="Times New Roman" w:hAnsi="Times New Roman" w:cs="Times New Roman"/>
                <w:i/>
                <w:sz w:val="16"/>
              </w:rPr>
              <w:t xml:space="preserve"> v. Russia</w:t>
            </w:r>
            <w:r w:rsidRPr="009F67E5">
              <w:rPr>
                <w:rFonts w:ascii="Times New Roman" w:hAnsi="Times New Roman" w:cs="Times New Roman"/>
                <w:sz w:val="16"/>
              </w:rPr>
              <w:t>, no. 926/08, 20 September 2016);</w:t>
            </w:r>
          </w:p>
          <w:p w:rsidRPr="009F67E5" w:rsidR="00AD46B8" w:rsidP="009F67E5" w:rsidRDefault="00AD46B8">
            <w:pPr>
              <w:rPr>
                <w:rFonts w:ascii="Times New Roman" w:hAnsi="Times New Roman" w:cs="Times New Roman"/>
                <w:b/>
                <w:sz w:val="16"/>
              </w:rPr>
            </w:pPr>
          </w:p>
          <w:p w:rsidRPr="009F67E5" w:rsidR="00AD46B8" w:rsidP="009F67E5" w:rsidRDefault="00AD46B8">
            <w:pPr>
              <w:rPr>
                <w:rFonts w:ascii="Times New Roman" w:hAnsi="Times New Roman" w:cs="Times New Roman"/>
                <w:b/>
                <w:sz w:val="16"/>
              </w:rPr>
            </w:pPr>
          </w:p>
          <w:p w:rsidRPr="009F67E5" w:rsidR="00AD46B8" w:rsidP="009F67E5" w:rsidRDefault="00AD46B8">
            <w:pPr>
              <w:rPr>
                <w:rFonts w:ascii="Times New Roman" w:hAnsi="Times New Roman" w:cs="Times New Roman"/>
                <w:sz w:val="16"/>
                <w:szCs w:val="16"/>
              </w:rPr>
            </w:pPr>
            <w:r w:rsidRPr="009F67E5">
              <w:rPr>
                <w:rFonts w:ascii="Times New Roman" w:hAnsi="Times New Roman" w:cs="Times New Roman"/>
                <w:b/>
                <w:sz w:val="16"/>
              </w:rPr>
              <w:t xml:space="preserve">Art. 6 § 1 </w:t>
            </w:r>
            <w:r w:rsidRPr="009F67E5">
              <w:rPr>
                <w:rFonts w:ascii="Times New Roman" w:hAnsi="Times New Roman" w:cs="Times New Roman"/>
                <w:sz w:val="16"/>
              </w:rPr>
              <w:t xml:space="preserve">(first set of proceedings: Art. 20.2 § 5) – </w:t>
            </w:r>
            <w:r w:rsidRPr="009F67E5">
              <w:rPr>
                <w:rFonts w:ascii="Times New Roman" w:hAnsi="Times New Roman" w:cs="Times New Roman"/>
                <w:sz w:val="16"/>
                <w:szCs w:val="16"/>
              </w:rPr>
              <w:t xml:space="preserve">absence of the applicant and her lawyer: the first-instance judge did not receive her request for adjournment because of the clerical error within the court; and the appeal hearing took place in a different room than the one indicated in the schedule of which the applicant and her lawyer were not informed (see </w:t>
            </w:r>
            <w:proofErr w:type="spellStart"/>
            <w:r w:rsidRPr="009F67E5">
              <w:rPr>
                <w:rFonts w:ascii="Times New Roman" w:hAnsi="Times New Roman" w:cs="Times New Roman"/>
                <w:i/>
                <w:sz w:val="16"/>
                <w:szCs w:val="16"/>
              </w:rPr>
              <w:t>Gankin</w:t>
            </w:r>
            <w:proofErr w:type="spellEnd"/>
            <w:r w:rsidRPr="009F67E5">
              <w:rPr>
                <w:rFonts w:ascii="Times New Roman" w:hAnsi="Times New Roman" w:cs="Times New Roman"/>
                <w:i/>
                <w:sz w:val="16"/>
                <w:szCs w:val="16"/>
              </w:rPr>
              <w:t xml:space="preserve"> and Others v. Russia</w:t>
            </w:r>
            <w:r w:rsidRPr="009F67E5">
              <w:rPr>
                <w:rFonts w:ascii="Times New Roman" w:hAnsi="Times New Roman" w:cs="Times New Roman"/>
                <w:sz w:val="16"/>
                <w:szCs w:val="16"/>
              </w:rPr>
              <w:t xml:space="preserve">, nos. 2430/06 and 3 others, § 42, 31 May 2016, and </w:t>
            </w:r>
            <w:proofErr w:type="spellStart"/>
            <w:r w:rsidRPr="009F67E5">
              <w:rPr>
                <w:rFonts w:ascii="Times New Roman" w:hAnsi="Times New Roman" w:cs="Times New Roman"/>
                <w:i/>
                <w:iCs/>
                <w:sz w:val="16"/>
                <w:szCs w:val="16"/>
              </w:rPr>
              <w:t>Igranov</w:t>
            </w:r>
            <w:proofErr w:type="spellEnd"/>
            <w:r w:rsidRPr="009F67E5">
              <w:rPr>
                <w:rFonts w:ascii="Times New Roman" w:hAnsi="Times New Roman" w:cs="Times New Roman"/>
                <w:i/>
                <w:iCs/>
                <w:sz w:val="16"/>
                <w:szCs w:val="16"/>
              </w:rPr>
              <w:t xml:space="preserve"> and Others v. Russia</w:t>
            </w:r>
            <w:r w:rsidRPr="009F67E5">
              <w:rPr>
                <w:rFonts w:ascii="Times New Roman" w:hAnsi="Times New Roman" w:cs="Times New Roman"/>
                <w:sz w:val="16"/>
                <w:szCs w:val="16"/>
                <w:lang w:eastAsia="en-GB"/>
              </w:rPr>
              <w:t>, nos.</w:t>
            </w:r>
            <w:r w:rsidRPr="009F67E5">
              <w:rPr>
                <w:rFonts w:ascii="Times New Roman" w:hAnsi="Times New Roman" w:cs="Times New Roman"/>
                <w:sz w:val="16"/>
                <w:szCs w:val="16"/>
              </w:rPr>
              <w:t> 42399/13 and 8 others</w:t>
            </w:r>
            <w:r w:rsidRPr="009F67E5">
              <w:rPr>
                <w:rFonts w:ascii="Times New Roman" w:hAnsi="Times New Roman" w:cs="Times New Roman"/>
                <w:sz w:val="16"/>
                <w:szCs w:val="16"/>
                <w:lang w:eastAsia="en-GB"/>
              </w:rPr>
              <w:t xml:space="preserve">, </w:t>
            </w:r>
            <w:r w:rsidRPr="009F67E5">
              <w:rPr>
                <w:rFonts w:ascii="Times New Roman" w:hAnsi="Times New Roman" w:cs="Times New Roman"/>
                <w:sz w:val="16"/>
                <w:szCs w:val="16"/>
              </w:rPr>
              <w:t>§ 35, 20 March 2018).</w:t>
            </w:r>
          </w:p>
          <w:p w:rsidRPr="009F67E5" w:rsidR="00AD46B8" w:rsidP="009F67E5" w:rsidRDefault="00AD46B8">
            <w:pPr>
              <w:rPr>
                <w:rFonts w:ascii="Times New Roman" w:hAnsi="Times New Roman" w:cs="Times New Roman"/>
                <w:sz w:val="16"/>
              </w:rPr>
            </w:pPr>
          </w:p>
          <w:p w:rsidRPr="009F67E5" w:rsidR="00E1006B" w:rsidP="009F67E5" w:rsidRDefault="00AD46B8">
            <w:pPr>
              <w:rPr>
                <w:rFonts w:ascii="Times New Roman" w:hAnsi="Times New Roman" w:cs="Times New Roman"/>
                <w:sz w:val="16"/>
                <w:szCs w:val="16"/>
              </w:rPr>
            </w:pPr>
            <w:r w:rsidRPr="009F67E5">
              <w:rPr>
                <w:rFonts w:ascii="Times New Roman" w:hAnsi="Times New Roman" w:cs="Times New Roman"/>
                <w:b/>
                <w:sz w:val="16"/>
                <w:szCs w:val="16"/>
              </w:rPr>
              <w:t>(ii) Art. 6 § 3 (d)</w:t>
            </w:r>
            <w:r w:rsidRPr="009F67E5">
              <w:rPr>
                <w:rFonts w:ascii="Times New Roman" w:hAnsi="Times New Roman" w:cs="Times New Roman"/>
                <w:sz w:val="16"/>
                <w:szCs w:val="16"/>
              </w:rPr>
              <w:t xml:space="preserve"> – the courts refused to call the police officers who had arrested the applicant in both sets of proceedings.</w:t>
            </w:r>
          </w:p>
          <w:p w:rsidRPr="009F67E5" w:rsidR="00AD46B8" w:rsidP="009F67E5" w:rsidRDefault="00AD46B8">
            <w:pPr>
              <w:rPr>
                <w:rFonts w:ascii="Times New Roman" w:hAnsi="Times New Roman" w:cs="Times New Roman"/>
                <w:sz w:val="16"/>
                <w:szCs w:val="16"/>
              </w:rPr>
            </w:pPr>
          </w:p>
        </w:tc>
        <w:tc>
          <w:tcPr>
            <w:tcW w:w="1843" w:type="dxa"/>
          </w:tcPr>
          <w:p w:rsidRPr="009F67E5" w:rsidR="00AD46B8" w:rsidP="009F67E5" w:rsidRDefault="00AD46B8">
            <w:pPr>
              <w:jc w:val="center"/>
              <w:rPr>
                <w:rFonts w:ascii="Times New Roman" w:hAnsi="Times New Roman" w:cs="Times New Roman"/>
                <w:sz w:val="16"/>
                <w:szCs w:val="16"/>
              </w:rPr>
            </w:pPr>
            <w:r w:rsidRPr="009F67E5">
              <w:rPr>
                <w:rFonts w:ascii="Times New Roman" w:hAnsi="Times New Roman" w:cs="Times New Roman"/>
                <w:sz w:val="16"/>
                <w:szCs w:val="16"/>
              </w:rPr>
              <w:t>Not claimed</w:t>
            </w:r>
          </w:p>
        </w:tc>
      </w:tr>
    </w:tbl>
    <w:p w:rsidRPr="009F67E5" w:rsidR="00AD46B8" w:rsidP="009F67E5" w:rsidRDefault="00AD46B8"/>
    <w:sectPr w:rsidRPr="009F67E5" w:rsidR="00AD46B8" w:rsidSect="000562C7">
      <w:headerReference w:type="even" r:id="rId18"/>
      <w:footerReference w:type="even" r:id="rId19"/>
      <w:headerReference w:type="first" r:id="rId20"/>
      <w:footerReference w:type="first" r:id="rId21"/>
      <w:footnotePr>
        <w:numRestart w:val="eachSect"/>
      </w:footnotePr>
      <w:endnotePr>
        <w:numFmt w:val="decimal"/>
      </w:endnotePr>
      <w:pgSz w:w="16838" w:h="11906" w:orient="landscape"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CB" w:rsidRPr="009E7A6F" w:rsidRDefault="00624CCB" w:rsidP="0098410D">
      <w:r w:rsidRPr="009E7A6F">
        <w:separator/>
      </w:r>
    </w:p>
  </w:endnote>
  <w:endnote w:type="continuationSeparator" w:id="0">
    <w:p w:rsidR="00624CCB" w:rsidRPr="009E7A6F" w:rsidRDefault="00624CCB"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7A" w:rsidRDefault="002D7D7A">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CB" w:rsidRPr="00150BFA" w:rsidRDefault="00624CCB" w:rsidP="0020718E">
    <w:pPr>
      <w:jc w:val="center"/>
    </w:pPr>
    <w:r>
      <w:rPr>
        <w:noProof/>
        <w:lang w:val="en-US" w:eastAsia="ja-JP"/>
      </w:rPr>
      <w:drawing>
        <wp:inline distT="0" distB="0" distL="0" distR="0" wp14:anchorId="18DFB6EF" wp14:editId="5979B6C1">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CB" w:rsidRPr="00150BFA" w:rsidRDefault="00624CCB" w:rsidP="0020718E">
    <w:pPr>
      <w:jc w:val="center"/>
    </w:pPr>
    <w:r>
      <w:rPr>
        <w:noProof/>
        <w:lang w:val="en-US" w:eastAsia="ja-JP"/>
      </w:rPr>
      <w:drawing>
        <wp:inline distT="0" distB="0" distL="0" distR="0" wp14:anchorId="02321677" wp14:editId="5694764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624CCB" w:rsidP="009A115C">
    <w:pPr>
      <w:pStyle w:val="JuHeader"/>
    </w:pPr>
    <w:r>
      <w:rPr>
        <w:rStyle w:val="PageNumber"/>
      </w:rPr>
      <w:fldChar w:fldCharType="begin"/>
    </w:r>
    <w:r>
      <w:rPr>
        <w:rStyle w:val="PageNumber"/>
      </w:rPr>
      <w:instrText xml:space="preserve"> PAGE </w:instrText>
    </w:r>
    <w:r>
      <w:rPr>
        <w:rStyle w:val="PageNumber"/>
      </w:rPr>
      <w:fldChar w:fldCharType="separate"/>
    </w:r>
    <w:r w:rsidR="009F67E5">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624CCB" w:rsidP="00DE0625">
    <w:pPr>
      <w:pStyle w:val="JuHeader"/>
      <w:tabs>
        <w:tab w:val="decimal" w:pos="6379"/>
      </w:tabs>
    </w:pPr>
    <w:r>
      <w:fldChar w:fldCharType="begin"/>
    </w:r>
    <w:r>
      <w:instrText xml:space="preserve"> PAGE </w:instrText>
    </w:r>
    <w:r>
      <w:fldChar w:fldCharType="separate"/>
    </w:r>
    <w:r w:rsidR="009F67E5">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38" w:rsidRDefault="00257938" w:rsidP="00DE0625">
    <w:pPr>
      <w:pStyle w:val="JuHeader"/>
      <w:tabs>
        <w:tab w:val="left" w:pos="6379"/>
      </w:tabs>
    </w:pPr>
    <w:r>
      <w:rPr>
        <w:rStyle w:val="PageNumber"/>
      </w:rPr>
      <w:fldChar w:fldCharType="begin"/>
    </w:r>
    <w:r>
      <w:rPr>
        <w:rStyle w:val="PageNumber"/>
      </w:rPr>
      <w:instrText xml:space="preserve"> PAGE </w:instrText>
    </w:r>
    <w:r>
      <w:rPr>
        <w:rStyle w:val="PageNumber"/>
      </w:rPr>
      <w:fldChar w:fldCharType="separate"/>
    </w:r>
    <w:r w:rsidR="009F67E5">
      <w:rPr>
        <w:rStyle w:val="PageNumber"/>
        <w:noProof/>
      </w:rPr>
      <w:t>12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274326"/>
      <w:docPartObj>
        <w:docPartGallery w:val="Page Numbers (Bottom of Page)"/>
        <w:docPartUnique/>
      </w:docPartObj>
    </w:sdtPr>
    <w:sdtEndPr>
      <w:rPr>
        <w:sz w:val="18"/>
        <w:szCs w:val="18"/>
        <w:lang w:val="fr-FR"/>
      </w:rPr>
    </w:sdtEndPr>
    <w:sdtContent>
      <w:p w:rsidR="00257938" w:rsidRPr="00257938" w:rsidRDefault="00257938" w:rsidP="00257938">
        <w:pPr>
          <w:pStyle w:val="Footer0"/>
          <w:tabs>
            <w:tab w:val="clear" w:pos="3686"/>
            <w:tab w:val="clear" w:pos="7371"/>
            <w:tab w:val="right" w:pos="6379"/>
          </w:tabs>
          <w:rPr>
            <w:sz w:val="18"/>
            <w:szCs w:val="18"/>
          </w:rPr>
        </w:pPr>
        <w:r>
          <w:tab/>
        </w:r>
        <w:r w:rsidRPr="00257938">
          <w:rPr>
            <w:sz w:val="18"/>
            <w:szCs w:val="18"/>
            <w:lang w:val="fr-FR"/>
          </w:rPr>
          <w:fldChar w:fldCharType="begin"/>
        </w:r>
        <w:r w:rsidRPr="00257938">
          <w:rPr>
            <w:sz w:val="18"/>
            <w:szCs w:val="18"/>
          </w:rPr>
          <w:instrText xml:space="preserve"> PAGE </w:instrText>
        </w:r>
        <w:r w:rsidRPr="00257938">
          <w:rPr>
            <w:sz w:val="18"/>
            <w:szCs w:val="18"/>
            <w:lang w:val="fr-FR"/>
          </w:rPr>
          <w:fldChar w:fldCharType="separate"/>
        </w:r>
        <w:r w:rsidR="009F67E5">
          <w:rPr>
            <w:noProof/>
            <w:sz w:val="18"/>
            <w:szCs w:val="18"/>
          </w:rPr>
          <w:t>9</w:t>
        </w:r>
        <w:r w:rsidRPr="00257938">
          <w:rPr>
            <w:sz w:val="18"/>
            <w:szCs w:val="18"/>
            <w:lang w:val="fr-FR"/>
          </w:rPr>
          <w:fldChar w:fldCharType="end"/>
        </w:r>
      </w:p>
    </w:sdtContent>
  </w:sdt>
  <w:p w:rsidR="00257938" w:rsidRPr="009E7A6F" w:rsidRDefault="00257938" w:rsidP="009E7A6F">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CB" w:rsidRPr="009E7A6F" w:rsidRDefault="00624CCB" w:rsidP="0098410D">
      <w:r w:rsidRPr="009E7A6F">
        <w:separator/>
      </w:r>
    </w:p>
  </w:footnote>
  <w:footnote w:type="continuationSeparator" w:id="0">
    <w:p w:rsidR="00624CCB" w:rsidRPr="009E7A6F" w:rsidRDefault="00624CCB"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7A" w:rsidRDefault="002D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CB" w:rsidRPr="00A45145" w:rsidRDefault="00624CCB" w:rsidP="00A45145">
    <w:pPr>
      <w:jc w:val="center"/>
    </w:pPr>
    <w:r>
      <w:rPr>
        <w:noProof/>
        <w:lang w:val="en-US" w:eastAsia="ja-JP"/>
      </w:rPr>
      <w:drawing>
        <wp:inline distT="0" distB="0" distL="0" distR="0" wp14:anchorId="68E84A4A" wp14:editId="3276F69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CB" w:rsidRPr="00A45145" w:rsidRDefault="00624CCB" w:rsidP="00A45145">
    <w:pPr>
      <w:jc w:val="center"/>
    </w:pPr>
    <w:r>
      <w:rPr>
        <w:noProof/>
        <w:lang w:val="en-US" w:eastAsia="ja-JP"/>
      </w:rPr>
      <w:drawing>
        <wp:inline distT="0" distB="0" distL="0" distR="0" wp14:anchorId="2D64F257" wp14:editId="14B1C07C">
          <wp:extent cx="2962275" cy="1219200"/>
          <wp:effectExtent l="0" t="0" r="9525" b="0"/>
          <wp:docPr id="37" name="Picture 3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624CCB" w:rsidP="004D0EC7">
    <w:pPr>
      <w:pStyle w:val="JuHeader"/>
    </w:pPr>
    <w:r>
      <w:t>SVAROVSKIY</w:t>
    </w:r>
    <w:r w:rsidR="00AD7C1F">
      <w:t xml:space="preserve"> AND OTHERS</w:t>
    </w:r>
    <w:r>
      <w:t xml:space="preserve"> v. RUSSIA</w:t>
    </w:r>
    <w:r w:rsidR="00882CD5" w:rsidRPr="004D0EC7">
      <w:t xml:space="preserve"> </w:t>
    </w:r>
    <w:r w:rsidR="008E3A08">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624CCB" w:rsidP="007D3701">
    <w:pPr>
      <w:pStyle w:val="JuHeader"/>
    </w:pPr>
    <w:r>
      <w:t>SVAROVSKIY</w:t>
    </w:r>
    <w:r w:rsidR="00AD7C1F">
      <w:t xml:space="preserve"> AND OTHERS</w:t>
    </w:r>
    <w:r>
      <w:t xml:space="preserve"> v. RUSSIA</w:t>
    </w:r>
    <w:r w:rsidR="00882CD5"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BF" w:rsidRPr="004D0EC7" w:rsidRDefault="00C87CBF" w:rsidP="004D0EC7">
    <w:pPr>
      <w:pStyle w:val="JuHeader"/>
    </w:pPr>
    <w:r>
      <w:t>SVAROVSKIY AND OTHERS v. RUSSIA</w:t>
    </w:r>
    <w:r w:rsidRPr="004D0EC7">
      <w:t xml:space="preserve"> </w:t>
    </w:r>
    <w:r>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B8" w:rsidRPr="004D0EC7" w:rsidRDefault="00C87CBF" w:rsidP="00C87CBF">
    <w:pPr>
      <w:pStyle w:val="JuHeader"/>
    </w:pPr>
    <w:r>
      <w:t>SVAROVSKIY AND OTHERS v. RUSSIA</w:t>
    </w:r>
    <w:r w:rsidRPr="004D0EC7">
      <w:t xml:space="preserve"> </w:t>
    </w:r>
    <w:r>
      <w:t>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C0F5BFC"/>
    <w:multiLevelType w:val="multilevel"/>
    <w:tmpl w:val="A8741ACC"/>
    <w:lvl w:ilvl="0">
      <w:start w:val="1"/>
      <w:numFmt w:val="none"/>
      <w:suff w:val="nothing"/>
      <w:lvlText w:val="%1"/>
      <w:lvlJc w:val="left"/>
      <w:pPr>
        <w:ind w:left="0" w:firstLine="0"/>
      </w:pPr>
      <w:rPr>
        <w:rFonts w:hint="default"/>
      </w:rPr>
    </w:lvl>
    <w:lvl w:ilvl="1">
      <w:start w:val="1"/>
      <w:numFmt w:val="upperRoman"/>
      <w:suff w:val="space"/>
      <w:lvlText w:val="%2."/>
      <w:lvlJc w:val="left"/>
      <w:pPr>
        <w:ind w:left="357" w:hanging="357"/>
      </w:pPr>
      <w:rPr>
        <w:rFonts w:hint="default"/>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hint="default"/>
      </w:rPr>
    </w:lvl>
    <w:lvl w:ilvl="7">
      <w:start w:val="1"/>
      <w:numFmt w:val="bullet"/>
      <w:lvlText w:val="‒"/>
      <w:lvlJc w:val="left"/>
      <w:pPr>
        <w:ind w:left="1418" w:hanging="227"/>
      </w:pPr>
      <w:rPr>
        <w:rFonts w:ascii="Times New Roman" w:hAnsi="Times New Roman" w:cs="Times New Roman" w:hint="default"/>
        <w:color w:val="auto"/>
      </w:rPr>
    </w:lvl>
    <w:lvl w:ilvl="8">
      <w:start w:val="1"/>
      <w:numFmt w:val="bullet"/>
      <w:lvlText w:val="▪"/>
      <w:lvlJc w:val="left"/>
      <w:pPr>
        <w:ind w:left="1644" w:hanging="226"/>
      </w:pPr>
      <w:rPr>
        <w:rFonts w:ascii="Times New Roman" w:hAnsi="Times New Roman" w:cs="Times New Roman" w:hint="default"/>
        <w:color w:val="auto"/>
      </w:r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6EA20381"/>
    <w:multiLevelType w:val="hybridMultilevel"/>
    <w:tmpl w:val="15F2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21"/>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0"/>
    <w:docVar w:name="NBEMMDOC" w:val="0"/>
  </w:docVars>
  <w:rsids>
    <w:rsidRoot w:val="00624CCB"/>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57938"/>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D7D7A"/>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3B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240"/>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87F29"/>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375C"/>
    <w:rsid w:val="00611C80"/>
    <w:rsid w:val="00620692"/>
    <w:rsid w:val="006242CA"/>
    <w:rsid w:val="00624BFE"/>
    <w:rsid w:val="00624CCB"/>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5988"/>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9F67E5"/>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D46B8"/>
    <w:rsid w:val="00AD7C1F"/>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87CBF"/>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0625"/>
    <w:rsid w:val="00DE386C"/>
    <w:rsid w:val="00DE4D35"/>
    <w:rsid w:val="00DF098B"/>
    <w:rsid w:val="00DF11C4"/>
    <w:rsid w:val="00DF210C"/>
    <w:rsid w:val="00DF4B6A"/>
    <w:rsid w:val="00E004C0"/>
    <w:rsid w:val="00E02C09"/>
    <w:rsid w:val="00E04D59"/>
    <w:rsid w:val="00E07DA1"/>
    <w:rsid w:val="00E1006B"/>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8"/>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D3701"/>
    <w:rPr>
      <w:rFonts w:ascii="Tahoma" w:hAnsi="Tahoma" w:cs="Tahoma"/>
      <w:sz w:val="16"/>
      <w:szCs w:val="16"/>
    </w:rPr>
  </w:style>
  <w:style w:type="character" w:customStyle="1" w:styleId="BalloonTextChar">
    <w:name w:val="Balloon Text Char"/>
    <w:basedOn w:val="DefaultParagraphFont"/>
    <w:link w:val="BalloonText"/>
    <w:uiPriority w:val="98"/>
    <w:semiHidden/>
    <w:rsid w:val="007D3701"/>
    <w:rPr>
      <w:rFonts w:ascii="Tahoma" w:hAnsi="Tahoma" w:cs="Tahoma"/>
      <w:sz w:val="16"/>
      <w:szCs w:val="16"/>
      <w:lang w:val="en-GB"/>
    </w:rPr>
  </w:style>
  <w:style w:type="character" w:styleId="BookTitle">
    <w:name w:val="Book Title"/>
    <w:uiPriority w:val="98"/>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8"/>
    <w:semiHidden/>
    <w:qFormat/>
    <w:rsid w:val="007D3701"/>
    <w:rPr>
      <w:b/>
      <w:bCs/>
    </w:rPr>
  </w:style>
  <w:style w:type="paragraph" w:styleId="NoSpacing">
    <w:name w:val="No Spacing"/>
    <w:basedOn w:val="Normal"/>
    <w:link w:val="NoSpacingChar"/>
    <w:uiPriority w:val="98"/>
    <w:semiHidden/>
    <w:qFormat/>
    <w:rsid w:val="007D3701"/>
  </w:style>
  <w:style w:type="character" w:customStyle="1" w:styleId="NoSpacingChar">
    <w:name w:val="No Spacing Char"/>
    <w:basedOn w:val="DefaultParagraphFont"/>
    <w:link w:val="NoSpacing"/>
    <w:uiPriority w:val="98"/>
    <w:semiHidden/>
    <w:rsid w:val="007D3701"/>
    <w:rPr>
      <w:sz w:val="24"/>
      <w:szCs w:val="24"/>
      <w:lang w:val="en-GB"/>
    </w:rPr>
  </w:style>
  <w:style w:type="paragraph" w:customStyle="1" w:styleId="JuQuot">
    <w:name w:val="Ju_Quot"/>
    <w:aliases w:val="_Quote"/>
    <w:basedOn w:val="NormalJustified"/>
    <w:uiPriority w:val="20"/>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19"/>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7"/>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2"/>
    <w:qFormat/>
    <w:rsid w:val="007D3701"/>
    <w:pPr>
      <w:tabs>
        <w:tab w:val="center" w:pos="851"/>
        <w:tab w:val="center" w:pos="6407"/>
      </w:tabs>
      <w:spacing w:before="720"/>
    </w:pPr>
  </w:style>
  <w:style w:type="paragraph" w:styleId="Title">
    <w:name w:val="Title"/>
    <w:basedOn w:val="Normal"/>
    <w:next w:val="Normal"/>
    <w:link w:val="TitleChar"/>
    <w:uiPriority w:val="98"/>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7"/>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7"/>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98"/>
    <w:semiHidden/>
    <w:rsid w:val="007D3701"/>
    <w:pPr>
      <w:tabs>
        <w:tab w:val="center" w:pos="4536"/>
        <w:tab w:val="right" w:pos="9072"/>
      </w:tabs>
    </w:pPr>
  </w:style>
  <w:style w:type="character" w:customStyle="1" w:styleId="HeaderChar">
    <w:name w:val="Header Char"/>
    <w:basedOn w:val="DefaultParagraphFont"/>
    <w:link w:val="Header"/>
    <w:uiPriority w:val="98"/>
    <w:semiHidden/>
    <w:rsid w:val="007D3701"/>
    <w:rPr>
      <w:sz w:val="24"/>
      <w:szCs w:val="24"/>
      <w:lang w:val="en-GB"/>
    </w:rPr>
  </w:style>
  <w:style w:type="character" w:customStyle="1" w:styleId="Heading1Char">
    <w:name w:val="Heading 1 Char"/>
    <w:basedOn w:val="DefaultParagraphFont"/>
    <w:link w:val="Heading1"/>
    <w:uiPriority w:val="98"/>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7"/>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7"/>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7"/>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5"/>
    <w:qFormat/>
    <w:rsid w:val="007D3701"/>
    <w:pPr>
      <w:keepNext/>
      <w:keepLines/>
      <w:spacing w:before="240" w:after="240"/>
      <w:ind w:firstLine="284"/>
    </w:pPr>
  </w:style>
  <w:style w:type="paragraph" w:customStyle="1" w:styleId="JuJudges">
    <w:name w:val="Ju_Judges"/>
    <w:aliases w:val="_Judges"/>
    <w:basedOn w:val="Normal"/>
    <w:uiPriority w:val="32"/>
    <w:qFormat/>
    <w:rsid w:val="007D3701"/>
    <w:pPr>
      <w:tabs>
        <w:tab w:val="left" w:pos="567"/>
        <w:tab w:val="left" w:pos="1134"/>
      </w:tabs>
    </w:pPr>
  </w:style>
  <w:style w:type="character" w:customStyle="1" w:styleId="Heading4Char">
    <w:name w:val="Heading 4 Char"/>
    <w:basedOn w:val="DefaultParagraphFont"/>
    <w:link w:val="Heading4"/>
    <w:uiPriority w:val="98"/>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1"/>
    <w:qFormat/>
    <w:rsid w:val="007D3701"/>
    <w:pPr>
      <w:tabs>
        <w:tab w:val="center" w:pos="6407"/>
      </w:tabs>
      <w:spacing w:before="720"/>
      <w:jc w:val="right"/>
    </w:pPr>
  </w:style>
  <w:style w:type="character" w:customStyle="1" w:styleId="Heading5Char">
    <w:name w:val="Heading 5 Char"/>
    <w:basedOn w:val="DefaultParagraphFont"/>
    <w:link w:val="Heading5"/>
    <w:uiPriority w:val="98"/>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43"/>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D3701"/>
    <w:rPr>
      <w:caps w:val="0"/>
      <w:smallCaps/>
    </w:rPr>
  </w:style>
  <w:style w:type="character" w:styleId="SubtleEmphasis">
    <w:name w:val="Subtle Emphasis"/>
    <w:uiPriority w:val="98"/>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D3701"/>
    <w:rPr>
      <w:b/>
      <w:bCs/>
      <w:i/>
      <w:iCs/>
      <w:spacing w:val="10"/>
      <w:bdr w:val="none" w:sz="0" w:space="0" w:color="auto"/>
      <w:shd w:val="clear" w:color="auto" w:fill="auto"/>
    </w:rPr>
  </w:style>
  <w:style w:type="paragraph" w:styleId="Footer0">
    <w:name w:val="footer"/>
    <w:basedOn w:val="Normal"/>
    <w:link w:val="FooterChar"/>
    <w:uiPriority w:val="98"/>
    <w:semiHidden/>
    <w:rsid w:val="007D3701"/>
    <w:pPr>
      <w:tabs>
        <w:tab w:val="center" w:pos="3686"/>
        <w:tab w:val="right" w:pos="7371"/>
      </w:tabs>
    </w:pPr>
  </w:style>
  <w:style w:type="character" w:customStyle="1" w:styleId="FooterChar">
    <w:name w:val="Footer Char"/>
    <w:basedOn w:val="DefaultParagraphFont"/>
    <w:link w:val="Footer0"/>
    <w:uiPriority w:val="98"/>
    <w:semiHidden/>
    <w:rsid w:val="007D3701"/>
    <w:rPr>
      <w:sz w:val="24"/>
      <w:szCs w:val="24"/>
      <w:lang w:val="en-GB"/>
    </w:rPr>
  </w:style>
  <w:style w:type="character" w:styleId="FootnoteReference">
    <w:name w:val="footnote reference"/>
    <w:basedOn w:val="DefaultParagraphFont"/>
    <w:uiPriority w:val="98"/>
    <w:semiHidden/>
    <w:rsid w:val="007D3701"/>
    <w:rPr>
      <w:vertAlign w:val="superscript"/>
    </w:rPr>
  </w:style>
  <w:style w:type="paragraph" w:styleId="FootnoteText">
    <w:name w:val="footnote text"/>
    <w:basedOn w:val="Normal"/>
    <w:link w:val="FootnoteTextChar"/>
    <w:uiPriority w:val="98"/>
    <w:semiHidden/>
    <w:rsid w:val="007D3701"/>
    <w:rPr>
      <w:sz w:val="20"/>
      <w:szCs w:val="20"/>
    </w:rPr>
  </w:style>
  <w:style w:type="character" w:customStyle="1" w:styleId="FootnoteTextChar">
    <w:name w:val="Footnote Text Char"/>
    <w:basedOn w:val="DefaultParagraphFont"/>
    <w:link w:val="FootnoteText"/>
    <w:uiPriority w:val="98"/>
    <w:semiHidden/>
    <w:rsid w:val="007D3701"/>
    <w:rPr>
      <w:sz w:val="20"/>
      <w:szCs w:val="20"/>
      <w:lang w:val="en-GB"/>
    </w:rPr>
  </w:style>
  <w:style w:type="character" w:customStyle="1" w:styleId="Heading6Char">
    <w:name w:val="Heading 6 Char"/>
    <w:basedOn w:val="DefaultParagraphFont"/>
    <w:link w:val="Heading6"/>
    <w:uiPriority w:val="98"/>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8"/>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8"/>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D3701"/>
    <w:rPr>
      <w:color w:val="0072BC" w:themeColor="hyperlink"/>
      <w:u w:val="single"/>
    </w:rPr>
  </w:style>
  <w:style w:type="character" w:styleId="IntenseEmphasis">
    <w:name w:val="Intense Emphasis"/>
    <w:uiPriority w:val="98"/>
    <w:semiHidden/>
    <w:qFormat/>
    <w:rsid w:val="007D3701"/>
    <w:rPr>
      <w:b/>
      <w:bCs/>
    </w:rPr>
  </w:style>
  <w:style w:type="paragraph" w:styleId="IntenseQuote">
    <w:name w:val="Intense Quote"/>
    <w:basedOn w:val="Normal"/>
    <w:next w:val="Normal"/>
    <w:link w:val="IntenseQuoteChar"/>
    <w:uiPriority w:val="98"/>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D3701"/>
    <w:rPr>
      <w:b/>
      <w:bCs/>
      <w:i/>
      <w:iCs/>
      <w:sz w:val="24"/>
      <w:szCs w:val="24"/>
      <w:lang w:val="en-GB" w:bidi="en-US"/>
    </w:rPr>
  </w:style>
  <w:style w:type="character" w:styleId="IntenseReference">
    <w:name w:val="Intense Reference"/>
    <w:uiPriority w:val="98"/>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8"/>
    <w:semiHidden/>
    <w:qFormat/>
    <w:rsid w:val="007D3701"/>
    <w:pPr>
      <w:spacing w:before="200"/>
      <w:ind w:left="360" w:right="360"/>
    </w:pPr>
    <w:rPr>
      <w:i/>
      <w:iCs/>
      <w:lang w:bidi="en-US"/>
    </w:rPr>
  </w:style>
  <w:style w:type="character" w:customStyle="1" w:styleId="QuoteChar">
    <w:name w:val="Quote Char"/>
    <w:basedOn w:val="DefaultParagraphFont"/>
    <w:link w:val="Quote"/>
    <w:uiPriority w:val="98"/>
    <w:semiHidden/>
    <w:rsid w:val="007D3701"/>
    <w:rPr>
      <w:i/>
      <w:iCs/>
      <w:sz w:val="24"/>
      <w:szCs w:val="24"/>
      <w:lang w:val="en-GB" w:bidi="en-US"/>
    </w:rPr>
  </w:style>
  <w:style w:type="character" w:styleId="SubtleReference">
    <w:name w:val="Subtle Reference"/>
    <w:uiPriority w:val="98"/>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ECHR_Para"/>
    <w:basedOn w:val="NormalJustified"/>
    <w:link w:val="JuParaChar"/>
    <w:uiPriority w:val="4"/>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D3701"/>
  </w:style>
  <w:style w:type="paragraph" w:styleId="BlockText">
    <w:name w:val="Block Text"/>
    <w:basedOn w:val="Normal"/>
    <w:uiPriority w:val="98"/>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D3701"/>
    <w:pPr>
      <w:spacing w:after="120"/>
    </w:pPr>
  </w:style>
  <w:style w:type="character" w:customStyle="1" w:styleId="BodyTextChar">
    <w:name w:val="Body Text Char"/>
    <w:basedOn w:val="DefaultParagraphFont"/>
    <w:link w:val="BodyText"/>
    <w:uiPriority w:val="98"/>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8"/>
    <w:semiHidden/>
    <w:rsid w:val="007D3701"/>
    <w:pPr>
      <w:numPr>
        <w:numId w:val="12"/>
      </w:numPr>
    </w:pPr>
  </w:style>
  <w:style w:type="paragraph" w:styleId="ListBullet3">
    <w:name w:val="List Bullet 3"/>
    <w:basedOn w:val="Normal"/>
    <w:uiPriority w:val="98"/>
    <w:semiHidden/>
    <w:rsid w:val="007D3701"/>
    <w:pPr>
      <w:numPr>
        <w:numId w:val="14"/>
      </w:numPr>
      <w:contextualSpacing/>
    </w:pPr>
  </w:style>
  <w:style w:type="character" w:customStyle="1" w:styleId="BodyText2Char">
    <w:name w:val="Body Text 2 Char"/>
    <w:basedOn w:val="DefaultParagraphFont"/>
    <w:link w:val="BodyText2"/>
    <w:uiPriority w:val="98"/>
    <w:semiHidden/>
    <w:rsid w:val="007D3701"/>
    <w:rPr>
      <w:sz w:val="24"/>
      <w:szCs w:val="24"/>
      <w:lang w:val="en-GB"/>
    </w:rPr>
  </w:style>
  <w:style w:type="paragraph" w:styleId="BodyText3">
    <w:name w:val="Body Text 3"/>
    <w:basedOn w:val="Normal"/>
    <w:link w:val="BodyText3Char"/>
    <w:uiPriority w:val="98"/>
    <w:semiHidden/>
    <w:rsid w:val="007D3701"/>
    <w:pPr>
      <w:spacing w:after="120"/>
    </w:pPr>
    <w:rPr>
      <w:sz w:val="16"/>
      <w:szCs w:val="16"/>
    </w:rPr>
  </w:style>
  <w:style w:type="character" w:customStyle="1" w:styleId="BodyText3Char">
    <w:name w:val="Body Text 3 Char"/>
    <w:basedOn w:val="DefaultParagraphFont"/>
    <w:link w:val="BodyText3"/>
    <w:uiPriority w:val="98"/>
    <w:semiHidden/>
    <w:rsid w:val="007D3701"/>
    <w:rPr>
      <w:sz w:val="16"/>
      <w:szCs w:val="16"/>
      <w:lang w:val="en-GB"/>
    </w:rPr>
  </w:style>
  <w:style w:type="paragraph" w:styleId="BodyTextFirstIndent">
    <w:name w:val="Body Text First Indent"/>
    <w:basedOn w:val="BodyText"/>
    <w:link w:val="BodyTextFirstIndentChar"/>
    <w:uiPriority w:val="98"/>
    <w:semiHidden/>
    <w:rsid w:val="007D3701"/>
    <w:pPr>
      <w:spacing w:after="0"/>
      <w:ind w:firstLine="360"/>
    </w:pPr>
  </w:style>
  <w:style w:type="character" w:customStyle="1" w:styleId="BodyTextFirstIndentChar">
    <w:name w:val="Body Text First Indent Char"/>
    <w:basedOn w:val="BodyTextChar"/>
    <w:link w:val="BodyTextFirstIndent"/>
    <w:uiPriority w:val="98"/>
    <w:semiHidden/>
    <w:rsid w:val="007D3701"/>
    <w:rPr>
      <w:sz w:val="24"/>
      <w:szCs w:val="24"/>
      <w:lang w:val="en-GB"/>
    </w:rPr>
  </w:style>
  <w:style w:type="paragraph" w:styleId="BodyTextIndent">
    <w:name w:val="Body Text Indent"/>
    <w:basedOn w:val="Normal"/>
    <w:link w:val="BodyTextIndentChar"/>
    <w:uiPriority w:val="98"/>
    <w:semiHidden/>
    <w:rsid w:val="007D3701"/>
    <w:pPr>
      <w:spacing w:after="120"/>
      <w:ind w:left="283"/>
    </w:pPr>
  </w:style>
  <w:style w:type="character" w:customStyle="1" w:styleId="BodyTextIndentChar">
    <w:name w:val="Body Text Indent Char"/>
    <w:basedOn w:val="DefaultParagraphFont"/>
    <w:link w:val="BodyTextIndent"/>
    <w:uiPriority w:val="98"/>
    <w:semiHidden/>
    <w:rsid w:val="007D3701"/>
    <w:rPr>
      <w:sz w:val="24"/>
      <w:szCs w:val="24"/>
      <w:lang w:val="en-GB"/>
    </w:rPr>
  </w:style>
  <w:style w:type="paragraph" w:styleId="BodyTextFirstIndent2">
    <w:name w:val="Body Text First Indent 2"/>
    <w:basedOn w:val="BodyTextIndent"/>
    <w:link w:val="BodyTextFirstIndent2Char"/>
    <w:uiPriority w:val="98"/>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8"/>
    <w:semiHidden/>
    <w:rsid w:val="007D3701"/>
    <w:rPr>
      <w:sz w:val="24"/>
      <w:szCs w:val="24"/>
      <w:lang w:val="en-GB"/>
    </w:rPr>
  </w:style>
  <w:style w:type="paragraph" w:styleId="BodyTextIndent2">
    <w:name w:val="Body Text Indent 2"/>
    <w:basedOn w:val="Normal"/>
    <w:link w:val="BodyTextIndent2Char"/>
    <w:uiPriority w:val="98"/>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8"/>
    <w:semiHidden/>
    <w:rsid w:val="007D3701"/>
    <w:rPr>
      <w:sz w:val="24"/>
      <w:szCs w:val="24"/>
      <w:lang w:val="en-GB"/>
    </w:rPr>
  </w:style>
  <w:style w:type="paragraph" w:styleId="BodyTextIndent3">
    <w:name w:val="Body Text Indent 3"/>
    <w:basedOn w:val="Normal"/>
    <w:link w:val="BodyTextIndent3Char"/>
    <w:uiPriority w:val="98"/>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D3701"/>
    <w:rPr>
      <w:sz w:val="16"/>
      <w:szCs w:val="16"/>
      <w:lang w:val="en-GB"/>
    </w:rPr>
  </w:style>
  <w:style w:type="paragraph" w:styleId="Caption">
    <w:name w:val="caption"/>
    <w:basedOn w:val="Normal"/>
    <w:next w:val="Normal"/>
    <w:uiPriority w:val="98"/>
    <w:semiHidden/>
    <w:qFormat/>
    <w:rsid w:val="007D3701"/>
    <w:pPr>
      <w:spacing w:after="200"/>
    </w:pPr>
    <w:rPr>
      <w:b/>
      <w:bCs/>
      <w:color w:val="0072BC" w:themeColor="accent1"/>
      <w:sz w:val="18"/>
      <w:szCs w:val="18"/>
    </w:rPr>
  </w:style>
  <w:style w:type="paragraph" w:styleId="Closing">
    <w:name w:val="Closing"/>
    <w:basedOn w:val="Normal"/>
    <w:link w:val="ClosingChar"/>
    <w:uiPriority w:val="98"/>
    <w:semiHidden/>
    <w:rsid w:val="007D3701"/>
    <w:pPr>
      <w:ind w:left="4252"/>
    </w:pPr>
  </w:style>
  <w:style w:type="character" w:customStyle="1" w:styleId="ClosingChar">
    <w:name w:val="Closing Char"/>
    <w:basedOn w:val="DefaultParagraphFont"/>
    <w:link w:val="Closing"/>
    <w:uiPriority w:val="98"/>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D3701"/>
    <w:rPr>
      <w:sz w:val="16"/>
      <w:szCs w:val="16"/>
    </w:rPr>
  </w:style>
  <w:style w:type="paragraph" w:styleId="CommentText">
    <w:name w:val="annotation text"/>
    <w:basedOn w:val="Normal"/>
    <w:link w:val="CommentTextChar"/>
    <w:uiPriority w:val="98"/>
    <w:semiHidden/>
    <w:rsid w:val="007D3701"/>
    <w:rPr>
      <w:sz w:val="20"/>
      <w:szCs w:val="20"/>
    </w:rPr>
  </w:style>
  <w:style w:type="character" w:customStyle="1" w:styleId="CommentTextChar">
    <w:name w:val="Comment Text Char"/>
    <w:basedOn w:val="DefaultParagraphFont"/>
    <w:link w:val="CommentText"/>
    <w:uiPriority w:val="98"/>
    <w:semiHidden/>
    <w:rsid w:val="007D3701"/>
    <w:rPr>
      <w:sz w:val="20"/>
      <w:szCs w:val="20"/>
      <w:lang w:val="en-GB"/>
    </w:rPr>
  </w:style>
  <w:style w:type="paragraph" w:styleId="CommentSubject">
    <w:name w:val="annotation subject"/>
    <w:basedOn w:val="CommentText"/>
    <w:next w:val="CommentText"/>
    <w:link w:val="CommentSubjectChar"/>
    <w:uiPriority w:val="98"/>
    <w:semiHidden/>
    <w:rsid w:val="007D3701"/>
    <w:rPr>
      <w:b/>
      <w:bCs/>
    </w:rPr>
  </w:style>
  <w:style w:type="character" w:customStyle="1" w:styleId="CommentSubjectChar">
    <w:name w:val="Comment Subject Char"/>
    <w:basedOn w:val="CommentTextChar"/>
    <w:link w:val="CommentSubject"/>
    <w:uiPriority w:val="98"/>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D3701"/>
  </w:style>
  <w:style w:type="character" w:customStyle="1" w:styleId="DateChar">
    <w:name w:val="Date Char"/>
    <w:basedOn w:val="DefaultParagraphFont"/>
    <w:link w:val="Date"/>
    <w:uiPriority w:val="98"/>
    <w:semiHidden/>
    <w:rsid w:val="007D3701"/>
    <w:rPr>
      <w:sz w:val="24"/>
      <w:szCs w:val="24"/>
      <w:lang w:val="en-GB"/>
    </w:rPr>
  </w:style>
  <w:style w:type="paragraph" w:styleId="DocumentMap">
    <w:name w:val="Document Map"/>
    <w:basedOn w:val="Normal"/>
    <w:link w:val="DocumentMapChar"/>
    <w:uiPriority w:val="98"/>
    <w:semiHidden/>
    <w:rsid w:val="007D3701"/>
    <w:rPr>
      <w:rFonts w:ascii="Tahoma" w:hAnsi="Tahoma" w:cs="Tahoma"/>
      <w:sz w:val="16"/>
      <w:szCs w:val="16"/>
    </w:rPr>
  </w:style>
  <w:style w:type="character" w:customStyle="1" w:styleId="DocumentMapChar">
    <w:name w:val="Document Map Char"/>
    <w:basedOn w:val="DefaultParagraphFont"/>
    <w:link w:val="DocumentMap"/>
    <w:uiPriority w:val="98"/>
    <w:semiHidden/>
    <w:rsid w:val="007D3701"/>
    <w:rPr>
      <w:rFonts w:ascii="Tahoma" w:hAnsi="Tahoma" w:cs="Tahoma"/>
      <w:sz w:val="16"/>
      <w:szCs w:val="16"/>
      <w:lang w:val="en-GB"/>
    </w:rPr>
  </w:style>
  <w:style w:type="paragraph" w:styleId="E-mailSignature">
    <w:name w:val="E-mail Signature"/>
    <w:basedOn w:val="Normal"/>
    <w:link w:val="E-mailSignatureChar"/>
    <w:uiPriority w:val="98"/>
    <w:semiHidden/>
    <w:rsid w:val="007D3701"/>
  </w:style>
  <w:style w:type="character" w:customStyle="1" w:styleId="E-mailSignatureChar">
    <w:name w:val="E-mail Signature Char"/>
    <w:basedOn w:val="DefaultParagraphFont"/>
    <w:link w:val="E-mailSignature"/>
    <w:uiPriority w:val="98"/>
    <w:semiHidden/>
    <w:rsid w:val="007D3701"/>
    <w:rPr>
      <w:sz w:val="24"/>
      <w:szCs w:val="24"/>
      <w:lang w:val="en-GB"/>
    </w:rPr>
  </w:style>
  <w:style w:type="character" w:styleId="EndnoteReference">
    <w:name w:val="endnote reference"/>
    <w:basedOn w:val="DefaultParagraphFont"/>
    <w:uiPriority w:val="98"/>
    <w:semiHidden/>
    <w:rsid w:val="007D3701"/>
    <w:rPr>
      <w:vertAlign w:val="superscript"/>
    </w:rPr>
  </w:style>
  <w:style w:type="paragraph" w:styleId="EndnoteText">
    <w:name w:val="endnote text"/>
    <w:basedOn w:val="Normal"/>
    <w:link w:val="EndnoteTextChar"/>
    <w:uiPriority w:val="98"/>
    <w:semiHidden/>
    <w:rsid w:val="007D3701"/>
    <w:rPr>
      <w:sz w:val="20"/>
      <w:szCs w:val="20"/>
    </w:rPr>
  </w:style>
  <w:style w:type="character" w:customStyle="1" w:styleId="EndnoteTextChar">
    <w:name w:val="Endnote Text Char"/>
    <w:basedOn w:val="DefaultParagraphFont"/>
    <w:link w:val="EndnoteText"/>
    <w:uiPriority w:val="98"/>
    <w:semiHidden/>
    <w:rsid w:val="007D3701"/>
    <w:rPr>
      <w:sz w:val="20"/>
      <w:szCs w:val="20"/>
      <w:lang w:val="en-GB"/>
    </w:rPr>
  </w:style>
  <w:style w:type="paragraph" w:styleId="EnvelopeAddress">
    <w:name w:val="envelope address"/>
    <w:basedOn w:val="Normal"/>
    <w:uiPriority w:val="98"/>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D3701"/>
    <w:rPr>
      <w:color w:val="7030A0" w:themeColor="followedHyperlink"/>
      <w:u w:val="single"/>
    </w:rPr>
  </w:style>
  <w:style w:type="character" w:styleId="HTMLAcronym">
    <w:name w:val="HTML Acronym"/>
    <w:basedOn w:val="DefaultParagraphFont"/>
    <w:uiPriority w:val="98"/>
    <w:semiHidden/>
    <w:rsid w:val="007D3701"/>
  </w:style>
  <w:style w:type="paragraph" w:styleId="HTMLAddress">
    <w:name w:val="HTML Address"/>
    <w:basedOn w:val="Normal"/>
    <w:link w:val="HTMLAddressChar"/>
    <w:uiPriority w:val="98"/>
    <w:semiHidden/>
    <w:rsid w:val="007D3701"/>
    <w:rPr>
      <w:i/>
      <w:iCs/>
    </w:rPr>
  </w:style>
  <w:style w:type="character" w:customStyle="1" w:styleId="HTMLAddressChar">
    <w:name w:val="HTML Address Char"/>
    <w:basedOn w:val="DefaultParagraphFont"/>
    <w:link w:val="HTMLAddress"/>
    <w:uiPriority w:val="98"/>
    <w:semiHidden/>
    <w:rsid w:val="007D3701"/>
    <w:rPr>
      <w:i/>
      <w:iCs/>
      <w:sz w:val="24"/>
      <w:szCs w:val="24"/>
      <w:lang w:val="en-GB"/>
    </w:rPr>
  </w:style>
  <w:style w:type="character" w:styleId="HTMLCite">
    <w:name w:val="HTML Cite"/>
    <w:basedOn w:val="DefaultParagraphFont"/>
    <w:uiPriority w:val="98"/>
    <w:semiHidden/>
    <w:rsid w:val="007D3701"/>
    <w:rPr>
      <w:i/>
      <w:iCs/>
    </w:rPr>
  </w:style>
  <w:style w:type="character" w:styleId="HTMLCode">
    <w:name w:val="HTML Code"/>
    <w:basedOn w:val="DefaultParagraphFont"/>
    <w:uiPriority w:val="98"/>
    <w:semiHidden/>
    <w:rsid w:val="007D3701"/>
    <w:rPr>
      <w:rFonts w:ascii="Consolas" w:hAnsi="Consolas" w:cs="Consolas"/>
      <w:sz w:val="20"/>
      <w:szCs w:val="20"/>
    </w:rPr>
  </w:style>
  <w:style w:type="character" w:styleId="HTMLDefinition">
    <w:name w:val="HTML Definition"/>
    <w:basedOn w:val="DefaultParagraphFont"/>
    <w:uiPriority w:val="98"/>
    <w:semiHidden/>
    <w:rsid w:val="007D3701"/>
    <w:rPr>
      <w:i/>
      <w:iCs/>
    </w:rPr>
  </w:style>
  <w:style w:type="character" w:styleId="HTMLKeyboard">
    <w:name w:val="HTML Keyboard"/>
    <w:basedOn w:val="DefaultParagraphFont"/>
    <w:uiPriority w:val="98"/>
    <w:semiHidden/>
    <w:rsid w:val="007D3701"/>
    <w:rPr>
      <w:rFonts w:ascii="Consolas" w:hAnsi="Consolas" w:cs="Consolas"/>
      <w:sz w:val="20"/>
      <w:szCs w:val="20"/>
    </w:rPr>
  </w:style>
  <w:style w:type="paragraph" w:styleId="HTMLPreformatted">
    <w:name w:val="HTML Preformatted"/>
    <w:basedOn w:val="Normal"/>
    <w:link w:val="HTMLPreformattedChar"/>
    <w:uiPriority w:val="98"/>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D3701"/>
    <w:rPr>
      <w:rFonts w:ascii="Consolas" w:hAnsi="Consolas" w:cs="Consolas"/>
      <w:sz w:val="20"/>
      <w:szCs w:val="20"/>
      <w:lang w:val="en-GB"/>
    </w:rPr>
  </w:style>
  <w:style w:type="character" w:styleId="HTMLSample">
    <w:name w:val="HTML Sample"/>
    <w:basedOn w:val="DefaultParagraphFont"/>
    <w:uiPriority w:val="98"/>
    <w:semiHidden/>
    <w:rsid w:val="007D3701"/>
    <w:rPr>
      <w:rFonts w:ascii="Consolas" w:hAnsi="Consolas" w:cs="Consolas"/>
      <w:sz w:val="24"/>
      <w:szCs w:val="24"/>
    </w:rPr>
  </w:style>
  <w:style w:type="character" w:styleId="HTMLTypewriter">
    <w:name w:val="HTML Typewriter"/>
    <w:basedOn w:val="DefaultParagraphFont"/>
    <w:uiPriority w:val="98"/>
    <w:semiHidden/>
    <w:rsid w:val="007D3701"/>
    <w:rPr>
      <w:rFonts w:ascii="Consolas" w:hAnsi="Consolas" w:cs="Consolas"/>
      <w:sz w:val="20"/>
      <w:szCs w:val="20"/>
    </w:rPr>
  </w:style>
  <w:style w:type="character" w:styleId="HTMLVariable">
    <w:name w:val="HTML Variable"/>
    <w:basedOn w:val="DefaultParagraphFont"/>
    <w:uiPriority w:val="98"/>
    <w:semiHidden/>
    <w:rsid w:val="007D3701"/>
    <w:rPr>
      <w:i/>
      <w:iCs/>
    </w:rPr>
  </w:style>
  <w:style w:type="paragraph" w:styleId="Index1">
    <w:name w:val="index 1"/>
    <w:basedOn w:val="Normal"/>
    <w:next w:val="Normal"/>
    <w:autoRedefine/>
    <w:uiPriority w:val="98"/>
    <w:semiHidden/>
    <w:rsid w:val="007D3701"/>
    <w:pPr>
      <w:ind w:left="240" w:hanging="240"/>
    </w:pPr>
  </w:style>
  <w:style w:type="paragraph" w:styleId="Index2">
    <w:name w:val="index 2"/>
    <w:basedOn w:val="Normal"/>
    <w:next w:val="Normal"/>
    <w:autoRedefine/>
    <w:uiPriority w:val="98"/>
    <w:semiHidden/>
    <w:rsid w:val="007D3701"/>
    <w:pPr>
      <w:ind w:left="480" w:hanging="240"/>
    </w:pPr>
  </w:style>
  <w:style w:type="paragraph" w:styleId="Index3">
    <w:name w:val="index 3"/>
    <w:basedOn w:val="Normal"/>
    <w:next w:val="Normal"/>
    <w:autoRedefine/>
    <w:uiPriority w:val="98"/>
    <w:semiHidden/>
    <w:rsid w:val="007D3701"/>
    <w:pPr>
      <w:ind w:left="720" w:hanging="240"/>
    </w:pPr>
  </w:style>
  <w:style w:type="paragraph" w:styleId="Index4">
    <w:name w:val="index 4"/>
    <w:basedOn w:val="Normal"/>
    <w:next w:val="Normal"/>
    <w:autoRedefine/>
    <w:uiPriority w:val="98"/>
    <w:semiHidden/>
    <w:rsid w:val="007D3701"/>
    <w:pPr>
      <w:ind w:left="960" w:hanging="240"/>
    </w:pPr>
  </w:style>
  <w:style w:type="paragraph" w:styleId="Index5">
    <w:name w:val="index 5"/>
    <w:basedOn w:val="Normal"/>
    <w:next w:val="Normal"/>
    <w:autoRedefine/>
    <w:uiPriority w:val="98"/>
    <w:semiHidden/>
    <w:rsid w:val="007D3701"/>
    <w:pPr>
      <w:ind w:left="1200" w:hanging="240"/>
    </w:pPr>
  </w:style>
  <w:style w:type="paragraph" w:styleId="Index6">
    <w:name w:val="index 6"/>
    <w:basedOn w:val="Normal"/>
    <w:next w:val="Normal"/>
    <w:autoRedefine/>
    <w:uiPriority w:val="98"/>
    <w:semiHidden/>
    <w:rsid w:val="007D3701"/>
    <w:pPr>
      <w:ind w:left="1440" w:hanging="240"/>
    </w:pPr>
  </w:style>
  <w:style w:type="paragraph" w:styleId="Index7">
    <w:name w:val="index 7"/>
    <w:basedOn w:val="Normal"/>
    <w:next w:val="Normal"/>
    <w:autoRedefine/>
    <w:uiPriority w:val="98"/>
    <w:semiHidden/>
    <w:rsid w:val="007D3701"/>
    <w:pPr>
      <w:ind w:left="1680" w:hanging="240"/>
    </w:pPr>
  </w:style>
  <w:style w:type="paragraph" w:styleId="Index8">
    <w:name w:val="index 8"/>
    <w:basedOn w:val="Normal"/>
    <w:next w:val="Normal"/>
    <w:autoRedefine/>
    <w:uiPriority w:val="98"/>
    <w:semiHidden/>
    <w:rsid w:val="007D3701"/>
    <w:pPr>
      <w:ind w:left="1920" w:hanging="240"/>
    </w:pPr>
  </w:style>
  <w:style w:type="paragraph" w:styleId="Index9">
    <w:name w:val="index 9"/>
    <w:basedOn w:val="Normal"/>
    <w:next w:val="Normal"/>
    <w:autoRedefine/>
    <w:uiPriority w:val="98"/>
    <w:semiHidden/>
    <w:rsid w:val="007D3701"/>
    <w:pPr>
      <w:ind w:left="2160" w:hanging="240"/>
    </w:pPr>
  </w:style>
  <w:style w:type="paragraph" w:styleId="IndexHeading">
    <w:name w:val="index heading"/>
    <w:basedOn w:val="Normal"/>
    <w:next w:val="Index1"/>
    <w:uiPriority w:val="98"/>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D3701"/>
  </w:style>
  <w:style w:type="paragraph" w:styleId="List">
    <w:name w:val="List"/>
    <w:basedOn w:val="Normal"/>
    <w:uiPriority w:val="98"/>
    <w:semiHidden/>
    <w:rsid w:val="007D3701"/>
    <w:pPr>
      <w:ind w:left="283" w:hanging="283"/>
      <w:contextualSpacing/>
    </w:pPr>
  </w:style>
  <w:style w:type="paragraph" w:styleId="List2">
    <w:name w:val="List 2"/>
    <w:basedOn w:val="Normal"/>
    <w:uiPriority w:val="98"/>
    <w:semiHidden/>
    <w:rsid w:val="007D3701"/>
    <w:pPr>
      <w:ind w:left="566" w:hanging="283"/>
      <w:contextualSpacing/>
    </w:pPr>
  </w:style>
  <w:style w:type="paragraph" w:styleId="List3">
    <w:name w:val="List 3"/>
    <w:basedOn w:val="Normal"/>
    <w:uiPriority w:val="98"/>
    <w:semiHidden/>
    <w:rsid w:val="007D3701"/>
    <w:pPr>
      <w:ind w:left="849" w:hanging="283"/>
      <w:contextualSpacing/>
    </w:pPr>
  </w:style>
  <w:style w:type="paragraph" w:styleId="List4">
    <w:name w:val="List 4"/>
    <w:basedOn w:val="Normal"/>
    <w:uiPriority w:val="98"/>
    <w:semiHidden/>
    <w:rsid w:val="007D3701"/>
    <w:pPr>
      <w:ind w:left="1132" w:hanging="283"/>
      <w:contextualSpacing/>
    </w:pPr>
  </w:style>
  <w:style w:type="paragraph" w:styleId="List5">
    <w:name w:val="List 5"/>
    <w:basedOn w:val="Normal"/>
    <w:uiPriority w:val="98"/>
    <w:semiHidden/>
    <w:rsid w:val="007D3701"/>
    <w:pPr>
      <w:ind w:left="1415" w:hanging="283"/>
      <w:contextualSpacing/>
    </w:pPr>
  </w:style>
  <w:style w:type="paragraph" w:styleId="ListBullet2">
    <w:name w:val="List Bullet 2"/>
    <w:basedOn w:val="Normal"/>
    <w:uiPriority w:val="98"/>
    <w:semiHidden/>
    <w:rsid w:val="007D3701"/>
    <w:pPr>
      <w:numPr>
        <w:numId w:val="13"/>
      </w:numPr>
      <w:contextualSpacing/>
    </w:pPr>
  </w:style>
  <w:style w:type="paragraph" w:styleId="ListBullet4">
    <w:name w:val="List Bullet 4"/>
    <w:basedOn w:val="Normal"/>
    <w:uiPriority w:val="98"/>
    <w:semiHidden/>
    <w:rsid w:val="007D3701"/>
    <w:pPr>
      <w:numPr>
        <w:numId w:val="15"/>
      </w:numPr>
      <w:contextualSpacing/>
    </w:pPr>
  </w:style>
  <w:style w:type="paragraph" w:styleId="ListBullet5">
    <w:name w:val="List Bullet 5"/>
    <w:basedOn w:val="Normal"/>
    <w:uiPriority w:val="98"/>
    <w:semiHidden/>
    <w:rsid w:val="007D3701"/>
    <w:pPr>
      <w:numPr>
        <w:numId w:val="16"/>
      </w:numPr>
      <w:contextualSpacing/>
    </w:pPr>
  </w:style>
  <w:style w:type="paragraph" w:styleId="ListContinue">
    <w:name w:val="List Continue"/>
    <w:basedOn w:val="Normal"/>
    <w:uiPriority w:val="98"/>
    <w:semiHidden/>
    <w:rsid w:val="007D3701"/>
    <w:pPr>
      <w:spacing w:after="120"/>
      <w:ind w:left="283"/>
      <w:contextualSpacing/>
    </w:pPr>
  </w:style>
  <w:style w:type="paragraph" w:styleId="ListContinue2">
    <w:name w:val="List Continue 2"/>
    <w:basedOn w:val="Normal"/>
    <w:uiPriority w:val="98"/>
    <w:semiHidden/>
    <w:rsid w:val="007D3701"/>
    <w:pPr>
      <w:spacing w:after="120"/>
      <w:ind w:left="566"/>
      <w:contextualSpacing/>
    </w:pPr>
  </w:style>
  <w:style w:type="paragraph" w:styleId="ListContinue3">
    <w:name w:val="List Continue 3"/>
    <w:basedOn w:val="Normal"/>
    <w:uiPriority w:val="98"/>
    <w:semiHidden/>
    <w:rsid w:val="007D3701"/>
    <w:pPr>
      <w:spacing w:after="120"/>
      <w:ind w:left="849"/>
      <w:contextualSpacing/>
    </w:pPr>
  </w:style>
  <w:style w:type="paragraph" w:styleId="ListContinue4">
    <w:name w:val="List Continue 4"/>
    <w:basedOn w:val="Normal"/>
    <w:uiPriority w:val="98"/>
    <w:semiHidden/>
    <w:rsid w:val="007D3701"/>
    <w:pPr>
      <w:spacing w:after="120"/>
      <w:ind w:left="1132"/>
      <w:contextualSpacing/>
    </w:pPr>
  </w:style>
  <w:style w:type="paragraph" w:styleId="ListContinue5">
    <w:name w:val="List Continue 5"/>
    <w:basedOn w:val="Normal"/>
    <w:uiPriority w:val="98"/>
    <w:semiHidden/>
    <w:rsid w:val="007D3701"/>
    <w:pPr>
      <w:spacing w:after="120"/>
      <w:ind w:left="1415"/>
      <w:contextualSpacing/>
    </w:pPr>
  </w:style>
  <w:style w:type="paragraph" w:styleId="ListNumber">
    <w:name w:val="List Number"/>
    <w:basedOn w:val="Normal"/>
    <w:uiPriority w:val="98"/>
    <w:semiHidden/>
    <w:rsid w:val="007D3701"/>
    <w:pPr>
      <w:numPr>
        <w:numId w:val="17"/>
      </w:numPr>
      <w:contextualSpacing/>
    </w:pPr>
  </w:style>
  <w:style w:type="paragraph" w:styleId="ListNumber2">
    <w:name w:val="List Number 2"/>
    <w:basedOn w:val="Normal"/>
    <w:uiPriority w:val="98"/>
    <w:semiHidden/>
    <w:rsid w:val="007D3701"/>
    <w:pPr>
      <w:numPr>
        <w:numId w:val="18"/>
      </w:numPr>
      <w:contextualSpacing/>
    </w:pPr>
  </w:style>
  <w:style w:type="paragraph" w:styleId="ListNumber3">
    <w:name w:val="List Number 3"/>
    <w:basedOn w:val="Normal"/>
    <w:uiPriority w:val="98"/>
    <w:semiHidden/>
    <w:rsid w:val="007D3701"/>
    <w:pPr>
      <w:numPr>
        <w:numId w:val="19"/>
      </w:numPr>
      <w:contextualSpacing/>
    </w:pPr>
  </w:style>
  <w:style w:type="paragraph" w:styleId="ListNumber4">
    <w:name w:val="List Number 4"/>
    <w:basedOn w:val="Normal"/>
    <w:uiPriority w:val="98"/>
    <w:semiHidden/>
    <w:rsid w:val="007D3701"/>
    <w:pPr>
      <w:numPr>
        <w:numId w:val="20"/>
      </w:numPr>
      <w:contextualSpacing/>
    </w:pPr>
  </w:style>
  <w:style w:type="paragraph" w:styleId="ListNumber5">
    <w:name w:val="List Number 5"/>
    <w:basedOn w:val="Normal"/>
    <w:uiPriority w:val="98"/>
    <w:semiHidden/>
    <w:rsid w:val="007D3701"/>
    <w:pPr>
      <w:numPr>
        <w:numId w:val="21"/>
      </w:numPr>
      <w:contextualSpacing/>
    </w:pPr>
  </w:style>
  <w:style w:type="paragraph" w:styleId="MacroText">
    <w:name w:val="macro"/>
    <w:link w:val="MacroTextChar"/>
    <w:uiPriority w:val="98"/>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D3701"/>
    <w:rPr>
      <w:rFonts w:ascii="Times New Roman" w:hAnsi="Times New Roman" w:cs="Times New Roman"/>
    </w:rPr>
  </w:style>
  <w:style w:type="paragraph" w:styleId="NormalIndent">
    <w:name w:val="Normal Indent"/>
    <w:basedOn w:val="Normal"/>
    <w:uiPriority w:val="98"/>
    <w:semiHidden/>
    <w:rsid w:val="007D3701"/>
    <w:pPr>
      <w:ind w:left="720"/>
    </w:pPr>
  </w:style>
  <w:style w:type="paragraph" w:styleId="NoteHeading">
    <w:name w:val="Note Heading"/>
    <w:basedOn w:val="Normal"/>
    <w:next w:val="Normal"/>
    <w:link w:val="NoteHeadingChar"/>
    <w:uiPriority w:val="98"/>
    <w:semiHidden/>
    <w:rsid w:val="007D3701"/>
  </w:style>
  <w:style w:type="character" w:customStyle="1" w:styleId="NoteHeadingChar">
    <w:name w:val="Note Heading Char"/>
    <w:basedOn w:val="DefaultParagraphFont"/>
    <w:link w:val="NoteHeading"/>
    <w:uiPriority w:val="98"/>
    <w:semiHidden/>
    <w:rsid w:val="007D3701"/>
    <w:rPr>
      <w:sz w:val="24"/>
      <w:szCs w:val="24"/>
      <w:lang w:val="en-GB"/>
    </w:rPr>
  </w:style>
  <w:style w:type="character" w:styleId="PlaceholderText">
    <w:name w:val="Placeholder Text"/>
    <w:basedOn w:val="DefaultParagraphFont"/>
    <w:uiPriority w:val="98"/>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D3701"/>
    <w:rPr>
      <w:rFonts w:ascii="Consolas" w:hAnsi="Consolas" w:cs="Consolas"/>
      <w:sz w:val="21"/>
      <w:szCs w:val="21"/>
    </w:rPr>
  </w:style>
  <w:style w:type="character" w:customStyle="1" w:styleId="PlainTextChar">
    <w:name w:val="Plain Text Char"/>
    <w:basedOn w:val="DefaultParagraphFont"/>
    <w:link w:val="PlainText"/>
    <w:uiPriority w:val="98"/>
    <w:semiHidden/>
    <w:rsid w:val="007D3701"/>
    <w:rPr>
      <w:rFonts w:ascii="Consolas" w:hAnsi="Consolas" w:cs="Consolas"/>
      <w:sz w:val="21"/>
      <w:szCs w:val="21"/>
      <w:lang w:val="en-GB"/>
    </w:rPr>
  </w:style>
  <w:style w:type="paragraph" w:styleId="Salutation">
    <w:name w:val="Salutation"/>
    <w:basedOn w:val="Normal"/>
    <w:next w:val="Normal"/>
    <w:link w:val="SalutationChar"/>
    <w:uiPriority w:val="98"/>
    <w:semiHidden/>
    <w:rsid w:val="007D3701"/>
  </w:style>
  <w:style w:type="character" w:customStyle="1" w:styleId="SalutationChar">
    <w:name w:val="Salutation Char"/>
    <w:basedOn w:val="DefaultParagraphFont"/>
    <w:link w:val="Salutation"/>
    <w:uiPriority w:val="98"/>
    <w:semiHidden/>
    <w:rsid w:val="007D3701"/>
    <w:rPr>
      <w:sz w:val="24"/>
      <w:szCs w:val="24"/>
      <w:lang w:val="en-GB"/>
    </w:rPr>
  </w:style>
  <w:style w:type="paragraph" w:styleId="Signature">
    <w:name w:val="Signature"/>
    <w:basedOn w:val="Normal"/>
    <w:link w:val="SignatureChar"/>
    <w:uiPriority w:val="98"/>
    <w:semiHidden/>
    <w:rsid w:val="007D3701"/>
    <w:pPr>
      <w:ind w:left="4252"/>
    </w:pPr>
  </w:style>
  <w:style w:type="character" w:customStyle="1" w:styleId="SignatureChar">
    <w:name w:val="Signature Char"/>
    <w:basedOn w:val="DefaultParagraphFont"/>
    <w:link w:val="Signature"/>
    <w:uiPriority w:val="98"/>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D3701"/>
    <w:pPr>
      <w:ind w:left="240" w:hanging="240"/>
    </w:pPr>
  </w:style>
  <w:style w:type="paragraph" w:styleId="TableofFigures">
    <w:name w:val="table of figures"/>
    <w:basedOn w:val="Normal"/>
    <w:next w:val="Normal"/>
    <w:uiPriority w:val="98"/>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D3701"/>
    <w:pPr>
      <w:spacing w:after="100"/>
      <w:ind w:left="1680"/>
    </w:pPr>
  </w:style>
  <w:style w:type="paragraph" w:styleId="TOC9">
    <w:name w:val="toc 9"/>
    <w:basedOn w:val="Normal"/>
    <w:next w:val="Normal"/>
    <w:autoRedefine/>
    <w:uiPriority w:val="98"/>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D3701"/>
    <w:pPr>
      <w:keepNext/>
      <w:keepLines/>
      <w:spacing w:before="1320" w:after="280"/>
      <w:contextualSpacing/>
      <w:jc w:val="center"/>
    </w:pPr>
    <w:rPr>
      <w:b/>
    </w:rPr>
  </w:style>
  <w:style w:type="paragraph" w:customStyle="1" w:styleId="DummyStyle">
    <w:name w:val="Dummy_Style"/>
    <w:aliases w:val="_Dummy"/>
    <w:basedOn w:val="Normal"/>
    <w:semiHidden/>
    <w:qFormat/>
    <w:rsid w:val="007D3701"/>
    <w:rPr>
      <w:color w:val="00B050"/>
      <w:sz w:val="22"/>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
    <w:basedOn w:val="Normal"/>
    <w:next w:val="ECHRHeaderDate"/>
    <w:uiPriority w:val="43"/>
    <w:semiHidden/>
    <w:qFormat/>
    <w:rsid w:val="007D3701"/>
    <w:pPr>
      <w:jc w:val="right"/>
    </w:pPr>
    <w:rPr>
      <w:i/>
      <w:sz w:val="20"/>
    </w:rPr>
  </w:style>
  <w:style w:type="paragraph" w:customStyle="1" w:styleId="ECHRHeading9">
    <w:name w:val="ECHR_Heading_9"/>
    <w:aliases w:val="_Head_9"/>
    <w:basedOn w:val="Heading9"/>
    <w:next w:val="Normal"/>
    <w:uiPriority w:val="17"/>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ECHR_Para Char"/>
    <w:link w:val="JuPara"/>
    <w:uiPriority w:val="4"/>
    <w:rsid w:val="00624CC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E92FE-9F75-4AD4-87DB-07FAB2B9AC85}"/>
</file>

<file path=customXml/itemProps2.xml><?xml version="1.0" encoding="utf-8"?>
<ds:datastoreItem xmlns:ds="http://schemas.openxmlformats.org/officeDocument/2006/customXml" ds:itemID="{F74EACD8-007F-4CC9-A96A-CE1568165ACC}"/>
</file>

<file path=customXml/itemProps3.xml><?xml version="1.0" encoding="utf-8"?>
<ds:datastoreItem xmlns:ds="http://schemas.openxmlformats.org/officeDocument/2006/customXml" ds:itemID="{0546A8AB-E065-4E4A-9839-A5FEC842664D}"/>
</file>

<file path=customXml/itemProps4.xml><?xml version="1.0" encoding="utf-8"?>
<ds:datastoreItem xmlns:ds="http://schemas.openxmlformats.org/officeDocument/2006/customXml" ds:itemID="{DDEAE5DB-4DDA-4AC5-A746-DD2D7281AD14}"/>
</file>

<file path=docProps/app.xml><?xml version="1.0" encoding="utf-8"?>
<Properties xmlns="http://schemas.openxmlformats.org/officeDocument/2006/extended-properties" xmlns:vt="http://schemas.openxmlformats.org/officeDocument/2006/docPropsVTypes">
  <Template>Normal.dotm</Template>
  <TotalTime>0</TotalTime>
  <Pages>1</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2020-10-06T07:51:00Z</dcterms:created>
  <dcterms:modified xsi:type="dcterms:W3CDTF">2020-10-06T07:51:00Z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47800/14</vt:lpwstr>
  </property>
  <property fmtid="{D5CDD505-2E9C-101B-9397-08002B2CF9AE}" pid="4" name="CASEID">
    <vt:lpwstr>1029525</vt:lpwstr>
  </property>
  <property fmtid="{D5CDD505-2E9C-101B-9397-08002B2CF9AE}" pid="5" name="ContentTypeId">
    <vt:lpwstr>0x010100558EB02BDB9E204AB350EDD385B68E10</vt:lpwstr>
  </property>
</Properties>
</file>