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F3" w:rsidRPr="000031CE" w:rsidRDefault="00D420F3" w:rsidP="00B66F11">
      <w:pPr>
        <w:pStyle w:val="ECHRDecisionBody"/>
        <w:rPr>
          <w:lang w:val="ru-RU"/>
        </w:rPr>
      </w:pPr>
      <w:bookmarkStart w:id="0" w:name="_GoBack"/>
      <w:bookmarkEnd w:id="0"/>
    </w:p>
    <w:p w:rsidR="00001B17" w:rsidRPr="00B66F11" w:rsidRDefault="00001B17" w:rsidP="00B66F11">
      <w:pPr>
        <w:pStyle w:val="ECHRDecisionBody"/>
      </w:pPr>
    </w:p>
    <w:p w:rsidR="00001B17" w:rsidRPr="00B66F11" w:rsidRDefault="00001B17" w:rsidP="00B66F11">
      <w:pPr>
        <w:pStyle w:val="ECHRDecisionBody"/>
      </w:pPr>
    </w:p>
    <w:p w:rsidR="00D420F3" w:rsidRPr="00B66F11" w:rsidRDefault="00943334" w:rsidP="00B66F11">
      <w:pPr>
        <w:jc w:val="center"/>
        <w:rPr>
          <w:lang w:val="en-GB"/>
        </w:rPr>
      </w:pPr>
      <w:r w:rsidRPr="00B66F11">
        <w:rPr>
          <w:lang w:val="en-GB"/>
        </w:rPr>
        <w:t>THIRD SECTION</w:t>
      </w:r>
    </w:p>
    <w:p w:rsidR="00D420F3" w:rsidRPr="00B66F11" w:rsidRDefault="00D420F3" w:rsidP="00B66F11">
      <w:pPr>
        <w:jc w:val="center"/>
        <w:rPr>
          <w:lang w:val="en-GB"/>
        </w:rPr>
      </w:pPr>
    </w:p>
    <w:p w:rsidR="00001B17" w:rsidRPr="00B66F11" w:rsidRDefault="00001B17" w:rsidP="00B66F11">
      <w:pPr>
        <w:jc w:val="center"/>
        <w:rPr>
          <w:lang w:val="en-GB"/>
        </w:rPr>
      </w:pPr>
    </w:p>
    <w:p w:rsidR="00001B17" w:rsidRPr="00B66F11" w:rsidRDefault="00001B17" w:rsidP="00B66F11">
      <w:pPr>
        <w:jc w:val="center"/>
        <w:rPr>
          <w:lang w:val="en-GB"/>
        </w:rPr>
      </w:pPr>
    </w:p>
    <w:p w:rsidR="00001B17" w:rsidRPr="00B66F11" w:rsidRDefault="00001B17" w:rsidP="00B66F11">
      <w:pPr>
        <w:jc w:val="center"/>
        <w:rPr>
          <w:lang w:val="en-GB"/>
        </w:rPr>
      </w:pPr>
    </w:p>
    <w:p w:rsidR="005011D5" w:rsidRPr="00B66F11" w:rsidRDefault="005011D5" w:rsidP="00B66F11">
      <w:pPr>
        <w:jc w:val="center"/>
        <w:rPr>
          <w:lang w:val="en-GB"/>
        </w:rPr>
      </w:pPr>
    </w:p>
    <w:p w:rsidR="005011D5" w:rsidRPr="00B66F11" w:rsidRDefault="005011D5" w:rsidP="00B66F11">
      <w:pPr>
        <w:jc w:val="center"/>
        <w:rPr>
          <w:lang w:val="en-GB"/>
        </w:rPr>
      </w:pPr>
    </w:p>
    <w:p w:rsidR="00001B17" w:rsidRPr="00B66F11" w:rsidRDefault="00001B17" w:rsidP="00B66F11">
      <w:pPr>
        <w:jc w:val="center"/>
        <w:rPr>
          <w:lang w:val="en-GB"/>
        </w:rPr>
      </w:pPr>
    </w:p>
    <w:p w:rsidR="00001B17" w:rsidRPr="00B66F11" w:rsidRDefault="00001B17" w:rsidP="00B66F11">
      <w:pPr>
        <w:jc w:val="center"/>
        <w:rPr>
          <w:lang w:val="en-GB"/>
        </w:rPr>
      </w:pPr>
    </w:p>
    <w:p w:rsidR="00D420F3" w:rsidRPr="00B66F11" w:rsidRDefault="0077175D" w:rsidP="00B66F11">
      <w:pPr>
        <w:jc w:val="center"/>
        <w:rPr>
          <w:b/>
          <w:lang w:val="en-GB"/>
        </w:rPr>
      </w:pPr>
      <w:bookmarkStart w:id="1" w:name="To"/>
      <w:r w:rsidRPr="00B66F11">
        <w:rPr>
          <w:b/>
          <w:lang w:val="en-GB"/>
        </w:rPr>
        <w:t xml:space="preserve">CASE OF </w:t>
      </w:r>
      <w:bookmarkEnd w:id="1"/>
      <w:r w:rsidR="00943334" w:rsidRPr="00B66F11">
        <w:rPr>
          <w:b/>
          <w:lang w:val="en-GB"/>
        </w:rPr>
        <w:t>KONSTANTINOVA AND OTHERS v. RUSSIA</w:t>
      </w:r>
    </w:p>
    <w:p w:rsidR="00D420F3" w:rsidRPr="00B66F11" w:rsidRDefault="00D420F3" w:rsidP="00B66F11">
      <w:pPr>
        <w:jc w:val="center"/>
        <w:rPr>
          <w:lang w:val="en-GB"/>
        </w:rPr>
      </w:pPr>
    </w:p>
    <w:p w:rsidR="00D420F3" w:rsidRPr="00B66F11" w:rsidRDefault="0077175D" w:rsidP="00B66F11">
      <w:pPr>
        <w:jc w:val="center"/>
        <w:rPr>
          <w:i/>
          <w:lang w:val="en-GB"/>
        </w:rPr>
      </w:pPr>
      <w:r w:rsidRPr="00B66F11">
        <w:rPr>
          <w:i/>
          <w:lang w:val="en-GB"/>
        </w:rPr>
        <w:t>(</w:t>
      </w:r>
      <w:r w:rsidR="00943334" w:rsidRPr="00B66F11">
        <w:rPr>
          <w:i/>
          <w:lang w:val="en-GB"/>
        </w:rPr>
        <w:t>Application no. 60708/13</w:t>
      </w:r>
      <w:r w:rsidRPr="00B66F11">
        <w:rPr>
          <w:i/>
          <w:lang w:val="en-GB"/>
        </w:rPr>
        <w:t>)</w:t>
      </w:r>
    </w:p>
    <w:p w:rsidR="00D420F3" w:rsidRPr="00B66F11" w:rsidRDefault="00D420F3" w:rsidP="00B66F11">
      <w:pPr>
        <w:jc w:val="center"/>
        <w:rPr>
          <w:lang w:val="en-GB"/>
        </w:rPr>
      </w:pPr>
    </w:p>
    <w:p w:rsidR="00D420F3" w:rsidRPr="00B66F11" w:rsidRDefault="00D420F3" w:rsidP="00B66F11">
      <w:pPr>
        <w:jc w:val="center"/>
        <w:rPr>
          <w:lang w:val="en-GB"/>
        </w:rPr>
      </w:pPr>
    </w:p>
    <w:p w:rsidR="00D420F3" w:rsidRPr="00B66F11" w:rsidRDefault="00D420F3" w:rsidP="00B66F11">
      <w:pPr>
        <w:jc w:val="center"/>
        <w:rPr>
          <w:lang w:val="en-GB"/>
        </w:rPr>
      </w:pPr>
    </w:p>
    <w:p w:rsidR="00D420F3" w:rsidRPr="00B66F11" w:rsidRDefault="00D420F3" w:rsidP="00B66F11">
      <w:pPr>
        <w:jc w:val="center"/>
        <w:rPr>
          <w:lang w:val="en-GB"/>
        </w:rPr>
      </w:pPr>
    </w:p>
    <w:p w:rsidR="005011D5" w:rsidRPr="00B66F11" w:rsidRDefault="005011D5" w:rsidP="00B66F11">
      <w:pPr>
        <w:jc w:val="center"/>
        <w:rPr>
          <w:lang w:val="en-GB"/>
        </w:rPr>
      </w:pPr>
    </w:p>
    <w:p w:rsidR="005011D5" w:rsidRPr="00B66F11" w:rsidRDefault="005011D5" w:rsidP="00B66F11">
      <w:pPr>
        <w:jc w:val="center"/>
        <w:rPr>
          <w:lang w:val="en-GB"/>
        </w:rPr>
      </w:pPr>
    </w:p>
    <w:p w:rsidR="005011D5" w:rsidRPr="00B66F11" w:rsidRDefault="005011D5" w:rsidP="00B66F11">
      <w:pPr>
        <w:jc w:val="center"/>
        <w:rPr>
          <w:lang w:val="en-GB"/>
        </w:rPr>
      </w:pPr>
    </w:p>
    <w:p w:rsidR="005011D5" w:rsidRPr="00B66F11" w:rsidRDefault="005011D5" w:rsidP="00B66F11">
      <w:pPr>
        <w:jc w:val="center"/>
        <w:rPr>
          <w:lang w:val="en-GB"/>
        </w:rPr>
      </w:pPr>
    </w:p>
    <w:p w:rsidR="00D420F3" w:rsidRPr="00B66F11" w:rsidRDefault="00D420F3" w:rsidP="00B66F11">
      <w:pPr>
        <w:jc w:val="center"/>
        <w:rPr>
          <w:lang w:val="en-GB"/>
        </w:rPr>
      </w:pPr>
    </w:p>
    <w:p w:rsidR="00D420F3" w:rsidRPr="00B66F11" w:rsidRDefault="00D420F3" w:rsidP="00B66F11">
      <w:pPr>
        <w:jc w:val="center"/>
        <w:rPr>
          <w:lang w:val="en-GB"/>
        </w:rPr>
      </w:pPr>
    </w:p>
    <w:p w:rsidR="00D420F3" w:rsidRPr="00B66F11" w:rsidRDefault="00001B17" w:rsidP="00B66F11">
      <w:pPr>
        <w:jc w:val="center"/>
        <w:rPr>
          <w:szCs w:val="24"/>
          <w:lang w:val="en-GB"/>
        </w:rPr>
      </w:pPr>
      <w:r w:rsidRPr="00B66F11">
        <w:rPr>
          <w:szCs w:val="24"/>
          <w:lang w:val="en-GB"/>
        </w:rPr>
        <w:t>JUDGMENT</w:t>
      </w:r>
    </w:p>
    <w:p w:rsidR="00001B17" w:rsidRPr="00B66F11" w:rsidRDefault="00001B17" w:rsidP="00B66F11">
      <w:pPr>
        <w:pStyle w:val="JuCase"/>
        <w:ind w:firstLine="0"/>
        <w:jc w:val="center"/>
        <w:rPr>
          <w:b w:val="0"/>
          <w:lang w:val="en-GB"/>
        </w:rPr>
      </w:pPr>
    </w:p>
    <w:p w:rsidR="00001B17" w:rsidRPr="00B66F11" w:rsidRDefault="00001B17" w:rsidP="00B66F11">
      <w:pPr>
        <w:pStyle w:val="JuCase"/>
        <w:ind w:firstLine="0"/>
        <w:jc w:val="center"/>
        <w:rPr>
          <w:b w:val="0"/>
          <w:lang w:val="en-GB"/>
        </w:rPr>
      </w:pPr>
    </w:p>
    <w:p w:rsidR="00001B17" w:rsidRPr="00B66F11" w:rsidRDefault="00001B17" w:rsidP="00B66F11">
      <w:pPr>
        <w:pStyle w:val="JuCase"/>
        <w:ind w:firstLine="0"/>
        <w:jc w:val="center"/>
        <w:rPr>
          <w:b w:val="0"/>
          <w:lang w:val="en-GB"/>
        </w:rPr>
      </w:pPr>
      <w:r w:rsidRPr="00B66F11">
        <w:rPr>
          <w:b w:val="0"/>
          <w:lang w:val="en-GB"/>
        </w:rPr>
        <w:t>STRASBOURG</w:t>
      </w:r>
    </w:p>
    <w:p w:rsidR="00001B17" w:rsidRPr="00B66F11" w:rsidRDefault="00001B17" w:rsidP="00B66F11">
      <w:pPr>
        <w:pStyle w:val="JuCase"/>
        <w:ind w:firstLine="0"/>
        <w:jc w:val="center"/>
        <w:rPr>
          <w:b w:val="0"/>
          <w:lang w:val="en-GB"/>
        </w:rPr>
      </w:pPr>
    </w:p>
    <w:p w:rsidR="00001B17" w:rsidRPr="00B66F11" w:rsidRDefault="00001B17" w:rsidP="00B66F11">
      <w:pPr>
        <w:pStyle w:val="JuCase"/>
        <w:ind w:firstLine="0"/>
        <w:jc w:val="center"/>
        <w:rPr>
          <w:b w:val="0"/>
          <w:lang w:val="en-GB"/>
        </w:rPr>
      </w:pPr>
      <w:r w:rsidRPr="00B66F11">
        <w:rPr>
          <w:b w:val="0"/>
          <w:lang w:val="en-GB"/>
        </w:rPr>
        <w:t>5 February 2019</w:t>
      </w:r>
    </w:p>
    <w:p w:rsidR="00001B17" w:rsidRPr="00B66F11" w:rsidRDefault="00001B17" w:rsidP="00B66F11">
      <w:pPr>
        <w:pStyle w:val="JuCase"/>
        <w:ind w:firstLine="0"/>
        <w:jc w:val="center"/>
        <w:rPr>
          <w:b w:val="0"/>
          <w:lang w:val="en-GB"/>
        </w:rPr>
      </w:pPr>
    </w:p>
    <w:p w:rsidR="00B50C91" w:rsidRPr="00B66F11" w:rsidRDefault="00B50C91" w:rsidP="00B66F11">
      <w:pPr>
        <w:pStyle w:val="ECHRPara"/>
      </w:pPr>
    </w:p>
    <w:p w:rsidR="00001B17" w:rsidRPr="00B66F11" w:rsidRDefault="00001B17" w:rsidP="00B66F11">
      <w:pPr>
        <w:pStyle w:val="JuCase"/>
        <w:ind w:firstLine="0"/>
        <w:jc w:val="center"/>
        <w:rPr>
          <w:b w:val="0"/>
          <w:lang w:val="en-GB"/>
        </w:rPr>
      </w:pPr>
    </w:p>
    <w:p w:rsidR="00B50C91" w:rsidRPr="00B66F11" w:rsidRDefault="00B50C91" w:rsidP="00B66F11">
      <w:pPr>
        <w:pStyle w:val="ECHRPara"/>
      </w:pPr>
    </w:p>
    <w:p w:rsidR="00B50C91" w:rsidRPr="00B66F11" w:rsidRDefault="00001B17" w:rsidP="00B66F11">
      <w:pPr>
        <w:pStyle w:val="JuCase"/>
        <w:ind w:firstLine="0"/>
        <w:jc w:val="left"/>
        <w:rPr>
          <w:b w:val="0"/>
          <w:i/>
          <w:sz w:val="22"/>
          <w:lang w:val="en-GB"/>
        </w:rPr>
      </w:pPr>
      <w:r w:rsidRPr="00B66F11">
        <w:rPr>
          <w:b w:val="0"/>
          <w:i/>
          <w:sz w:val="22"/>
          <w:lang w:val="en-GB"/>
        </w:rPr>
        <w:t>This judgment is final but it may be subject to editorial revision.</w:t>
      </w:r>
    </w:p>
    <w:p w:rsidR="00B50C91" w:rsidRPr="00B66F11" w:rsidRDefault="00B50C91" w:rsidP="00B66F11">
      <w:pPr>
        <w:pStyle w:val="ECHRPara"/>
      </w:pPr>
    </w:p>
    <w:p w:rsidR="00B50C91" w:rsidRPr="00B66F11" w:rsidRDefault="00B50C91" w:rsidP="00B66F11">
      <w:pPr>
        <w:pStyle w:val="ECHRPara"/>
        <w:sectPr w:rsidR="00B50C91" w:rsidRPr="00B66F11" w:rsidSect="00001B1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2274" w:right="2274" w:bottom="2274" w:left="2274" w:header="1701" w:footer="720" w:gutter="0"/>
          <w:pgNumType w:start="1"/>
          <w:cols w:space="720"/>
          <w:titlePg/>
          <w:docGrid w:linePitch="326"/>
        </w:sectPr>
      </w:pPr>
    </w:p>
    <w:p w:rsidR="00D420F3" w:rsidRPr="00B66F11" w:rsidRDefault="0077175D" w:rsidP="00B66F11">
      <w:pPr>
        <w:pStyle w:val="JuCase"/>
        <w:rPr>
          <w:bCs/>
          <w:lang w:val="en-GB"/>
        </w:rPr>
      </w:pPr>
      <w:r w:rsidRPr="00B66F11">
        <w:rPr>
          <w:lang w:val="en-GB"/>
        </w:rPr>
        <w:lastRenderedPageBreak/>
        <w:t xml:space="preserve">In the case of </w:t>
      </w:r>
      <w:r w:rsidR="00943334" w:rsidRPr="00B66F11">
        <w:rPr>
          <w:lang w:val="en-GB"/>
        </w:rPr>
        <w:t>Konstantinova and Others v. Russia</w:t>
      </w:r>
      <w:r w:rsidRPr="00B66F11">
        <w:rPr>
          <w:lang w:val="en-GB"/>
        </w:rPr>
        <w:t>,</w:t>
      </w:r>
    </w:p>
    <w:p w:rsidR="00D420F3" w:rsidRPr="00B66F11" w:rsidRDefault="0077175D" w:rsidP="00B66F11">
      <w:pPr>
        <w:pStyle w:val="ECHRPara"/>
      </w:pPr>
      <w:r w:rsidRPr="00B66F11">
        <w:t>The European Court of Human Rights (</w:t>
      </w:r>
      <w:r w:rsidR="00943334" w:rsidRPr="00B66F11">
        <w:t>Third Section</w:t>
      </w:r>
      <w:r w:rsidRPr="00B66F11">
        <w:t xml:space="preserve">), sitting as a </w:t>
      </w:r>
      <w:r w:rsidR="00943334" w:rsidRPr="00B66F11">
        <w:t>Committee</w:t>
      </w:r>
      <w:r w:rsidRPr="00B66F11">
        <w:t xml:space="preserve"> composed of:</w:t>
      </w:r>
    </w:p>
    <w:p w:rsidR="00D420F3" w:rsidRPr="00B66F11" w:rsidRDefault="00DF047D" w:rsidP="00B66F11">
      <w:pPr>
        <w:pStyle w:val="ECHRDecisionBody"/>
      </w:pPr>
      <w:r w:rsidRPr="00B66F11">
        <w:tab/>
        <w:t>Branko Lubarda,</w:t>
      </w:r>
      <w:r w:rsidRPr="00B66F11">
        <w:rPr>
          <w:i/>
        </w:rPr>
        <w:t xml:space="preserve"> President,</w:t>
      </w:r>
      <w:r w:rsidRPr="00B66F11">
        <w:rPr>
          <w:i/>
        </w:rPr>
        <w:br/>
      </w:r>
      <w:r w:rsidRPr="00B66F11">
        <w:tab/>
        <w:t>Pere Pastor Vilanova,</w:t>
      </w:r>
      <w:r w:rsidRPr="00B66F11">
        <w:rPr>
          <w:i/>
        </w:rPr>
        <w:br/>
      </w:r>
      <w:r w:rsidRPr="00B66F11">
        <w:tab/>
        <w:t>Georgios A. Serghides,</w:t>
      </w:r>
      <w:r w:rsidRPr="00B66F11">
        <w:rPr>
          <w:i/>
        </w:rPr>
        <w:t xml:space="preserve"> judges,</w:t>
      </w:r>
      <w:r w:rsidR="0077175D" w:rsidRPr="00B66F11">
        <w:rPr>
          <w:szCs w:val="24"/>
        </w:rPr>
        <w:br/>
      </w:r>
      <w:r w:rsidR="0077175D" w:rsidRPr="00B66F11">
        <w:t xml:space="preserve">and </w:t>
      </w:r>
      <w:r w:rsidR="00943334" w:rsidRPr="00B66F11">
        <w:t>Fatoş Aracı</w:t>
      </w:r>
      <w:r w:rsidR="0077175D" w:rsidRPr="00B66F11">
        <w:t xml:space="preserve">, </w:t>
      </w:r>
      <w:r w:rsidR="00943334" w:rsidRPr="00B66F11">
        <w:rPr>
          <w:i/>
        </w:rPr>
        <w:t xml:space="preserve">Deputy Section </w:t>
      </w:r>
      <w:r w:rsidR="00943334" w:rsidRPr="00B66F11">
        <w:rPr>
          <w:i/>
          <w:iCs/>
        </w:rPr>
        <w:t>Registrar</w:t>
      </w:r>
      <w:r w:rsidR="0077175D" w:rsidRPr="00B66F11">
        <w:rPr>
          <w:i/>
        </w:rPr>
        <w:t>,</w:t>
      </w:r>
    </w:p>
    <w:p w:rsidR="00D420F3" w:rsidRPr="00B66F11" w:rsidRDefault="0077175D" w:rsidP="00B66F11">
      <w:pPr>
        <w:pStyle w:val="ECHRPara"/>
      </w:pPr>
      <w:r w:rsidRPr="00B66F11">
        <w:t xml:space="preserve">Having deliberated in private on </w:t>
      </w:r>
      <w:r w:rsidR="00DF047D" w:rsidRPr="00B66F11">
        <w:t>15 January 2019</w:t>
      </w:r>
      <w:r w:rsidRPr="00B66F11">
        <w:t>,</w:t>
      </w:r>
    </w:p>
    <w:p w:rsidR="00D420F3" w:rsidRPr="00B66F11" w:rsidRDefault="0077175D" w:rsidP="00B66F11">
      <w:pPr>
        <w:pStyle w:val="ECHRPara"/>
      </w:pPr>
      <w:r w:rsidRPr="00B66F11">
        <w:t>Delivers the following judgment, which was adopted on that date:</w:t>
      </w:r>
    </w:p>
    <w:p w:rsidR="00D420F3" w:rsidRPr="00B66F11" w:rsidRDefault="0077175D" w:rsidP="00B66F11">
      <w:pPr>
        <w:pStyle w:val="ECHRTitle1"/>
      </w:pPr>
      <w:r w:rsidRPr="00B66F11">
        <w:t>PROCEDURE</w:t>
      </w:r>
    </w:p>
    <w:p w:rsidR="00943334"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1</w:t>
      </w:r>
      <w:r w:rsidRPr="00B66F11">
        <w:fldChar w:fldCharType="end"/>
      </w:r>
      <w:r w:rsidR="0077175D" w:rsidRPr="00B66F11">
        <w:t xml:space="preserve">.  The case originated in </w:t>
      </w:r>
      <w:r w:rsidRPr="00B66F11">
        <w:t>an applicati</w:t>
      </w:r>
      <w:r w:rsidR="006A1B4C" w:rsidRPr="00B66F11">
        <w:t>on (no. </w:t>
      </w:r>
      <w:r w:rsidRPr="00B66F11">
        <w:t>60708/13)</w:t>
      </w:r>
      <w:r w:rsidR="0077175D" w:rsidRPr="00B66F11">
        <w:t xml:space="preserve"> against </w:t>
      </w:r>
      <w:r w:rsidRPr="00B66F11">
        <w:t>the Russian Federation</w:t>
      </w:r>
      <w:r w:rsidR="0077175D" w:rsidRPr="00B66F11">
        <w:t xml:space="preserve"> lodged with the </w:t>
      </w:r>
      <w:r w:rsidR="004E45EE" w:rsidRPr="00B66F11">
        <w:t>Court under Article </w:t>
      </w:r>
      <w:r w:rsidRPr="00B66F11">
        <w:t>34</w:t>
      </w:r>
      <w:r w:rsidR="0077175D" w:rsidRPr="00B66F11">
        <w:t xml:space="preserve"> of the Convention for the Protection of Human Rights and Fundamental Freedoms (“the Convention”) by </w:t>
      </w:r>
      <w:r w:rsidR="006054A9" w:rsidRPr="00B66F11">
        <w:t>five</w:t>
      </w:r>
      <w:r w:rsidRPr="00B66F11">
        <w:t xml:space="preserve"> Russian nationals (“the applicants”), on 15</w:t>
      </w:r>
      <w:r w:rsidR="006054A9" w:rsidRPr="00B66F11">
        <w:t> </w:t>
      </w:r>
      <w:r w:rsidRPr="00B66F11">
        <w:t>July 2013</w:t>
      </w:r>
      <w:r w:rsidR="0077175D" w:rsidRPr="00B66F11">
        <w:t>.</w:t>
      </w:r>
    </w:p>
    <w:p w:rsidR="000D4CA9"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2</w:t>
      </w:r>
      <w:r w:rsidRPr="00B66F11">
        <w:fldChar w:fldCharType="end"/>
      </w:r>
      <w:r w:rsidR="0077175D" w:rsidRPr="00B66F11">
        <w:t>.  </w:t>
      </w:r>
      <w:r w:rsidR="006054A9" w:rsidRPr="00B66F11">
        <w:rPr>
          <w:rFonts w:ascii="Times New Roman" w:hAnsi="Times New Roman" w:cs="Times New Roman"/>
          <w:color w:val="000000"/>
        </w:rPr>
        <w:t>The Russian Government (“the Government”) were represented initially by Mr G. Matyushkin, the Representative of the Russian Federation to the European Court of Human Rights, and then by his successor in that office, Mr M. Galperin.</w:t>
      </w:r>
    </w:p>
    <w:p w:rsidR="006054A9"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3</w:t>
      </w:r>
      <w:r w:rsidRPr="00B66F11">
        <w:fldChar w:fldCharType="end"/>
      </w:r>
      <w:r w:rsidR="0077175D" w:rsidRPr="00B66F11">
        <w:t>.  </w:t>
      </w:r>
      <w:r w:rsidR="006054A9" w:rsidRPr="00B66F11">
        <w:t xml:space="preserve">In the wake of the pilot judgment in the case of </w:t>
      </w:r>
      <w:r w:rsidR="006054A9" w:rsidRPr="00B66F11">
        <w:rPr>
          <w:i/>
        </w:rPr>
        <w:t>Gerasimov</w:t>
      </w:r>
      <w:r w:rsidR="00146FB6" w:rsidRPr="00B66F11">
        <w:rPr>
          <w:i/>
        </w:rPr>
        <w:t xml:space="preserve"> and Others v. </w:t>
      </w:r>
      <w:r w:rsidR="006054A9" w:rsidRPr="00B66F11">
        <w:rPr>
          <w:i/>
        </w:rPr>
        <w:t>Russia</w:t>
      </w:r>
      <w:r w:rsidR="006054A9" w:rsidRPr="00B66F11">
        <w:t xml:space="preserve">, on </w:t>
      </w:r>
      <w:r w:rsidR="006054A9" w:rsidRPr="00B66F11">
        <w:rPr>
          <w:szCs w:val="24"/>
        </w:rPr>
        <w:t>24 November 2014</w:t>
      </w:r>
      <w:r w:rsidR="006054A9" w:rsidRPr="00B66F11">
        <w:t xml:space="preserve"> the application was communicated to the Government for settlement or resolution (see </w:t>
      </w:r>
      <w:r w:rsidR="006054A9" w:rsidRPr="00B66F11">
        <w:rPr>
          <w:i/>
        </w:rPr>
        <w:t>Gerasimov and Others</w:t>
      </w:r>
      <w:r w:rsidR="006054A9" w:rsidRPr="00B66F11">
        <w:t xml:space="preserve"> v. Russia, nos. 29920/05 and 10 others, §§ 230-31 and point 13 of the operative part, 1 July 2014). The Court adjourned for two years, that is until 1 October 2016, the proceedings in all cases concerning non-enforcement or delayed enforcement of domestic judgments imposing obligations in kind on the State authorities (ibid., § 232 and point 14 of the operative part).</w:t>
      </w:r>
    </w:p>
    <w:p w:rsidR="006054A9" w:rsidRPr="00B66F11" w:rsidRDefault="006054A9"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4</w:t>
      </w:r>
      <w:r w:rsidRPr="00B66F11">
        <w:fldChar w:fldCharType="end"/>
      </w:r>
      <w:r w:rsidRPr="00B66F11">
        <w:t>.  On 29</w:t>
      </w:r>
      <w:r w:rsidR="004E45EE" w:rsidRPr="00B66F11">
        <w:t> </w:t>
      </w:r>
      <w:r w:rsidRPr="00B66F11">
        <w:t>September 2016 the Government advised the Court that they were unable to settle the application within the above time-limit, as the domestic judgments in the applicants</w:t>
      </w:r>
      <w:r w:rsidR="00B66F11" w:rsidRPr="00B66F11">
        <w:t>’</w:t>
      </w:r>
      <w:r w:rsidRPr="00B66F11">
        <w:t xml:space="preserve"> favour had remained unenforced.</w:t>
      </w:r>
    </w:p>
    <w:p w:rsidR="006054A9" w:rsidRPr="00B66F11" w:rsidRDefault="006054A9"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5</w:t>
      </w:r>
      <w:r w:rsidRPr="00B66F11">
        <w:fldChar w:fldCharType="end"/>
      </w:r>
      <w:r w:rsidRPr="00B66F11">
        <w:t>.  Having regard to the expiry of the above-mentioned adjournment period, the Court has decided to resume the examination of the application. The Court informed the parties at the communication stage that the case, subject to settled case-law, would be allocated to the Committee.</w:t>
      </w:r>
    </w:p>
    <w:p w:rsidR="00D420F3" w:rsidRPr="00B66F11" w:rsidRDefault="0077175D" w:rsidP="00B66F11">
      <w:pPr>
        <w:pStyle w:val="ECHRTitle1"/>
      </w:pPr>
      <w:r w:rsidRPr="00B66F11">
        <w:lastRenderedPageBreak/>
        <w:t>THE FACTS</w:t>
      </w:r>
    </w:p>
    <w:p w:rsidR="00D420F3" w:rsidRPr="00B66F11" w:rsidRDefault="0077175D" w:rsidP="00B66F11">
      <w:pPr>
        <w:pStyle w:val="ECHRHeading1"/>
      </w:pPr>
      <w:r w:rsidRPr="00B66F11">
        <w:t>I.  THE CIRCUMSTANCES OF THE CASE</w:t>
      </w:r>
    </w:p>
    <w:p w:rsidR="000D4CA9"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6</w:t>
      </w:r>
      <w:r w:rsidRPr="00B66F11">
        <w:fldChar w:fldCharType="end"/>
      </w:r>
      <w:r w:rsidR="0077175D" w:rsidRPr="00B66F11">
        <w:t xml:space="preserve">.  The </w:t>
      </w:r>
      <w:r w:rsidR="006054A9" w:rsidRPr="00B66F11">
        <w:t>applicants are five Russian nationals. Their personal details are set out in the Appendix.</w:t>
      </w:r>
      <w:r w:rsidR="00AE701C" w:rsidRPr="00B66F11">
        <w:t xml:space="preserve"> They are members of one family.</w:t>
      </w:r>
    </w:p>
    <w:p w:rsidR="000D4CA9"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7</w:t>
      </w:r>
      <w:r w:rsidRPr="00B66F11">
        <w:fldChar w:fldCharType="end"/>
      </w:r>
      <w:r w:rsidR="0077175D" w:rsidRPr="00B66F11">
        <w:t>.  </w:t>
      </w:r>
      <w:r w:rsidR="002A0CEC" w:rsidRPr="00B66F11">
        <w:t>Since 1981 the applicants have lived</w:t>
      </w:r>
      <w:r w:rsidR="00E03F13" w:rsidRPr="00B66F11">
        <w:t xml:space="preserve"> in</w:t>
      </w:r>
      <w:r w:rsidR="00AE701C" w:rsidRPr="00B66F11">
        <w:t xml:space="preserve"> a flat in an apartment block </w:t>
      </w:r>
      <w:r w:rsidR="00E03F13" w:rsidRPr="00B66F11">
        <w:t>provided to them under</w:t>
      </w:r>
      <w:r w:rsidR="00286408" w:rsidRPr="00B66F11">
        <w:t xml:space="preserve"> a</w:t>
      </w:r>
      <w:r w:rsidR="00E03F13" w:rsidRPr="00B66F11">
        <w:t xml:space="preserve"> social tenancy agreement by the Ministry of Defence of the Russian Federation. </w:t>
      </w:r>
      <w:r w:rsidR="00AE701C" w:rsidRPr="00B66F11">
        <w:t xml:space="preserve">The landlord was under obligation to perform </w:t>
      </w:r>
      <w:r w:rsidR="008F1336" w:rsidRPr="00B66F11">
        <w:t xml:space="preserve">a </w:t>
      </w:r>
      <w:r w:rsidR="00AE701C" w:rsidRPr="00B66F11">
        <w:t xml:space="preserve">major overhaul of the apartment block, and the applicants had to make regular payments for </w:t>
      </w:r>
      <w:r w:rsidR="008F1336" w:rsidRPr="00B66F11">
        <w:t xml:space="preserve">the </w:t>
      </w:r>
      <w:r w:rsidR="00AE701C" w:rsidRPr="00B66F11">
        <w:t>major overhaul. They paid the amounts due</w:t>
      </w:r>
      <w:r w:rsidR="008645D5" w:rsidRPr="00B66F11">
        <w:t>. T</w:t>
      </w:r>
      <w:r w:rsidR="00AE701C" w:rsidRPr="00B66F11">
        <w:t>he overhaul had n</w:t>
      </w:r>
      <w:r w:rsidR="002A0CEC" w:rsidRPr="00B66F11">
        <w:t>ever</w:t>
      </w:r>
      <w:r w:rsidR="00AE701C" w:rsidRPr="00B66F11">
        <w:t xml:space="preserve"> been performed</w:t>
      </w:r>
      <w:r w:rsidR="00851325" w:rsidRPr="00B66F11">
        <w:t>, allegedly since 1935</w:t>
      </w:r>
      <w:r w:rsidR="00AE701C" w:rsidRPr="00B66F11">
        <w:t>.</w:t>
      </w:r>
    </w:p>
    <w:bookmarkStart w:id="2" w:name="Judgments2008"/>
    <w:p w:rsidR="00E03F13" w:rsidRPr="00B66F11" w:rsidRDefault="00FE0027"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8</w:t>
      </w:r>
      <w:r w:rsidRPr="00B66F11">
        <w:fldChar w:fldCharType="end"/>
      </w:r>
      <w:bookmarkEnd w:id="2"/>
      <w:r w:rsidRPr="00B66F11">
        <w:t>.  </w:t>
      </w:r>
      <w:r w:rsidR="006A1B4C" w:rsidRPr="00B66F11">
        <w:t xml:space="preserve">On the dates listed in the Appendix the Orenburgskiy District Court of the Orenburg Region </w:t>
      </w:r>
      <w:r w:rsidR="000D20AF" w:rsidRPr="00B66F11">
        <w:t>granted their claims, having noted from expert reports that the apartment block was “64</w:t>
      </w:r>
      <w:r w:rsidR="000D20AF" w:rsidRPr="00B66F11">
        <w:rPr>
          <w:rFonts w:hint="eastAsia"/>
        </w:rPr>
        <w:t>%</w:t>
      </w:r>
      <w:r w:rsidR="000016DE" w:rsidRPr="00B66F11">
        <w:rPr>
          <w:rFonts w:hint="eastAsia"/>
        </w:rPr>
        <w:t>‒</w:t>
      </w:r>
      <w:r w:rsidR="000D20AF" w:rsidRPr="00B66F11">
        <w:t xml:space="preserve">dilapidated” and </w:t>
      </w:r>
      <w:r w:rsidR="006E4038" w:rsidRPr="00B66F11">
        <w:t xml:space="preserve">its state was </w:t>
      </w:r>
      <w:r w:rsidR="000D20AF" w:rsidRPr="00B66F11">
        <w:t xml:space="preserve">“unsatisfactory”, </w:t>
      </w:r>
      <w:r w:rsidR="004E45EE" w:rsidRPr="00B66F11">
        <w:t xml:space="preserve">and </w:t>
      </w:r>
      <w:r w:rsidR="000016DE" w:rsidRPr="00B66F11">
        <w:t xml:space="preserve">that </w:t>
      </w:r>
      <w:r w:rsidR="000D20AF" w:rsidRPr="00B66F11">
        <w:t xml:space="preserve">the flat </w:t>
      </w:r>
      <w:r w:rsidR="00BC5210" w:rsidRPr="00B66F11">
        <w:t>was</w:t>
      </w:r>
      <w:r w:rsidR="000D20AF" w:rsidRPr="00B66F11">
        <w:t xml:space="preserve"> 64</w:t>
      </w:r>
      <w:r w:rsidR="000D20AF" w:rsidRPr="00B66F11">
        <w:rPr>
          <w:rFonts w:hint="eastAsia"/>
        </w:rPr>
        <w:t>%</w:t>
      </w:r>
      <w:r w:rsidR="000016DE" w:rsidRPr="00B66F11">
        <w:rPr>
          <w:rFonts w:hint="eastAsia"/>
        </w:rPr>
        <w:t>‒</w:t>
      </w:r>
      <w:r w:rsidR="000016DE" w:rsidRPr="00B66F11">
        <w:t>dilapidated</w:t>
      </w:r>
      <w:r w:rsidR="000D20AF" w:rsidRPr="00B66F11">
        <w:t xml:space="preserve">. The court </w:t>
      </w:r>
      <w:r w:rsidR="00BC5210" w:rsidRPr="00B66F11">
        <w:t xml:space="preserve">found </w:t>
      </w:r>
      <w:r w:rsidR="0014041C" w:rsidRPr="00B66F11">
        <w:t xml:space="preserve">that the </w:t>
      </w:r>
      <w:r w:rsidR="00BC5210" w:rsidRPr="00B66F11">
        <w:t>applicants</w:t>
      </w:r>
      <w:r w:rsidR="00B66F11" w:rsidRPr="00B66F11">
        <w:t>’</w:t>
      </w:r>
      <w:r w:rsidR="00BC5210" w:rsidRPr="00B66F11">
        <w:t xml:space="preserve"> </w:t>
      </w:r>
      <w:r w:rsidR="0014041C" w:rsidRPr="00B66F11">
        <w:t xml:space="preserve">living premises, as well as the common property of the apartment block required a major overhaul. The court </w:t>
      </w:r>
      <w:r w:rsidR="007E4A39" w:rsidRPr="00B66F11">
        <w:t xml:space="preserve">ordered </w:t>
      </w:r>
      <w:r w:rsidR="00AE701C" w:rsidRPr="00B66F11">
        <w:t xml:space="preserve">the Federal State Institution of the </w:t>
      </w:r>
      <w:r w:rsidR="00E7159A" w:rsidRPr="00B66F11">
        <w:t>Privolzhsko-Uralskiy M</w:t>
      </w:r>
      <w:r w:rsidR="00B519FC" w:rsidRPr="00B66F11">
        <w:t xml:space="preserve">ilitary </w:t>
      </w:r>
      <w:r w:rsidR="00E7159A" w:rsidRPr="00B66F11">
        <w:t>Circuit</w:t>
      </w:r>
      <w:r w:rsidR="00B519FC" w:rsidRPr="00B66F11">
        <w:t xml:space="preserve"> </w:t>
      </w:r>
      <w:r w:rsidR="00E03F13" w:rsidRPr="00B66F11">
        <w:t xml:space="preserve">to </w:t>
      </w:r>
      <w:r w:rsidR="00BC5210" w:rsidRPr="00B66F11">
        <w:t xml:space="preserve">perform </w:t>
      </w:r>
      <w:r w:rsidR="008F1336" w:rsidRPr="00B66F11">
        <w:t>the</w:t>
      </w:r>
      <w:r w:rsidRPr="00B66F11">
        <w:t xml:space="preserve"> </w:t>
      </w:r>
      <w:r w:rsidR="00E03F13" w:rsidRPr="00B66F11">
        <w:t xml:space="preserve">major overhaul of </w:t>
      </w:r>
      <w:r w:rsidR="002A0CEC" w:rsidRPr="00B66F11">
        <w:t>the applicants</w:t>
      </w:r>
      <w:r w:rsidR="00B66F11" w:rsidRPr="00B66F11">
        <w:t>’</w:t>
      </w:r>
      <w:r w:rsidR="002A0CEC" w:rsidRPr="00B66F11">
        <w:t xml:space="preserve"> flat</w:t>
      </w:r>
      <w:r w:rsidR="00B519FC" w:rsidRPr="00B66F11">
        <w:t>,</w:t>
      </w:r>
      <w:r w:rsidR="000D20AF" w:rsidRPr="00B66F11">
        <w:t xml:space="preserve"> as well as of the common property of the apartment block and </w:t>
      </w:r>
      <w:r w:rsidR="00286408" w:rsidRPr="00B66F11">
        <w:t xml:space="preserve">of the </w:t>
      </w:r>
      <w:r w:rsidR="000D20AF" w:rsidRPr="00B66F11">
        <w:t>“devices situated in the living premises and serving for provision of communal se</w:t>
      </w:r>
      <w:r w:rsidR="0005503E" w:rsidRPr="00B66F11">
        <w:t>rvices” in the apartment block</w:t>
      </w:r>
      <w:r w:rsidR="006E4038" w:rsidRPr="00B66F11">
        <w:t>,</w:t>
      </w:r>
      <w:r w:rsidR="0005503E" w:rsidRPr="00B66F11">
        <w:t xml:space="preserve"> </w:t>
      </w:r>
      <w:r w:rsidR="00B519FC" w:rsidRPr="00B66F11">
        <w:t xml:space="preserve">and to pay each </w:t>
      </w:r>
      <w:r w:rsidR="00286408" w:rsidRPr="00B66F11">
        <w:t>applicant</w:t>
      </w:r>
      <w:r w:rsidR="00B519FC" w:rsidRPr="00B66F11">
        <w:t xml:space="preserve"> 3,000 Russian </w:t>
      </w:r>
      <w:r w:rsidR="00A65FD2" w:rsidRPr="00B66F11">
        <w:t>roubles (RUB) in respect of non</w:t>
      </w:r>
      <w:r w:rsidR="00A65FD2" w:rsidRPr="00B66F11">
        <w:noBreakHyphen/>
      </w:r>
      <w:r w:rsidR="00B519FC" w:rsidRPr="00B66F11">
        <w:t>pecuniary damage.</w:t>
      </w:r>
    </w:p>
    <w:bookmarkStart w:id="3" w:name="Judgment09112011"/>
    <w:p w:rsidR="000D4CA9" w:rsidRPr="00B66F11" w:rsidRDefault="00DC00E0"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9</w:t>
      </w:r>
      <w:r w:rsidRPr="00B66F11">
        <w:fldChar w:fldCharType="end"/>
      </w:r>
      <w:bookmarkEnd w:id="3"/>
      <w:r w:rsidR="00286408" w:rsidRPr="00B66F11">
        <w:t>.  According to the applicant</w:t>
      </w:r>
      <w:r w:rsidRPr="00B66F11">
        <w:t>s</w:t>
      </w:r>
      <w:r w:rsidR="00B66F11" w:rsidRPr="00B66F11">
        <w:t>’</w:t>
      </w:r>
      <w:r w:rsidRPr="00B66F11">
        <w:t xml:space="preserve"> observations, on 9 November 2011 the Orenburgskiy District Court awarded </w:t>
      </w:r>
      <w:r w:rsidR="00286408" w:rsidRPr="00B66F11">
        <w:t xml:space="preserve">the claimants </w:t>
      </w:r>
      <w:r w:rsidRPr="00B66F11">
        <w:t>RUB 490,155.43</w:t>
      </w:r>
      <w:r w:rsidR="003619E4" w:rsidRPr="00B66F11">
        <w:t xml:space="preserve"> (approximately</w:t>
      </w:r>
      <w:r w:rsidR="00004C0E" w:rsidRPr="00B66F11">
        <w:t xml:space="preserve"> </w:t>
      </w:r>
      <w:r w:rsidR="003619E4" w:rsidRPr="00B66F11">
        <w:t>11.681</w:t>
      </w:r>
      <w:r w:rsidR="00004C0E" w:rsidRPr="00B66F11">
        <w:t xml:space="preserve"> </w:t>
      </w:r>
      <w:r w:rsidR="003619E4" w:rsidRPr="00B66F11">
        <w:t>euros)</w:t>
      </w:r>
      <w:r w:rsidRPr="00B66F11">
        <w:t xml:space="preserve"> </w:t>
      </w:r>
      <w:r w:rsidR="00FD67AF" w:rsidRPr="00B66F11">
        <w:t>of compensation of</w:t>
      </w:r>
      <w:r w:rsidR="003619E4" w:rsidRPr="00B66F11">
        <w:t xml:space="preserve"> losses</w:t>
      </w:r>
      <w:r w:rsidRPr="00B66F11">
        <w:t>. They did not enclose a copy of the judgment or further det</w:t>
      </w:r>
      <w:r w:rsidR="00BC5210" w:rsidRPr="00B66F11">
        <w:t>ails as to either the defendant</w:t>
      </w:r>
      <w:r w:rsidRPr="00B66F11">
        <w:t xml:space="preserve">, </w:t>
      </w:r>
      <w:r w:rsidR="00286408" w:rsidRPr="00B66F11">
        <w:t xml:space="preserve">or </w:t>
      </w:r>
      <w:r w:rsidRPr="00B66F11">
        <w:t xml:space="preserve">the exact list of claimants, the scope of the judgment </w:t>
      </w:r>
      <w:r w:rsidR="00B3455B" w:rsidRPr="00B66F11">
        <w:t>or</w:t>
      </w:r>
      <w:r w:rsidRPr="00B66F11">
        <w:t xml:space="preserve"> its subsequent challenge on appeal by any of the parties.</w:t>
      </w:r>
    </w:p>
    <w:p w:rsidR="00AE701C" w:rsidRPr="00B66F11" w:rsidRDefault="00031872"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10</w:t>
      </w:r>
      <w:r w:rsidRPr="00B66F11">
        <w:rPr>
          <w:noProof/>
        </w:rPr>
        <w:fldChar w:fldCharType="end"/>
      </w:r>
      <w:r w:rsidR="00AE701C" w:rsidRPr="00B66F11">
        <w:t>.  In 2012 Federal State Treasury Department (</w:t>
      </w:r>
      <w:r w:rsidR="00AE701C" w:rsidRPr="00B66F11">
        <w:rPr>
          <w:i/>
          <w:lang w:val="ru-RU"/>
        </w:rPr>
        <w:t>Управление</w:t>
      </w:r>
      <w:r w:rsidR="00AE701C" w:rsidRPr="00B66F11">
        <w:t>) of the Privolzhsko-Uralskiy Military Circuit became a legal successor of the debtor institution.</w:t>
      </w:r>
    </w:p>
    <w:p w:rsidR="002A0CEC" w:rsidRPr="00B66F11" w:rsidRDefault="00031872"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11</w:t>
      </w:r>
      <w:r w:rsidRPr="00B66F11">
        <w:rPr>
          <w:noProof/>
        </w:rPr>
        <w:fldChar w:fldCharType="end"/>
      </w:r>
      <w:r w:rsidR="002A0CEC" w:rsidRPr="00B66F11">
        <w:t xml:space="preserve">.  In 2012 the applicants sued various authorities </w:t>
      </w:r>
      <w:r w:rsidR="0005503E" w:rsidRPr="00B66F11">
        <w:t>for</w:t>
      </w:r>
      <w:r w:rsidR="002A0CEC" w:rsidRPr="00B66F11">
        <w:t xml:space="preserve"> penalt</w:t>
      </w:r>
      <w:r w:rsidR="0005503E" w:rsidRPr="00B66F11">
        <w:t xml:space="preserve">ies </w:t>
      </w:r>
      <w:r w:rsidR="002A0CEC" w:rsidRPr="00B66F11">
        <w:t xml:space="preserve">for several years of the non-enforcement. By the final judgment of 5 February 2013 the Orenburg Regional Court rejected their </w:t>
      </w:r>
      <w:r w:rsidR="00A10E47" w:rsidRPr="00B66F11">
        <w:t xml:space="preserve">claims </w:t>
      </w:r>
      <w:r w:rsidR="00FD67AF" w:rsidRPr="00B66F11">
        <w:t>in full, having found that they</w:t>
      </w:r>
      <w:r w:rsidR="00A10E47" w:rsidRPr="00B66F11">
        <w:t xml:space="preserve"> were based on an incorrect interpretation of the domestic law and</w:t>
      </w:r>
      <w:r w:rsidR="00286408" w:rsidRPr="00B66F11">
        <w:t xml:space="preserve"> that</w:t>
      </w:r>
      <w:r w:rsidR="00A10E47" w:rsidRPr="00B66F11">
        <w:t xml:space="preserve"> the</w:t>
      </w:r>
      <w:r w:rsidR="00FD67AF" w:rsidRPr="00B66F11">
        <w:t xml:space="preserve"> applicants</w:t>
      </w:r>
      <w:r w:rsidR="00A10E47" w:rsidRPr="00B66F11">
        <w:t xml:space="preserve"> had failed to submit a calculation </w:t>
      </w:r>
      <w:r w:rsidR="00FD67AF" w:rsidRPr="00B66F11">
        <w:t>of the penalty</w:t>
      </w:r>
      <w:r w:rsidR="00A10E47" w:rsidRPr="00B66F11">
        <w:t>.</w:t>
      </w:r>
    </w:p>
    <w:bookmarkStart w:id="4" w:name="HousingProgr2013"/>
    <w:p w:rsidR="006F78DE" w:rsidRPr="00B66F11" w:rsidRDefault="006F78DE"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12</w:t>
      </w:r>
      <w:r w:rsidRPr="00B66F11">
        <w:fldChar w:fldCharType="end"/>
      </w:r>
      <w:bookmarkEnd w:id="4"/>
      <w:r w:rsidRPr="00B66F11">
        <w:t>.  </w:t>
      </w:r>
      <w:r w:rsidR="006E4038" w:rsidRPr="00B66F11">
        <w:t>According to the Government, in</w:t>
      </w:r>
      <w:r w:rsidRPr="00B66F11">
        <w:t xml:space="preserve"> December 2013 the </w:t>
      </w:r>
      <w:r w:rsidR="00453040" w:rsidRPr="00B66F11">
        <w:t>applicant</w:t>
      </w:r>
      <w:r w:rsidR="00B66F11" w:rsidRPr="00B66F11">
        <w:t>’</w:t>
      </w:r>
      <w:r w:rsidR="00453040" w:rsidRPr="00B66F11">
        <w:t xml:space="preserve">s house was included in a regional </w:t>
      </w:r>
      <w:r w:rsidR="00D63615" w:rsidRPr="00B66F11">
        <w:t>housing overhaul assistance program</w:t>
      </w:r>
      <w:r w:rsidRPr="00B66F11">
        <w:t xml:space="preserve">. </w:t>
      </w:r>
      <w:r w:rsidR="00F2079B" w:rsidRPr="00B66F11">
        <w:t xml:space="preserve">The authorities prepared a </w:t>
      </w:r>
      <w:r w:rsidRPr="00B66F11">
        <w:t>project</w:t>
      </w:r>
      <w:r w:rsidR="009523BD" w:rsidRPr="00B66F11">
        <w:t xml:space="preserve"> and the</w:t>
      </w:r>
      <w:r w:rsidRPr="00B66F11">
        <w:t xml:space="preserve"> budget d</w:t>
      </w:r>
      <w:r w:rsidR="00286408" w:rsidRPr="00B66F11">
        <w:t>ocumentation</w:t>
      </w:r>
      <w:r w:rsidR="00F2079B" w:rsidRPr="00B66F11">
        <w:t>, which were</w:t>
      </w:r>
      <w:r w:rsidR="00286408" w:rsidRPr="00B66F11">
        <w:t xml:space="preserve"> approved by the experts.</w:t>
      </w:r>
    </w:p>
    <w:p w:rsidR="000D4CA9" w:rsidRPr="00B66F11" w:rsidRDefault="00031872" w:rsidP="00B66F11">
      <w:pPr>
        <w:pStyle w:val="ECHRPara"/>
      </w:pPr>
      <w:r w:rsidRPr="00B66F11">
        <w:lastRenderedPageBreak/>
        <w:fldChar w:fldCharType="begin"/>
      </w:r>
      <w:r w:rsidRPr="00B66F11">
        <w:instrText xml:space="preserve"> SEQ level0 \*arabic </w:instrText>
      </w:r>
      <w:r w:rsidRPr="00B66F11">
        <w:fldChar w:fldCharType="separate"/>
      </w:r>
      <w:r w:rsidR="00B66F11" w:rsidRPr="00B66F11">
        <w:rPr>
          <w:noProof/>
        </w:rPr>
        <w:t>13</w:t>
      </w:r>
      <w:r w:rsidRPr="00B66F11">
        <w:rPr>
          <w:noProof/>
        </w:rPr>
        <w:fldChar w:fldCharType="end"/>
      </w:r>
      <w:r w:rsidR="00B519FC" w:rsidRPr="00B66F11">
        <w:t>.  </w:t>
      </w:r>
      <w:r w:rsidR="00E7159A" w:rsidRPr="00B66F11">
        <w:t xml:space="preserve">On </w:t>
      </w:r>
      <w:r w:rsidR="00955FC9" w:rsidRPr="00B66F11">
        <w:t>13</w:t>
      </w:r>
      <w:r w:rsidR="00E7159A" w:rsidRPr="00B66F11">
        <w:t> April</w:t>
      </w:r>
      <w:r w:rsidR="00951E01" w:rsidRPr="00B66F11">
        <w:t xml:space="preserve"> 2015 Ms Konstantinova </w:t>
      </w:r>
      <w:r w:rsidR="00FD67AF" w:rsidRPr="00B66F11">
        <w:t xml:space="preserve">privatized the flat and acquired a </w:t>
      </w:r>
      <w:r w:rsidR="00951E01" w:rsidRPr="00B66F11">
        <w:t xml:space="preserve">title to </w:t>
      </w:r>
      <w:r w:rsidR="00FD67AF" w:rsidRPr="00B66F11">
        <w:t>it</w:t>
      </w:r>
      <w:r w:rsidR="00951E01" w:rsidRPr="00B66F11">
        <w:t>.</w:t>
      </w:r>
    </w:p>
    <w:bookmarkStart w:id="5" w:name="LatestEnfStatus"/>
    <w:p w:rsidR="00D420F3" w:rsidRPr="00B66F11" w:rsidRDefault="003D298D"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14</w:t>
      </w:r>
      <w:r w:rsidRPr="00B66F11">
        <w:fldChar w:fldCharType="end"/>
      </w:r>
      <w:bookmarkEnd w:id="5"/>
      <w:r w:rsidRPr="00B66F11">
        <w:t>.  </w:t>
      </w:r>
      <w:r w:rsidR="006F78DE" w:rsidRPr="00B66F11">
        <w:t>According to the Government</w:t>
      </w:r>
      <w:r w:rsidR="00B66F11" w:rsidRPr="00B66F11">
        <w:t>’</w:t>
      </w:r>
      <w:r w:rsidR="006F78DE" w:rsidRPr="00B66F11">
        <w:t xml:space="preserve">s </w:t>
      </w:r>
      <w:r w:rsidR="00FD67AF" w:rsidRPr="00B66F11">
        <w:t xml:space="preserve">latest </w:t>
      </w:r>
      <w:r w:rsidR="006F78DE" w:rsidRPr="00B66F11">
        <w:t>observations of 31 May 2017, t</w:t>
      </w:r>
      <w:r w:rsidRPr="00B66F11">
        <w:t>he judgment</w:t>
      </w:r>
      <w:r w:rsidR="006F78DE" w:rsidRPr="00B66F11">
        <w:t>s</w:t>
      </w:r>
      <w:r w:rsidRPr="00B66F11">
        <w:t xml:space="preserve"> had </w:t>
      </w:r>
      <w:r w:rsidR="00A10E47" w:rsidRPr="00B66F11">
        <w:t>remained unenforced</w:t>
      </w:r>
      <w:r w:rsidRPr="00B66F11">
        <w:t xml:space="preserve"> at the material time.</w:t>
      </w:r>
    </w:p>
    <w:p w:rsidR="00D420F3" w:rsidRPr="00B66F11" w:rsidRDefault="0077175D" w:rsidP="00B66F11">
      <w:pPr>
        <w:pStyle w:val="ECHRHeading1"/>
      </w:pPr>
      <w:r w:rsidRPr="00B66F11">
        <w:t xml:space="preserve">II.  RELEVANT DOMESTIC LAW </w:t>
      </w:r>
      <w:r w:rsidR="006C79F6" w:rsidRPr="00B66F11">
        <w:t>AND PRACTICE</w:t>
      </w:r>
    </w:p>
    <w:p w:rsidR="00FE1594" w:rsidRPr="00B66F11" w:rsidRDefault="00031872"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15</w:t>
      </w:r>
      <w:r w:rsidRPr="00B66F11">
        <w:rPr>
          <w:noProof/>
        </w:rPr>
        <w:fldChar w:fldCharType="end"/>
      </w:r>
      <w:r w:rsidR="0077175D" w:rsidRPr="00B66F11">
        <w:t>.</w:t>
      </w:r>
      <w:r w:rsidR="00E7159A" w:rsidRPr="00B66F11">
        <w:t>  </w:t>
      </w:r>
      <w:r w:rsidR="00FE1594" w:rsidRPr="00B66F11">
        <w:t xml:space="preserve">Article 210 of the Civil </w:t>
      </w:r>
      <w:r w:rsidR="00C86873" w:rsidRPr="00B66F11">
        <w:t>Code of the Russian Federation (</w:t>
      </w:r>
      <w:r w:rsidR="00FE1594" w:rsidRPr="00B66F11">
        <w:t>The Burden of Maintaining the Property</w:t>
      </w:r>
      <w:r w:rsidR="00C86873" w:rsidRPr="00B66F11">
        <w:t xml:space="preserve">) provides that the owner </w:t>
      </w:r>
      <w:r w:rsidR="00FE1594" w:rsidRPr="00B66F11">
        <w:t>bear</w:t>
      </w:r>
      <w:r w:rsidR="00C86873" w:rsidRPr="00B66F11">
        <w:t>s</w:t>
      </w:r>
      <w:r w:rsidR="00FE1594" w:rsidRPr="00B66F11">
        <w:t xml:space="preserve"> the burden of maintaining the property in his ownership, unless otherwise stipulated by the law or by the contract.</w:t>
      </w:r>
    </w:p>
    <w:p w:rsidR="00543B1A" w:rsidRPr="00B66F11" w:rsidRDefault="00A365C2"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16</w:t>
      </w:r>
      <w:r w:rsidRPr="00B66F11">
        <w:rPr>
          <w:noProof/>
        </w:rPr>
        <w:fldChar w:fldCharType="end"/>
      </w:r>
      <w:r w:rsidR="00543B1A" w:rsidRPr="00B66F11">
        <w:t>.  Article 158 of the Housing Code of the Russian Federation (Expenses of the owners of living premises in apartment blocks) sets out the modalities of the flats</w:t>
      </w:r>
      <w:r w:rsidR="00B66F11" w:rsidRPr="00B66F11">
        <w:t>’</w:t>
      </w:r>
      <w:r w:rsidR="00543B1A" w:rsidRPr="00B66F11">
        <w:t xml:space="preserve"> owners</w:t>
      </w:r>
      <w:r w:rsidR="00B66F11" w:rsidRPr="00B66F11">
        <w:t>’</w:t>
      </w:r>
      <w:r w:rsidR="00543B1A" w:rsidRPr="00B66F11">
        <w:t xml:space="preserve"> participation in major overhaul of the apartment blocks.</w:t>
      </w:r>
    </w:p>
    <w:bookmarkStart w:id="6" w:name="A16PrivatisationAct"/>
    <w:p w:rsidR="000D4CA9" w:rsidRPr="00B66F11" w:rsidRDefault="00FE159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17</w:t>
      </w:r>
      <w:r w:rsidRPr="00B66F11">
        <w:fldChar w:fldCharType="end"/>
      </w:r>
      <w:bookmarkEnd w:id="6"/>
      <w:r w:rsidRPr="00B66F11">
        <w:t>.  </w:t>
      </w:r>
      <w:r w:rsidR="00E7159A" w:rsidRPr="00B66F11">
        <w:t>Article 16 of the Privatisation of H</w:t>
      </w:r>
      <w:r w:rsidR="008645D5" w:rsidRPr="00B66F11">
        <w:t>ousing Act (Law no. 1541-I of 4 </w:t>
      </w:r>
      <w:r w:rsidR="00E7159A" w:rsidRPr="00B66F11">
        <w:t xml:space="preserve">July 1991, as in force at the material time) provided that </w:t>
      </w:r>
      <w:r w:rsidR="0007148C" w:rsidRPr="00B66F11">
        <w:t>privati</w:t>
      </w:r>
      <w:r w:rsidR="00286408" w:rsidRPr="00B66F11">
        <w:t>s</w:t>
      </w:r>
      <w:r w:rsidR="0007148C" w:rsidRPr="00B66F11">
        <w:t xml:space="preserve">ation of living premises requiring </w:t>
      </w:r>
      <w:r w:rsidR="006D3542" w:rsidRPr="00B66F11">
        <w:t xml:space="preserve">a </w:t>
      </w:r>
      <w:r w:rsidR="00C86873" w:rsidRPr="00B66F11">
        <w:t>major</w:t>
      </w:r>
      <w:r w:rsidR="0007148C" w:rsidRPr="00B66F11">
        <w:t xml:space="preserve"> overhaul (</w:t>
      </w:r>
      <w:r w:rsidR="0007148C" w:rsidRPr="00B66F11">
        <w:rPr>
          <w:i/>
          <w:lang w:val="ru-RU"/>
        </w:rPr>
        <w:t>требующих</w:t>
      </w:r>
      <w:r w:rsidR="0007148C" w:rsidRPr="00B66F11">
        <w:rPr>
          <w:i/>
        </w:rPr>
        <w:t xml:space="preserve"> </w:t>
      </w:r>
      <w:r w:rsidR="0007148C" w:rsidRPr="00B66F11">
        <w:rPr>
          <w:i/>
          <w:lang w:val="ru-RU"/>
        </w:rPr>
        <w:t>капитального</w:t>
      </w:r>
      <w:r w:rsidR="0007148C" w:rsidRPr="00B66F11">
        <w:rPr>
          <w:i/>
        </w:rPr>
        <w:t xml:space="preserve"> </w:t>
      </w:r>
      <w:r w:rsidR="0007148C" w:rsidRPr="00B66F11">
        <w:rPr>
          <w:i/>
          <w:lang w:val="ru-RU"/>
        </w:rPr>
        <w:t>ремонта</w:t>
      </w:r>
      <w:r w:rsidR="0007148C" w:rsidRPr="00B66F11">
        <w:t>) was conducted in accordance with the Act. T</w:t>
      </w:r>
      <w:r w:rsidR="00E7159A" w:rsidRPr="00B66F11">
        <w:t xml:space="preserve">he </w:t>
      </w:r>
      <w:r w:rsidR="00FE0027" w:rsidRPr="00B66F11">
        <w:t xml:space="preserve">former landlord remained under obligation to perform </w:t>
      </w:r>
      <w:r w:rsidR="0005503E" w:rsidRPr="00B66F11">
        <w:t>the major overhaul of a</w:t>
      </w:r>
      <w:r w:rsidR="00FE0027" w:rsidRPr="00B66F11">
        <w:t xml:space="preserve"> house in accordance with </w:t>
      </w:r>
      <w:r w:rsidR="00286408" w:rsidRPr="00B66F11">
        <w:t xml:space="preserve">the </w:t>
      </w:r>
      <w:r w:rsidR="00EA1A0F" w:rsidRPr="00B66F11">
        <w:t>norms on maintenance, exploitation and overhaul of the housing fund.</w:t>
      </w:r>
    </w:p>
    <w:bookmarkStart w:id="7" w:name="A30PrivatisationAct"/>
    <w:p w:rsidR="000D4CA9" w:rsidRPr="00B66F11" w:rsidRDefault="000B7BD7"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18</w:t>
      </w:r>
      <w:r w:rsidRPr="00B66F11">
        <w:fldChar w:fldCharType="end"/>
      </w:r>
      <w:bookmarkEnd w:id="7"/>
      <w:r w:rsidRPr="00B66F11">
        <w:t>.  </w:t>
      </w:r>
      <w:r w:rsidR="00761AB3" w:rsidRPr="00B66F11">
        <w:t xml:space="preserve">Article 30 of the </w:t>
      </w:r>
      <w:r w:rsidRPr="00B66F11">
        <w:t xml:space="preserve">Privatisation of Housing Act </w:t>
      </w:r>
      <w:r w:rsidR="00761AB3" w:rsidRPr="00B66F11">
        <w:t xml:space="preserve">provides that the burden of maintenance of the living premises </w:t>
      </w:r>
      <w:r w:rsidR="006C79F6" w:rsidRPr="00B66F11">
        <w:t>is</w:t>
      </w:r>
      <w:r w:rsidR="00761AB3" w:rsidRPr="00B66F11">
        <w:t xml:space="preserve"> on its owner.</w:t>
      </w:r>
    </w:p>
    <w:bookmarkStart w:id="8" w:name="SCReview2007q2"/>
    <w:p w:rsidR="000D4CA9" w:rsidRPr="00B66F11" w:rsidRDefault="006C79F6"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19</w:t>
      </w:r>
      <w:r w:rsidRPr="00B66F11">
        <w:fldChar w:fldCharType="end"/>
      </w:r>
      <w:bookmarkEnd w:id="8"/>
      <w:r w:rsidRPr="00B66F11">
        <w:t>.  </w:t>
      </w:r>
      <w:r w:rsidR="0014041C" w:rsidRPr="00B66F11">
        <w:t xml:space="preserve">In </w:t>
      </w:r>
      <w:r w:rsidR="0005503E" w:rsidRPr="00B66F11">
        <w:t xml:space="preserve">the </w:t>
      </w:r>
      <w:r w:rsidR="0014041C" w:rsidRPr="00B66F11">
        <w:t>Review of Legislati</w:t>
      </w:r>
      <w:r w:rsidR="00543B1A" w:rsidRPr="00B66F11">
        <w:t>on and Courts</w:t>
      </w:r>
      <w:r w:rsidR="00B66F11" w:rsidRPr="00B66F11">
        <w:t>’</w:t>
      </w:r>
      <w:r w:rsidR="00543B1A" w:rsidRPr="00B66F11">
        <w:t xml:space="preserve"> Practice for II Q</w:t>
      </w:r>
      <w:r w:rsidR="0014041C" w:rsidRPr="00B66F11">
        <w:t>uarter 2007 the Supreme Court of Russia clarified that, in line with a system</w:t>
      </w:r>
      <w:r w:rsidR="00543B1A" w:rsidRPr="00B66F11">
        <w:t>atic</w:t>
      </w:r>
      <w:r w:rsidR="0014041C" w:rsidRPr="00B66F11">
        <w:t xml:space="preserve"> interpretation of Article 16 of the </w:t>
      </w:r>
      <w:r w:rsidR="001E779A" w:rsidRPr="00B66F11">
        <w:t>Privatisation of Housing Act</w:t>
      </w:r>
      <w:r w:rsidR="0014041C" w:rsidRPr="00B66F11">
        <w:t xml:space="preserve">, Article 210 of the Civil Code and Article 158 of the Housing Code of Russia, once a landlord (a State or municipal authority) </w:t>
      </w:r>
      <w:r w:rsidR="0005503E" w:rsidRPr="00B66F11">
        <w:t>discharges of its</w:t>
      </w:r>
      <w:r w:rsidR="0014041C" w:rsidRPr="00B66F11">
        <w:t xml:space="preserve"> obligation to </w:t>
      </w:r>
      <w:r w:rsidR="0005503E" w:rsidRPr="00B66F11">
        <w:t xml:space="preserve">perform </w:t>
      </w:r>
      <w:r w:rsidR="0014041C" w:rsidRPr="00B66F11">
        <w:t xml:space="preserve">a major overhaul of living premises and </w:t>
      </w:r>
      <w:r w:rsidR="0005503E" w:rsidRPr="00B66F11">
        <w:t xml:space="preserve">common property in an </w:t>
      </w:r>
      <w:r w:rsidR="0014041C" w:rsidRPr="00B66F11">
        <w:t>apartment block, the owners of the flats (including citizens who had privatized the flats) bear responsibility for subsequent major overhauls.</w:t>
      </w:r>
    </w:p>
    <w:p w:rsidR="000D4CA9" w:rsidRPr="00B66F11" w:rsidRDefault="00543B1A"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20</w:t>
      </w:r>
      <w:r w:rsidRPr="00B66F11">
        <w:fldChar w:fldCharType="end"/>
      </w:r>
      <w:r w:rsidRPr="00B66F11">
        <w:t>.  The Constitutional Court</w:t>
      </w:r>
      <w:r w:rsidR="00750296" w:rsidRPr="00B66F11">
        <w:t xml:space="preserve"> of</w:t>
      </w:r>
      <w:r w:rsidR="001E779A" w:rsidRPr="00B66F11">
        <w:t xml:space="preserve"> the Russian Federation dealt with </w:t>
      </w:r>
      <w:r w:rsidR="006D3542" w:rsidRPr="00B66F11">
        <w:t xml:space="preserve">the question of </w:t>
      </w:r>
      <w:r w:rsidR="001E779A" w:rsidRPr="00B66F11">
        <w:t xml:space="preserve">constitutionality of Article 16 of the Privatisation of Housing Act in its </w:t>
      </w:r>
      <w:r w:rsidR="00A71AD8" w:rsidRPr="00B66F11">
        <w:t xml:space="preserve">decisions on inadmissibility </w:t>
      </w:r>
      <w:r w:rsidRPr="00B66F11">
        <w:t>N</w:t>
      </w:r>
      <w:r w:rsidR="00750296" w:rsidRPr="00B66F11">
        <w:t>o</w:t>
      </w:r>
      <w:r w:rsidRPr="00B66F11">
        <w:t>. 1334-O-O of 19 October 2010, No. </w:t>
      </w:r>
      <w:r w:rsidR="00004C0E" w:rsidRPr="00B66F11">
        <w:t>886</w:t>
      </w:r>
      <w:r w:rsidR="00004C0E" w:rsidRPr="00B66F11">
        <w:noBreakHyphen/>
        <w:t>O</w:t>
      </w:r>
      <w:r w:rsidR="00004C0E" w:rsidRPr="00B66F11">
        <w:noBreakHyphen/>
      </w:r>
      <w:r w:rsidR="00750296" w:rsidRPr="00B66F11">
        <w:t>O of 14 July 2011 and No. 389-О-О of 1 March 2012</w:t>
      </w:r>
      <w:r w:rsidR="001E779A" w:rsidRPr="00B66F11">
        <w:t xml:space="preserve">, and ruled, in particular, as follows. </w:t>
      </w:r>
      <w:r w:rsidR="0005503E" w:rsidRPr="00B66F11">
        <w:t xml:space="preserve">In </w:t>
      </w:r>
      <w:r w:rsidR="001E779A" w:rsidRPr="00B66F11">
        <w:t xml:space="preserve">order to provide additional guarantees of the right to privatisation for citizens residing in housing requiring </w:t>
      </w:r>
      <w:r w:rsidR="0005503E" w:rsidRPr="00B66F11">
        <w:t xml:space="preserve">a </w:t>
      </w:r>
      <w:r w:rsidR="001E779A" w:rsidRPr="00B66F11">
        <w:t xml:space="preserve">major overhaul, the federal legislator set out </w:t>
      </w:r>
      <w:r w:rsidR="0005503E" w:rsidRPr="00B66F11">
        <w:t>a</w:t>
      </w:r>
      <w:r w:rsidR="001E779A" w:rsidRPr="00B66F11">
        <w:t xml:space="preserve"> former landlord</w:t>
      </w:r>
      <w:r w:rsidR="00B66F11" w:rsidRPr="00B66F11">
        <w:t>’</w:t>
      </w:r>
      <w:r w:rsidR="001E779A" w:rsidRPr="00B66F11">
        <w:t>s obligation to perform major overhaul of a house in line with the maintenance, exploitation and overhaul norms (Article 16 of the Act). This provision aim</w:t>
      </w:r>
      <w:r w:rsidR="0005503E" w:rsidRPr="00B66F11">
        <w:t>ed</w:t>
      </w:r>
      <w:r w:rsidR="001E779A" w:rsidRPr="00B66F11">
        <w:t xml:space="preserve"> at protection of the property and housing rights of the citizens. </w:t>
      </w:r>
      <w:r w:rsidR="00BB312E" w:rsidRPr="00B66F11">
        <w:t>It</w:t>
      </w:r>
      <w:r w:rsidR="001E779A" w:rsidRPr="00B66F11">
        <w:t xml:space="preserve"> applie</w:t>
      </w:r>
      <w:r w:rsidR="0005503E" w:rsidRPr="00B66F11">
        <w:t>d</w:t>
      </w:r>
      <w:r w:rsidR="001E779A" w:rsidRPr="00B66F11">
        <w:t xml:space="preserve"> to all former landlords of the housing subject to privatisation and </w:t>
      </w:r>
      <w:r w:rsidR="001E779A" w:rsidRPr="00B66F11">
        <w:lastRenderedPageBreak/>
        <w:t>requiring major overhaul, without any exception, irrespective</w:t>
      </w:r>
      <w:r w:rsidR="00286408" w:rsidRPr="00B66F11">
        <w:t>ly</w:t>
      </w:r>
      <w:r w:rsidR="001E779A" w:rsidRPr="00B66F11">
        <w:t xml:space="preserve"> of the State or municipalities</w:t>
      </w:r>
      <w:r w:rsidR="00B66F11" w:rsidRPr="00B66F11">
        <w:t>’</w:t>
      </w:r>
      <w:r w:rsidR="00286408" w:rsidRPr="00B66F11">
        <w:t xml:space="preserve"> previous ownership of the housing concerned</w:t>
      </w:r>
      <w:r w:rsidR="001E779A" w:rsidRPr="00B66F11">
        <w:t>.</w:t>
      </w:r>
    </w:p>
    <w:p w:rsidR="00D420F3" w:rsidRPr="00B66F11" w:rsidRDefault="0077175D" w:rsidP="00B66F11">
      <w:pPr>
        <w:pStyle w:val="ECHRTitle1"/>
      </w:pPr>
      <w:r w:rsidRPr="00B66F11">
        <w:t>THE LAW</w:t>
      </w:r>
    </w:p>
    <w:p w:rsidR="00D420F3" w:rsidRPr="00B66F11" w:rsidRDefault="0077175D" w:rsidP="00B66F11">
      <w:pPr>
        <w:pStyle w:val="ECHRHeading1"/>
      </w:pPr>
      <w:r w:rsidRPr="00B66F11">
        <w:t>I</w:t>
      </w:r>
      <w:r w:rsidR="007E4A39" w:rsidRPr="00B66F11">
        <w:t>.  ALLEGED VIOLATION OF ARTICLE 6</w:t>
      </w:r>
      <w:r w:rsidRPr="00B66F11">
        <w:t xml:space="preserve"> OF THE CONVENTION</w:t>
      </w:r>
      <w:r w:rsidR="00A65FD2" w:rsidRPr="00B66F11">
        <w:t xml:space="preserve"> AND ARTICLE 1 No</w:t>
      </w:r>
      <w:r w:rsidR="00004C0E" w:rsidRPr="00B66F11">
        <w:t>. 1 THERETO ON ACCOUNT OF NON</w:t>
      </w:r>
      <w:r w:rsidR="00004C0E" w:rsidRPr="00B66F11">
        <w:noBreakHyphen/>
      </w:r>
      <w:r w:rsidR="007E4A39" w:rsidRPr="00B66F11">
        <w:t>ENFORCMENT</w:t>
      </w:r>
    </w:p>
    <w:p w:rsidR="00D420F3"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21</w:t>
      </w:r>
      <w:r w:rsidRPr="00B66F11">
        <w:fldChar w:fldCharType="end"/>
      </w:r>
      <w:r w:rsidR="0077175D" w:rsidRPr="00B66F11">
        <w:t>.  The applicant</w:t>
      </w:r>
      <w:r w:rsidRPr="00B66F11">
        <w:t>s</w:t>
      </w:r>
      <w:r w:rsidR="0077175D" w:rsidRPr="00B66F11">
        <w:t xml:space="preserve"> </w:t>
      </w:r>
      <w:r w:rsidR="00216721" w:rsidRPr="00B66F11">
        <w:t>complained about the non-enforcement of the judgment</w:t>
      </w:r>
      <w:r w:rsidR="00D77F13" w:rsidRPr="00B66F11">
        <w:t>s</w:t>
      </w:r>
      <w:r w:rsidR="00216721" w:rsidRPr="00B66F11">
        <w:t xml:space="preserve"> in their favour referring to Article 6</w:t>
      </w:r>
      <w:r w:rsidR="0077175D" w:rsidRPr="00B66F11">
        <w:t xml:space="preserve"> of the Convention</w:t>
      </w:r>
      <w:r w:rsidR="00216721" w:rsidRPr="00B66F11">
        <w:t xml:space="preserve"> and Article 1 of Protocol No.</w:t>
      </w:r>
      <w:r w:rsidR="00A80646" w:rsidRPr="00B66F11">
        <w:t xml:space="preserve"> </w:t>
      </w:r>
      <w:r w:rsidR="00216721" w:rsidRPr="00B66F11">
        <w:t>1</w:t>
      </w:r>
      <w:r w:rsidR="0077175D" w:rsidRPr="00B66F11">
        <w:t>, which read as follows:</w:t>
      </w:r>
    </w:p>
    <w:p w:rsidR="007E4A39" w:rsidRPr="00B66F11" w:rsidRDefault="007E4A39" w:rsidP="00B66F11">
      <w:pPr>
        <w:pStyle w:val="ECHRTitleCentre3"/>
      </w:pPr>
      <w:r w:rsidRPr="00B66F11">
        <w:t>Article 6</w:t>
      </w:r>
    </w:p>
    <w:p w:rsidR="007E4A39" w:rsidRPr="00B66F11" w:rsidRDefault="007E4A39" w:rsidP="00B66F11">
      <w:pPr>
        <w:pStyle w:val="ECHRParaQuote"/>
      </w:pPr>
      <w:r w:rsidRPr="00B66F11">
        <w:t>“In the determination of his civil rights and obligations ... everyone is entitled to a fair ... hearing ... by [a] ... tribunal ...”</w:t>
      </w:r>
    </w:p>
    <w:p w:rsidR="007E4A39" w:rsidRPr="00B66F11" w:rsidRDefault="007E4A39" w:rsidP="00B66F11">
      <w:pPr>
        <w:pStyle w:val="ECHRTitleCentre3"/>
      </w:pPr>
      <w:r w:rsidRPr="00B66F11">
        <w:t>Article 1 of Protocol No. 1</w:t>
      </w:r>
    </w:p>
    <w:p w:rsidR="007E4A39" w:rsidRPr="00B66F11" w:rsidRDefault="007E4A39" w:rsidP="00B66F11">
      <w:pPr>
        <w:pStyle w:val="ECHRParaQuote"/>
      </w:pPr>
      <w:r w:rsidRPr="00B66F11">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7E4A39" w:rsidRPr="00B66F11" w:rsidRDefault="007E4A39" w:rsidP="00B66F11">
      <w:pPr>
        <w:pStyle w:val="ECHRParaQuote"/>
      </w:pPr>
      <w:r w:rsidRPr="00B66F11">
        <w:t>The preceding provisions shall not, however, in any way impair the right of a State to enforce such laws as it deems necessary to control the use of property in accordance with the general interest or to secure the payment of taxes or other contributions or penalties.”</w:t>
      </w:r>
    </w:p>
    <w:bookmarkStart w:id="9" w:name="OBSG"/>
    <w:p w:rsidR="00D420F3"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22</w:t>
      </w:r>
      <w:r w:rsidRPr="00B66F11">
        <w:fldChar w:fldCharType="end"/>
      </w:r>
      <w:bookmarkEnd w:id="9"/>
      <w:r w:rsidR="0077175D" w:rsidRPr="00B66F11">
        <w:t xml:space="preserve">.  The Government </w:t>
      </w:r>
      <w:r w:rsidR="00FE0027" w:rsidRPr="00B66F11">
        <w:t>submitted that the judgm</w:t>
      </w:r>
      <w:r w:rsidR="00D77F13" w:rsidRPr="00B66F11">
        <w:t>ents</w:t>
      </w:r>
      <w:r w:rsidR="00216721" w:rsidRPr="00B66F11">
        <w:t xml:space="preserve"> in the applicants</w:t>
      </w:r>
      <w:r w:rsidR="00B66F11" w:rsidRPr="00B66F11">
        <w:t>’</w:t>
      </w:r>
      <w:r w:rsidR="00216721" w:rsidRPr="00B66F11">
        <w:t xml:space="preserve"> favour </w:t>
      </w:r>
      <w:r w:rsidR="00FE0027" w:rsidRPr="00B66F11">
        <w:t xml:space="preserve">had remained unenforced. They acknowledged their obligations under the </w:t>
      </w:r>
      <w:r w:rsidR="00FE0027" w:rsidRPr="00B66F11">
        <w:rPr>
          <w:i/>
        </w:rPr>
        <w:t>Gerasimov and Others</w:t>
      </w:r>
      <w:r w:rsidR="00FE0027" w:rsidRPr="00B66F11">
        <w:t xml:space="preserve"> pilot judgment and stated that they would deploy all means to enforce the judgments which had remained without execution or resolve the issues by any appropriate means. In their further observations they </w:t>
      </w:r>
      <w:r w:rsidR="00761AB3" w:rsidRPr="00B66F11">
        <w:t xml:space="preserve">noted that since </w:t>
      </w:r>
      <w:r w:rsidR="00955FC9" w:rsidRPr="00B66F11">
        <w:t xml:space="preserve">13 April </w:t>
      </w:r>
      <w:r w:rsidR="007F00E8" w:rsidRPr="00B66F11">
        <w:t xml:space="preserve">2015 Ms Konstantinova </w:t>
      </w:r>
      <w:r w:rsidR="00216721" w:rsidRPr="00B66F11">
        <w:t>had been</w:t>
      </w:r>
      <w:r w:rsidR="00761AB3" w:rsidRPr="00B66F11">
        <w:t xml:space="preserve"> responsible for </w:t>
      </w:r>
      <w:r w:rsidR="00216721" w:rsidRPr="00B66F11">
        <w:t>the</w:t>
      </w:r>
      <w:r w:rsidR="00761AB3" w:rsidRPr="00B66F11">
        <w:t xml:space="preserve"> </w:t>
      </w:r>
      <w:r w:rsidR="00955FC9" w:rsidRPr="00B66F11">
        <w:t>overhaul</w:t>
      </w:r>
      <w:r w:rsidR="00216721" w:rsidRPr="00B66F11">
        <w:t xml:space="preserve"> of the flat</w:t>
      </w:r>
      <w:r w:rsidR="000B7BD7" w:rsidRPr="00B66F11">
        <w:t xml:space="preserve"> </w:t>
      </w:r>
      <w:r w:rsidR="007F00E8" w:rsidRPr="00B66F11">
        <w:t xml:space="preserve">as the flat owner </w:t>
      </w:r>
      <w:r w:rsidR="000B7BD7" w:rsidRPr="00B66F11">
        <w:t>(see paragraph </w:t>
      </w:r>
      <w:r w:rsidR="000B7BD7" w:rsidRPr="00B66F11">
        <w:fldChar w:fldCharType="begin"/>
      </w:r>
      <w:r w:rsidR="000B7BD7" w:rsidRPr="00B66F11">
        <w:instrText xml:space="preserve"> REF A30PrivatisationAct \h </w:instrText>
      </w:r>
      <w:r w:rsidR="000B7BD7" w:rsidRPr="00B66F11">
        <w:fldChar w:fldCharType="separate"/>
      </w:r>
      <w:r w:rsidR="00B66F11" w:rsidRPr="00B66F11">
        <w:rPr>
          <w:noProof/>
        </w:rPr>
        <w:t>18</w:t>
      </w:r>
      <w:r w:rsidR="000B7BD7" w:rsidRPr="00B66F11">
        <w:fldChar w:fldCharType="end"/>
      </w:r>
      <w:r w:rsidR="000B7BD7" w:rsidRPr="00B66F11">
        <w:t xml:space="preserve"> above)</w:t>
      </w:r>
      <w:r w:rsidR="00761AB3" w:rsidRPr="00B66F11">
        <w:t xml:space="preserve">, and </w:t>
      </w:r>
      <w:r w:rsidR="00FE0027" w:rsidRPr="00B66F11">
        <w:t xml:space="preserve">that the authorities were taking all possible measures to enforce the </w:t>
      </w:r>
      <w:r w:rsidR="00D77F13" w:rsidRPr="00B66F11">
        <w:t>judgments in the remaining parts</w:t>
      </w:r>
      <w:r w:rsidR="00761AB3" w:rsidRPr="00B66F11">
        <w:t xml:space="preserve"> (see paragraph </w:t>
      </w:r>
      <w:r w:rsidR="006F78DE" w:rsidRPr="00B66F11">
        <w:fldChar w:fldCharType="begin"/>
      </w:r>
      <w:r w:rsidR="006F78DE" w:rsidRPr="00B66F11">
        <w:instrText xml:space="preserve"> REF HousingProgr2013 \h </w:instrText>
      </w:r>
      <w:r w:rsidR="006F78DE" w:rsidRPr="00B66F11">
        <w:fldChar w:fldCharType="separate"/>
      </w:r>
      <w:r w:rsidR="00B66F11" w:rsidRPr="00B66F11">
        <w:rPr>
          <w:noProof/>
        </w:rPr>
        <w:t>12</w:t>
      </w:r>
      <w:r w:rsidR="006F78DE" w:rsidRPr="00B66F11">
        <w:fldChar w:fldCharType="end"/>
      </w:r>
      <w:r w:rsidR="00761AB3" w:rsidRPr="00B66F11">
        <w:t xml:space="preserve"> above)</w:t>
      </w:r>
      <w:r w:rsidR="00FE0027" w:rsidRPr="00B66F11">
        <w:t>.</w:t>
      </w:r>
    </w:p>
    <w:p w:rsidR="00943334"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23</w:t>
      </w:r>
      <w:r w:rsidRPr="00B66F11">
        <w:fldChar w:fldCharType="end"/>
      </w:r>
      <w:r w:rsidR="0077175D" w:rsidRPr="00B66F11">
        <w:t>.  </w:t>
      </w:r>
      <w:r w:rsidR="007E4A39" w:rsidRPr="00B66F11">
        <w:t>The applicants maintained their complaints.</w:t>
      </w:r>
      <w:r w:rsidR="000B20E5" w:rsidRPr="00B66F11">
        <w:t xml:space="preserve"> They argued, in particular, that the authorities </w:t>
      </w:r>
      <w:r w:rsidR="00F63792" w:rsidRPr="00B66F11">
        <w:t>were under</w:t>
      </w:r>
      <w:r w:rsidR="000B20E5" w:rsidRPr="00B66F11">
        <w:t xml:space="preserve"> obligation to perform the major overhaul in accordance with Article 16 of the Privatisation </w:t>
      </w:r>
      <w:r w:rsidR="000B7BD7" w:rsidRPr="00B66F11">
        <w:t xml:space="preserve">of Housing </w:t>
      </w:r>
      <w:r w:rsidR="000B20E5" w:rsidRPr="00B66F11">
        <w:t xml:space="preserve">Act (see paragraph </w:t>
      </w:r>
      <w:r w:rsidR="000B20E5" w:rsidRPr="00B66F11">
        <w:fldChar w:fldCharType="begin"/>
      </w:r>
      <w:r w:rsidR="000B20E5" w:rsidRPr="00B66F11">
        <w:instrText xml:space="preserve"> REF A16PrivatisationAct \h </w:instrText>
      </w:r>
      <w:r w:rsidR="000B20E5" w:rsidRPr="00B66F11">
        <w:fldChar w:fldCharType="separate"/>
      </w:r>
      <w:r w:rsidR="00B66F11" w:rsidRPr="00B66F11">
        <w:rPr>
          <w:noProof/>
        </w:rPr>
        <w:t>17</w:t>
      </w:r>
      <w:r w:rsidR="000B20E5" w:rsidRPr="00B66F11">
        <w:fldChar w:fldCharType="end"/>
      </w:r>
      <w:r w:rsidR="000B20E5" w:rsidRPr="00B66F11">
        <w:t xml:space="preserve"> above).</w:t>
      </w:r>
    </w:p>
    <w:p w:rsidR="000D4CA9" w:rsidRPr="00B66F11" w:rsidRDefault="0077175D" w:rsidP="00B66F11">
      <w:pPr>
        <w:pStyle w:val="ECHRHeading2"/>
      </w:pPr>
      <w:r w:rsidRPr="00B66F11">
        <w:lastRenderedPageBreak/>
        <w:t>A.  </w:t>
      </w:r>
      <w:r w:rsidR="00B519FC" w:rsidRPr="00B66F11">
        <w:t>Article 6 of the Convention</w:t>
      </w:r>
    </w:p>
    <w:p w:rsidR="00D420F3" w:rsidRPr="00B66F11" w:rsidRDefault="00B519FC" w:rsidP="00B66F11">
      <w:pPr>
        <w:pStyle w:val="ECHRHeading3"/>
      </w:pPr>
      <w:r w:rsidRPr="00B66F11">
        <w:t>1.  </w:t>
      </w:r>
      <w:r w:rsidR="0077175D" w:rsidRPr="00B66F11">
        <w:t>Admissibility</w:t>
      </w:r>
    </w:p>
    <w:p w:rsidR="00D420F3"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24</w:t>
      </w:r>
      <w:r w:rsidRPr="00B66F11">
        <w:fldChar w:fldCharType="end"/>
      </w:r>
      <w:r w:rsidR="0077175D" w:rsidRPr="00B66F11">
        <w:t>.  The Court notes that this complaint is not manifestly ill-founded w</w:t>
      </w:r>
      <w:r w:rsidR="00BB312E" w:rsidRPr="00B66F11">
        <w:t>ithin the meaning of Article 35 </w:t>
      </w:r>
      <w:r w:rsidR="0077175D" w:rsidRPr="00B66F11">
        <w:t>§</w:t>
      </w:r>
      <w:r w:rsidR="00BB312E" w:rsidRPr="00B66F11">
        <w:t> </w:t>
      </w:r>
      <w:r w:rsidR="0077175D" w:rsidRPr="00B66F11">
        <w:t>3</w:t>
      </w:r>
      <w:r w:rsidR="00BB312E" w:rsidRPr="00B66F11">
        <w:t> </w:t>
      </w:r>
      <w:r w:rsidR="0077175D" w:rsidRPr="00B66F11">
        <w:t>(a) of the Convention. It further notes that it is not inadmissible on any other grounds. It must therefore be declared admissible.</w:t>
      </w:r>
    </w:p>
    <w:p w:rsidR="00D420F3" w:rsidRPr="00B66F11" w:rsidRDefault="00B519FC" w:rsidP="00B66F11">
      <w:pPr>
        <w:pStyle w:val="ECHRHeading3"/>
      </w:pPr>
      <w:r w:rsidRPr="00B66F11">
        <w:t>2</w:t>
      </w:r>
      <w:r w:rsidR="0077175D" w:rsidRPr="00B66F11">
        <w:t>.  Merits</w:t>
      </w:r>
    </w:p>
    <w:p w:rsidR="000D4CA9"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25</w:t>
      </w:r>
      <w:r w:rsidRPr="00B66F11">
        <w:fldChar w:fldCharType="end"/>
      </w:r>
      <w:r w:rsidR="0077175D" w:rsidRPr="00B66F11">
        <w:t>.  </w:t>
      </w:r>
      <w:r w:rsidR="00C53280" w:rsidRPr="00B66F11">
        <w:t>The Government advised the Court that the domestic judgment</w:t>
      </w:r>
      <w:r w:rsidR="00E46365" w:rsidRPr="00B66F11">
        <w:t>s in the applicants</w:t>
      </w:r>
      <w:r w:rsidR="00B66F11" w:rsidRPr="00B66F11">
        <w:t>’</w:t>
      </w:r>
      <w:r w:rsidR="00E46365" w:rsidRPr="00B66F11">
        <w:t xml:space="preserve"> favour</w:t>
      </w:r>
      <w:r w:rsidR="00C53280" w:rsidRPr="00B66F11">
        <w:t xml:space="preserve"> had remained unenforced by 31 March 2017. In the absence of any subsequent comments from the parties, the Court consider</w:t>
      </w:r>
      <w:r w:rsidR="00230A83" w:rsidRPr="00B66F11">
        <w:t>s</w:t>
      </w:r>
      <w:r w:rsidR="00C53280" w:rsidRPr="00B66F11">
        <w:t xml:space="preserve"> that the judgment</w:t>
      </w:r>
      <w:r w:rsidR="00E46365" w:rsidRPr="00B66F11">
        <w:t>s</w:t>
      </w:r>
      <w:r w:rsidR="00C53280" w:rsidRPr="00B66F11">
        <w:t xml:space="preserve"> ha</w:t>
      </w:r>
      <w:r w:rsidR="00286408" w:rsidRPr="00B66F11">
        <w:t>ve</w:t>
      </w:r>
      <w:r w:rsidR="00C53280" w:rsidRPr="00B66F11">
        <w:t xml:space="preserve"> not been e</w:t>
      </w:r>
      <w:r w:rsidR="00286408" w:rsidRPr="00B66F11">
        <w:t>xecuted</w:t>
      </w:r>
      <w:r w:rsidR="00C53280" w:rsidRPr="00B66F11">
        <w:t xml:space="preserve"> to date, that is for more than ten years.</w:t>
      </w:r>
    </w:p>
    <w:p w:rsidR="008E4DFA" w:rsidRPr="00B66F11" w:rsidRDefault="00031872"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26</w:t>
      </w:r>
      <w:r w:rsidRPr="00B66F11">
        <w:rPr>
          <w:noProof/>
        </w:rPr>
        <w:fldChar w:fldCharType="end"/>
      </w:r>
      <w:r w:rsidR="008E4DFA" w:rsidRPr="00B66F11">
        <w:t>.  The Court further notes the Government</w:t>
      </w:r>
      <w:r w:rsidR="00B66F11" w:rsidRPr="00B66F11">
        <w:t>’</w:t>
      </w:r>
      <w:r w:rsidR="008E4DFA" w:rsidRPr="00B66F11">
        <w:t>s comment to the effect that in Ap</w:t>
      </w:r>
      <w:r w:rsidR="00230A83" w:rsidRPr="00B66F11">
        <w:t xml:space="preserve">ril 2015 the burden to conduct a </w:t>
      </w:r>
      <w:r w:rsidR="008E4DFA" w:rsidRPr="00B66F11">
        <w:t xml:space="preserve">major overhaul of the flat had been transferred to Ms Konstantinova as a result of </w:t>
      </w:r>
      <w:r w:rsidR="007F00E8" w:rsidRPr="00B66F11">
        <w:t>the privati</w:t>
      </w:r>
      <w:r w:rsidR="00286408" w:rsidRPr="00B66F11">
        <w:t>s</w:t>
      </w:r>
      <w:r w:rsidR="007F00E8" w:rsidRPr="00B66F11">
        <w:t>ation of the</w:t>
      </w:r>
      <w:r w:rsidR="008E4DFA" w:rsidRPr="00B66F11">
        <w:t xml:space="preserve"> flat. The Court is not convinced by this argument. </w:t>
      </w:r>
      <w:r w:rsidR="006F78DE" w:rsidRPr="00B66F11">
        <w:t>It</w:t>
      </w:r>
      <w:r w:rsidR="008E4DFA" w:rsidRPr="00B66F11">
        <w:t xml:space="preserve"> appears from the relevant domestic law as interpreted by the Supreme Court of Russia that such obligation is indeed transferred to the owner</w:t>
      </w:r>
      <w:r w:rsidR="008645D5" w:rsidRPr="00B66F11">
        <w:t>,</w:t>
      </w:r>
      <w:r w:rsidR="008E4DFA" w:rsidRPr="00B66F11">
        <w:t xml:space="preserve"> but only once the former landlord performs its obligation to </w:t>
      </w:r>
      <w:r w:rsidR="000B7BD7" w:rsidRPr="00B66F11">
        <w:t xml:space="preserve">conduct </w:t>
      </w:r>
      <w:r w:rsidR="00D77F13" w:rsidRPr="00B66F11">
        <w:t xml:space="preserve">the </w:t>
      </w:r>
      <w:r w:rsidR="008E4DFA" w:rsidRPr="00B66F11">
        <w:t>major overhaul of the living premises and the common property (see paragraph </w:t>
      </w:r>
      <w:r w:rsidR="006F78DE" w:rsidRPr="00B66F11">
        <w:fldChar w:fldCharType="begin"/>
      </w:r>
      <w:r w:rsidR="006F78DE" w:rsidRPr="00B66F11">
        <w:instrText xml:space="preserve"> REF SCReview2007q2 \h </w:instrText>
      </w:r>
      <w:r w:rsidR="006F78DE" w:rsidRPr="00B66F11">
        <w:fldChar w:fldCharType="separate"/>
      </w:r>
      <w:r w:rsidR="00B66F11" w:rsidRPr="00B66F11">
        <w:rPr>
          <w:noProof/>
        </w:rPr>
        <w:t>19</w:t>
      </w:r>
      <w:r w:rsidR="006F78DE" w:rsidRPr="00B66F11">
        <w:fldChar w:fldCharType="end"/>
      </w:r>
      <w:r w:rsidR="008E4DFA" w:rsidRPr="00B66F11">
        <w:t xml:space="preserve"> above) It is not disputed by the partie</w:t>
      </w:r>
      <w:r w:rsidR="006F78DE" w:rsidRPr="00B66F11">
        <w:t xml:space="preserve">s that the need for a major overhaul of </w:t>
      </w:r>
      <w:r w:rsidR="000B7BD7" w:rsidRPr="00B66F11">
        <w:t xml:space="preserve">both the </w:t>
      </w:r>
      <w:r w:rsidR="006F78DE" w:rsidRPr="00B66F11">
        <w:t xml:space="preserve">flat and the common property </w:t>
      </w:r>
      <w:r w:rsidR="00286408" w:rsidRPr="00B66F11">
        <w:t>was</w:t>
      </w:r>
      <w:r w:rsidR="006F78DE" w:rsidRPr="00B66F11">
        <w:t xml:space="preserve"> established by the domestic court </w:t>
      </w:r>
      <w:r w:rsidR="008645D5" w:rsidRPr="00B66F11">
        <w:t xml:space="preserve">on the basis of the expert reports </w:t>
      </w:r>
      <w:r w:rsidR="006F78DE" w:rsidRPr="00B66F11">
        <w:t>and had not been discharged</w:t>
      </w:r>
      <w:r w:rsidR="00FE1594" w:rsidRPr="00B66F11">
        <w:t xml:space="preserve"> by the landlord</w:t>
      </w:r>
      <w:r w:rsidR="006F78DE" w:rsidRPr="00B66F11">
        <w:t xml:space="preserve"> by the time of privati</w:t>
      </w:r>
      <w:r w:rsidR="008645D5" w:rsidRPr="00B66F11">
        <w:t>s</w:t>
      </w:r>
      <w:r w:rsidR="006F78DE" w:rsidRPr="00B66F11">
        <w:t>ation (see paragraphs </w:t>
      </w:r>
      <w:r w:rsidR="006F78DE" w:rsidRPr="00B66F11">
        <w:fldChar w:fldCharType="begin"/>
      </w:r>
      <w:r w:rsidR="006F78DE" w:rsidRPr="00B66F11">
        <w:instrText xml:space="preserve"> REF Judgments2008 \h </w:instrText>
      </w:r>
      <w:r w:rsidR="006F78DE" w:rsidRPr="00B66F11">
        <w:fldChar w:fldCharType="separate"/>
      </w:r>
      <w:r w:rsidR="00B66F11" w:rsidRPr="00B66F11">
        <w:rPr>
          <w:noProof/>
        </w:rPr>
        <w:t>8</w:t>
      </w:r>
      <w:r w:rsidR="006F78DE" w:rsidRPr="00B66F11">
        <w:fldChar w:fldCharType="end"/>
      </w:r>
      <w:r w:rsidR="006F78DE" w:rsidRPr="00B66F11">
        <w:t xml:space="preserve">, </w:t>
      </w:r>
      <w:r w:rsidR="006F78DE" w:rsidRPr="00B66F11">
        <w:fldChar w:fldCharType="begin"/>
      </w:r>
      <w:r w:rsidR="006F78DE" w:rsidRPr="00B66F11">
        <w:instrText xml:space="preserve"> REF HousingProgr2013 \h </w:instrText>
      </w:r>
      <w:r w:rsidR="006F78DE" w:rsidRPr="00B66F11">
        <w:fldChar w:fldCharType="separate"/>
      </w:r>
      <w:r w:rsidR="00B66F11" w:rsidRPr="00B66F11">
        <w:rPr>
          <w:noProof/>
        </w:rPr>
        <w:t>12</w:t>
      </w:r>
      <w:r w:rsidR="006F78DE" w:rsidRPr="00B66F11">
        <w:fldChar w:fldCharType="end"/>
      </w:r>
      <w:r w:rsidR="006F78DE" w:rsidRPr="00B66F11">
        <w:t xml:space="preserve"> and</w:t>
      </w:r>
      <w:r w:rsidR="00D41600" w:rsidRPr="00B66F11">
        <w:t xml:space="preserve"> </w:t>
      </w:r>
      <w:r w:rsidR="006F78DE" w:rsidRPr="00B66F11">
        <w:fldChar w:fldCharType="begin"/>
      </w:r>
      <w:r w:rsidR="006F78DE" w:rsidRPr="00B66F11">
        <w:instrText xml:space="preserve"> REF LatestEnfStatus \h </w:instrText>
      </w:r>
      <w:r w:rsidR="006F78DE" w:rsidRPr="00B66F11">
        <w:fldChar w:fldCharType="separate"/>
      </w:r>
      <w:r w:rsidR="00B66F11" w:rsidRPr="00B66F11">
        <w:rPr>
          <w:noProof/>
        </w:rPr>
        <w:t>14</w:t>
      </w:r>
      <w:r w:rsidR="006F78DE" w:rsidRPr="00B66F11">
        <w:fldChar w:fldCharType="end"/>
      </w:r>
      <w:r w:rsidR="006F78DE" w:rsidRPr="00B66F11">
        <w:t xml:space="preserve"> above). Further, it appears that the initial judgment in the applicant</w:t>
      </w:r>
      <w:r w:rsidR="00B66F11" w:rsidRPr="00B66F11">
        <w:t>’</w:t>
      </w:r>
      <w:r w:rsidR="006F78DE" w:rsidRPr="00B66F11">
        <w:t xml:space="preserve">s favour ordering major overhaul of both the common property and the flat has never been modified and remains in force as issued in 2008. </w:t>
      </w:r>
      <w:r w:rsidR="008E4DFA" w:rsidRPr="00B66F11">
        <w:t xml:space="preserve">In the absence of any </w:t>
      </w:r>
      <w:r w:rsidR="008645D5" w:rsidRPr="00B66F11">
        <w:t xml:space="preserve">relevant domestic proceedings or </w:t>
      </w:r>
      <w:r w:rsidR="008E4DFA" w:rsidRPr="00B66F11">
        <w:t xml:space="preserve">further </w:t>
      </w:r>
      <w:r w:rsidR="006F78DE" w:rsidRPr="00B66F11">
        <w:t>clarifications from the parties</w:t>
      </w:r>
      <w:r w:rsidR="000B7BD7" w:rsidRPr="00B66F11">
        <w:t>,</w:t>
      </w:r>
      <w:r w:rsidR="008E4DFA" w:rsidRPr="00B66F11">
        <w:t xml:space="preserve"> the Court </w:t>
      </w:r>
      <w:r w:rsidR="00F63792" w:rsidRPr="00B66F11">
        <w:t>cannot</w:t>
      </w:r>
      <w:r w:rsidR="008E4DFA" w:rsidRPr="00B66F11">
        <w:t xml:space="preserve"> </w:t>
      </w:r>
      <w:r w:rsidR="00F63792" w:rsidRPr="00B66F11">
        <w:t>accept</w:t>
      </w:r>
      <w:r w:rsidR="008E4DFA" w:rsidRPr="00B66F11">
        <w:t xml:space="preserve"> that the scope of the initial judgment had been </w:t>
      </w:r>
      <w:r w:rsidR="006F78DE" w:rsidRPr="00B66F11">
        <w:t>affected</w:t>
      </w:r>
      <w:r w:rsidR="008E4DFA" w:rsidRPr="00B66F11">
        <w:t xml:space="preserve"> by the </w:t>
      </w:r>
      <w:r w:rsidR="007F00E8" w:rsidRPr="00B66F11">
        <w:t>privatis</w:t>
      </w:r>
      <w:r w:rsidR="006F78DE" w:rsidRPr="00B66F11">
        <w:t xml:space="preserve">ation of the flat, and considers that the State </w:t>
      </w:r>
      <w:r w:rsidR="000B7BD7" w:rsidRPr="00B66F11">
        <w:t xml:space="preserve">has remained </w:t>
      </w:r>
      <w:r w:rsidR="006F78DE" w:rsidRPr="00B66F11">
        <w:t>under obligation to comply wi</w:t>
      </w:r>
      <w:r w:rsidR="00004C0E" w:rsidRPr="00B66F11">
        <w:t>th the judgment in favour of Ms </w:t>
      </w:r>
      <w:r w:rsidR="006F78DE" w:rsidRPr="00B66F11">
        <w:t xml:space="preserve">Konstantinova in full. </w:t>
      </w:r>
      <w:r w:rsidR="008E4DFA" w:rsidRPr="00B66F11">
        <w:t xml:space="preserve">In any event, the Court cannot but </w:t>
      </w:r>
      <w:r w:rsidR="00F63792" w:rsidRPr="00B66F11">
        <w:t xml:space="preserve">note </w:t>
      </w:r>
      <w:r w:rsidR="008E4DFA" w:rsidRPr="00B66F11">
        <w:t>that by April 2015 the judgment in the applicant</w:t>
      </w:r>
      <w:r w:rsidR="00B66F11" w:rsidRPr="00B66F11">
        <w:t>’</w:t>
      </w:r>
      <w:r w:rsidR="008E4DFA" w:rsidRPr="00B66F11">
        <w:t xml:space="preserve">s favour had </w:t>
      </w:r>
      <w:r w:rsidR="003E42C4" w:rsidRPr="00B66F11">
        <w:t xml:space="preserve">already </w:t>
      </w:r>
      <w:r w:rsidR="008E4DFA" w:rsidRPr="00B66F11">
        <w:t>remained unenforced for seven years.</w:t>
      </w:r>
    </w:p>
    <w:p w:rsidR="00C53280" w:rsidRPr="00B66F11" w:rsidRDefault="00031872"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27</w:t>
      </w:r>
      <w:r w:rsidRPr="00B66F11">
        <w:rPr>
          <w:noProof/>
        </w:rPr>
        <w:fldChar w:fldCharType="end"/>
      </w:r>
      <w:r w:rsidR="00C53280" w:rsidRPr="00B66F11">
        <w:t xml:space="preserve">.  Having regard to its case-law on the </w:t>
      </w:r>
      <w:r w:rsidR="00286408" w:rsidRPr="00B66F11">
        <w:t>matter</w:t>
      </w:r>
      <w:r w:rsidR="00C53280" w:rsidRPr="00B66F11">
        <w:t>, the periods of non</w:t>
      </w:r>
      <w:r w:rsidR="00C53280" w:rsidRPr="00B66F11">
        <w:noBreakHyphen/>
        <w:t xml:space="preserve">enforcement and the nature of the obligation in kind at stake </w:t>
      </w:r>
      <w:r w:rsidR="00E46365" w:rsidRPr="00B66F11">
        <w:t>the present case</w:t>
      </w:r>
      <w:r w:rsidR="00C53280" w:rsidRPr="00B66F11">
        <w:t xml:space="preserve"> (see </w:t>
      </w:r>
      <w:r w:rsidR="00C53280" w:rsidRPr="00B66F11">
        <w:rPr>
          <w:i/>
        </w:rPr>
        <w:t>Gerasimov and Others</w:t>
      </w:r>
      <w:r w:rsidR="00004C0E" w:rsidRPr="00B66F11">
        <w:t>, cited above, §§ </w:t>
      </w:r>
      <w:r w:rsidR="00C53280" w:rsidRPr="00B66F11">
        <w:t>167-74), the Court considers that the delays in enforcement of the binding judgments in the applicants</w:t>
      </w:r>
      <w:r w:rsidR="00B66F11" w:rsidRPr="00B66F11">
        <w:t>’</w:t>
      </w:r>
      <w:r w:rsidR="00C53280" w:rsidRPr="00B66F11">
        <w:t xml:space="preserve"> favour fell short of the Convention requirements. By failing to comply, for years, with the enforceable judgments in the applicants</w:t>
      </w:r>
      <w:r w:rsidR="00B66F11" w:rsidRPr="00B66F11">
        <w:t>’</w:t>
      </w:r>
      <w:r w:rsidR="00C53280" w:rsidRPr="00B66F11">
        <w:t xml:space="preserve"> favour, the authorities breached the applicants</w:t>
      </w:r>
      <w:r w:rsidR="00B66F11" w:rsidRPr="00B66F11">
        <w:t>’</w:t>
      </w:r>
      <w:r w:rsidR="00C53280" w:rsidRPr="00B66F11">
        <w:t xml:space="preserve"> right to a court.</w:t>
      </w:r>
    </w:p>
    <w:p w:rsidR="00D420F3" w:rsidRPr="00B66F11" w:rsidRDefault="00943334" w:rsidP="00B66F11">
      <w:pPr>
        <w:pStyle w:val="ECHRPara"/>
      </w:pPr>
      <w:r w:rsidRPr="00B66F11">
        <w:lastRenderedPageBreak/>
        <w:fldChar w:fldCharType="begin"/>
      </w:r>
      <w:r w:rsidRPr="00B66F11">
        <w:instrText xml:space="preserve"> SEQ level0 \*arabic </w:instrText>
      </w:r>
      <w:r w:rsidRPr="00B66F11">
        <w:fldChar w:fldCharType="separate"/>
      </w:r>
      <w:r w:rsidR="00B66F11" w:rsidRPr="00B66F11">
        <w:rPr>
          <w:noProof/>
        </w:rPr>
        <w:t>28</w:t>
      </w:r>
      <w:r w:rsidRPr="00B66F11">
        <w:fldChar w:fldCharType="end"/>
      </w:r>
      <w:r w:rsidR="00C53280" w:rsidRPr="00B66F11">
        <w:t>.  </w:t>
      </w:r>
      <w:r w:rsidR="0077175D" w:rsidRPr="00B66F11">
        <w:t>There has accordingly been a violation of Article</w:t>
      </w:r>
      <w:r w:rsidR="00C53280" w:rsidRPr="00B66F11">
        <w:t> 6</w:t>
      </w:r>
      <w:r w:rsidR="0077175D" w:rsidRPr="00B66F11">
        <w:t xml:space="preserve"> of the Convention</w:t>
      </w:r>
      <w:r w:rsidR="006246F1" w:rsidRPr="00B66F11">
        <w:t>.</w:t>
      </w:r>
    </w:p>
    <w:p w:rsidR="007C653A" w:rsidRPr="00B66F11" w:rsidRDefault="004E505D" w:rsidP="00B66F11">
      <w:pPr>
        <w:pStyle w:val="ECHRHeading2"/>
      </w:pPr>
      <w:r w:rsidRPr="00B66F11">
        <w:t>B.</w:t>
      </w:r>
      <w:r w:rsidR="007C653A" w:rsidRPr="00B66F11">
        <w:t>  </w:t>
      </w:r>
      <w:r w:rsidRPr="00B66F11">
        <w:t>Article 1 of Protocol No.</w:t>
      </w:r>
      <w:r w:rsidR="0013415F" w:rsidRPr="00B66F11">
        <w:t> </w:t>
      </w:r>
      <w:r w:rsidR="00004C0E" w:rsidRPr="00B66F11">
        <w:t>1</w:t>
      </w:r>
    </w:p>
    <w:p w:rsidR="000D4CA9" w:rsidRPr="00B66F11" w:rsidRDefault="00800647"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29</w:t>
      </w:r>
      <w:r w:rsidRPr="00B66F11">
        <w:fldChar w:fldCharType="end"/>
      </w:r>
      <w:r w:rsidRPr="00B66F11">
        <w:t>.  </w:t>
      </w:r>
      <w:r w:rsidR="00E03F13" w:rsidRPr="00B66F11">
        <w:t>The applicant</w:t>
      </w:r>
      <w:r w:rsidR="0013415F" w:rsidRPr="00B66F11">
        <w:t>s</w:t>
      </w:r>
      <w:r w:rsidR="00E03F13" w:rsidRPr="00B66F11">
        <w:t xml:space="preserve"> further referred to Article 1 of Protocol No. 1 in respect of the non-enforcement complaint.</w:t>
      </w:r>
      <w:r w:rsidRPr="00B66F11">
        <w:t xml:space="preserve"> </w:t>
      </w:r>
      <w:r w:rsidR="0065758B" w:rsidRPr="00B66F11">
        <w:t>Given its findings under Article 6 above, as well as having regard to the nature of the domestic award made by national courts in the present case, t</w:t>
      </w:r>
      <w:r w:rsidR="00E03F13" w:rsidRPr="00B66F11">
        <w:t xml:space="preserve">he Court considers that there is no need for a separate examination of the admissibility and merits of the complaints under Article 1 of Protocol No. 1 </w:t>
      </w:r>
      <w:r w:rsidRPr="00B66F11">
        <w:t xml:space="preserve">(see, </w:t>
      </w:r>
      <w:r w:rsidRPr="00B66F11">
        <w:rPr>
          <w:i/>
        </w:rPr>
        <w:t>mutatis mutandis</w:t>
      </w:r>
      <w:r w:rsidRPr="00B66F11">
        <w:t xml:space="preserve">, </w:t>
      </w:r>
      <w:r w:rsidRPr="00B66F11">
        <w:rPr>
          <w:i/>
          <w:lang w:val="fi-FI"/>
        </w:rPr>
        <w:t>Lyubov Stetsenko v. Russia</w:t>
      </w:r>
      <w:r w:rsidRPr="00B66F11">
        <w:rPr>
          <w:lang w:val="fi-FI"/>
        </w:rPr>
        <w:t>, no. 26216/07, § 92, 17 April 2014)</w:t>
      </w:r>
      <w:r w:rsidR="00E03F13" w:rsidRPr="00B66F11">
        <w:t>.</w:t>
      </w:r>
    </w:p>
    <w:p w:rsidR="00D420F3" w:rsidRPr="00B66F11" w:rsidRDefault="007C653A" w:rsidP="00B66F11">
      <w:pPr>
        <w:pStyle w:val="ECHRHeading1"/>
      </w:pPr>
      <w:r w:rsidRPr="00B66F11">
        <w:t>II.  ALLEGED VIOLATION OF ARTICLE 13</w:t>
      </w:r>
      <w:r w:rsidR="0077175D" w:rsidRPr="00B66F11">
        <w:t xml:space="preserve"> OF THE CONVENTION</w:t>
      </w:r>
    </w:p>
    <w:p w:rsidR="000D4CA9" w:rsidRPr="00B66F11" w:rsidRDefault="007C653A"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30</w:t>
      </w:r>
      <w:r w:rsidRPr="00B66F11">
        <w:fldChar w:fldCharType="end"/>
      </w:r>
      <w:r w:rsidRPr="00B66F11">
        <w:t>.  The applicant</w:t>
      </w:r>
      <w:r w:rsidR="00822576" w:rsidRPr="00B66F11">
        <w:t>s</w:t>
      </w:r>
      <w:r w:rsidRPr="00B66F11">
        <w:t xml:space="preserve"> may be understood to complain about the lack of an effective domestic remedy in respect of the non-enforcement. Relevant Convention provision reads as follows:</w:t>
      </w:r>
    </w:p>
    <w:p w:rsidR="00DC00E0" w:rsidRPr="00B66F11" w:rsidRDefault="0065758B" w:rsidP="00B66F11">
      <w:pPr>
        <w:pStyle w:val="ECHRTitleCentre3"/>
      </w:pPr>
      <w:r w:rsidRPr="00B66F11">
        <w:t>Article 13</w:t>
      </w:r>
    </w:p>
    <w:p w:rsidR="00DC00E0" w:rsidRPr="00B66F11" w:rsidRDefault="0065758B" w:rsidP="00B66F11">
      <w:pPr>
        <w:pStyle w:val="ECHRParaQuote"/>
      </w:pPr>
      <w:r w:rsidRPr="00B66F11">
        <w:t>“Everyone whose rights and freedoms as set forth in [the] Convention are violated shall have an effective remedy before a national authority notwithstanding that the violation has been committed by persons acting in an official capacity.”</w:t>
      </w:r>
    </w:p>
    <w:p w:rsidR="000D4CA9" w:rsidRPr="00B66F11" w:rsidRDefault="007C653A"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31</w:t>
      </w:r>
      <w:r w:rsidRPr="00B66F11">
        <w:fldChar w:fldCharType="end"/>
      </w:r>
      <w:r w:rsidRPr="00B66F11">
        <w:t xml:space="preserve">.  The Court has already noted the existence of a new domestic remedy against the non-enforcement of domestic judgments imposing obligations of a pecuniary and non-pecuniary nature on the Russian authorities, introduced in the wake of the </w:t>
      </w:r>
      <w:r w:rsidR="00230A83" w:rsidRPr="00B66F11">
        <w:rPr>
          <w:i/>
        </w:rPr>
        <w:t>Gerasimov and Others</w:t>
      </w:r>
      <w:r w:rsidR="00230A83" w:rsidRPr="00B66F11">
        <w:t xml:space="preserve"> </w:t>
      </w:r>
      <w:r w:rsidRPr="00B66F11">
        <w:t>pilot judgment by Federa</w:t>
      </w:r>
      <w:r w:rsidR="00230A83" w:rsidRPr="00B66F11">
        <w:t>l Law No. </w:t>
      </w:r>
      <w:r w:rsidRPr="00B66F11">
        <w:t>450-FZ amending the Compensation Act of 2010. That statute, which entered into force on 1</w:t>
      </w:r>
      <w:r w:rsidR="0013415F" w:rsidRPr="00B66F11">
        <w:t> </w:t>
      </w:r>
      <w:r w:rsidRPr="00B66F11">
        <w:t xml:space="preserve">January 2017, enables those concerned to seek compensation for damage sustained as a result of excessive delays in the enforcement of court judgments ordering the domestic authorities to fulfil various obligations in kind (see </w:t>
      </w:r>
      <w:r w:rsidRPr="00B66F11">
        <w:rPr>
          <w:i/>
        </w:rPr>
        <w:t>Kamneva and Others v. Russia</w:t>
      </w:r>
      <w:r w:rsidRPr="00B66F11">
        <w:t xml:space="preserve"> (dec.), no</w:t>
      </w:r>
      <w:r w:rsidR="00031872" w:rsidRPr="00B66F11">
        <w:t>s</w:t>
      </w:r>
      <w:r w:rsidRPr="00B66F11">
        <w:t xml:space="preserve">. 35555/05 and 6 others, 2 May 2017). The Court has found that the amended Compensation Act in principle meets the criteria set out in the </w:t>
      </w:r>
      <w:r w:rsidRPr="00B66F11">
        <w:rPr>
          <w:i/>
        </w:rPr>
        <w:t>Gerasimov and Others</w:t>
      </w:r>
      <w:r w:rsidRPr="00B66F11">
        <w:t xml:space="preserve"> pilot judgment </w:t>
      </w:r>
      <w:r w:rsidR="006054A9" w:rsidRPr="00B66F11">
        <w:t xml:space="preserve">and </w:t>
      </w:r>
      <w:r w:rsidRPr="00B66F11">
        <w:t xml:space="preserve">provides the applicants with a potentially effective remedy for their non-enforcement complaint (see </w:t>
      </w:r>
      <w:r w:rsidRPr="00B66F11">
        <w:rPr>
          <w:i/>
        </w:rPr>
        <w:t>Shtolts and Others v. Russia</w:t>
      </w:r>
      <w:r w:rsidRPr="00B66F11">
        <w:t xml:space="preserve"> (dec.), nos. 77056/14 and 2 others, §§ 87-116 and § 123, 30 January 2018).</w:t>
      </w:r>
    </w:p>
    <w:p w:rsidR="007C653A" w:rsidRPr="00B66F11" w:rsidRDefault="007C653A"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32</w:t>
      </w:r>
      <w:r w:rsidRPr="00B66F11">
        <w:fldChar w:fldCharType="end"/>
      </w:r>
      <w:r w:rsidRPr="00B66F11">
        <w:t>.  Even though the remedy was</w:t>
      </w:r>
      <w:r w:rsidR="0013415F" w:rsidRPr="00B66F11">
        <w:t xml:space="preserve"> – and still is – </w:t>
      </w:r>
      <w:r w:rsidRPr="00B66F11">
        <w:t>available to the applicant</w:t>
      </w:r>
      <w:r w:rsidR="0013415F" w:rsidRPr="00B66F11">
        <w:t>s</w:t>
      </w:r>
      <w:r w:rsidRPr="00B66F11">
        <w:t xml:space="preserve">, the Court reiterates that it would be unfair to request the applicants whose cases have already been pending for many years in the domestic system and who have come to seek relief at the Court, to bring again their claims before domestic tribunals (see </w:t>
      </w:r>
      <w:r w:rsidRPr="00B66F11">
        <w:rPr>
          <w:i/>
        </w:rPr>
        <w:t>Gerasimov and Others</w:t>
      </w:r>
      <w:r w:rsidRPr="00B66F11">
        <w:t>, cited above, § 230).</w:t>
      </w:r>
    </w:p>
    <w:p w:rsidR="000D4CA9" w:rsidRPr="00B66F11" w:rsidRDefault="007C653A" w:rsidP="00B66F11">
      <w:pPr>
        <w:pStyle w:val="ECHRPara"/>
      </w:pPr>
      <w:r w:rsidRPr="00B66F11">
        <w:lastRenderedPageBreak/>
        <w:fldChar w:fldCharType="begin"/>
      </w:r>
      <w:r w:rsidRPr="00B66F11">
        <w:instrText xml:space="preserve"> SEQ level0 \*arabic </w:instrText>
      </w:r>
      <w:r w:rsidRPr="00B66F11">
        <w:fldChar w:fldCharType="separate"/>
      </w:r>
      <w:r w:rsidR="00B66F11" w:rsidRPr="00B66F11">
        <w:rPr>
          <w:noProof/>
        </w:rPr>
        <w:t>33</w:t>
      </w:r>
      <w:r w:rsidRPr="00B66F11">
        <w:fldChar w:fldCharType="end"/>
      </w:r>
      <w:r w:rsidRPr="00B66F11">
        <w:t>.  </w:t>
      </w:r>
      <w:r w:rsidR="00822576" w:rsidRPr="00B66F11">
        <w:t>On the other hand</w:t>
      </w:r>
      <w:r w:rsidRPr="00B66F11">
        <w:t>, in the light of the adoption of the new domestic remedy, the Court, as in its previous decisions, considers that it is not necessary to examine separately the admissibility and merits of the applicants</w:t>
      </w:r>
      <w:r w:rsidR="00B66F11" w:rsidRPr="00B66F11">
        <w:t>’</w:t>
      </w:r>
      <w:r w:rsidRPr="00B66F11">
        <w:t xml:space="preserve"> complaint under Article 13 in the present case (see, </w:t>
      </w:r>
      <w:r w:rsidRPr="00B66F11">
        <w:rPr>
          <w:i/>
        </w:rPr>
        <w:t>mutatis mutandis</w:t>
      </w:r>
      <w:r w:rsidRPr="00B66F11">
        <w:t xml:space="preserve">, </w:t>
      </w:r>
      <w:r w:rsidRPr="00B66F11">
        <w:rPr>
          <w:i/>
        </w:rPr>
        <w:t>Korotyayeva and Others</w:t>
      </w:r>
      <w:r w:rsidRPr="00B66F11">
        <w:t>, no</w:t>
      </w:r>
      <w:r w:rsidR="00031872" w:rsidRPr="00B66F11">
        <w:t>s</w:t>
      </w:r>
      <w:r w:rsidRPr="00B66F11">
        <w:t>. 13122/11 and 2 others, § 40, 18 July 201</w:t>
      </w:r>
      <w:r w:rsidR="00031872" w:rsidRPr="00B66F11">
        <w:t xml:space="preserve">7, </w:t>
      </w:r>
      <w:r w:rsidRPr="00B66F11">
        <w:t xml:space="preserve">and </w:t>
      </w:r>
      <w:r w:rsidRPr="00B66F11">
        <w:rPr>
          <w:i/>
        </w:rPr>
        <w:t>Tkhyegepso and Others v. Russia,</w:t>
      </w:r>
      <w:r w:rsidRPr="00B66F11">
        <w:t xml:space="preserve"> nos. 44387/04 and 11 others, §§ 21-24, 25 October 2011).</w:t>
      </w:r>
    </w:p>
    <w:p w:rsidR="004E505D" w:rsidRPr="00B66F11" w:rsidRDefault="004E505D" w:rsidP="00B66F11">
      <w:pPr>
        <w:pStyle w:val="ECHRHeading1"/>
      </w:pPr>
      <w:r w:rsidRPr="00B66F11">
        <w:t>III.  OTHER ALLEGED VIOLATIONS OF THE CONVENTION</w:t>
      </w:r>
    </w:p>
    <w:p w:rsidR="004E505D" w:rsidRPr="00B66F11" w:rsidRDefault="003B48EB"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34</w:t>
      </w:r>
      <w:r w:rsidRPr="00B66F11">
        <w:fldChar w:fldCharType="end"/>
      </w:r>
      <w:r w:rsidRPr="00B66F11">
        <w:t xml:space="preserve">.  In </w:t>
      </w:r>
      <w:r w:rsidR="00AE701C" w:rsidRPr="00B66F11">
        <w:t xml:space="preserve">their </w:t>
      </w:r>
      <w:r w:rsidR="00470FF6" w:rsidRPr="00B66F11">
        <w:t>letter of 24 </w:t>
      </w:r>
      <w:r w:rsidR="00142AB4" w:rsidRPr="00B66F11">
        <w:t>December 2014</w:t>
      </w:r>
      <w:r w:rsidRPr="00B66F11">
        <w:t xml:space="preserve"> Ms Konstantinova</w:t>
      </w:r>
      <w:r w:rsidR="00031872" w:rsidRPr="00B66F11">
        <w:t xml:space="preserve"> and Ms </w:t>
      </w:r>
      <w:r w:rsidR="00AE701C" w:rsidRPr="00B66F11">
        <w:t>Lebedeva</w:t>
      </w:r>
      <w:r w:rsidRPr="00B66F11">
        <w:t xml:space="preserve"> mentioned, for the first time, </w:t>
      </w:r>
      <w:r w:rsidR="00B31454" w:rsidRPr="00B66F11">
        <w:t xml:space="preserve">two </w:t>
      </w:r>
      <w:r w:rsidRPr="00B66F11">
        <w:t>other allegedly unenforced judgment</w:t>
      </w:r>
      <w:r w:rsidR="003B0625" w:rsidRPr="00B66F11">
        <w:t>s</w:t>
      </w:r>
      <w:r w:rsidRPr="00B66F11">
        <w:t xml:space="preserve"> in </w:t>
      </w:r>
      <w:r w:rsidR="00AE701C" w:rsidRPr="00B66F11">
        <w:t xml:space="preserve">their </w:t>
      </w:r>
      <w:r w:rsidRPr="00B66F11">
        <w:t>favour dated 5 May 2001</w:t>
      </w:r>
      <w:r w:rsidR="00AE701C" w:rsidRPr="00B66F11">
        <w:t xml:space="preserve"> and 5 December 2011 respectively</w:t>
      </w:r>
      <w:r w:rsidR="00142AB4" w:rsidRPr="00B66F11">
        <w:t xml:space="preserve">, and complained about an allegedly insufficient amount of compensation </w:t>
      </w:r>
      <w:r w:rsidR="00822576" w:rsidRPr="00B66F11">
        <w:t>awarded in</w:t>
      </w:r>
      <w:r w:rsidR="00142AB4" w:rsidRPr="00B66F11">
        <w:t xml:space="preserve"> </w:t>
      </w:r>
      <w:r w:rsidR="00B31454" w:rsidRPr="00B66F11">
        <w:t xml:space="preserve">subsequent </w:t>
      </w:r>
      <w:r w:rsidR="00142AB4" w:rsidRPr="00B66F11">
        <w:t>domestic proceedings</w:t>
      </w:r>
      <w:r w:rsidRPr="00B66F11">
        <w:t xml:space="preserve">. </w:t>
      </w:r>
      <w:r w:rsidR="00DF46C7" w:rsidRPr="00B66F11">
        <w:t>T</w:t>
      </w:r>
      <w:r w:rsidRPr="00B66F11">
        <w:t>he Court does not find it appropriate to examine any new matters raised by the applicant</w:t>
      </w:r>
      <w:r w:rsidR="00822576" w:rsidRPr="00B66F11">
        <w:t>s</w:t>
      </w:r>
      <w:r w:rsidRPr="00B66F11">
        <w:t xml:space="preserve"> after communication of the application to the Government, as long as they do not constitute an elaboration upon the applicants</w:t>
      </w:r>
      <w:r w:rsidR="00B66F11" w:rsidRPr="00B66F11">
        <w:t>’</w:t>
      </w:r>
      <w:r w:rsidRPr="00B66F11">
        <w:t xml:space="preserve"> original complaints to the Court (see </w:t>
      </w:r>
      <w:r w:rsidRPr="00B66F11">
        <w:rPr>
          <w:i/>
        </w:rPr>
        <w:t>Yefimova v.</w:t>
      </w:r>
      <w:r w:rsidR="00216721" w:rsidRPr="00B66F11">
        <w:rPr>
          <w:i/>
        </w:rPr>
        <w:t> </w:t>
      </w:r>
      <w:r w:rsidRPr="00B66F11">
        <w:rPr>
          <w:i/>
        </w:rPr>
        <w:t>Russia</w:t>
      </w:r>
      <w:r w:rsidRPr="00B66F11">
        <w:t>, no. 39786/09, § 177, 19 February 2013, with further references). Given that no complaints in connection with th</w:t>
      </w:r>
      <w:r w:rsidR="00822576" w:rsidRPr="00B66F11">
        <w:t>ose</w:t>
      </w:r>
      <w:r w:rsidRPr="00B66F11">
        <w:t xml:space="preserve"> judgment</w:t>
      </w:r>
      <w:r w:rsidR="00822576" w:rsidRPr="00B66F11">
        <w:t>s</w:t>
      </w:r>
      <w:r w:rsidRPr="00B66F11">
        <w:t xml:space="preserve"> were raised before the communication of the application and the decision to examine its merits at the same time as its admissibility, the scope of the present case is limited to the facts as they stood at the time of the communication. However, Ms Konstantinova has the opportunity to lodge </w:t>
      </w:r>
      <w:r w:rsidR="00216721" w:rsidRPr="00B66F11">
        <w:t xml:space="preserve">a </w:t>
      </w:r>
      <w:r w:rsidRPr="00B66F11">
        <w:t xml:space="preserve">new application in respect of </w:t>
      </w:r>
      <w:r w:rsidR="00DF46C7" w:rsidRPr="00B66F11">
        <w:t>the above complaint</w:t>
      </w:r>
      <w:r w:rsidRPr="00B66F11">
        <w:t xml:space="preserve"> (see </w:t>
      </w:r>
      <w:r w:rsidR="00DF46C7" w:rsidRPr="00B66F11">
        <w:rPr>
          <w:i/>
        </w:rPr>
        <w:t>Rafig Aliyev v. </w:t>
      </w:r>
      <w:r w:rsidRPr="00B66F11">
        <w:rPr>
          <w:i/>
        </w:rPr>
        <w:t>Azerbaijan</w:t>
      </w:r>
      <w:r w:rsidRPr="00B66F11">
        <w:t>, no. 45875/06, § 70, 6 December 2011).</w:t>
      </w:r>
    </w:p>
    <w:p w:rsidR="004D7C55" w:rsidRPr="00B66F11" w:rsidRDefault="004D7C55"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35</w:t>
      </w:r>
      <w:r w:rsidRPr="00B66F11">
        <w:fldChar w:fldCharType="end"/>
      </w:r>
      <w:r w:rsidRPr="00B66F11">
        <w:t>.  Lastly, the applicants alleged a violation of Article 14 of the Convention on account of the non-enforcement. Having regard to all the material in its possession and in so far as it falls within its competence, the Court finds that there is no appearance of a violation of the rights and freedoms set out in the Convention or its Protocols. It follows that this part of the application must be rejected as being manifestly i</w:t>
      </w:r>
      <w:r w:rsidR="00216721" w:rsidRPr="00B66F11">
        <w:t>ll-founded, pursuant to Article </w:t>
      </w:r>
      <w:r w:rsidRPr="00B66F11">
        <w:t>35</w:t>
      </w:r>
      <w:r w:rsidR="00216721" w:rsidRPr="00B66F11">
        <w:t> </w:t>
      </w:r>
      <w:r w:rsidRPr="00B66F11">
        <w:t>§§</w:t>
      </w:r>
      <w:r w:rsidR="00216721" w:rsidRPr="00B66F11">
        <w:t> </w:t>
      </w:r>
      <w:r w:rsidRPr="00B66F11">
        <w:t>3</w:t>
      </w:r>
      <w:r w:rsidR="00216721" w:rsidRPr="00B66F11">
        <w:t> </w:t>
      </w:r>
      <w:r w:rsidRPr="00B66F11">
        <w:t>(a) and 4 of the Convention.</w:t>
      </w:r>
    </w:p>
    <w:p w:rsidR="00D420F3" w:rsidRPr="00B66F11" w:rsidRDefault="004E505D" w:rsidP="00B66F11">
      <w:pPr>
        <w:pStyle w:val="ECHRHeading1"/>
      </w:pPr>
      <w:r w:rsidRPr="00B66F11">
        <w:lastRenderedPageBreak/>
        <w:t>IV</w:t>
      </w:r>
      <w:r w:rsidR="0077175D" w:rsidRPr="00B66F11">
        <w:t>.  APPLICATION OF ARTICLE</w:t>
      </w:r>
      <w:r w:rsidR="005E08B4" w:rsidRPr="00B66F11">
        <w:t> </w:t>
      </w:r>
      <w:r w:rsidR="0077175D" w:rsidRPr="00B66F11">
        <w:t>41 OF THE CONVENTION</w:t>
      </w:r>
    </w:p>
    <w:p w:rsidR="00D420F3" w:rsidRPr="00B66F11" w:rsidRDefault="00943334" w:rsidP="00B66F11">
      <w:pPr>
        <w:pStyle w:val="ECHRPara"/>
        <w:keepNext/>
        <w:keepLines/>
      </w:pPr>
      <w:r w:rsidRPr="00B66F11">
        <w:fldChar w:fldCharType="begin"/>
      </w:r>
      <w:r w:rsidRPr="00B66F11">
        <w:instrText xml:space="preserve"> SEQ level0 \*arabic </w:instrText>
      </w:r>
      <w:r w:rsidRPr="00B66F11">
        <w:fldChar w:fldCharType="separate"/>
      </w:r>
      <w:r w:rsidR="00B66F11" w:rsidRPr="00B66F11">
        <w:rPr>
          <w:noProof/>
        </w:rPr>
        <w:t>36</w:t>
      </w:r>
      <w:r w:rsidRPr="00B66F11">
        <w:fldChar w:fldCharType="end"/>
      </w:r>
      <w:r w:rsidR="004E505D" w:rsidRPr="00B66F11">
        <w:t>.  Article </w:t>
      </w:r>
      <w:r w:rsidR="0077175D" w:rsidRPr="00B66F11">
        <w:t>41 of the Convention provides:</w:t>
      </w:r>
    </w:p>
    <w:p w:rsidR="00D420F3" w:rsidRPr="00B66F11" w:rsidRDefault="0077175D" w:rsidP="00B66F11">
      <w:pPr>
        <w:pStyle w:val="ECHRParaQuote"/>
        <w:keepNext/>
        <w:keepLines/>
      </w:pPr>
      <w:r w:rsidRPr="00B66F11">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D420F3" w:rsidRPr="00B66F11" w:rsidRDefault="0077175D" w:rsidP="00B66F11">
      <w:pPr>
        <w:pStyle w:val="ECHRHeading2"/>
      </w:pPr>
      <w:r w:rsidRPr="00B66F11">
        <w:t>A.  Damage</w:t>
      </w:r>
    </w:p>
    <w:p w:rsidR="000D4CA9"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37</w:t>
      </w:r>
      <w:r w:rsidRPr="00B66F11">
        <w:fldChar w:fldCharType="end"/>
      </w:r>
      <w:r w:rsidR="0077175D" w:rsidRPr="00B66F11">
        <w:t>.  The applicant</w:t>
      </w:r>
      <w:r w:rsidRPr="00B66F11">
        <w:t>s</w:t>
      </w:r>
      <w:r w:rsidR="0077175D" w:rsidRPr="00B66F11">
        <w:t xml:space="preserve"> claimed </w:t>
      </w:r>
      <w:r w:rsidR="0037717E" w:rsidRPr="00B66F11">
        <w:t xml:space="preserve">22,520 </w:t>
      </w:r>
      <w:r w:rsidR="00AC448D" w:rsidRPr="00B66F11">
        <w:t xml:space="preserve">euros </w:t>
      </w:r>
      <w:r w:rsidR="00BB312E" w:rsidRPr="00B66F11">
        <w:t xml:space="preserve">(EUR) </w:t>
      </w:r>
      <w:r w:rsidR="009038F5" w:rsidRPr="00B66F11">
        <w:t xml:space="preserve">in respect of </w:t>
      </w:r>
      <w:r w:rsidR="0037717E" w:rsidRPr="00B66F11">
        <w:t>penalty</w:t>
      </w:r>
      <w:r w:rsidR="00B3455B" w:rsidRPr="00B66F11">
        <w:t xml:space="preserve"> and a fine</w:t>
      </w:r>
      <w:r w:rsidR="00AC448D" w:rsidRPr="00B66F11">
        <w:t>, calculated by them on the basis of the consumer price index and converted into euros “at an average rate of</w:t>
      </w:r>
      <w:r w:rsidR="00DF469D" w:rsidRPr="00B66F11">
        <w:t xml:space="preserve"> </w:t>
      </w:r>
      <w:r w:rsidR="00AC448D" w:rsidRPr="00B66F11">
        <w:t>50</w:t>
      </w:r>
      <w:r w:rsidR="00DF469D" w:rsidRPr="00B66F11">
        <w:t xml:space="preserve"> Russian roubles</w:t>
      </w:r>
      <w:r w:rsidR="00AC448D" w:rsidRPr="00B66F11">
        <w:t xml:space="preserve"> for 1 euro”, and EUR 1,815.53 recovered from the applicants in mandatory payments for capital repair since 1996, in </w:t>
      </w:r>
      <w:r w:rsidR="0077175D" w:rsidRPr="00B66F11">
        <w:t>respect of pecuniary damage.</w:t>
      </w:r>
      <w:r w:rsidR="00B3455B" w:rsidRPr="00B66F11">
        <w:t xml:space="preserve"> They argued, in particular, that a domestic award of 9 November 2011 in respect of compensation of losses (see paragraph </w:t>
      </w:r>
      <w:r w:rsidR="00B3455B" w:rsidRPr="00B66F11">
        <w:fldChar w:fldCharType="begin"/>
      </w:r>
      <w:r w:rsidR="00B3455B" w:rsidRPr="00B66F11">
        <w:instrText xml:space="preserve"> REF Judgment09112011 \h </w:instrText>
      </w:r>
      <w:r w:rsidR="00B3455B" w:rsidRPr="00B66F11">
        <w:fldChar w:fldCharType="separate"/>
      </w:r>
      <w:r w:rsidR="00B66F11" w:rsidRPr="00B66F11">
        <w:rPr>
          <w:noProof/>
        </w:rPr>
        <w:t>9</w:t>
      </w:r>
      <w:r w:rsidR="00B3455B" w:rsidRPr="00B66F11">
        <w:fldChar w:fldCharType="end"/>
      </w:r>
      <w:r w:rsidR="00B3455B" w:rsidRPr="00B66F11">
        <w:t xml:space="preserve"> above) did not absolve the defendant from an obligation to pay the penalty and the fine</w:t>
      </w:r>
      <w:r w:rsidR="00955FC9" w:rsidRPr="00B66F11">
        <w:t>, as well as to enforce the initial judgment</w:t>
      </w:r>
      <w:r w:rsidR="00B3455B" w:rsidRPr="00B66F11">
        <w:t>.</w:t>
      </w:r>
      <w:r w:rsidR="00AC448D" w:rsidRPr="00B66F11">
        <w:t xml:space="preserve"> </w:t>
      </w:r>
      <w:r w:rsidR="004E505D" w:rsidRPr="00B66F11">
        <w:t xml:space="preserve">They further claimed the amounts ranging between </w:t>
      </w:r>
      <w:r w:rsidR="00DF469D" w:rsidRPr="00B66F11">
        <w:t>EUR </w:t>
      </w:r>
      <w:r w:rsidR="004E505D" w:rsidRPr="00B66F11">
        <w:t xml:space="preserve">14,000 and </w:t>
      </w:r>
      <w:r w:rsidR="00DF469D" w:rsidRPr="00B66F11">
        <w:t>EUR </w:t>
      </w:r>
      <w:r w:rsidR="004E505D" w:rsidRPr="00B66F11">
        <w:t xml:space="preserve">35,000 </w:t>
      </w:r>
      <w:r w:rsidR="00A65FD2" w:rsidRPr="00B66F11">
        <w:t>per applicant in respect of non</w:t>
      </w:r>
      <w:r w:rsidR="00A65FD2" w:rsidRPr="00B66F11">
        <w:noBreakHyphen/>
      </w:r>
      <w:r w:rsidR="004E505D" w:rsidRPr="00B66F11">
        <w:t>pecuniary damage.</w:t>
      </w:r>
    </w:p>
    <w:p w:rsidR="000D4CA9"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38</w:t>
      </w:r>
      <w:r w:rsidRPr="00B66F11">
        <w:fldChar w:fldCharType="end"/>
      </w:r>
      <w:r w:rsidR="0077175D" w:rsidRPr="00B66F11">
        <w:t xml:space="preserve">.  The Government </w:t>
      </w:r>
      <w:r w:rsidR="00A9094C" w:rsidRPr="00B66F11">
        <w:t xml:space="preserve">argued that the claims for pecuniary damage were unreasonable as the authorities </w:t>
      </w:r>
      <w:r w:rsidR="00C54835" w:rsidRPr="00B66F11">
        <w:t>had been</w:t>
      </w:r>
      <w:r w:rsidR="00A9094C" w:rsidRPr="00B66F11">
        <w:t xml:space="preserve"> taking all possible measures to enforce the judgments</w:t>
      </w:r>
      <w:r w:rsidR="00AC448D" w:rsidRPr="00B66F11">
        <w:t xml:space="preserve"> and, in any event, </w:t>
      </w:r>
      <w:r w:rsidR="00C54835" w:rsidRPr="00B66F11">
        <w:t xml:space="preserve">were </w:t>
      </w:r>
      <w:r w:rsidR="00AC448D" w:rsidRPr="00B66F11">
        <w:t>unsubstantiated</w:t>
      </w:r>
      <w:r w:rsidR="00A9094C" w:rsidRPr="00B66F11">
        <w:t xml:space="preserve">. </w:t>
      </w:r>
      <w:r w:rsidR="00FE0027" w:rsidRPr="00B66F11">
        <w:t>The Government further disputed the claims for non-pecuniary damage as excessive</w:t>
      </w:r>
      <w:r w:rsidR="00216721" w:rsidRPr="00B66F11">
        <w:t xml:space="preserve"> and having no basis in the Court</w:t>
      </w:r>
      <w:r w:rsidR="00B66F11" w:rsidRPr="00B66F11">
        <w:t>’</w:t>
      </w:r>
      <w:r w:rsidR="00216721" w:rsidRPr="00B66F11">
        <w:t>s case-law</w:t>
      </w:r>
      <w:r w:rsidR="00FE0027" w:rsidRPr="00B66F11">
        <w:t>.</w:t>
      </w:r>
    </w:p>
    <w:p w:rsidR="00FE0027" w:rsidRPr="00B66F11" w:rsidRDefault="00FE0027"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39</w:t>
      </w:r>
      <w:r w:rsidRPr="00B66F11">
        <w:fldChar w:fldCharType="end"/>
      </w:r>
      <w:r w:rsidRPr="00B66F11">
        <w:t>.  The Court notes from the Government</w:t>
      </w:r>
      <w:r w:rsidR="00B66F11" w:rsidRPr="00B66F11">
        <w:t>’</w:t>
      </w:r>
      <w:r w:rsidRPr="00B66F11">
        <w:t xml:space="preserve">s submissions that the domestic judgment in the above case has remained unenforced to date </w:t>
      </w:r>
      <w:r w:rsidR="00955FC9" w:rsidRPr="00B66F11">
        <w:t>(</w:t>
      </w:r>
      <w:r w:rsidRPr="00B66F11">
        <w:t>see paragraph </w:t>
      </w:r>
      <w:r w:rsidR="005359FE" w:rsidRPr="00B66F11">
        <w:fldChar w:fldCharType="begin"/>
      </w:r>
      <w:r w:rsidR="005359FE" w:rsidRPr="00B66F11">
        <w:instrText xml:space="preserve"> REF OBSG \h </w:instrText>
      </w:r>
      <w:r w:rsidR="005359FE" w:rsidRPr="00B66F11">
        <w:fldChar w:fldCharType="separate"/>
      </w:r>
      <w:r w:rsidR="00B66F11" w:rsidRPr="00B66F11">
        <w:rPr>
          <w:noProof/>
        </w:rPr>
        <w:t>22</w:t>
      </w:r>
      <w:r w:rsidR="005359FE" w:rsidRPr="00B66F11">
        <w:fldChar w:fldCharType="end"/>
      </w:r>
      <w:r w:rsidRPr="00B66F11">
        <w:t xml:space="preserve"> above). The Court considers that the respondent State has an outstanding obligation to secure, by appropriate means, enforcement of the </w:t>
      </w:r>
      <w:r w:rsidR="00216721" w:rsidRPr="00B66F11">
        <w:t xml:space="preserve">unenforced </w:t>
      </w:r>
      <w:r w:rsidRPr="00B66F11">
        <w:t>judgment</w:t>
      </w:r>
      <w:r w:rsidR="00216721" w:rsidRPr="00B66F11">
        <w:t>s</w:t>
      </w:r>
      <w:r w:rsidRPr="00B66F11">
        <w:t xml:space="preserve"> in the applicants</w:t>
      </w:r>
      <w:r w:rsidR="00B66F11" w:rsidRPr="00B66F11">
        <w:t>’</w:t>
      </w:r>
      <w:r w:rsidRPr="00B66F11">
        <w:t xml:space="preserve"> favour (see </w:t>
      </w:r>
      <w:r w:rsidR="007F00E8" w:rsidRPr="00B66F11">
        <w:rPr>
          <w:i/>
        </w:rPr>
        <w:t>Pridatchenko and Others v. </w:t>
      </w:r>
      <w:r w:rsidRPr="00B66F11">
        <w:rPr>
          <w:i/>
        </w:rPr>
        <w:t>Russia</w:t>
      </w:r>
      <w:r w:rsidRPr="00B66F11">
        <w:t xml:space="preserve">, nos. 2191/03 and 3 others, § 68, 21 June 2007, and </w:t>
      </w:r>
      <w:r w:rsidR="007F00E8" w:rsidRPr="00B66F11">
        <w:rPr>
          <w:i/>
        </w:rPr>
        <w:t>Salikova v. </w:t>
      </w:r>
      <w:r w:rsidRPr="00B66F11">
        <w:rPr>
          <w:i/>
        </w:rPr>
        <w:t>Russia</w:t>
      </w:r>
      <w:r w:rsidRPr="00B66F11">
        <w:t>, no. 25270/06, § 83, 15 July 2010).</w:t>
      </w:r>
    </w:p>
    <w:p w:rsidR="00FE0027"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40</w:t>
      </w:r>
      <w:r w:rsidRPr="00B66F11">
        <w:fldChar w:fldCharType="end"/>
      </w:r>
      <w:r w:rsidR="0077175D" w:rsidRPr="00B66F11">
        <w:t>.  </w:t>
      </w:r>
      <w:r w:rsidR="00FE0027" w:rsidRPr="00B66F11">
        <w:t xml:space="preserve">As regards the claims in respect of pecuniary damage, </w:t>
      </w:r>
      <w:r w:rsidR="0063322D" w:rsidRPr="00B66F11">
        <w:t>the Court takes note of the applicants</w:t>
      </w:r>
      <w:r w:rsidR="00B66F11" w:rsidRPr="00B66F11">
        <w:t>’</w:t>
      </w:r>
      <w:r w:rsidR="0063322D" w:rsidRPr="00B66F11">
        <w:t xml:space="preserve"> submissions concerning the compensation proceedings of 9 November 2011 (see paragraph </w:t>
      </w:r>
      <w:r w:rsidR="0063322D" w:rsidRPr="00B66F11">
        <w:fldChar w:fldCharType="begin"/>
      </w:r>
      <w:r w:rsidR="0063322D" w:rsidRPr="00B66F11">
        <w:instrText xml:space="preserve"> REF Judgment09112011 \h </w:instrText>
      </w:r>
      <w:r w:rsidR="0063322D" w:rsidRPr="00B66F11">
        <w:fldChar w:fldCharType="separate"/>
      </w:r>
      <w:r w:rsidR="00B66F11" w:rsidRPr="00B66F11">
        <w:rPr>
          <w:noProof/>
        </w:rPr>
        <w:t>9</w:t>
      </w:r>
      <w:r w:rsidR="0063322D" w:rsidRPr="00B66F11">
        <w:fldChar w:fldCharType="end"/>
      </w:r>
      <w:r w:rsidR="0063322D" w:rsidRPr="00B66F11">
        <w:t>). In any event, the</w:t>
      </w:r>
      <w:r w:rsidR="003619E4" w:rsidRPr="00B66F11">
        <w:t xml:space="preserve"> Court </w:t>
      </w:r>
      <w:r w:rsidR="00FE0027" w:rsidRPr="00B66F11">
        <w:t xml:space="preserve">agrees with the Government </w:t>
      </w:r>
      <w:r w:rsidR="003619E4" w:rsidRPr="00B66F11">
        <w:t>and considers that</w:t>
      </w:r>
      <w:r w:rsidR="00FE0027" w:rsidRPr="00B66F11">
        <w:t xml:space="preserve"> the applicants failed to substantiate their claims by making itemised calculations and producing invoices or other documentary evidence of the material loss </w:t>
      </w:r>
      <w:r w:rsidR="0005503E" w:rsidRPr="00B66F11">
        <w:t>they</w:t>
      </w:r>
      <w:r w:rsidR="00FE0027" w:rsidRPr="00B66F11">
        <w:t xml:space="preserve"> had allegedly sustained</w:t>
      </w:r>
      <w:r w:rsidR="0005503E" w:rsidRPr="00B66F11">
        <w:t xml:space="preserve">, and </w:t>
      </w:r>
      <w:r w:rsidR="00FE0027" w:rsidRPr="00B66F11">
        <w:t>rejects the</w:t>
      </w:r>
      <w:r w:rsidR="00470FF6" w:rsidRPr="00B66F11">
        <w:t>ir</w:t>
      </w:r>
      <w:r w:rsidR="00FE0027" w:rsidRPr="00B66F11">
        <w:t xml:space="preserve"> claims under this head.</w:t>
      </w:r>
    </w:p>
    <w:p w:rsidR="00D420F3" w:rsidRPr="00B66F11" w:rsidRDefault="00FE0027"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41</w:t>
      </w:r>
      <w:r w:rsidRPr="00B66F11">
        <w:fldChar w:fldCharType="end"/>
      </w:r>
      <w:r w:rsidRPr="00B66F11">
        <w:t>.  </w:t>
      </w:r>
      <w:r w:rsidR="0077175D" w:rsidRPr="00B66F11">
        <w:t xml:space="preserve">On the other hand, </w:t>
      </w:r>
      <w:r w:rsidR="00F3547E" w:rsidRPr="00B66F11">
        <w:t>the Court considers that the applicants must have suffered non</w:t>
      </w:r>
      <w:r w:rsidR="00F3547E" w:rsidRPr="00B66F11">
        <w:noBreakHyphen/>
        <w:t>pecuniary damage on account of the violation found. It awards them jointly, on an equitable basis, E</w:t>
      </w:r>
      <w:r w:rsidR="00A10E47" w:rsidRPr="00B66F11">
        <w:t>UR 7,</w:t>
      </w:r>
      <w:r w:rsidR="000D20AF" w:rsidRPr="00B66F11">
        <w:t>8</w:t>
      </w:r>
      <w:r w:rsidR="00F3547E" w:rsidRPr="00B66F11">
        <w:t>00</w:t>
      </w:r>
      <w:r w:rsidR="005359FE" w:rsidRPr="00B66F11">
        <w:t xml:space="preserve"> </w:t>
      </w:r>
      <w:r w:rsidR="0077175D" w:rsidRPr="00B66F11">
        <w:t xml:space="preserve">in respect of non-pecuniary </w:t>
      </w:r>
      <w:r w:rsidR="0077175D" w:rsidRPr="00B66F11">
        <w:lastRenderedPageBreak/>
        <w:t>damage</w:t>
      </w:r>
      <w:r w:rsidR="004E505D" w:rsidRPr="00B66F11">
        <w:t xml:space="preserve">, </w:t>
      </w:r>
      <w:r w:rsidR="00E361BB" w:rsidRPr="00B66F11">
        <w:t xml:space="preserve">plus any tax that may be chargeable, </w:t>
      </w:r>
      <w:r w:rsidR="004E505D" w:rsidRPr="00B66F11">
        <w:t>and rejects the remainder of the claims under this head</w:t>
      </w:r>
      <w:r w:rsidR="0077175D" w:rsidRPr="00B66F11">
        <w:t>.</w:t>
      </w:r>
    </w:p>
    <w:p w:rsidR="00D420F3" w:rsidRPr="00B66F11" w:rsidRDefault="0077175D" w:rsidP="00B66F11">
      <w:pPr>
        <w:pStyle w:val="ECHRHeading2"/>
      </w:pPr>
      <w:r w:rsidRPr="00B66F11">
        <w:t>B.  Costs and expenses</w:t>
      </w:r>
    </w:p>
    <w:p w:rsidR="00A24DD4"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42</w:t>
      </w:r>
      <w:r w:rsidRPr="00B66F11">
        <w:fldChar w:fldCharType="end"/>
      </w:r>
      <w:r w:rsidR="0077175D" w:rsidRPr="00B66F11">
        <w:t>.  The applicant</w:t>
      </w:r>
      <w:r w:rsidRPr="00B66F11">
        <w:t>s</w:t>
      </w:r>
      <w:r w:rsidR="009C7659" w:rsidRPr="00B66F11">
        <w:t xml:space="preserve"> also claimed EUR 4,484.4</w:t>
      </w:r>
      <w:r w:rsidR="0077175D" w:rsidRPr="00B66F11">
        <w:t xml:space="preserve"> for the costs and expenses incurred before the Court</w:t>
      </w:r>
      <w:r w:rsidR="00C54835" w:rsidRPr="00B66F11">
        <w:t>, arguing that they had</w:t>
      </w:r>
      <w:r w:rsidR="00216721" w:rsidRPr="00B66F11">
        <w:t xml:space="preserve"> paid </w:t>
      </w:r>
      <w:r w:rsidR="00C54835" w:rsidRPr="00B66F11">
        <w:t xml:space="preserve">that amount to </w:t>
      </w:r>
      <w:r w:rsidR="00031872" w:rsidRPr="00B66F11">
        <w:t>Mr </w:t>
      </w:r>
      <w:r w:rsidR="00216721" w:rsidRPr="00B66F11">
        <w:t>V.V. Timoshenko</w:t>
      </w:r>
      <w:r w:rsidR="00C54835" w:rsidRPr="00B66F11">
        <w:t>, apparently a lawyer,</w:t>
      </w:r>
      <w:r w:rsidR="00216721" w:rsidRPr="00B66F11">
        <w:t xml:space="preserve"> for assistance in lodging their initial application and additional correspondence with the Court prior to the communication stage</w:t>
      </w:r>
      <w:r w:rsidR="0077175D" w:rsidRPr="00B66F11">
        <w:t>.</w:t>
      </w:r>
      <w:r w:rsidR="009C7659" w:rsidRPr="00B66F11">
        <w:t xml:space="preserve"> </w:t>
      </w:r>
      <w:r w:rsidR="00A24DD4" w:rsidRPr="00B66F11">
        <w:t>They submitted a sub-section of their claim</w:t>
      </w:r>
      <w:r w:rsidR="009C7659" w:rsidRPr="00B66F11">
        <w:t>s</w:t>
      </w:r>
      <w:r w:rsidR="00A24DD4" w:rsidRPr="00B66F11">
        <w:t xml:space="preserve"> for costs and expenses </w:t>
      </w:r>
      <w:r w:rsidR="009C7659" w:rsidRPr="00B66F11">
        <w:t xml:space="preserve">subtitled </w:t>
      </w:r>
      <w:r w:rsidR="00A24DD4" w:rsidRPr="00B66F11">
        <w:t xml:space="preserve">“act” </w:t>
      </w:r>
      <w:r w:rsidR="009C7659" w:rsidRPr="00B66F11">
        <w:t xml:space="preserve">and referring to 15 July 2013 as the date of </w:t>
      </w:r>
      <w:r w:rsidR="00216721" w:rsidRPr="00B66F11">
        <w:t>the agreement</w:t>
      </w:r>
      <w:r w:rsidR="009C7659" w:rsidRPr="00B66F11">
        <w:t xml:space="preserve"> </w:t>
      </w:r>
      <w:r w:rsidR="00A24DD4" w:rsidRPr="00B66F11">
        <w:t>but integrated in the text of their just satisfaction claims of 8 December 20</w:t>
      </w:r>
      <w:r w:rsidR="009C7659" w:rsidRPr="00B66F11">
        <w:t>16</w:t>
      </w:r>
      <w:r w:rsidR="00C85F6E" w:rsidRPr="00B66F11">
        <w:t xml:space="preserve">. The act </w:t>
      </w:r>
      <w:r w:rsidR="00A24DD4" w:rsidRPr="00B66F11">
        <w:t>contain</w:t>
      </w:r>
      <w:r w:rsidR="00C85F6E" w:rsidRPr="00B66F11">
        <w:t xml:space="preserve">ed </w:t>
      </w:r>
      <w:r w:rsidR="00A24DD4" w:rsidRPr="00B66F11">
        <w:t xml:space="preserve">signatures of Mr </w:t>
      </w:r>
      <w:r w:rsidR="00216721" w:rsidRPr="00B66F11">
        <w:t xml:space="preserve">V.V. </w:t>
      </w:r>
      <w:r w:rsidR="00A24DD4" w:rsidRPr="00B66F11">
        <w:t>Timoshenko and the applicants</w:t>
      </w:r>
      <w:r w:rsidR="009C7659" w:rsidRPr="00B66F11">
        <w:t>, as well as Mr Timoshenko</w:t>
      </w:r>
      <w:r w:rsidR="00B66F11" w:rsidRPr="00B66F11">
        <w:t>’</w:t>
      </w:r>
      <w:r w:rsidR="009C7659" w:rsidRPr="00B66F11">
        <w:t>s timesheets</w:t>
      </w:r>
      <w:r w:rsidR="00C85F6E" w:rsidRPr="00B66F11">
        <w:t xml:space="preserve"> which </w:t>
      </w:r>
      <w:r w:rsidR="009C7659" w:rsidRPr="00B66F11">
        <w:t>indicated that t</w:t>
      </w:r>
      <w:r w:rsidR="00FB2607" w:rsidRPr="00B66F11">
        <w:t>he latter has s</w:t>
      </w:r>
      <w:r w:rsidR="009C7659" w:rsidRPr="00B66F11">
        <w:t xml:space="preserve">pent 8 hours </w:t>
      </w:r>
      <w:r w:rsidR="00C54835" w:rsidRPr="00B66F11">
        <w:t>to discuss and examine the</w:t>
      </w:r>
      <w:r w:rsidR="009C7659" w:rsidRPr="00B66F11">
        <w:t xml:space="preserve"> case file a</w:t>
      </w:r>
      <w:r w:rsidR="00C54835" w:rsidRPr="00B66F11">
        <w:t>nd</w:t>
      </w:r>
      <w:r w:rsidR="009732CA" w:rsidRPr="00B66F11">
        <w:t xml:space="preserve"> 100 </w:t>
      </w:r>
      <w:r w:rsidR="009C7659" w:rsidRPr="00B66F11">
        <w:t>hours to complete the application fo</w:t>
      </w:r>
      <w:r w:rsidR="00E361BB" w:rsidRPr="00B66F11">
        <w:t>rm, at the hourly rate of EUR 41.5</w:t>
      </w:r>
      <w:r w:rsidR="009C7659" w:rsidRPr="00B66F11">
        <w:t xml:space="preserve"> per hour.</w:t>
      </w:r>
      <w:r w:rsidR="00FB2607" w:rsidRPr="00B66F11">
        <w:t xml:space="preserve"> The price included, </w:t>
      </w:r>
      <w:r w:rsidR="00FB2607" w:rsidRPr="00B66F11">
        <w:rPr>
          <w:i/>
        </w:rPr>
        <w:t>inter alia</w:t>
      </w:r>
      <w:r w:rsidR="00FB2607" w:rsidRPr="00B66F11">
        <w:t>, the translation services</w:t>
      </w:r>
      <w:r w:rsidR="00216721" w:rsidRPr="00B66F11">
        <w:t>. T</w:t>
      </w:r>
      <w:r w:rsidR="00C85F6E" w:rsidRPr="00B66F11">
        <w:t>he act</w:t>
      </w:r>
      <w:r w:rsidR="00FB2607" w:rsidRPr="00B66F11">
        <w:t xml:space="preserve"> stated that the applicants had paid Mr Timoshenko</w:t>
      </w:r>
      <w:r w:rsidR="00B66F11" w:rsidRPr="00B66F11">
        <w:t>’</w:t>
      </w:r>
      <w:r w:rsidR="00FB2607" w:rsidRPr="00B66F11">
        <w:t>s services in two instalments in 2013 and 2014.</w:t>
      </w:r>
    </w:p>
    <w:p w:rsidR="00D420F3"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43</w:t>
      </w:r>
      <w:r w:rsidRPr="00B66F11">
        <w:fldChar w:fldCharType="end"/>
      </w:r>
      <w:r w:rsidR="0077175D" w:rsidRPr="00B66F11">
        <w:t xml:space="preserve">.  The Government </w:t>
      </w:r>
      <w:r w:rsidR="00FB2607" w:rsidRPr="00B66F11">
        <w:t>submitted that the applicants failed to provide any evidence confirming that those expenses had been actually incurred.</w:t>
      </w:r>
    </w:p>
    <w:p w:rsidR="00A9094C"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44</w:t>
      </w:r>
      <w:r w:rsidRPr="00B66F11">
        <w:fldChar w:fldCharType="end"/>
      </w:r>
      <w:r w:rsidR="0077175D" w:rsidRPr="00B66F11">
        <w:t>.  </w:t>
      </w:r>
      <w:r w:rsidR="00A24DD4" w:rsidRPr="00B66F11">
        <w:t>The Court notes that the applicant</w:t>
      </w:r>
      <w:r w:rsidR="009C7659" w:rsidRPr="00B66F11">
        <w:t>s in this straightforward case</w:t>
      </w:r>
      <w:r w:rsidR="00A24DD4" w:rsidRPr="00B66F11">
        <w:t xml:space="preserve"> were not represented in the proceedings before the Court</w:t>
      </w:r>
      <w:r w:rsidR="009C7659" w:rsidRPr="00B66F11">
        <w:t xml:space="preserve"> and</w:t>
      </w:r>
      <w:r w:rsidR="00C54835" w:rsidRPr="00B66F11">
        <w:t xml:space="preserve"> </w:t>
      </w:r>
      <w:r w:rsidR="009C7659" w:rsidRPr="00B66F11">
        <w:t xml:space="preserve">were granted leave for self-representation pursuant to their own request </w:t>
      </w:r>
      <w:r w:rsidR="00C85F6E" w:rsidRPr="00B66F11">
        <w:t xml:space="preserve">of </w:t>
      </w:r>
      <w:r w:rsidR="009C7659" w:rsidRPr="00B66F11">
        <w:t xml:space="preserve">December 2016. The initial application was lodged in Russian, so no translation </w:t>
      </w:r>
      <w:r w:rsidR="00216721" w:rsidRPr="00B66F11">
        <w:t xml:space="preserve">was </w:t>
      </w:r>
      <w:r w:rsidR="002B0AF0" w:rsidRPr="00B66F11">
        <w:t>required</w:t>
      </w:r>
      <w:r w:rsidR="009C7659" w:rsidRPr="00B66F11">
        <w:t>. The case</w:t>
      </w:r>
      <w:r w:rsidR="00A24DD4" w:rsidRPr="00B66F11">
        <w:t xml:space="preserve"> file contains neither an </w:t>
      </w:r>
      <w:r w:rsidR="00031872" w:rsidRPr="00B66F11">
        <w:t>authority form in respect of Mr </w:t>
      </w:r>
      <w:r w:rsidR="00A24DD4" w:rsidRPr="00B66F11">
        <w:t xml:space="preserve">Timoshenko nor any other </w:t>
      </w:r>
      <w:r w:rsidR="009C7659" w:rsidRPr="00B66F11">
        <w:t xml:space="preserve">evidence of, or </w:t>
      </w:r>
      <w:r w:rsidR="00A24DD4" w:rsidRPr="00B66F11">
        <w:t xml:space="preserve">reference to his assistance in either the domestic proceedings or the proceedings before the Court, apart from the above-mentioned “act”. </w:t>
      </w:r>
      <w:r w:rsidR="009C7659" w:rsidRPr="00B66F11">
        <w:t>Further, they have not submitted a copy of the original agreement</w:t>
      </w:r>
      <w:r w:rsidR="00FB2607" w:rsidRPr="00B66F11">
        <w:t xml:space="preserve"> dated 15 July 2013</w:t>
      </w:r>
      <w:r w:rsidR="009C7659" w:rsidRPr="00B66F11">
        <w:t>, or a</w:t>
      </w:r>
      <w:r w:rsidR="00A9094C" w:rsidRPr="00B66F11">
        <w:t>ny receipts or payment orders to prove that they had incurred those expenses.</w:t>
      </w:r>
      <w:r w:rsidR="009C7659" w:rsidRPr="00B66F11">
        <w:t xml:space="preserve"> </w:t>
      </w:r>
      <w:r w:rsidR="00A9094C" w:rsidRPr="00B66F11">
        <w:t xml:space="preserve">Regard being had to these considerations and to its case-law, the Court </w:t>
      </w:r>
      <w:r w:rsidR="00FB2607" w:rsidRPr="00B66F11">
        <w:t xml:space="preserve">agrees with the Government and </w:t>
      </w:r>
      <w:r w:rsidR="00A9094C" w:rsidRPr="00B66F11">
        <w:t>rejects the claim for costs and expenses in full.</w:t>
      </w:r>
    </w:p>
    <w:p w:rsidR="00D420F3" w:rsidRPr="00B66F11" w:rsidRDefault="0077175D" w:rsidP="00B66F11">
      <w:pPr>
        <w:pStyle w:val="ECHRHeading2"/>
      </w:pPr>
      <w:r w:rsidRPr="00B66F11">
        <w:t>C.  Default interest</w:t>
      </w:r>
    </w:p>
    <w:p w:rsidR="00D420F3" w:rsidRPr="00B66F11" w:rsidRDefault="00943334" w:rsidP="00B66F11">
      <w:pPr>
        <w:pStyle w:val="ECHRPara"/>
      </w:pPr>
      <w:r w:rsidRPr="00B66F11">
        <w:fldChar w:fldCharType="begin"/>
      </w:r>
      <w:r w:rsidRPr="00B66F11">
        <w:instrText xml:space="preserve"> SEQ level0 \*arabic </w:instrText>
      </w:r>
      <w:r w:rsidRPr="00B66F11">
        <w:fldChar w:fldCharType="separate"/>
      </w:r>
      <w:r w:rsidR="00B66F11" w:rsidRPr="00B66F11">
        <w:rPr>
          <w:noProof/>
        </w:rPr>
        <w:t>45</w:t>
      </w:r>
      <w:r w:rsidRPr="00B66F11">
        <w:fldChar w:fldCharType="end"/>
      </w:r>
      <w:r w:rsidR="0077175D" w:rsidRPr="00B66F11">
        <w:t>.  The Court considers it appropriate that the default interest rate should be based on the marginal lending rate of the European Central Bank, to which should be added three percentage points.</w:t>
      </w:r>
    </w:p>
    <w:p w:rsidR="00D420F3" w:rsidRPr="00B66F11" w:rsidRDefault="0077175D" w:rsidP="00B66F11">
      <w:pPr>
        <w:pStyle w:val="ECHRTitle1"/>
      </w:pPr>
      <w:r w:rsidRPr="00B66F11">
        <w:lastRenderedPageBreak/>
        <w:t>FOR THESE REASONS, THE COURT</w:t>
      </w:r>
      <w:r w:rsidR="00943334" w:rsidRPr="00B66F11">
        <w:t>, UNANIMOUSLY,</w:t>
      </w:r>
    </w:p>
    <w:p w:rsidR="00D420F3" w:rsidRPr="00B66F11" w:rsidRDefault="0077175D" w:rsidP="00B66F11">
      <w:pPr>
        <w:pStyle w:val="JuList"/>
      </w:pPr>
      <w:r w:rsidRPr="00B66F11">
        <w:t>1.  </w:t>
      </w:r>
      <w:r w:rsidRPr="00B66F11">
        <w:rPr>
          <w:i/>
        </w:rPr>
        <w:t>Declares</w:t>
      </w:r>
      <w:r w:rsidRPr="00B66F11">
        <w:rPr>
          <w:color w:val="000000"/>
        </w:rPr>
        <w:t xml:space="preserve"> </w:t>
      </w:r>
      <w:r w:rsidRPr="00B66F11">
        <w:t xml:space="preserve">the </w:t>
      </w:r>
      <w:r w:rsidR="00B74B5E" w:rsidRPr="00B66F11">
        <w:t>non-enforcement complaint</w:t>
      </w:r>
      <w:r w:rsidR="007C653A" w:rsidRPr="00B66F11">
        <w:t xml:space="preserve"> under Article 6 of the Convention </w:t>
      </w:r>
      <w:r w:rsidRPr="00B66F11">
        <w:t>admissible</w:t>
      </w:r>
      <w:r w:rsidR="0047629D" w:rsidRPr="00B66F11">
        <w:t xml:space="preserve"> and the remainder of the complaints under this </w:t>
      </w:r>
      <w:r w:rsidR="00020376" w:rsidRPr="00B66F11">
        <w:t xml:space="preserve">Convention provision </w:t>
      </w:r>
      <w:r w:rsidR="0047629D" w:rsidRPr="00B66F11">
        <w:t>inadmissible</w:t>
      </w:r>
      <w:r w:rsidRPr="00B66F11">
        <w:t>;</w:t>
      </w:r>
    </w:p>
    <w:p w:rsidR="00D420F3" w:rsidRPr="00B66F11" w:rsidRDefault="00D420F3" w:rsidP="00B66F11">
      <w:pPr>
        <w:pStyle w:val="JuList"/>
        <w:ind w:left="0" w:firstLine="0"/>
      </w:pPr>
    </w:p>
    <w:p w:rsidR="007C653A" w:rsidRPr="00B66F11" w:rsidRDefault="00E177A6" w:rsidP="00B66F11">
      <w:pPr>
        <w:pStyle w:val="JuList"/>
      </w:pPr>
      <w:r w:rsidRPr="00B66F11">
        <w:t>2</w:t>
      </w:r>
      <w:r w:rsidR="0077175D" w:rsidRPr="00B66F11">
        <w:t>.  </w:t>
      </w:r>
      <w:r w:rsidR="0077175D" w:rsidRPr="00B66F11">
        <w:rPr>
          <w:i/>
        </w:rPr>
        <w:t>Holds</w:t>
      </w:r>
      <w:r w:rsidR="0077175D" w:rsidRPr="00B66F11">
        <w:rPr>
          <w:color w:val="000000"/>
        </w:rPr>
        <w:t xml:space="preserve"> </w:t>
      </w:r>
      <w:r w:rsidR="0077175D" w:rsidRPr="00B66F11">
        <w:t>that there has been a violation of Article</w:t>
      </w:r>
      <w:r w:rsidRPr="00B66F11">
        <w:t> 6 of the Convention</w:t>
      </w:r>
      <w:r w:rsidR="007C653A" w:rsidRPr="00B66F11">
        <w:t>;</w:t>
      </w:r>
    </w:p>
    <w:p w:rsidR="007C653A" w:rsidRPr="00B66F11" w:rsidRDefault="007C653A" w:rsidP="00B66F11">
      <w:pPr>
        <w:pStyle w:val="JuList"/>
      </w:pPr>
    </w:p>
    <w:p w:rsidR="00D420F3" w:rsidRPr="00B66F11" w:rsidRDefault="00E177A6" w:rsidP="00B66F11">
      <w:pPr>
        <w:pStyle w:val="JuList"/>
      </w:pPr>
      <w:r w:rsidRPr="00B66F11">
        <w:t>3</w:t>
      </w:r>
      <w:r w:rsidR="0077175D" w:rsidRPr="00B66F11">
        <w:t>.  </w:t>
      </w:r>
      <w:r w:rsidR="0077175D" w:rsidRPr="00B66F11">
        <w:rPr>
          <w:i/>
        </w:rPr>
        <w:t>Holds</w:t>
      </w:r>
      <w:r w:rsidR="0077175D" w:rsidRPr="00B66F11">
        <w:rPr>
          <w:color w:val="000000"/>
        </w:rPr>
        <w:t xml:space="preserve"> </w:t>
      </w:r>
      <w:r w:rsidR="0077175D" w:rsidRPr="00B66F11">
        <w:t xml:space="preserve">that there is no need to examine the </w:t>
      </w:r>
      <w:r w:rsidR="007C653A" w:rsidRPr="00B66F11">
        <w:t xml:space="preserve">admissibility and merits of the </w:t>
      </w:r>
      <w:r w:rsidR="0077175D" w:rsidRPr="00B66F11">
        <w:t>complaint</w:t>
      </w:r>
      <w:r w:rsidR="00020376" w:rsidRPr="00B66F11">
        <w:t>s</w:t>
      </w:r>
      <w:r w:rsidR="0077175D" w:rsidRPr="00B66F11">
        <w:t xml:space="preserve"> </w:t>
      </w:r>
      <w:r w:rsidR="005359FE" w:rsidRPr="00B66F11">
        <w:t xml:space="preserve">under Article 1 of Protocol No. 1 and </w:t>
      </w:r>
      <w:r w:rsidR="0077175D" w:rsidRPr="00B66F11">
        <w:t>under Article</w:t>
      </w:r>
      <w:r w:rsidRPr="00B66F11">
        <w:t> 13</w:t>
      </w:r>
      <w:r w:rsidR="0077175D" w:rsidRPr="00B66F11">
        <w:t xml:space="preserve"> of the Convention;</w:t>
      </w:r>
    </w:p>
    <w:p w:rsidR="00B74B5E" w:rsidRPr="00B66F11" w:rsidRDefault="00B74B5E" w:rsidP="00B66F11">
      <w:pPr>
        <w:pStyle w:val="JuList"/>
      </w:pPr>
    </w:p>
    <w:p w:rsidR="000D4CA9" w:rsidRPr="00B66F11" w:rsidRDefault="00B74B5E" w:rsidP="00B66F11">
      <w:pPr>
        <w:pStyle w:val="JuList"/>
      </w:pPr>
      <w:r w:rsidRPr="00B66F11">
        <w:t>4.  </w:t>
      </w:r>
      <w:r w:rsidRPr="00B66F11">
        <w:rPr>
          <w:i/>
        </w:rPr>
        <w:t>Declares</w:t>
      </w:r>
      <w:r w:rsidR="0047629D" w:rsidRPr="00B66F11">
        <w:t xml:space="preserve"> the remainder of the application inadmissible;</w:t>
      </w:r>
    </w:p>
    <w:p w:rsidR="005359FE" w:rsidRPr="00B66F11" w:rsidRDefault="005359FE" w:rsidP="00B66F11">
      <w:pPr>
        <w:pStyle w:val="JuList"/>
      </w:pPr>
    </w:p>
    <w:p w:rsidR="005359FE" w:rsidRPr="00B66F11" w:rsidRDefault="00B74B5E" w:rsidP="00B66F11">
      <w:pPr>
        <w:pStyle w:val="JuList"/>
      </w:pPr>
      <w:r w:rsidRPr="00B66F11">
        <w:t>5</w:t>
      </w:r>
      <w:r w:rsidR="005359FE" w:rsidRPr="00B66F11">
        <w:t>.  </w:t>
      </w:r>
      <w:r w:rsidR="005359FE" w:rsidRPr="00B66F11">
        <w:rPr>
          <w:i/>
        </w:rPr>
        <w:t xml:space="preserve">Holds </w:t>
      </w:r>
      <w:r w:rsidR="005359FE" w:rsidRPr="00B66F11">
        <w:t>that the respondent State has an outstanding obligation to secure, by appropriate means, within three months, the enforcement of the pending domestic judgments in the applicants</w:t>
      </w:r>
      <w:r w:rsidR="00B66F11" w:rsidRPr="00B66F11">
        <w:t>’</w:t>
      </w:r>
      <w:r w:rsidR="005359FE" w:rsidRPr="00B66F11">
        <w:t xml:space="preserve"> favour referred to in the appended table;</w:t>
      </w:r>
    </w:p>
    <w:p w:rsidR="00E177A6" w:rsidRPr="00B66F11" w:rsidRDefault="00E177A6" w:rsidP="00B66F11">
      <w:pPr>
        <w:pStyle w:val="JuList"/>
      </w:pPr>
    </w:p>
    <w:p w:rsidR="00943334" w:rsidRPr="00B66F11" w:rsidRDefault="00B74B5E" w:rsidP="00B66F11">
      <w:pPr>
        <w:pStyle w:val="JuList"/>
      </w:pPr>
      <w:r w:rsidRPr="00B66F11">
        <w:t>6</w:t>
      </w:r>
      <w:r w:rsidR="0077175D" w:rsidRPr="00B66F11">
        <w:t>.  </w:t>
      </w:r>
      <w:r w:rsidR="0077175D" w:rsidRPr="00B66F11">
        <w:rPr>
          <w:i/>
        </w:rPr>
        <w:t>Holds</w:t>
      </w:r>
    </w:p>
    <w:p w:rsidR="00D420F3" w:rsidRPr="00B66F11" w:rsidRDefault="0077175D" w:rsidP="00B66F11">
      <w:pPr>
        <w:pStyle w:val="JuLista"/>
      </w:pPr>
      <w:r w:rsidRPr="00B66F11">
        <w:t>(a)  that the respondent State is to pay the applicant</w:t>
      </w:r>
      <w:r w:rsidR="00943334" w:rsidRPr="00B66F11">
        <w:t>s</w:t>
      </w:r>
      <w:r w:rsidRPr="00B66F11">
        <w:t xml:space="preserve">, </w:t>
      </w:r>
      <w:r w:rsidR="00F3547E" w:rsidRPr="00B66F11">
        <w:t xml:space="preserve">jointly, </w:t>
      </w:r>
      <w:r w:rsidRPr="00B66F11">
        <w:t>within three months</w:t>
      </w:r>
      <w:r w:rsidR="00F3547E" w:rsidRPr="00B66F11">
        <w:t>, EUR 7,</w:t>
      </w:r>
      <w:r w:rsidR="000D20AF" w:rsidRPr="00B66F11">
        <w:t>8</w:t>
      </w:r>
      <w:r w:rsidR="00F3547E" w:rsidRPr="00B66F11">
        <w:t xml:space="preserve">00 (seven thousand </w:t>
      </w:r>
      <w:r w:rsidR="000D20AF" w:rsidRPr="00B66F11">
        <w:t xml:space="preserve">eight </w:t>
      </w:r>
      <w:r w:rsidR="00F3547E" w:rsidRPr="00B66F11">
        <w:t>hundred euros)</w:t>
      </w:r>
      <w:r w:rsidR="005359FE" w:rsidRPr="00B66F11">
        <w:t xml:space="preserve">, to </w:t>
      </w:r>
      <w:r w:rsidRPr="00B66F11">
        <w:t xml:space="preserve">be converted into </w:t>
      </w:r>
      <w:r w:rsidR="00367F59" w:rsidRPr="00B66F11">
        <w:rPr>
          <w:lang w:val="en-US"/>
        </w:rPr>
        <w:t xml:space="preserve">the currency of the respondent State </w:t>
      </w:r>
      <w:r w:rsidRPr="00B66F11">
        <w:t>at the rate applicable at the date of settlement</w:t>
      </w:r>
      <w:r w:rsidR="005359FE" w:rsidRPr="00B66F11">
        <w:t xml:space="preserve">, </w:t>
      </w:r>
      <w:r w:rsidRPr="00B66F11">
        <w:t>plus any tax that may b</w:t>
      </w:r>
      <w:r w:rsidR="00A65FD2" w:rsidRPr="00B66F11">
        <w:t>e chargeable, in respect of non</w:t>
      </w:r>
      <w:r w:rsidR="00A65FD2" w:rsidRPr="00B66F11">
        <w:noBreakHyphen/>
      </w:r>
      <w:r w:rsidRPr="00B66F11">
        <w:t>pecuniary damage;</w:t>
      </w:r>
    </w:p>
    <w:p w:rsidR="00D420F3" w:rsidRPr="00B66F11" w:rsidRDefault="0077175D" w:rsidP="00B66F11">
      <w:pPr>
        <w:pStyle w:val="JuLista"/>
      </w:pPr>
      <w:r w:rsidRPr="00B66F11">
        <w:t>(b)  that from the expiry of the above-mentioned three months until settlement simple interest shall be payable on the above amounts</w:t>
      </w:r>
      <w:r w:rsidR="005359FE" w:rsidRPr="00B66F11">
        <w:t xml:space="preserve"> </w:t>
      </w:r>
      <w:r w:rsidRPr="00B66F11">
        <w:t>at a rate equal to the marginal lending rate of the European Central Bank during the default period plus three percentage points;</w:t>
      </w:r>
    </w:p>
    <w:p w:rsidR="00D420F3" w:rsidRPr="00B66F11" w:rsidRDefault="00D420F3" w:rsidP="00B66F11">
      <w:pPr>
        <w:pStyle w:val="JuList"/>
      </w:pPr>
    </w:p>
    <w:p w:rsidR="00D420F3" w:rsidRPr="00B66F11" w:rsidRDefault="00B74B5E" w:rsidP="00B66F11">
      <w:pPr>
        <w:pStyle w:val="JuList"/>
      </w:pPr>
      <w:r w:rsidRPr="00B66F11">
        <w:t>7</w:t>
      </w:r>
      <w:r w:rsidR="0077175D" w:rsidRPr="00B66F11">
        <w:t>.  </w:t>
      </w:r>
      <w:r w:rsidR="0077175D" w:rsidRPr="00B66F11">
        <w:rPr>
          <w:i/>
        </w:rPr>
        <w:t>Dismisses</w:t>
      </w:r>
      <w:r w:rsidR="0077175D" w:rsidRPr="00B66F11">
        <w:rPr>
          <w:color w:val="000000"/>
        </w:rPr>
        <w:t xml:space="preserve"> </w:t>
      </w:r>
      <w:r w:rsidR="0077175D" w:rsidRPr="00B66F11">
        <w:t>the remainder of the applicant</w:t>
      </w:r>
      <w:r w:rsidR="00943334" w:rsidRPr="00B66F11">
        <w:t>s</w:t>
      </w:r>
      <w:r w:rsidR="00B66F11" w:rsidRPr="00B66F11">
        <w:t>’</w:t>
      </w:r>
      <w:r w:rsidR="0077175D" w:rsidRPr="00B66F11">
        <w:t xml:space="preserve"> claim for just satisfaction.</w:t>
      </w:r>
    </w:p>
    <w:p w:rsidR="00D420F3" w:rsidRPr="00B66F11" w:rsidRDefault="0077175D" w:rsidP="00B66F11">
      <w:pPr>
        <w:pStyle w:val="JuParaLast"/>
      </w:pPr>
      <w:r w:rsidRPr="00B66F11">
        <w:t xml:space="preserve">Done in English, and notified in writing on </w:t>
      </w:r>
      <w:r w:rsidR="00DF047D" w:rsidRPr="00B66F11">
        <w:t>5 February 2019</w:t>
      </w:r>
      <w:r w:rsidRPr="00B66F11">
        <w:t>, pursuant to Rule 77 §§ 2 and 3 of the Rules of Court.</w:t>
      </w:r>
    </w:p>
    <w:p w:rsidR="00D420F3" w:rsidRPr="00B66F11" w:rsidRDefault="0077175D" w:rsidP="00B66F11">
      <w:pPr>
        <w:pStyle w:val="JuSigned"/>
      </w:pPr>
      <w:r w:rsidRPr="00B66F11">
        <w:tab/>
      </w:r>
      <w:r w:rsidR="00943334" w:rsidRPr="00B66F11">
        <w:t>Fatoş Aracı</w:t>
      </w:r>
      <w:r w:rsidRPr="00B66F11">
        <w:tab/>
      </w:r>
      <w:r w:rsidR="00DF047D" w:rsidRPr="00B66F11">
        <w:rPr>
          <w:lang w:val="en-US"/>
        </w:rPr>
        <w:t>Branko Lubarda</w:t>
      </w:r>
      <w:r w:rsidRPr="00B66F11">
        <w:rPr>
          <w:szCs w:val="24"/>
        </w:rPr>
        <w:br/>
      </w:r>
      <w:r w:rsidRPr="00B66F11">
        <w:tab/>
      </w:r>
      <w:r w:rsidR="00943334" w:rsidRPr="00B66F11">
        <w:t xml:space="preserve">Deputy </w:t>
      </w:r>
      <w:r w:rsidR="00943334" w:rsidRPr="00B66F11">
        <w:rPr>
          <w:iCs/>
        </w:rPr>
        <w:t>Registrar</w:t>
      </w:r>
      <w:r w:rsidRPr="00B66F11">
        <w:tab/>
        <w:t>President</w:t>
      </w:r>
    </w:p>
    <w:p w:rsidR="00B50C91" w:rsidRPr="00B66F11" w:rsidRDefault="00B50C91" w:rsidP="00B66F11">
      <w:pPr>
        <w:pStyle w:val="JuParaLast"/>
      </w:pPr>
    </w:p>
    <w:p w:rsidR="00E177A6" w:rsidRPr="00B66F11" w:rsidRDefault="00E177A6" w:rsidP="00B66F11">
      <w:pPr>
        <w:jc w:val="left"/>
        <w:rPr>
          <w:lang w:val="en-GB"/>
        </w:rPr>
      </w:pPr>
      <w:r w:rsidRPr="00B66F11">
        <w:rPr>
          <w:lang w:val="en-GB"/>
        </w:rPr>
        <w:br w:type="page"/>
      </w:r>
    </w:p>
    <w:p w:rsidR="00D420F3" w:rsidRPr="00B66F11" w:rsidRDefault="00E177A6" w:rsidP="00B66F11">
      <w:pPr>
        <w:pStyle w:val="JuTitle"/>
      </w:pPr>
      <w:r w:rsidRPr="00B66F11">
        <w:lastRenderedPageBreak/>
        <w:t>APPENDIX</w:t>
      </w:r>
    </w:p>
    <w:tbl>
      <w:tblPr>
        <w:tblStyle w:val="ECHRListTable"/>
        <w:tblW w:w="75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976"/>
        <w:gridCol w:w="3544"/>
      </w:tblGrid>
      <w:tr w:rsidR="002A0CEC" w:rsidRPr="00B66F11" w:rsidTr="00A80646">
        <w:trPr>
          <w:cnfStyle w:val="100000000000" w:firstRow="1" w:lastRow="0" w:firstColumn="0" w:lastColumn="0" w:oddVBand="0" w:evenVBand="0" w:oddHBand="0" w:evenHBand="0" w:firstRowFirstColumn="0" w:firstRowLastColumn="0" w:lastRowFirstColumn="0" w:lastRowLastColumn="0"/>
          <w:cantSplit/>
        </w:trPr>
        <w:tc>
          <w:tcPr>
            <w:tcW w:w="3976" w:type="dxa"/>
            <w:tcBorders>
              <w:top w:val="none" w:sz="0" w:space="0" w:color="auto"/>
              <w:left w:val="none" w:sz="0" w:space="0" w:color="auto"/>
              <w:bottom w:val="none" w:sz="0" w:space="0" w:color="auto"/>
              <w:right w:val="none" w:sz="0" w:space="0" w:color="auto"/>
            </w:tcBorders>
          </w:tcPr>
          <w:p w:rsidR="002A0CEC" w:rsidRPr="00B66F11" w:rsidRDefault="002A0CEC" w:rsidP="00B66F11">
            <w:pPr>
              <w:jc w:val="center"/>
              <w:rPr>
                <w:sz w:val="20"/>
                <w:szCs w:val="20"/>
              </w:rPr>
            </w:pPr>
            <w:r w:rsidRPr="00B66F11">
              <w:rPr>
                <w:sz w:val="20"/>
                <w:szCs w:val="20"/>
              </w:rPr>
              <w:t>The applicants</w:t>
            </w:r>
            <w:r w:rsidR="00B66F11" w:rsidRPr="00B66F11">
              <w:rPr>
                <w:sz w:val="20"/>
                <w:szCs w:val="20"/>
              </w:rPr>
              <w:t>’</w:t>
            </w:r>
            <w:r w:rsidRPr="00B66F11">
              <w:rPr>
                <w:sz w:val="20"/>
                <w:szCs w:val="20"/>
              </w:rPr>
              <w:t xml:space="preserve"> names,</w:t>
            </w:r>
          </w:p>
          <w:p w:rsidR="002A0CEC" w:rsidRPr="00B66F11" w:rsidRDefault="002A0CEC" w:rsidP="00B66F11">
            <w:pPr>
              <w:jc w:val="center"/>
              <w:rPr>
                <w:sz w:val="20"/>
                <w:szCs w:val="20"/>
              </w:rPr>
            </w:pPr>
            <w:r w:rsidRPr="00B66F11">
              <w:rPr>
                <w:sz w:val="20"/>
                <w:szCs w:val="20"/>
              </w:rPr>
              <w:t>Dates of birth and residence</w:t>
            </w:r>
          </w:p>
          <w:p w:rsidR="002A0CEC" w:rsidRPr="00B66F11" w:rsidRDefault="002A0CEC" w:rsidP="00B66F11">
            <w:pPr>
              <w:jc w:val="center"/>
              <w:rPr>
                <w:sz w:val="20"/>
                <w:szCs w:val="20"/>
              </w:rPr>
            </w:pPr>
          </w:p>
        </w:tc>
        <w:tc>
          <w:tcPr>
            <w:tcW w:w="3544" w:type="dxa"/>
            <w:tcBorders>
              <w:top w:val="none" w:sz="0" w:space="0" w:color="auto"/>
              <w:left w:val="none" w:sz="0" w:space="0" w:color="auto"/>
              <w:bottom w:val="none" w:sz="0" w:space="0" w:color="auto"/>
              <w:right w:val="none" w:sz="0" w:space="0" w:color="auto"/>
            </w:tcBorders>
          </w:tcPr>
          <w:p w:rsidR="002A0CEC" w:rsidRPr="00B66F11" w:rsidRDefault="002A0CEC" w:rsidP="00B66F11">
            <w:pPr>
              <w:jc w:val="center"/>
              <w:rPr>
                <w:sz w:val="20"/>
                <w:szCs w:val="20"/>
              </w:rPr>
            </w:pPr>
            <w:r w:rsidRPr="00B66F11">
              <w:rPr>
                <w:sz w:val="20"/>
                <w:szCs w:val="20"/>
              </w:rPr>
              <w:t>Domestic judgments</w:t>
            </w:r>
            <w:r w:rsidR="00B66F11" w:rsidRPr="00B66F11">
              <w:rPr>
                <w:sz w:val="20"/>
                <w:szCs w:val="20"/>
              </w:rPr>
              <w:t>’</w:t>
            </w:r>
            <w:r w:rsidRPr="00B66F11">
              <w:rPr>
                <w:sz w:val="20"/>
                <w:szCs w:val="20"/>
              </w:rPr>
              <w:t xml:space="preserve"> dates, entry into force</w:t>
            </w:r>
            <w:r w:rsidR="00F61473" w:rsidRPr="00B66F11">
              <w:rPr>
                <w:sz w:val="20"/>
                <w:szCs w:val="20"/>
              </w:rPr>
              <w:t>, notes</w:t>
            </w:r>
          </w:p>
        </w:tc>
      </w:tr>
      <w:tr w:rsidR="00A80646" w:rsidRPr="00B66F11" w:rsidTr="00367F59">
        <w:trPr>
          <w:cantSplit/>
          <w:trHeight w:val="964"/>
        </w:trPr>
        <w:tc>
          <w:tcPr>
            <w:tcW w:w="3976" w:type="dxa"/>
          </w:tcPr>
          <w:p w:rsidR="00A80646" w:rsidRPr="00B66F11" w:rsidRDefault="00A80646" w:rsidP="00B66F11">
            <w:pPr>
              <w:jc w:val="center"/>
              <w:rPr>
                <w:b/>
                <w:sz w:val="20"/>
                <w:szCs w:val="20"/>
              </w:rPr>
            </w:pPr>
            <w:r w:rsidRPr="00B66F11">
              <w:rPr>
                <w:b/>
                <w:sz w:val="20"/>
                <w:szCs w:val="20"/>
              </w:rPr>
              <w:t>Vera Dmitriyevna KONSTANTINOVA</w:t>
            </w:r>
          </w:p>
          <w:p w:rsidR="00A80646" w:rsidRPr="00B66F11" w:rsidRDefault="00A80646" w:rsidP="00B66F11">
            <w:pPr>
              <w:jc w:val="center"/>
              <w:rPr>
                <w:sz w:val="20"/>
                <w:szCs w:val="20"/>
              </w:rPr>
            </w:pPr>
            <w:r w:rsidRPr="00B66F11">
              <w:rPr>
                <w:sz w:val="20"/>
                <w:szCs w:val="20"/>
              </w:rPr>
              <w:t>24/05/1945</w:t>
            </w:r>
          </w:p>
          <w:p w:rsidR="00A80646" w:rsidRPr="00B66F11" w:rsidRDefault="00A80646" w:rsidP="00B66F11">
            <w:pPr>
              <w:jc w:val="center"/>
              <w:rPr>
                <w:sz w:val="20"/>
                <w:szCs w:val="20"/>
              </w:rPr>
            </w:pPr>
            <w:r w:rsidRPr="00B66F11">
              <w:rPr>
                <w:sz w:val="20"/>
                <w:szCs w:val="20"/>
              </w:rPr>
              <w:t>Pervomayskiy</w:t>
            </w:r>
          </w:p>
          <w:p w:rsidR="00A80646" w:rsidRPr="00B66F11" w:rsidRDefault="00A80646" w:rsidP="00B66F11">
            <w:pPr>
              <w:jc w:val="center"/>
              <w:rPr>
                <w:sz w:val="20"/>
                <w:szCs w:val="20"/>
              </w:rPr>
            </w:pPr>
          </w:p>
        </w:tc>
        <w:tc>
          <w:tcPr>
            <w:tcW w:w="3544" w:type="dxa"/>
            <w:vMerge w:val="restart"/>
          </w:tcPr>
          <w:p w:rsidR="00A80646" w:rsidRPr="00B66F11" w:rsidRDefault="00A80646" w:rsidP="00B66F11">
            <w:pPr>
              <w:jc w:val="center"/>
              <w:rPr>
                <w:sz w:val="20"/>
                <w:szCs w:val="20"/>
              </w:rPr>
            </w:pPr>
            <w:r w:rsidRPr="00B66F11">
              <w:rPr>
                <w:sz w:val="20"/>
                <w:szCs w:val="20"/>
              </w:rPr>
              <w:t>12/03/2008</w:t>
            </w:r>
          </w:p>
          <w:p w:rsidR="00A80646" w:rsidRPr="00B66F11" w:rsidRDefault="00A80646" w:rsidP="00B66F11">
            <w:pPr>
              <w:jc w:val="center"/>
              <w:rPr>
                <w:sz w:val="20"/>
                <w:szCs w:val="20"/>
              </w:rPr>
            </w:pPr>
            <w:r w:rsidRPr="00B66F11">
              <w:rPr>
                <w:sz w:val="20"/>
                <w:szCs w:val="20"/>
              </w:rPr>
              <w:t>01/04/2008;</w:t>
            </w:r>
          </w:p>
          <w:p w:rsidR="00A80646" w:rsidRPr="00B66F11" w:rsidRDefault="00A80646" w:rsidP="00B66F11">
            <w:pPr>
              <w:jc w:val="center"/>
              <w:rPr>
                <w:sz w:val="20"/>
                <w:szCs w:val="20"/>
              </w:rPr>
            </w:pPr>
            <w:r w:rsidRPr="00B66F11">
              <w:rPr>
                <w:sz w:val="20"/>
                <w:szCs w:val="20"/>
              </w:rPr>
              <w:t>The third applicant is referred to in the judgment as Aleksey Viktorovich Skred</w:t>
            </w:r>
          </w:p>
          <w:p w:rsidR="00A80646" w:rsidRPr="00B66F11" w:rsidRDefault="00A80646" w:rsidP="00B66F11">
            <w:pPr>
              <w:jc w:val="center"/>
              <w:rPr>
                <w:sz w:val="20"/>
                <w:szCs w:val="20"/>
              </w:rPr>
            </w:pPr>
          </w:p>
        </w:tc>
      </w:tr>
      <w:tr w:rsidR="00A80646" w:rsidRPr="00B66F11" w:rsidTr="00A80646">
        <w:trPr>
          <w:cantSplit/>
          <w:trHeight w:val="763"/>
        </w:trPr>
        <w:tc>
          <w:tcPr>
            <w:tcW w:w="3976" w:type="dxa"/>
          </w:tcPr>
          <w:p w:rsidR="00A80646" w:rsidRPr="00B66F11" w:rsidRDefault="00A80646" w:rsidP="00B66F11">
            <w:pPr>
              <w:jc w:val="center"/>
              <w:rPr>
                <w:b/>
                <w:sz w:val="20"/>
                <w:szCs w:val="20"/>
              </w:rPr>
            </w:pPr>
            <w:r w:rsidRPr="00B66F11">
              <w:rPr>
                <w:b/>
                <w:sz w:val="20"/>
                <w:szCs w:val="20"/>
              </w:rPr>
              <w:t>Yevgeniy Viktorovich SKRED</w:t>
            </w:r>
          </w:p>
          <w:p w:rsidR="00A80646" w:rsidRPr="00B66F11" w:rsidRDefault="00A80646" w:rsidP="00B66F11">
            <w:pPr>
              <w:jc w:val="center"/>
              <w:rPr>
                <w:sz w:val="20"/>
                <w:szCs w:val="20"/>
              </w:rPr>
            </w:pPr>
            <w:r w:rsidRPr="00B66F11">
              <w:rPr>
                <w:sz w:val="20"/>
                <w:szCs w:val="20"/>
              </w:rPr>
              <w:t>29/01/1987</w:t>
            </w:r>
          </w:p>
          <w:p w:rsidR="00A80646" w:rsidRPr="00B66F11" w:rsidRDefault="00A80646" w:rsidP="00B66F11">
            <w:pPr>
              <w:jc w:val="center"/>
              <w:rPr>
                <w:sz w:val="20"/>
                <w:szCs w:val="20"/>
              </w:rPr>
            </w:pPr>
            <w:r w:rsidRPr="00B66F11">
              <w:rPr>
                <w:sz w:val="20"/>
                <w:szCs w:val="20"/>
              </w:rPr>
              <w:t>Pervomayskiy</w:t>
            </w:r>
          </w:p>
          <w:p w:rsidR="00A80646" w:rsidRPr="00B66F11" w:rsidRDefault="00A80646" w:rsidP="00B66F11">
            <w:pPr>
              <w:jc w:val="center"/>
              <w:rPr>
                <w:b/>
                <w:sz w:val="20"/>
                <w:szCs w:val="20"/>
              </w:rPr>
            </w:pPr>
          </w:p>
        </w:tc>
        <w:tc>
          <w:tcPr>
            <w:tcW w:w="3544" w:type="dxa"/>
            <w:vMerge/>
          </w:tcPr>
          <w:p w:rsidR="00A80646" w:rsidRPr="00B66F11" w:rsidRDefault="00A80646" w:rsidP="00B66F11">
            <w:pPr>
              <w:jc w:val="center"/>
              <w:rPr>
                <w:sz w:val="20"/>
                <w:szCs w:val="20"/>
              </w:rPr>
            </w:pPr>
          </w:p>
        </w:tc>
      </w:tr>
      <w:tr w:rsidR="002A0CEC" w:rsidRPr="00B66F11" w:rsidTr="00A80646">
        <w:trPr>
          <w:cantSplit/>
          <w:trHeight w:val="939"/>
        </w:trPr>
        <w:tc>
          <w:tcPr>
            <w:tcW w:w="3976" w:type="dxa"/>
          </w:tcPr>
          <w:p w:rsidR="00001B17" w:rsidRPr="00B66F11" w:rsidRDefault="002A0CEC" w:rsidP="00B66F11">
            <w:pPr>
              <w:jc w:val="center"/>
              <w:rPr>
                <w:b/>
                <w:sz w:val="20"/>
                <w:szCs w:val="20"/>
              </w:rPr>
            </w:pPr>
            <w:r w:rsidRPr="00B66F11">
              <w:rPr>
                <w:b/>
                <w:sz w:val="20"/>
                <w:szCs w:val="20"/>
              </w:rPr>
              <w:t>Aleksey Viktorovich TUMEL (SKRED)</w:t>
            </w:r>
            <w:r w:rsidRPr="00B66F11">
              <w:rPr>
                <w:rStyle w:val="af4"/>
                <w:b/>
                <w:sz w:val="20"/>
                <w:szCs w:val="20"/>
              </w:rPr>
              <w:footnoteReference w:id="1"/>
            </w:r>
          </w:p>
          <w:p w:rsidR="002A0CEC" w:rsidRPr="00B66F11" w:rsidRDefault="002A0CEC" w:rsidP="00B66F11">
            <w:pPr>
              <w:jc w:val="center"/>
              <w:rPr>
                <w:sz w:val="20"/>
                <w:szCs w:val="20"/>
              </w:rPr>
            </w:pPr>
            <w:r w:rsidRPr="00B66F11">
              <w:rPr>
                <w:sz w:val="20"/>
                <w:szCs w:val="20"/>
              </w:rPr>
              <w:t>20/03/1988</w:t>
            </w:r>
          </w:p>
          <w:p w:rsidR="002A0CEC" w:rsidRPr="00B66F11" w:rsidRDefault="002A0CEC" w:rsidP="00B66F11">
            <w:pPr>
              <w:jc w:val="center"/>
              <w:rPr>
                <w:sz w:val="20"/>
                <w:szCs w:val="20"/>
              </w:rPr>
            </w:pPr>
            <w:r w:rsidRPr="00B66F11">
              <w:rPr>
                <w:sz w:val="20"/>
                <w:szCs w:val="20"/>
              </w:rPr>
              <w:t>Pervomayskiy</w:t>
            </w:r>
          </w:p>
          <w:p w:rsidR="00A80646" w:rsidRPr="00B66F11" w:rsidRDefault="00A80646" w:rsidP="00B66F11">
            <w:pPr>
              <w:jc w:val="center"/>
              <w:rPr>
                <w:b/>
                <w:sz w:val="20"/>
                <w:szCs w:val="20"/>
              </w:rPr>
            </w:pPr>
          </w:p>
        </w:tc>
        <w:tc>
          <w:tcPr>
            <w:tcW w:w="3544" w:type="dxa"/>
          </w:tcPr>
          <w:p w:rsidR="002A0CEC" w:rsidRPr="00B66F11" w:rsidRDefault="002A0CEC" w:rsidP="00B66F11">
            <w:pPr>
              <w:jc w:val="center"/>
              <w:rPr>
                <w:sz w:val="20"/>
                <w:szCs w:val="20"/>
              </w:rPr>
            </w:pPr>
          </w:p>
        </w:tc>
      </w:tr>
      <w:tr w:rsidR="002A0CEC" w:rsidRPr="00B66F11" w:rsidTr="00A80646">
        <w:trPr>
          <w:cantSplit/>
          <w:trHeight w:val="751"/>
        </w:trPr>
        <w:tc>
          <w:tcPr>
            <w:tcW w:w="3976" w:type="dxa"/>
          </w:tcPr>
          <w:p w:rsidR="002A0CEC" w:rsidRPr="00B66F11" w:rsidRDefault="002A0CEC" w:rsidP="00B66F11">
            <w:pPr>
              <w:jc w:val="center"/>
              <w:rPr>
                <w:b/>
                <w:sz w:val="20"/>
                <w:szCs w:val="20"/>
              </w:rPr>
            </w:pPr>
            <w:r w:rsidRPr="00B66F11">
              <w:rPr>
                <w:b/>
                <w:sz w:val="20"/>
                <w:szCs w:val="20"/>
              </w:rPr>
              <w:t>Konstantin Andreyevich LEBEDEV</w:t>
            </w:r>
          </w:p>
          <w:p w:rsidR="002A0CEC" w:rsidRPr="00B66F11" w:rsidRDefault="002A0CEC" w:rsidP="00B66F11">
            <w:pPr>
              <w:jc w:val="center"/>
              <w:rPr>
                <w:sz w:val="20"/>
                <w:szCs w:val="20"/>
              </w:rPr>
            </w:pPr>
            <w:r w:rsidRPr="00B66F11">
              <w:rPr>
                <w:sz w:val="20"/>
                <w:szCs w:val="20"/>
              </w:rPr>
              <w:t>14/07/1988</w:t>
            </w:r>
          </w:p>
          <w:p w:rsidR="002A0CEC" w:rsidRPr="00B66F11" w:rsidRDefault="002A0CEC" w:rsidP="00B66F11">
            <w:pPr>
              <w:jc w:val="center"/>
              <w:rPr>
                <w:sz w:val="20"/>
                <w:szCs w:val="20"/>
              </w:rPr>
            </w:pPr>
            <w:r w:rsidRPr="00B66F11">
              <w:rPr>
                <w:sz w:val="20"/>
                <w:szCs w:val="20"/>
              </w:rPr>
              <w:t>Pervomayskiy</w:t>
            </w:r>
          </w:p>
          <w:p w:rsidR="00A80646" w:rsidRPr="00B66F11" w:rsidRDefault="00A80646" w:rsidP="00B66F11">
            <w:pPr>
              <w:jc w:val="center"/>
              <w:rPr>
                <w:b/>
                <w:sz w:val="20"/>
                <w:szCs w:val="20"/>
              </w:rPr>
            </w:pPr>
          </w:p>
        </w:tc>
        <w:tc>
          <w:tcPr>
            <w:tcW w:w="3544" w:type="dxa"/>
          </w:tcPr>
          <w:p w:rsidR="002A0CEC" w:rsidRPr="00B66F11" w:rsidRDefault="002A0CEC" w:rsidP="00B66F11">
            <w:pPr>
              <w:jc w:val="center"/>
              <w:rPr>
                <w:sz w:val="20"/>
                <w:szCs w:val="20"/>
              </w:rPr>
            </w:pPr>
            <w:r w:rsidRPr="00B66F11">
              <w:rPr>
                <w:sz w:val="20"/>
                <w:szCs w:val="20"/>
              </w:rPr>
              <w:t>11/04/2008</w:t>
            </w:r>
          </w:p>
          <w:p w:rsidR="002A0CEC" w:rsidRPr="00B66F11" w:rsidRDefault="002A0CEC" w:rsidP="00B66F11">
            <w:pPr>
              <w:jc w:val="center"/>
              <w:rPr>
                <w:sz w:val="20"/>
                <w:szCs w:val="20"/>
              </w:rPr>
            </w:pPr>
            <w:r w:rsidRPr="00B66F11">
              <w:rPr>
                <w:sz w:val="20"/>
                <w:szCs w:val="20"/>
              </w:rPr>
              <w:t>29/04/2008</w:t>
            </w:r>
          </w:p>
        </w:tc>
      </w:tr>
      <w:tr w:rsidR="002A0CEC" w:rsidRPr="00B66F11" w:rsidTr="00A80646">
        <w:trPr>
          <w:cantSplit/>
          <w:trHeight w:val="714"/>
        </w:trPr>
        <w:tc>
          <w:tcPr>
            <w:tcW w:w="3976" w:type="dxa"/>
          </w:tcPr>
          <w:p w:rsidR="002A0CEC" w:rsidRPr="00B66F11" w:rsidRDefault="002A0CEC" w:rsidP="00B66F11">
            <w:pPr>
              <w:jc w:val="center"/>
              <w:rPr>
                <w:b/>
                <w:sz w:val="20"/>
                <w:szCs w:val="20"/>
              </w:rPr>
            </w:pPr>
            <w:r w:rsidRPr="00B66F11">
              <w:rPr>
                <w:b/>
                <w:sz w:val="20"/>
                <w:szCs w:val="20"/>
              </w:rPr>
              <w:t>Yelena Aleksandrovna LEBEDEVA</w:t>
            </w:r>
          </w:p>
          <w:p w:rsidR="002A0CEC" w:rsidRPr="00B66F11" w:rsidRDefault="002A0CEC" w:rsidP="00B66F11">
            <w:pPr>
              <w:jc w:val="center"/>
              <w:rPr>
                <w:sz w:val="20"/>
                <w:szCs w:val="20"/>
              </w:rPr>
            </w:pPr>
            <w:r w:rsidRPr="00B66F11">
              <w:rPr>
                <w:sz w:val="20"/>
                <w:szCs w:val="20"/>
              </w:rPr>
              <w:t>07/12/1966</w:t>
            </w:r>
          </w:p>
          <w:p w:rsidR="002A0CEC" w:rsidRPr="00B66F11" w:rsidRDefault="002A0CEC" w:rsidP="00B66F11">
            <w:pPr>
              <w:jc w:val="center"/>
              <w:rPr>
                <w:sz w:val="20"/>
                <w:szCs w:val="20"/>
              </w:rPr>
            </w:pPr>
            <w:r w:rsidRPr="00B66F11">
              <w:rPr>
                <w:sz w:val="20"/>
                <w:szCs w:val="20"/>
              </w:rPr>
              <w:t>Donguzskaya</w:t>
            </w:r>
          </w:p>
          <w:p w:rsidR="00A80646" w:rsidRPr="00B66F11" w:rsidRDefault="00A80646" w:rsidP="00B66F11">
            <w:pPr>
              <w:jc w:val="center"/>
              <w:rPr>
                <w:b/>
                <w:sz w:val="20"/>
                <w:szCs w:val="20"/>
              </w:rPr>
            </w:pPr>
          </w:p>
        </w:tc>
        <w:tc>
          <w:tcPr>
            <w:tcW w:w="3544" w:type="dxa"/>
          </w:tcPr>
          <w:p w:rsidR="002A0CEC" w:rsidRPr="00B66F11" w:rsidRDefault="002A0CEC" w:rsidP="00B66F11">
            <w:pPr>
              <w:jc w:val="center"/>
              <w:rPr>
                <w:sz w:val="20"/>
                <w:szCs w:val="20"/>
              </w:rPr>
            </w:pPr>
          </w:p>
        </w:tc>
      </w:tr>
    </w:tbl>
    <w:p w:rsidR="00E177A6" w:rsidRPr="00B66F11" w:rsidRDefault="00E177A6" w:rsidP="00B66F11">
      <w:pPr>
        <w:jc w:val="center"/>
      </w:pPr>
    </w:p>
    <w:sectPr w:rsidR="00E177A6" w:rsidRPr="00B66F11" w:rsidSect="00001B17">
      <w:headerReference w:type="even" r:id="rId17"/>
      <w:head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A8" w:rsidRDefault="00C748A8">
      <w:r>
        <w:separator/>
      </w:r>
    </w:p>
  </w:endnote>
  <w:endnote w:type="continuationSeparator" w:id="0">
    <w:p w:rsidR="00C748A8" w:rsidRDefault="00C7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17" w:rsidRDefault="00001B17">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17" w:rsidRDefault="00001B17">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17" w:rsidRPr="00150BFA" w:rsidRDefault="00001B17" w:rsidP="0020718E">
    <w:pPr>
      <w:jc w:val="center"/>
    </w:pPr>
    <w:r>
      <w:rPr>
        <w:noProof/>
        <w:lang w:val="ru-RU" w:eastAsia="ru-RU"/>
      </w:rPr>
      <w:drawing>
        <wp:inline distT="0" distB="0" distL="0" distR="0" wp14:anchorId="169BA0B4" wp14:editId="6B70D52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01B17" w:rsidRDefault="00001B1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A8" w:rsidRPr="003152BA" w:rsidRDefault="00C748A8" w:rsidP="00D420F3">
      <w:pPr>
        <w:rPr>
          <w:lang w:val="en-GB"/>
        </w:rPr>
      </w:pPr>
      <w:r w:rsidRPr="003152BA">
        <w:rPr>
          <w:lang w:val="en-GB"/>
        </w:rPr>
        <w:separator/>
      </w:r>
    </w:p>
  </w:footnote>
  <w:footnote w:type="continuationSeparator" w:id="0">
    <w:p w:rsidR="00C748A8" w:rsidRPr="003152BA" w:rsidRDefault="00C748A8" w:rsidP="00D420F3">
      <w:pPr>
        <w:rPr>
          <w:lang w:val="en-GB"/>
        </w:rPr>
      </w:pPr>
      <w:r w:rsidRPr="003152BA">
        <w:rPr>
          <w:lang w:val="en-GB"/>
        </w:rPr>
        <w:continuationSeparator/>
      </w:r>
    </w:p>
  </w:footnote>
  <w:footnote w:id="1">
    <w:p w:rsidR="00DC00E0" w:rsidRPr="00AE701C" w:rsidRDefault="00DC00E0">
      <w:pPr>
        <w:pStyle w:val="af5"/>
        <w:rPr>
          <w:lang w:val="en-GB"/>
        </w:rPr>
      </w:pPr>
      <w:r w:rsidRPr="00031872">
        <w:rPr>
          <w:rStyle w:val="af4"/>
          <w:vertAlign w:val="baseline"/>
        </w:rPr>
        <w:footnoteRef/>
      </w:r>
      <w:r w:rsidR="000D4CA9">
        <w:t>.  </w:t>
      </w:r>
      <w:r>
        <w:rPr>
          <w:lang w:val="en-GB"/>
        </w:rPr>
        <w:t>As in the application form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17" w:rsidRDefault="00001B1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E0" w:rsidRPr="00001B17" w:rsidRDefault="00DC00E0" w:rsidP="00001B17">
    <w:pPr>
      <w:pStyle w:val="a9"/>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17" w:rsidRPr="00A45145" w:rsidRDefault="00001B17" w:rsidP="00A45145">
    <w:pPr>
      <w:jc w:val="center"/>
    </w:pPr>
    <w:r>
      <w:rPr>
        <w:noProof/>
        <w:lang w:val="ru-RU" w:eastAsia="ru-RU"/>
      </w:rPr>
      <w:drawing>
        <wp:inline distT="0" distB="0" distL="0" distR="0" wp14:anchorId="043DDF97" wp14:editId="54B749E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C00E0" w:rsidRDefault="00DC00E0">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17" w:rsidRPr="003152BA" w:rsidRDefault="00001B17" w:rsidP="00D420F3">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0031CE">
      <w:rPr>
        <w:rStyle w:val="aff1"/>
        <w:noProof/>
        <w:szCs w:val="18"/>
      </w:rPr>
      <w:t>4</w:t>
    </w:r>
    <w:r>
      <w:rPr>
        <w:rStyle w:val="aff1"/>
        <w:szCs w:val="18"/>
      </w:rPr>
      <w:fldChar w:fldCharType="end"/>
    </w:r>
    <w:r w:rsidRPr="003152BA">
      <w:tab/>
    </w:r>
    <w:r>
      <w:t>KONSTANTINOVA AND OTHERS v. RUSSIA</w:t>
    </w:r>
    <w:r w:rsidRPr="003152BA">
      <w:t xml:space="preserve"> </w:t>
    </w:r>
    <w:r>
      <w:t>JUDGMENT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17" w:rsidRPr="003152BA" w:rsidRDefault="00001B17" w:rsidP="00D420F3">
    <w:pPr>
      <w:pStyle w:val="ECHRHeader"/>
    </w:pPr>
    <w:r w:rsidRPr="003152BA">
      <w:tab/>
    </w:r>
    <w:r>
      <w:t>KONSTANTINOVA AND OTHERS v. RUSSIA</w:t>
    </w:r>
    <w:r w:rsidRPr="003152BA">
      <w:t xml:space="preserve"> </w:t>
    </w:r>
    <w:r>
      <w:t>JUDGMENT</w:t>
    </w:r>
    <w:r w:rsidRPr="003152BA">
      <w:tab/>
    </w:r>
    <w:r>
      <w:rPr>
        <w:rStyle w:val="aff1"/>
        <w:szCs w:val="18"/>
      </w:rPr>
      <w:fldChar w:fldCharType="begin"/>
    </w:r>
    <w:r>
      <w:rPr>
        <w:rStyle w:val="aff1"/>
        <w:szCs w:val="18"/>
      </w:rPr>
      <w:instrText xml:space="preserve"> PAGE </w:instrText>
    </w:r>
    <w:r>
      <w:rPr>
        <w:rStyle w:val="aff1"/>
        <w:szCs w:val="18"/>
      </w:rPr>
      <w:fldChar w:fldCharType="separate"/>
    </w:r>
    <w:r w:rsidR="000031CE">
      <w:rPr>
        <w:rStyle w:val="aff1"/>
        <w:noProof/>
        <w:szCs w:val="18"/>
      </w:rPr>
      <w:t>5</w:t>
    </w:r>
    <w:r>
      <w:rPr>
        <w:rStyle w:val="aff1"/>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a"/>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135E7E6C">
      <w:start w:val="1"/>
      <w:numFmt w:val="bullet"/>
      <w:pStyle w:val="a0"/>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943334"/>
    <w:rsid w:val="000016DE"/>
    <w:rsid w:val="00001B17"/>
    <w:rsid w:val="000021E8"/>
    <w:rsid w:val="000031CE"/>
    <w:rsid w:val="00004C0E"/>
    <w:rsid w:val="00012B41"/>
    <w:rsid w:val="00020376"/>
    <w:rsid w:val="00031872"/>
    <w:rsid w:val="00034276"/>
    <w:rsid w:val="0005503E"/>
    <w:rsid w:val="00061202"/>
    <w:rsid w:val="0007148C"/>
    <w:rsid w:val="000B20E5"/>
    <w:rsid w:val="000B7BD7"/>
    <w:rsid w:val="000D20AF"/>
    <w:rsid w:val="000D4CA9"/>
    <w:rsid w:val="000D521A"/>
    <w:rsid w:val="0013415F"/>
    <w:rsid w:val="0014041C"/>
    <w:rsid w:val="00142AB4"/>
    <w:rsid w:val="00146FB6"/>
    <w:rsid w:val="001A3811"/>
    <w:rsid w:val="001E779A"/>
    <w:rsid w:val="00216721"/>
    <w:rsid w:val="00230A83"/>
    <w:rsid w:val="00233B2D"/>
    <w:rsid w:val="00237144"/>
    <w:rsid w:val="002842EC"/>
    <w:rsid w:val="00286408"/>
    <w:rsid w:val="002A0CEC"/>
    <w:rsid w:val="002B0AF0"/>
    <w:rsid w:val="00316BAA"/>
    <w:rsid w:val="003619E4"/>
    <w:rsid w:val="00367F59"/>
    <w:rsid w:val="0037717E"/>
    <w:rsid w:val="003B0625"/>
    <w:rsid w:val="003B0D8C"/>
    <w:rsid w:val="003B48EB"/>
    <w:rsid w:val="003D298D"/>
    <w:rsid w:val="003E42C4"/>
    <w:rsid w:val="00434257"/>
    <w:rsid w:val="00453040"/>
    <w:rsid w:val="00470FF6"/>
    <w:rsid w:val="0047322B"/>
    <w:rsid w:val="0047629D"/>
    <w:rsid w:val="004D676D"/>
    <w:rsid w:val="004D7C55"/>
    <w:rsid w:val="004E45EE"/>
    <w:rsid w:val="004E505D"/>
    <w:rsid w:val="004E7719"/>
    <w:rsid w:val="005011D5"/>
    <w:rsid w:val="005225D8"/>
    <w:rsid w:val="005359FE"/>
    <w:rsid w:val="00543B1A"/>
    <w:rsid w:val="00547109"/>
    <w:rsid w:val="005E08B4"/>
    <w:rsid w:val="006054A9"/>
    <w:rsid w:val="006246F1"/>
    <w:rsid w:val="00630F58"/>
    <w:rsid w:val="0063322D"/>
    <w:rsid w:val="00636E8E"/>
    <w:rsid w:val="0065758B"/>
    <w:rsid w:val="006631DA"/>
    <w:rsid w:val="00687380"/>
    <w:rsid w:val="006A1B4C"/>
    <w:rsid w:val="006C79F6"/>
    <w:rsid w:val="006D3542"/>
    <w:rsid w:val="006E3D2C"/>
    <w:rsid w:val="006E4038"/>
    <w:rsid w:val="006F78DE"/>
    <w:rsid w:val="00704D3E"/>
    <w:rsid w:val="00750296"/>
    <w:rsid w:val="00761AB3"/>
    <w:rsid w:val="0077175D"/>
    <w:rsid w:val="007B1E9A"/>
    <w:rsid w:val="007C653A"/>
    <w:rsid w:val="007E4A39"/>
    <w:rsid w:val="007F00E8"/>
    <w:rsid w:val="00800647"/>
    <w:rsid w:val="00822576"/>
    <w:rsid w:val="00835171"/>
    <w:rsid w:val="00851325"/>
    <w:rsid w:val="008645D5"/>
    <w:rsid w:val="008A5F63"/>
    <w:rsid w:val="008E4078"/>
    <w:rsid w:val="008E4DFA"/>
    <w:rsid w:val="008F1336"/>
    <w:rsid w:val="008F6A27"/>
    <w:rsid w:val="009038F5"/>
    <w:rsid w:val="00931A1B"/>
    <w:rsid w:val="00943334"/>
    <w:rsid w:val="00951E01"/>
    <w:rsid w:val="009523BD"/>
    <w:rsid w:val="00955FC9"/>
    <w:rsid w:val="009732CA"/>
    <w:rsid w:val="009C7659"/>
    <w:rsid w:val="00A062F4"/>
    <w:rsid w:val="00A10E47"/>
    <w:rsid w:val="00A24DD4"/>
    <w:rsid w:val="00A365C2"/>
    <w:rsid w:val="00A65FD2"/>
    <w:rsid w:val="00A71AD8"/>
    <w:rsid w:val="00A80646"/>
    <w:rsid w:val="00A9094C"/>
    <w:rsid w:val="00AC448D"/>
    <w:rsid w:val="00AE701C"/>
    <w:rsid w:val="00AF254D"/>
    <w:rsid w:val="00B31454"/>
    <w:rsid w:val="00B3455B"/>
    <w:rsid w:val="00B50C91"/>
    <w:rsid w:val="00B519FC"/>
    <w:rsid w:val="00B66F11"/>
    <w:rsid w:val="00B74B5E"/>
    <w:rsid w:val="00BB312E"/>
    <w:rsid w:val="00BC5210"/>
    <w:rsid w:val="00BE185F"/>
    <w:rsid w:val="00C16B04"/>
    <w:rsid w:val="00C53280"/>
    <w:rsid w:val="00C54835"/>
    <w:rsid w:val="00C748A8"/>
    <w:rsid w:val="00C85F6E"/>
    <w:rsid w:val="00C86873"/>
    <w:rsid w:val="00CB20C3"/>
    <w:rsid w:val="00CC3DE3"/>
    <w:rsid w:val="00D374A1"/>
    <w:rsid w:val="00D41600"/>
    <w:rsid w:val="00D420F3"/>
    <w:rsid w:val="00D63615"/>
    <w:rsid w:val="00D77F13"/>
    <w:rsid w:val="00D852B5"/>
    <w:rsid w:val="00DC00E0"/>
    <w:rsid w:val="00DD11EE"/>
    <w:rsid w:val="00DF047D"/>
    <w:rsid w:val="00DF469D"/>
    <w:rsid w:val="00DF46C7"/>
    <w:rsid w:val="00DF5147"/>
    <w:rsid w:val="00E03F13"/>
    <w:rsid w:val="00E177A6"/>
    <w:rsid w:val="00E361BB"/>
    <w:rsid w:val="00E46365"/>
    <w:rsid w:val="00E7159A"/>
    <w:rsid w:val="00E87134"/>
    <w:rsid w:val="00EA1A0F"/>
    <w:rsid w:val="00F11D8F"/>
    <w:rsid w:val="00F2079B"/>
    <w:rsid w:val="00F2353C"/>
    <w:rsid w:val="00F3547E"/>
    <w:rsid w:val="00F61473"/>
    <w:rsid w:val="00F62D54"/>
    <w:rsid w:val="00F63792"/>
    <w:rsid w:val="00F953DC"/>
    <w:rsid w:val="00FA4F8F"/>
    <w:rsid w:val="00FB2607"/>
    <w:rsid w:val="00FD67AF"/>
    <w:rsid w:val="00FE0027"/>
    <w:rsid w:val="00FE15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0D4CA9"/>
    <w:pPr>
      <w:jc w:val="both"/>
    </w:pPr>
    <w:rPr>
      <w:rFonts w:eastAsiaTheme="minorEastAsia"/>
      <w:sz w:val="24"/>
    </w:rPr>
  </w:style>
  <w:style w:type="paragraph" w:styleId="1">
    <w:name w:val="heading 1"/>
    <w:basedOn w:val="a2"/>
    <w:next w:val="a2"/>
    <w:link w:val="10"/>
    <w:uiPriority w:val="99"/>
    <w:semiHidden/>
    <w:rsid w:val="00000067"/>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000067"/>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000067"/>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000067"/>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0D4CA9"/>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000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0D4CA9"/>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0D4CA9"/>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0D4CA9"/>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000067"/>
    <w:rPr>
      <w:rFonts w:ascii="Tahoma" w:hAnsi="Tahoma" w:cs="Tahoma"/>
      <w:sz w:val="16"/>
      <w:szCs w:val="16"/>
    </w:rPr>
  </w:style>
  <w:style w:type="character" w:customStyle="1" w:styleId="a7">
    <w:name w:val="Текст выноски Знак"/>
    <w:basedOn w:val="a3"/>
    <w:link w:val="a6"/>
    <w:uiPriority w:val="99"/>
    <w:semiHidden/>
    <w:rsid w:val="00000067"/>
    <w:rPr>
      <w:rFonts w:ascii="Tahoma" w:eastAsiaTheme="minorEastAsia" w:hAnsi="Tahoma" w:cs="Tahoma"/>
      <w:sz w:val="16"/>
      <w:szCs w:val="16"/>
    </w:rPr>
  </w:style>
  <w:style w:type="character" w:styleId="a8">
    <w:name w:val="Book Title"/>
    <w:uiPriority w:val="99"/>
    <w:semiHidden/>
    <w:qFormat/>
    <w:rsid w:val="000D4CA9"/>
    <w:rPr>
      <w:i/>
      <w:iCs/>
      <w:smallCaps/>
      <w:spacing w:val="5"/>
    </w:rPr>
  </w:style>
  <w:style w:type="paragraph" w:customStyle="1" w:styleId="ECHRHeader">
    <w:name w:val="ECHR_Header"/>
    <w:aliases w:val="Ju_Header"/>
    <w:basedOn w:val="a9"/>
    <w:uiPriority w:val="4"/>
    <w:qFormat/>
    <w:rsid w:val="000D4CA9"/>
    <w:pPr>
      <w:tabs>
        <w:tab w:val="clear" w:pos="4536"/>
        <w:tab w:val="clear" w:pos="9072"/>
        <w:tab w:val="center" w:pos="3686"/>
        <w:tab w:val="right" w:pos="7371"/>
      </w:tabs>
      <w:jc w:val="left"/>
    </w:pPr>
    <w:rPr>
      <w:sz w:val="18"/>
      <w:lang w:val="en-GB"/>
    </w:rPr>
  </w:style>
  <w:style w:type="paragraph" w:customStyle="1" w:styleId="ECHRFooter">
    <w:name w:val="ECHR_Footer"/>
    <w:aliases w:val="Footer_ECHR"/>
    <w:basedOn w:val="aa"/>
    <w:uiPriority w:val="57"/>
    <w:semiHidden/>
    <w:rsid w:val="00000067"/>
    <w:pPr>
      <w:jc w:val="left"/>
    </w:pPr>
    <w:rPr>
      <w:sz w:val="8"/>
    </w:rPr>
  </w:style>
  <w:style w:type="character" w:styleId="ab">
    <w:name w:val="Strong"/>
    <w:uiPriority w:val="99"/>
    <w:semiHidden/>
    <w:qFormat/>
    <w:rsid w:val="000D4CA9"/>
    <w:rPr>
      <w:b/>
      <w:bCs/>
    </w:rPr>
  </w:style>
  <w:style w:type="paragraph" w:styleId="ac">
    <w:name w:val="No Spacing"/>
    <w:basedOn w:val="a2"/>
    <w:link w:val="ad"/>
    <w:semiHidden/>
    <w:qFormat/>
    <w:rsid w:val="000D4CA9"/>
    <w:rPr>
      <w:sz w:val="22"/>
    </w:rPr>
  </w:style>
  <w:style w:type="character" w:customStyle="1" w:styleId="ad">
    <w:name w:val="Без интервала Знак"/>
    <w:basedOn w:val="a3"/>
    <w:link w:val="ac"/>
    <w:semiHidden/>
    <w:rsid w:val="000D4CA9"/>
    <w:rPr>
      <w:rFonts w:eastAsiaTheme="minorEastAsia"/>
    </w:rPr>
  </w:style>
  <w:style w:type="paragraph" w:customStyle="1" w:styleId="ECHRFooterLine">
    <w:name w:val="ECHR_Footer_Line"/>
    <w:aliases w:val="Footer_Line"/>
    <w:basedOn w:val="a2"/>
    <w:next w:val="ECHRFooter"/>
    <w:uiPriority w:val="57"/>
    <w:semiHidden/>
    <w:rsid w:val="0000006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semiHidden/>
    <w:qFormat/>
    <w:rsid w:val="000D4CA9"/>
    <w:pPr>
      <w:numPr>
        <w:numId w:val="18"/>
      </w:numPr>
      <w:jc w:val="left"/>
    </w:pPr>
    <w:rPr>
      <w:b/>
      <w:lang w:val="en-GB"/>
    </w:rPr>
  </w:style>
  <w:style w:type="paragraph" w:customStyle="1" w:styleId="OpiPara">
    <w:name w:val="Opi_Para"/>
    <w:basedOn w:val="ECHRPara"/>
    <w:uiPriority w:val="46"/>
    <w:qFormat/>
    <w:rsid w:val="000D4CA9"/>
  </w:style>
  <w:style w:type="paragraph" w:customStyle="1" w:styleId="JuParaSub">
    <w:name w:val="Ju_Para_Sub"/>
    <w:basedOn w:val="ECHRPara"/>
    <w:uiPriority w:val="13"/>
    <w:qFormat/>
    <w:rsid w:val="000D4CA9"/>
    <w:pPr>
      <w:ind w:left="284"/>
    </w:pPr>
  </w:style>
  <w:style w:type="paragraph" w:customStyle="1" w:styleId="ECHRTitleCentre3">
    <w:name w:val="ECHR_Title_Centre_3"/>
    <w:aliases w:val="Ju_H_Article"/>
    <w:basedOn w:val="a2"/>
    <w:next w:val="ECHRParaQuote"/>
    <w:uiPriority w:val="27"/>
    <w:qFormat/>
    <w:rsid w:val="000D4CA9"/>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a2"/>
    <w:next w:val="OpiPara"/>
    <w:uiPriority w:val="39"/>
    <w:qFormat/>
    <w:rsid w:val="000D4CA9"/>
    <w:pPr>
      <w:keepNext/>
      <w:keepLines/>
      <w:spacing w:after="240"/>
      <w:jc w:val="center"/>
      <w:outlineLvl w:val="0"/>
    </w:pPr>
    <w:rPr>
      <w:rFonts w:asciiTheme="majorHAnsi" w:hAnsiTheme="majorHAnsi"/>
      <w:sz w:val="28"/>
      <w:lang w:val="en-GB"/>
    </w:rPr>
  </w:style>
  <w:style w:type="paragraph" w:customStyle="1" w:styleId="OpiParaSub">
    <w:name w:val="Opi_Para_Sub"/>
    <w:basedOn w:val="JuParaSub"/>
    <w:uiPriority w:val="47"/>
    <w:qFormat/>
    <w:rsid w:val="000D4CA9"/>
  </w:style>
  <w:style w:type="paragraph" w:customStyle="1" w:styleId="OpiQuot">
    <w:name w:val="Opi_Quot"/>
    <w:basedOn w:val="ECHRParaQuote"/>
    <w:uiPriority w:val="48"/>
    <w:qFormat/>
    <w:rsid w:val="000D4CA9"/>
  </w:style>
  <w:style w:type="paragraph" w:customStyle="1" w:styleId="OpiQuotSub">
    <w:name w:val="Opi_Quot_Sub"/>
    <w:basedOn w:val="JuQuotSub"/>
    <w:uiPriority w:val="49"/>
    <w:qFormat/>
    <w:rsid w:val="000D4CA9"/>
  </w:style>
  <w:style w:type="paragraph" w:customStyle="1" w:styleId="ECHRTitleCentre2">
    <w:name w:val="ECHR_Title_Centre_2"/>
    <w:aliases w:val="Dec_H_Case"/>
    <w:basedOn w:val="a2"/>
    <w:next w:val="ECHRPara"/>
    <w:uiPriority w:val="8"/>
    <w:qFormat/>
    <w:rsid w:val="000D4CA9"/>
    <w:pPr>
      <w:spacing w:after="240"/>
      <w:jc w:val="center"/>
      <w:outlineLvl w:val="0"/>
    </w:pPr>
    <w:rPr>
      <w:rFonts w:asciiTheme="majorHAnsi" w:hAnsiTheme="majorHAnsi"/>
      <w:lang w:val="en-GB"/>
    </w:rPr>
  </w:style>
  <w:style w:type="paragraph" w:customStyle="1" w:styleId="JuTitle">
    <w:name w:val="Ju_Title"/>
    <w:basedOn w:val="a2"/>
    <w:next w:val="ECHRPara"/>
    <w:uiPriority w:val="3"/>
    <w:semiHidden/>
    <w:qFormat/>
    <w:rsid w:val="000D4CA9"/>
    <w:pPr>
      <w:spacing w:before="720" w:after="240"/>
      <w:jc w:val="center"/>
      <w:outlineLvl w:val="0"/>
    </w:pPr>
    <w:rPr>
      <w:rFonts w:asciiTheme="majorHAnsi" w:hAnsiTheme="majorHAnsi"/>
      <w:b/>
      <w:caps/>
      <w:lang w:val="en-GB"/>
    </w:rPr>
  </w:style>
  <w:style w:type="paragraph" w:styleId="ae">
    <w:name w:val="Title"/>
    <w:basedOn w:val="a2"/>
    <w:next w:val="a2"/>
    <w:link w:val="af"/>
    <w:uiPriority w:val="99"/>
    <w:semiHidden/>
    <w:qFormat/>
    <w:rsid w:val="000D4CA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
    <w:name w:val="Заголовок Знак"/>
    <w:basedOn w:val="a3"/>
    <w:link w:val="ae"/>
    <w:uiPriority w:val="99"/>
    <w:semiHidden/>
    <w:rsid w:val="000D4CA9"/>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uiPriority w:val="21"/>
    <w:qFormat/>
    <w:rsid w:val="000D4CA9"/>
    <w:pPr>
      <w:keepNext/>
      <w:keepLines/>
      <w:tabs>
        <w:tab w:val="left" w:pos="731"/>
      </w:tabs>
      <w:spacing w:before="240" w:after="120" w:line="240" w:lineRule="auto"/>
      <w:ind w:left="732" w:hanging="301"/>
    </w:pPr>
    <w:rPr>
      <w:b w:val="0"/>
      <w:i/>
      <w:color w:val="auto"/>
      <w:lang w:val="en-GB"/>
    </w:rPr>
  </w:style>
  <w:style w:type="paragraph" w:customStyle="1" w:styleId="ECHRHeading4">
    <w:name w:val="ECHR_Heading_4"/>
    <w:aliases w:val="Ju_H_a"/>
    <w:basedOn w:val="41"/>
    <w:next w:val="ECHRPara"/>
    <w:uiPriority w:val="22"/>
    <w:qFormat/>
    <w:rsid w:val="000D4CA9"/>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51"/>
    <w:next w:val="ECHRPara"/>
    <w:uiPriority w:val="23"/>
    <w:qFormat/>
    <w:rsid w:val="000D4CA9"/>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6"/>
    <w:next w:val="ECHRPara"/>
    <w:uiPriority w:val="24"/>
    <w:qFormat/>
    <w:rsid w:val="000D4CA9"/>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7"/>
    <w:next w:val="ECHRPara"/>
    <w:uiPriority w:val="25"/>
    <w:qFormat/>
    <w:rsid w:val="000D4CA9"/>
    <w:pPr>
      <w:keepNext/>
      <w:keepLines/>
      <w:spacing w:before="240" w:after="120"/>
      <w:ind w:left="1236"/>
    </w:pPr>
    <w:rPr>
      <w:sz w:val="20"/>
      <w:lang w:val="en-GB"/>
    </w:rPr>
  </w:style>
  <w:style w:type="paragraph" w:customStyle="1" w:styleId="JuQuotSub">
    <w:name w:val="Ju_Quot_Sub"/>
    <w:basedOn w:val="ECHRParaQuote"/>
    <w:uiPriority w:val="15"/>
    <w:qFormat/>
    <w:rsid w:val="000D4CA9"/>
    <w:pPr>
      <w:ind w:left="567"/>
    </w:pPr>
  </w:style>
  <w:style w:type="paragraph" w:customStyle="1" w:styleId="JuInitialled">
    <w:name w:val="Ju_Initialled"/>
    <w:basedOn w:val="a2"/>
    <w:uiPriority w:val="31"/>
    <w:qFormat/>
    <w:rsid w:val="000D4CA9"/>
    <w:pPr>
      <w:tabs>
        <w:tab w:val="center" w:pos="6407"/>
      </w:tabs>
      <w:spacing w:before="720"/>
      <w:jc w:val="right"/>
    </w:pPr>
    <w:rPr>
      <w:lang w:val="en-GB"/>
    </w:rPr>
  </w:style>
  <w:style w:type="paragraph" w:customStyle="1" w:styleId="OpiHA">
    <w:name w:val="Opi_H_A"/>
    <w:basedOn w:val="ECHRHeading1"/>
    <w:next w:val="OpiPara"/>
    <w:uiPriority w:val="41"/>
    <w:qFormat/>
    <w:rsid w:val="000D4CA9"/>
    <w:pPr>
      <w:tabs>
        <w:tab w:val="clear" w:pos="357"/>
      </w:tabs>
      <w:outlineLvl w:val="1"/>
    </w:pPr>
    <w:rPr>
      <w:b/>
    </w:rPr>
  </w:style>
  <w:style w:type="paragraph" w:styleId="a9">
    <w:name w:val="header"/>
    <w:basedOn w:val="a2"/>
    <w:link w:val="af0"/>
    <w:uiPriority w:val="57"/>
    <w:semiHidden/>
    <w:rsid w:val="00000067"/>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000067"/>
    <w:rPr>
      <w:sz w:val="24"/>
    </w:rPr>
  </w:style>
  <w:style w:type="character" w:customStyle="1" w:styleId="10">
    <w:name w:val="Заголовок 1 Знак"/>
    <w:basedOn w:val="a3"/>
    <w:link w:val="1"/>
    <w:uiPriority w:val="99"/>
    <w:semiHidden/>
    <w:rsid w:val="0000006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0D4CA9"/>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21"/>
    <w:next w:val="ECHRPara"/>
    <w:uiPriority w:val="20"/>
    <w:qFormat/>
    <w:rsid w:val="000D4CA9"/>
    <w:pPr>
      <w:keepNext/>
      <w:keepLines/>
      <w:tabs>
        <w:tab w:val="left" w:pos="584"/>
      </w:tabs>
      <w:spacing w:before="360" w:after="240"/>
      <w:ind w:left="584" w:hanging="352"/>
    </w:pPr>
    <w:rPr>
      <w:color w:val="auto"/>
      <w:sz w:val="24"/>
      <w:lang w:val="en-GB"/>
    </w:rPr>
  </w:style>
  <w:style w:type="character" w:customStyle="1" w:styleId="22">
    <w:name w:val="Заголовок 2 Знак"/>
    <w:basedOn w:val="a3"/>
    <w:link w:val="21"/>
    <w:uiPriority w:val="99"/>
    <w:semiHidden/>
    <w:rsid w:val="00000067"/>
    <w:rPr>
      <w:rFonts w:asciiTheme="majorHAnsi" w:eastAsiaTheme="majorEastAsia" w:hAnsiTheme="majorHAnsi" w:cstheme="majorBidi"/>
      <w:b/>
      <w:bCs/>
      <w:color w:val="4D4D4D"/>
      <w:sz w:val="26"/>
      <w:szCs w:val="26"/>
    </w:rPr>
  </w:style>
  <w:style w:type="character" w:customStyle="1" w:styleId="JUNAMES">
    <w:name w:val="JU_NAMES"/>
    <w:uiPriority w:val="17"/>
    <w:qFormat/>
    <w:rsid w:val="000D4CA9"/>
    <w:rPr>
      <w:caps w:val="0"/>
      <w:smallCaps/>
    </w:rPr>
  </w:style>
  <w:style w:type="paragraph" w:customStyle="1" w:styleId="JuCase">
    <w:name w:val="Ju_Case"/>
    <w:basedOn w:val="a2"/>
    <w:next w:val="ECHRPara"/>
    <w:uiPriority w:val="10"/>
    <w:rsid w:val="00000067"/>
    <w:pPr>
      <w:ind w:firstLine="284"/>
    </w:pPr>
    <w:rPr>
      <w:b/>
    </w:rPr>
  </w:style>
  <w:style w:type="character" w:customStyle="1" w:styleId="32">
    <w:name w:val="Заголовок 3 Знак"/>
    <w:basedOn w:val="a3"/>
    <w:link w:val="31"/>
    <w:uiPriority w:val="99"/>
    <w:semiHidden/>
    <w:rsid w:val="00000067"/>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000067"/>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0D4CA9"/>
    <w:rPr>
      <w:rFonts w:asciiTheme="majorHAnsi" w:eastAsiaTheme="majorEastAsia" w:hAnsiTheme="majorHAnsi" w:cstheme="majorBidi"/>
      <w:b/>
      <w:bCs/>
      <w:color w:val="808080"/>
    </w:rPr>
  </w:style>
  <w:style w:type="character" w:styleId="af1">
    <w:name w:val="Subtle Emphasis"/>
    <w:uiPriority w:val="99"/>
    <w:semiHidden/>
    <w:qFormat/>
    <w:rsid w:val="000D4CA9"/>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0D4CA9"/>
    <w:pPr>
      <w:keepNext/>
      <w:keepLines/>
      <w:spacing w:before="720" w:after="240"/>
      <w:outlineLvl w:val="0"/>
    </w:pPr>
    <w:rPr>
      <w:rFonts w:asciiTheme="majorHAnsi" w:hAnsiTheme="majorHAnsi"/>
      <w:sz w:val="28"/>
      <w:lang w:val="en-GB"/>
    </w:rPr>
  </w:style>
  <w:style w:type="character" w:styleId="af2">
    <w:name w:val="Emphasis"/>
    <w:uiPriority w:val="99"/>
    <w:semiHidden/>
    <w:qFormat/>
    <w:rsid w:val="000D4CA9"/>
    <w:rPr>
      <w:b/>
      <w:bCs/>
      <w:i/>
      <w:iCs/>
      <w:spacing w:val="10"/>
      <w:bdr w:val="none" w:sz="0" w:space="0" w:color="auto"/>
      <w:shd w:val="clear" w:color="auto" w:fill="auto"/>
    </w:rPr>
  </w:style>
  <w:style w:type="paragraph" w:styleId="aa">
    <w:name w:val="footer"/>
    <w:basedOn w:val="a2"/>
    <w:link w:val="af3"/>
    <w:uiPriority w:val="57"/>
    <w:semiHidden/>
    <w:rsid w:val="00000067"/>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000067"/>
    <w:rPr>
      <w:sz w:val="24"/>
    </w:rPr>
  </w:style>
  <w:style w:type="character" w:styleId="af4">
    <w:name w:val="footnote reference"/>
    <w:basedOn w:val="a3"/>
    <w:uiPriority w:val="99"/>
    <w:semiHidden/>
    <w:rsid w:val="00000067"/>
    <w:rPr>
      <w:vertAlign w:val="superscript"/>
    </w:rPr>
  </w:style>
  <w:style w:type="paragraph" w:styleId="af5">
    <w:name w:val="footnote text"/>
    <w:basedOn w:val="a2"/>
    <w:link w:val="af6"/>
    <w:uiPriority w:val="99"/>
    <w:semiHidden/>
    <w:rsid w:val="00000067"/>
    <w:rPr>
      <w:sz w:val="20"/>
      <w:szCs w:val="20"/>
    </w:rPr>
  </w:style>
  <w:style w:type="character" w:customStyle="1" w:styleId="af6">
    <w:name w:val="Текст сноски Знак"/>
    <w:basedOn w:val="a3"/>
    <w:link w:val="af5"/>
    <w:uiPriority w:val="99"/>
    <w:semiHidden/>
    <w:rsid w:val="00000067"/>
    <w:rPr>
      <w:rFonts w:eastAsiaTheme="minorEastAsia"/>
      <w:sz w:val="20"/>
      <w:szCs w:val="20"/>
    </w:rPr>
  </w:style>
  <w:style w:type="character" w:customStyle="1" w:styleId="60">
    <w:name w:val="Заголовок 6 Знак"/>
    <w:basedOn w:val="a3"/>
    <w:link w:val="6"/>
    <w:uiPriority w:val="99"/>
    <w:semiHidden/>
    <w:rsid w:val="00000067"/>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0D4CA9"/>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0D4CA9"/>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0D4CA9"/>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000067"/>
    <w:rPr>
      <w:color w:val="0072BC" w:themeColor="hyperlink"/>
      <w:u w:val="single"/>
    </w:rPr>
  </w:style>
  <w:style w:type="character" w:styleId="af8">
    <w:name w:val="Intense Emphasis"/>
    <w:uiPriority w:val="99"/>
    <w:semiHidden/>
    <w:qFormat/>
    <w:rsid w:val="000D4CA9"/>
    <w:rPr>
      <w:b/>
      <w:bCs/>
    </w:rPr>
  </w:style>
  <w:style w:type="paragraph" w:styleId="af9">
    <w:name w:val="Intense Quote"/>
    <w:basedOn w:val="a2"/>
    <w:next w:val="a2"/>
    <w:link w:val="afa"/>
    <w:uiPriority w:val="99"/>
    <w:semiHidden/>
    <w:qFormat/>
    <w:rsid w:val="000D4CA9"/>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0D4CA9"/>
    <w:rPr>
      <w:rFonts w:eastAsiaTheme="minorEastAsia"/>
      <w:b/>
      <w:bCs/>
      <w:i/>
      <w:iCs/>
      <w:lang w:bidi="en-US"/>
    </w:rPr>
  </w:style>
  <w:style w:type="character" w:styleId="afb">
    <w:name w:val="Intense Reference"/>
    <w:uiPriority w:val="99"/>
    <w:semiHidden/>
    <w:qFormat/>
    <w:rsid w:val="000D4CA9"/>
    <w:rPr>
      <w:smallCaps/>
      <w:spacing w:val="5"/>
      <w:u w:val="single"/>
    </w:rPr>
  </w:style>
  <w:style w:type="paragraph" w:styleId="afc">
    <w:name w:val="List Paragraph"/>
    <w:basedOn w:val="a2"/>
    <w:uiPriority w:val="99"/>
    <w:semiHidden/>
    <w:qFormat/>
    <w:rsid w:val="000D4CA9"/>
    <w:pPr>
      <w:ind w:left="720"/>
      <w:contextualSpacing/>
    </w:pPr>
    <w:rPr>
      <w:lang w:val="en-GB"/>
    </w:r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0D4CA9"/>
    <w:pPr>
      <w:spacing w:before="200"/>
      <w:ind w:left="360" w:right="360"/>
    </w:pPr>
    <w:rPr>
      <w:i/>
      <w:iCs/>
      <w:sz w:val="22"/>
      <w:lang w:bidi="en-US"/>
    </w:rPr>
  </w:style>
  <w:style w:type="character" w:customStyle="1" w:styleId="24">
    <w:name w:val="Цитата 2 Знак"/>
    <w:basedOn w:val="a3"/>
    <w:link w:val="23"/>
    <w:uiPriority w:val="99"/>
    <w:semiHidden/>
    <w:rsid w:val="000D4CA9"/>
    <w:rPr>
      <w:rFonts w:eastAsiaTheme="minorEastAsia"/>
      <w:i/>
      <w:iCs/>
      <w:lang w:bidi="en-US"/>
    </w:rPr>
  </w:style>
  <w:style w:type="character" w:styleId="afd">
    <w:name w:val="Subtle Reference"/>
    <w:uiPriority w:val="99"/>
    <w:semiHidden/>
    <w:qFormat/>
    <w:rsid w:val="000D4CA9"/>
    <w:rPr>
      <w:smallCaps/>
    </w:rPr>
  </w:style>
  <w:style w:type="table" w:styleId="afe">
    <w:name w:val="Table Grid"/>
    <w:basedOn w:val="a4"/>
    <w:uiPriority w:val="59"/>
    <w:semiHidden/>
    <w:rsid w:val="000000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000067"/>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000067"/>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000067"/>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000067"/>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000067"/>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0D4CA9"/>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0000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a2"/>
    <w:uiPriority w:val="14"/>
    <w:qFormat/>
    <w:rsid w:val="000D4CA9"/>
    <w:pPr>
      <w:spacing w:before="120" w:after="120"/>
      <w:ind w:left="425" w:firstLine="142"/>
    </w:pPr>
    <w:rPr>
      <w:sz w:val="20"/>
      <w:lang w:val="en-GB"/>
    </w:rPr>
  </w:style>
  <w:style w:type="paragraph" w:customStyle="1" w:styleId="ECHRPara">
    <w:name w:val="ECHR_Para"/>
    <w:aliases w:val="Ju_Para"/>
    <w:basedOn w:val="a2"/>
    <w:link w:val="ECHRParaChar"/>
    <w:uiPriority w:val="12"/>
    <w:qFormat/>
    <w:rsid w:val="000D4CA9"/>
    <w:pPr>
      <w:ind w:firstLine="284"/>
    </w:pPr>
    <w:rPr>
      <w:lang w:val="en-GB"/>
    </w:r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000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0D4CA9"/>
    <w:pPr>
      <w:tabs>
        <w:tab w:val="left" w:pos="567"/>
        <w:tab w:val="left" w:pos="1134"/>
      </w:tabs>
      <w:jc w:val="left"/>
    </w:pPr>
    <w:rPr>
      <w:lang w:val="en-GB"/>
    </w:r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0D4CA9"/>
    <w:pPr>
      <w:ind w:left="340" w:hanging="340"/>
    </w:pPr>
    <w:rPr>
      <w:lang w:val="en-GB"/>
    </w:rPr>
  </w:style>
  <w:style w:type="paragraph" w:customStyle="1" w:styleId="JuSigned">
    <w:name w:val="Ju_Signed"/>
    <w:basedOn w:val="a2"/>
    <w:next w:val="JuParaLast"/>
    <w:uiPriority w:val="32"/>
    <w:qFormat/>
    <w:rsid w:val="000D4CA9"/>
    <w:pPr>
      <w:tabs>
        <w:tab w:val="center" w:pos="851"/>
        <w:tab w:val="center" w:pos="6407"/>
      </w:tabs>
      <w:spacing w:before="720"/>
      <w:jc w:val="left"/>
    </w:pPr>
    <w:rPr>
      <w:lang w:val="en-GB"/>
    </w:rPr>
  </w:style>
  <w:style w:type="paragraph" w:customStyle="1" w:styleId="JuParaLast">
    <w:name w:val="Ju_Para_Last"/>
    <w:basedOn w:val="a2"/>
    <w:next w:val="ECHRPara"/>
    <w:uiPriority w:val="30"/>
    <w:qFormat/>
    <w:rsid w:val="000D4CA9"/>
    <w:pPr>
      <w:keepNext/>
      <w:keepLines/>
      <w:spacing w:before="240"/>
      <w:ind w:firstLine="284"/>
    </w:pPr>
    <w:rPr>
      <w:lang w:val="en-GB"/>
    </w:rPr>
  </w:style>
  <w:style w:type="paragraph" w:customStyle="1" w:styleId="OpiTranslation">
    <w:name w:val="Opi_Translation"/>
    <w:basedOn w:val="a2"/>
    <w:next w:val="OpiPara"/>
    <w:uiPriority w:val="40"/>
    <w:qFormat/>
    <w:rsid w:val="000D4CA9"/>
    <w:pPr>
      <w:jc w:val="center"/>
      <w:outlineLvl w:val="0"/>
    </w:pPr>
    <w:rPr>
      <w:i/>
      <w:lang w:val="en-GB"/>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0D4CA9"/>
    <w:pPr>
      <w:ind w:left="346" w:firstLine="0"/>
    </w:pPr>
  </w:style>
  <w:style w:type="paragraph" w:customStyle="1" w:styleId="DecHTitle">
    <w:name w:val="Dec_H_Title"/>
    <w:basedOn w:val="ECHRTitleCentre1"/>
    <w:uiPriority w:val="7"/>
    <w:semiHidden/>
    <w:qFormat/>
    <w:rsid w:val="000D4CA9"/>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JuCourt">
    <w:name w:val="Ju_Court"/>
    <w:basedOn w:val="a2"/>
    <w:next w:val="a2"/>
    <w:uiPriority w:val="16"/>
    <w:qFormat/>
    <w:rsid w:val="000D4CA9"/>
    <w:pPr>
      <w:tabs>
        <w:tab w:val="left" w:pos="907"/>
        <w:tab w:val="left" w:pos="1701"/>
        <w:tab w:val="right" w:pos="7371"/>
      </w:tabs>
      <w:spacing w:before="240"/>
      <w:ind w:left="397" w:hanging="397"/>
      <w:jc w:val="left"/>
    </w:pPr>
    <w:rPr>
      <w:lang w:val="en-GB" w:bidi="en-US"/>
    </w:r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0D4CA9"/>
    <w:rPr>
      <w:vanish w:val="0"/>
      <w:color w:val="auto"/>
      <w:sz w:val="14"/>
      <w:bdr w:val="none" w:sz="0" w:space="0" w:color="auto"/>
      <w:shd w:val="clear" w:color="auto" w:fill="BEE5FF" w:themeFill="background1" w:themeFillTint="33"/>
    </w:rPr>
  </w:style>
  <w:style w:type="paragraph" w:styleId="affd">
    <w:name w:val="Subtitle"/>
    <w:basedOn w:val="a2"/>
    <w:next w:val="a2"/>
    <w:link w:val="affe"/>
    <w:uiPriority w:val="99"/>
    <w:semiHidden/>
    <w:qFormat/>
    <w:rsid w:val="000D4CA9"/>
    <w:pPr>
      <w:spacing w:after="600"/>
    </w:pPr>
    <w:rPr>
      <w:rFonts w:asciiTheme="majorHAnsi" w:eastAsiaTheme="majorEastAsia" w:hAnsiTheme="majorHAnsi" w:cstheme="majorBidi"/>
      <w:i/>
      <w:iCs/>
      <w:spacing w:val="13"/>
      <w:szCs w:val="24"/>
      <w:lang w:bidi="en-US"/>
    </w:rPr>
  </w:style>
  <w:style w:type="character" w:customStyle="1" w:styleId="affe">
    <w:name w:val="Подзаголовок Знак"/>
    <w:basedOn w:val="a3"/>
    <w:link w:val="affd"/>
    <w:uiPriority w:val="99"/>
    <w:semiHidden/>
    <w:rsid w:val="000D4CA9"/>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lang w:val="en-GB"/>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en-GB" w:eastAsia="fr-FR"/>
    </w:rPr>
  </w:style>
  <w:style w:type="table" w:styleId="13">
    <w:name w:val="Medium Grid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customStyle="1" w:styleId="DecList">
    <w:name w:val="Dec_List"/>
    <w:basedOn w:val="a2"/>
    <w:uiPriority w:val="9"/>
    <w:semiHidden/>
    <w:qFormat/>
    <w:rsid w:val="000D4CA9"/>
    <w:pPr>
      <w:spacing w:before="240"/>
      <w:ind w:left="284"/>
    </w:pPr>
    <w:rPr>
      <w:lang w:val="en-GB"/>
    </w:rPr>
  </w:style>
  <w:style w:type="paragraph" w:customStyle="1" w:styleId="JuListi">
    <w:name w:val="Ju_List_i"/>
    <w:basedOn w:val="a2"/>
    <w:next w:val="JuLista"/>
    <w:uiPriority w:val="28"/>
    <w:qFormat/>
    <w:rsid w:val="000D4CA9"/>
    <w:pPr>
      <w:ind w:left="794"/>
    </w:pPr>
    <w:rPr>
      <w:lang w:val="en-GB"/>
    </w:rPr>
  </w:style>
  <w:style w:type="character" w:styleId="afffff0">
    <w:name w:val="Placeholder Text"/>
    <w:basedOn w:val="a3"/>
    <w:uiPriority w:val="99"/>
    <w:semiHidden/>
    <w:rsid w:val="00000067"/>
    <w:rPr>
      <w:color w:val="auto"/>
      <w:bdr w:val="none" w:sz="0" w:space="0" w:color="auto"/>
      <w:shd w:val="clear" w:color="auto" w:fill="DFDFDF" w:themeFill="background2" w:themeFillShade="E6"/>
    </w:rPr>
  </w:style>
  <w:style w:type="paragraph" w:styleId="afffff1">
    <w:name w:val="Plain Text"/>
    <w:basedOn w:val="a2"/>
    <w:link w:val="afffff2"/>
    <w:uiPriority w:val="99"/>
    <w:semiHidden/>
    <w:rsid w:val="00014566"/>
    <w:rPr>
      <w:rFonts w:ascii="Consolas" w:hAnsi="Consolas" w:cs="Consolas"/>
      <w:sz w:val="21"/>
      <w:szCs w:val="21"/>
    </w:rPr>
  </w:style>
  <w:style w:type="character" w:customStyle="1" w:styleId="afffff2">
    <w:name w:val="Текст Знак"/>
    <w:basedOn w:val="a3"/>
    <w:link w:val="afffff1"/>
    <w:uiPriority w:val="99"/>
    <w:semiHidden/>
    <w:rsid w:val="00014566"/>
    <w:rPr>
      <w:rFonts w:ascii="Consolas" w:eastAsiaTheme="minorEastAsia" w:hAnsi="Consolas" w:cs="Consolas"/>
      <w:sz w:val="21"/>
      <w:szCs w:val="21"/>
    </w:rPr>
  </w:style>
  <w:style w:type="paragraph" w:styleId="afffff3">
    <w:name w:val="Salutation"/>
    <w:basedOn w:val="a2"/>
    <w:next w:val="a2"/>
    <w:link w:val="afffff4"/>
    <w:uiPriority w:val="99"/>
    <w:semiHidden/>
    <w:rsid w:val="00014566"/>
  </w:style>
  <w:style w:type="character" w:customStyle="1" w:styleId="afffff4">
    <w:name w:val="Приветствие Знак"/>
    <w:basedOn w:val="a3"/>
    <w:link w:val="afffff3"/>
    <w:uiPriority w:val="99"/>
    <w:semiHidden/>
    <w:rsid w:val="00014566"/>
    <w:rPr>
      <w:rFonts w:eastAsiaTheme="minorEastAsia"/>
      <w:sz w:val="24"/>
    </w:rPr>
  </w:style>
  <w:style w:type="paragraph" w:styleId="afffff5">
    <w:name w:val="Signature"/>
    <w:basedOn w:val="a2"/>
    <w:link w:val="afffff6"/>
    <w:uiPriority w:val="99"/>
    <w:semiHidden/>
    <w:rsid w:val="00014566"/>
    <w:pPr>
      <w:ind w:left="4252"/>
    </w:pPr>
  </w:style>
  <w:style w:type="character" w:customStyle="1" w:styleId="afffff6">
    <w:name w:val="Подпись Знак"/>
    <w:basedOn w:val="a3"/>
    <w:link w:val="afffff5"/>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rsid w:val="00014566"/>
    <w:pPr>
      <w:ind w:left="240" w:hanging="240"/>
    </w:pPr>
  </w:style>
  <w:style w:type="paragraph" w:styleId="afffffa">
    <w:name w:val="table of figures"/>
    <w:basedOn w:val="a2"/>
    <w:next w:val="a2"/>
    <w:uiPriority w:val="99"/>
    <w:semiHidden/>
    <w:rsid w:val="00014566"/>
  </w:style>
  <w:style w:type="table" w:styleId="afffffb">
    <w:name w:val="Table Professional"/>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00067"/>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000067"/>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H1">
    <w:name w:val="Opi_H_1"/>
    <w:basedOn w:val="ECHRHeading2"/>
    <w:uiPriority w:val="42"/>
    <w:qFormat/>
    <w:rsid w:val="000D4CA9"/>
    <w:pPr>
      <w:ind w:left="635" w:hanging="357"/>
      <w:outlineLvl w:val="2"/>
    </w:pPr>
  </w:style>
  <w:style w:type="paragraph" w:customStyle="1" w:styleId="OpiHa0">
    <w:name w:val="Opi_H_a"/>
    <w:basedOn w:val="ECHRHeading3"/>
    <w:uiPriority w:val="43"/>
    <w:qFormat/>
    <w:rsid w:val="000D4CA9"/>
    <w:pPr>
      <w:ind w:left="833" w:hanging="357"/>
      <w:outlineLvl w:val="3"/>
    </w:pPr>
    <w:rPr>
      <w:b/>
      <w:i w:val="0"/>
      <w:sz w:val="20"/>
    </w:rPr>
  </w:style>
  <w:style w:type="paragraph" w:customStyle="1" w:styleId="OpiHi">
    <w:name w:val="Opi_H_i"/>
    <w:basedOn w:val="ECHRHeading4"/>
    <w:uiPriority w:val="44"/>
    <w:qFormat/>
    <w:rsid w:val="000D4CA9"/>
    <w:pPr>
      <w:ind w:left="1037" w:hanging="357"/>
      <w:outlineLvl w:val="4"/>
    </w:pPr>
    <w:rPr>
      <w:b w:val="0"/>
      <w:i/>
    </w:rPr>
  </w:style>
  <w:style w:type="paragraph" w:customStyle="1" w:styleId="DummyStyle">
    <w:name w:val="Dummy_Style"/>
    <w:basedOn w:val="a2"/>
    <w:semiHidden/>
    <w:qFormat/>
    <w:rsid w:val="000D4CA9"/>
    <w:rPr>
      <w:color w:val="00B050"/>
      <w:lang w:val="en-GB"/>
    </w:rPr>
  </w:style>
  <w:style w:type="paragraph" w:styleId="afffffd">
    <w:name w:val="Note Heading"/>
    <w:basedOn w:val="a2"/>
    <w:next w:val="a2"/>
    <w:link w:val="afffffe"/>
    <w:uiPriority w:val="99"/>
    <w:semiHidden/>
    <w:rsid w:val="000D4CA9"/>
  </w:style>
  <w:style w:type="character" w:customStyle="1" w:styleId="afffffe">
    <w:name w:val="Заголовок записки Знак"/>
    <w:basedOn w:val="a3"/>
    <w:link w:val="afffffd"/>
    <w:uiPriority w:val="99"/>
    <w:semiHidden/>
    <w:rsid w:val="000D4CA9"/>
    <w:rPr>
      <w:rFonts w:eastAsiaTheme="minorEastAsia"/>
      <w:sz w:val="24"/>
    </w:rPr>
  </w:style>
  <w:style w:type="paragraph" w:customStyle="1" w:styleId="JuHeaderLandscape">
    <w:name w:val="Ju_Header_Landscape"/>
    <w:basedOn w:val="ECHRHeader"/>
    <w:uiPriority w:val="4"/>
    <w:qFormat/>
    <w:rsid w:val="000D4CA9"/>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800647"/>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427">
      <w:bodyDiv w:val="1"/>
      <w:marLeft w:val="0"/>
      <w:marRight w:val="0"/>
      <w:marTop w:val="0"/>
      <w:marBottom w:val="0"/>
      <w:divBdr>
        <w:top w:val="none" w:sz="0" w:space="0" w:color="auto"/>
        <w:left w:val="none" w:sz="0" w:space="0" w:color="auto"/>
        <w:bottom w:val="none" w:sz="0" w:space="0" w:color="auto"/>
        <w:right w:val="none" w:sz="0" w:space="0" w:color="auto"/>
      </w:divBdr>
      <w:divsChild>
        <w:div w:id="1174802861">
          <w:marLeft w:val="0"/>
          <w:marRight w:val="0"/>
          <w:marTop w:val="0"/>
          <w:marBottom w:val="0"/>
          <w:divBdr>
            <w:top w:val="none" w:sz="0" w:space="0" w:color="auto"/>
            <w:left w:val="none" w:sz="0" w:space="0" w:color="auto"/>
            <w:bottom w:val="none" w:sz="0" w:space="0" w:color="auto"/>
            <w:right w:val="none" w:sz="0" w:space="0" w:color="auto"/>
          </w:divBdr>
          <w:divsChild>
            <w:div w:id="192505141">
              <w:marLeft w:val="0"/>
              <w:marRight w:val="0"/>
              <w:marTop w:val="0"/>
              <w:marBottom w:val="0"/>
              <w:divBdr>
                <w:top w:val="none" w:sz="0" w:space="0" w:color="auto"/>
                <w:left w:val="none" w:sz="0" w:space="0" w:color="auto"/>
                <w:bottom w:val="none" w:sz="0" w:space="0" w:color="auto"/>
                <w:right w:val="none" w:sz="0" w:space="0" w:color="auto"/>
              </w:divBdr>
              <w:divsChild>
                <w:div w:id="174423012">
                  <w:marLeft w:val="0"/>
                  <w:marRight w:val="0"/>
                  <w:marTop w:val="0"/>
                  <w:marBottom w:val="0"/>
                  <w:divBdr>
                    <w:top w:val="none" w:sz="0" w:space="0" w:color="auto"/>
                    <w:left w:val="none" w:sz="0" w:space="0" w:color="auto"/>
                    <w:bottom w:val="none" w:sz="0" w:space="0" w:color="auto"/>
                    <w:right w:val="none" w:sz="0" w:space="0" w:color="auto"/>
                  </w:divBdr>
                  <w:divsChild>
                    <w:div w:id="1141382576">
                      <w:marLeft w:val="0"/>
                      <w:marRight w:val="0"/>
                      <w:marTop w:val="0"/>
                      <w:marBottom w:val="0"/>
                      <w:divBdr>
                        <w:top w:val="none" w:sz="0" w:space="0" w:color="auto"/>
                        <w:left w:val="none" w:sz="0" w:space="0" w:color="auto"/>
                        <w:bottom w:val="none" w:sz="0" w:space="0" w:color="auto"/>
                        <w:right w:val="none" w:sz="0" w:space="0" w:color="auto"/>
                      </w:divBdr>
                      <w:divsChild>
                        <w:div w:id="1360813611">
                          <w:marLeft w:val="0"/>
                          <w:marRight w:val="0"/>
                          <w:marTop w:val="0"/>
                          <w:marBottom w:val="0"/>
                          <w:divBdr>
                            <w:top w:val="none" w:sz="0" w:space="0" w:color="auto"/>
                            <w:left w:val="none" w:sz="0" w:space="0" w:color="auto"/>
                            <w:bottom w:val="none" w:sz="0" w:space="0" w:color="auto"/>
                            <w:right w:val="none" w:sz="0" w:space="0" w:color="auto"/>
                          </w:divBdr>
                          <w:divsChild>
                            <w:div w:id="1542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39984">
      <w:bodyDiv w:val="1"/>
      <w:marLeft w:val="0"/>
      <w:marRight w:val="0"/>
      <w:marTop w:val="0"/>
      <w:marBottom w:val="0"/>
      <w:divBdr>
        <w:top w:val="none" w:sz="0" w:space="0" w:color="auto"/>
        <w:left w:val="none" w:sz="0" w:space="0" w:color="auto"/>
        <w:bottom w:val="none" w:sz="0" w:space="0" w:color="auto"/>
        <w:right w:val="none" w:sz="0" w:space="0" w:color="auto"/>
      </w:divBdr>
      <w:divsChild>
        <w:div w:id="1575704640">
          <w:marLeft w:val="0"/>
          <w:marRight w:val="0"/>
          <w:marTop w:val="0"/>
          <w:marBottom w:val="0"/>
          <w:divBdr>
            <w:top w:val="none" w:sz="0" w:space="0" w:color="auto"/>
            <w:left w:val="none" w:sz="0" w:space="0" w:color="auto"/>
            <w:bottom w:val="none" w:sz="0" w:space="0" w:color="auto"/>
            <w:right w:val="none" w:sz="0" w:space="0" w:color="auto"/>
          </w:divBdr>
          <w:divsChild>
            <w:div w:id="1566187348">
              <w:marLeft w:val="0"/>
              <w:marRight w:val="0"/>
              <w:marTop w:val="0"/>
              <w:marBottom w:val="0"/>
              <w:divBdr>
                <w:top w:val="none" w:sz="0" w:space="0" w:color="auto"/>
                <w:left w:val="none" w:sz="0" w:space="0" w:color="auto"/>
                <w:bottom w:val="none" w:sz="0" w:space="0" w:color="auto"/>
                <w:right w:val="none" w:sz="0" w:space="0" w:color="auto"/>
              </w:divBdr>
              <w:divsChild>
                <w:div w:id="694504702">
                  <w:marLeft w:val="0"/>
                  <w:marRight w:val="0"/>
                  <w:marTop w:val="0"/>
                  <w:marBottom w:val="0"/>
                  <w:divBdr>
                    <w:top w:val="none" w:sz="0" w:space="0" w:color="auto"/>
                    <w:left w:val="none" w:sz="0" w:space="0" w:color="auto"/>
                    <w:bottom w:val="none" w:sz="0" w:space="0" w:color="auto"/>
                    <w:right w:val="none" w:sz="0" w:space="0" w:color="auto"/>
                  </w:divBdr>
                  <w:divsChild>
                    <w:div w:id="1514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85181">
      <w:bodyDiv w:val="1"/>
      <w:marLeft w:val="0"/>
      <w:marRight w:val="0"/>
      <w:marTop w:val="0"/>
      <w:marBottom w:val="0"/>
      <w:divBdr>
        <w:top w:val="none" w:sz="0" w:space="0" w:color="auto"/>
        <w:left w:val="none" w:sz="0" w:space="0" w:color="auto"/>
        <w:bottom w:val="none" w:sz="0" w:space="0" w:color="auto"/>
        <w:right w:val="none" w:sz="0" w:space="0" w:color="auto"/>
      </w:divBdr>
      <w:divsChild>
        <w:div w:id="113595910">
          <w:marLeft w:val="0"/>
          <w:marRight w:val="0"/>
          <w:marTop w:val="0"/>
          <w:marBottom w:val="0"/>
          <w:divBdr>
            <w:top w:val="none" w:sz="0" w:space="0" w:color="auto"/>
            <w:left w:val="none" w:sz="0" w:space="0" w:color="auto"/>
            <w:bottom w:val="none" w:sz="0" w:space="0" w:color="auto"/>
            <w:right w:val="none" w:sz="0" w:space="0" w:color="auto"/>
          </w:divBdr>
          <w:divsChild>
            <w:div w:id="966157422">
              <w:marLeft w:val="0"/>
              <w:marRight w:val="0"/>
              <w:marTop w:val="0"/>
              <w:marBottom w:val="0"/>
              <w:divBdr>
                <w:top w:val="none" w:sz="0" w:space="0" w:color="auto"/>
                <w:left w:val="none" w:sz="0" w:space="0" w:color="auto"/>
                <w:bottom w:val="none" w:sz="0" w:space="0" w:color="auto"/>
                <w:right w:val="none" w:sz="0" w:space="0" w:color="auto"/>
              </w:divBdr>
              <w:divsChild>
                <w:div w:id="19429102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73448896">
      <w:bodyDiv w:val="1"/>
      <w:marLeft w:val="0"/>
      <w:marRight w:val="0"/>
      <w:marTop w:val="0"/>
      <w:marBottom w:val="0"/>
      <w:divBdr>
        <w:top w:val="none" w:sz="0" w:space="0" w:color="auto"/>
        <w:left w:val="none" w:sz="0" w:space="0" w:color="auto"/>
        <w:bottom w:val="none" w:sz="0" w:space="0" w:color="auto"/>
        <w:right w:val="none" w:sz="0" w:space="0" w:color="auto"/>
      </w:divBdr>
      <w:divsChild>
        <w:div w:id="1679456400">
          <w:marLeft w:val="0"/>
          <w:marRight w:val="0"/>
          <w:marTop w:val="0"/>
          <w:marBottom w:val="0"/>
          <w:divBdr>
            <w:top w:val="none" w:sz="0" w:space="0" w:color="auto"/>
            <w:left w:val="none" w:sz="0" w:space="0" w:color="auto"/>
            <w:bottom w:val="none" w:sz="0" w:space="0" w:color="auto"/>
            <w:right w:val="none" w:sz="0" w:space="0" w:color="auto"/>
          </w:divBdr>
          <w:divsChild>
            <w:div w:id="882326224">
              <w:marLeft w:val="0"/>
              <w:marRight w:val="0"/>
              <w:marTop w:val="0"/>
              <w:marBottom w:val="0"/>
              <w:divBdr>
                <w:top w:val="none" w:sz="0" w:space="0" w:color="auto"/>
                <w:left w:val="none" w:sz="0" w:space="0" w:color="auto"/>
                <w:bottom w:val="none" w:sz="0" w:space="0" w:color="auto"/>
                <w:right w:val="none" w:sz="0" w:space="0" w:color="auto"/>
              </w:divBdr>
              <w:divsChild>
                <w:div w:id="1108308691">
                  <w:marLeft w:val="0"/>
                  <w:marRight w:val="0"/>
                  <w:marTop w:val="0"/>
                  <w:marBottom w:val="0"/>
                  <w:divBdr>
                    <w:top w:val="none" w:sz="0" w:space="0" w:color="auto"/>
                    <w:left w:val="none" w:sz="0" w:space="0" w:color="auto"/>
                    <w:bottom w:val="none" w:sz="0" w:space="0" w:color="auto"/>
                    <w:right w:val="none" w:sz="0" w:space="0" w:color="auto"/>
                  </w:divBdr>
                  <w:divsChild>
                    <w:div w:id="1228035363">
                      <w:marLeft w:val="0"/>
                      <w:marRight w:val="0"/>
                      <w:marTop w:val="0"/>
                      <w:marBottom w:val="0"/>
                      <w:divBdr>
                        <w:top w:val="none" w:sz="0" w:space="0" w:color="auto"/>
                        <w:left w:val="none" w:sz="0" w:space="0" w:color="auto"/>
                        <w:bottom w:val="none" w:sz="0" w:space="0" w:color="auto"/>
                        <w:right w:val="none" w:sz="0" w:space="0" w:color="auto"/>
                      </w:divBdr>
                      <w:divsChild>
                        <w:div w:id="330380223">
                          <w:marLeft w:val="0"/>
                          <w:marRight w:val="0"/>
                          <w:marTop w:val="0"/>
                          <w:marBottom w:val="0"/>
                          <w:divBdr>
                            <w:top w:val="none" w:sz="0" w:space="0" w:color="auto"/>
                            <w:left w:val="none" w:sz="0" w:space="0" w:color="auto"/>
                            <w:bottom w:val="none" w:sz="0" w:space="0" w:color="auto"/>
                            <w:right w:val="none" w:sz="0" w:space="0" w:color="auto"/>
                          </w:divBdr>
                          <w:divsChild>
                            <w:div w:id="13818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38004">
      <w:bodyDiv w:val="1"/>
      <w:marLeft w:val="0"/>
      <w:marRight w:val="0"/>
      <w:marTop w:val="0"/>
      <w:marBottom w:val="0"/>
      <w:divBdr>
        <w:top w:val="none" w:sz="0" w:space="0" w:color="auto"/>
        <w:left w:val="none" w:sz="0" w:space="0" w:color="auto"/>
        <w:bottom w:val="none" w:sz="0" w:space="0" w:color="auto"/>
        <w:right w:val="none" w:sz="0" w:space="0" w:color="auto"/>
      </w:divBdr>
      <w:divsChild>
        <w:div w:id="1926648242">
          <w:marLeft w:val="0"/>
          <w:marRight w:val="0"/>
          <w:marTop w:val="0"/>
          <w:marBottom w:val="0"/>
          <w:divBdr>
            <w:top w:val="none" w:sz="0" w:space="0" w:color="auto"/>
            <w:left w:val="none" w:sz="0" w:space="0" w:color="auto"/>
            <w:bottom w:val="none" w:sz="0" w:space="0" w:color="auto"/>
            <w:right w:val="none" w:sz="0" w:space="0" w:color="auto"/>
          </w:divBdr>
          <w:divsChild>
            <w:div w:id="862404485">
              <w:marLeft w:val="0"/>
              <w:marRight w:val="0"/>
              <w:marTop w:val="0"/>
              <w:marBottom w:val="0"/>
              <w:divBdr>
                <w:top w:val="none" w:sz="0" w:space="0" w:color="auto"/>
                <w:left w:val="none" w:sz="0" w:space="0" w:color="auto"/>
                <w:bottom w:val="none" w:sz="0" w:space="0" w:color="auto"/>
                <w:right w:val="none" w:sz="0" w:space="0" w:color="auto"/>
              </w:divBdr>
              <w:divsChild>
                <w:div w:id="18481380">
                  <w:marLeft w:val="0"/>
                  <w:marRight w:val="0"/>
                  <w:marTop w:val="0"/>
                  <w:marBottom w:val="0"/>
                  <w:divBdr>
                    <w:top w:val="none" w:sz="0" w:space="0" w:color="auto"/>
                    <w:left w:val="none" w:sz="0" w:space="0" w:color="auto"/>
                    <w:bottom w:val="none" w:sz="0" w:space="0" w:color="auto"/>
                    <w:right w:val="none" w:sz="0" w:space="0" w:color="auto"/>
                  </w:divBdr>
                  <w:divsChild>
                    <w:div w:id="1563708391">
                      <w:marLeft w:val="0"/>
                      <w:marRight w:val="0"/>
                      <w:marTop w:val="0"/>
                      <w:marBottom w:val="0"/>
                      <w:divBdr>
                        <w:top w:val="none" w:sz="0" w:space="0" w:color="auto"/>
                        <w:left w:val="none" w:sz="0" w:space="0" w:color="auto"/>
                        <w:bottom w:val="none" w:sz="0" w:space="0" w:color="auto"/>
                        <w:right w:val="none" w:sz="0" w:space="0" w:color="auto"/>
                      </w:divBdr>
                      <w:divsChild>
                        <w:div w:id="1047216765">
                          <w:marLeft w:val="0"/>
                          <w:marRight w:val="0"/>
                          <w:marTop w:val="0"/>
                          <w:marBottom w:val="0"/>
                          <w:divBdr>
                            <w:top w:val="none" w:sz="0" w:space="0" w:color="auto"/>
                            <w:left w:val="none" w:sz="0" w:space="0" w:color="auto"/>
                            <w:bottom w:val="none" w:sz="0" w:space="0" w:color="auto"/>
                            <w:right w:val="none" w:sz="0" w:space="0" w:color="auto"/>
                          </w:divBdr>
                          <w:divsChild>
                            <w:div w:id="20264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485388">
      <w:bodyDiv w:val="1"/>
      <w:marLeft w:val="0"/>
      <w:marRight w:val="0"/>
      <w:marTop w:val="0"/>
      <w:marBottom w:val="0"/>
      <w:divBdr>
        <w:top w:val="none" w:sz="0" w:space="0" w:color="auto"/>
        <w:left w:val="none" w:sz="0" w:space="0" w:color="auto"/>
        <w:bottom w:val="none" w:sz="0" w:space="0" w:color="auto"/>
        <w:right w:val="none" w:sz="0" w:space="0" w:color="auto"/>
      </w:divBdr>
      <w:divsChild>
        <w:div w:id="247154722">
          <w:marLeft w:val="0"/>
          <w:marRight w:val="0"/>
          <w:marTop w:val="0"/>
          <w:marBottom w:val="0"/>
          <w:divBdr>
            <w:top w:val="none" w:sz="0" w:space="0" w:color="auto"/>
            <w:left w:val="none" w:sz="0" w:space="0" w:color="auto"/>
            <w:bottom w:val="none" w:sz="0" w:space="0" w:color="auto"/>
            <w:right w:val="none" w:sz="0" w:space="0" w:color="auto"/>
          </w:divBdr>
          <w:divsChild>
            <w:div w:id="1362897256">
              <w:marLeft w:val="0"/>
              <w:marRight w:val="0"/>
              <w:marTop w:val="0"/>
              <w:marBottom w:val="0"/>
              <w:divBdr>
                <w:top w:val="none" w:sz="0" w:space="0" w:color="auto"/>
                <w:left w:val="none" w:sz="0" w:space="0" w:color="auto"/>
                <w:bottom w:val="none" w:sz="0" w:space="0" w:color="auto"/>
                <w:right w:val="none" w:sz="0" w:space="0" w:color="auto"/>
              </w:divBdr>
              <w:divsChild>
                <w:div w:id="1777208293">
                  <w:marLeft w:val="0"/>
                  <w:marRight w:val="0"/>
                  <w:marTop w:val="0"/>
                  <w:marBottom w:val="0"/>
                  <w:divBdr>
                    <w:top w:val="none" w:sz="0" w:space="0" w:color="auto"/>
                    <w:left w:val="none" w:sz="0" w:space="0" w:color="auto"/>
                    <w:bottom w:val="none" w:sz="0" w:space="0" w:color="auto"/>
                    <w:right w:val="none" w:sz="0" w:space="0" w:color="auto"/>
                  </w:divBdr>
                  <w:divsChild>
                    <w:div w:id="1131441716">
                      <w:marLeft w:val="0"/>
                      <w:marRight w:val="0"/>
                      <w:marTop w:val="0"/>
                      <w:marBottom w:val="0"/>
                      <w:divBdr>
                        <w:top w:val="none" w:sz="0" w:space="0" w:color="auto"/>
                        <w:left w:val="none" w:sz="0" w:space="0" w:color="auto"/>
                        <w:bottom w:val="none" w:sz="0" w:space="0" w:color="auto"/>
                        <w:right w:val="none" w:sz="0" w:space="0" w:color="auto"/>
                      </w:divBdr>
                      <w:divsChild>
                        <w:div w:id="2061123727">
                          <w:marLeft w:val="0"/>
                          <w:marRight w:val="0"/>
                          <w:marTop w:val="0"/>
                          <w:marBottom w:val="0"/>
                          <w:divBdr>
                            <w:top w:val="none" w:sz="0" w:space="0" w:color="auto"/>
                            <w:left w:val="none" w:sz="0" w:space="0" w:color="auto"/>
                            <w:bottom w:val="none" w:sz="0" w:space="0" w:color="auto"/>
                            <w:right w:val="none" w:sz="0" w:space="0" w:color="auto"/>
                          </w:divBdr>
                          <w:divsChild>
                            <w:div w:id="12718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38815">
      <w:bodyDiv w:val="1"/>
      <w:marLeft w:val="0"/>
      <w:marRight w:val="0"/>
      <w:marTop w:val="0"/>
      <w:marBottom w:val="0"/>
      <w:divBdr>
        <w:top w:val="none" w:sz="0" w:space="0" w:color="auto"/>
        <w:left w:val="none" w:sz="0" w:space="0" w:color="auto"/>
        <w:bottom w:val="none" w:sz="0" w:space="0" w:color="auto"/>
        <w:right w:val="none" w:sz="0" w:space="0" w:color="auto"/>
      </w:divBdr>
      <w:divsChild>
        <w:div w:id="1171749597">
          <w:marLeft w:val="-90"/>
          <w:marRight w:val="-90"/>
          <w:marTop w:val="0"/>
          <w:marBottom w:val="0"/>
          <w:divBdr>
            <w:top w:val="dashed" w:sz="12" w:space="3" w:color="B5B5E8"/>
            <w:left w:val="dashed" w:sz="12" w:space="3" w:color="B5B5E8"/>
            <w:bottom w:val="dashed" w:sz="12" w:space="3" w:color="B5B5E8"/>
            <w:right w:val="dashed" w:sz="12" w:space="3" w:color="B5B5E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3D90-6AD9-4E25-AD87-9D2529104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5BF82-D5C5-4636-8E93-C286F81C34CA}">
  <ds:schemaRefs>
    <ds:schemaRef ds:uri="http://schemas.microsoft.com/sharepoint/v3/contenttype/forms"/>
  </ds:schemaRefs>
</ds:datastoreItem>
</file>

<file path=customXml/itemProps3.xml><?xml version="1.0" encoding="utf-8"?>
<ds:datastoreItem xmlns:ds="http://schemas.openxmlformats.org/officeDocument/2006/customXml" ds:itemID="{D0422F18-8318-4620-ADFF-2D42548DA8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CC1013-24D5-414E-9332-E70E332D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3775</Words>
  <Characters>21519</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2019-02-11T16:56:00Z</dcterms:created>
  <dcterms:modified xsi:type="dcterms:W3CDTF">2019-02-11T16:56:00Z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60708/13</vt:lpwstr>
  </property>
  <property fmtid="{D5CDD505-2E9C-101B-9397-08002B2CF9AE}" pid="4" name="CASEID">
    <vt:lpwstr>911452</vt:lpwstr>
  </property>
  <property fmtid="{D5CDD505-2E9C-101B-9397-08002B2CF9AE}" pid="5" name="ContentTypeId">
    <vt:lpwstr>0x010100558EB02BDB9E204AB350EDD385B68E10</vt:lpwstr>
  </property>
</Properties>
</file>