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66" w:rsidRPr="006350BE" w:rsidRDefault="00014566" w:rsidP="001524AD">
      <w:pPr>
        <w:pStyle w:val="ECHRDecisionBody"/>
        <w:jc w:val="center"/>
      </w:pPr>
    </w:p>
    <w:p w:rsidR="0041416A" w:rsidRPr="006350BE" w:rsidRDefault="0041416A" w:rsidP="001524AD">
      <w:pPr>
        <w:pStyle w:val="ECHRDecisionBody"/>
        <w:jc w:val="center"/>
      </w:pPr>
    </w:p>
    <w:p w:rsidR="0041416A" w:rsidRPr="006350BE" w:rsidRDefault="0041416A" w:rsidP="001524AD">
      <w:pPr>
        <w:pStyle w:val="ECHRDecisionBody"/>
        <w:jc w:val="center"/>
      </w:pPr>
    </w:p>
    <w:p w:rsidR="00014566" w:rsidRPr="006350BE" w:rsidRDefault="00DA2403" w:rsidP="006350BE">
      <w:pPr>
        <w:jc w:val="center"/>
      </w:pPr>
      <w:r w:rsidRPr="006350BE">
        <w:t>THIRD SECTION</w:t>
      </w:r>
    </w:p>
    <w:p w:rsidR="00014566" w:rsidRPr="006350BE" w:rsidRDefault="00014566" w:rsidP="006350BE">
      <w:pPr>
        <w:jc w:val="center"/>
      </w:pPr>
    </w:p>
    <w:p w:rsidR="0041416A" w:rsidRPr="006350BE" w:rsidRDefault="0041416A" w:rsidP="006350BE">
      <w:pPr>
        <w:jc w:val="center"/>
      </w:pPr>
    </w:p>
    <w:p w:rsidR="0041416A" w:rsidRPr="006350BE" w:rsidRDefault="0041416A" w:rsidP="006350BE">
      <w:pPr>
        <w:jc w:val="center"/>
      </w:pPr>
    </w:p>
    <w:p w:rsidR="0041416A" w:rsidRPr="006350BE" w:rsidRDefault="0041416A" w:rsidP="006350BE">
      <w:pPr>
        <w:jc w:val="center"/>
      </w:pPr>
    </w:p>
    <w:p w:rsidR="0041416A" w:rsidRDefault="0041416A" w:rsidP="006350BE">
      <w:pPr>
        <w:jc w:val="center"/>
      </w:pPr>
    </w:p>
    <w:p w:rsidR="001524AD" w:rsidRPr="006350BE" w:rsidRDefault="001524AD" w:rsidP="006350BE">
      <w:pPr>
        <w:jc w:val="center"/>
      </w:pPr>
    </w:p>
    <w:p w:rsidR="0041416A" w:rsidRPr="006350BE" w:rsidRDefault="0041416A" w:rsidP="006350BE">
      <w:pPr>
        <w:jc w:val="center"/>
      </w:pPr>
    </w:p>
    <w:p w:rsidR="0041416A" w:rsidRPr="006350BE" w:rsidRDefault="0041416A" w:rsidP="006350BE">
      <w:pPr>
        <w:jc w:val="center"/>
      </w:pPr>
    </w:p>
    <w:p w:rsidR="00014566" w:rsidRPr="006350BE" w:rsidRDefault="00014566" w:rsidP="006350BE">
      <w:pPr>
        <w:jc w:val="center"/>
        <w:rPr>
          <w:b/>
        </w:rPr>
      </w:pPr>
      <w:bookmarkStart w:id="0" w:name="To"/>
      <w:r w:rsidRPr="006350BE">
        <w:rPr>
          <w:b/>
        </w:rPr>
        <w:t xml:space="preserve">CASE OF </w:t>
      </w:r>
      <w:bookmarkEnd w:id="0"/>
      <w:r w:rsidR="00DA2403" w:rsidRPr="006350BE">
        <w:rPr>
          <w:b/>
        </w:rPr>
        <w:t>ZATYNAYK</w:t>
      </w:r>
      <w:r w:rsidR="00AE6EA4" w:rsidRPr="006350BE">
        <w:rPr>
          <w:b/>
        </w:rPr>
        <w:t>O</w:t>
      </w:r>
      <w:r w:rsidR="00776700" w:rsidRPr="006350BE">
        <w:rPr>
          <w:b/>
        </w:rPr>
        <w:t xml:space="preserve"> </w:t>
      </w:r>
      <w:r w:rsidR="00DA2403" w:rsidRPr="006350BE">
        <w:rPr>
          <w:b/>
        </w:rPr>
        <w:t>v. RUSSIA</w:t>
      </w:r>
    </w:p>
    <w:p w:rsidR="00014566" w:rsidRPr="006350BE" w:rsidRDefault="00014566" w:rsidP="006350BE">
      <w:pPr>
        <w:jc w:val="center"/>
      </w:pPr>
    </w:p>
    <w:p w:rsidR="00014566" w:rsidRPr="006350BE" w:rsidRDefault="00014566" w:rsidP="006350BE">
      <w:pPr>
        <w:jc w:val="center"/>
        <w:rPr>
          <w:i/>
        </w:rPr>
      </w:pPr>
      <w:r w:rsidRPr="006350BE">
        <w:rPr>
          <w:i/>
        </w:rPr>
        <w:t>(</w:t>
      </w:r>
      <w:r w:rsidR="00DA2403" w:rsidRPr="006350BE">
        <w:rPr>
          <w:i/>
        </w:rPr>
        <w:t xml:space="preserve">Applications nos. 1935/07 and </w:t>
      </w:r>
      <w:r w:rsidR="00E5081A" w:rsidRPr="006350BE">
        <w:rPr>
          <w:i/>
        </w:rPr>
        <w:t>41798/07</w:t>
      </w:r>
      <w:r w:rsidRPr="006350BE">
        <w:rPr>
          <w:i/>
        </w:rPr>
        <w:t>)</w:t>
      </w:r>
    </w:p>
    <w:p w:rsidR="00014566" w:rsidRPr="006350BE" w:rsidRDefault="00014566" w:rsidP="006350BE">
      <w:pPr>
        <w:jc w:val="center"/>
      </w:pPr>
    </w:p>
    <w:p w:rsidR="00014566" w:rsidRPr="006350BE" w:rsidRDefault="00014566" w:rsidP="006350BE">
      <w:pPr>
        <w:jc w:val="center"/>
      </w:pPr>
    </w:p>
    <w:p w:rsidR="00014566" w:rsidRPr="006350BE" w:rsidRDefault="00014566" w:rsidP="006350BE">
      <w:pPr>
        <w:jc w:val="center"/>
      </w:pPr>
    </w:p>
    <w:p w:rsidR="00014566" w:rsidRPr="006350BE" w:rsidRDefault="00014566" w:rsidP="006350BE">
      <w:pPr>
        <w:jc w:val="center"/>
      </w:pPr>
    </w:p>
    <w:p w:rsidR="0041416A" w:rsidRPr="006350BE" w:rsidRDefault="0041416A" w:rsidP="006350BE">
      <w:pPr>
        <w:jc w:val="center"/>
      </w:pPr>
    </w:p>
    <w:p w:rsidR="0041416A" w:rsidRPr="006350BE" w:rsidRDefault="0041416A" w:rsidP="006350BE">
      <w:pPr>
        <w:jc w:val="center"/>
      </w:pPr>
    </w:p>
    <w:p w:rsidR="0041416A" w:rsidRPr="006350BE" w:rsidRDefault="0041416A" w:rsidP="006350BE">
      <w:pPr>
        <w:jc w:val="center"/>
      </w:pPr>
    </w:p>
    <w:p w:rsidR="00014566" w:rsidRPr="006350BE" w:rsidRDefault="00014566" w:rsidP="006350BE">
      <w:pPr>
        <w:jc w:val="center"/>
      </w:pPr>
    </w:p>
    <w:p w:rsidR="00014566" w:rsidRPr="006350BE" w:rsidRDefault="0041416A" w:rsidP="006350BE">
      <w:pPr>
        <w:jc w:val="center"/>
        <w:rPr>
          <w:szCs w:val="24"/>
        </w:rPr>
      </w:pPr>
      <w:r w:rsidRPr="006350BE">
        <w:rPr>
          <w:szCs w:val="24"/>
        </w:rPr>
        <w:t>JUDGMENT</w:t>
      </w:r>
    </w:p>
    <w:p w:rsidR="00014566" w:rsidRPr="006350BE" w:rsidRDefault="00014566" w:rsidP="001524AD">
      <w:pPr>
        <w:jc w:val="center"/>
        <w:rPr>
          <w:szCs w:val="24"/>
        </w:rPr>
      </w:pPr>
    </w:p>
    <w:p w:rsidR="0041416A" w:rsidRDefault="0041416A" w:rsidP="006350BE">
      <w:pPr>
        <w:jc w:val="center"/>
        <w:rPr>
          <w:szCs w:val="24"/>
        </w:rPr>
      </w:pPr>
    </w:p>
    <w:p w:rsidR="001524AD" w:rsidRDefault="001524AD" w:rsidP="006350BE">
      <w:pPr>
        <w:jc w:val="center"/>
        <w:rPr>
          <w:szCs w:val="24"/>
        </w:rPr>
      </w:pPr>
    </w:p>
    <w:p w:rsidR="001524AD" w:rsidRDefault="001524AD" w:rsidP="006350BE">
      <w:pPr>
        <w:jc w:val="center"/>
        <w:rPr>
          <w:szCs w:val="24"/>
        </w:rPr>
      </w:pPr>
    </w:p>
    <w:p w:rsidR="001524AD" w:rsidRDefault="001524AD" w:rsidP="006350BE">
      <w:pPr>
        <w:jc w:val="center"/>
        <w:rPr>
          <w:szCs w:val="24"/>
        </w:rPr>
      </w:pPr>
    </w:p>
    <w:p w:rsidR="001524AD" w:rsidRPr="006350BE" w:rsidRDefault="001524AD" w:rsidP="006350BE">
      <w:pPr>
        <w:jc w:val="center"/>
        <w:rPr>
          <w:szCs w:val="24"/>
        </w:rPr>
      </w:pPr>
    </w:p>
    <w:p w:rsidR="0041416A" w:rsidRPr="006350BE" w:rsidRDefault="0041416A" w:rsidP="006350BE">
      <w:pPr>
        <w:jc w:val="center"/>
        <w:rPr>
          <w:szCs w:val="24"/>
        </w:rPr>
      </w:pPr>
    </w:p>
    <w:p w:rsidR="0041416A" w:rsidRPr="006350BE" w:rsidRDefault="0041416A" w:rsidP="006350BE">
      <w:pPr>
        <w:jc w:val="center"/>
        <w:rPr>
          <w:szCs w:val="24"/>
        </w:rPr>
      </w:pPr>
      <w:r w:rsidRPr="006350BE">
        <w:rPr>
          <w:szCs w:val="24"/>
        </w:rPr>
        <w:t>STRASBOURG</w:t>
      </w:r>
    </w:p>
    <w:p w:rsidR="0041416A" w:rsidRPr="006350BE" w:rsidRDefault="0041416A" w:rsidP="006350BE">
      <w:pPr>
        <w:jc w:val="center"/>
        <w:rPr>
          <w:szCs w:val="24"/>
        </w:rPr>
      </w:pPr>
    </w:p>
    <w:p w:rsidR="0041416A" w:rsidRPr="006350BE" w:rsidRDefault="0041416A" w:rsidP="006350BE">
      <w:pPr>
        <w:jc w:val="center"/>
        <w:rPr>
          <w:szCs w:val="24"/>
        </w:rPr>
      </w:pPr>
      <w:r w:rsidRPr="006350BE">
        <w:rPr>
          <w:szCs w:val="24"/>
        </w:rPr>
        <w:t>25 June 2019</w:t>
      </w:r>
    </w:p>
    <w:p w:rsidR="0041416A" w:rsidRDefault="0041416A" w:rsidP="006350BE">
      <w:pPr>
        <w:jc w:val="center"/>
        <w:rPr>
          <w:szCs w:val="24"/>
        </w:rPr>
      </w:pPr>
    </w:p>
    <w:p w:rsidR="001524AD" w:rsidRPr="006350BE" w:rsidRDefault="001524AD" w:rsidP="006350BE">
      <w:pPr>
        <w:jc w:val="center"/>
        <w:rPr>
          <w:szCs w:val="24"/>
        </w:rPr>
      </w:pPr>
    </w:p>
    <w:p w:rsidR="0041416A" w:rsidRPr="006350BE" w:rsidRDefault="0041416A" w:rsidP="006350BE">
      <w:pPr>
        <w:jc w:val="center"/>
        <w:rPr>
          <w:szCs w:val="24"/>
        </w:rPr>
      </w:pPr>
    </w:p>
    <w:p w:rsidR="00BB543C" w:rsidRPr="006350BE" w:rsidRDefault="0041416A" w:rsidP="006350BE">
      <w:pPr>
        <w:rPr>
          <w:szCs w:val="24"/>
        </w:rPr>
      </w:pPr>
      <w:r w:rsidRPr="006350BE">
        <w:rPr>
          <w:i/>
          <w:sz w:val="22"/>
          <w:szCs w:val="24"/>
        </w:rPr>
        <w:t>This judgment is final but it may be subject to editorial revision.</w:t>
      </w:r>
    </w:p>
    <w:p w:rsidR="0041416A" w:rsidRPr="006350BE" w:rsidRDefault="0041416A" w:rsidP="006350BE">
      <w:pPr>
        <w:pStyle w:val="JuCase"/>
        <w:sectPr w:rsidR="0041416A" w:rsidRPr="006350BE" w:rsidSect="0041416A">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014566" w:rsidRPr="006350BE" w:rsidRDefault="00014566" w:rsidP="006350BE">
      <w:pPr>
        <w:pStyle w:val="JuCase"/>
        <w:rPr>
          <w:bCs/>
        </w:rPr>
      </w:pPr>
      <w:r w:rsidRPr="006350BE">
        <w:lastRenderedPageBreak/>
        <w:t xml:space="preserve">In the case of </w:t>
      </w:r>
      <w:proofErr w:type="spellStart"/>
      <w:r w:rsidR="00DA2403" w:rsidRPr="006350BE">
        <w:t>Zatynayko</w:t>
      </w:r>
      <w:proofErr w:type="spellEnd"/>
      <w:r w:rsidR="00DA2403" w:rsidRPr="006350BE">
        <w:t xml:space="preserve"> v. Russia</w:t>
      </w:r>
      <w:r w:rsidRPr="006350BE">
        <w:t>,</w:t>
      </w:r>
    </w:p>
    <w:p w:rsidR="00014566" w:rsidRPr="006350BE" w:rsidRDefault="00014566" w:rsidP="006350BE">
      <w:pPr>
        <w:pStyle w:val="ECHRPara"/>
      </w:pPr>
      <w:r w:rsidRPr="006350BE">
        <w:t>The European Court of Human Rights (</w:t>
      </w:r>
      <w:r w:rsidR="00DA2403" w:rsidRPr="006350BE">
        <w:t>Third Section</w:t>
      </w:r>
      <w:r w:rsidRPr="006350BE">
        <w:t xml:space="preserve">), sitting as a </w:t>
      </w:r>
      <w:r w:rsidR="00DA2403" w:rsidRPr="006350BE">
        <w:t>Committee</w:t>
      </w:r>
      <w:r w:rsidRPr="006350BE">
        <w:t xml:space="preserve"> composed of:</w:t>
      </w:r>
    </w:p>
    <w:p w:rsidR="00014566" w:rsidRPr="006350BE" w:rsidRDefault="0041416A" w:rsidP="006350BE">
      <w:pPr>
        <w:pStyle w:val="ECHRDecisionBody"/>
      </w:pPr>
      <w:r w:rsidRPr="006350BE">
        <w:tab/>
        <w:t xml:space="preserve">Alena </w:t>
      </w:r>
      <w:proofErr w:type="spellStart"/>
      <w:r w:rsidRPr="006350BE">
        <w:t>Poláčková</w:t>
      </w:r>
      <w:proofErr w:type="spellEnd"/>
      <w:r w:rsidRPr="006350BE">
        <w:t>,</w:t>
      </w:r>
      <w:r w:rsidRPr="006350BE">
        <w:rPr>
          <w:i/>
        </w:rPr>
        <w:t xml:space="preserve"> President,</w:t>
      </w:r>
      <w:r w:rsidRPr="006350BE">
        <w:rPr>
          <w:i/>
        </w:rPr>
        <w:br/>
      </w:r>
      <w:r w:rsidRPr="006350BE">
        <w:tab/>
        <w:t xml:space="preserve">Dmitry </w:t>
      </w:r>
      <w:proofErr w:type="spellStart"/>
      <w:r w:rsidRPr="006350BE">
        <w:t>Dedov</w:t>
      </w:r>
      <w:proofErr w:type="spellEnd"/>
      <w:r w:rsidRPr="006350BE">
        <w:t>,</w:t>
      </w:r>
      <w:r w:rsidRPr="006350BE">
        <w:rPr>
          <w:i/>
        </w:rPr>
        <w:br/>
      </w:r>
      <w:r w:rsidRPr="006350BE">
        <w:tab/>
        <w:t xml:space="preserve">Gilberto </w:t>
      </w:r>
      <w:proofErr w:type="spellStart"/>
      <w:r w:rsidRPr="006350BE">
        <w:t>Felici</w:t>
      </w:r>
      <w:proofErr w:type="spellEnd"/>
      <w:r w:rsidRPr="006350BE">
        <w:t>,</w:t>
      </w:r>
      <w:r w:rsidRPr="006350BE">
        <w:rPr>
          <w:i/>
        </w:rPr>
        <w:t xml:space="preserve"> judges,</w:t>
      </w:r>
      <w:r w:rsidR="00014566" w:rsidRPr="006350BE">
        <w:rPr>
          <w:szCs w:val="24"/>
        </w:rPr>
        <w:br/>
      </w:r>
      <w:r w:rsidR="00014566" w:rsidRPr="006350BE">
        <w:t xml:space="preserve">and </w:t>
      </w:r>
      <w:r w:rsidR="0030632C" w:rsidRPr="006350BE">
        <w:t>Stephen Phillips</w:t>
      </w:r>
      <w:r w:rsidR="00014566" w:rsidRPr="006350BE">
        <w:t xml:space="preserve">, </w:t>
      </w:r>
      <w:r w:rsidR="00DA2403" w:rsidRPr="006350BE">
        <w:rPr>
          <w:i/>
        </w:rPr>
        <w:t xml:space="preserve">Section </w:t>
      </w:r>
      <w:r w:rsidR="00DA2403" w:rsidRPr="006350BE">
        <w:rPr>
          <w:i/>
          <w:iCs/>
        </w:rPr>
        <w:t>Registrar</w:t>
      </w:r>
      <w:r w:rsidR="00014566" w:rsidRPr="006350BE">
        <w:rPr>
          <w:i/>
        </w:rPr>
        <w:t>,</w:t>
      </w:r>
    </w:p>
    <w:p w:rsidR="00014566" w:rsidRPr="006350BE" w:rsidRDefault="00014566" w:rsidP="006350BE">
      <w:pPr>
        <w:pStyle w:val="ECHRPara"/>
      </w:pPr>
      <w:r w:rsidRPr="006350BE">
        <w:t xml:space="preserve">Having deliberated in private on </w:t>
      </w:r>
      <w:r w:rsidR="0041416A" w:rsidRPr="006350BE">
        <w:t>4 June 2019</w:t>
      </w:r>
      <w:r w:rsidRPr="006350BE">
        <w:t>,</w:t>
      </w:r>
    </w:p>
    <w:p w:rsidR="00014566" w:rsidRPr="006350BE" w:rsidRDefault="00014566" w:rsidP="006350BE">
      <w:pPr>
        <w:pStyle w:val="ECHRPara"/>
      </w:pPr>
      <w:r w:rsidRPr="006350BE">
        <w:t>Delivers the following judgment, which was adopted on that date:</w:t>
      </w:r>
    </w:p>
    <w:p w:rsidR="00014566" w:rsidRPr="006350BE" w:rsidRDefault="00014566" w:rsidP="006350BE">
      <w:pPr>
        <w:pStyle w:val="ECHRTitle1"/>
      </w:pPr>
      <w:r w:rsidRPr="006350BE">
        <w:t>PROCEDURE</w:t>
      </w:r>
    </w:p>
    <w:p w:rsidR="00DA2403" w:rsidRPr="006350BE" w:rsidRDefault="00FF2136" w:rsidP="006350BE">
      <w:pPr>
        <w:pStyle w:val="ECHRPara"/>
      </w:pPr>
      <w:r w:rsidRPr="006350BE">
        <w:fldChar w:fldCharType="begin"/>
      </w:r>
      <w:r w:rsidRPr="006350BE">
        <w:instrText xml:space="preserve"> SEQ level0 \*arabic \r1 </w:instrText>
      </w:r>
      <w:r w:rsidRPr="006350BE">
        <w:fldChar w:fldCharType="separate"/>
      </w:r>
      <w:r w:rsidR="006350BE" w:rsidRPr="006350BE">
        <w:rPr>
          <w:noProof/>
        </w:rPr>
        <w:t>1</w:t>
      </w:r>
      <w:r w:rsidRPr="006350BE">
        <w:fldChar w:fldCharType="end"/>
      </w:r>
      <w:r w:rsidRPr="006350BE">
        <w:t>.  </w:t>
      </w:r>
      <w:r w:rsidR="00014566" w:rsidRPr="006350BE">
        <w:t xml:space="preserve">The case originated in </w:t>
      </w:r>
      <w:r w:rsidR="00E5081A" w:rsidRPr="006350BE">
        <w:t>two</w:t>
      </w:r>
      <w:r w:rsidR="00DA2403" w:rsidRPr="006350BE">
        <w:t xml:space="preserve"> applications (nos. 1935/07 and </w:t>
      </w:r>
      <w:r w:rsidR="00E5081A" w:rsidRPr="006350BE">
        <w:t>41798/07</w:t>
      </w:r>
      <w:r w:rsidR="00DA2403" w:rsidRPr="006350BE">
        <w:t>)</w:t>
      </w:r>
      <w:r w:rsidR="00014566" w:rsidRPr="006350BE">
        <w:t xml:space="preserve"> against </w:t>
      </w:r>
      <w:r w:rsidR="00DA2403" w:rsidRPr="006350BE">
        <w:t>the Russian Federation</w:t>
      </w:r>
      <w:r w:rsidR="00014566" w:rsidRPr="006350BE">
        <w:t xml:space="preserve"> lodged with the </w:t>
      </w:r>
      <w:r w:rsidR="00DA2403" w:rsidRPr="006350BE">
        <w:t>Court under Article 34</w:t>
      </w:r>
      <w:r w:rsidR="00014566" w:rsidRPr="006350BE">
        <w:t xml:space="preserve"> of the Convention for the Protection of Human Rights and Fundamental Freedoms (“the Convention”) by </w:t>
      </w:r>
      <w:r w:rsidR="00E5081A" w:rsidRPr="006350BE">
        <w:t>two</w:t>
      </w:r>
      <w:r w:rsidR="00DA2403" w:rsidRPr="006350BE">
        <w:t xml:space="preserve"> Russian nationals, Mr Vladimir </w:t>
      </w:r>
      <w:proofErr w:type="spellStart"/>
      <w:r w:rsidR="00DA2403" w:rsidRPr="006350BE">
        <w:t>Anatolyevich</w:t>
      </w:r>
      <w:proofErr w:type="spellEnd"/>
      <w:r w:rsidR="00DA2403" w:rsidRPr="006350BE">
        <w:t xml:space="preserve"> </w:t>
      </w:r>
      <w:proofErr w:type="spellStart"/>
      <w:r w:rsidR="00DA2403" w:rsidRPr="006350BE">
        <w:t>Zatynayko</w:t>
      </w:r>
      <w:proofErr w:type="spellEnd"/>
      <w:r w:rsidR="00DA2403" w:rsidRPr="006350BE">
        <w:t xml:space="preserve"> and Mr </w:t>
      </w:r>
      <w:r w:rsidR="00E5081A" w:rsidRPr="006350BE">
        <w:t xml:space="preserve">Andrey </w:t>
      </w:r>
      <w:proofErr w:type="spellStart"/>
      <w:r w:rsidR="00E5081A" w:rsidRPr="006350BE">
        <w:t>Anatolyevich</w:t>
      </w:r>
      <w:proofErr w:type="spellEnd"/>
      <w:r w:rsidR="00E5081A" w:rsidRPr="006350BE">
        <w:t xml:space="preserve"> </w:t>
      </w:r>
      <w:proofErr w:type="spellStart"/>
      <w:r w:rsidR="00E5081A" w:rsidRPr="006350BE">
        <w:t>Zatynayko</w:t>
      </w:r>
      <w:proofErr w:type="spellEnd"/>
      <w:r w:rsidR="00DA2403" w:rsidRPr="006350BE">
        <w:t xml:space="preserve"> (“the applicants”), on 30 May 2007 and </w:t>
      </w:r>
      <w:r w:rsidR="00E5081A" w:rsidRPr="006350BE">
        <w:t>31 July 2007,</w:t>
      </w:r>
      <w:r w:rsidR="00DA2403" w:rsidRPr="006350BE">
        <w:t xml:space="preserve"> respectively</w:t>
      </w:r>
      <w:r w:rsidR="00014566" w:rsidRPr="006350BE">
        <w:t>.</w:t>
      </w:r>
    </w:p>
    <w:p w:rsidR="00006569" w:rsidRPr="006350BE" w:rsidRDefault="00006569"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2</w:t>
      </w:r>
      <w:r w:rsidRPr="006350BE">
        <w:fldChar w:fldCharType="end"/>
      </w:r>
      <w:r w:rsidRPr="006350BE">
        <w:t>.  The applicants</w:t>
      </w:r>
      <w:r w:rsidR="00103FBD" w:rsidRPr="006350BE">
        <w:t xml:space="preserve">, who had been granted legal aid, </w:t>
      </w:r>
      <w:r w:rsidRPr="006350BE">
        <w:t>were represented by Ms O.</w:t>
      </w:r>
      <w:r w:rsidR="00133AA8" w:rsidRPr="006350BE">
        <w:t> </w:t>
      </w:r>
      <w:proofErr w:type="spellStart"/>
      <w:r w:rsidRPr="006350BE">
        <w:t>Preobrazhenskaya</w:t>
      </w:r>
      <w:proofErr w:type="spellEnd"/>
      <w:r w:rsidR="0075382B" w:rsidRPr="006350BE">
        <w:t>, a lawyer admitted to practice in Moscow</w:t>
      </w:r>
      <w:r w:rsidRPr="006350BE">
        <w:t xml:space="preserve">. The Russian Government (“the Government”) were represented </w:t>
      </w:r>
      <w:r w:rsidR="00132F29" w:rsidRPr="006350BE">
        <w:t xml:space="preserve">initially </w:t>
      </w:r>
      <w:r w:rsidRPr="006350BE">
        <w:t>by Mr G. </w:t>
      </w:r>
      <w:proofErr w:type="spellStart"/>
      <w:r w:rsidRPr="006350BE">
        <w:t>Matyushkin</w:t>
      </w:r>
      <w:proofErr w:type="spellEnd"/>
      <w:r w:rsidRPr="006350BE">
        <w:t xml:space="preserve">, Representative of the Russian Federation </w:t>
      </w:r>
      <w:r w:rsidR="00B675BA" w:rsidRPr="006350BE">
        <w:t xml:space="preserve">to </w:t>
      </w:r>
      <w:r w:rsidRPr="006350BE">
        <w:t>the European Court of Human Rights</w:t>
      </w:r>
      <w:r w:rsidR="00132F29" w:rsidRPr="006350BE">
        <w:t>,</w:t>
      </w:r>
      <w:r w:rsidR="00133AA8" w:rsidRPr="006350BE">
        <w:t xml:space="preserve"> and then by his succes</w:t>
      </w:r>
      <w:r w:rsidR="001524AD">
        <w:t>sor in that office, Mr </w:t>
      </w:r>
      <w:r w:rsidR="00133AA8" w:rsidRPr="006350BE">
        <w:t xml:space="preserve">M. </w:t>
      </w:r>
      <w:proofErr w:type="spellStart"/>
      <w:r w:rsidR="00133AA8" w:rsidRPr="006350BE">
        <w:t>Galperin</w:t>
      </w:r>
      <w:proofErr w:type="spellEnd"/>
      <w:r w:rsidR="00133AA8" w:rsidRPr="006350BE">
        <w:t>.</w:t>
      </w:r>
    </w:p>
    <w:p w:rsidR="00922ABA" w:rsidRPr="006350BE" w:rsidRDefault="00006569"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3</w:t>
      </w:r>
      <w:r w:rsidRPr="006350BE">
        <w:fldChar w:fldCharType="end"/>
      </w:r>
      <w:r w:rsidRPr="006350BE">
        <w:t xml:space="preserve">.  On 18 November 2011 </w:t>
      </w:r>
      <w:r w:rsidR="00B675BA" w:rsidRPr="006350BE">
        <w:t xml:space="preserve">the Government were given notice of </w:t>
      </w:r>
      <w:r w:rsidRPr="006350BE">
        <w:t xml:space="preserve">the </w:t>
      </w:r>
      <w:r w:rsidR="00EB3430" w:rsidRPr="006350BE">
        <w:rPr>
          <w:lang w:val="en-US"/>
        </w:rPr>
        <w:t>first applicant</w:t>
      </w:r>
      <w:r w:rsidR="006350BE" w:rsidRPr="006350BE">
        <w:t>’</w:t>
      </w:r>
      <w:r w:rsidR="00EB3430" w:rsidRPr="006350BE">
        <w:rPr>
          <w:lang w:val="en-US"/>
        </w:rPr>
        <w:t>s complaints under Article</w:t>
      </w:r>
      <w:r w:rsidR="00922ABA" w:rsidRPr="006350BE">
        <w:rPr>
          <w:lang w:val="en-US"/>
        </w:rPr>
        <w:t> </w:t>
      </w:r>
      <w:r w:rsidR="00EB3430" w:rsidRPr="006350BE">
        <w:rPr>
          <w:lang w:val="en-US"/>
        </w:rPr>
        <w:t>5</w:t>
      </w:r>
      <w:r w:rsidR="00922ABA" w:rsidRPr="006350BE">
        <w:rPr>
          <w:lang w:val="en-US"/>
        </w:rPr>
        <w:t> </w:t>
      </w:r>
      <w:r w:rsidR="00922ABA" w:rsidRPr="006350BE">
        <w:rPr>
          <w:szCs w:val="24"/>
        </w:rPr>
        <w:t xml:space="preserve">§ 1 </w:t>
      </w:r>
      <w:r w:rsidR="00736867" w:rsidRPr="006350BE">
        <w:rPr>
          <w:lang w:val="en-US"/>
        </w:rPr>
        <w:t>(</w:t>
      </w:r>
      <w:r w:rsidR="00EB3430" w:rsidRPr="006350BE">
        <w:rPr>
          <w:lang w:val="en-US"/>
        </w:rPr>
        <w:t xml:space="preserve">unlawful detention </w:t>
      </w:r>
      <w:r w:rsidR="00EB3430" w:rsidRPr="006350BE">
        <w:rPr>
          <w:szCs w:val="24"/>
        </w:rPr>
        <w:t>between December 2005 and May 2007</w:t>
      </w:r>
      <w:r w:rsidR="00736867" w:rsidRPr="006350BE">
        <w:rPr>
          <w:szCs w:val="24"/>
        </w:rPr>
        <w:t>)</w:t>
      </w:r>
      <w:r w:rsidR="00EB3430" w:rsidRPr="006350BE">
        <w:rPr>
          <w:szCs w:val="24"/>
          <w:lang w:val="en-US"/>
        </w:rPr>
        <w:t xml:space="preserve"> </w:t>
      </w:r>
      <w:r w:rsidR="00EB3430" w:rsidRPr="006350BE">
        <w:rPr>
          <w:lang w:val="en-US"/>
        </w:rPr>
        <w:t xml:space="preserve">and Article 6 </w:t>
      </w:r>
      <w:r w:rsidR="00736867" w:rsidRPr="006350BE">
        <w:rPr>
          <w:lang w:val="en-US"/>
        </w:rPr>
        <w:t>(</w:t>
      </w:r>
      <w:r w:rsidR="00EB3430" w:rsidRPr="006350BE">
        <w:rPr>
          <w:lang w:val="en-US"/>
        </w:rPr>
        <w:t xml:space="preserve">unlawful </w:t>
      </w:r>
      <w:r w:rsidR="0091394B" w:rsidRPr="006350BE">
        <w:rPr>
          <w:lang w:val="en-US"/>
        </w:rPr>
        <w:t>composition</w:t>
      </w:r>
      <w:r w:rsidR="00EB3430" w:rsidRPr="006350BE">
        <w:rPr>
          <w:lang w:val="en-US"/>
        </w:rPr>
        <w:t xml:space="preserve"> of </w:t>
      </w:r>
      <w:r w:rsidR="00736867" w:rsidRPr="006350BE">
        <w:rPr>
          <w:lang w:val="en-US"/>
        </w:rPr>
        <w:t xml:space="preserve">the </w:t>
      </w:r>
      <w:r w:rsidR="00EB3430" w:rsidRPr="006350BE">
        <w:rPr>
          <w:lang w:val="en-US"/>
        </w:rPr>
        <w:t xml:space="preserve">trial </w:t>
      </w:r>
      <w:r w:rsidR="00EB3430" w:rsidRPr="006350BE">
        <w:rPr>
          <w:szCs w:val="24"/>
        </w:rPr>
        <w:t>panel</w:t>
      </w:r>
      <w:r w:rsidR="00EB3430" w:rsidRPr="006350BE">
        <w:rPr>
          <w:szCs w:val="24"/>
          <w:lang w:val="en-US"/>
        </w:rPr>
        <w:t xml:space="preserve">, </w:t>
      </w:r>
      <w:r w:rsidR="00EB3430" w:rsidRPr="006350BE">
        <w:rPr>
          <w:szCs w:val="24"/>
        </w:rPr>
        <w:t>partiality of the tribunal, removal of his counsel</w:t>
      </w:r>
      <w:r w:rsidR="00EB3430" w:rsidRPr="006350BE">
        <w:rPr>
          <w:szCs w:val="24"/>
          <w:lang w:val="en-US"/>
        </w:rPr>
        <w:t xml:space="preserve"> and</w:t>
      </w:r>
      <w:r w:rsidR="00EB3430" w:rsidRPr="006350BE">
        <w:rPr>
          <w:szCs w:val="24"/>
        </w:rPr>
        <w:t xml:space="preserve"> </w:t>
      </w:r>
      <w:r w:rsidR="00736867" w:rsidRPr="006350BE">
        <w:rPr>
          <w:szCs w:val="24"/>
        </w:rPr>
        <w:t xml:space="preserve">denial of </w:t>
      </w:r>
      <w:r w:rsidR="00EB3430" w:rsidRPr="006350BE">
        <w:rPr>
          <w:szCs w:val="24"/>
        </w:rPr>
        <w:t>access to the case file</w:t>
      </w:r>
      <w:r w:rsidR="00736867" w:rsidRPr="006350BE">
        <w:rPr>
          <w:szCs w:val="24"/>
        </w:rPr>
        <w:t>)</w:t>
      </w:r>
      <w:r w:rsidR="00B675BA" w:rsidRPr="006350BE">
        <w:rPr>
          <w:szCs w:val="24"/>
        </w:rPr>
        <w:t>.</w:t>
      </w:r>
    </w:p>
    <w:p w:rsidR="00776700" w:rsidRPr="006350BE" w:rsidRDefault="00BE7BA4"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4</w:t>
      </w:r>
      <w:r w:rsidRPr="006350BE">
        <w:fldChar w:fldCharType="end"/>
      </w:r>
      <w:r w:rsidRPr="006350BE">
        <w:t>.  </w:t>
      </w:r>
      <w:r w:rsidR="007E0518" w:rsidRPr="006350BE">
        <w:t>On 5 May and 8 December 2011</w:t>
      </w:r>
      <w:r w:rsidR="00EB3430" w:rsidRPr="006350BE">
        <w:rPr>
          <w:lang w:val="en-US"/>
        </w:rPr>
        <w:t xml:space="preserve"> </w:t>
      </w:r>
      <w:r w:rsidR="009F1E2B" w:rsidRPr="006350BE">
        <w:rPr>
          <w:lang w:val="en-US"/>
        </w:rPr>
        <w:t xml:space="preserve">the Government were given notice of </w:t>
      </w:r>
      <w:r w:rsidR="00EB3430" w:rsidRPr="006350BE">
        <w:rPr>
          <w:lang w:val="en-US"/>
        </w:rPr>
        <w:t>the second applicant</w:t>
      </w:r>
      <w:r w:rsidR="006350BE" w:rsidRPr="006350BE">
        <w:t>’</w:t>
      </w:r>
      <w:r w:rsidR="00EB3430" w:rsidRPr="006350BE">
        <w:rPr>
          <w:lang w:val="en-US"/>
        </w:rPr>
        <w:t xml:space="preserve">s complaints </w:t>
      </w:r>
      <w:r w:rsidR="0091394B" w:rsidRPr="006350BE">
        <w:rPr>
          <w:szCs w:val="24"/>
        </w:rPr>
        <w:t>under Article 3 (inhuman treatment in connection with his application before the Court), Article 5 § 1 (unlawful detention between 13 September 2002 and 17 January 2003), Article 5 § 4 (</w:t>
      </w:r>
      <w:r w:rsidR="009F1E2B" w:rsidRPr="006350BE">
        <w:rPr>
          <w:szCs w:val="24"/>
        </w:rPr>
        <w:t xml:space="preserve">lack of an </w:t>
      </w:r>
      <w:r w:rsidR="0091394B" w:rsidRPr="006350BE">
        <w:rPr>
          <w:szCs w:val="24"/>
        </w:rPr>
        <w:t>effective procedure to challenge the lawfulness of the decision of 13 September 2002), Article 6 (composition of the trial panel, partiality of the tribunal, length of the criminal proceedings), Article 8 §</w:t>
      </w:r>
      <w:r w:rsidR="009F1E2B" w:rsidRPr="006350BE">
        <w:rPr>
          <w:szCs w:val="24"/>
        </w:rPr>
        <w:t>§</w:t>
      </w:r>
      <w:r w:rsidR="00736867" w:rsidRPr="006350BE">
        <w:rPr>
          <w:szCs w:val="24"/>
        </w:rPr>
        <w:t xml:space="preserve"> </w:t>
      </w:r>
      <w:r w:rsidR="0091394B" w:rsidRPr="006350BE">
        <w:rPr>
          <w:szCs w:val="24"/>
        </w:rPr>
        <w:t xml:space="preserve">1 and 2 (interference with the right to respect for correspondence), </w:t>
      </w:r>
      <w:r w:rsidR="009F1E2B" w:rsidRPr="006350BE">
        <w:rPr>
          <w:szCs w:val="24"/>
        </w:rPr>
        <w:t xml:space="preserve">and </w:t>
      </w:r>
      <w:r w:rsidR="0091394B" w:rsidRPr="006350BE">
        <w:rPr>
          <w:szCs w:val="24"/>
        </w:rPr>
        <w:t>Article 34 (hindrance with the right of application)</w:t>
      </w:r>
      <w:r w:rsidR="007E0518" w:rsidRPr="006350BE">
        <w:t>.</w:t>
      </w:r>
    </w:p>
    <w:p w:rsidR="00014566" w:rsidRPr="006350BE" w:rsidRDefault="00014566" w:rsidP="006350BE">
      <w:pPr>
        <w:pStyle w:val="ECHRTitle1"/>
      </w:pPr>
      <w:r w:rsidRPr="006350BE">
        <w:lastRenderedPageBreak/>
        <w:t>THE FACTS</w:t>
      </w:r>
    </w:p>
    <w:p w:rsidR="00014566" w:rsidRPr="006350BE" w:rsidRDefault="00014566" w:rsidP="006350BE">
      <w:pPr>
        <w:pStyle w:val="ECHRHeading1"/>
      </w:pPr>
      <w:r w:rsidRPr="006350BE">
        <w:t>I.  THE CIRCUMSTANCES OF THE CASE</w:t>
      </w:r>
    </w:p>
    <w:p w:rsidR="00014566" w:rsidRPr="006350BE" w:rsidRDefault="00DA2403" w:rsidP="006350BE">
      <w:pPr>
        <w:pStyle w:val="ECHRPara"/>
        <w:keepNext/>
        <w:keepLines/>
      </w:pPr>
      <w:r w:rsidRPr="006350BE">
        <w:fldChar w:fldCharType="begin"/>
      </w:r>
      <w:r w:rsidRPr="006350BE">
        <w:instrText xml:space="preserve"> SEQ level0 \*arabic </w:instrText>
      </w:r>
      <w:r w:rsidRPr="006350BE">
        <w:fldChar w:fldCharType="separate"/>
      </w:r>
      <w:r w:rsidR="006350BE" w:rsidRPr="006350BE">
        <w:rPr>
          <w:noProof/>
        </w:rPr>
        <w:t>5</w:t>
      </w:r>
      <w:r w:rsidRPr="006350BE">
        <w:fldChar w:fldCharType="end"/>
      </w:r>
      <w:r w:rsidR="00014566" w:rsidRPr="006350BE">
        <w:t xml:space="preserve">.  The </w:t>
      </w:r>
      <w:r w:rsidRPr="006350BE">
        <w:t>applicants</w:t>
      </w:r>
      <w:r w:rsidR="000E151A" w:rsidRPr="006350BE">
        <w:t>, two brothers,</w:t>
      </w:r>
      <w:r w:rsidRPr="006350BE">
        <w:t xml:space="preserve"> were born in 1970 and </w:t>
      </w:r>
      <w:r w:rsidR="00E5081A" w:rsidRPr="006350BE">
        <w:t>1975</w:t>
      </w:r>
      <w:r w:rsidRPr="006350BE">
        <w:t xml:space="preserve"> and </w:t>
      </w:r>
      <w:r w:rsidR="004320A3" w:rsidRPr="006350BE">
        <w:t>are currently serving prison sentence</w:t>
      </w:r>
      <w:r w:rsidR="009F1E2B" w:rsidRPr="006350BE">
        <w:t>s</w:t>
      </w:r>
      <w:r w:rsidR="004320A3" w:rsidRPr="006350BE">
        <w:t xml:space="preserve"> in Sol-</w:t>
      </w:r>
      <w:proofErr w:type="spellStart"/>
      <w:r w:rsidR="004320A3" w:rsidRPr="006350BE">
        <w:t>Iletsk</w:t>
      </w:r>
      <w:proofErr w:type="spellEnd"/>
      <w:r w:rsidR="004320A3" w:rsidRPr="006350BE">
        <w:t>, Orenburg Region</w:t>
      </w:r>
      <w:r w:rsidR="00014566" w:rsidRPr="006350BE">
        <w:t>.</w:t>
      </w:r>
    </w:p>
    <w:p w:rsidR="00E13969" w:rsidRPr="001524AD" w:rsidRDefault="00E13969" w:rsidP="001524AD">
      <w:pPr>
        <w:pStyle w:val="ECHRHeading2"/>
      </w:pPr>
      <w:r w:rsidRPr="001524AD">
        <w:t>A.</w:t>
      </w:r>
      <w:r w:rsidR="005F56A0" w:rsidRPr="001524AD">
        <w:t>  </w:t>
      </w:r>
      <w:r w:rsidRPr="001524AD">
        <w:t>Criminal proceedings against the applicants</w:t>
      </w:r>
    </w:p>
    <w:p w:rsidR="00E13969" w:rsidRPr="006350BE" w:rsidRDefault="00E13969" w:rsidP="006350BE">
      <w:pPr>
        <w:pStyle w:val="ECHRHeading3"/>
      </w:pPr>
      <w:r w:rsidRPr="006350BE">
        <w:t>1.</w:t>
      </w:r>
      <w:r w:rsidR="000D04A3" w:rsidRPr="006350BE">
        <w:t>  </w:t>
      </w:r>
      <w:r w:rsidRPr="006350BE">
        <w:t>First round of proceedings</w:t>
      </w:r>
    </w:p>
    <w:p w:rsidR="00776700"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6</w:t>
      </w:r>
      <w:r w:rsidRPr="006350BE">
        <w:rPr>
          <w:noProof/>
        </w:rPr>
        <w:fldChar w:fldCharType="end"/>
      </w:r>
      <w:r w:rsidR="0093361F" w:rsidRPr="006350BE">
        <w:t>.  </w:t>
      </w:r>
      <w:r w:rsidR="00E13969" w:rsidRPr="006350BE">
        <w:t xml:space="preserve">On 5 December 2001 </w:t>
      </w:r>
      <w:r w:rsidR="00B83EF3" w:rsidRPr="006350BE">
        <w:t xml:space="preserve">the </w:t>
      </w:r>
      <w:r w:rsidR="00D63A78" w:rsidRPr="006350BE">
        <w:t xml:space="preserve">Volgograd Regional Court </w:t>
      </w:r>
      <w:r w:rsidR="002841C7" w:rsidRPr="006350BE">
        <w:t xml:space="preserve">found </w:t>
      </w:r>
      <w:r w:rsidR="00D63A78" w:rsidRPr="006350BE">
        <w:t xml:space="preserve">the applicants </w:t>
      </w:r>
      <w:r w:rsidR="002841C7" w:rsidRPr="006350BE">
        <w:t xml:space="preserve">guilty </w:t>
      </w:r>
      <w:r w:rsidR="00B83EF3" w:rsidRPr="006350BE">
        <w:t xml:space="preserve">of </w:t>
      </w:r>
      <w:r w:rsidR="009F1E2B" w:rsidRPr="006350BE">
        <w:t xml:space="preserve">several </w:t>
      </w:r>
      <w:r w:rsidR="00B83EF3" w:rsidRPr="006350BE">
        <w:t>murders.</w:t>
      </w:r>
    </w:p>
    <w:p w:rsidR="00E13969"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7</w:t>
      </w:r>
      <w:r w:rsidRPr="006350BE">
        <w:rPr>
          <w:noProof/>
        </w:rPr>
        <w:fldChar w:fldCharType="end"/>
      </w:r>
      <w:r w:rsidR="0093361F" w:rsidRPr="006350BE">
        <w:t>.  </w:t>
      </w:r>
      <w:r w:rsidR="00E13969" w:rsidRPr="006350BE">
        <w:t xml:space="preserve">On 23 July 2002 the </w:t>
      </w:r>
      <w:r w:rsidR="00D63A78" w:rsidRPr="006350BE">
        <w:t>Supreme</w:t>
      </w:r>
      <w:r w:rsidR="004B7166" w:rsidRPr="006350BE">
        <w:t xml:space="preserve"> Court</w:t>
      </w:r>
      <w:r w:rsidR="00D63A78" w:rsidRPr="006350BE">
        <w:t xml:space="preserve"> of Russia</w:t>
      </w:r>
      <w:r w:rsidR="00E13969" w:rsidRPr="006350BE">
        <w:t xml:space="preserve"> </w:t>
      </w:r>
      <w:r w:rsidR="002C7459" w:rsidRPr="006350BE">
        <w:t xml:space="preserve">quashed </w:t>
      </w:r>
      <w:proofErr w:type="spellStart"/>
      <w:r w:rsidR="002C7459" w:rsidRPr="006350BE">
        <w:t>th</w:t>
      </w:r>
      <w:proofErr w:type="spellEnd"/>
      <w:r w:rsidR="002C7459" w:rsidRPr="006350BE">
        <w:rPr>
          <w:lang w:val="en-US"/>
        </w:rPr>
        <w:t>at</w:t>
      </w:r>
      <w:r w:rsidR="00D63A78" w:rsidRPr="006350BE">
        <w:t xml:space="preserve"> judgment on appeal and remitted the case for fresh consideration.</w:t>
      </w:r>
    </w:p>
    <w:p w:rsidR="00E13969" w:rsidRPr="006350BE" w:rsidRDefault="00E13969" w:rsidP="006350BE">
      <w:pPr>
        <w:pStyle w:val="ECHRHeading3"/>
      </w:pPr>
      <w:r w:rsidRPr="006350BE">
        <w:t>2.</w:t>
      </w:r>
      <w:r w:rsidR="000D04A3" w:rsidRPr="006350BE">
        <w:t>  </w:t>
      </w:r>
      <w:r w:rsidRPr="006350BE">
        <w:t>Second round of proceedings</w:t>
      </w:r>
    </w:p>
    <w:p w:rsidR="00991F4A"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8</w:t>
      </w:r>
      <w:r w:rsidRPr="006350BE">
        <w:rPr>
          <w:noProof/>
        </w:rPr>
        <w:fldChar w:fldCharType="end"/>
      </w:r>
      <w:r w:rsidR="004B7166" w:rsidRPr="006350BE">
        <w:t>.  </w:t>
      </w:r>
      <w:r w:rsidR="00E13969" w:rsidRPr="006350BE">
        <w:t xml:space="preserve">In September 2002 the criminal case was resubmitted </w:t>
      </w:r>
      <w:r w:rsidR="002841C7" w:rsidRPr="006350BE">
        <w:t>to</w:t>
      </w:r>
      <w:r w:rsidR="00E13969" w:rsidRPr="006350BE">
        <w:t xml:space="preserve"> the Volgograd Regional Court </w:t>
      </w:r>
      <w:r w:rsidR="00132F29" w:rsidRPr="006350BE">
        <w:t xml:space="preserve">for trial </w:t>
      </w:r>
      <w:r w:rsidR="00E13969" w:rsidRPr="006350BE">
        <w:t xml:space="preserve">by a professional judge assisted by </w:t>
      </w:r>
      <w:r w:rsidR="002841C7" w:rsidRPr="006350BE">
        <w:t xml:space="preserve">two </w:t>
      </w:r>
      <w:r w:rsidR="003E1B2F" w:rsidRPr="006350BE">
        <w:t>lay judges</w:t>
      </w:r>
      <w:r w:rsidR="00E13969" w:rsidRPr="006350BE">
        <w:t>.</w:t>
      </w:r>
    </w:p>
    <w:p w:rsidR="004B7166"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9</w:t>
      </w:r>
      <w:r w:rsidRPr="006350BE">
        <w:rPr>
          <w:noProof/>
        </w:rPr>
        <w:fldChar w:fldCharType="end"/>
      </w:r>
      <w:r w:rsidR="004B7166" w:rsidRPr="006350BE">
        <w:t xml:space="preserve">.  On 13 September 2002 the </w:t>
      </w:r>
      <w:r w:rsidR="002841C7" w:rsidRPr="006350BE">
        <w:t xml:space="preserve">Regional Court </w:t>
      </w:r>
      <w:r w:rsidR="004B7166" w:rsidRPr="006350BE">
        <w:t>extended the applicants</w:t>
      </w:r>
      <w:r w:rsidR="006350BE" w:rsidRPr="006350BE">
        <w:t>’</w:t>
      </w:r>
      <w:r w:rsidR="004B7166" w:rsidRPr="006350BE">
        <w:t xml:space="preserve"> pre-trial detention</w:t>
      </w:r>
      <w:r w:rsidR="00886FFC" w:rsidRPr="006350BE">
        <w:t>,</w:t>
      </w:r>
      <w:r w:rsidR="004B7166" w:rsidRPr="006350BE">
        <w:t xml:space="preserve"> indicating that the measure of restraint should remain unchanged.</w:t>
      </w:r>
    </w:p>
    <w:p w:rsidR="004B7166"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10</w:t>
      </w:r>
      <w:r w:rsidRPr="006350BE">
        <w:rPr>
          <w:noProof/>
        </w:rPr>
        <w:fldChar w:fldCharType="end"/>
      </w:r>
      <w:r w:rsidR="004B7166" w:rsidRPr="006350BE">
        <w:t xml:space="preserve">.  According to the </w:t>
      </w:r>
      <w:r w:rsidR="00A72F34" w:rsidRPr="006350BE">
        <w:t xml:space="preserve">second </w:t>
      </w:r>
      <w:r w:rsidR="004B7166" w:rsidRPr="006350BE">
        <w:t>a</w:t>
      </w:r>
      <w:r w:rsidR="00A72F34" w:rsidRPr="006350BE">
        <w:t xml:space="preserve">pplicant, on 23 September 2002 </w:t>
      </w:r>
      <w:r w:rsidR="004B7166" w:rsidRPr="006350BE">
        <w:t>he lodged two appeals against the exten</w:t>
      </w:r>
      <w:r w:rsidR="005E3825" w:rsidRPr="006350BE">
        <w:t>sion order of 13 September 2002. T</w:t>
      </w:r>
      <w:r w:rsidR="004B7166" w:rsidRPr="006350BE">
        <w:t>he first one</w:t>
      </w:r>
      <w:r w:rsidR="00886FFC" w:rsidRPr="006350BE">
        <w:t>,</w:t>
      </w:r>
      <w:r w:rsidR="004B7166" w:rsidRPr="006350BE">
        <w:t xml:space="preserve"> </w:t>
      </w:r>
      <w:r w:rsidR="00886FFC" w:rsidRPr="006350BE">
        <w:t xml:space="preserve">recorded under reference </w:t>
      </w:r>
      <w:r w:rsidR="004B7166" w:rsidRPr="006350BE">
        <w:t>number 35/13/2-218-z</w:t>
      </w:r>
      <w:r w:rsidR="00886FFC" w:rsidRPr="006350BE">
        <w:t>,</w:t>
      </w:r>
      <w:r w:rsidR="004B7166" w:rsidRPr="006350BE">
        <w:t xml:space="preserve"> was sent to the Supreme Court </w:t>
      </w:r>
      <w:r w:rsidR="000E151A" w:rsidRPr="006350BE">
        <w:t xml:space="preserve">of the Russian Federation </w:t>
      </w:r>
      <w:r w:rsidR="004B7166" w:rsidRPr="006350BE">
        <w:t>and the second one</w:t>
      </w:r>
      <w:r w:rsidR="00886FFC" w:rsidRPr="006350BE">
        <w:t>,</w:t>
      </w:r>
      <w:r w:rsidR="004B7166" w:rsidRPr="006350BE">
        <w:t xml:space="preserve"> </w:t>
      </w:r>
      <w:r w:rsidR="00886FFC" w:rsidRPr="006350BE">
        <w:t xml:space="preserve">recorded under reference </w:t>
      </w:r>
      <w:r w:rsidR="004B7166" w:rsidRPr="006350BE">
        <w:t>number 35/13/2-217-z</w:t>
      </w:r>
      <w:r w:rsidR="00886FFC" w:rsidRPr="006350BE">
        <w:t>, was sent</w:t>
      </w:r>
      <w:r w:rsidR="004B7166" w:rsidRPr="006350BE">
        <w:t xml:space="preserve"> t</w:t>
      </w:r>
      <w:r w:rsidR="00D63A78" w:rsidRPr="006350BE">
        <w:t>o the Volgograd Regional Court.</w:t>
      </w:r>
    </w:p>
    <w:bookmarkStart w:id="1" w:name="ill_treatment2"/>
    <w:bookmarkStart w:id="2" w:name="PAR13"/>
    <w:p w:rsidR="00E13969" w:rsidRPr="006350BE" w:rsidRDefault="002B5984"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11</w:t>
      </w:r>
      <w:r w:rsidRPr="006350BE">
        <w:fldChar w:fldCharType="end"/>
      </w:r>
      <w:r w:rsidRPr="006350BE">
        <w:t>.  </w:t>
      </w:r>
      <w:bookmarkEnd w:id="1"/>
      <w:bookmarkEnd w:id="2"/>
      <w:r w:rsidR="00E13969" w:rsidRPr="006350BE">
        <w:t xml:space="preserve">On 5 December 2002 the </w:t>
      </w:r>
      <w:r w:rsidR="002841C7" w:rsidRPr="006350BE">
        <w:t xml:space="preserve">composition of the </w:t>
      </w:r>
      <w:r w:rsidR="00886FFC" w:rsidRPr="006350BE">
        <w:t xml:space="preserve">court </w:t>
      </w:r>
      <w:r w:rsidR="002841C7" w:rsidRPr="006350BE">
        <w:t>was changed</w:t>
      </w:r>
      <w:r w:rsidR="00886FFC" w:rsidRPr="006350BE">
        <w:t xml:space="preserve"> and</w:t>
      </w:r>
      <w:r w:rsidR="002841C7" w:rsidRPr="006350BE">
        <w:t xml:space="preserve"> </w:t>
      </w:r>
      <w:r w:rsidR="00886FFC" w:rsidRPr="006350BE">
        <w:t>t</w:t>
      </w:r>
      <w:r w:rsidR="002841C7" w:rsidRPr="006350BE">
        <w:t xml:space="preserve">he case was referred to </w:t>
      </w:r>
      <w:r w:rsidR="00886FFC" w:rsidRPr="006350BE">
        <w:t xml:space="preserve">a </w:t>
      </w:r>
      <w:r w:rsidR="00D147E6" w:rsidRPr="006350BE">
        <w:t xml:space="preserve">trial judge and </w:t>
      </w:r>
      <w:r w:rsidR="00E13969" w:rsidRPr="006350BE">
        <w:t xml:space="preserve">two </w:t>
      </w:r>
      <w:r w:rsidR="00A34838" w:rsidRPr="006350BE">
        <w:t xml:space="preserve">new </w:t>
      </w:r>
      <w:r w:rsidR="003E1B2F" w:rsidRPr="006350BE">
        <w:t>lay judges</w:t>
      </w:r>
      <w:r w:rsidR="00E13969" w:rsidRPr="006350BE">
        <w:t>, M</w:t>
      </w:r>
      <w:r w:rsidR="00FB60DA" w:rsidRPr="006350BE">
        <w:t>r</w:t>
      </w:r>
      <w:r w:rsidR="00E13969" w:rsidRPr="006350BE">
        <w:t xml:space="preserve"> D. and Ms</w:t>
      </w:r>
      <w:r w:rsidR="008F0138" w:rsidRPr="006350BE">
        <w:t> </w:t>
      </w:r>
      <w:r w:rsidR="00E13969" w:rsidRPr="006350BE">
        <w:t>M</w:t>
      </w:r>
      <w:r w:rsidR="003E1B2F" w:rsidRPr="006350BE">
        <w:t>ot</w:t>
      </w:r>
      <w:r w:rsidR="00E13969" w:rsidRPr="006350BE">
        <w:t>.</w:t>
      </w:r>
    </w:p>
    <w:p w:rsidR="00776700"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12</w:t>
      </w:r>
      <w:r w:rsidRPr="006350BE">
        <w:rPr>
          <w:noProof/>
        </w:rPr>
        <w:fldChar w:fldCharType="end"/>
      </w:r>
      <w:r w:rsidR="0093361F" w:rsidRPr="006350BE">
        <w:t>.  </w:t>
      </w:r>
      <w:r w:rsidR="00E13969" w:rsidRPr="006350BE">
        <w:t xml:space="preserve">On 17 January 2003 the </w:t>
      </w:r>
      <w:r w:rsidR="002841C7" w:rsidRPr="006350BE">
        <w:t>Regional Court</w:t>
      </w:r>
      <w:r w:rsidR="00E13969" w:rsidRPr="006350BE">
        <w:t xml:space="preserve"> </w:t>
      </w:r>
      <w:r w:rsidR="002841C7" w:rsidRPr="006350BE">
        <w:t xml:space="preserve">found </w:t>
      </w:r>
      <w:r w:rsidR="00E13969" w:rsidRPr="006350BE">
        <w:t xml:space="preserve">the applicants </w:t>
      </w:r>
      <w:r w:rsidR="002841C7" w:rsidRPr="006350BE">
        <w:t xml:space="preserve">guilty </w:t>
      </w:r>
      <w:r w:rsidR="00E13969" w:rsidRPr="006350BE">
        <w:t xml:space="preserve">of </w:t>
      </w:r>
      <w:r w:rsidR="00886FFC" w:rsidRPr="006350BE">
        <w:t xml:space="preserve">several counts of </w:t>
      </w:r>
      <w:r w:rsidR="00E13969" w:rsidRPr="006350BE">
        <w:t>murder and sentenced them to life imprisonment.</w:t>
      </w:r>
    </w:p>
    <w:p w:rsidR="00776700"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13</w:t>
      </w:r>
      <w:r w:rsidRPr="006350BE">
        <w:rPr>
          <w:noProof/>
        </w:rPr>
        <w:fldChar w:fldCharType="end"/>
      </w:r>
      <w:r w:rsidR="0093361F" w:rsidRPr="006350BE">
        <w:t>.  </w:t>
      </w:r>
      <w:r w:rsidR="003B5626" w:rsidRPr="006350BE">
        <w:t xml:space="preserve">On </w:t>
      </w:r>
      <w:r w:rsidR="002841C7" w:rsidRPr="006350BE">
        <w:t xml:space="preserve">an </w:t>
      </w:r>
      <w:r w:rsidR="003B5626" w:rsidRPr="006350BE">
        <w:t>unspecified date the second applicant lodged an appeal</w:t>
      </w:r>
      <w:r w:rsidR="000E151A" w:rsidRPr="006350BE">
        <w:t xml:space="preserve"> against the judgment of 17 January 2003</w:t>
      </w:r>
      <w:r w:rsidR="003B5626" w:rsidRPr="006350BE">
        <w:t>.</w:t>
      </w:r>
      <w:bookmarkStart w:id="3" w:name="Appeal"/>
    </w:p>
    <w:bookmarkStart w:id="4" w:name="para19"/>
    <w:p w:rsidR="00E13969"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14</w:t>
      </w:r>
      <w:r w:rsidRPr="006350BE">
        <w:rPr>
          <w:noProof/>
        </w:rPr>
        <w:fldChar w:fldCharType="end"/>
      </w:r>
      <w:bookmarkEnd w:id="3"/>
      <w:bookmarkEnd w:id="4"/>
      <w:r w:rsidR="0093361F" w:rsidRPr="006350BE">
        <w:t>.  </w:t>
      </w:r>
      <w:r w:rsidR="00E13969" w:rsidRPr="006350BE">
        <w:t xml:space="preserve">On 8 July 2003 the Supreme Court </w:t>
      </w:r>
      <w:r w:rsidR="009D0F79" w:rsidRPr="006350BE">
        <w:t>of the Russian Federation</w:t>
      </w:r>
      <w:r w:rsidR="009D0F79" w:rsidRPr="006350BE" w:rsidDel="000E151A">
        <w:t xml:space="preserve"> </w:t>
      </w:r>
      <w:r w:rsidR="00E13969" w:rsidRPr="006350BE">
        <w:t xml:space="preserve">upheld the </w:t>
      </w:r>
      <w:r w:rsidR="000E151A" w:rsidRPr="006350BE">
        <w:t>applicants</w:t>
      </w:r>
      <w:r w:rsidR="006350BE" w:rsidRPr="006350BE">
        <w:t>’</w:t>
      </w:r>
      <w:r w:rsidR="000E151A" w:rsidRPr="006350BE">
        <w:t xml:space="preserve"> conviction on appeal</w:t>
      </w:r>
      <w:r w:rsidR="00E13969" w:rsidRPr="006350BE">
        <w:t xml:space="preserve">. </w:t>
      </w:r>
      <w:r w:rsidR="003B7C73" w:rsidRPr="006350BE">
        <w:t xml:space="preserve">According to the second applicant, on that date he also learnt </w:t>
      </w:r>
      <w:r w:rsidR="003B5626" w:rsidRPr="006350BE">
        <w:t>that his appeal of 23</w:t>
      </w:r>
      <w:r w:rsidR="006A5D4B" w:rsidRPr="006350BE">
        <w:t> </w:t>
      </w:r>
      <w:r w:rsidR="003B5626" w:rsidRPr="006350BE">
        <w:t>September 2002 had not been included in the case</w:t>
      </w:r>
      <w:r w:rsidR="00886FFC" w:rsidRPr="006350BE">
        <w:t xml:space="preserve"> </w:t>
      </w:r>
      <w:r w:rsidR="003B5626" w:rsidRPr="006350BE">
        <w:t xml:space="preserve">file and </w:t>
      </w:r>
      <w:r w:rsidR="000E151A" w:rsidRPr="006350BE">
        <w:t xml:space="preserve">that it </w:t>
      </w:r>
      <w:r w:rsidR="003B5626" w:rsidRPr="006350BE">
        <w:t>would not be considered.</w:t>
      </w:r>
    </w:p>
    <w:p w:rsidR="00E13969"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15</w:t>
      </w:r>
      <w:r w:rsidRPr="006350BE">
        <w:rPr>
          <w:noProof/>
        </w:rPr>
        <w:fldChar w:fldCharType="end"/>
      </w:r>
      <w:r w:rsidR="0093361F" w:rsidRPr="006350BE">
        <w:t>.  </w:t>
      </w:r>
      <w:r w:rsidR="003B5626" w:rsidRPr="006350BE">
        <w:t>On 21</w:t>
      </w:r>
      <w:r w:rsidR="00E13969" w:rsidRPr="006350BE">
        <w:t xml:space="preserve"> December 2005 the Presidium of the Supreme Court </w:t>
      </w:r>
      <w:r w:rsidR="00515DE8" w:rsidRPr="006350BE">
        <w:t>quashed the</w:t>
      </w:r>
      <w:r w:rsidR="00A15AEE" w:rsidRPr="006350BE">
        <w:rPr>
          <w:lang w:val="en-US"/>
        </w:rPr>
        <w:t xml:space="preserve"> </w:t>
      </w:r>
      <w:r w:rsidR="00A15AEE" w:rsidRPr="006350BE">
        <w:t xml:space="preserve">judgment of 8 July 2003 </w:t>
      </w:r>
      <w:r w:rsidR="00132F29" w:rsidRPr="006350BE">
        <w:t xml:space="preserve">by way of a supervisory review </w:t>
      </w:r>
      <w:r w:rsidR="00515DE8" w:rsidRPr="006350BE">
        <w:t xml:space="preserve">and remitted the </w:t>
      </w:r>
      <w:r w:rsidR="00A15AEE" w:rsidRPr="006350BE">
        <w:t xml:space="preserve">case </w:t>
      </w:r>
      <w:r w:rsidR="00515DE8" w:rsidRPr="006350BE">
        <w:t>to the</w:t>
      </w:r>
      <w:r w:rsidR="00E13969" w:rsidRPr="006350BE">
        <w:t xml:space="preserve"> </w:t>
      </w:r>
      <w:r w:rsidR="00886FFC" w:rsidRPr="006350BE">
        <w:t xml:space="preserve">appellate </w:t>
      </w:r>
      <w:r w:rsidR="00515DE8" w:rsidRPr="006350BE">
        <w:t>court</w:t>
      </w:r>
      <w:r w:rsidR="00132F29" w:rsidRPr="006350BE">
        <w:t xml:space="preserve"> for fresh consideration</w:t>
      </w:r>
      <w:r w:rsidR="00A74868" w:rsidRPr="006350BE">
        <w:t>.</w:t>
      </w:r>
    </w:p>
    <w:p w:rsidR="00E13969" w:rsidRPr="006350BE" w:rsidRDefault="00E13969" w:rsidP="006350BE">
      <w:pPr>
        <w:pStyle w:val="ECHRHeading3"/>
      </w:pPr>
      <w:r w:rsidRPr="006350BE">
        <w:lastRenderedPageBreak/>
        <w:t>3.</w:t>
      </w:r>
      <w:r w:rsidR="000D04A3" w:rsidRPr="006350BE">
        <w:t>  </w:t>
      </w:r>
      <w:r w:rsidRPr="006350BE">
        <w:t>Third round of proceedings</w:t>
      </w:r>
    </w:p>
    <w:bookmarkStart w:id="5" w:name="Lay_judges2"/>
    <w:p w:rsidR="00F13FA0"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16</w:t>
      </w:r>
      <w:r w:rsidRPr="006350BE">
        <w:rPr>
          <w:noProof/>
        </w:rPr>
        <w:fldChar w:fldCharType="end"/>
      </w:r>
      <w:bookmarkEnd w:id="5"/>
      <w:r w:rsidR="0093361F" w:rsidRPr="006350BE">
        <w:t>.  </w:t>
      </w:r>
      <w:r w:rsidR="00F13FA0" w:rsidRPr="006350BE">
        <w:t xml:space="preserve">By </w:t>
      </w:r>
      <w:r w:rsidR="00886FFC" w:rsidRPr="006350BE">
        <w:t xml:space="preserve">a </w:t>
      </w:r>
      <w:r w:rsidR="00F13FA0" w:rsidRPr="006350BE">
        <w:t xml:space="preserve">letter of April 2007 the Deputy President of the Volgograd Regional Court informed </w:t>
      </w:r>
      <w:r w:rsidR="00886FFC" w:rsidRPr="006350BE">
        <w:t>J</w:t>
      </w:r>
      <w:r w:rsidR="00F13FA0" w:rsidRPr="006350BE">
        <w:t xml:space="preserve">udge V. of the Supreme Court that Mr D. had acted as a lay judge in five </w:t>
      </w:r>
      <w:r w:rsidR="001B29FE" w:rsidRPr="006350BE">
        <w:t>criminal trials</w:t>
      </w:r>
      <w:r w:rsidR="00F13FA0" w:rsidRPr="006350BE">
        <w:t xml:space="preserve"> on 6, 13</w:t>
      </w:r>
      <w:r w:rsidR="00886FFC" w:rsidRPr="006350BE">
        <w:t xml:space="preserve"> and</w:t>
      </w:r>
      <w:r w:rsidR="00604FAD" w:rsidRPr="006350BE">
        <w:t xml:space="preserve"> 21 February, 18 </w:t>
      </w:r>
      <w:r w:rsidR="00F13FA0" w:rsidRPr="006350BE">
        <w:t>March and 11 September 2002</w:t>
      </w:r>
      <w:r w:rsidR="00886FFC" w:rsidRPr="006350BE">
        <w:t>,</w:t>
      </w:r>
      <w:r w:rsidR="00F13FA0" w:rsidRPr="006350BE">
        <w:t xml:space="preserve"> and </w:t>
      </w:r>
      <w:r w:rsidR="00886FFC" w:rsidRPr="006350BE">
        <w:t xml:space="preserve">that </w:t>
      </w:r>
      <w:r w:rsidR="00F13FA0" w:rsidRPr="006350BE">
        <w:t>Ms Mot. had been</w:t>
      </w:r>
      <w:r w:rsidR="000E151A" w:rsidRPr="006350BE">
        <w:t xml:space="preserve"> a</w:t>
      </w:r>
      <w:r w:rsidR="00F13FA0" w:rsidRPr="006350BE">
        <w:t xml:space="preserve"> lay judge in three </w:t>
      </w:r>
      <w:r w:rsidR="001B29FE" w:rsidRPr="006350BE">
        <w:t xml:space="preserve">criminal trials </w:t>
      </w:r>
      <w:r w:rsidR="00F13FA0" w:rsidRPr="006350BE">
        <w:t>on 8 October, 21 November and 30</w:t>
      </w:r>
      <w:r w:rsidR="008F0138" w:rsidRPr="006350BE">
        <w:t> </w:t>
      </w:r>
      <w:r w:rsidR="00F13FA0" w:rsidRPr="006350BE">
        <w:t>December 2002.</w:t>
      </w:r>
    </w:p>
    <w:p w:rsidR="003B5626" w:rsidRPr="006350BE" w:rsidRDefault="00C54E38"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17</w:t>
      </w:r>
      <w:r w:rsidRPr="006350BE">
        <w:fldChar w:fldCharType="end"/>
      </w:r>
      <w:r w:rsidRPr="006350BE">
        <w:t>.  </w:t>
      </w:r>
      <w:r w:rsidR="003B5626" w:rsidRPr="006350BE">
        <w:t>On 22 May 2007 the Supreme Court upheld</w:t>
      </w:r>
      <w:r w:rsidR="00175FF7" w:rsidRPr="006350BE">
        <w:t>,</w:t>
      </w:r>
      <w:r w:rsidR="003B5626" w:rsidRPr="006350BE">
        <w:t xml:space="preserve"> </w:t>
      </w:r>
      <w:r w:rsidR="00175FF7" w:rsidRPr="006350BE">
        <w:t>in substance, the applicants</w:t>
      </w:r>
      <w:r w:rsidR="006350BE" w:rsidRPr="006350BE">
        <w:t>’</w:t>
      </w:r>
      <w:r w:rsidR="00175FF7" w:rsidRPr="006350BE">
        <w:t xml:space="preserve"> conviction on appeal</w:t>
      </w:r>
      <w:r w:rsidR="003B5626" w:rsidRPr="006350BE">
        <w:t xml:space="preserve">. The </w:t>
      </w:r>
      <w:r w:rsidR="00886FFC" w:rsidRPr="006350BE">
        <w:t xml:space="preserve">appellate </w:t>
      </w:r>
      <w:r w:rsidR="003B5626" w:rsidRPr="006350BE">
        <w:t>court held</w:t>
      </w:r>
      <w:r w:rsidR="00423BD0" w:rsidRPr="006350BE">
        <w:t xml:space="preserve">, </w:t>
      </w:r>
      <w:r w:rsidR="00423BD0" w:rsidRPr="006350BE">
        <w:rPr>
          <w:i/>
        </w:rPr>
        <w:t>inter alia</w:t>
      </w:r>
      <w:r w:rsidR="00423BD0" w:rsidRPr="006350BE">
        <w:t>,</w:t>
      </w:r>
      <w:r w:rsidR="003B5626" w:rsidRPr="006350BE">
        <w:t xml:space="preserve"> </w:t>
      </w:r>
      <w:r w:rsidR="00C35878" w:rsidRPr="006350BE">
        <w:t xml:space="preserve">that </w:t>
      </w:r>
      <w:r w:rsidR="003B5626" w:rsidRPr="006350BE">
        <w:t xml:space="preserve">the participation of </w:t>
      </w:r>
      <w:r w:rsidR="00C35878" w:rsidRPr="006350BE">
        <w:t xml:space="preserve">the </w:t>
      </w:r>
      <w:r w:rsidR="003E1B2F" w:rsidRPr="006350BE">
        <w:t>lay judges</w:t>
      </w:r>
      <w:r w:rsidR="003B5626" w:rsidRPr="006350BE">
        <w:t xml:space="preserve"> in</w:t>
      </w:r>
      <w:r w:rsidR="00C35878" w:rsidRPr="006350BE">
        <w:t xml:space="preserve"> more than one</w:t>
      </w:r>
      <w:r w:rsidR="003B5626" w:rsidRPr="006350BE">
        <w:t xml:space="preserve"> </w:t>
      </w:r>
      <w:r w:rsidR="00C35878" w:rsidRPr="006350BE">
        <w:t xml:space="preserve">criminal trial </w:t>
      </w:r>
      <w:r w:rsidR="002E7444" w:rsidRPr="006350BE">
        <w:t>per</w:t>
      </w:r>
      <w:r w:rsidR="00C35878" w:rsidRPr="006350BE">
        <w:t xml:space="preserve"> year</w:t>
      </w:r>
      <w:r w:rsidR="003B5626" w:rsidRPr="006350BE">
        <w:t xml:space="preserve"> could not undermine the “legitimacy” </w:t>
      </w:r>
      <w:r w:rsidR="00C35878" w:rsidRPr="006350BE">
        <w:t>of the tribunal in</w:t>
      </w:r>
      <w:r w:rsidR="003B5626" w:rsidRPr="006350BE">
        <w:t xml:space="preserve"> the applicants</w:t>
      </w:r>
      <w:r w:rsidR="006350BE" w:rsidRPr="006350BE">
        <w:t>’</w:t>
      </w:r>
      <w:r w:rsidR="003B5626" w:rsidRPr="006350BE">
        <w:t xml:space="preserve"> </w:t>
      </w:r>
      <w:r w:rsidR="00C35878" w:rsidRPr="006350BE">
        <w:t>case</w:t>
      </w:r>
      <w:r w:rsidR="003B5626" w:rsidRPr="006350BE">
        <w:t>.</w:t>
      </w:r>
    </w:p>
    <w:p w:rsidR="00FE7E1E" w:rsidRPr="001524AD" w:rsidRDefault="00FE7E1E" w:rsidP="001524AD">
      <w:pPr>
        <w:pStyle w:val="ECHRHeading2"/>
      </w:pPr>
      <w:r w:rsidRPr="001524AD">
        <w:t>B.  </w:t>
      </w:r>
      <w:r w:rsidR="00153349" w:rsidRPr="001524AD">
        <w:t>The s</w:t>
      </w:r>
      <w:r w:rsidRPr="001524AD">
        <w:t>econd applicant</w:t>
      </w:r>
      <w:r w:rsidR="006350BE" w:rsidRPr="001524AD">
        <w:t>’</w:t>
      </w:r>
      <w:r w:rsidRPr="001524AD">
        <w:t>s attempt to challenge his detention</w:t>
      </w:r>
    </w:p>
    <w:p w:rsidR="00776700"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18</w:t>
      </w:r>
      <w:r w:rsidRPr="006350BE">
        <w:rPr>
          <w:noProof/>
        </w:rPr>
        <w:fldChar w:fldCharType="end"/>
      </w:r>
      <w:r w:rsidR="0093361F" w:rsidRPr="006350BE">
        <w:t>.  </w:t>
      </w:r>
      <w:r w:rsidR="00D14AA9" w:rsidRPr="006350BE">
        <w:t xml:space="preserve">On </w:t>
      </w:r>
      <w:r w:rsidR="00C93F4E" w:rsidRPr="006350BE">
        <w:rPr>
          <w:lang w:val="en-US"/>
        </w:rPr>
        <w:t>28 August 2007</w:t>
      </w:r>
      <w:r w:rsidR="003B5626" w:rsidRPr="006350BE">
        <w:t xml:space="preserve"> the </w:t>
      </w:r>
      <w:r w:rsidR="00FB10E4" w:rsidRPr="006350BE">
        <w:rPr>
          <w:lang w:val="en-US"/>
        </w:rPr>
        <w:t xml:space="preserve">second </w:t>
      </w:r>
      <w:r w:rsidR="003B5626" w:rsidRPr="006350BE">
        <w:t>applicant requested that the time-limit for lodging an appeal against the decision of 13 September 2002 be restored due to the disappearance of</w:t>
      </w:r>
      <w:r w:rsidR="00C7269D" w:rsidRPr="006350BE">
        <w:t xml:space="preserve"> the hard copy of</w:t>
      </w:r>
      <w:r w:rsidR="003B5626" w:rsidRPr="006350BE">
        <w:t xml:space="preserve"> his original complaint.</w:t>
      </w:r>
    </w:p>
    <w:p w:rsidR="00776700"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19</w:t>
      </w:r>
      <w:r w:rsidRPr="006350BE">
        <w:rPr>
          <w:noProof/>
        </w:rPr>
        <w:fldChar w:fldCharType="end"/>
      </w:r>
      <w:r w:rsidR="0093361F" w:rsidRPr="006350BE">
        <w:t>.  </w:t>
      </w:r>
      <w:r w:rsidR="003B5626" w:rsidRPr="006350BE">
        <w:t xml:space="preserve">On 21 September 2007 the trial court refused </w:t>
      </w:r>
      <w:r w:rsidR="00FD048C" w:rsidRPr="006350BE">
        <w:t>the second applicant</w:t>
      </w:r>
      <w:r w:rsidR="006350BE" w:rsidRPr="006350BE">
        <w:t>’</w:t>
      </w:r>
      <w:r w:rsidR="00FD048C" w:rsidRPr="006350BE">
        <w:t xml:space="preserve">s </w:t>
      </w:r>
      <w:r w:rsidR="003B5626" w:rsidRPr="006350BE">
        <w:t>request</w:t>
      </w:r>
      <w:r w:rsidR="00FD048C" w:rsidRPr="006350BE">
        <w:t>,</w:t>
      </w:r>
      <w:r w:rsidR="003B5626" w:rsidRPr="006350BE">
        <w:t xml:space="preserve"> </w:t>
      </w:r>
      <w:r w:rsidR="000D04A3" w:rsidRPr="006350BE">
        <w:t xml:space="preserve">noting </w:t>
      </w:r>
      <w:r w:rsidR="003B5626" w:rsidRPr="006350BE">
        <w:t xml:space="preserve">that it was no longer possible to establish whether </w:t>
      </w:r>
      <w:r w:rsidR="00FD048C" w:rsidRPr="006350BE">
        <w:t xml:space="preserve">he </w:t>
      </w:r>
      <w:r w:rsidR="003B5626" w:rsidRPr="006350BE">
        <w:t>had lodged the appeal in question in due time or at all.</w:t>
      </w:r>
    </w:p>
    <w:p w:rsidR="00014566"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20</w:t>
      </w:r>
      <w:r w:rsidRPr="006350BE">
        <w:rPr>
          <w:noProof/>
        </w:rPr>
        <w:fldChar w:fldCharType="end"/>
      </w:r>
      <w:r w:rsidR="0093361F" w:rsidRPr="006350BE">
        <w:t>.  On</w:t>
      </w:r>
      <w:r w:rsidR="003B5626" w:rsidRPr="006350BE">
        <w:t xml:space="preserve"> 7 May 2008 the Supreme Court upheld the refusal, adding that the </w:t>
      </w:r>
      <w:r w:rsidR="00FB10E4" w:rsidRPr="006350BE">
        <w:rPr>
          <w:lang w:val="en-US"/>
        </w:rPr>
        <w:t xml:space="preserve">second </w:t>
      </w:r>
      <w:r w:rsidR="003B5626" w:rsidRPr="006350BE">
        <w:t>applicant</w:t>
      </w:r>
      <w:r w:rsidR="006350BE" w:rsidRPr="006350BE">
        <w:t>’</w:t>
      </w:r>
      <w:r w:rsidR="003B5626" w:rsidRPr="006350BE">
        <w:t>s complaint of unlawful detention after 13</w:t>
      </w:r>
      <w:r w:rsidR="006A5D4B" w:rsidRPr="006350BE">
        <w:t> </w:t>
      </w:r>
      <w:r w:rsidR="003B5626" w:rsidRPr="006350BE">
        <w:t>September 2002 was ill-founded.</w:t>
      </w:r>
    </w:p>
    <w:p w:rsidR="00972A31" w:rsidRPr="001524AD" w:rsidRDefault="005F56A0" w:rsidP="001524AD">
      <w:pPr>
        <w:pStyle w:val="ECHRHeading2"/>
      </w:pPr>
      <w:r w:rsidRPr="001524AD">
        <w:t>С</w:t>
      </w:r>
      <w:r w:rsidR="00972A31" w:rsidRPr="001524AD">
        <w:t>.</w:t>
      </w:r>
      <w:r w:rsidRPr="001524AD">
        <w:t>  </w:t>
      </w:r>
      <w:r w:rsidR="00972A31" w:rsidRPr="001524AD">
        <w:t xml:space="preserve">Alleged censorship of the </w:t>
      </w:r>
      <w:r w:rsidR="007D18B6" w:rsidRPr="001524AD">
        <w:t xml:space="preserve">second </w:t>
      </w:r>
      <w:r w:rsidR="00972A31" w:rsidRPr="001524AD">
        <w:t>applicant</w:t>
      </w:r>
      <w:r w:rsidR="006350BE" w:rsidRPr="001524AD">
        <w:t>’</w:t>
      </w:r>
      <w:r w:rsidR="00972A31" w:rsidRPr="001524AD">
        <w:t xml:space="preserve">s letters by the </w:t>
      </w:r>
      <w:r w:rsidR="00FD048C" w:rsidRPr="001524AD">
        <w:t xml:space="preserve">administration </w:t>
      </w:r>
      <w:r w:rsidR="00336ADF" w:rsidRPr="001524AD">
        <w:t xml:space="preserve">of </w:t>
      </w:r>
      <w:r w:rsidR="00FD048C" w:rsidRPr="001524AD">
        <w:t xml:space="preserve">the </w:t>
      </w:r>
      <w:r w:rsidR="00CC0898" w:rsidRPr="001524AD">
        <w:t xml:space="preserve">correctional colony </w:t>
      </w:r>
      <w:r w:rsidR="00391529" w:rsidRPr="001524AD">
        <w:t xml:space="preserve">and interference with </w:t>
      </w:r>
      <w:r w:rsidR="00FD048C" w:rsidRPr="001524AD">
        <w:t xml:space="preserve">his </w:t>
      </w:r>
      <w:r w:rsidR="00391529" w:rsidRPr="001524AD">
        <w:t>right of individual petition</w:t>
      </w:r>
    </w:p>
    <w:p w:rsidR="00776700"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21</w:t>
      </w:r>
      <w:r w:rsidRPr="006350BE">
        <w:rPr>
          <w:noProof/>
        </w:rPr>
        <w:fldChar w:fldCharType="end"/>
      </w:r>
      <w:r w:rsidR="009B231E" w:rsidRPr="006350BE">
        <w:t>.  </w:t>
      </w:r>
      <w:r w:rsidR="00EA098E" w:rsidRPr="006350BE">
        <w:t xml:space="preserve">According to the second applicant, </w:t>
      </w:r>
      <w:r w:rsidR="002320D8" w:rsidRPr="006350BE">
        <w:t>on 26</w:t>
      </w:r>
      <w:r w:rsidR="006A5D4B" w:rsidRPr="006350BE">
        <w:t> </w:t>
      </w:r>
      <w:r w:rsidR="002320D8" w:rsidRPr="006350BE">
        <w:t xml:space="preserve">March 2009 he sent an application </w:t>
      </w:r>
      <w:r w:rsidR="002E7444" w:rsidRPr="006350BE">
        <w:t xml:space="preserve">to the Court </w:t>
      </w:r>
      <w:r w:rsidR="002320D8" w:rsidRPr="006350BE">
        <w:t xml:space="preserve">via the administration of </w:t>
      </w:r>
      <w:r w:rsidR="000E151A" w:rsidRPr="006350BE">
        <w:t xml:space="preserve">the </w:t>
      </w:r>
      <w:r w:rsidR="002320D8" w:rsidRPr="006350BE">
        <w:t xml:space="preserve">correctional </w:t>
      </w:r>
      <w:r w:rsidR="00336ADF" w:rsidRPr="006350BE">
        <w:t>colon</w:t>
      </w:r>
      <w:r w:rsidR="002320D8" w:rsidRPr="006350BE">
        <w:t>y</w:t>
      </w:r>
      <w:r w:rsidR="00EA098E" w:rsidRPr="006350BE">
        <w:t xml:space="preserve">. The application </w:t>
      </w:r>
      <w:r w:rsidR="002320D8" w:rsidRPr="006350BE">
        <w:t>was not received by the Court.</w:t>
      </w:r>
    </w:p>
    <w:p w:rsidR="000A27BE"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22</w:t>
      </w:r>
      <w:r w:rsidRPr="006350BE">
        <w:rPr>
          <w:noProof/>
        </w:rPr>
        <w:fldChar w:fldCharType="end"/>
      </w:r>
      <w:r w:rsidR="009B231E" w:rsidRPr="006350BE">
        <w:t>.  </w:t>
      </w:r>
      <w:r w:rsidR="002320D8" w:rsidRPr="006350BE">
        <w:t xml:space="preserve">On 11 December 2009 the Registry of the Court received the </w:t>
      </w:r>
      <w:r w:rsidR="00810760" w:rsidRPr="006350BE">
        <w:t xml:space="preserve">initial letter </w:t>
      </w:r>
      <w:r w:rsidR="002320D8" w:rsidRPr="006350BE">
        <w:t xml:space="preserve">sent by the </w:t>
      </w:r>
      <w:r w:rsidR="00912BDD" w:rsidRPr="006350BE">
        <w:t xml:space="preserve">second </w:t>
      </w:r>
      <w:r w:rsidR="000A27BE" w:rsidRPr="006350BE">
        <w:t xml:space="preserve">applicant through the </w:t>
      </w:r>
      <w:r w:rsidR="002320D8" w:rsidRPr="006350BE">
        <w:t xml:space="preserve">administration of </w:t>
      </w:r>
      <w:r w:rsidR="00C35878" w:rsidRPr="006350BE">
        <w:t xml:space="preserve">the </w:t>
      </w:r>
      <w:r w:rsidR="002320D8" w:rsidRPr="006350BE">
        <w:t xml:space="preserve">correctional </w:t>
      </w:r>
      <w:r w:rsidR="00E071DB" w:rsidRPr="006350BE">
        <w:rPr>
          <w:lang w:val="en-US"/>
        </w:rPr>
        <w:t>colony</w:t>
      </w:r>
      <w:r w:rsidR="002320D8" w:rsidRPr="006350BE">
        <w:t xml:space="preserve"> on 19 November 2009.</w:t>
      </w:r>
    </w:p>
    <w:p w:rsidR="009B231E"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23</w:t>
      </w:r>
      <w:r w:rsidRPr="006350BE">
        <w:rPr>
          <w:noProof/>
        </w:rPr>
        <w:fldChar w:fldCharType="end"/>
      </w:r>
      <w:r w:rsidR="009B231E" w:rsidRPr="006350BE">
        <w:t xml:space="preserve">.  On 14 August 2010 the </w:t>
      </w:r>
      <w:r w:rsidR="00912BDD" w:rsidRPr="006350BE">
        <w:t xml:space="preserve">second </w:t>
      </w:r>
      <w:r w:rsidR="009B231E" w:rsidRPr="006350BE">
        <w:t xml:space="preserve">applicant received a parcel from his representative. </w:t>
      </w:r>
      <w:r w:rsidR="00FD048C" w:rsidRPr="006350BE">
        <w:t>It had been opened by t</w:t>
      </w:r>
      <w:r w:rsidR="009B231E" w:rsidRPr="006350BE">
        <w:t xml:space="preserve">he administration of the correctional </w:t>
      </w:r>
      <w:r w:rsidR="00FB10E4" w:rsidRPr="006350BE">
        <w:rPr>
          <w:lang w:val="en-US"/>
        </w:rPr>
        <w:t>colony</w:t>
      </w:r>
      <w:r w:rsidR="009B231E" w:rsidRPr="006350BE">
        <w:t xml:space="preserve"> for </w:t>
      </w:r>
      <w:r w:rsidR="00FD048C" w:rsidRPr="006350BE">
        <w:t xml:space="preserve">the purpose of </w:t>
      </w:r>
      <w:r w:rsidR="009B231E" w:rsidRPr="006350BE">
        <w:t>censoring.</w:t>
      </w:r>
      <w:r w:rsidR="00D72EAF" w:rsidRPr="006350BE">
        <w:t xml:space="preserve"> </w:t>
      </w:r>
      <w:r w:rsidR="00FD048C" w:rsidRPr="006350BE">
        <w:t>The parcel</w:t>
      </w:r>
      <w:r w:rsidR="004C2C7F" w:rsidRPr="006350BE">
        <w:t xml:space="preserve"> contained documents from the Court, </w:t>
      </w:r>
      <w:r w:rsidR="00C35878" w:rsidRPr="006350BE">
        <w:t xml:space="preserve">sheets of </w:t>
      </w:r>
      <w:r w:rsidR="004C2C7F" w:rsidRPr="006350BE">
        <w:t xml:space="preserve">blank </w:t>
      </w:r>
      <w:r w:rsidR="00C35878" w:rsidRPr="006350BE">
        <w:t xml:space="preserve">paper </w:t>
      </w:r>
      <w:r w:rsidR="004C2C7F" w:rsidRPr="006350BE">
        <w:t>and two crossword</w:t>
      </w:r>
      <w:r w:rsidR="00C35878" w:rsidRPr="006350BE">
        <w:t xml:space="preserve"> puzzle</w:t>
      </w:r>
      <w:r w:rsidR="004C2C7F" w:rsidRPr="006350BE">
        <w:t xml:space="preserve">s. </w:t>
      </w:r>
      <w:r w:rsidR="00C35878" w:rsidRPr="006350BE">
        <w:t xml:space="preserve">The second applicant received the documents </w:t>
      </w:r>
      <w:r w:rsidR="0057447D" w:rsidRPr="006350BE">
        <w:t xml:space="preserve">and blank </w:t>
      </w:r>
      <w:r w:rsidR="00C35878" w:rsidRPr="006350BE">
        <w:t>paper</w:t>
      </w:r>
      <w:r w:rsidR="000E151A" w:rsidRPr="006350BE">
        <w:t>.</w:t>
      </w:r>
      <w:r w:rsidR="0057447D" w:rsidRPr="006350BE">
        <w:t xml:space="preserve"> </w:t>
      </w:r>
      <w:r w:rsidR="000E151A" w:rsidRPr="006350BE">
        <w:t xml:space="preserve">The </w:t>
      </w:r>
      <w:r w:rsidR="0057447D" w:rsidRPr="006350BE">
        <w:t>crossword</w:t>
      </w:r>
      <w:r w:rsidR="00C35878" w:rsidRPr="006350BE">
        <w:t xml:space="preserve"> puzzle</w:t>
      </w:r>
      <w:r w:rsidR="0057447D" w:rsidRPr="006350BE">
        <w:t xml:space="preserve">s were transferred for censorship. One day </w:t>
      </w:r>
      <w:r w:rsidR="004C2C7F" w:rsidRPr="006350BE">
        <w:t>later the second applicant received</w:t>
      </w:r>
      <w:r w:rsidR="0057447D" w:rsidRPr="006350BE">
        <w:t xml:space="preserve"> the </w:t>
      </w:r>
      <w:r w:rsidR="004C2C7F" w:rsidRPr="006350BE">
        <w:t>crossword</w:t>
      </w:r>
      <w:r w:rsidR="00C35878" w:rsidRPr="006350BE">
        <w:t xml:space="preserve"> puzzle</w:t>
      </w:r>
      <w:r w:rsidR="004C2C7F" w:rsidRPr="006350BE">
        <w:t>s</w:t>
      </w:r>
      <w:r w:rsidR="0057447D" w:rsidRPr="006350BE">
        <w:t>.</w:t>
      </w:r>
    </w:p>
    <w:p w:rsidR="002320D8"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24</w:t>
      </w:r>
      <w:r w:rsidRPr="006350BE">
        <w:rPr>
          <w:noProof/>
        </w:rPr>
        <w:fldChar w:fldCharType="end"/>
      </w:r>
      <w:r w:rsidR="009B231E" w:rsidRPr="006350BE">
        <w:t>.  </w:t>
      </w:r>
      <w:r w:rsidR="00912BDD" w:rsidRPr="006350BE">
        <w:t>Between July and Se</w:t>
      </w:r>
      <w:r w:rsidR="00CC0898" w:rsidRPr="006350BE">
        <w:t>p</w:t>
      </w:r>
      <w:r w:rsidR="00912BDD" w:rsidRPr="006350BE">
        <w:t xml:space="preserve">tember 2011 the Court received </w:t>
      </w:r>
      <w:r w:rsidR="002E7444" w:rsidRPr="006350BE">
        <w:t xml:space="preserve">letters from, </w:t>
      </w:r>
      <w:r w:rsidR="00912BDD" w:rsidRPr="006350BE">
        <w:t>and sent letters to</w:t>
      </w:r>
      <w:r w:rsidR="002E7444" w:rsidRPr="006350BE">
        <w:t>,</w:t>
      </w:r>
      <w:r w:rsidR="00912BDD" w:rsidRPr="006350BE">
        <w:t xml:space="preserve"> the second applicant</w:t>
      </w:r>
      <w:r w:rsidR="006350BE" w:rsidRPr="006350BE">
        <w:t>’</w:t>
      </w:r>
      <w:r w:rsidR="00912BDD" w:rsidRPr="006350BE">
        <w:t>s representative.</w:t>
      </w:r>
    </w:p>
    <w:p w:rsidR="007D18B6" w:rsidRPr="006350BE" w:rsidRDefault="007D18B6" w:rsidP="006350BE">
      <w:pPr>
        <w:pStyle w:val="ECHRPara"/>
      </w:pPr>
      <w:r w:rsidRPr="006350BE">
        <w:lastRenderedPageBreak/>
        <w:fldChar w:fldCharType="begin"/>
      </w:r>
      <w:r w:rsidRPr="006350BE">
        <w:instrText xml:space="preserve"> SEQ level0 \*arabic </w:instrText>
      </w:r>
      <w:r w:rsidRPr="006350BE">
        <w:fldChar w:fldCharType="separate"/>
      </w:r>
      <w:r w:rsidR="006350BE" w:rsidRPr="006350BE">
        <w:rPr>
          <w:noProof/>
        </w:rPr>
        <w:t>25</w:t>
      </w:r>
      <w:r w:rsidRPr="006350BE">
        <w:fldChar w:fldCharType="end"/>
      </w:r>
      <w:r w:rsidRPr="006350BE">
        <w:t>.  </w:t>
      </w:r>
      <w:r w:rsidR="008219A8" w:rsidRPr="006350BE">
        <w:t xml:space="preserve">On </w:t>
      </w:r>
      <w:r w:rsidR="00B83EF3" w:rsidRPr="006350BE">
        <w:t>8</w:t>
      </w:r>
      <w:r w:rsidR="008219A8" w:rsidRPr="006350BE">
        <w:t xml:space="preserve"> December 2011 </w:t>
      </w:r>
      <w:r w:rsidR="00D63A78" w:rsidRPr="006350BE">
        <w:t xml:space="preserve">the </w:t>
      </w:r>
      <w:r w:rsidR="00912BDD" w:rsidRPr="006350BE">
        <w:t xml:space="preserve">second </w:t>
      </w:r>
      <w:r w:rsidR="00D63A78" w:rsidRPr="006350BE">
        <w:t>applicant</w:t>
      </w:r>
      <w:r w:rsidR="006350BE" w:rsidRPr="006350BE">
        <w:t>’</w:t>
      </w:r>
      <w:r w:rsidR="00D63A78" w:rsidRPr="006350BE">
        <w:t xml:space="preserve">s complaints were </w:t>
      </w:r>
      <w:r w:rsidR="006F2CB8" w:rsidRPr="006350BE">
        <w:t xml:space="preserve">forwarded </w:t>
      </w:r>
      <w:r w:rsidR="008219A8" w:rsidRPr="006350BE">
        <w:t>to the Government</w:t>
      </w:r>
      <w:r w:rsidR="00FC0CDA" w:rsidRPr="006350BE">
        <w:t xml:space="preserve"> for further observations</w:t>
      </w:r>
      <w:r w:rsidR="008219A8" w:rsidRPr="006350BE">
        <w:t>. By that time</w:t>
      </w:r>
      <w:r w:rsidR="002E7444" w:rsidRPr="006350BE">
        <w:t>,</w:t>
      </w:r>
      <w:r w:rsidR="008219A8" w:rsidRPr="006350BE">
        <w:t xml:space="preserve"> the </w:t>
      </w:r>
      <w:r w:rsidR="00912BDD" w:rsidRPr="006350BE">
        <w:t xml:space="preserve">second </w:t>
      </w:r>
      <w:r w:rsidR="008219A8" w:rsidRPr="006350BE">
        <w:t xml:space="preserve">applicant had sent sixteen letters to the Registry of the Court through his relatives, </w:t>
      </w:r>
      <w:r w:rsidR="006F2CB8" w:rsidRPr="006350BE">
        <w:t xml:space="preserve">his </w:t>
      </w:r>
      <w:r w:rsidR="008219A8" w:rsidRPr="006350BE">
        <w:t xml:space="preserve">representative and the administration of the correctional </w:t>
      </w:r>
      <w:r w:rsidR="00E071DB" w:rsidRPr="006350BE">
        <w:rPr>
          <w:lang w:val="en-US"/>
        </w:rPr>
        <w:t>colony</w:t>
      </w:r>
      <w:r w:rsidR="008219A8" w:rsidRPr="006350BE">
        <w:t>.</w:t>
      </w:r>
    </w:p>
    <w:p w:rsidR="00776700"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26</w:t>
      </w:r>
      <w:r w:rsidRPr="006350BE">
        <w:rPr>
          <w:noProof/>
        </w:rPr>
        <w:fldChar w:fldCharType="end"/>
      </w:r>
      <w:r w:rsidR="008219A8" w:rsidRPr="006350BE">
        <w:t>.  </w:t>
      </w:r>
      <w:r w:rsidR="006F2CB8" w:rsidRPr="006350BE">
        <w:t>Between</w:t>
      </w:r>
      <w:r w:rsidR="008219A8" w:rsidRPr="006350BE">
        <w:t xml:space="preserve"> 31 July 2007</w:t>
      </w:r>
      <w:r w:rsidR="000E151A" w:rsidRPr="006350BE">
        <w:t>,</w:t>
      </w:r>
      <w:r w:rsidR="008219A8" w:rsidRPr="006350BE">
        <w:t xml:space="preserve"> </w:t>
      </w:r>
      <w:r w:rsidR="006F2CB8" w:rsidRPr="006350BE">
        <w:t xml:space="preserve">the date on which </w:t>
      </w:r>
      <w:r w:rsidR="008219A8" w:rsidRPr="006350BE">
        <w:t>the application with the Court</w:t>
      </w:r>
      <w:r w:rsidR="006F2CB8" w:rsidRPr="006350BE">
        <w:t xml:space="preserve"> was lodged</w:t>
      </w:r>
      <w:r w:rsidR="000E151A" w:rsidRPr="006350BE">
        <w:t>,</w:t>
      </w:r>
      <w:r w:rsidR="008219A8" w:rsidRPr="006350BE">
        <w:t xml:space="preserve"> </w:t>
      </w:r>
      <w:r w:rsidR="006F2CB8" w:rsidRPr="006350BE">
        <w:t xml:space="preserve">and 8 December 2011, </w:t>
      </w:r>
      <w:r w:rsidR="008219A8" w:rsidRPr="006350BE">
        <w:t xml:space="preserve">the date </w:t>
      </w:r>
      <w:r w:rsidR="006F2CB8" w:rsidRPr="006350BE">
        <w:t xml:space="preserve">on which the complaints were forwarded to the Government, </w:t>
      </w:r>
      <w:r w:rsidR="008219A8" w:rsidRPr="006350BE">
        <w:t xml:space="preserve">the Registry of the Court sent nineteen letters to the </w:t>
      </w:r>
      <w:r w:rsidR="00912BDD" w:rsidRPr="006350BE">
        <w:t xml:space="preserve">second </w:t>
      </w:r>
      <w:r w:rsidR="008219A8" w:rsidRPr="006350BE">
        <w:t>applicant either acknowledging receipt of letters or requesting documents.</w:t>
      </w:r>
    </w:p>
    <w:p w:rsidR="00E854BF" w:rsidRPr="001524AD" w:rsidRDefault="00FE7E1E" w:rsidP="001524AD">
      <w:pPr>
        <w:pStyle w:val="ECHRHeading2"/>
      </w:pPr>
      <w:r w:rsidRPr="001524AD">
        <w:t>D</w:t>
      </w:r>
      <w:r w:rsidR="00E854BF" w:rsidRPr="001524AD">
        <w:t>.</w:t>
      </w:r>
      <w:r w:rsidRPr="001524AD">
        <w:t> </w:t>
      </w:r>
      <w:r w:rsidR="00E854BF" w:rsidRPr="001524AD">
        <w:t xml:space="preserve"> The </w:t>
      </w:r>
      <w:r w:rsidR="00D26818" w:rsidRPr="001524AD">
        <w:t xml:space="preserve">second </w:t>
      </w:r>
      <w:r w:rsidR="00E854BF" w:rsidRPr="001524AD">
        <w:t>applicant</w:t>
      </w:r>
      <w:r w:rsidR="006350BE" w:rsidRPr="001524AD">
        <w:t>’</w:t>
      </w:r>
      <w:r w:rsidR="00E854BF" w:rsidRPr="001524AD">
        <w:t xml:space="preserve">s alleged ill-treatment in </w:t>
      </w:r>
      <w:r w:rsidR="002E7444" w:rsidRPr="001524AD">
        <w:t>the</w:t>
      </w:r>
      <w:r w:rsidR="00E854BF" w:rsidRPr="001524AD">
        <w:t xml:space="preserve"> correctional colony</w:t>
      </w:r>
    </w:p>
    <w:p w:rsidR="009776F7" w:rsidRPr="006350BE" w:rsidRDefault="009776F7" w:rsidP="006350BE">
      <w:pPr>
        <w:pStyle w:val="ECHRHeading3"/>
      </w:pPr>
      <w:r w:rsidRPr="006350BE">
        <w:t>1. </w:t>
      </w:r>
      <w:r w:rsidR="000C6580" w:rsidRPr="006350BE">
        <w:t> </w:t>
      </w:r>
      <w:r w:rsidRPr="006350BE">
        <w:t>Alleged ill-treatment of May 2006 and December 2007</w:t>
      </w:r>
    </w:p>
    <w:bookmarkStart w:id="6" w:name="Forensic"/>
    <w:p w:rsidR="000C6580" w:rsidRPr="006350BE" w:rsidRDefault="00A42081"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27</w:t>
      </w:r>
      <w:r w:rsidRPr="006350BE">
        <w:rPr>
          <w:noProof/>
        </w:rPr>
        <w:fldChar w:fldCharType="end"/>
      </w:r>
      <w:bookmarkEnd w:id="6"/>
      <w:r w:rsidR="00E248BC" w:rsidRPr="006350BE">
        <w:t>.  </w:t>
      </w:r>
      <w:r w:rsidR="00C01F9F" w:rsidRPr="006350BE">
        <w:t xml:space="preserve">On 15 May 2006 </w:t>
      </w:r>
      <w:r w:rsidR="00AC479C" w:rsidRPr="006350BE">
        <w:t>and 27 December 2007</w:t>
      </w:r>
      <w:r w:rsidR="008B7A70" w:rsidRPr="006350BE">
        <w:t>,</w:t>
      </w:r>
      <w:r w:rsidR="00AC479C" w:rsidRPr="006350BE">
        <w:t xml:space="preserve"> </w:t>
      </w:r>
      <w:r w:rsidR="002E7444" w:rsidRPr="006350BE">
        <w:t xml:space="preserve">while undergoing a </w:t>
      </w:r>
      <w:r w:rsidR="008B7A70" w:rsidRPr="006350BE">
        <w:t xml:space="preserve">personal inspection, </w:t>
      </w:r>
      <w:r w:rsidR="00B579CF" w:rsidRPr="006350BE">
        <w:t>the applicant</w:t>
      </w:r>
      <w:r w:rsidR="008B7A70" w:rsidRPr="006350BE">
        <w:rPr>
          <w:lang w:val="en-US"/>
        </w:rPr>
        <w:t xml:space="preserve"> </w:t>
      </w:r>
      <w:r w:rsidR="00C35878" w:rsidRPr="006350BE">
        <w:t>had altercation</w:t>
      </w:r>
      <w:r w:rsidR="000E151A" w:rsidRPr="006350BE">
        <w:t>s</w:t>
      </w:r>
      <w:r w:rsidR="00C35878" w:rsidRPr="006350BE">
        <w:t xml:space="preserve"> with the guards.</w:t>
      </w:r>
    </w:p>
    <w:bookmarkStart w:id="7" w:name="ill_treatment_decision"/>
    <w:p w:rsidR="00A06B88" w:rsidRPr="006350BE" w:rsidRDefault="00991F4A" w:rsidP="006350BE">
      <w:pPr>
        <w:pStyle w:val="ECHRPara"/>
        <w:rPr>
          <w:lang w:val="en-US"/>
        </w:rPr>
      </w:pPr>
      <w:r w:rsidRPr="006350BE">
        <w:fldChar w:fldCharType="begin"/>
      </w:r>
      <w:r w:rsidRPr="006350BE">
        <w:instrText xml:space="preserve"> SEQ level0 \*arabic </w:instrText>
      </w:r>
      <w:r w:rsidRPr="006350BE">
        <w:fldChar w:fldCharType="separate"/>
      </w:r>
      <w:r w:rsidR="006350BE" w:rsidRPr="006350BE">
        <w:rPr>
          <w:noProof/>
        </w:rPr>
        <w:t>28</w:t>
      </w:r>
      <w:r w:rsidRPr="006350BE">
        <w:rPr>
          <w:noProof/>
        </w:rPr>
        <w:fldChar w:fldCharType="end"/>
      </w:r>
      <w:bookmarkEnd w:id="7"/>
      <w:r w:rsidR="00E248BC" w:rsidRPr="006350BE">
        <w:t>.  </w:t>
      </w:r>
      <w:r w:rsidR="00326AC2" w:rsidRPr="006350BE">
        <w:t xml:space="preserve">On 15 May 2006 the deputy head of the administration decided to </w:t>
      </w:r>
      <w:r w:rsidR="00C404BE" w:rsidRPr="006350BE">
        <w:t xml:space="preserve">terminate </w:t>
      </w:r>
      <w:r w:rsidR="002E7444" w:rsidRPr="006350BE">
        <w:t xml:space="preserve">an inquiry </w:t>
      </w:r>
      <w:r w:rsidR="00CF7CC9" w:rsidRPr="006350BE">
        <w:t>in</w:t>
      </w:r>
      <w:r w:rsidR="002E7444" w:rsidRPr="006350BE">
        <w:t>to</w:t>
      </w:r>
      <w:r w:rsidR="00CF7CC9" w:rsidRPr="006350BE">
        <w:t xml:space="preserve"> </w:t>
      </w:r>
      <w:r w:rsidR="00910E64" w:rsidRPr="006350BE">
        <w:t xml:space="preserve">a complaint of ill-treatment lodged by the </w:t>
      </w:r>
      <w:r w:rsidR="00CF7CC9" w:rsidRPr="006350BE">
        <w:t>second applicant.</w:t>
      </w:r>
      <w:r w:rsidR="009776F7" w:rsidRPr="006350BE">
        <w:t xml:space="preserve"> </w:t>
      </w:r>
      <w:r w:rsidR="002E7444" w:rsidRPr="006350BE">
        <w:t xml:space="preserve">The </w:t>
      </w:r>
      <w:r w:rsidR="009776F7" w:rsidRPr="006350BE">
        <w:t>decision stated as follows:</w:t>
      </w:r>
    </w:p>
    <w:p w:rsidR="008B0FD0" w:rsidRPr="006350BE" w:rsidRDefault="00160369" w:rsidP="006350BE">
      <w:pPr>
        <w:pStyle w:val="ECHRParaQuote"/>
      </w:pPr>
      <w:r w:rsidRPr="006350BE">
        <w:t>“</w:t>
      </w:r>
      <w:r w:rsidR="00910E64" w:rsidRPr="006350BE">
        <w:t>At 6.40 a.m. o</w:t>
      </w:r>
      <w:r w:rsidR="008B0FD0" w:rsidRPr="006350BE">
        <w:t>n 15 May 2006</w:t>
      </w:r>
      <w:r w:rsidR="00D03951" w:rsidRPr="006350BE">
        <w:t xml:space="preserve"> </w:t>
      </w:r>
      <w:r w:rsidR="008B0FD0" w:rsidRPr="006350BE">
        <w:t xml:space="preserve">[the second applicant], while being </w:t>
      </w:r>
      <w:r w:rsidR="00994B80" w:rsidRPr="006350BE">
        <w:t xml:space="preserve">inspected </w:t>
      </w:r>
      <w:r w:rsidR="008B0FD0" w:rsidRPr="006350BE">
        <w:t>by the guards of the correctional colony, resisted, push</w:t>
      </w:r>
      <w:r w:rsidR="002C07CD" w:rsidRPr="006350BE">
        <w:t>ed</w:t>
      </w:r>
      <w:r w:rsidR="008B0FD0" w:rsidRPr="006350BE">
        <w:t xml:space="preserve"> back one of the guards, Mr Mar., and tried to kick him. </w:t>
      </w:r>
      <w:r w:rsidR="000E151A" w:rsidRPr="006350BE">
        <w:t>[</w:t>
      </w:r>
      <w:r w:rsidR="008B0FD0" w:rsidRPr="006350BE">
        <w:t xml:space="preserve">The </w:t>
      </w:r>
      <w:r w:rsidR="00FD6402" w:rsidRPr="006350BE">
        <w:t xml:space="preserve">second </w:t>
      </w:r>
      <w:r w:rsidR="008B0FD0" w:rsidRPr="006350BE">
        <w:t>applicant</w:t>
      </w:r>
      <w:r w:rsidR="000E151A" w:rsidRPr="006350BE">
        <w:t>]</w:t>
      </w:r>
      <w:r w:rsidR="008B0FD0" w:rsidRPr="006350BE">
        <w:t xml:space="preserve"> was urged to stop </w:t>
      </w:r>
      <w:r w:rsidR="00910E64" w:rsidRPr="006350BE">
        <w:t xml:space="preserve">his </w:t>
      </w:r>
      <w:r w:rsidR="008B0FD0" w:rsidRPr="006350BE">
        <w:t xml:space="preserve">resistance; however he continued. Therefore [a rubber truncheon] was used. </w:t>
      </w:r>
      <w:r w:rsidR="00427F8E" w:rsidRPr="006350BE">
        <w:t xml:space="preserve">Eyewitnesses, </w:t>
      </w:r>
      <w:r w:rsidR="00A34838" w:rsidRPr="006350BE">
        <w:t xml:space="preserve">prison guards </w:t>
      </w:r>
      <w:r w:rsidR="00427F8E" w:rsidRPr="006350BE">
        <w:t>Mr Mar. and Mr S.</w:t>
      </w:r>
      <w:r w:rsidR="00255CA1" w:rsidRPr="006350BE">
        <w:t>,</w:t>
      </w:r>
      <w:r w:rsidR="00427F8E" w:rsidRPr="006350BE">
        <w:t xml:space="preserve"> </w:t>
      </w:r>
      <w:r w:rsidR="002C07CD" w:rsidRPr="006350BE">
        <w:t xml:space="preserve">confirmed </w:t>
      </w:r>
      <w:r w:rsidR="00427F8E" w:rsidRPr="006350BE">
        <w:t>the above</w:t>
      </w:r>
      <w:r w:rsidR="00910E64" w:rsidRPr="006350BE">
        <w:t>-</w:t>
      </w:r>
      <w:r w:rsidR="00427F8E" w:rsidRPr="006350BE">
        <w:t xml:space="preserve">mentioned facts. </w:t>
      </w:r>
      <w:r w:rsidR="008B0FD0" w:rsidRPr="006350BE">
        <w:t>According to forensic medical examinations conducted on the same day</w:t>
      </w:r>
      <w:r w:rsidR="002C07CD" w:rsidRPr="006350BE">
        <w:t>,</w:t>
      </w:r>
      <w:r w:rsidR="008B0FD0" w:rsidRPr="006350BE">
        <w:t xml:space="preserve"> the </w:t>
      </w:r>
      <w:r w:rsidR="00FD6402" w:rsidRPr="006350BE">
        <w:t xml:space="preserve">[second </w:t>
      </w:r>
      <w:r w:rsidR="008B0FD0" w:rsidRPr="006350BE">
        <w:t>applicant</w:t>
      </w:r>
      <w:r w:rsidR="00FD6402" w:rsidRPr="006350BE">
        <w:t>]</w:t>
      </w:r>
      <w:r w:rsidR="008B0FD0" w:rsidRPr="006350BE">
        <w:t xml:space="preserve"> </w:t>
      </w:r>
      <w:r w:rsidR="002C07CD" w:rsidRPr="006350BE">
        <w:t>had</w:t>
      </w:r>
      <w:r w:rsidR="008B0FD0" w:rsidRPr="006350BE">
        <w:t xml:space="preserve"> bruises measuring </w:t>
      </w:r>
      <w:r w:rsidR="00D03951" w:rsidRPr="006350BE">
        <w:t>8</w:t>
      </w:r>
      <w:r w:rsidR="00CC2EFE" w:rsidRPr="006350BE">
        <w:t xml:space="preserve"> by </w:t>
      </w:r>
      <w:r w:rsidR="00D03951" w:rsidRPr="006350BE">
        <w:t>2.</w:t>
      </w:r>
      <w:r w:rsidR="00427F8E" w:rsidRPr="006350BE">
        <w:t xml:space="preserve">7 cm </w:t>
      </w:r>
      <w:r w:rsidR="008B0FD0" w:rsidRPr="006350BE">
        <w:t xml:space="preserve">and </w:t>
      </w:r>
      <w:r w:rsidR="005E46E2" w:rsidRPr="006350BE">
        <w:t>10</w:t>
      </w:r>
      <w:r w:rsidR="00CC2EFE" w:rsidRPr="006350BE">
        <w:t xml:space="preserve"> by </w:t>
      </w:r>
      <w:r w:rsidR="00427F8E" w:rsidRPr="006350BE">
        <w:t>2</w:t>
      </w:r>
      <w:r w:rsidR="00D03951" w:rsidRPr="006350BE">
        <w:t>.</w:t>
      </w:r>
      <w:r w:rsidR="00427F8E" w:rsidRPr="006350BE">
        <w:t>7</w:t>
      </w:r>
      <w:r w:rsidR="008B0FD0" w:rsidRPr="006350BE">
        <w:t xml:space="preserve"> cm on his hips. The experts concluded that the applicant did not need any medical treatment.</w:t>
      </w:r>
    </w:p>
    <w:p w:rsidR="00776700" w:rsidRPr="006350BE" w:rsidRDefault="000E151A" w:rsidP="006350BE">
      <w:pPr>
        <w:pStyle w:val="ECHRParaQuote"/>
      </w:pPr>
      <w:r w:rsidRPr="006350BE">
        <w:t>In view of</w:t>
      </w:r>
      <w:r w:rsidR="00160369" w:rsidRPr="006350BE">
        <w:t xml:space="preserve"> the </w:t>
      </w:r>
      <w:r w:rsidR="00160369" w:rsidRPr="006350BE">
        <w:rPr>
          <w:lang w:val="en-US"/>
        </w:rPr>
        <w:t xml:space="preserve">circumstances of the case and </w:t>
      </w:r>
      <w:r w:rsidR="002C07CD" w:rsidRPr="006350BE">
        <w:rPr>
          <w:lang w:val="en-US"/>
        </w:rPr>
        <w:t>[applicable laws]</w:t>
      </w:r>
      <w:r w:rsidR="00D9719E" w:rsidRPr="006350BE">
        <w:t xml:space="preserve">, </w:t>
      </w:r>
      <w:r w:rsidR="00B25EEC" w:rsidRPr="006350BE">
        <w:t xml:space="preserve">the measures </w:t>
      </w:r>
      <w:r w:rsidR="00B76330" w:rsidRPr="006350BE">
        <w:t xml:space="preserve">[of restraint] </w:t>
      </w:r>
      <w:r w:rsidR="00B25EEC" w:rsidRPr="006350BE">
        <w:t xml:space="preserve">taken against </w:t>
      </w:r>
      <w:r w:rsidR="002C07CD" w:rsidRPr="006350BE">
        <w:t>[</w:t>
      </w:r>
      <w:r w:rsidR="00B25EEC" w:rsidRPr="006350BE">
        <w:t>the applicant</w:t>
      </w:r>
      <w:r w:rsidR="002C07CD" w:rsidRPr="006350BE">
        <w:t>]</w:t>
      </w:r>
      <w:r w:rsidR="00B25EEC" w:rsidRPr="006350BE">
        <w:t xml:space="preserve"> were lawful</w:t>
      </w:r>
      <w:r w:rsidR="00D9719E" w:rsidRPr="006350BE">
        <w:t>”</w:t>
      </w:r>
      <w:r w:rsidR="00B25EEC" w:rsidRPr="006350BE">
        <w:t>.</w:t>
      </w:r>
      <w:bookmarkStart w:id="8" w:name="ill_treatment1"/>
    </w:p>
    <w:bookmarkStart w:id="9" w:name="ill_treatment_other"/>
    <w:p w:rsidR="00496341" w:rsidRPr="006350BE" w:rsidRDefault="00496341"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29</w:t>
      </w:r>
      <w:r w:rsidRPr="006350BE">
        <w:fldChar w:fldCharType="end"/>
      </w:r>
      <w:bookmarkEnd w:id="9"/>
      <w:r w:rsidRPr="006350BE">
        <w:t xml:space="preserve">.  On 27 December 2007 </w:t>
      </w:r>
      <w:r w:rsidR="00CA0917" w:rsidRPr="006350BE">
        <w:t xml:space="preserve">a </w:t>
      </w:r>
      <w:r w:rsidRPr="006350BE">
        <w:t xml:space="preserve">forensic medical examination concluded that the first applicant had </w:t>
      </w:r>
      <w:r w:rsidR="00D170E0" w:rsidRPr="006350BE">
        <w:t>sustained</w:t>
      </w:r>
      <w:r w:rsidRPr="006350BE">
        <w:t xml:space="preserve"> bruises measuring </w:t>
      </w:r>
      <w:r w:rsidR="00CA0917" w:rsidRPr="006350BE">
        <w:t xml:space="preserve">between </w:t>
      </w:r>
      <w:r w:rsidRPr="006350BE">
        <w:t>3</w:t>
      </w:r>
      <w:r w:rsidR="00CA0917" w:rsidRPr="006350BE">
        <w:t xml:space="preserve"> by </w:t>
      </w:r>
      <w:r w:rsidRPr="006350BE">
        <w:t xml:space="preserve">10 cm </w:t>
      </w:r>
      <w:r w:rsidR="00CA0917" w:rsidRPr="006350BE">
        <w:t>and</w:t>
      </w:r>
      <w:r w:rsidRPr="006350BE">
        <w:t xml:space="preserve"> 3</w:t>
      </w:r>
      <w:r w:rsidR="002E7444" w:rsidRPr="006350BE">
        <w:t xml:space="preserve"> by </w:t>
      </w:r>
      <w:r w:rsidRPr="006350BE">
        <w:t>15 cm on his hips.</w:t>
      </w:r>
    </w:p>
    <w:bookmarkStart w:id="10" w:name="ill_treatment_dec"/>
    <w:p w:rsidR="000C6580" w:rsidRPr="006350BE" w:rsidRDefault="00496341"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30</w:t>
      </w:r>
      <w:r w:rsidRPr="006350BE">
        <w:fldChar w:fldCharType="end"/>
      </w:r>
      <w:bookmarkEnd w:id="10"/>
      <w:r w:rsidRPr="006350BE">
        <w:t>.  </w:t>
      </w:r>
      <w:r w:rsidR="00D03951" w:rsidRPr="006350BE">
        <w:t xml:space="preserve">On 28 December 2007 the deputy head of the administration decided </w:t>
      </w:r>
      <w:r w:rsidR="008B15A0" w:rsidRPr="006350BE">
        <w:t xml:space="preserve">to terminate </w:t>
      </w:r>
      <w:r w:rsidR="00D03951" w:rsidRPr="006350BE">
        <w:t xml:space="preserve">yet another </w:t>
      </w:r>
      <w:r w:rsidR="00CA0917" w:rsidRPr="006350BE">
        <w:t xml:space="preserve">inquiry into </w:t>
      </w:r>
      <w:r w:rsidR="00D03951" w:rsidRPr="006350BE">
        <w:t>the second applicant</w:t>
      </w:r>
      <w:r w:rsidR="006350BE" w:rsidRPr="006350BE">
        <w:t>’</w:t>
      </w:r>
      <w:r w:rsidR="00D03951" w:rsidRPr="006350BE">
        <w:t xml:space="preserve">s alleged </w:t>
      </w:r>
      <w:r w:rsidR="00C73852" w:rsidRPr="006350BE">
        <w:t>ill</w:t>
      </w:r>
      <w:r w:rsidR="00C73852" w:rsidRPr="006350BE">
        <w:noBreakHyphen/>
      </w:r>
      <w:r w:rsidR="00D03951" w:rsidRPr="006350BE">
        <w:t>treatment of 27 December 2007</w:t>
      </w:r>
      <w:r w:rsidR="002C07CD" w:rsidRPr="006350BE">
        <w:t>. He dismissed the applicant</w:t>
      </w:r>
      <w:r w:rsidR="006350BE" w:rsidRPr="006350BE">
        <w:t>’</w:t>
      </w:r>
      <w:r w:rsidR="002C07CD" w:rsidRPr="006350BE">
        <w:t>s allegations</w:t>
      </w:r>
      <w:r w:rsidR="00CA0917" w:rsidRPr="006350BE">
        <w:t>,</w:t>
      </w:r>
      <w:r w:rsidR="002C07CD" w:rsidRPr="006350BE">
        <w:t xml:space="preserve"> reiterating verbatim the text of the decision of 15 May 2006.</w:t>
      </w:r>
    </w:p>
    <w:p w:rsidR="002C07CD" w:rsidRPr="006350BE" w:rsidRDefault="002F6B40" w:rsidP="006350BE">
      <w:pPr>
        <w:pStyle w:val="ECHRPara"/>
        <w:rPr>
          <w:lang w:val="en-US"/>
        </w:rPr>
      </w:pPr>
      <w:r w:rsidRPr="006350BE">
        <w:fldChar w:fldCharType="begin"/>
      </w:r>
      <w:r w:rsidRPr="006350BE">
        <w:instrText xml:space="preserve"> SEQ level0 \*arabic </w:instrText>
      </w:r>
      <w:r w:rsidRPr="006350BE">
        <w:fldChar w:fldCharType="separate"/>
      </w:r>
      <w:r w:rsidR="006350BE" w:rsidRPr="006350BE">
        <w:rPr>
          <w:noProof/>
        </w:rPr>
        <w:t>31</w:t>
      </w:r>
      <w:r w:rsidRPr="006350BE">
        <w:fldChar w:fldCharType="end"/>
      </w:r>
      <w:r w:rsidRPr="006350BE">
        <w:t>.  </w:t>
      </w:r>
      <w:r w:rsidR="00255CA1" w:rsidRPr="006350BE">
        <w:t xml:space="preserve">On 27 January 2008 the </w:t>
      </w:r>
      <w:r w:rsidR="002C07CD" w:rsidRPr="006350BE">
        <w:t xml:space="preserve">regional </w:t>
      </w:r>
      <w:r w:rsidR="00255CA1" w:rsidRPr="006350BE">
        <w:t xml:space="preserve">assistant prosecutor, </w:t>
      </w:r>
      <w:r w:rsidR="00CA0917" w:rsidRPr="006350BE">
        <w:t xml:space="preserve">repeating </w:t>
      </w:r>
      <w:r w:rsidR="006B5E24" w:rsidRPr="006350BE">
        <w:t xml:space="preserve">virtually </w:t>
      </w:r>
      <w:r w:rsidR="00255CA1" w:rsidRPr="006350BE">
        <w:t xml:space="preserve">the </w:t>
      </w:r>
      <w:r w:rsidR="006B5E24" w:rsidRPr="006350BE">
        <w:t xml:space="preserve">same </w:t>
      </w:r>
      <w:r w:rsidR="00255CA1" w:rsidRPr="006350BE">
        <w:t xml:space="preserve">facts and findings </w:t>
      </w:r>
      <w:r w:rsidR="00CA0917" w:rsidRPr="006350BE">
        <w:t xml:space="preserve">as those in </w:t>
      </w:r>
      <w:r w:rsidR="00255CA1" w:rsidRPr="006350BE">
        <w:t>the decision of 28</w:t>
      </w:r>
      <w:r w:rsidR="00660A42" w:rsidRPr="006350BE">
        <w:t> </w:t>
      </w:r>
      <w:r w:rsidR="00255CA1" w:rsidRPr="006350BE">
        <w:t>December 200</w:t>
      </w:r>
      <w:r w:rsidR="00765299" w:rsidRPr="006350BE">
        <w:t>7</w:t>
      </w:r>
      <w:r w:rsidR="00255CA1" w:rsidRPr="006350BE">
        <w:t xml:space="preserve">, acknowledged </w:t>
      </w:r>
      <w:r w:rsidR="00CA0917" w:rsidRPr="006350BE">
        <w:t xml:space="preserve">the </w:t>
      </w:r>
      <w:r w:rsidR="00255CA1" w:rsidRPr="006350BE">
        <w:t xml:space="preserve">lawfulness of the </w:t>
      </w:r>
      <w:r w:rsidR="00E8728F" w:rsidRPr="006350BE">
        <w:t>measures</w:t>
      </w:r>
      <w:r w:rsidR="00255CA1" w:rsidRPr="006350BE">
        <w:t xml:space="preserve"> taken by the guards of the correctional facility on 27 December 200</w:t>
      </w:r>
      <w:r w:rsidRPr="006350BE">
        <w:t>7</w:t>
      </w:r>
      <w:r w:rsidR="00255CA1" w:rsidRPr="006350BE">
        <w:t>.</w:t>
      </w:r>
    </w:p>
    <w:bookmarkStart w:id="11" w:name="ill_treatment_appeal"/>
    <w:p w:rsidR="002C07CD" w:rsidRPr="006350BE" w:rsidRDefault="002C07CD"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32</w:t>
      </w:r>
      <w:r w:rsidRPr="006350BE">
        <w:rPr>
          <w:noProof/>
        </w:rPr>
        <w:fldChar w:fldCharType="end"/>
      </w:r>
      <w:bookmarkEnd w:id="11"/>
      <w:r w:rsidRPr="006350BE">
        <w:t>.  On 16 November 2010 the second applicant sought to institute criminal proceedings in respect of his alleged ill-treatment on 15</w:t>
      </w:r>
      <w:r w:rsidR="009776F7" w:rsidRPr="006350BE">
        <w:t> </w:t>
      </w:r>
      <w:r w:rsidRPr="006350BE">
        <w:t>May 2006 and 2</w:t>
      </w:r>
      <w:r w:rsidR="008D53E9" w:rsidRPr="006350BE">
        <w:t>7</w:t>
      </w:r>
      <w:r w:rsidRPr="006350BE">
        <w:t xml:space="preserve"> December 2007.</w:t>
      </w:r>
    </w:p>
    <w:bookmarkStart w:id="12" w:name="Investigator"/>
    <w:bookmarkEnd w:id="8"/>
    <w:p w:rsidR="00776700" w:rsidRPr="006350BE" w:rsidRDefault="00991F4A" w:rsidP="006350BE">
      <w:pPr>
        <w:pStyle w:val="ECHRPara"/>
      </w:pPr>
      <w:r w:rsidRPr="006350BE">
        <w:lastRenderedPageBreak/>
        <w:fldChar w:fldCharType="begin"/>
      </w:r>
      <w:r w:rsidRPr="006350BE">
        <w:instrText xml:space="preserve"> SEQ level0 \*arabic </w:instrText>
      </w:r>
      <w:r w:rsidRPr="006350BE">
        <w:fldChar w:fldCharType="separate"/>
      </w:r>
      <w:r w:rsidR="006350BE" w:rsidRPr="006350BE">
        <w:rPr>
          <w:noProof/>
        </w:rPr>
        <w:t>33</w:t>
      </w:r>
      <w:r w:rsidRPr="006350BE">
        <w:rPr>
          <w:noProof/>
        </w:rPr>
        <w:fldChar w:fldCharType="end"/>
      </w:r>
      <w:bookmarkEnd w:id="12"/>
      <w:r w:rsidR="00364EAF" w:rsidRPr="006350BE">
        <w:t>.  </w:t>
      </w:r>
      <w:r w:rsidR="004A7AD7" w:rsidRPr="006350BE">
        <w:t xml:space="preserve">On 17 November 2010, after </w:t>
      </w:r>
      <w:r w:rsidR="00CA0917" w:rsidRPr="006350BE">
        <w:t xml:space="preserve">a </w:t>
      </w:r>
      <w:r w:rsidR="004A7AD7" w:rsidRPr="006350BE">
        <w:t xml:space="preserve">pre-investigation inquiry, </w:t>
      </w:r>
      <w:r w:rsidR="00CA0917" w:rsidRPr="006350BE">
        <w:t xml:space="preserve">an </w:t>
      </w:r>
      <w:r w:rsidR="004A7AD7" w:rsidRPr="006350BE">
        <w:t xml:space="preserve">investigator </w:t>
      </w:r>
      <w:r w:rsidR="006327F5" w:rsidRPr="006350BE">
        <w:t xml:space="preserve">of the </w:t>
      </w:r>
      <w:r w:rsidR="002C07CD" w:rsidRPr="006350BE">
        <w:rPr>
          <w:lang w:val="en-US"/>
        </w:rPr>
        <w:t xml:space="preserve">regional </w:t>
      </w:r>
      <w:r w:rsidR="002C07CD" w:rsidRPr="006350BE">
        <w:t>investigative committee</w:t>
      </w:r>
      <w:r w:rsidR="006327F5" w:rsidRPr="006350BE">
        <w:t xml:space="preserve">, </w:t>
      </w:r>
      <w:r w:rsidR="00CA0917" w:rsidRPr="006350BE">
        <w:t xml:space="preserve">I., </w:t>
      </w:r>
      <w:r w:rsidR="004A7AD7" w:rsidRPr="006350BE">
        <w:t xml:space="preserve">refused to institute criminal proceedings due to the absence of </w:t>
      </w:r>
      <w:r w:rsidR="004A7AD7" w:rsidRPr="006350BE">
        <w:rPr>
          <w:i/>
        </w:rPr>
        <w:t xml:space="preserve">corpus </w:t>
      </w:r>
      <w:proofErr w:type="spellStart"/>
      <w:r w:rsidR="004A7AD7" w:rsidRPr="006350BE">
        <w:rPr>
          <w:i/>
        </w:rPr>
        <w:t>delicti</w:t>
      </w:r>
      <w:proofErr w:type="spellEnd"/>
      <w:r w:rsidR="004A7AD7" w:rsidRPr="006350BE">
        <w:t>.</w:t>
      </w:r>
      <w:r w:rsidR="00BE59A8" w:rsidRPr="006350BE">
        <w:t xml:space="preserve"> In his decision the investigator </w:t>
      </w:r>
      <w:r w:rsidR="002C07CD" w:rsidRPr="006350BE">
        <w:t>relied on the statements made by</w:t>
      </w:r>
      <w:r w:rsidR="00BE59A8" w:rsidRPr="006350BE">
        <w:t xml:space="preserve"> the second applicant and several guards of the correctional colony. He </w:t>
      </w:r>
      <w:r w:rsidR="00826D0D" w:rsidRPr="006350BE">
        <w:t>referred to</w:t>
      </w:r>
      <w:r w:rsidR="00BE59A8" w:rsidRPr="006350BE">
        <w:t xml:space="preserve"> the facts </w:t>
      </w:r>
      <w:r w:rsidR="00826D0D" w:rsidRPr="006350BE">
        <w:t>established by the</w:t>
      </w:r>
      <w:r w:rsidR="00BE59A8" w:rsidRPr="006350BE">
        <w:t xml:space="preserve"> decisions of 15 May 2006 and </w:t>
      </w:r>
      <w:r w:rsidR="008D53E9" w:rsidRPr="006350BE">
        <w:t>28</w:t>
      </w:r>
      <w:r w:rsidR="00BE59A8" w:rsidRPr="006350BE">
        <w:t> December 2007 (see paragraph</w:t>
      </w:r>
      <w:r w:rsidR="0001140F" w:rsidRPr="006350BE">
        <w:rPr>
          <w:lang w:val="en-US"/>
        </w:rPr>
        <w:t>s</w:t>
      </w:r>
      <w:r w:rsidR="00BE59A8" w:rsidRPr="006350BE">
        <w:t xml:space="preserve"> </w:t>
      </w:r>
      <w:r w:rsidR="00BE59A8" w:rsidRPr="006350BE">
        <w:fldChar w:fldCharType="begin"/>
      </w:r>
      <w:r w:rsidR="00BE59A8" w:rsidRPr="006350BE">
        <w:instrText xml:space="preserve"> REF ill_treatment_decision \h </w:instrText>
      </w:r>
      <w:r w:rsidR="00BE59A8" w:rsidRPr="006350BE">
        <w:fldChar w:fldCharType="separate"/>
      </w:r>
      <w:r w:rsidR="006350BE" w:rsidRPr="006350BE">
        <w:rPr>
          <w:noProof/>
        </w:rPr>
        <w:t>28</w:t>
      </w:r>
      <w:r w:rsidR="00BE59A8" w:rsidRPr="006350BE">
        <w:fldChar w:fldCharType="end"/>
      </w:r>
      <w:r w:rsidR="0001140F" w:rsidRPr="006350BE">
        <w:rPr>
          <w:lang w:val="en-US"/>
        </w:rPr>
        <w:t xml:space="preserve"> and </w:t>
      </w:r>
      <w:r w:rsidR="0001140F" w:rsidRPr="006350BE">
        <w:rPr>
          <w:lang w:val="en-US"/>
        </w:rPr>
        <w:fldChar w:fldCharType="begin"/>
      </w:r>
      <w:r w:rsidR="0001140F" w:rsidRPr="006350BE">
        <w:rPr>
          <w:lang w:val="en-US"/>
        </w:rPr>
        <w:instrText xml:space="preserve"> REF ill_treatment_dec \h </w:instrText>
      </w:r>
      <w:r w:rsidR="0001140F" w:rsidRPr="006350BE">
        <w:rPr>
          <w:lang w:val="en-US"/>
        </w:rPr>
      </w:r>
      <w:r w:rsidR="0001140F" w:rsidRPr="006350BE">
        <w:rPr>
          <w:lang w:val="en-US"/>
        </w:rPr>
        <w:fldChar w:fldCharType="separate"/>
      </w:r>
      <w:r w:rsidR="006350BE" w:rsidRPr="006350BE">
        <w:rPr>
          <w:noProof/>
        </w:rPr>
        <w:t>30</w:t>
      </w:r>
      <w:r w:rsidR="0001140F" w:rsidRPr="006350BE">
        <w:rPr>
          <w:lang w:val="en-US"/>
        </w:rPr>
        <w:fldChar w:fldCharType="end"/>
      </w:r>
      <w:r w:rsidR="0001140F" w:rsidRPr="006350BE">
        <w:rPr>
          <w:lang w:val="en-US"/>
        </w:rPr>
        <w:t xml:space="preserve"> above</w:t>
      </w:r>
      <w:r w:rsidR="00BE59A8" w:rsidRPr="006350BE">
        <w:t>).</w:t>
      </w:r>
      <w:r w:rsidR="006925C9" w:rsidRPr="006350BE">
        <w:t xml:space="preserve"> T</w:t>
      </w:r>
      <w:r w:rsidR="005E2D49" w:rsidRPr="006350BE">
        <w:t>he investigator</w:t>
      </w:r>
      <w:r w:rsidR="006350BE" w:rsidRPr="006350BE">
        <w:t>’</w:t>
      </w:r>
      <w:r w:rsidR="005E2D49" w:rsidRPr="006350BE">
        <w:t>s decision</w:t>
      </w:r>
      <w:r w:rsidR="006925C9" w:rsidRPr="006350BE">
        <w:t xml:space="preserve"> further </w:t>
      </w:r>
      <w:r w:rsidR="005E2D49" w:rsidRPr="006350BE">
        <w:t>reads as follows</w:t>
      </w:r>
      <w:r w:rsidR="006925C9" w:rsidRPr="006350BE">
        <w:t>:</w:t>
      </w:r>
    </w:p>
    <w:p w:rsidR="00793776" w:rsidRPr="006350BE" w:rsidRDefault="006925C9" w:rsidP="006350BE">
      <w:pPr>
        <w:pStyle w:val="ECHRParaQuote"/>
      </w:pPr>
      <w:r w:rsidRPr="006350BE">
        <w:t xml:space="preserve">“The authorities </w:t>
      </w:r>
      <w:r w:rsidR="00CA0917" w:rsidRPr="006350BE">
        <w:t xml:space="preserve">conducting the </w:t>
      </w:r>
      <w:r w:rsidRPr="006350BE">
        <w:t>preliminary</w:t>
      </w:r>
      <w:r w:rsidR="005E2D49" w:rsidRPr="006350BE">
        <w:t xml:space="preserve"> </w:t>
      </w:r>
      <w:r w:rsidR="00CA0917" w:rsidRPr="006350BE">
        <w:t xml:space="preserve">inquiry </w:t>
      </w:r>
      <w:r w:rsidR="005E2D49" w:rsidRPr="006350BE">
        <w:t xml:space="preserve">are sceptical about </w:t>
      </w:r>
      <w:r w:rsidR="007D23E2" w:rsidRPr="006350BE">
        <w:t>[the second applicant</w:t>
      </w:r>
      <w:r w:rsidR="006350BE" w:rsidRPr="006350BE">
        <w:t>’</w:t>
      </w:r>
      <w:r w:rsidR="006F6F5F" w:rsidRPr="006350BE">
        <w:t>s</w:t>
      </w:r>
      <w:r w:rsidR="007D23E2" w:rsidRPr="006350BE">
        <w:t>]</w:t>
      </w:r>
      <w:r w:rsidR="005E2D49" w:rsidRPr="006350BE">
        <w:t xml:space="preserve"> </w:t>
      </w:r>
      <w:r w:rsidR="006F6F5F" w:rsidRPr="006350BE">
        <w:t>allegations</w:t>
      </w:r>
      <w:r w:rsidR="005E2D49" w:rsidRPr="006350BE">
        <w:t xml:space="preserve">, since he tries to </w:t>
      </w:r>
      <w:r w:rsidR="005E2D49" w:rsidRPr="006350BE">
        <w:rPr>
          <w:lang w:val="en-US"/>
        </w:rPr>
        <w:t xml:space="preserve">conceal his discontent with the regime of the correctional colony and </w:t>
      </w:r>
      <w:r w:rsidR="006327F5" w:rsidRPr="006350BE">
        <w:t>complain</w:t>
      </w:r>
      <w:r w:rsidR="007D23E2" w:rsidRPr="006350BE">
        <w:t>s</w:t>
      </w:r>
      <w:r w:rsidR="006327F5" w:rsidRPr="006350BE">
        <w:t xml:space="preserve"> about the measures taken by the administration of the colony as being unlawful</w:t>
      </w:r>
      <w:r w:rsidR="00793776" w:rsidRPr="006350BE">
        <w:t>.</w:t>
      </w:r>
    </w:p>
    <w:p w:rsidR="00DA00F9" w:rsidRPr="006350BE" w:rsidRDefault="00793776" w:rsidP="006350BE">
      <w:pPr>
        <w:pStyle w:val="ECHRParaQuote"/>
        <w:rPr>
          <w:lang w:val="en-US"/>
        </w:rPr>
      </w:pPr>
      <w:r w:rsidRPr="006350BE">
        <w:rPr>
          <w:lang w:val="en-US"/>
        </w:rPr>
        <w:t xml:space="preserve">According to the statements of </w:t>
      </w:r>
      <w:r w:rsidR="00DA00F9" w:rsidRPr="006350BE">
        <w:rPr>
          <w:lang w:val="en-US"/>
        </w:rPr>
        <w:t>Mr</w:t>
      </w:r>
      <w:r w:rsidRPr="006350BE">
        <w:rPr>
          <w:lang w:val="en-US"/>
        </w:rPr>
        <w:t>. K</w:t>
      </w:r>
      <w:r w:rsidR="00DA00F9" w:rsidRPr="006350BE">
        <w:rPr>
          <w:lang w:val="en-US"/>
        </w:rPr>
        <w:t>an., a</w:t>
      </w:r>
      <w:r w:rsidR="00906D7D" w:rsidRPr="006350BE">
        <w:rPr>
          <w:lang w:val="en-US"/>
        </w:rPr>
        <w:t>n</w:t>
      </w:r>
      <w:r w:rsidR="00DA00F9" w:rsidRPr="006350BE">
        <w:rPr>
          <w:lang w:val="en-US"/>
        </w:rPr>
        <w:t xml:space="preserve"> employee of correctional colony IK-6, [the second applicant] is a </w:t>
      </w:r>
      <w:r w:rsidR="008B7A70" w:rsidRPr="006350BE">
        <w:rPr>
          <w:lang w:val="en-US"/>
        </w:rPr>
        <w:t xml:space="preserve">liar </w:t>
      </w:r>
      <w:r w:rsidR="00DA00F9" w:rsidRPr="006350BE">
        <w:rPr>
          <w:lang w:val="en-US"/>
        </w:rPr>
        <w:t xml:space="preserve">and </w:t>
      </w:r>
      <w:r w:rsidR="008D53E9" w:rsidRPr="006350BE">
        <w:rPr>
          <w:lang w:val="en-US"/>
        </w:rPr>
        <w:t xml:space="preserve">has a tendency </w:t>
      </w:r>
      <w:r w:rsidR="00DA00F9" w:rsidRPr="006350BE">
        <w:rPr>
          <w:lang w:val="en-US"/>
        </w:rPr>
        <w:t xml:space="preserve">to commit crime. Special measures have been taken against him due to his </w:t>
      </w:r>
      <w:r w:rsidR="00CA0917" w:rsidRPr="006350BE">
        <w:rPr>
          <w:lang w:val="en-US"/>
        </w:rPr>
        <w:t xml:space="preserve">failure to comply </w:t>
      </w:r>
      <w:r w:rsidR="00DA00F9" w:rsidRPr="006350BE">
        <w:rPr>
          <w:lang w:val="en-US"/>
        </w:rPr>
        <w:t>with the regime of the correctional colony. All measures taken were lawful.</w:t>
      </w:r>
    </w:p>
    <w:p w:rsidR="006925C9" w:rsidRPr="006350BE" w:rsidRDefault="00C73852" w:rsidP="006350BE">
      <w:pPr>
        <w:pStyle w:val="ECHRParaQuote"/>
      </w:pPr>
      <w:r w:rsidRPr="006350BE">
        <w:rPr>
          <w:lang w:val="en-US"/>
        </w:rPr>
        <w:t>...</w:t>
      </w:r>
      <w:r w:rsidR="00FD6402" w:rsidRPr="006350BE">
        <w:rPr>
          <w:lang w:val="en-US"/>
        </w:rPr>
        <w:t xml:space="preserve"> </w:t>
      </w:r>
      <w:r w:rsidR="00DA00F9" w:rsidRPr="006350BE">
        <w:rPr>
          <w:lang w:val="en-US"/>
        </w:rPr>
        <w:t xml:space="preserve">Other employees of the correctional colony stated that no unjustified or unlawful measures </w:t>
      </w:r>
      <w:r w:rsidR="008D53E9" w:rsidRPr="006350BE">
        <w:rPr>
          <w:lang w:val="en-US"/>
        </w:rPr>
        <w:t xml:space="preserve">had been </w:t>
      </w:r>
      <w:r w:rsidR="00DA00F9" w:rsidRPr="006350BE">
        <w:rPr>
          <w:lang w:val="en-US"/>
        </w:rPr>
        <w:t xml:space="preserve">taken </w:t>
      </w:r>
      <w:r w:rsidR="00660A42" w:rsidRPr="006350BE">
        <w:rPr>
          <w:lang w:val="en-US"/>
        </w:rPr>
        <w:t>in respect of</w:t>
      </w:r>
      <w:r w:rsidR="00856F6E" w:rsidRPr="006350BE">
        <w:rPr>
          <w:lang w:val="en-US"/>
        </w:rPr>
        <w:t xml:space="preserve"> </w:t>
      </w:r>
      <w:r w:rsidR="00DA00F9" w:rsidRPr="006350BE">
        <w:rPr>
          <w:lang w:val="en-US"/>
        </w:rPr>
        <w:t>[the second applicant]</w:t>
      </w:r>
      <w:r w:rsidR="008F0138" w:rsidRPr="006350BE">
        <w:rPr>
          <w:lang w:val="en-US"/>
        </w:rPr>
        <w:t>.</w:t>
      </w:r>
      <w:r w:rsidR="006327F5" w:rsidRPr="006350BE">
        <w:t>”</w:t>
      </w:r>
    </w:p>
    <w:bookmarkStart w:id="13" w:name="Quashing"/>
    <w:p w:rsidR="004A7AD7"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34</w:t>
      </w:r>
      <w:r w:rsidRPr="006350BE">
        <w:rPr>
          <w:noProof/>
        </w:rPr>
        <w:fldChar w:fldCharType="end"/>
      </w:r>
      <w:bookmarkEnd w:id="13"/>
      <w:r w:rsidR="00364EAF" w:rsidRPr="006350BE">
        <w:t>.  </w:t>
      </w:r>
      <w:r w:rsidR="004A7AD7" w:rsidRPr="006350BE">
        <w:t xml:space="preserve">On 17 December 2010 the head of the </w:t>
      </w:r>
      <w:r w:rsidR="00FD6402" w:rsidRPr="006350BE">
        <w:t xml:space="preserve">investigative </w:t>
      </w:r>
      <w:r w:rsidR="00CF58E1" w:rsidRPr="006350BE">
        <w:t xml:space="preserve">committee </w:t>
      </w:r>
      <w:r w:rsidR="004A7AD7" w:rsidRPr="006350BE">
        <w:t xml:space="preserve">quashed that decision and remitted all the material for </w:t>
      </w:r>
      <w:r w:rsidR="00FD6402" w:rsidRPr="006350BE">
        <w:t xml:space="preserve">fresh </w:t>
      </w:r>
      <w:r w:rsidR="004A7AD7" w:rsidRPr="006350BE">
        <w:t>consideration.</w:t>
      </w:r>
    </w:p>
    <w:p w:rsidR="006211F1"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35</w:t>
      </w:r>
      <w:r w:rsidRPr="006350BE">
        <w:rPr>
          <w:noProof/>
        </w:rPr>
        <w:fldChar w:fldCharType="end"/>
      </w:r>
      <w:r w:rsidR="009B36C6" w:rsidRPr="006350BE">
        <w:t>.  </w:t>
      </w:r>
      <w:r w:rsidR="006211F1" w:rsidRPr="006350BE">
        <w:t>On 27 December 201</w:t>
      </w:r>
      <w:r w:rsidR="00DE4621" w:rsidRPr="006350BE">
        <w:t xml:space="preserve">0 </w:t>
      </w:r>
      <w:r w:rsidR="002D0A09" w:rsidRPr="006350BE">
        <w:t xml:space="preserve">the investigator again </w:t>
      </w:r>
      <w:r w:rsidR="00DE4621" w:rsidRPr="006350BE">
        <w:t xml:space="preserve">dismissed </w:t>
      </w:r>
      <w:r w:rsidR="002D0A09" w:rsidRPr="006350BE">
        <w:t xml:space="preserve">the </w:t>
      </w:r>
      <w:r w:rsidR="008D53E9" w:rsidRPr="006350BE">
        <w:t xml:space="preserve">second </w:t>
      </w:r>
      <w:r w:rsidR="002D0A09" w:rsidRPr="006350BE">
        <w:t>applicant</w:t>
      </w:r>
      <w:r w:rsidR="006350BE" w:rsidRPr="006350BE">
        <w:t>’</w:t>
      </w:r>
      <w:r w:rsidR="002D0A09" w:rsidRPr="006350BE">
        <w:t xml:space="preserve">s </w:t>
      </w:r>
      <w:r w:rsidR="00B76330" w:rsidRPr="006350BE">
        <w:t xml:space="preserve">complaint </w:t>
      </w:r>
      <w:r w:rsidR="00DE4621" w:rsidRPr="006350BE">
        <w:t xml:space="preserve">due to the absence of </w:t>
      </w:r>
      <w:r w:rsidR="00DE4621" w:rsidRPr="006350BE">
        <w:rPr>
          <w:i/>
        </w:rPr>
        <w:t xml:space="preserve">corpus </w:t>
      </w:r>
      <w:proofErr w:type="spellStart"/>
      <w:r w:rsidR="00DE4621" w:rsidRPr="006350BE">
        <w:rPr>
          <w:i/>
        </w:rPr>
        <w:t>delicti</w:t>
      </w:r>
      <w:proofErr w:type="spellEnd"/>
      <w:r w:rsidR="004365F1" w:rsidRPr="006350BE">
        <w:t>.</w:t>
      </w:r>
    </w:p>
    <w:bookmarkStart w:id="14" w:name="Quashing2"/>
    <w:p w:rsidR="00776700"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36</w:t>
      </w:r>
      <w:r w:rsidRPr="006350BE">
        <w:rPr>
          <w:noProof/>
        </w:rPr>
        <w:fldChar w:fldCharType="end"/>
      </w:r>
      <w:bookmarkEnd w:id="14"/>
      <w:r w:rsidR="009B36C6" w:rsidRPr="006350BE">
        <w:t>.  </w:t>
      </w:r>
      <w:r w:rsidR="007E5BAB" w:rsidRPr="006350BE">
        <w:t>On 14</w:t>
      </w:r>
      <w:r w:rsidR="00DE4621" w:rsidRPr="006350BE">
        <w:t xml:space="preserve"> June 2011 </w:t>
      </w:r>
      <w:r w:rsidR="00862DCA" w:rsidRPr="006350BE">
        <w:t>the</w:t>
      </w:r>
      <w:r w:rsidR="00324698" w:rsidRPr="006350BE">
        <w:t xml:space="preserve"> regional</w:t>
      </w:r>
      <w:r w:rsidR="00862DCA" w:rsidRPr="006350BE">
        <w:t xml:space="preserve"> prosecutor</w:t>
      </w:r>
      <w:r w:rsidRPr="006350BE">
        <w:t xml:space="preserve"> </w:t>
      </w:r>
      <w:r w:rsidR="00E248BC" w:rsidRPr="006350BE">
        <w:t>quashed the decision of</w:t>
      </w:r>
      <w:r w:rsidR="00862DCA" w:rsidRPr="006350BE">
        <w:t xml:space="preserve"> 27</w:t>
      </w:r>
      <w:r w:rsidR="008F0138" w:rsidRPr="006350BE">
        <w:t> </w:t>
      </w:r>
      <w:r w:rsidR="00862DCA" w:rsidRPr="006350BE">
        <w:t xml:space="preserve">December 2010 and remitted </w:t>
      </w:r>
      <w:r w:rsidR="00E248BC" w:rsidRPr="006350BE">
        <w:t xml:space="preserve">the material </w:t>
      </w:r>
      <w:r w:rsidR="00862DCA" w:rsidRPr="006350BE">
        <w:t xml:space="preserve">for fresh consideration. </w:t>
      </w:r>
      <w:r w:rsidR="00CD4460" w:rsidRPr="006350BE">
        <w:t xml:space="preserve">The parties did not inform </w:t>
      </w:r>
      <w:r w:rsidR="00FD6402" w:rsidRPr="006350BE">
        <w:t xml:space="preserve">the Court </w:t>
      </w:r>
      <w:r w:rsidR="00CD4460" w:rsidRPr="006350BE">
        <w:t>about the outcome of the proceedings</w:t>
      </w:r>
      <w:r w:rsidR="00862DCA" w:rsidRPr="006350BE">
        <w:t>.</w:t>
      </w:r>
    </w:p>
    <w:p w:rsidR="009776F7" w:rsidRPr="006350BE" w:rsidRDefault="009776F7" w:rsidP="006350BE">
      <w:pPr>
        <w:pStyle w:val="ECHRHeading3"/>
      </w:pPr>
      <w:r w:rsidRPr="006350BE">
        <w:t>2. </w:t>
      </w:r>
      <w:r w:rsidR="000C6580" w:rsidRPr="006350BE">
        <w:t> </w:t>
      </w:r>
      <w:r w:rsidRPr="006350BE">
        <w:t xml:space="preserve">Alleged ill-treatment </w:t>
      </w:r>
      <w:r w:rsidR="000E151A" w:rsidRPr="006350BE">
        <w:t xml:space="preserve">in </w:t>
      </w:r>
      <w:r w:rsidRPr="006350BE">
        <w:t>August</w:t>
      </w:r>
      <w:r w:rsidR="00FD6402" w:rsidRPr="006350BE">
        <w:t xml:space="preserve"> and</w:t>
      </w:r>
      <w:r w:rsidRPr="006350BE">
        <w:t xml:space="preserve"> September 2009 and May 2010</w:t>
      </w:r>
    </w:p>
    <w:bookmarkStart w:id="15" w:name="ill_treatment_2"/>
    <w:p w:rsidR="002C07CD" w:rsidRPr="006350BE" w:rsidRDefault="002C07CD"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37</w:t>
      </w:r>
      <w:r w:rsidRPr="006350BE">
        <w:rPr>
          <w:noProof/>
        </w:rPr>
        <w:fldChar w:fldCharType="end"/>
      </w:r>
      <w:bookmarkEnd w:id="15"/>
      <w:r w:rsidRPr="006350BE">
        <w:t xml:space="preserve">.  According to the second applicant, on 10 August 2009 and in September 2009 he was blindfolded, suspended by his arms and subjected to </w:t>
      </w:r>
      <w:r w:rsidR="00FD6402" w:rsidRPr="006350BE">
        <w:t xml:space="preserve">electric shocks </w:t>
      </w:r>
      <w:r w:rsidRPr="006350BE">
        <w:t>by the guards of the correctional colony. He was unable to identify them. It appears that the second applicant did not bring any proceedings in respect of th</w:t>
      </w:r>
      <w:r w:rsidR="00FD6402" w:rsidRPr="006350BE">
        <w:t>o</w:t>
      </w:r>
      <w:r w:rsidRPr="006350BE">
        <w:t>se events.</w:t>
      </w:r>
    </w:p>
    <w:bookmarkStart w:id="16" w:name="ill_treatment_2_1"/>
    <w:p w:rsidR="002C07CD" w:rsidRPr="006350BE" w:rsidRDefault="002C07CD" w:rsidP="006350BE">
      <w:pPr>
        <w:pStyle w:val="ECHRPara"/>
        <w:rPr>
          <w:lang w:val="en-US"/>
        </w:rPr>
      </w:pPr>
      <w:r w:rsidRPr="006350BE">
        <w:fldChar w:fldCharType="begin"/>
      </w:r>
      <w:r w:rsidRPr="006350BE">
        <w:instrText xml:space="preserve"> SEQ level0 \*arabic </w:instrText>
      </w:r>
      <w:r w:rsidRPr="006350BE">
        <w:fldChar w:fldCharType="separate"/>
      </w:r>
      <w:r w:rsidR="006350BE" w:rsidRPr="006350BE">
        <w:rPr>
          <w:noProof/>
        </w:rPr>
        <w:t>38</w:t>
      </w:r>
      <w:r w:rsidRPr="006350BE">
        <w:fldChar w:fldCharType="end"/>
      </w:r>
      <w:bookmarkEnd w:id="16"/>
      <w:r w:rsidRPr="006350BE">
        <w:t xml:space="preserve">.  According to the second applicant, on 12 May 2010 he was called to the office of the head of the correctional </w:t>
      </w:r>
      <w:r w:rsidRPr="006350BE">
        <w:rPr>
          <w:lang w:val="en-US"/>
        </w:rPr>
        <w:t>colony</w:t>
      </w:r>
      <w:r w:rsidRPr="006350BE">
        <w:t xml:space="preserve"> and after being threatened to withdraw his application </w:t>
      </w:r>
      <w:r w:rsidR="008D53E9" w:rsidRPr="006350BE">
        <w:t xml:space="preserve">to </w:t>
      </w:r>
      <w:r w:rsidRPr="006350BE">
        <w:t>the Court, he was beaten up by several guards</w:t>
      </w:r>
      <w:r w:rsidRPr="006350BE">
        <w:rPr>
          <w:lang w:val="en-US"/>
        </w:rPr>
        <w:t>.</w:t>
      </w:r>
    </w:p>
    <w:p w:rsidR="00014566" w:rsidRPr="006350BE" w:rsidRDefault="00014566" w:rsidP="006350BE">
      <w:pPr>
        <w:pStyle w:val="ECHRHeading1"/>
      </w:pPr>
      <w:r w:rsidRPr="006350BE">
        <w:t>II.  RELEVANT DOMESTIC LAW AND PRACTICE</w:t>
      </w:r>
    </w:p>
    <w:p w:rsidR="007825D8" w:rsidRPr="001524AD" w:rsidRDefault="00BF725E" w:rsidP="001524AD">
      <w:pPr>
        <w:pStyle w:val="ECHRHeading2"/>
      </w:pPr>
      <w:r w:rsidRPr="001524AD">
        <w:t>A</w:t>
      </w:r>
      <w:r w:rsidR="007825D8" w:rsidRPr="001524AD">
        <w:t>.  Lay judges</w:t>
      </w:r>
    </w:p>
    <w:p w:rsidR="007825D8"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39</w:t>
      </w:r>
      <w:r w:rsidRPr="006350BE">
        <w:rPr>
          <w:noProof/>
        </w:rPr>
        <w:fldChar w:fldCharType="end"/>
      </w:r>
      <w:r w:rsidR="007825D8" w:rsidRPr="006350BE">
        <w:t>.  </w:t>
      </w:r>
      <w:r w:rsidR="008D53E9" w:rsidRPr="006350BE">
        <w:t>T</w:t>
      </w:r>
      <w:r w:rsidR="007825D8" w:rsidRPr="006350BE">
        <w:t>he Federal Law on Lay Judges of the Federal Courts of General Jurisdiction (“the Lay Judges Act”) came into effect</w:t>
      </w:r>
      <w:r w:rsidR="008D53E9" w:rsidRPr="006350BE">
        <w:t xml:space="preserve"> on 10 January 2000</w:t>
      </w:r>
      <w:r w:rsidR="007825D8" w:rsidRPr="006350BE">
        <w:t xml:space="preserve">. </w:t>
      </w:r>
      <w:r w:rsidR="00801B15" w:rsidRPr="006350BE">
        <w:lastRenderedPageBreak/>
        <w:t xml:space="preserve">Under </w:t>
      </w:r>
      <w:r w:rsidR="008D53E9" w:rsidRPr="006350BE">
        <w:t xml:space="preserve">section </w:t>
      </w:r>
      <w:r w:rsidR="007825D8" w:rsidRPr="006350BE">
        <w:t>1(2) of the Act, lay judges are persons authorised to sit in civil and criminal cases as non-professional judges.</w:t>
      </w:r>
    </w:p>
    <w:bookmarkStart w:id="17" w:name="Lay_judges"/>
    <w:p w:rsidR="00E5081A" w:rsidRPr="006350BE" w:rsidRDefault="00A42081"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40</w:t>
      </w:r>
      <w:r w:rsidRPr="006350BE">
        <w:rPr>
          <w:noProof/>
        </w:rPr>
        <w:fldChar w:fldCharType="end"/>
      </w:r>
      <w:bookmarkEnd w:id="17"/>
      <w:r w:rsidR="007825D8" w:rsidRPr="006350BE">
        <w:t>.  </w:t>
      </w:r>
      <w:r w:rsidR="00801B15" w:rsidRPr="006350BE">
        <w:t xml:space="preserve">Under </w:t>
      </w:r>
      <w:r w:rsidR="008D53E9" w:rsidRPr="006350BE">
        <w:t xml:space="preserve">section </w:t>
      </w:r>
      <w:r w:rsidR="007825D8" w:rsidRPr="006350BE">
        <w:t xml:space="preserve">9, lay judges </w:t>
      </w:r>
      <w:r w:rsidR="00FD6402" w:rsidRPr="006350BE">
        <w:t xml:space="preserve">may </w:t>
      </w:r>
      <w:r w:rsidR="007825D8" w:rsidRPr="006350BE">
        <w:t xml:space="preserve">be called to serve in a district court for a period of fourteen days, or </w:t>
      </w:r>
      <w:r w:rsidR="00FD6402" w:rsidRPr="006350BE">
        <w:t xml:space="preserve">for </w:t>
      </w:r>
      <w:r w:rsidR="007825D8" w:rsidRPr="006350BE">
        <w:t>as long as the proceedings in a particular case last. Lay judges may not be called more than once a year.</w:t>
      </w:r>
    </w:p>
    <w:p w:rsidR="00BF725E" w:rsidRPr="001524AD" w:rsidRDefault="00BF725E" w:rsidP="001524AD">
      <w:pPr>
        <w:pStyle w:val="ECHRHeading2"/>
      </w:pPr>
      <w:r w:rsidRPr="001524AD">
        <w:t>B.  Correspondence</w:t>
      </w:r>
    </w:p>
    <w:p w:rsidR="00DC7580"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41</w:t>
      </w:r>
      <w:r w:rsidRPr="006350BE">
        <w:rPr>
          <w:noProof/>
        </w:rPr>
        <w:fldChar w:fldCharType="end"/>
      </w:r>
      <w:r w:rsidR="005F7628" w:rsidRPr="006350BE">
        <w:t>.  </w:t>
      </w:r>
      <w:r w:rsidR="00FD6402" w:rsidRPr="006350BE">
        <w:t>Under</w:t>
      </w:r>
      <w:r w:rsidR="005F7628" w:rsidRPr="006350BE">
        <w:t xml:space="preserve"> </w:t>
      </w:r>
      <w:r w:rsidR="00DC7580" w:rsidRPr="006350BE">
        <w:t>Article 91</w:t>
      </w:r>
      <w:r w:rsidR="008D53E9" w:rsidRPr="006350BE">
        <w:t xml:space="preserve"> </w:t>
      </w:r>
      <w:r w:rsidR="008D53E9" w:rsidRPr="006350BE">
        <w:rPr>
          <w:rFonts w:cstheme="minorHAnsi"/>
        </w:rPr>
        <w:t>§</w:t>
      </w:r>
      <w:r w:rsidR="008D53E9" w:rsidRPr="006350BE">
        <w:t xml:space="preserve"> </w:t>
      </w:r>
      <w:r w:rsidR="00706468" w:rsidRPr="006350BE">
        <w:t>3</w:t>
      </w:r>
      <w:r w:rsidR="00DC7580" w:rsidRPr="006350BE">
        <w:t xml:space="preserve"> of the Code </w:t>
      </w:r>
      <w:r w:rsidR="008D53E9" w:rsidRPr="006350BE">
        <w:t xml:space="preserve">on the </w:t>
      </w:r>
      <w:r w:rsidR="00DC7580" w:rsidRPr="006350BE">
        <w:t>Execution of Sentences of 8</w:t>
      </w:r>
      <w:r w:rsidR="00633F8B" w:rsidRPr="006350BE">
        <w:t> </w:t>
      </w:r>
      <w:r w:rsidR="00DC7580" w:rsidRPr="006350BE">
        <w:t>January 1997 (</w:t>
      </w:r>
      <w:proofErr w:type="spellStart"/>
      <w:r w:rsidR="00DC7580" w:rsidRPr="006350BE">
        <w:rPr>
          <w:i/>
        </w:rPr>
        <w:t>Уголовно-исполнительный</w:t>
      </w:r>
      <w:proofErr w:type="spellEnd"/>
      <w:r w:rsidR="00DC7580" w:rsidRPr="006350BE">
        <w:rPr>
          <w:i/>
        </w:rPr>
        <w:t xml:space="preserve"> </w:t>
      </w:r>
      <w:proofErr w:type="spellStart"/>
      <w:r w:rsidR="00DC7580" w:rsidRPr="006350BE">
        <w:rPr>
          <w:i/>
        </w:rPr>
        <w:t>кодекс</w:t>
      </w:r>
      <w:proofErr w:type="spellEnd"/>
      <w:r w:rsidR="00DC7580" w:rsidRPr="006350BE">
        <w:t xml:space="preserve">) </w:t>
      </w:r>
      <w:r w:rsidR="005F7628" w:rsidRPr="006350BE">
        <w:t>a</w:t>
      </w:r>
      <w:r w:rsidR="00DC7580" w:rsidRPr="006350BE">
        <w:t xml:space="preserve"> prisoner</w:t>
      </w:r>
      <w:r w:rsidR="006350BE" w:rsidRPr="006350BE">
        <w:t>’</w:t>
      </w:r>
      <w:r w:rsidR="00DC7580" w:rsidRPr="006350BE">
        <w:t xml:space="preserve">s correspondence with his lawyer or representative </w:t>
      </w:r>
      <w:r w:rsidR="00FD6402" w:rsidRPr="006350BE">
        <w:t xml:space="preserve">may </w:t>
      </w:r>
      <w:r w:rsidR="00DC7580" w:rsidRPr="006350BE">
        <w:t xml:space="preserve">be censored in certain cases </w:t>
      </w:r>
      <w:r w:rsidR="00FD6402" w:rsidRPr="006350BE">
        <w:t xml:space="preserve">following </w:t>
      </w:r>
      <w:r w:rsidR="00DC7580" w:rsidRPr="006350BE">
        <w:t>a reasoned decision of the director or deputy director of the prison</w:t>
      </w:r>
      <w:r w:rsidR="00FD6402" w:rsidRPr="006350BE">
        <w:t xml:space="preserve"> administration</w:t>
      </w:r>
      <w:r w:rsidR="00DC7580" w:rsidRPr="006350BE">
        <w:t>.</w:t>
      </w:r>
    </w:p>
    <w:p w:rsidR="00014566" w:rsidRPr="006350BE" w:rsidRDefault="00014566" w:rsidP="006350BE">
      <w:pPr>
        <w:pStyle w:val="ECHRTitle1"/>
      </w:pPr>
      <w:r w:rsidRPr="006350BE">
        <w:t>THE LAW</w:t>
      </w:r>
    </w:p>
    <w:p w:rsidR="00CF399F" w:rsidRPr="006350BE" w:rsidRDefault="00CF399F" w:rsidP="006350BE">
      <w:pPr>
        <w:pStyle w:val="ECHRHeading1"/>
      </w:pPr>
      <w:r w:rsidRPr="006350BE">
        <w:t>I.  </w:t>
      </w:r>
      <w:r w:rsidRPr="006350BE">
        <w:rPr>
          <w:rFonts w:eastAsiaTheme="minorEastAsia"/>
        </w:rPr>
        <w:t>JOINDER OF THE APPLICATIONS</w:t>
      </w:r>
    </w:p>
    <w:p w:rsidR="00CF399F" w:rsidRPr="006350BE" w:rsidRDefault="00CF399F"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42</w:t>
      </w:r>
      <w:r w:rsidRPr="006350BE">
        <w:fldChar w:fldCharType="end"/>
      </w:r>
      <w:r w:rsidRPr="006350BE">
        <w:t>.  </w:t>
      </w:r>
      <w:r w:rsidR="001D7121" w:rsidRPr="006350BE">
        <w:rPr>
          <w:bCs/>
        </w:rPr>
        <w:t>Given their similar factual and legal background, the Court decides that the applications should be joined pursuant to Rule 42 § 1 of the Rules of Court.</w:t>
      </w:r>
    </w:p>
    <w:p w:rsidR="00427090" w:rsidRPr="006350BE" w:rsidRDefault="00427090" w:rsidP="006350BE">
      <w:pPr>
        <w:pStyle w:val="ECHRHeading1"/>
      </w:pPr>
      <w:r w:rsidRPr="006350BE">
        <w:t>II.  ALLEGED VIOLATION OF ARTICLE 3</w:t>
      </w:r>
      <w:r w:rsidRPr="006350BE">
        <w:rPr>
          <w:rFonts w:asciiTheme="minorHAnsi" w:eastAsiaTheme="minorEastAsia" w:hAnsiTheme="minorHAnsi" w:cstheme="minorBidi"/>
          <w:bCs w:val="0"/>
          <w:szCs w:val="22"/>
        </w:rPr>
        <w:t xml:space="preserve"> </w:t>
      </w:r>
      <w:r w:rsidRPr="006350BE">
        <w:t>ON ACCOUNT OF THE SECOND APPLICANT</w:t>
      </w:r>
      <w:r w:rsidR="006350BE" w:rsidRPr="006350BE">
        <w:t>’</w:t>
      </w:r>
      <w:r w:rsidRPr="006350BE">
        <w:t>S ALLEGED ILL-TREATMENT</w:t>
      </w:r>
    </w:p>
    <w:p w:rsidR="00427090" w:rsidRPr="006350BE" w:rsidRDefault="00C254F5" w:rsidP="006350BE">
      <w:pPr>
        <w:pStyle w:val="ECHRPara"/>
        <w:rPr>
          <w:bCs/>
        </w:rPr>
      </w:pPr>
      <w:r w:rsidRPr="006350BE">
        <w:rPr>
          <w:bCs/>
        </w:rPr>
        <w:fldChar w:fldCharType="begin"/>
      </w:r>
      <w:r w:rsidRPr="006350BE">
        <w:rPr>
          <w:bCs/>
        </w:rPr>
        <w:instrText xml:space="preserve"> SEQ level0 \*arabic </w:instrText>
      </w:r>
      <w:r w:rsidRPr="006350BE">
        <w:rPr>
          <w:bCs/>
        </w:rPr>
        <w:fldChar w:fldCharType="separate"/>
      </w:r>
      <w:r w:rsidR="006350BE" w:rsidRPr="006350BE">
        <w:rPr>
          <w:bCs/>
          <w:noProof/>
        </w:rPr>
        <w:t>43</w:t>
      </w:r>
      <w:r w:rsidRPr="006350BE">
        <w:rPr>
          <w:bCs/>
        </w:rPr>
        <w:fldChar w:fldCharType="end"/>
      </w:r>
      <w:r w:rsidRPr="006350BE">
        <w:rPr>
          <w:bCs/>
        </w:rPr>
        <w:t>.  </w:t>
      </w:r>
      <w:r w:rsidR="00427090" w:rsidRPr="006350BE">
        <w:rPr>
          <w:bCs/>
        </w:rPr>
        <w:t xml:space="preserve">The second applicant complained under Article 3 of the Convention that the prison </w:t>
      </w:r>
      <w:r w:rsidR="008B2F26" w:rsidRPr="006350BE">
        <w:rPr>
          <w:bCs/>
        </w:rPr>
        <w:t>guards</w:t>
      </w:r>
      <w:r w:rsidR="00A34838" w:rsidRPr="006350BE">
        <w:rPr>
          <w:bCs/>
        </w:rPr>
        <w:t xml:space="preserve"> </w:t>
      </w:r>
      <w:r w:rsidR="00427090" w:rsidRPr="006350BE">
        <w:rPr>
          <w:bCs/>
        </w:rPr>
        <w:t>had regularly beaten him up. Article 3 read</w:t>
      </w:r>
      <w:r w:rsidR="00FC78B0" w:rsidRPr="006350BE">
        <w:rPr>
          <w:bCs/>
        </w:rPr>
        <w:t>s</w:t>
      </w:r>
      <w:r w:rsidR="00427090" w:rsidRPr="006350BE">
        <w:rPr>
          <w:bCs/>
        </w:rPr>
        <w:t xml:space="preserve"> as follows:</w:t>
      </w:r>
    </w:p>
    <w:p w:rsidR="00427090" w:rsidRPr="006350BE" w:rsidRDefault="00427090" w:rsidP="006350BE">
      <w:pPr>
        <w:pStyle w:val="ECHRTitleCentre3"/>
      </w:pPr>
      <w:r w:rsidRPr="006350BE">
        <w:t>Article 3</w:t>
      </w:r>
    </w:p>
    <w:p w:rsidR="00427090" w:rsidRPr="006350BE" w:rsidRDefault="00427090" w:rsidP="006350BE">
      <w:pPr>
        <w:pStyle w:val="ECHRParaQuote"/>
      </w:pPr>
      <w:r w:rsidRPr="006350BE">
        <w:t>“No one shall be subjected to torture or to inhuman or degrading treatment or punishment.”</w:t>
      </w:r>
    </w:p>
    <w:p w:rsidR="001735F3" w:rsidRPr="001524AD" w:rsidRDefault="001735F3" w:rsidP="001524AD">
      <w:pPr>
        <w:pStyle w:val="ECHRHeading2"/>
      </w:pPr>
      <w:r w:rsidRPr="001524AD">
        <w:t>A.  Admissibility</w:t>
      </w:r>
    </w:p>
    <w:p w:rsidR="00D27BEB"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44</w:t>
      </w:r>
      <w:r w:rsidRPr="006350BE">
        <w:rPr>
          <w:noProof/>
        </w:rPr>
        <w:fldChar w:fldCharType="end"/>
      </w:r>
      <w:r w:rsidR="00FF2136" w:rsidRPr="006350BE">
        <w:t>.  </w:t>
      </w:r>
      <w:r w:rsidR="00D27BEB" w:rsidRPr="006350BE">
        <w:t xml:space="preserve">The Court </w:t>
      </w:r>
      <w:r w:rsidR="00FF2136" w:rsidRPr="006350BE">
        <w:t xml:space="preserve">notes that the </w:t>
      </w:r>
      <w:r w:rsidR="006A5D4B" w:rsidRPr="006350BE">
        <w:t>second applicant</w:t>
      </w:r>
      <w:r w:rsidR="006350BE" w:rsidRPr="006350BE">
        <w:t>’</w:t>
      </w:r>
      <w:r w:rsidR="006A5D4B" w:rsidRPr="006350BE">
        <w:t xml:space="preserve">s complaint </w:t>
      </w:r>
      <w:r w:rsidR="00FD6402" w:rsidRPr="006350BE">
        <w:t xml:space="preserve">of </w:t>
      </w:r>
      <w:r w:rsidR="00C73852" w:rsidRPr="006350BE">
        <w:t>ill</w:t>
      </w:r>
      <w:r w:rsidR="00C73852" w:rsidRPr="006350BE">
        <w:noBreakHyphen/>
      </w:r>
      <w:r w:rsidR="006A5D4B" w:rsidRPr="006350BE">
        <w:t xml:space="preserve">treatment </w:t>
      </w:r>
      <w:r w:rsidR="00DD2841" w:rsidRPr="006350BE">
        <w:t xml:space="preserve">is </w:t>
      </w:r>
      <w:r w:rsidR="00D27BEB" w:rsidRPr="006350BE">
        <w:t>not manifestly ill-founded wit</w:t>
      </w:r>
      <w:r w:rsidR="00C73852" w:rsidRPr="006350BE">
        <w:t>hin the meaning of Article 35 § </w:t>
      </w:r>
      <w:r w:rsidR="00D27BEB" w:rsidRPr="006350BE">
        <w:t>3 of the Convention. It further notes that it is not inadmissible on any other grounds. It must therefore be declared admissible.</w:t>
      </w:r>
    </w:p>
    <w:p w:rsidR="00D27BEB" w:rsidRPr="001524AD" w:rsidRDefault="00D27BEB" w:rsidP="001524AD">
      <w:pPr>
        <w:pStyle w:val="ECHRHeading2"/>
      </w:pPr>
      <w:r w:rsidRPr="001524AD">
        <w:lastRenderedPageBreak/>
        <w:t>B.  Merits</w:t>
      </w:r>
    </w:p>
    <w:p w:rsidR="00D27BEB" w:rsidRPr="006350BE" w:rsidRDefault="00D27BEB" w:rsidP="006350BE">
      <w:pPr>
        <w:pStyle w:val="ECHRHeading3"/>
      </w:pPr>
      <w:r w:rsidRPr="006350BE">
        <w:t>1.</w:t>
      </w:r>
      <w:r w:rsidR="00F36C8B" w:rsidRPr="006350BE">
        <w:rPr>
          <w:lang w:val="en-US"/>
        </w:rPr>
        <w:t>  </w:t>
      </w:r>
      <w:r w:rsidRPr="006350BE">
        <w:t>Submission</w:t>
      </w:r>
      <w:r w:rsidR="005D2A2C" w:rsidRPr="006350BE">
        <w:t>s</w:t>
      </w:r>
      <w:r w:rsidRPr="006350BE">
        <w:t xml:space="preserve"> by the parties</w:t>
      </w:r>
    </w:p>
    <w:p w:rsidR="00776700" w:rsidRPr="006350BE" w:rsidRDefault="00D27BEB" w:rsidP="006350BE">
      <w:pPr>
        <w:pStyle w:val="ECHRPara"/>
        <w:rPr>
          <w:bCs/>
        </w:rPr>
      </w:pPr>
      <w:r w:rsidRPr="006350BE">
        <w:rPr>
          <w:rFonts w:asciiTheme="majorHAnsi" w:eastAsiaTheme="majorEastAsia" w:hAnsiTheme="majorHAnsi" w:cstheme="majorBidi"/>
          <w:bCs/>
          <w:szCs w:val="28"/>
        </w:rPr>
        <w:fldChar w:fldCharType="begin"/>
      </w:r>
      <w:r w:rsidRPr="006350BE">
        <w:rPr>
          <w:rFonts w:asciiTheme="majorHAnsi" w:eastAsiaTheme="majorEastAsia" w:hAnsiTheme="majorHAnsi" w:cstheme="majorBidi"/>
          <w:bCs/>
          <w:szCs w:val="28"/>
        </w:rPr>
        <w:instrText xml:space="preserve"> SEQ level0 \*arabic </w:instrText>
      </w:r>
      <w:r w:rsidRPr="006350BE">
        <w:rPr>
          <w:rFonts w:asciiTheme="majorHAnsi" w:eastAsiaTheme="majorEastAsia" w:hAnsiTheme="majorHAnsi" w:cstheme="majorBidi"/>
          <w:bCs/>
          <w:szCs w:val="28"/>
        </w:rPr>
        <w:fldChar w:fldCharType="separate"/>
      </w:r>
      <w:r w:rsidR="006350BE" w:rsidRPr="006350BE">
        <w:rPr>
          <w:rFonts w:asciiTheme="majorHAnsi" w:eastAsiaTheme="majorEastAsia" w:hAnsiTheme="majorHAnsi" w:cstheme="majorBidi"/>
          <w:bCs/>
          <w:noProof/>
          <w:szCs w:val="28"/>
        </w:rPr>
        <w:t>45</w:t>
      </w:r>
      <w:r w:rsidRPr="006350BE">
        <w:rPr>
          <w:rFonts w:asciiTheme="majorHAnsi" w:eastAsiaTheme="majorEastAsia" w:hAnsiTheme="majorHAnsi" w:cstheme="majorBidi"/>
          <w:bCs/>
          <w:szCs w:val="28"/>
        </w:rPr>
        <w:fldChar w:fldCharType="end"/>
      </w:r>
      <w:r w:rsidRPr="006350BE">
        <w:rPr>
          <w:rFonts w:asciiTheme="majorHAnsi" w:eastAsiaTheme="majorEastAsia" w:hAnsiTheme="majorHAnsi" w:cstheme="majorBidi"/>
          <w:bCs/>
          <w:szCs w:val="28"/>
        </w:rPr>
        <w:t xml:space="preserve">.  The Government submitted that the </w:t>
      </w:r>
      <w:r w:rsidR="002971FF" w:rsidRPr="006350BE">
        <w:rPr>
          <w:rFonts w:asciiTheme="majorHAnsi" w:eastAsiaTheme="majorEastAsia" w:hAnsiTheme="majorHAnsi" w:cstheme="majorBidi"/>
          <w:bCs/>
          <w:szCs w:val="28"/>
        </w:rPr>
        <w:t xml:space="preserve">second </w:t>
      </w:r>
      <w:r w:rsidRPr="006350BE">
        <w:rPr>
          <w:rFonts w:asciiTheme="majorHAnsi" w:eastAsiaTheme="majorEastAsia" w:hAnsiTheme="majorHAnsi" w:cstheme="majorBidi"/>
          <w:bCs/>
          <w:szCs w:val="28"/>
        </w:rPr>
        <w:t>applicant had never been subject</w:t>
      </w:r>
      <w:r w:rsidR="00F36C8B" w:rsidRPr="006350BE">
        <w:rPr>
          <w:rFonts w:asciiTheme="majorHAnsi" w:eastAsiaTheme="majorEastAsia" w:hAnsiTheme="majorHAnsi" w:cstheme="majorBidi"/>
          <w:bCs/>
          <w:szCs w:val="28"/>
        </w:rPr>
        <w:t>ed</w:t>
      </w:r>
      <w:r w:rsidRPr="006350BE">
        <w:rPr>
          <w:rFonts w:asciiTheme="majorHAnsi" w:eastAsiaTheme="majorEastAsia" w:hAnsiTheme="majorHAnsi" w:cstheme="majorBidi"/>
          <w:bCs/>
          <w:szCs w:val="28"/>
        </w:rPr>
        <w:t xml:space="preserve"> to torture, or any degrading or inhuman treatment. They further argued that the </w:t>
      </w:r>
      <w:r w:rsidR="008D53E9" w:rsidRPr="006350BE">
        <w:rPr>
          <w:bCs/>
        </w:rPr>
        <w:t xml:space="preserve">inquiry carried out into </w:t>
      </w:r>
      <w:r w:rsidR="00FD6402" w:rsidRPr="006350BE">
        <w:rPr>
          <w:bCs/>
        </w:rPr>
        <w:t xml:space="preserve">the </w:t>
      </w:r>
      <w:r w:rsidRPr="006350BE">
        <w:rPr>
          <w:bCs/>
        </w:rPr>
        <w:t xml:space="preserve">alleged ill-treatment </w:t>
      </w:r>
      <w:r w:rsidR="00D2117F" w:rsidRPr="006350BE">
        <w:rPr>
          <w:bCs/>
        </w:rPr>
        <w:t xml:space="preserve">had not been deficient </w:t>
      </w:r>
      <w:r w:rsidR="008D53E9" w:rsidRPr="006350BE">
        <w:rPr>
          <w:bCs/>
        </w:rPr>
        <w:t xml:space="preserve">but </w:t>
      </w:r>
      <w:r w:rsidR="00D2117F" w:rsidRPr="006350BE">
        <w:rPr>
          <w:bCs/>
        </w:rPr>
        <w:t xml:space="preserve">had been </w:t>
      </w:r>
      <w:r w:rsidRPr="006350BE">
        <w:rPr>
          <w:bCs/>
        </w:rPr>
        <w:t>effective.</w:t>
      </w:r>
    </w:p>
    <w:p w:rsidR="00776700" w:rsidRPr="006350BE" w:rsidRDefault="00D27BEB" w:rsidP="006350BE">
      <w:pPr>
        <w:pStyle w:val="ECHRPara"/>
        <w:rPr>
          <w:bCs/>
        </w:rPr>
      </w:pPr>
      <w:r w:rsidRPr="006350BE">
        <w:rPr>
          <w:bCs/>
        </w:rPr>
        <w:fldChar w:fldCharType="begin"/>
      </w:r>
      <w:r w:rsidRPr="006350BE">
        <w:rPr>
          <w:bCs/>
        </w:rPr>
        <w:instrText xml:space="preserve"> SEQ level0 \*arabic </w:instrText>
      </w:r>
      <w:r w:rsidRPr="006350BE">
        <w:rPr>
          <w:bCs/>
        </w:rPr>
        <w:fldChar w:fldCharType="separate"/>
      </w:r>
      <w:r w:rsidR="006350BE" w:rsidRPr="006350BE">
        <w:rPr>
          <w:bCs/>
          <w:noProof/>
        </w:rPr>
        <w:t>46</w:t>
      </w:r>
      <w:r w:rsidRPr="006350BE">
        <w:rPr>
          <w:bCs/>
        </w:rPr>
        <w:fldChar w:fldCharType="end"/>
      </w:r>
      <w:r w:rsidRPr="006350BE">
        <w:rPr>
          <w:bCs/>
        </w:rPr>
        <w:t>.  The applicant maintained his complaints.</w:t>
      </w:r>
      <w:r w:rsidR="002C07CD" w:rsidRPr="006350BE">
        <w:rPr>
          <w:bCs/>
        </w:rPr>
        <w:t xml:space="preserve"> He considered that he had been subjected to ill-treatment with a view to coercing him to withdraw his application before the Court</w:t>
      </w:r>
      <w:r w:rsidR="00633F8B" w:rsidRPr="006350BE">
        <w:rPr>
          <w:bCs/>
        </w:rPr>
        <w:t>.</w:t>
      </w:r>
    </w:p>
    <w:p w:rsidR="00D27BEB" w:rsidRPr="006350BE" w:rsidRDefault="00D27BEB" w:rsidP="006350BE">
      <w:pPr>
        <w:pStyle w:val="ECHRHeading3"/>
      </w:pPr>
      <w:r w:rsidRPr="006350BE">
        <w:t>2.</w:t>
      </w:r>
      <w:r w:rsidR="00F36C8B" w:rsidRPr="006350BE">
        <w:t>  </w:t>
      </w:r>
      <w:r w:rsidRPr="006350BE">
        <w:t>The Court</w:t>
      </w:r>
      <w:r w:rsidR="006350BE" w:rsidRPr="006350BE">
        <w:t>’</w:t>
      </w:r>
      <w:r w:rsidRPr="006350BE">
        <w:t>s assessment</w:t>
      </w:r>
    </w:p>
    <w:p w:rsidR="007B0693" w:rsidRPr="006350BE" w:rsidRDefault="00EB1855" w:rsidP="006350BE">
      <w:pPr>
        <w:pStyle w:val="ECHRHeading4"/>
        <w:rPr>
          <w:rFonts w:eastAsia="Times New Roman"/>
          <w:lang w:eastAsia="zh-CN"/>
        </w:rPr>
      </w:pPr>
      <w:r w:rsidRPr="006350BE">
        <w:rPr>
          <w:rFonts w:eastAsia="Times New Roman"/>
          <w:lang w:eastAsia="zh-CN"/>
        </w:rPr>
        <w:t>(a)</w:t>
      </w:r>
      <w:r w:rsidR="00594191" w:rsidRPr="006350BE">
        <w:rPr>
          <w:rFonts w:eastAsia="Times New Roman"/>
          <w:lang w:eastAsia="zh-CN"/>
        </w:rPr>
        <w:t>  </w:t>
      </w:r>
      <w:r w:rsidR="007B0693" w:rsidRPr="006350BE">
        <w:rPr>
          <w:rFonts w:eastAsia="Times New Roman"/>
          <w:lang w:eastAsia="zh-CN"/>
        </w:rPr>
        <w:t>General principles</w:t>
      </w:r>
    </w:p>
    <w:p w:rsidR="000042F3" w:rsidRPr="006350BE" w:rsidRDefault="007B0693" w:rsidP="006350BE">
      <w:pPr>
        <w:pStyle w:val="ECHRPara"/>
        <w:rPr>
          <w:lang w:val="en-US"/>
        </w:rPr>
      </w:pPr>
      <w:r w:rsidRPr="006350BE">
        <w:fldChar w:fldCharType="begin"/>
      </w:r>
      <w:r w:rsidRPr="006350BE">
        <w:instrText xml:space="preserve"> SEQ level0 \*arabic </w:instrText>
      </w:r>
      <w:r w:rsidRPr="006350BE">
        <w:fldChar w:fldCharType="separate"/>
      </w:r>
      <w:r w:rsidR="006350BE" w:rsidRPr="006350BE">
        <w:rPr>
          <w:noProof/>
        </w:rPr>
        <w:t>47</w:t>
      </w:r>
      <w:r w:rsidRPr="006350BE">
        <w:rPr>
          <w:noProof/>
        </w:rPr>
        <w:fldChar w:fldCharType="end"/>
      </w:r>
      <w:r w:rsidRPr="006350BE">
        <w:t>. </w:t>
      </w:r>
      <w:r w:rsidR="000042F3" w:rsidRPr="006350BE">
        <w:rPr>
          <w:lang w:val="en-US"/>
        </w:rPr>
        <w:t> The Court reiterates that Article 3 of the Convention enshrines one of the most fundamental values of democratic society. It prohibits in absolute terms torture or inhuman or degrading treatment or punishment, irrespective of the circumstances and the victim</w:t>
      </w:r>
      <w:r w:rsidR="006350BE" w:rsidRPr="006350BE">
        <w:rPr>
          <w:lang w:val="en-US"/>
        </w:rPr>
        <w:t>’</w:t>
      </w:r>
      <w:r w:rsidR="000042F3" w:rsidRPr="006350BE">
        <w:rPr>
          <w:lang w:val="en-US"/>
        </w:rPr>
        <w:t xml:space="preserve">s </w:t>
      </w:r>
      <w:proofErr w:type="spellStart"/>
      <w:r w:rsidR="000042F3" w:rsidRPr="006350BE">
        <w:rPr>
          <w:lang w:val="en-US"/>
        </w:rPr>
        <w:t>behaviour</w:t>
      </w:r>
      <w:proofErr w:type="spellEnd"/>
      <w:r w:rsidR="000042F3" w:rsidRPr="006350BE">
        <w:rPr>
          <w:lang w:val="en-US"/>
        </w:rPr>
        <w:t xml:space="preserve"> (see </w:t>
      </w:r>
      <w:proofErr w:type="spellStart"/>
      <w:r w:rsidR="000042F3" w:rsidRPr="006350BE">
        <w:rPr>
          <w:i/>
          <w:iCs/>
          <w:lang w:val="en-US"/>
        </w:rPr>
        <w:t>Kudła</w:t>
      </w:r>
      <w:proofErr w:type="spellEnd"/>
      <w:r w:rsidR="000042F3" w:rsidRPr="006350BE">
        <w:rPr>
          <w:i/>
          <w:iCs/>
          <w:lang w:val="en-US"/>
        </w:rPr>
        <w:t xml:space="preserve"> v.</w:t>
      </w:r>
      <w:r w:rsidR="00633F8B" w:rsidRPr="006350BE">
        <w:rPr>
          <w:i/>
          <w:iCs/>
          <w:lang w:val="en-US"/>
        </w:rPr>
        <w:t> </w:t>
      </w:r>
      <w:r w:rsidR="000042F3" w:rsidRPr="006350BE">
        <w:rPr>
          <w:i/>
          <w:iCs/>
          <w:lang w:val="en-US"/>
        </w:rPr>
        <w:t>Poland </w:t>
      </w:r>
      <w:r w:rsidR="000042F3" w:rsidRPr="006350BE">
        <w:rPr>
          <w:lang w:val="en-US"/>
        </w:rPr>
        <w:t>[GC], no. 30210/96, § 90, ECHR 2000</w:t>
      </w:r>
      <w:r w:rsidR="000042F3" w:rsidRPr="006350BE">
        <w:rPr>
          <w:lang w:val="en-US"/>
        </w:rPr>
        <w:noBreakHyphen/>
        <w:t>XI).</w:t>
      </w:r>
    </w:p>
    <w:p w:rsidR="000042F3" w:rsidRPr="006350BE" w:rsidRDefault="000042F3" w:rsidP="006350BE">
      <w:pPr>
        <w:pStyle w:val="ECHRPara"/>
        <w:rPr>
          <w:lang w:val="en-US"/>
        </w:rPr>
      </w:pPr>
      <w:r w:rsidRPr="006350BE">
        <w:rPr>
          <w:lang w:val="en-US"/>
        </w:rPr>
        <w:fldChar w:fldCharType="begin"/>
      </w:r>
      <w:r w:rsidRPr="006350BE">
        <w:rPr>
          <w:lang w:val="en-US"/>
        </w:rPr>
        <w:instrText xml:space="preserve"> SEQ level0 \*arabic </w:instrText>
      </w:r>
      <w:r w:rsidRPr="006350BE">
        <w:rPr>
          <w:lang w:val="en-US"/>
        </w:rPr>
        <w:fldChar w:fldCharType="separate"/>
      </w:r>
      <w:r w:rsidR="006350BE" w:rsidRPr="006350BE">
        <w:rPr>
          <w:noProof/>
          <w:lang w:val="en-US"/>
        </w:rPr>
        <w:t>48</w:t>
      </w:r>
      <w:r w:rsidRPr="006350BE">
        <w:rPr>
          <w:lang w:val="en-US"/>
        </w:rPr>
        <w:fldChar w:fldCharType="end"/>
      </w:r>
      <w:r w:rsidRPr="006350BE">
        <w:rPr>
          <w:lang w:val="en-US"/>
        </w:rPr>
        <w:t>.  In order for ill-treatment to fall within the scope of Article 3 it must attain a minimum level of severity. The assessment of this minimum is, in the nature of things, relative; it depends on all the circumstances of the case, such as the duration of the treatment, its physical or mental effects and, in some cases, the sex, age and state of health of the victim (see </w:t>
      </w:r>
      <w:bookmarkStart w:id="18" w:name="File10"/>
      <w:r w:rsidRPr="006350BE">
        <w:rPr>
          <w:i/>
          <w:iCs/>
          <w:lang w:val="en-US"/>
        </w:rPr>
        <w:t>Ireland</w:t>
      </w:r>
      <w:bookmarkEnd w:id="18"/>
      <w:r w:rsidRPr="006350BE">
        <w:rPr>
          <w:i/>
          <w:iCs/>
          <w:lang w:val="en-US"/>
        </w:rPr>
        <w:t> v. the United Kingdom</w:t>
      </w:r>
      <w:r w:rsidRPr="006350BE">
        <w:rPr>
          <w:lang w:val="en-US"/>
        </w:rPr>
        <w:t>, 18 January 1978, § 162, Series A no. 25</w:t>
      </w:r>
      <w:r w:rsidR="00633F8B" w:rsidRPr="006350BE">
        <w:rPr>
          <w:lang w:val="en-US"/>
        </w:rPr>
        <w:t>,</w:t>
      </w:r>
      <w:r w:rsidRPr="006350BE">
        <w:rPr>
          <w:lang w:val="en-US"/>
        </w:rPr>
        <w:t xml:space="preserve"> and </w:t>
      </w:r>
      <w:r w:rsidRPr="006350BE">
        <w:rPr>
          <w:i/>
          <w:lang w:val="fi-FI"/>
        </w:rPr>
        <w:t>Lyapin v.</w:t>
      </w:r>
      <w:r w:rsidR="00633F8B" w:rsidRPr="006350BE">
        <w:rPr>
          <w:i/>
          <w:lang w:val="fi-FI"/>
        </w:rPr>
        <w:t> </w:t>
      </w:r>
      <w:r w:rsidRPr="006350BE">
        <w:rPr>
          <w:i/>
          <w:lang w:val="fi-FI"/>
        </w:rPr>
        <w:t>Russia</w:t>
      </w:r>
      <w:r w:rsidRPr="006350BE">
        <w:rPr>
          <w:lang w:val="fi-FI"/>
        </w:rPr>
        <w:t>, no. 46956/09</w:t>
      </w:r>
      <w:r w:rsidRPr="006350BE">
        <w:rPr>
          <w:snapToGrid w:val="0"/>
          <w:lang w:val="fi-FI"/>
        </w:rPr>
        <w:t>, §§ 109-15, 2</w:t>
      </w:r>
      <w:r w:rsidRPr="006350BE">
        <w:rPr>
          <w:lang w:val="fi-FI"/>
        </w:rPr>
        <w:t>4</w:t>
      </w:r>
      <w:r w:rsidRPr="006350BE">
        <w:rPr>
          <w:snapToGrid w:val="0"/>
          <w:lang w:val="fi-FI"/>
        </w:rPr>
        <w:t xml:space="preserve"> July 2014</w:t>
      </w:r>
      <w:r w:rsidRPr="006350BE">
        <w:rPr>
          <w:lang w:val="en-US"/>
        </w:rPr>
        <w:t>).</w:t>
      </w:r>
    </w:p>
    <w:p w:rsidR="00223D90" w:rsidRPr="006350BE" w:rsidRDefault="000042F3" w:rsidP="006350BE">
      <w:pPr>
        <w:pStyle w:val="ECHRPara"/>
        <w:rPr>
          <w:lang w:val="fi-FI"/>
        </w:rPr>
      </w:pPr>
      <w:r w:rsidRPr="006350BE">
        <w:rPr>
          <w:lang w:val="en-US"/>
        </w:rPr>
        <w:fldChar w:fldCharType="begin"/>
      </w:r>
      <w:r w:rsidRPr="006350BE">
        <w:rPr>
          <w:lang w:val="en-US"/>
        </w:rPr>
        <w:instrText xml:space="preserve"> SEQ level0 \*arabic </w:instrText>
      </w:r>
      <w:r w:rsidRPr="006350BE">
        <w:rPr>
          <w:lang w:val="en-US"/>
        </w:rPr>
        <w:fldChar w:fldCharType="separate"/>
      </w:r>
      <w:r w:rsidR="006350BE" w:rsidRPr="006350BE">
        <w:rPr>
          <w:noProof/>
          <w:lang w:val="en-US"/>
        </w:rPr>
        <w:t>49</w:t>
      </w:r>
      <w:r w:rsidRPr="006350BE">
        <w:rPr>
          <w:lang w:val="en-US"/>
        </w:rPr>
        <w:fldChar w:fldCharType="end"/>
      </w:r>
      <w:r w:rsidRPr="006350BE">
        <w:rPr>
          <w:lang w:val="en-US"/>
        </w:rPr>
        <w:t>.  </w:t>
      </w:r>
      <w:r w:rsidR="00223D90" w:rsidRPr="006350BE">
        <w:rPr>
          <w:lang w:val="en-US"/>
        </w:rPr>
        <w:t>The Court has stated on many occasions that where an individual raises an arguable claim that he has been seriously ill-treated by the police or other such agents of the State in breach of Article 3, that provision, read in conjunction with the State</w:t>
      </w:r>
      <w:r w:rsidR="006350BE" w:rsidRPr="006350BE">
        <w:rPr>
          <w:lang w:val="en-US"/>
        </w:rPr>
        <w:t>’</w:t>
      </w:r>
      <w:r w:rsidR="00223D90" w:rsidRPr="006350BE">
        <w:rPr>
          <w:lang w:val="en-US"/>
        </w:rPr>
        <w:t>s general duty under Article 1 of the Convention to “secure to everyone within their jurisdiction the rights and freedoms defined in ... [the] Convention”, requires by implication that there should be an effective official investigation (see </w:t>
      </w:r>
      <w:proofErr w:type="spellStart"/>
      <w:r w:rsidR="00223D90" w:rsidRPr="006350BE">
        <w:rPr>
          <w:i/>
          <w:iCs/>
          <w:lang w:val="en-US"/>
        </w:rPr>
        <w:t>Assenov</w:t>
      </w:r>
      <w:proofErr w:type="spellEnd"/>
      <w:r w:rsidR="00223D90" w:rsidRPr="006350BE">
        <w:rPr>
          <w:i/>
          <w:iCs/>
          <w:lang w:val="en-US"/>
        </w:rPr>
        <w:t xml:space="preserve"> and Others v.</w:t>
      </w:r>
      <w:r w:rsidR="00BF77FF" w:rsidRPr="006350BE">
        <w:rPr>
          <w:i/>
          <w:iCs/>
          <w:lang w:val="en-US"/>
        </w:rPr>
        <w:t> </w:t>
      </w:r>
      <w:r w:rsidR="00223D90" w:rsidRPr="006350BE">
        <w:rPr>
          <w:i/>
          <w:iCs/>
          <w:lang w:val="en-US"/>
        </w:rPr>
        <w:t>Bulgaria</w:t>
      </w:r>
      <w:r w:rsidR="00223D90" w:rsidRPr="006350BE">
        <w:rPr>
          <w:lang w:val="en-US"/>
        </w:rPr>
        <w:t>, 28</w:t>
      </w:r>
      <w:r w:rsidRPr="006350BE">
        <w:rPr>
          <w:lang w:val="en-US"/>
        </w:rPr>
        <w:t> </w:t>
      </w:r>
      <w:r w:rsidR="00223D90" w:rsidRPr="006350BE">
        <w:rPr>
          <w:lang w:val="en-US"/>
        </w:rPr>
        <w:t>October 1998, § 102, </w:t>
      </w:r>
      <w:r w:rsidR="004D52D2" w:rsidRPr="006350BE">
        <w:rPr>
          <w:i/>
          <w:iCs/>
        </w:rPr>
        <w:t>Reports of Judgments and Decisions</w:t>
      </w:r>
      <w:r w:rsidR="004D52D2" w:rsidRPr="006350BE">
        <w:t xml:space="preserve"> 1998-VIII</w:t>
      </w:r>
      <w:r w:rsidR="00BF77FF" w:rsidRPr="006350BE">
        <w:rPr>
          <w:lang w:val="en-US"/>
        </w:rPr>
        <w:t>;</w:t>
      </w:r>
      <w:r w:rsidR="00223D90" w:rsidRPr="006350BE">
        <w:rPr>
          <w:lang w:val="en-US"/>
        </w:rPr>
        <w:t> </w:t>
      </w:r>
      <w:proofErr w:type="spellStart"/>
      <w:r w:rsidR="00223D90" w:rsidRPr="006350BE">
        <w:rPr>
          <w:i/>
          <w:iCs/>
          <w:lang w:val="en-US"/>
        </w:rPr>
        <w:t>Labita</w:t>
      </w:r>
      <w:proofErr w:type="spellEnd"/>
      <w:r w:rsidR="00223D90" w:rsidRPr="006350BE">
        <w:rPr>
          <w:i/>
          <w:iCs/>
          <w:lang w:val="en-US"/>
        </w:rPr>
        <w:t xml:space="preserve"> v. Italy</w:t>
      </w:r>
      <w:r w:rsidR="00223D90" w:rsidRPr="006350BE">
        <w:rPr>
          <w:lang w:val="en-US"/>
        </w:rPr>
        <w:t> [GC], no. 26772/95, § 131, ECHR 2000</w:t>
      </w:r>
      <w:r w:rsidR="00223D90" w:rsidRPr="006350BE">
        <w:rPr>
          <w:lang w:val="en-US"/>
        </w:rPr>
        <w:noBreakHyphen/>
        <w:t>IV</w:t>
      </w:r>
      <w:r w:rsidR="00BF77FF" w:rsidRPr="006350BE">
        <w:rPr>
          <w:lang w:val="en-US"/>
        </w:rPr>
        <w:t>;</w:t>
      </w:r>
      <w:r w:rsidRPr="006350BE">
        <w:rPr>
          <w:lang w:val="en-US"/>
        </w:rPr>
        <w:t xml:space="preserve"> and </w:t>
      </w:r>
      <w:r w:rsidRPr="006350BE">
        <w:rPr>
          <w:i/>
          <w:lang w:val="fi-FI"/>
        </w:rPr>
        <w:t>Lyapin</w:t>
      </w:r>
      <w:r w:rsidRPr="006350BE">
        <w:rPr>
          <w:lang w:val="fi-FI"/>
        </w:rPr>
        <w:t>, cited above</w:t>
      </w:r>
      <w:r w:rsidRPr="006350BE">
        <w:rPr>
          <w:snapToGrid w:val="0"/>
          <w:lang w:val="fi-FI"/>
        </w:rPr>
        <w:t>, §§ 125-27</w:t>
      </w:r>
      <w:r w:rsidR="00223D90" w:rsidRPr="006350BE">
        <w:rPr>
          <w:lang w:val="en-US"/>
        </w:rPr>
        <w:t>).</w:t>
      </w:r>
    </w:p>
    <w:p w:rsidR="00B613DA" w:rsidRPr="006350BE" w:rsidRDefault="00B613DA" w:rsidP="006350BE">
      <w:pPr>
        <w:pStyle w:val="ECHRHeading4"/>
        <w:rPr>
          <w:rFonts w:eastAsia="Times New Roman"/>
          <w:lang w:eastAsia="zh-CN"/>
        </w:rPr>
      </w:pPr>
      <w:r w:rsidRPr="006350BE">
        <w:rPr>
          <w:rFonts w:eastAsia="Times New Roman"/>
          <w:lang w:eastAsia="zh-CN"/>
        </w:rPr>
        <w:t>(</w:t>
      </w:r>
      <w:r w:rsidR="00C250C4" w:rsidRPr="006350BE">
        <w:rPr>
          <w:rFonts w:eastAsia="Times New Roman"/>
          <w:lang w:eastAsia="zh-CN"/>
        </w:rPr>
        <w:t>b</w:t>
      </w:r>
      <w:r w:rsidRPr="006350BE">
        <w:rPr>
          <w:rFonts w:eastAsia="Times New Roman"/>
          <w:lang w:eastAsia="zh-CN"/>
        </w:rPr>
        <w:t>)  Application of the above principles in the present case</w:t>
      </w:r>
    </w:p>
    <w:p w:rsidR="001735F3" w:rsidRPr="006350BE" w:rsidRDefault="001735F3" w:rsidP="006350BE">
      <w:pPr>
        <w:pStyle w:val="ECHRHeading5"/>
        <w:rPr>
          <w:lang w:eastAsia="zh-CN"/>
        </w:rPr>
      </w:pPr>
      <w:r w:rsidRPr="006350BE">
        <w:rPr>
          <w:lang w:eastAsia="zh-CN"/>
        </w:rPr>
        <w:t>(</w:t>
      </w:r>
      <w:proofErr w:type="spellStart"/>
      <w:r w:rsidRPr="006350BE">
        <w:rPr>
          <w:lang w:eastAsia="zh-CN"/>
        </w:rPr>
        <w:t>i</w:t>
      </w:r>
      <w:proofErr w:type="spellEnd"/>
      <w:r w:rsidRPr="006350BE">
        <w:rPr>
          <w:lang w:eastAsia="zh-CN"/>
        </w:rPr>
        <w:t>)  </w:t>
      </w:r>
      <w:r w:rsidR="007B0693" w:rsidRPr="006350BE">
        <w:rPr>
          <w:lang w:eastAsia="zh-CN"/>
        </w:rPr>
        <w:t xml:space="preserve">Alleged ill-treatment of </w:t>
      </w:r>
      <w:r w:rsidRPr="006350BE">
        <w:rPr>
          <w:lang w:eastAsia="zh-CN"/>
        </w:rPr>
        <w:t>May 2006 and December 2007</w:t>
      </w:r>
    </w:p>
    <w:p w:rsidR="001735F3" w:rsidRPr="006350BE" w:rsidRDefault="001735F3"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50</w:t>
      </w:r>
      <w:r w:rsidRPr="006350BE">
        <w:fldChar w:fldCharType="end"/>
      </w:r>
      <w:r w:rsidRPr="006350BE">
        <w:t>.  As regards the injuries the second applicant sustained on 15 May 2006 and 27 December 2007 (see paragraph</w:t>
      </w:r>
      <w:r w:rsidR="001C392A" w:rsidRPr="006350BE">
        <w:t>s</w:t>
      </w:r>
      <w:r w:rsidRPr="006350BE">
        <w:t xml:space="preserve"> </w:t>
      </w:r>
      <w:r w:rsidRPr="006350BE">
        <w:fldChar w:fldCharType="begin"/>
      </w:r>
      <w:r w:rsidRPr="006350BE">
        <w:instrText xml:space="preserve"> REF Forensic \h </w:instrText>
      </w:r>
      <w:r w:rsidRPr="006350BE">
        <w:fldChar w:fldCharType="separate"/>
      </w:r>
      <w:r w:rsidR="006350BE" w:rsidRPr="006350BE">
        <w:rPr>
          <w:noProof/>
        </w:rPr>
        <w:t>27</w:t>
      </w:r>
      <w:r w:rsidRPr="006350BE">
        <w:fldChar w:fldCharType="end"/>
      </w:r>
      <w:r w:rsidR="001C392A" w:rsidRPr="006350BE">
        <w:t xml:space="preserve"> </w:t>
      </w:r>
      <w:r w:rsidR="002A159D" w:rsidRPr="006350BE">
        <w:t>to</w:t>
      </w:r>
      <w:r w:rsidR="001C392A" w:rsidRPr="006350BE">
        <w:t xml:space="preserve"> </w:t>
      </w:r>
      <w:r w:rsidR="001C392A" w:rsidRPr="006350BE">
        <w:fldChar w:fldCharType="begin"/>
      </w:r>
      <w:r w:rsidR="001C392A" w:rsidRPr="006350BE">
        <w:instrText xml:space="preserve"> REF ill_treatment_other \h </w:instrText>
      </w:r>
      <w:r w:rsidR="001C392A" w:rsidRPr="006350BE">
        <w:fldChar w:fldCharType="separate"/>
      </w:r>
      <w:r w:rsidR="006350BE" w:rsidRPr="006350BE">
        <w:rPr>
          <w:noProof/>
        </w:rPr>
        <w:t>29</w:t>
      </w:r>
      <w:r w:rsidR="001C392A" w:rsidRPr="006350BE">
        <w:fldChar w:fldCharType="end"/>
      </w:r>
      <w:r w:rsidR="001C392A" w:rsidRPr="006350BE">
        <w:t xml:space="preserve"> </w:t>
      </w:r>
      <w:r w:rsidRPr="006350BE">
        <w:t xml:space="preserve">above) the Court notes that the medical evidence submitted by the parties conclusively demonstrates that the applicant sustained bruises </w:t>
      </w:r>
      <w:r w:rsidR="002A159D" w:rsidRPr="006350BE">
        <w:t xml:space="preserve">measuring between </w:t>
      </w:r>
      <w:r w:rsidRPr="006350BE">
        <w:lastRenderedPageBreak/>
        <w:t>20</w:t>
      </w:r>
      <w:r w:rsidR="00BF77FF" w:rsidRPr="006350BE">
        <w:noBreakHyphen/>
      </w:r>
      <w:r w:rsidRPr="006350BE">
        <w:t>27 </w:t>
      </w:r>
      <w:proofErr w:type="spellStart"/>
      <w:r w:rsidR="002A159D" w:rsidRPr="006350BE">
        <w:t>sq</w:t>
      </w:r>
      <w:proofErr w:type="spellEnd"/>
      <w:r w:rsidR="002A159D" w:rsidRPr="006350BE">
        <w:t xml:space="preserve"> </w:t>
      </w:r>
      <w:r w:rsidRPr="006350BE">
        <w:t xml:space="preserve">cm and 30-45 </w:t>
      </w:r>
      <w:proofErr w:type="spellStart"/>
      <w:r w:rsidR="002A159D" w:rsidRPr="006350BE">
        <w:t>sq</w:t>
      </w:r>
      <w:proofErr w:type="spellEnd"/>
      <w:r w:rsidR="002A159D" w:rsidRPr="006350BE">
        <w:t xml:space="preserve"> </w:t>
      </w:r>
      <w:r w:rsidRPr="006350BE">
        <w:t>cm on his hips.</w:t>
      </w:r>
      <w:r w:rsidR="00C250C4" w:rsidRPr="006350BE">
        <w:t xml:space="preserve"> </w:t>
      </w:r>
      <w:r w:rsidR="00FA6291" w:rsidRPr="006350BE">
        <w:t>Furthermore</w:t>
      </w:r>
      <w:r w:rsidR="008B2F26" w:rsidRPr="006350BE">
        <w:t>,</w:t>
      </w:r>
      <w:r w:rsidR="00FA6291" w:rsidRPr="006350BE">
        <w:t xml:space="preserve"> there is no dispute between the parties that at the material time the second applicant was </w:t>
      </w:r>
      <w:r w:rsidR="008B2F26" w:rsidRPr="006350BE">
        <w:t xml:space="preserve">being held in </w:t>
      </w:r>
      <w:r w:rsidR="00FA6291" w:rsidRPr="006350BE">
        <w:t>custody</w:t>
      </w:r>
      <w:r w:rsidR="00311BCB" w:rsidRPr="006350BE">
        <w:t>. It</w:t>
      </w:r>
      <w:r w:rsidR="00FA6291" w:rsidRPr="006350BE">
        <w:t xml:space="preserve"> thus </w:t>
      </w:r>
      <w:r w:rsidR="00311BCB" w:rsidRPr="006350BE">
        <w:t xml:space="preserve">follows that </w:t>
      </w:r>
      <w:r w:rsidR="00FA6291" w:rsidRPr="006350BE">
        <w:t xml:space="preserve">the State </w:t>
      </w:r>
      <w:r w:rsidR="00414EA4" w:rsidRPr="006350BE">
        <w:t xml:space="preserve">is </w:t>
      </w:r>
      <w:r w:rsidR="00FA6291" w:rsidRPr="006350BE">
        <w:t xml:space="preserve">under </w:t>
      </w:r>
      <w:r w:rsidR="008B2F26" w:rsidRPr="006350BE">
        <w:t xml:space="preserve">an </w:t>
      </w:r>
      <w:r w:rsidR="00FA6291" w:rsidRPr="006350BE">
        <w:t>obligation to provide a satisfactory and convincing explanation for any injuries</w:t>
      </w:r>
      <w:r w:rsidR="002A159D" w:rsidRPr="006350BE">
        <w:t xml:space="preserve"> </w:t>
      </w:r>
      <w:r w:rsidR="008B2F26" w:rsidRPr="006350BE">
        <w:t xml:space="preserve">he </w:t>
      </w:r>
      <w:r w:rsidR="002A159D" w:rsidRPr="006350BE">
        <w:t>sustained</w:t>
      </w:r>
      <w:r w:rsidR="00FA6291" w:rsidRPr="006350BE">
        <w:t>.</w:t>
      </w:r>
    </w:p>
    <w:p w:rsidR="001735F3" w:rsidRPr="006350BE" w:rsidRDefault="001735F3"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51</w:t>
      </w:r>
      <w:r w:rsidRPr="006350BE">
        <w:rPr>
          <w:noProof/>
        </w:rPr>
        <w:fldChar w:fldCharType="end"/>
      </w:r>
      <w:r w:rsidRPr="006350BE">
        <w:t xml:space="preserve">.  The Court further observes that the parties disagreed as to the cause of the injuries. The </w:t>
      </w:r>
      <w:r w:rsidR="002A159D" w:rsidRPr="006350BE">
        <w:t xml:space="preserve">second </w:t>
      </w:r>
      <w:r w:rsidRPr="006350BE">
        <w:t xml:space="preserve">applicant asserted that he had been beaten </w:t>
      </w:r>
      <w:r w:rsidR="008B2F26" w:rsidRPr="006350BE">
        <w:t xml:space="preserve">up </w:t>
      </w:r>
      <w:r w:rsidRPr="006350BE">
        <w:t xml:space="preserve">by the </w:t>
      </w:r>
      <w:r w:rsidR="00AD2DBD" w:rsidRPr="006350BE">
        <w:t>guards of the correctional colony</w:t>
      </w:r>
      <w:r w:rsidR="002A159D" w:rsidRPr="006350BE">
        <w:t>,</w:t>
      </w:r>
      <w:r w:rsidRPr="006350BE">
        <w:t xml:space="preserve"> </w:t>
      </w:r>
      <w:r w:rsidR="002A159D" w:rsidRPr="006350BE">
        <w:t>w</w:t>
      </w:r>
      <w:r w:rsidR="00AD2DBD" w:rsidRPr="006350BE">
        <w:t>hereas t</w:t>
      </w:r>
      <w:r w:rsidRPr="006350BE">
        <w:t xml:space="preserve">he Government suggested that </w:t>
      </w:r>
      <w:r w:rsidRPr="006350BE">
        <w:rPr>
          <w:rFonts w:asciiTheme="majorHAnsi" w:eastAsiaTheme="majorEastAsia" w:hAnsiTheme="majorHAnsi" w:cstheme="majorBidi"/>
          <w:bCs/>
          <w:szCs w:val="28"/>
        </w:rPr>
        <w:t>the applicant had never been subject</w:t>
      </w:r>
      <w:r w:rsidR="002A159D" w:rsidRPr="006350BE">
        <w:rPr>
          <w:rFonts w:asciiTheme="majorHAnsi" w:eastAsiaTheme="majorEastAsia" w:hAnsiTheme="majorHAnsi" w:cstheme="majorBidi"/>
          <w:bCs/>
          <w:szCs w:val="28"/>
        </w:rPr>
        <w:t>ed</w:t>
      </w:r>
      <w:r w:rsidRPr="006350BE">
        <w:rPr>
          <w:rFonts w:asciiTheme="majorHAnsi" w:eastAsiaTheme="majorEastAsia" w:hAnsiTheme="majorHAnsi" w:cstheme="majorBidi"/>
          <w:bCs/>
          <w:szCs w:val="28"/>
        </w:rPr>
        <w:t xml:space="preserve"> to torture or </w:t>
      </w:r>
      <w:r w:rsidR="002A159D" w:rsidRPr="006350BE">
        <w:rPr>
          <w:rFonts w:asciiTheme="majorHAnsi" w:eastAsiaTheme="majorEastAsia" w:hAnsiTheme="majorHAnsi" w:cstheme="majorBidi"/>
          <w:bCs/>
          <w:szCs w:val="28"/>
        </w:rPr>
        <w:t xml:space="preserve">to </w:t>
      </w:r>
      <w:r w:rsidRPr="006350BE">
        <w:rPr>
          <w:rFonts w:asciiTheme="majorHAnsi" w:eastAsiaTheme="majorEastAsia" w:hAnsiTheme="majorHAnsi" w:cstheme="majorBidi"/>
          <w:bCs/>
          <w:szCs w:val="28"/>
        </w:rPr>
        <w:t>any degrading or inhuman treatment</w:t>
      </w:r>
      <w:r w:rsidR="00A102D5" w:rsidRPr="006350BE">
        <w:rPr>
          <w:rFonts w:asciiTheme="majorHAnsi" w:eastAsiaTheme="majorEastAsia" w:hAnsiTheme="majorHAnsi" w:cstheme="majorBidi"/>
          <w:bCs/>
          <w:szCs w:val="28"/>
        </w:rPr>
        <w:t>.</w:t>
      </w:r>
    </w:p>
    <w:p w:rsidR="001735F3" w:rsidRPr="006350BE" w:rsidRDefault="001735F3"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52</w:t>
      </w:r>
      <w:r w:rsidRPr="006350BE">
        <w:rPr>
          <w:noProof/>
        </w:rPr>
        <w:fldChar w:fldCharType="end"/>
      </w:r>
      <w:r w:rsidRPr="006350BE">
        <w:t>.  The Court is not convinced by the Government</w:t>
      </w:r>
      <w:r w:rsidR="006350BE" w:rsidRPr="006350BE">
        <w:t>’</w:t>
      </w:r>
      <w:r w:rsidRPr="006350BE">
        <w:t>s explanation in respect of the injuries sustained by</w:t>
      </w:r>
      <w:r w:rsidR="002A159D" w:rsidRPr="006350BE">
        <w:t xml:space="preserve"> the second applicant</w:t>
      </w:r>
      <w:r w:rsidRPr="006350BE">
        <w:t>. There is nothing in the Government</w:t>
      </w:r>
      <w:r w:rsidR="006350BE" w:rsidRPr="006350BE">
        <w:t>’</w:t>
      </w:r>
      <w:r w:rsidRPr="006350BE">
        <w:t>s submissions that could provide an evidentiary basis for their conjecture and rebut the presumption of their responsibility for the injuries inflicted on the applicant while he was in the care of the State. Accordingly, the responsibility for the applicant</w:t>
      </w:r>
      <w:r w:rsidR="006350BE" w:rsidRPr="006350BE">
        <w:t>’</w:t>
      </w:r>
      <w:r w:rsidRPr="006350BE">
        <w:t>s injuries lay with the domestic authorities.</w:t>
      </w:r>
    </w:p>
    <w:p w:rsidR="001735F3" w:rsidRPr="006350BE" w:rsidRDefault="001735F3"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53</w:t>
      </w:r>
      <w:r w:rsidRPr="006350BE">
        <w:rPr>
          <w:noProof/>
        </w:rPr>
        <w:fldChar w:fldCharType="end"/>
      </w:r>
      <w:r w:rsidRPr="006350BE">
        <w:t xml:space="preserve">.  The Court </w:t>
      </w:r>
      <w:r w:rsidR="002A159D" w:rsidRPr="006350BE">
        <w:t xml:space="preserve">considers </w:t>
      </w:r>
      <w:r w:rsidRPr="006350BE">
        <w:t xml:space="preserve">that even though the expert concluded that “the applicant did not need any medical treatment”, </w:t>
      </w:r>
      <w:r w:rsidR="00E3008B" w:rsidRPr="006350BE">
        <w:t xml:space="preserve">that </w:t>
      </w:r>
      <w:r w:rsidRPr="006350BE">
        <w:t xml:space="preserve">fact alone cannot rule out a finding that the </w:t>
      </w:r>
      <w:r w:rsidR="00E3008B" w:rsidRPr="006350BE">
        <w:t>ill-</w:t>
      </w:r>
      <w:r w:rsidRPr="006350BE">
        <w:t>treatment was severe enough to be considered inhuman or degrading. The Court considers that the degree of bruising found by the doctor who examined the second applicant indicates that the latter</w:t>
      </w:r>
      <w:r w:rsidR="006350BE" w:rsidRPr="006350BE">
        <w:t>’</w:t>
      </w:r>
      <w:r w:rsidRPr="006350BE">
        <w:t>s injuries were sufficiently serious to amount to ill-treatment within the scope of Article 3</w:t>
      </w:r>
      <w:r w:rsidRPr="006350BE" w:rsidDel="00CE5508">
        <w:t xml:space="preserve"> </w:t>
      </w:r>
      <w:r w:rsidRPr="006350BE">
        <w:t xml:space="preserve">(compare </w:t>
      </w:r>
      <w:proofErr w:type="spellStart"/>
      <w:r w:rsidRPr="006350BE">
        <w:rPr>
          <w:i/>
          <w:iCs/>
        </w:rPr>
        <w:t>Assenov</w:t>
      </w:r>
      <w:proofErr w:type="spellEnd"/>
      <w:r w:rsidRPr="006350BE">
        <w:rPr>
          <w:i/>
          <w:iCs/>
        </w:rPr>
        <w:t xml:space="preserve"> and Others</w:t>
      </w:r>
      <w:r w:rsidRPr="006350BE">
        <w:t>, cited above, § 95).</w:t>
      </w:r>
    </w:p>
    <w:p w:rsidR="001735F3" w:rsidRPr="006350BE" w:rsidRDefault="001735F3"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54</w:t>
      </w:r>
      <w:r w:rsidRPr="006350BE">
        <w:rPr>
          <w:noProof/>
        </w:rPr>
        <w:fldChar w:fldCharType="end"/>
      </w:r>
      <w:r w:rsidRPr="006350BE">
        <w:t>.  Having regard to the above, the Court concludes that on 15 May 2006 and 27 December 2007 the second applicant was subjected to ill</w:t>
      </w:r>
      <w:r w:rsidR="00BF77FF" w:rsidRPr="006350BE">
        <w:noBreakHyphen/>
      </w:r>
      <w:r w:rsidRPr="006350BE">
        <w:t>treatment for which responsibility lay with the domestic authorities and which amounted to inhuman treatment contrary to Article 3 of the Convention. It follows that there has been a violation of Article 3 of the Convention under its substantive limb.</w:t>
      </w:r>
    </w:p>
    <w:p w:rsidR="00C410D0" w:rsidRPr="006350BE" w:rsidRDefault="00991F4A" w:rsidP="006350BE">
      <w:pPr>
        <w:pStyle w:val="ECHRHeading5"/>
        <w:rPr>
          <w:lang w:eastAsia="zh-CN"/>
        </w:rPr>
      </w:pPr>
      <w:r w:rsidRPr="006350BE">
        <w:rPr>
          <w:lang w:eastAsia="zh-CN"/>
        </w:rPr>
        <w:t>(</w:t>
      </w:r>
      <w:proofErr w:type="spellStart"/>
      <w:r w:rsidR="009C6826" w:rsidRPr="006350BE">
        <w:rPr>
          <w:lang w:val="en-US" w:eastAsia="zh-CN"/>
        </w:rPr>
        <w:t>i</w:t>
      </w:r>
      <w:r w:rsidRPr="006350BE">
        <w:rPr>
          <w:lang w:eastAsia="zh-CN"/>
        </w:rPr>
        <w:t>i</w:t>
      </w:r>
      <w:proofErr w:type="spellEnd"/>
      <w:r w:rsidRPr="006350BE">
        <w:rPr>
          <w:lang w:eastAsia="zh-CN"/>
        </w:rPr>
        <w:t>)  </w:t>
      </w:r>
      <w:r w:rsidR="007B0693" w:rsidRPr="006350BE">
        <w:rPr>
          <w:lang w:eastAsia="zh-CN"/>
        </w:rPr>
        <w:t xml:space="preserve">Alleged ill-treatment of </w:t>
      </w:r>
      <w:r w:rsidRPr="006350BE">
        <w:rPr>
          <w:lang w:eastAsia="zh-CN"/>
        </w:rPr>
        <w:t>August</w:t>
      </w:r>
      <w:r w:rsidR="008B2F26" w:rsidRPr="006350BE">
        <w:rPr>
          <w:lang w:eastAsia="zh-CN"/>
        </w:rPr>
        <w:t xml:space="preserve"> and</w:t>
      </w:r>
      <w:r w:rsidR="00C410D0" w:rsidRPr="006350BE">
        <w:rPr>
          <w:lang w:eastAsia="zh-CN"/>
        </w:rPr>
        <w:t xml:space="preserve"> September 2009</w:t>
      </w:r>
      <w:r w:rsidRPr="006350BE">
        <w:rPr>
          <w:lang w:eastAsia="zh-CN"/>
        </w:rPr>
        <w:t xml:space="preserve"> and May 2010</w:t>
      </w:r>
    </w:p>
    <w:p w:rsidR="00991F4A" w:rsidRPr="006350BE" w:rsidRDefault="00594191" w:rsidP="006350BE">
      <w:pPr>
        <w:pStyle w:val="ECHRPara"/>
        <w:rPr>
          <w:lang w:val="en-US"/>
        </w:rPr>
      </w:pPr>
      <w:r w:rsidRPr="006350BE">
        <w:fldChar w:fldCharType="begin"/>
      </w:r>
      <w:r w:rsidRPr="006350BE">
        <w:instrText xml:space="preserve"> SEQ level0 \*arabic </w:instrText>
      </w:r>
      <w:r w:rsidRPr="006350BE">
        <w:fldChar w:fldCharType="separate"/>
      </w:r>
      <w:r w:rsidR="006350BE" w:rsidRPr="006350BE">
        <w:rPr>
          <w:noProof/>
        </w:rPr>
        <w:t>55</w:t>
      </w:r>
      <w:r w:rsidRPr="006350BE">
        <w:fldChar w:fldCharType="end"/>
      </w:r>
      <w:r w:rsidRPr="006350BE">
        <w:t>.  </w:t>
      </w:r>
      <w:r w:rsidR="000D2C51" w:rsidRPr="006350BE">
        <w:t>As for the second applicant</w:t>
      </w:r>
      <w:r w:rsidR="006350BE" w:rsidRPr="006350BE">
        <w:t>’</w:t>
      </w:r>
      <w:r w:rsidR="000D2C51" w:rsidRPr="006350BE">
        <w:t>s all</w:t>
      </w:r>
      <w:r w:rsidR="00BF77FF" w:rsidRPr="006350BE">
        <w:t xml:space="preserve">egations </w:t>
      </w:r>
      <w:r w:rsidR="00E3008B" w:rsidRPr="006350BE">
        <w:t xml:space="preserve">of </w:t>
      </w:r>
      <w:r w:rsidR="00BF77FF" w:rsidRPr="006350BE">
        <w:t>ill</w:t>
      </w:r>
      <w:r w:rsidR="00BF77FF" w:rsidRPr="006350BE">
        <w:noBreakHyphen/>
      </w:r>
      <w:r w:rsidR="000D2C51" w:rsidRPr="006350BE">
        <w:t>treatment in 2009 and 2010</w:t>
      </w:r>
      <w:r w:rsidRPr="006350BE">
        <w:t xml:space="preserve">, the Court firstly observes that </w:t>
      </w:r>
      <w:r w:rsidR="00E3008B" w:rsidRPr="006350BE">
        <w:rPr>
          <w:rFonts w:cstheme="minorHAnsi"/>
          <w:color w:val="000000"/>
        </w:rPr>
        <w:t xml:space="preserve">he </w:t>
      </w:r>
      <w:r w:rsidR="00DB0871" w:rsidRPr="006350BE">
        <w:t xml:space="preserve">has not produced any conclusive evidence in support of his </w:t>
      </w:r>
      <w:r w:rsidR="00FC0758" w:rsidRPr="006350BE">
        <w:t>allegations that on 10 August 2009 and in September 2009 he was blindfolded, suspended by his arms</w:t>
      </w:r>
      <w:r w:rsidR="00043256" w:rsidRPr="006350BE">
        <w:t xml:space="preserve"> (see paragraph </w:t>
      </w:r>
      <w:r w:rsidR="000B497B" w:rsidRPr="006350BE">
        <w:fldChar w:fldCharType="begin"/>
      </w:r>
      <w:r w:rsidR="000B497B" w:rsidRPr="006350BE">
        <w:instrText xml:space="preserve"> REF ill_treatment_2 \h </w:instrText>
      </w:r>
      <w:r w:rsidR="000B497B" w:rsidRPr="006350BE">
        <w:fldChar w:fldCharType="separate"/>
      </w:r>
      <w:r w:rsidR="006350BE" w:rsidRPr="006350BE">
        <w:rPr>
          <w:noProof/>
        </w:rPr>
        <w:t>37</w:t>
      </w:r>
      <w:r w:rsidR="000B497B" w:rsidRPr="006350BE">
        <w:fldChar w:fldCharType="end"/>
      </w:r>
      <w:r w:rsidR="0045771E" w:rsidRPr="006350BE">
        <w:t xml:space="preserve"> </w:t>
      </w:r>
      <w:r w:rsidR="00043256" w:rsidRPr="006350BE">
        <w:t>above)</w:t>
      </w:r>
      <w:r w:rsidR="00FC0758" w:rsidRPr="006350BE">
        <w:t xml:space="preserve"> and subjected to </w:t>
      </w:r>
      <w:r w:rsidR="00E3008B" w:rsidRPr="006350BE">
        <w:t xml:space="preserve">electric shocks </w:t>
      </w:r>
      <w:r w:rsidR="00FC0758" w:rsidRPr="006350BE">
        <w:t xml:space="preserve">by </w:t>
      </w:r>
      <w:r w:rsidR="000B497B" w:rsidRPr="006350BE">
        <w:t>correctional colony</w:t>
      </w:r>
      <w:r w:rsidR="00E3008B" w:rsidRPr="006350BE">
        <w:t xml:space="preserve"> guards,</w:t>
      </w:r>
      <w:r w:rsidR="00FC0758" w:rsidRPr="006350BE">
        <w:t xml:space="preserve"> </w:t>
      </w:r>
      <w:r w:rsidR="000E151A" w:rsidRPr="006350BE">
        <w:t xml:space="preserve">or </w:t>
      </w:r>
      <w:r w:rsidR="00FC0758" w:rsidRPr="006350BE">
        <w:t xml:space="preserve">that </w:t>
      </w:r>
      <w:r w:rsidR="00043256" w:rsidRPr="006350BE">
        <w:t xml:space="preserve">on 12 May 2010 </w:t>
      </w:r>
      <w:r w:rsidR="00FC0758" w:rsidRPr="006350BE">
        <w:t xml:space="preserve">several </w:t>
      </w:r>
      <w:r w:rsidR="000D2C51" w:rsidRPr="006350BE">
        <w:t xml:space="preserve">guards </w:t>
      </w:r>
      <w:r w:rsidR="00043256" w:rsidRPr="006350BE">
        <w:t xml:space="preserve">beat him up in the office of the head of the correctional </w:t>
      </w:r>
      <w:r w:rsidR="00E071DB" w:rsidRPr="006350BE">
        <w:rPr>
          <w:lang w:val="en-US"/>
        </w:rPr>
        <w:t>colony</w:t>
      </w:r>
      <w:r w:rsidR="00043256" w:rsidRPr="006350BE">
        <w:t xml:space="preserve"> (see paragraph</w:t>
      </w:r>
      <w:r w:rsidR="000B497B" w:rsidRPr="006350BE">
        <w:t xml:space="preserve"> </w:t>
      </w:r>
      <w:r w:rsidR="000B497B" w:rsidRPr="006350BE">
        <w:fldChar w:fldCharType="begin"/>
      </w:r>
      <w:r w:rsidR="000B497B" w:rsidRPr="006350BE">
        <w:instrText xml:space="preserve"> REF ill_treatment_2_1 \h </w:instrText>
      </w:r>
      <w:r w:rsidR="000B497B" w:rsidRPr="006350BE">
        <w:fldChar w:fldCharType="separate"/>
      </w:r>
      <w:r w:rsidR="006350BE" w:rsidRPr="006350BE">
        <w:rPr>
          <w:noProof/>
        </w:rPr>
        <w:t>38</w:t>
      </w:r>
      <w:r w:rsidR="000B497B" w:rsidRPr="006350BE">
        <w:fldChar w:fldCharType="end"/>
      </w:r>
      <w:r w:rsidR="00043256" w:rsidRPr="006350BE">
        <w:t xml:space="preserve"> above)</w:t>
      </w:r>
      <w:r w:rsidR="00FB10E4" w:rsidRPr="006350BE">
        <w:t>.</w:t>
      </w:r>
    </w:p>
    <w:p w:rsidR="00DB0871" w:rsidRPr="006350BE" w:rsidRDefault="00CC0898"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56</w:t>
      </w:r>
      <w:r w:rsidRPr="006350BE">
        <w:fldChar w:fldCharType="end"/>
      </w:r>
      <w:r w:rsidRPr="006350BE">
        <w:t>.  </w:t>
      </w:r>
      <w:r w:rsidR="00DB0871" w:rsidRPr="006350BE">
        <w:t xml:space="preserve">The Court recognises that it may prove difficult for prisoners to obtain evidence of ill-treatment by prison officers. It observes, however, that the </w:t>
      </w:r>
      <w:r w:rsidR="00FB10E4" w:rsidRPr="006350BE">
        <w:rPr>
          <w:lang w:val="en-US"/>
        </w:rPr>
        <w:t xml:space="preserve">second </w:t>
      </w:r>
      <w:r w:rsidR="00DB0871" w:rsidRPr="006350BE">
        <w:t xml:space="preserve">applicant has not suggested, for example, that he was ever refused permission to see a doctor with regard to any injury </w:t>
      </w:r>
      <w:r w:rsidR="005D5F1B" w:rsidRPr="006350BE">
        <w:t xml:space="preserve">allegedly </w:t>
      </w:r>
      <w:r w:rsidR="00E3008B" w:rsidRPr="006350BE">
        <w:t xml:space="preserve">sustained </w:t>
      </w:r>
      <w:r w:rsidR="00DB0871" w:rsidRPr="006350BE">
        <w:t xml:space="preserve">on the aforementioned dates. </w:t>
      </w:r>
      <w:r w:rsidR="007C1139" w:rsidRPr="006350BE">
        <w:rPr>
          <w:lang w:val="en-US"/>
        </w:rPr>
        <w:t xml:space="preserve">It is true that </w:t>
      </w:r>
      <w:r w:rsidR="001D0F81" w:rsidRPr="006350BE">
        <w:t>in 2010</w:t>
      </w:r>
      <w:r w:rsidR="00AA0EBE" w:rsidRPr="006350BE">
        <w:t xml:space="preserve"> </w:t>
      </w:r>
      <w:r w:rsidR="00E3008B" w:rsidRPr="006350BE">
        <w:t xml:space="preserve">he sought </w:t>
      </w:r>
      <w:r w:rsidR="00AA0EBE" w:rsidRPr="006350BE">
        <w:t xml:space="preserve">to </w:t>
      </w:r>
      <w:r w:rsidR="00AA0EBE" w:rsidRPr="006350BE">
        <w:lastRenderedPageBreak/>
        <w:t>institute criminal proceedings</w:t>
      </w:r>
      <w:r w:rsidR="001D0F81" w:rsidRPr="006350BE">
        <w:t xml:space="preserve"> against officers of the correctional colony</w:t>
      </w:r>
      <w:r w:rsidR="007C1139" w:rsidRPr="006350BE">
        <w:rPr>
          <w:lang w:val="en-US"/>
        </w:rPr>
        <w:t>.</w:t>
      </w:r>
      <w:r w:rsidR="007C1139" w:rsidRPr="006350BE">
        <w:t xml:space="preserve"> </w:t>
      </w:r>
      <w:r w:rsidR="007C1139" w:rsidRPr="006350BE">
        <w:rPr>
          <w:lang w:val="en-US"/>
        </w:rPr>
        <w:t>T</w:t>
      </w:r>
      <w:r w:rsidR="00AA0EBE" w:rsidRPr="006350BE">
        <w:t>h</w:t>
      </w:r>
      <w:r w:rsidR="001D0F81" w:rsidRPr="006350BE">
        <w:t>at</w:t>
      </w:r>
      <w:r w:rsidR="008B2F26" w:rsidRPr="006350BE">
        <w:t xml:space="preserve"> claim</w:t>
      </w:r>
      <w:r w:rsidR="007C1139" w:rsidRPr="006350BE">
        <w:rPr>
          <w:lang w:val="en-US"/>
        </w:rPr>
        <w:t>,</w:t>
      </w:r>
      <w:r w:rsidR="00AA0EBE" w:rsidRPr="006350BE">
        <w:t xml:space="preserve"> </w:t>
      </w:r>
      <w:r w:rsidR="007C1139" w:rsidRPr="006350BE">
        <w:rPr>
          <w:lang w:val="en-US"/>
        </w:rPr>
        <w:t xml:space="preserve">however, </w:t>
      </w:r>
      <w:r w:rsidR="00AA0EBE" w:rsidRPr="006350BE">
        <w:t xml:space="preserve">concerned ill-treatment </w:t>
      </w:r>
      <w:r w:rsidR="00E3008B" w:rsidRPr="006350BE">
        <w:t xml:space="preserve">that had </w:t>
      </w:r>
      <w:r w:rsidR="008B2F26" w:rsidRPr="006350BE">
        <w:t xml:space="preserve">allegedly </w:t>
      </w:r>
      <w:r w:rsidR="00AA0EBE" w:rsidRPr="006350BE">
        <w:t>occurred in 2006 and 2007</w:t>
      </w:r>
      <w:r w:rsidR="001D0F81" w:rsidRPr="006350BE">
        <w:t xml:space="preserve"> (</w:t>
      </w:r>
      <w:r w:rsidR="00336ADF" w:rsidRPr="006350BE">
        <w:t>see paragraph</w:t>
      </w:r>
      <w:r w:rsidR="000B497B" w:rsidRPr="006350BE">
        <w:t xml:space="preserve"> </w:t>
      </w:r>
      <w:r w:rsidR="000B497B" w:rsidRPr="006350BE">
        <w:fldChar w:fldCharType="begin"/>
      </w:r>
      <w:r w:rsidR="000B497B" w:rsidRPr="006350BE">
        <w:instrText xml:space="preserve"> REF ill_treatment_appeal \h </w:instrText>
      </w:r>
      <w:r w:rsidR="000B497B" w:rsidRPr="006350BE">
        <w:fldChar w:fldCharType="separate"/>
      </w:r>
      <w:r w:rsidR="006350BE" w:rsidRPr="006350BE">
        <w:rPr>
          <w:noProof/>
        </w:rPr>
        <w:t>32</w:t>
      </w:r>
      <w:r w:rsidR="000B497B" w:rsidRPr="006350BE">
        <w:fldChar w:fldCharType="end"/>
      </w:r>
      <w:r w:rsidR="00336ADF" w:rsidRPr="006350BE">
        <w:t xml:space="preserve"> above</w:t>
      </w:r>
      <w:r w:rsidR="001D0F81" w:rsidRPr="006350BE">
        <w:t>)</w:t>
      </w:r>
      <w:r w:rsidR="00DB0871" w:rsidRPr="006350BE">
        <w:t xml:space="preserve">. </w:t>
      </w:r>
      <w:r w:rsidR="008B2F26" w:rsidRPr="006350BE">
        <w:t>H</w:t>
      </w:r>
      <w:r w:rsidR="00DB0871" w:rsidRPr="006350BE">
        <w:t xml:space="preserve">e </w:t>
      </w:r>
      <w:r w:rsidR="008B2F26" w:rsidRPr="006350BE">
        <w:t xml:space="preserve">has not explained why he did </w:t>
      </w:r>
      <w:r w:rsidR="00DB0871" w:rsidRPr="006350BE">
        <w:t xml:space="preserve">not complain </w:t>
      </w:r>
      <w:r w:rsidR="00E3008B" w:rsidRPr="006350BE">
        <w:t xml:space="preserve">of </w:t>
      </w:r>
      <w:r w:rsidR="00DB0871" w:rsidRPr="006350BE">
        <w:t xml:space="preserve">his </w:t>
      </w:r>
      <w:r w:rsidR="00E3008B" w:rsidRPr="006350BE">
        <w:t>ill-</w:t>
      </w:r>
      <w:r w:rsidR="00DB0871" w:rsidRPr="006350BE">
        <w:t xml:space="preserve">treatment </w:t>
      </w:r>
      <w:r w:rsidR="001D0F81" w:rsidRPr="006350BE">
        <w:t>of 2009 and 2010</w:t>
      </w:r>
      <w:r w:rsidR="008B2F26" w:rsidRPr="006350BE">
        <w:t xml:space="preserve"> at that time</w:t>
      </w:r>
      <w:r w:rsidR="001D0F81" w:rsidRPr="006350BE">
        <w:t>.</w:t>
      </w:r>
    </w:p>
    <w:p w:rsidR="00336ADF" w:rsidRPr="006350BE" w:rsidRDefault="00CC0898"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57</w:t>
      </w:r>
      <w:r w:rsidRPr="006350BE">
        <w:fldChar w:fldCharType="end"/>
      </w:r>
      <w:r w:rsidRPr="006350BE">
        <w:t>.  </w:t>
      </w:r>
      <w:r w:rsidR="00336ADF" w:rsidRPr="006350BE">
        <w:t xml:space="preserve">In these circumstances, the Court considers that the material it has before it regarding the </w:t>
      </w:r>
      <w:r w:rsidRPr="006350BE">
        <w:t xml:space="preserve">second </w:t>
      </w:r>
      <w:r w:rsidR="00336ADF" w:rsidRPr="006350BE">
        <w:t>applicant</w:t>
      </w:r>
      <w:r w:rsidR="006350BE" w:rsidRPr="006350BE">
        <w:t>’</w:t>
      </w:r>
      <w:r w:rsidR="00336ADF" w:rsidRPr="006350BE">
        <w:t xml:space="preserve">s </w:t>
      </w:r>
      <w:r w:rsidR="000E151A" w:rsidRPr="006350BE">
        <w:t xml:space="preserve">allegation </w:t>
      </w:r>
      <w:r w:rsidR="00336ADF" w:rsidRPr="006350BE">
        <w:t xml:space="preserve">that he was subjected to physical ill-treatment in </w:t>
      </w:r>
      <w:r w:rsidR="00E3008B" w:rsidRPr="006350BE">
        <w:t xml:space="preserve">the </w:t>
      </w:r>
      <w:r w:rsidRPr="006350BE">
        <w:t xml:space="preserve">correctional colony </w:t>
      </w:r>
      <w:r w:rsidR="00336ADF" w:rsidRPr="006350BE">
        <w:t xml:space="preserve">does not constitute sufficient evidence to support </w:t>
      </w:r>
      <w:r w:rsidR="005D5F1B" w:rsidRPr="006350BE">
        <w:t xml:space="preserve">a </w:t>
      </w:r>
      <w:r w:rsidR="00336ADF" w:rsidRPr="006350BE">
        <w:t>conclusion</w:t>
      </w:r>
      <w:r w:rsidR="005D5F1B" w:rsidRPr="006350BE">
        <w:t xml:space="preserve"> to that effect</w:t>
      </w:r>
      <w:r w:rsidR="00336ADF" w:rsidRPr="006350BE">
        <w:t>.</w:t>
      </w:r>
    </w:p>
    <w:p w:rsidR="00CC0898" w:rsidRPr="006350BE" w:rsidRDefault="00475ECC"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58</w:t>
      </w:r>
      <w:r w:rsidRPr="006350BE">
        <w:fldChar w:fldCharType="end"/>
      </w:r>
      <w:r w:rsidRPr="006350BE">
        <w:t>.  </w:t>
      </w:r>
      <w:r w:rsidR="006F6F5F" w:rsidRPr="006350BE">
        <w:t xml:space="preserve">Regard being had to the above, the Court is unable to conclude that the evidence submitted constitutes a sufficient evidentiary basis to enable it to find </w:t>
      </w:r>
      <w:r w:rsidR="006F6F5F" w:rsidRPr="006350BE">
        <w:rPr>
          <w:i/>
        </w:rPr>
        <w:t>prima facie</w:t>
      </w:r>
      <w:r w:rsidR="006F6F5F" w:rsidRPr="006350BE">
        <w:t xml:space="preserve"> that the second applicant was subjected to the alleged i</w:t>
      </w:r>
      <w:r w:rsidR="00BF77FF" w:rsidRPr="006350BE">
        <w:t>ll</w:t>
      </w:r>
      <w:r w:rsidR="00BF77FF" w:rsidRPr="006350BE">
        <w:noBreakHyphen/>
      </w:r>
      <w:r w:rsidR="006F6F5F" w:rsidRPr="006350BE">
        <w:t xml:space="preserve">treatment in 2009-10. </w:t>
      </w:r>
      <w:r w:rsidR="00E3008B" w:rsidRPr="006350BE">
        <w:t>It therefore concludes that t</w:t>
      </w:r>
      <w:r w:rsidR="006F6F5F" w:rsidRPr="006350BE">
        <w:t xml:space="preserve">here </w:t>
      </w:r>
      <w:r w:rsidR="00CC0898" w:rsidRPr="006350BE">
        <w:t xml:space="preserve">has been </w:t>
      </w:r>
      <w:r w:rsidR="006F6F5F" w:rsidRPr="006350BE">
        <w:t xml:space="preserve">no </w:t>
      </w:r>
      <w:r w:rsidR="00CC0898" w:rsidRPr="006350BE">
        <w:t xml:space="preserve">violation of Article 3 of the Convention </w:t>
      </w:r>
      <w:r w:rsidR="006F6F5F" w:rsidRPr="006350BE">
        <w:t>in that respect</w:t>
      </w:r>
      <w:r w:rsidR="00CC0898" w:rsidRPr="006350BE">
        <w:t>.</w:t>
      </w:r>
    </w:p>
    <w:p w:rsidR="00594191" w:rsidRPr="006350BE" w:rsidRDefault="004502DB" w:rsidP="006350BE">
      <w:pPr>
        <w:pStyle w:val="ECHRHeading4"/>
      </w:pPr>
      <w:r w:rsidRPr="006350BE">
        <w:t>(</w:t>
      </w:r>
      <w:r w:rsidR="004877A3" w:rsidRPr="006350BE">
        <w:t>c</w:t>
      </w:r>
      <w:r w:rsidRPr="006350BE">
        <w:t>)</w:t>
      </w:r>
      <w:r w:rsidR="00594191" w:rsidRPr="006350BE">
        <w:t>  Adequacy of the investigation</w:t>
      </w:r>
    </w:p>
    <w:bookmarkStart w:id="19" w:name="para82"/>
    <w:p w:rsidR="006925C9" w:rsidRPr="006350BE" w:rsidRDefault="00594191" w:rsidP="006350BE">
      <w:pPr>
        <w:pStyle w:val="ECHRPara"/>
        <w:rPr>
          <w:bCs/>
        </w:rPr>
      </w:pPr>
      <w:r w:rsidRPr="006350BE">
        <w:fldChar w:fldCharType="begin"/>
      </w:r>
      <w:r w:rsidRPr="006350BE">
        <w:instrText xml:space="preserve"> SEQ level0 \*arabic </w:instrText>
      </w:r>
      <w:r w:rsidRPr="006350BE">
        <w:fldChar w:fldCharType="separate"/>
      </w:r>
      <w:r w:rsidR="006350BE" w:rsidRPr="006350BE">
        <w:rPr>
          <w:noProof/>
        </w:rPr>
        <w:t>59</w:t>
      </w:r>
      <w:r w:rsidRPr="006350BE">
        <w:fldChar w:fldCharType="end"/>
      </w:r>
      <w:bookmarkEnd w:id="19"/>
      <w:r w:rsidRPr="006350BE">
        <w:t>.  </w:t>
      </w:r>
      <w:r w:rsidR="000E57EE" w:rsidRPr="006350BE">
        <w:t>The</w:t>
      </w:r>
      <w:r w:rsidR="00915423" w:rsidRPr="006350BE">
        <w:rPr>
          <w:bCs/>
        </w:rPr>
        <w:t xml:space="preserve"> Court observes that on 16</w:t>
      </w:r>
      <w:r w:rsidR="00BF636F" w:rsidRPr="006350BE">
        <w:rPr>
          <w:bCs/>
        </w:rPr>
        <w:t> </w:t>
      </w:r>
      <w:r w:rsidR="00915423" w:rsidRPr="006350BE">
        <w:rPr>
          <w:bCs/>
        </w:rPr>
        <w:t xml:space="preserve">November 2010 the second applicant sought to institute criminal proceedings in respect of alleged ill-treatment </w:t>
      </w:r>
      <w:r w:rsidR="003F5908" w:rsidRPr="006350BE">
        <w:rPr>
          <w:bCs/>
        </w:rPr>
        <w:t xml:space="preserve">to which </w:t>
      </w:r>
      <w:r w:rsidR="00C748F5" w:rsidRPr="006350BE">
        <w:rPr>
          <w:bCs/>
        </w:rPr>
        <w:t xml:space="preserve">he </w:t>
      </w:r>
      <w:r w:rsidR="003F5908" w:rsidRPr="006350BE">
        <w:rPr>
          <w:bCs/>
        </w:rPr>
        <w:t xml:space="preserve">had been </w:t>
      </w:r>
      <w:r w:rsidR="00C748F5" w:rsidRPr="006350BE">
        <w:rPr>
          <w:bCs/>
        </w:rPr>
        <w:t xml:space="preserve">subjected </w:t>
      </w:r>
      <w:r w:rsidR="00915423" w:rsidRPr="006350BE">
        <w:rPr>
          <w:bCs/>
        </w:rPr>
        <w:t>on 15</w:t>
      </w:r>
      <w:r w:rsidR="00BF636F" w:rsidRPr="006350BE">
        <w:rPr>
          <w:bCs/>
        </w:rPr>
        <w:t> </w:t>
      </w:r>
      <w:r w:rsidR="00915423" w:rsidRPr="006350BE">
        <w:rPr>
          <w:bCs/>
        </w:rPr>
        <w:t>May 2006 and 2</w:t>
      </w:r>
      <w:r w:rsidR="001F6D6E" w:rsidRPr="006350BE">
        <w:rPr>
          <w:bCs/>
        </w:rPr>
        <w:t>7</w:t>
      </w:r>
      <w:r w:rsidR="00915423" w:rsidRPr="006350BE">
        <w:rPr>
          <w:bCs/>
        </w:rPr>
        <w:t xml:space="preserve"> December 2007. The existence of the injuries in question was confirmed by the </w:t>
      </w:r>
      <w:r w:rsidR="000E57EE" w:rsidRPr="006350BE">
        <w:rPr>
          <w:bCs/>
        </w:rPr>
        <w:t xml:space="preserve">second </w:t>
      </w:r>
      <w:r w:rsidR="00915423" w:rsidRPr="006350BE">
        <w:rPr>
          <w:bCs/>
        </w:rPr>
        <w:t>applicant</w:t>
      </w:r>
      <w:r w:rsidR="006350BE" w:rsidRPr="006350BE">
        <w:rPr>
          <w:bCs/>
        </w:rPr>
        <w:t>’</w:t>
      </w:r>
      <w:r w:rsidR="00915423" w:rsidRPr="006350BE">
        <w:rPr>
          <w:bCs/>
        </w:rPr>
        <w:t xml:space="preserve">s forensic examination </w:t>
      </w:r>
      <w:r w:rsidR="00847BA4" w:rsidRPr="006350BE">
        <w:rPr>
          <w:bCs/>
        </w:rPr>
        <w:t xml:space="preserve">carried out </w:t>
      </w:r>
      <w:r w:rsidR="00915423" w:rsidRPr="006350BE">
        <w:rPr>
          <w:bCs/>
        </w:rPr>
        <w:t xml:space="preserve">on the day of </w:t>
      </w:r>
      <w:r w:rsidR="00847BA4" w:rsidRPr="006350BE">
        <w:rPr>
          <w:bCs/>
        </w:rPr>
        <w:t xml:space="preserve">the </w:t>
      </w:r>
      <w:r w:rsidR="00C73852" w:rsidRPr="006350BE">
        <w:rPr>
          <w:bCs/>
        </w:rPr>
        <w:t>alleged ill</w:t>
      </w:r>
      <w:r w:rsidR="00C73852" w:rsidRPr="006350BE">
        <w:rPr>
          <w:bCs/>
        </w:rPr>
        <w:noBreakHyphen/>
      </w:r>
      <w:r w:rsidR="00915423" w:rsidRPr="006350BE">
        <w:rPr>
          <w:bCs/>
        </w:rPr>
        <w:t xml:space="preserve">treatment (see paragraph </w:t>
      </w:r>
      <w:r w:rsidR="00915423" w:rsidRPr="006350BE">
        <w:rPr>
          <w:bCs/>
        </w:rPr>
        <w:fldChar w:fldCharType="begin"/>
      </w:r>
      <w:r w:rsidR="00915423" w:rsidRPr="006350BE">
        <w:rPr>
          <w:bCs/>
        </w:rPr>
        <w:instrText xml:space="preserve"> REF Forensic \h  \* MERGEFORMAT </w:instrText>
      </w:r>
      <w:r w:rsidR="00915423" w:rsidRPr="006350BE">
        <w:rPr>
          <w:bCs/>
        </w:rPr>
      </w:r>
      <w:r w:rsidR="00915423" w:rsidRPr="006350BE">
        <w:rPr>
          <w:bCs/>
        </w:rPr>
        <w:fldChar w:fldCharType="separate"/>
      </w:r>
      <w:r w:rsidR="006350BE" w:rsidRPr="006350BE">
        <w:rPr>
          <w:noProof/>
        </w:rPr>
        <w:t>27</w:t>
      </w:r>
      <w:r w:rsidR="00915423" w:rsidRPr="006350BE">
        <w:rPr>
          <w:bCs/>
        </w:rPr>
        <w:fldChar w:fldCharType="end"/>
      </w:r>
      <w:r w:rsidR="00915423" w:rsidRPr="006350BE">
        <w:rPr>
          <w:bCs/>
        </w:rPr>
        <w:t xml:space="preserve"> above). </w:t>
      </w:r>
      <w:r w:rsidR="00847BA4" w:rsidRPr="006350BE">
        <w:rPr>
          <w:bCs/>
        </w:rPr>
        <w:t xml:space="preserve">His </w:t>
      </w:r>
      <w:r w:rsidR="00915423" w:rsidRPr="006350BE">
        <w:rPr>
          <w:bCs/>
        </w:rPr>
        <w:t xml:space="preserve">claim was therefore shown to be credible, and the domestic authorities were placed under an obligation to conduct an effective </w:t>
      </w:r>
      <w:r w:rsidR="001F6D6E" w:rsidRPr="006350BE">
        <w:rPr>
          <w:bCs/>
        </w:rPr>
        <w:t xml:space="preserve">inquiry </w:t>
      </w:r>
      <w:r w:rsidR="00915423" w:rsidRPr="006350BE">
        <w:rPr>
          <w:bCs/>
        </w:rPr>
        <w:t>satisfying the requirements of Article 3 of the Convention.</w:t>
      </w:r>
    </w:p>
    <w:p w:rsidR="006925C9" w:rsidRPr="006350BE" w:rsidRDefault="001D4E5F" w:rsidP="006350BE">
      <w:pPr>
        <w:pStyle w:val="ECHRPara"/>
        <w:rPr>
          <w:bCs/>
        </w:rPr>
      </w:pPr>
      <w:r w:rsidRPr="006350BE">
        <w:rPr>
          <w:bCs/>
        </w:rPr>
        <w:fldChar w:fldCharType="begin"/>
      </w:r>
      <w:r w:rsidRPr="006350BE">
        <w:rPr>
          <w:bCs/>
        </w:rPr>
        <w:instrText xml:space="preserve"> SEQ level0 \*arabic </w:instrText>
      </w:r>
      <w:r w:rsidRPr="006350BE">
        <w:rPr>
          <w:bCs/>
        </w:rPr>
        <w:fldChar w:fldCharType="separate"/>
      </w:r>
      <w:r w:rsidR="006350BE" w:rsidRPr="006350BE">
        <w:rPr>
          <w:bCs/>
          <w:noProof/>
        </w:rPr>
        <w:t>60</w:t>
      </w:r>
      <w:r w:rsidRPr="006350BE">
        <w:rPr>
          <w:bCs/>
        </w:rPr>
        <w:fldChar w:fldCharType="end"/>
      </w:r>
      <w:r w:rsidRPr="006350BE">
        <w:rPr>
          <w:bCs/>
        </w:rPr>
        <w:t>.  </w:t>
      </w:r>
      <w:r w:rsidR="006925C9" w:rsidRPr="006350BE">
        <w:rPr>
          <w:bCs/>
        </w:rPr>
        <w:t xml:space="preserve">The Court notes that the </w:t>
      </w:r>
      <w:r w:rsidR="001F6D6E" w:rsidRPr="006350BE">
        <w:rPr>
          <w:bCs/>
        </w:rPr>
        <w:t xml:space="preserve">second </w:t>
      </w:r>
      <w:r w:rsidR="006925C9" w:rsidRPr="006350BE">
        <w:rPr>
          <w:bCs/>
        </w:rPr>
        <w:t>applicant</w:t>
      </w:r>
      <w:r w:rsidR="006350BE" w:rsidRPr="006350BE">
        <w:rPr>
          <w:bCs/>
        </w:rPr>
        <w:t>’</w:t>
      </w:r>
      <w:r w:rsidR="00C73852" w:rsidRPr="006350BE">
        <w:rPr>
          <w:bCs/>
        </w:rPr>
        <w:t>s allegations of ill</w:t>
      </w:r>
      <w:r w:rsidR="00C73852" w:rsidRPr="006350BE">
        <w:rPr>
          <w:bCs/>
        </w:rPr>
        <w:noBreakHyphen/>
      </w:r>
      <w:r w:rsidR="006925C9" w:rsidRPr="006350BE">
        <w:rPr>
          <w:bCs/>
        </w:rPr>
        <w:t>treatment were examined by the head of the correctional facility</w:t>
      </w:r>
      <w:r w:rsidR="00986E4E" w:rsidRPr="006350BE">
        <w:rPr>
          <w:bCs/>
        </w:rPr>
        <w:t xml:space="preserve"> </w:t>
      </w:r>
      <w:r w:rsidR="00847BA4" w:rsidRPr="006350BE">
        <w:rPr>
          <w:bCs/>
        </w:rPr>
        <w:t xml:space="preserve">administration. </w:t>
      </w:r>
      <w:r w:rsidR="001F6D6E" w:rsidRPr="006350BE">
        <w:rPr>
          <w:bCs/>
        </w:rPr>
        <w:t xml:space="preserve">His </w:t>
      </w:r>
      <w:r w:rsidR="00986E4E" w:rsidRPr="006350BE">
        <w:rPr>
          <w:bCs/>
        </w:rPr>
        <w:t xml:space="preserve">findings were subsequently endorsed first by the </w:t>
      </w:r>
      <w:r w:rsidR="00986E4E" w:rsidRPr="006350BE">
        <w:t xml:space="preserve">assistant prosecutor of Orenburg </w:t>
      </w:r>
      <w:r w:rsidR="00847BA4" w:rsidRPr="006350BE">
        <w:t>R</w:t>
      </w:r>
      <w:r w:rsidR="00986E4E" w:rsidRPr="006350BE">
        <w:t>egion</w:t>
      </w:r>
      <w:r w:rsidR="00986E4E" w:rsidRPr="006350BE">
        <w:rPr>
          <w:bCs/>
        </w:rPr>
        <w:t xml:space="preserve"> and later by the</w:t>
      </w:r>
      <w:r w:rsidR="00986E4E" w:rsidRPr="006350BE">
        <w:t xml:space="preserve"> investigator</w:t>
      </w:r>
      <w:r w:rsidR="00847BA4" w:rsidRPr="006350BE">
        <w:t>,</w:t>
      </w:r>
      <w:r w:rsidR="00986E4E" w:rsidRPr="006350BE">
        <w:t xml:space="preserve"> I. </w:t>
      </w:r>
      <w:r w:rsidR="00986E4E" w:rsidRPr="006350BE">
        <w:rPr>
          <w:bCs/>
        </w:rPr>
        <w:t xml:space="preserve">(see paragraphs </w:t>
      </w:r>
      <w:r w:rsidR="00142ABE" w:rsidRPr="006350BE">
        <w:rPr>
          <w:bCs/>
        </w:rPr>
        <w:fldChar w:fldCharType="begin"/>
      </w:r>
      <w:r w:rsidR="00142ABE" w:rsidRPr="006350BE">
        <w:rPr>
          <w:bCs/>
        </w:rPr>
        <w:instrText xml:space="preserve"> REF ill_treatment_decision \h </w:instrText>
      </w:r>
      <w:r w:rsidR="00142ABE" w:rsidRPr="006350BE">
        <w:rPr>
          <w:bCs/>
        </w:rPr>
      </w:r>
      <w:r w:rsidR="00142ABE" w:rsidRPr="006350BE">
        <w:rPr>
          <w:bCs/>
        </w:rPr>
        <w:fldChar w:fldCharType="separate"/>
      </w:r>
      <w:r w:rsidR="006350BE" w:rsidRPr="006350BE">
        <w:rPr>
          <w:noProof/>
        </w:rPr>
        <w:t>28</w:t>
      </w:r>
      <w:r w:rsidR="00142ABE" w:rsidRPr="006350BE">
        <w:rPr>
          <w:bCs/>
        </w:rPr>
        <w:fldChar w:fldCharType="end"/>
      </w:r>
      <w:r w:rsidR="00142ABE" w:rsidRPr="006350BE">
        <w:rPr>
          <w:bCs/>
        </w:rPr>
        <w:t xml:space="preserve"> and </w:t>
      </w:r>
      <w:r w:rsidR="00142ABE" w:rsidRPr="006350BE">
        <w:rPr>
          <w:bCs/>
        </w:rPr>
        <w:fldChar w:fldCharType="begin"/>
      </w:r>
      <w:r w:rsidR="00142ABE" w:rsidRPr="006350BE">
        <w:rPr>
          <w:bCs/>
        </w:rPr>
        <w:instrText xml:space="preserve"> REF Investigator \h </w:instrText>
      </w:r>
      <w:r w:rsidR="00142ABE" w:rsidRPr="006350BE">
        <w:rPr>
          <w:bCs/>
        </w:rPr>
      </w:r>
      <w:r w:rsidR="00142ABE" w:rsidRPr="006350BE">
        <w:rPr>
          <w:bCs/>
        </w:rPr>
        <w:fldChar w:fldCharType="separate"/>
      </w:r>
      <w:r w:rsidR="006350BE" w:rsidRPr="006350BE">
        <w:rPr>
          <w:noProof/>
        </w:rPr>
        <w:t>33</w:t>
      </w:r>
      <w:r w:rsidR="00142ABE" w:rsidRPr="006350BE">
        <w:rPr>
          <w:bCs/>
        </w:rPr>
        <w:fldChar w:fldCharType="end"/>
      </w:r>
      <w:r w:rsidR="00142ABE" w:rsidRPr="006350BE">
        <w:rPr>
          <w:bCs/>
        </w:rPr>
        <w:t xml:space="preserve"> </w:t>
      </w:r>
      <w:r w:rsidR="00986E4E" w:rsidRPr="006350BE">
        <w:rPr>
          <w:bCs/>
        </w:rPr>
        <w:t>above).</w:t>
      </w:r>
      <w:r w:rsidR="006925C9" w:rsidRPr="006350BE">
        <w:rPr>
          <w:bCs/>
        </w:rPr>
        <w:t xml:space="preserve"> Therefore, the issue in the present case is not so much whether there was some form of inquiry in general, but whether it was conducted diligently, whether the authorities were determined to investigate fully the applicant</w:t>
      </w:r>
      <w:r w:rsidR="006350BE" w:rsidRPr="006350BE">
        <w:rPr>
          <w:bCs/>
        </w:rPr>
        <w:t>’</w:t>
      </w:r>
      <w:r w:rsidR="006925C9" w:rsidRPr="006350BE">
        <w:rPr>
          <w:bCs/>
        </w:rPr>
        <w:t>s allegations and, accordingly, whether the inquiry could be considered to have been “effective” within the meaning of Article 3 of the Convention.</w:t>
      </w:r>
    </w:p>
    <w:p w:rsidR="00DB0AC7" w:rsidRPr="006350BE" w:rsidRDefault="001D4E5F" w:rsidP="006350BE">
      <w:pPr>
        <w:pStyle w:val="ECHRPara"/>
      </w:pPr>
      <w:r w:rsidRPr="006350BE">
        <w:rPr>
          <w:bCs/>
        </w:rPr>
        <w:fldChar w:fldCharType="begin"/>
      </w:r>
      <w:r w:rsidRPr="006350BE">
        <w:rPr>
          <w:bCs/>
        </w:rPr>
        <w:instrText xml:space="preserve"> SEQ level0 \*arabic </w:instrText>
      </w:r>
      <w:r w:rsidRPr="006350BE">
        <w:rPr>
          <w:bCs/>
        </w:rPr>
        <w:fldChar w:fldCharType="separate"/>
      </w:r>
      <w:r w:rsidR="006350BE" w:rsidRPr="006350BE">
        <w:rPr>
          <w:bCs/>
          <w:noProof/>
        </w:rPr>
        <w:t>61</w:t>
      </w:r>
      <w:r w:rsidRPr="006350BE">
        <w:rPr>
          <w:bCs/>
        </w:rPr>
        <w:fldChar w:fldCharType="end"/>
      </w:r>
      <w:r w:rsidRPr="006350BE">
        <w:rPr>
          <w:bCs/>
        </w:rPr>
        <w:t>.  </w:t>
      </w:r>
      <w:r w:rsidR="00DB0AC7" w:rsidRPr="006350BE">
        <w:rPr>
          <w:bCs/>
        </w:rPr>
        <w:t>Turning to the question of the effectiveness of the authorities</w:t>
      </w:r>
      <w:r w:rsidR="006350BE" w:rsidRPr="006350BE">
        <w:rPr>
          <w:bCs/>
        </w:rPr>
        <w:t>’</w:t>
      </w:r>
      <w:r w:rsidR="00DB0AC7" w:rsidRPr="006350BE">
        <w:rPr>
          <w:bCs/>
        </w:rPr>
        <w:t xml:space="preserve"> response to the </w:t>
      </w:r>
      <w:r w:rsidR="00847BA4" w:rsidRPr="006350BE">
        <w:rPr>
          <w:bCs/>
        </w:rPr>
        <w:t xml:space="preserve">second </w:t>
      </w:r>
      <w:r w:rsidR="00DB0AC7" w:rsidRPr="006350BE">
        <w:rPr>
          <w:bCs/>
        </w:rPr>
        <w:t>applicant</w:t>
      </w:r>
      <w:r w:rsidR="006350BE" w:rsidRPr="006350BE">
        <w:rPr>
          <w:bCs/>
        </w:rPr>
        <w:t>’</w:t>
      </w:r>
      <w:r w:rsidR="00DB0AC7" w:rsidRPr="006350BE">
        <w:rPr>
          <w:bCs/>
        </w:rPr>
        <w:t xml:space="preserve">s allegations of ill-treatment, the Court notes that </w:t>
      </w:r>
      <w:r w:rsidR="000C2167" w:rsidRPr="006350BE">
        <w:rPr>
          <w:bCs/>
        </w:rPr>
        <w:t xml:space="preserve">the circumstances of the alleged ill-treatment were </w:t>
      </w:r>
      <w:r w:rsidR="005D1137" w:rsidRPr="006350BE">
        <w:rPr>
          <w:bCs/>
        </w:rPr>
        <w:t xml:space="preserve">initially </w:t>
      </w:r>
      <w:r w:rsidR="000C2167" w:rsidRPr="006350BE">
        <w:rPr>
          <w:bCs/>
        </w:rPr>
        <w:t xml:space="preserve">examined by the head of the correctional colony </w:t>
      </w:r>
      <w:r w:rsidR="00847BA4" w:rsidRPr="006350BE">
        <w:rPr>
          <w:bCs/>
        </w:rPr>
        <w:t xml:space="preserve">administration, </w:t>
      </w:r>
      <w:r w:rsidR="000C2167" w:rsidRPr="006350BE">
        <w:rPr>
          <w:bCs/>
        </w:rPr>
        <w:t xml:space="preserve">who relied </w:t>
      </w:r>
      <w:r w:rsidR="005D1137" w:rsidRPr="006350BE">
        <w:rPr>
          <w:bCs/>
        </w:rPr>
        <w:t xml:space="preserve">solely </w:t>
      </w:r>
      <w:r w:rsidR="000C2167" w:rsidRPr="006350BE">
        <w:rPr>
          <w:bCs/>
        </w:rPr>
        <w:t xml:space="preserve">on the statements of the guards. </w:t>
      </w:r>
      <w:r w:rsidR="001F6D6E" w:rsidRPr="006350BE">
        <w:rPr>
          <w:bCs/>
        </w:rPr>
        <w:t xml:space="preserve">Although </w:t>
      </w:r>
      <w:r w:rsidR="000C2167" w:rsidRPr="006350BE">
        <w:rPr>
          <w:bCs/>
        </w:rPr>
        <w:t xml:space="preserve">he </w:t>
      </w:r>
      <w:r w:rsidR="00DA7CDB" w:rsidRPr="006350BE">
        <w:rPr>
          <w:bCs/>
        </w:rPr>
        <w:t>referred</w:t>
      </w:r>
      <w:r w:rsidR="000C2167" w:rsidRPr="006350BE">
        <w:rPr>
          <w:bCs/>
        </w:rPr>
        <w:t xml:space="preserve"> to the </w:t>
      </w:r>
      <w:r w:rsidR="00DA7CDB" w:rsidRPr="006350BE">
        <w:rPr>
          <w:bCs/>
        </w:rPr>
        <w:t>forensic medical examination</w:t>
      </w:r>
      <w:r w:rsidR="001F6D6E" w:rsidRPr="006350BE">
        <w:rPr>
          <w:bCs/>
        </w:rPr>
        <w:t>,</w:t>
      </w:r>
      <w:r w:rsidR="0041416A" w:rsidRPr="006350BE">
        <w:rPr>
          <w:bCs/>
        </w:rPr>
        <w:t xml:space="preserve"> </w:t>
      </w:r>
      <w:r w:rsidR="00DA7CDB" w:rsidRPr="006350BE">
        <w:rPr>
          <w:bCs/>
        </w:rPr>
        <w:t xml:space="preserve">no conclusion on </w:t>
      </w:r>
      <w:r w:rsidR="00847BA4" w:rsidRPr="006350BE">
        <w:rPr>
          <w:bCs/>
        </w:rPr>
        <w:t xml:space="preserve">that </w:t>
      </w:r>
      <w:r w:rsidR="00DA7CDB" w:rsidRPr="006350BE">
        <w:rPr>
          <w:bCs/>
        </w:rPr>
        <w:t>particular evidence was</w:t>
      </w:r>
      <w:r w:rsidR="001F6D6E" w:rsidRPr="006350BE">
        <w:rPr>
          <w:bCs/>
        </w:rPr>
        <w:t xml:space="preserve"> drawn</w:t>
      </w:r>
      <w:r w:rsidR="00DA7CDB" w:rsidRPr="006350BE">
        <w:rPr>
          <w:bCs/>
        </w:rPr>
        <w:t>. Th</w:t>
      </w:r>
      <w:r w:rsidR="00847BA4" w:rsidRPr="006350BE">
        <w:rPr>
          <w:bCs/>
        </w:rPr>
        <w:t>e</w:t>
      </w:r>
      <w:r w:rsidR="00DA7CDB" w:rsidRPr="006350BE">
        <w:rPr>
          <w:bCs/>
        </w:rPr>
        <w:t xml:space="preserve"> </w:t>
      </w:r>
      <w:r w:rsidR="00793776" w:rsidRPr="006350BE">
        <w:rPr>
          <w:bCs/>
        </w:rPr>
        <w:t>decision</w:t>
      </w:r>
      <w:r w:rsidR="00DA7CDB" w:rsidRPr="006350BE">
        <w:rPr>
          <w:bCs/>
        </w:rPr>
        <w:t xml:space="preserve"> was upheld by </w:t>
      </w:r>
      <w:r w:rsidR="000C2167" w:rsidRPr="006350BE">
        <w:rPr>
          <w:bCs/>
        </w:rPr>
        <w:t xml:space="preserve">the </w:t>
      </w:r>
      <w:r w:rsidR="00DA7CDB" w:rsidRPr="006350BE">
        <w:t>assistant prosecutor</w:t>
      </w:r>
      <w:r w:rsidR="00847BA4" w:rsidRPr="006350BE">
        <w:t>,</w:t>
      </w:r>
      <w:r w:rsidR="000C2167" w:rsidRPr="006350BE">
        <w:rPr>
          <w:bCs/>
        </w:rPr>
        <w:t xml:space="preserve"> </w:t>
      </w:r>
      <w:r w:rsidR="00DA7CDB" w:rsidRPr="006350BE">
        <w:rPr>
          <w:bCs/>
        </w:rPr>
        <w:t xml:space="preserve">who repeated </w:t>
      </w:r>
      <w:r w:rsidR="00847BA4" w:rsidRPr="006350BE">
        <w:rPr>
          <w:bCs/>
        </w:rPr>
        <w:t xml:space="preserve">the findings </w:t>
      </w:r>
      <w:r w:rsidR="00DA7CDB" w:rsidRPr="006350BE">
        <w:rPr>
          <w:bCs/>
        </w:rPr>
        <w:t xml:space="preserve">of the head of the correctional facility (see paragraph </w:t>
      </w:r>
      <w:r w:rsidR="00DA7CDB" w:rsidRPr="006350BE">
        <w:rPr>
          <w:bCs/>
        </w:rPr>
        <w:fldChar w:fldCharType="begin"/>
      </w:r>
      <w:r w:rsidR="00DA7CDB" w:rsidRPr="006350BE">
        <w:rPr>
          <w:bCs/>
        </w:rPr>
        <w:instrText xml:space="preserve"> REF ill_treatment_decision \h </w:instrText>
      </w:r>
      <w:r w:rsidR="00DA7CDB" w:rsidRPr="006350BE">
        <w:rPr>
          <w:bCs/>
        </w:rPr>
      </w:r>
      <w:r w:rsidR="00DA7CDB" w:rsidRPr="006350BE">
        <w:rPr>
          <w:bCs/>
        </w:rPr>
        <w:fldChar w:fldCharType="separate"/>
      </w:r>
      <w:r w:rsidR="006350BE" w:rsidRPr="006350BE">
        <w:rPr>
          <w:noProof/>
        </w:rPr>
        <w:t>28</w:t>
      </w:r>
      <w:r w:rsidR="00DA7CDB" w:rsidRPr="006350BE">
        <w:rPr>
          <w:bCs/>
        </w:rPr>
        <w:fldChar w:fldCharType="end"/>
      </w:r>
      <w:r w:rsidR="00DA7CDB" w:rsidRPr="006350BE">
        <w:rPr>
          <w:bCs/>
        </w:rPr>
        <w:t xml:space="preserve"> above). </w:t>
      </w:r>
      <w:r w:rsidR="00847BA4" w:rsidRPr="006350BE">
        <w:rPr>
          <w:bCs/>
        </w:rPr>
        <w:t xml:space="preserve">Lastly, </w:t>
      </w:r>
      <w:r w:rsidR="00DA7CDB" w:rsidRPr="006350BE">
        <w:rPr>
          <w:bCs/>
        </w:rPr>
        <w:t xml:space="preserve">investigator I. </w:t>
      </w:r>
      <w:r w:rsidR="00793776" w:rsidRPr="006350BE">
        <w:rPr>
          <w:bCs/>
        </w:rPr>
        <w:t xml:space="preserve">of </w:t>
      </w:r>
      <w:r w:rsidR="00DA7CDB" w:rsidRPr="006350BE">
        <w:t>the</w:t>
      </w:r>
      <w:r w:rsidR="005D1137" w:rsidRPr="006350BE">
        <w:t xml:space="preserve"> region</w:t>
      </w:r>
      <w:r w:rsidR="00C70ED1" w:rsidRPr="006350BE">
        <w:t>a</w:t>
      </w:r>
      <w:r w:rsidR="005D1137" w:rsidRPr="006350BE">
        <w:t>l investigative committee</w:t>
      </w:r>
      <w:r w:rsidR="00DB0AC7" w:rsidRPr="006350BE">
        <w:rPr>
          <w:bCs/>
        </w:rPr>
        <w:t>, who eventua</w:t>
      </w:r>
      <w:r w:rsidR="00DA7CDB" w:rsidRPr="006350BE">
        <w:rPr>
          <w:bCs/>
        </w:rPr>
        <w:t xml:space="preserve">lly decided not </w:t>
      </w:r>
      <w:r w:rsidR="002216B5" w:rsidRPr="006350BE">
        <w:rPr>
          <w:bCs/>
        </w:rPr>
        <w:t xml:space="preserve">to </w:t>
      </w:r>
      <w:r w:rsidR="00DA7CDB" w:rsidRPr="006350BE">
        <w:rPr>
          <w:bCs/>
        </w:rPr>
        <w:t xml:space="preserve">institute criminal proceedings, questioned both the </w:t>
      </w:r>
      <w:r w:rsidR="00DA7CDB" w:rsidRPr="006350BE">
        <w:rPr>
          <w:bCs/>
        </w:rPr>
        <w:lastRenderedPageBreak/>
        <w:t xml:space="preserve">second applicant and the guards of the </w:t>
      </w:r>
      <w:r w:rsidR="00793776" w:rsidRPr="006350BE">
        <w:rPr>
          <w:bCs/>
        </w:rPr>
        <w:t>correctional facility</w:t>
      </w:r>
      <w:r w:rsidR="00DB0AC7" w:rsidRPr="006350BE">
        <w:rPr>
          <w:bCs/>
        </w:rPr>
        <w:t xml:space="preserve">. It is noteworthy that </w:t>
      </w:r>
      <w:r w:rsidR="00793776" w:rsidRPr="006350BE">
        <w:rPr>
          <w:bCs/>
        </w:rPr>
        <w:t>I</w:t>
      </w:r>
      <w:r w:rsidR="00DB0AC7" w:rsidRPr="006350BE">
        <w:rPr>
          <w:bCs/>
        </w:rPr>
        <w:t>.</w:t>
      </w:r>
      <w:r w:rsidR="006350BE" w:rsidRPr="006350BE">
        <w:rPr>
          <w:bCs/>
        </w:rPr>
        <w:t>’</w:t>
      </w:r>
      <w:r w:rsidR="00DB0AC7" w:rsidRPr="006350BE">
        <w:rPr>
          <w:bCs/>
        </w:rPr>
        <w:t xml:space="preserve">s decision refusing to institute criminal proceedings contained generalised conclusions </w:t>
      </w:r>
      <w:r w:rsidR="001F6D6E" w:rsidRPr="006350BE">
        <w:rPr>
          <w:bCs/>
        </w:rPr>
        <w:t xml:space="preserve">and </w:t>
      </w:r>
      <w:r w:rsidR="00847BA4" w:rsidRPr="006350BE">
        <w:rPr>
          <w:bCs/>
        </w:rPr>
        <w:t xml:space="preserve">lacked </w:t>
      </w:r>
      <w:r w:rsidR="00DB0AC7" w:rsidRPr="006350BE">
        <w:rPr>
          <w:bCs/>
        </w:rPr>
        <w:t xml:space="preserve">any reasoning. More importantly, no explanation was provided as to why the </w:t>
      </w:r>
      <w:r w:rsidR="00847BA4" w:rsidRPr="006350BE">
        <w:rPr>
          <w:bCs/>
        </w:rPr>
        <w:t>guards</w:t>
      </w:r>
      <w:r w:rsidR="006350BE" w:rsidRPr="006350BE">
        <w:rPr>
          <w:bCs/>
        </w:rPr>
        <w:t>’</w:t>
      </w:r>
      <w:r w:rsidR="00847BA4" w:rsidRPr="006350BE">
        <w:rPr>
          <w:bCs/>
        </w:rPr>
        <w:t xml:space="preserve"> </w:t>
      </w:r>
      <w:r w:rsidR="00DB0AC7" w:rsidRPr="006350BE">
        <w:rPr>
          <w:bCs/>
        </w:rPr>
        <w:t>statements were considered more credible than the applicant</w:t>
      </w:r>
      <w:r w:rsidR="006350BE" w:rsidRPr="006350BE">
        <w:rPr>
          <w:bCs/>
        </w:rPr>
        <w:t>’</w:t>
      </w:r>
      <w:r w:rsidR="00DB0AC7" w:rsidRPr="006350BE">
        <w:rPr>
          <w:bCs/>
        </w:rPr>
        <w:t xml:space="preserve">s account of the events (see paragraph </w:t>
      </w:r>
      <w:r w:rsidR="00DA00F9" w:rsidRPr="006350BE">
        <w:rPr>
          <w:bCs/>
        </w:rPr>
        <w:fldChar w:fldCharType="begin"/>
      </w:r>
      <w:r w:rsidR="00DA00F9" w:rsidRPr="006350BE">
        <w:rPr>
          <w:bCs/>
        </w:rPr>
        <w:instrText xml:space="preserve"> REF Investigator \h </w:instrText>
      </w:r>
      <w:r w:rsidR="00DA00F9" w:rsidRPr="006350BE">
        <w:rPr>
          <w:bCs/>
        </w:rPr>
      </w:r>
      <w:r w:rsidR="00DA00F9" w:rsidRPr="006350BE">
        <w:rPr>
          <w:bCs/>
        </w:rPr>
        <w:fldChar w:fldCharType="separate"/>
      </w:r>
      <w:r w:rsidR="006350BE" w:rsidRPr="006350BE">
        <w:rPr>
          <w:noProof/>
        </w:rPr>
        <w:t>33</w:t>
      </w:r>
      <w:r w:rsidR="00DA00F9" w:rsidRPr="006350BE">
        <w:rPr>
          <w:bCs/>
        </w:rPr>
        <w:fldChar w:fldCharType="end"/>
      </w:r>
      <w:r w:rsidR="00DA00F9" w:rsidRPr="006350BE">
        <w:rPr>
          <w:bCs/>
        </w:rPr>
        <w:t xml:space="preserve"> </w:t>
      </w:r>
      <w:r w:rsidR="00DB0AC7" w:rsidRPr="006350BE">
        <w:rPr>
          <w:bCs/>
        </w:rPr>
        <w:t xml:space="preserve">above). It therefore appears that the investigating authority, without any justification, gave preference to the evidence provided by the </w:t>
      </w:r>
      <w:r w:rsidR="00DA00F9" w:rsidRPr="006350BE">
        <w:rPr>
          <w:bCs/>
        </w:rPr>
        <w:t>guards and employees of the correctional colony.</w:t>
      </w:r>
    </w:p>
    <w:p w:rsidR="00CF58E1" w:rsidRPr="006350BE" w:rsidRDefault="00090B2C" w:rsidP="006350BE">
      <w:pPr>
        <w:pStyle w:val="ECHRPara"/>
        <w:rPr>
          <w:bCs/>
        </w:rPr>
      </w:pPr>
      <w:r w:rsidRPr="006350BE">
        <w:rPr>
          <w:bCs/>
        </w:rPr>
        <w:fldChar w:fldCharType="begin"/>
      </w:r>
      <w:r w:rsidRPr="006350BE">
        <w:rPr>
          <w:bCs/>
        </w:rPr>
        <w:instrText xml:space="preserve"> SEQ level0 \*arabic </w:instrText>
      </w:r>
      <w:r w:rsidRPr="006350BE">
        <w:rPr>
          <w:bCs/>
        </w:rPr>
        <w:fldChar w:fldCharType="separate"/>
      </w:r>
      <w:r w:rsidR="006350BE" w:rsidRPr="006350BE">
        <w:rPr>
          <w:bCs/>
          <w:noProof/>
        </w:rPr>
        <w:t>62</w:t>
      </w:r>
      <w:r w:rsidRPr="006350BE">
        <w:rPr>
          <w:bCs/>
        </w:rPr>
        <w:fldChar w:fldCharType="end"/>
      </w:r>
      <w:r w:rsidRPr="006350BE">
        <w:rPr>
          <w:bCs/>
        </w:rPr>
        <w:t>.  </w:t>
      </w:r>
      <w:r w:rsidR="00847BA4" w:rsidRPr="006350BE">
        <w:rPr>
          <w:bCs/>
        </w:rPr>
        <w:t>E</w:t>
      </w:r>
      <w:r w:rsidR="00CF58E1" w:rsidRPr="006350BE">
        <w:rPr>
          <w:bCs/>
        </w:rPr>
        <w:t xml:space="preserve">ven though </w:t>
      </w:r>
      <w:r w:rsidR="00847BA4" w:rsidRPr="006350BE">
        <w:rPr>
          <w:bCs/>
        </w:rPr>
        <w:t>I.</w:t>
      </w:r>
      <w:r w:rsidR="006350BE" w:rsidRPr="006350BE">
        <w:rPr>
          <w:bCs/>
        </w:rPr>
        <w:t>’</w:t>
      </w:r>
      <w:r w:rsidR="00847BA4" w:rsidRPr="006350BE">
        <w:rPr>
          <w:bCs/>
        </w:rPr>
        <w:t xml:space="preserve">s </w:t>
      </w:r>
      <w:r w:rsidR="00CF58E1" w:rsidRPr="006350BE">
        <w:rPr>
          <w:bCs/>
        </w:rPr>
        <w:t>decision was quashed by the head of the investigati</w:t>
      </w:r>
      <w:r w:rsidR="005D1137" w:rsidRPr="006350BE">
        <w:rPr>
          <w:bCs/>
        </w:rPr>
        <w:t>ve</w:t>
      </w:r>
      <w:r w:rsidR="00CF58E1" w:rsidRPr="006350BE">
        <w:rPr>
          <w:bCs/>
        </w:rPr>
        <w:t xml:space="preserve"> committee and subsequently by the regional prosecutor (see paragraphs </w:t>
      </w:r>
      <w:r w:rsidR="00C6120D" w:rsidRPr="006350BE">
        <w:rPr>
          <w:bCs/>
        </w:rPr>
        <w:fldChar w:fldCharType="begin"/>
      </w:r>
      <w:r w:rsidR="00C6120D" w:rsidRPr="006350BE">
        <w:rPr>
          <w:bCs/>
        </w:rPr>
        <w:instrText xml:space="preserve"> REF Quashing \h </w:instrText>
      </w:r>
      <w:r w:rsidR="00C6120D" w:rsidRPr="006350BE">
        <w:rPr>
          <w:bCs/>
        </w:rPr>
      </w:r>
      <w:r w:rsidR="00C6120D" w:rsidRPr="006350BE">
        <w:rPr>
          <w:bCs/>
        </w:rPr>
        <w:fldChar w:fldCharType="separate"/>
      </w:r>
      <w:r w:rsidR="006350BE" w:rsidRPr="006350BE">
        <w:rPr>
          <w:noProof/>
        </w:rPr>
        <w:t>34</w:t>
      </w:r>
      <w:r w:rsidR="00C6120D" w:rsidRPr="006350BE">
        <w:rPr>
          <w:bCs/>
        </w:rPr>
        <w:fldChar w:fldCharType="end"/>
      </w:r>
      <w:r w:rsidR="00C6120D" w:rsidRPr="006350BE">
        <w:rPr>
          <w:bCs/>
        </w:rPr>
        <w:t xml:space="preserve"> and </w:t>
      </w:r>
      <w:r w:rsidR="00C6120D" w:rsidRPr="006350BE">
        <w:rPr>
          <w:bCs/>
        </w:rPr>
        <w:fldChar w:fldCharType="begin"/>
      </w:r>
      <w:r w:rsidR="00C6120D" w:rsidRPr="006350BE">
        <w:rPr>
          <w:bCs/>
        </w:rPr>
        <w:instrText xml:space="preserve"> REF Quashing2 \h </w:instrText>
      </w:r>
      <w:r w:rsidR="00C6120D" w:rsidRPr="006350BE">
        <w:rPr>
          <w:bCs/>
        </w:rPr>
      </w:r>
      <w:r w:rsidR="00C6120D" w:rsidRPr="006350BE">
        <w:rPr>
          <w:bCs/>
        </w:rPr>
        <w:fldChar w:fldCharType="separate"/>
      </w:r>
      <w:r w:rsidR="006350BE" w:rsidRPr="006350BE">
        <w:rPr>
          <w:noProof/>
        </w:rPr>
        <w:t>36</w:t>
      </w:r>
      <w:r w:rsidR="00C6120D" w:rsidRPr="006350BE">
        <w:rPr>
          <w:bCs/>
        </w:rPr>
        <w:fldChar w:fldCharType="end"/>
      </w:r>
      <w:r w:rsidR="00CF58E1" w:rsidRPr="006350BE">
        <w:rPr>
          <w:bCs/>
        </w:rPr>
        <w:t>), the outcome of the proceedings remains unclear to the Court</w:t>
      </w:r>
      <w:r w:rsidR="00847BA4" w:rsidRPr="006350BE">
        <w:rPr>
          <w:bCs/>
        </w:rPr>
        <w:t>,</w:t>
      </w:r>
      <w:r w:rsidR="00CF58E1" w:rsidRPr="006350BE">
        <w:rPr>
          <w:bCs/>
        </w:rPr>
        <w:t xml:space="preserve"> given that the parties did not submit any argument</w:t>
      </w:r>
      <w:r w:rsidR="00847BA4" w:rsidRPr="006350BE">
        <w:rPr>
          <w:bCs/>
        </w:rPr>
        <w:t>s</w:t>
      </w:r>
      <w:r w:rsidR="00CF58E1" w:rsidRPr="006350BE">
        <w:rPr>
          <w:bCs/>
        </w:rPr>
        <w:t xml:space="preserve"> </w:t>
      </w:r>
      <w:r w:rsidR="00847BA4" w:rsidRPr="006350BE">
        <w:rPr>
          <w:bCs/>
        </w:rPr>
        <w:t xml:space="preserve">or </w:t>
      </w:r>
      <w:r w:rsidR="00CF58E1" w:rsidRPr="006350BE">
        <w:rPr>
          <w:bCs/>
        </w:rPr>
        <w:t>evidence in this regard.</w:t>
      </w:r>
    </w:p>
    <w:p w:rsidR="00915423" w:rsidRPr="006350BE" w:rsidRDefault="00BF636F" w:rsidP="006350BE">
      <w:pPr>
        <w:pStyle w:val="ECHRPara"/>
        <w:rPr>
          <w:bCs/>
        </w:rPr>
      </w:pPr>
      <w:r w:rsidRPr="006350BE">
        <w:rPr>
          <w:bCs/>
        </w:rPr>
        <w:fldChar w:fldCharType="begin"/>
      </w:r>
      <w:r w:rsidRPr="006350BE">
        <w:rPr>
          <w:bCs/>
        </w:rPr>
        <w:instrText xml:space="preserve"> SEQ level0 \*arabic </w:instrText>
      </w:r>
      <w:r w:rsidRPr="006350BE">
        <w:rPr>
          <w:bCs/>
        </w:rPr>
        <w:fldChar w:fldCharType="separate"/>
      </w:r>
      <w:r w:rsidR="006350BE" w:rsidRPr="006350BE">
        <w:rPr>
          <w:bCs/>
          <w:noProof/>
        </w:rPr>
        <w:t>63</w:t>
      </w:r>
      <w:r w:rsidRPr="006350BE">
        <w:rPr>
          <w:bCs/>
        </w:rPr>
        <w:fldChar w:fldCharType="end"/>
      </w:r>
      <w:r w:rsidRPr="006350BE">
        <w:rPr>
          <w:bCs/>
        </w:rPr>
        <w:t>.  </w:t>
      </w:r>
      <w:r w:rsidR="00915423" w:rsidRPr="006350BE">
        <w:rPr>
          <w:bCs/>
        </w:rPr>
        <w:t xml:space="preserve">The Court </w:t>
      </w:r>
      <w:r w:rsidR="000E57EE" w:rsidRPr="006350BE">
        <w:rPr>
          <w:bCs/>
        </w:rPr>
        <w:t xml:space="preserve">reiterates </w:t>
      </w:r>
      <w:r w:rsidR="00915423" w:rsidRPr="006350BE">
        <w:rPr>
          <w:bCs/>
        </w:rPr>
        <w:t xml:space="preserve">that it has already found </w:t>
      </w:r>
      <w:r w:rsidR="00F36C8B" w:rsidRPr="006350BE">
        <w:rPr>
          <w:bCs/>
        </w:rPr>
        <w:t xml:space="preserve">a </w:t>
      </w:r>
      <w:r w:rsidR="00915423" w:rsidRPr="006350BE">
        <w:rPr>
          <w:bCs/>
        </w:rPr>
        <w:t xml:space="preserve">violation in </w:t>
      </w:r>
      <w:r w:rsidR="00DB6A6A" w:rsidRPr="006350BE">
        <w:rPr>
          <w:bCs/>
        </w:rPr>
        <w:t xml:space="preserve">a </w:t>
      </w:r>
      <w:r w:rsidR="00915423" w:rsidRPr="006350BE">
        <w:rPr>
          <w:bCs/>
        </w:rPr>
        <w:t xml:space="preserve">similar case (see </w:t>
      </w:r>
      <w:proofErr w:type="spellStart"/>
      <w:r w:rsidR="00915423" w:rsidRPr="006350BE">
        <w:rPr>
          <w:bCs/>
          <w:i/>
        </w:rPr>
        <w:t>Lyapin</w:t>
      </w:r>
      <w:proofErr w:type="spellEnd"/>
      <w:r w:rsidR="00915423" w:rsidRPr="006350BE">
        <w:rPr>
          <w:bCs/>
        </w:rPr>
        <w:t xml:space="preserve">, </w:t>
      </w:r>
      <w:r w:rsidR="00633F8B" w:rsidRPr="006350BE">
        <w:rPr>
          <w:bCs/>
        </w:rPr>
        <w:t xml:space="preserve">cited above, </w:t>
      </w:r>
      <w:r w:rsidR="00915423" w:rsidRPr="006350BE">
        <w:rPr>
          <w:bCs/>
        </w:rPr>
        <w:t>§§</w:t>
      </w:r>
      <w:r w:rsidR="00633F8B" w:rsidRPr="006350BE">
        <w:rPr>
          <w:bCs/>
        </w:rPr>
        <w:t> </w:t>
      </w:r>
      <w:r w:rsidR="00915423" w:rsidRPr="006350BE">
        <w:rPr>
          <w:bCs/>
        </w:rPr>
        <w:t>128-40)</w:t>
      </w:r>
      <w:r w:rsidR="00DB6A6A" w:rsidRPr="006350BE">
        <w:rPr>
          <w:bCs/>
        </w:rPr>
        <w:t xml:space="preserve"> and sees no grounds to hold otherwise in the present case</w:t>
      </w:r>
      <w:r w:rsidR="00915423" w:rsidRPr="006350BE">
        <w:rPr>
          <w:bCs/>
        </w:rPr>
        <w:t xml:space="preserve">. It concludes, therefore, that the refusal to open a criminal case in respect of </w:t>
      </w:r>
      <w:r w:rsidR="007D2BA3" w:rsidRPr="006350BE">
        <w:rPr>
          <w:bCs/>
        </w:rPr>
        <w:t>the second applicant</w:t>
      </w:r>
      <w:r w:rsidR="006350BE" w:rsidRPr="006350BE">
        <w:rPr>
          <w:bCs/>
        </w:rPr>
        <w:t>’</w:t>
      </w:r>
      <w:r w:rsidR="007D2BA3" w:rsidRPr="006350BE">
        <w:rPr>
          <w:bCs/>
        </w:rPr>
        <w:t xml:space="preserve">s </w:t>
      </w:r>
      <w:r w:rsidR="00915423" w:rsidRPr="006350BE">
        <w:rPr>
          <w:bCs/>
        </w:rPr>
        <w:t>credible allegations that he had sustained injuries as a result of ill-treatment on 15 May 2006 and 2</w:t>
      </w:r>
      <w:r w:rsidR="001F6D6E" w:rsidRPr="006350BE">
        <w:rPr>
          <w:bCs/>
        </w:rPr>
        <w:t>7</w:t>
      </w:r>
      <w:r w:rsidR="00F66756" w:rsidRPr="006350BE">
        <w:rPr>
          <w:bCs/>
        </w:rPr>
        <w:t> </w:t>
      </w:r>
      <w:r w:rsidR="00915423" w:rsidRPr="006350BE">
        <w:rPr>
          <w:bCs/>
        </w:rPr>
        <w:t>December 2007 amounted to a failure to carry out an effective</w:t>
      </w:r>
      <w:r w:rsidR="001F6D6E" w:rsidRPr="006350BE">
        <w:rPr>
          <w:bCs/>
        </w:rPr>
        <w:t xml:space="preserve"> inquiry</w:t>
      </w:r>
      <w:r w:rsidR="00BE4876" w:rsidRPr="006350BE">
        <w:rPr>
          <w:bCs/>
        </w:rPr>
        <w:t xml:space="preserve"> into the applicant</w:t>
      </w:r>
      <w:r w:rsidR="006350BE" w:rsidRPr="006350BE">
        <w:rPr>
          <w:bCs/>
        </w:rPr>
        <w:t>’</w:t>
      </w:r>
      <w:r w:rsidR="00BE4876" w:rsidRPr="006350BE">
        <w:rPr>
          <w:bCs/>
        </w:rPr>
        <w:t>s allegations of ill-treatment</w:t>
      </w:r>
      <w:r w:rsidR="00915423" w:rsidRPr="006350BE">
        <w:rPr>
          <w:bCs/>
        </w:rPr>
        <w:t xml:space="preserve"> as required by Article 3 of the Convention.</w:t>
      </w:r>
    </w:p>
    <w:p w:rsidR="00427090" w:rsidRPr="006350BE" w:rsidRDefault="00BF636F" w:rsidP="006350BE">
      <w:pPr>
        <w:pStyle w:val="ECHRPara"/>
        <w:rPr>
          <w:bCs/>
        </w:rPr>
      </w:pPr>
      <w:r w:rsidRPr="006350BE">
        <w:rPr>
          <w:bCs/>
        </w:rPr>
        <w:fldChar w:fldCharType="begin"/>
      </w:r>
      <w:r w:rsidRPr="006350BE">
        <w:rPr>
          <w:bCs/>
        </w:rPr>
        <w:instrText xml:space="preserve"> SEQ level0 \*arabic </w:instrText>
      </w:r>
      <w:r w:rsidRPr="006350BE">
        <w:rPr>
          <w:bCs/>
        </w:rPr>
        <w:fldChar w:fldCharType="separate"/>
      </w:r>
      <w:r w:rsidR="006350BE" w:rsidRPr="006350BE">
        <w:rPr>
          <w:bCs/>
          <w:noProof/>
        </w:rPr>
        <w:t>64</w:t>
      </w:r>
      <w:r w:rsidRPr="006350BE">
        <w:rPr>
          <w:bCs/>
        </w:rPr>
        <w:fldChar w:fldCharType="end"/>
      </w:r>
      <w:r w:rsidRPr="006350BE">
        <w:rPr>
          <w:bCs/>
        </w:rPr>
        <w:t>.  </w:t>
      </w:r>
      <w:r w:rsidR="00915423" w:rsidRPr="006350BE">
        <w:rPr>
          <w:bCs/>
        </w:rPr>
        <w:t>In view of the foregoing, the Court concludes that there has been a violation of Article 3 of the Convention</w:t>
      </w:r>
      <w:r w:rsidR="007C1139" w:rsidRPr="006350BE">
        <w:rPr>
          <w:bCs/>
          <w:lang w:val="en-US"/>
        </w:rPr>
        <w:t xml:space="preserve"> under its procedural limb</w:t>
      </w:r>
      <w:r w:rsidRPr="006350BE">
        <w:rPr>
          <w:bCs/>
        </w:rPr>
        <w:t>.</w:t>
      </w:r>
    </w:p>
    <w:p w:rsidR="002C0BB1" w:rsidRPr="006350BE" w:rsidRDefault="0003178A" w:rsidP="006350BE">
      <w:pPr>
        <w:pStyle w:val="ECHRHeading1"/>
      </w:pPr>
      <w:r w:rsidRPr="006350BE">
        <w:t>III</w:t>
      </w:r>
      <w:r w:rsidR="002C0BB1" w:rsidRPr="006350BE">
        <w:t>.  ALLEGED VIOLATION OF ARTICLE 5</w:t>
      </w:r>
      <w:r w:rsidR="00FD247A" w:rsidRPr="006350BE">
        <w:t> </w:t>
      </w:r>
      <w:r w:rsidR="007C0FC1" w:rsidRPr="006350BE">
        <w:rPr>
          <w:bCs w:val="0"/>
        </w:rPr>
        <w:t>§§ </w:t>
      </w:r>
      <w:r w:rsidR="00E43083" w:rsidRPr="006350BE">
        <w:rPr>
          <w:bCs w:val="0"/>
        </w:rPr>
        <w:t xml:space="preserve">1 </w:t>
      </w:r>
      <w:r w:rsidR="0025457B" w:rsidRPr="006350BE">
        <w:rPr>
          <w:bCs w:val="0"/>
        </w:rPr>
        <w:t xml:space="preserve">AND </w:t>
      </w:r>
      <w:r w:rsidR="007C0FC1" w:rsidRPr="006350BE">
        <w:rPr>
          <w:bCs w:val="0"/>
        </w:rPr>
        <w:t xml:space="preserve">4 </w:t>
      </w:r>
      <w:r w:rsidR="002C0BB1" w:rsidRPr="006350BE">
        <w:t xml:space="preserve">OF THE CONVENTION ON ACCOUNT OF THE </w:t>
      </w:r>
      <w:r w:rsidR="007C0FC1" w:rsidRPr="006350BE">
        <w:t xml:space="preserve">SECOND </w:t>
      </w:r>
      <w:r w:rsidR="002C0BB1" w:rsidRPr="006350BE">
        <w:t>APPLICANT</w:t>
      </w:r>
      <w:r w:rsidR="006350BE" w:rsidRPr="006350BE">
        <w:t>’</w:t>
      </w:r>
      <w:r w:rsidR="002C0BB1" w:rsidRPr="006350BE">
        <w:t>S DETENTION</w:t>
      </w:r>
    </w:p>
    <w:p w:rsidR="002C0BB1" w:rsidRPr="006350BE" w:rsidRDefault="002C0BB1" w:rsidP="006350BE">
      <w:pPr>
        <w:pStyle w:val="ECHRPara"/>
        <w:rPr>
          <w:bCs/>
        </w:rPr>
      </w:pPr>
      <w:r w:rsidRPr="006350BE">
        <w:rPr>
          <w:bCs/>
        </w:rPr>
        <w:fldChar w:fldCharType="begin"/>
      </w:r>
      <w:r w:rsidRPr="006350BE">
        <w:rPr>
          <w:bCs/>
        </w:rPr>
        <w:instrText xml:space="preserve"> SEQ level0 \*arabic </w:instrText>
      </w:r>
      <w:r w:rsidRPr="006350BE">
        <w:rPr>
          <w:bCs/>
        </w:rPr>
        <w:fldChar w:fldCharType="separate"/>
      </w:r>
      <w:r w:rsidR="006350BE" w:rsidRPr="006350BE">
        <w:rPr>
          <w:bCs/>
          <w:noProof/>
        </w:rPr>
        <w:t>65</w:t>
      </w:r>
      <w:r w:rsidRPr="006350BE">
        <w:rPr>
          <w:bCs/>
        </w:rPr>
        <w:fldChar w:fldCharType="end"/>
      </w:r>
      <w:r w:rsidRPr="006350BE">
        <w:rPr>
          <w:bCs/>
        </w:rPr>
        <w:t xml:space="preserve">.  The second applicant </w:t>
      </w:r>
      <w:r w:rsidR="00BC21A6" w:rsidRPr="006350BE">
        <w:rPr>
          <w:bCs/>
        </w:rPr>
        <w:t xml:space="preserve">complained that the </w:t>
      </w:r>
      <w:r w:rsidR="00BE4876" w:rsidRPr="006350BE">
        <w:rPr>
          <w:bCs/>
        </w:rPr>
        <w:t>R</w:t>
      </w:r>
      <w:r w:rsidR="00BC21A6" w:rsidRPr="006350BE">
        <w:rPr>
          <w:bCs/>
        </w:rPr>
        <w:t xml:space="preserve">egional </w:t>
      </w:r>
      <w:r w:rsidR="00BE4876" w:rsidRPr="006350BE">
        <w:rPr>
          <w:bCs/>
        </w:rPr>
        <w:t>C</w:t>
      </w:r>
      <w:r w:rsidR="00BC21A6" w:rsidRPr="006350BE">
        <w:rPr>
          <w:bCs/>
        </w:rPr>
        <w:t>ourt</w:t>
      </w:r>
      <w:r w:rsidR="006350BE" w:rsidRPr="006350BE">
        <w:rPr>
          <w:bCs/>
        </w:rPr>
        <w:t>’</w:t>
      </w:r>
      <w:r w:rsidR="00BC21A6" w:rsidRPr="006350BE">
        <w:rPr>
          <w:bCs/>
        </w:rPr>
        <w:t xml:space="preserve">s decision </w:t>
      </w:r>
      <w:r w:rsidR="00BE4876" w:rsidRPr="006350BE">
        <w:rPr>
          <w:bCs/>
        </w:rPr>
        <w:t xml:space="preserve">ordering </w:t>
      </w:r>
      <w:r w:rsidR="00BC21A6" w:rsidRPr="006350BE">
        <w:rPr>
          <w:bCs/>
        </w:rPr>
        <w:t>his detention between</w:t>
      </w:r>
      <w:r w:rsidR="00EC1492" w:rsidRPr="006350BE">
        <w:rPr>
          <w:bCs/>
        </w:rPr>
        <w:t xml:space="preserve"> 13 September 2002 and 17 January 2003</w:t>
      </w:r>
      <w:r w:rsidR="00BC21A6" w:rsidRPr="006350BE">
        <w:rPr>
          <w:bCs/>
        </w:rPr>
        <w:t xml:space="preserve"> had no valid grounds</w:t>
      </w:r>
      <w:r w:rsidRPr="006350BE">
        <w:rPr>
          <w:bCs/>
        </w:rPr>
        <w:t xml:space="preserve"> and that he </w:t>
      </w:r>
      <w:r w:rsidR="00BE4876" w:rsidRPr="006350BE">
        <w:rPr>
          <w:bCs/>
        </w:rPr>
        <w:t xml:space="preserve">had </w:t>
      </w:r>
      <w:r w:rsidRPr="006350BE">
        <w:rPr>
          <w:bCs/>
        </w:rPr>
        <w:t xml:space="preserve">not </w:t>
      </w:r>
      <w:r w:rsidR="00BE4876" w:rsidRPr="006350BE">
        <w:rPr>
          <w:bCs/>
        </w:rPr>
        <w:t xml:space="preserve">had </w:t>
      </w:r>
      <w:r w:rsidRPr="006350BE">
        <w:rPr>
          <w:bCs/>
        </w:rPr>
        <w:t xml:space="preserve">at his disposal an effective procedure by which </w:t>
      </w:r>
      <w:r w:rsidR="00BE4876" w:rsidRPr="006350BE">
        <w:rPr>
          <w:bCs/>
        </w:rPr>
        <w:t xml:space="preserve">to </w:t>
      </w:r>
      <w:r w:rsidRPr="006350BE">
        <w:rPr>
          <w:bCs/>
        </w:rPr>
        <w:t>challenge the lawfulness of his detention during th</w:t>
      </w:r>
      <w:r w:rsidR="00BC21A6" w:rsidRPr="006350BE">
        <w:rPr>
          <w:bCs/>
        </w:rPr>
        <w:t>at</w:t>
      </w:r>
      <w:r w:rsidRPr="006350BE">
        <w:rPr>
          <w:bCs/>
        </w:rPr>
        <w:t xml:space="preserve"> period. </w:t>
      </w:r>
      <w:r w:rsidR="00FE7B56" w:rsidRPr="006350BE">
        <w:rPr>
          <w:bCs/>
        </w:rPr>
        <w:t xml:space="preserve">He </w:t>
      </w:r>
      <w:r w:rsidRPr="006350BE">
        <w:rPr>
          <w:bCs/>
        </w:rPr>
        <w:t>referred to Article</w:t>
      </w:r>
      <w:r w:rsidR="001F5D8D" w:rsidRPr="006350BE">
        <w:rPr>
          <w:bCs/>
        </w:rPr>
        <w:t xml:space="preserve"> </w:t>
      </w:r>
      <w:r w:rsidRPr="006350BE">
        <w:rPr>
          <w:bCs/>
        </w:rPr>
        <w:t>5 of the Convention, which read</w:t>
      </w:r>
      <w:r w:rsidR="00FD247A" w:rsidRPr="006350BE">
        <w:rPr>
          <w:bCs/>
        </w:rPr>
        <w:t>s, insofar as relevant,</w:t>
      </w:r>
      <w:r w:rsidRPr="006350BE">
        <w:rPr>
          <w:bCs/>
        </w:rPr>
        <w:t xml:space="preserve"> as follows:</w:t>
      </w:r>
    </w:p>
    <w:p w:rsidR="002C0BB1" w:rsidRPr="006350BE" w:rsidRDefault="002C0BB1" w:rsidP="006350BE">
      <w:pPr>
        <w:pStyle w:val="ECHRTitleCentre3"/>
      </w:pPr>
      <w:r w:rsidRPr="006350BE">
        <w:t>Article 5</w:t>
      </w:r>
    </w:p>
    <w:p w:rsidR="002C0BB1" w:rsidRPr="006350BE" w:rsidRDefault="002C0BB1" w:rsidP="006350BE">
      <w:pPr>
        <w:pStyle w:val="ECHRParaQuote"/>
      </w:pPr>
      <w:r w:rsidRPr="006350BE">
        <w:t>“1.  Everyone has the right to liberty and security of person. No one shall be deprived of his liberty save in the following cases and in accordance with a procedure prescribed by law:</w:t>
      </w:r>
    </w:p>
    <w:p w:rsidR="00776700" w:rsidRPr="006350BE" w:rsidRDefault="00776700" w:rsidP="006350BE">
      <w:pPr>
        <w:pStyle w:val="ECHRParaQuote"/>
      </w:pPr>
      <w:r w:rsidRPr="006350BE">
        <w:t>...</w:t>
      </w:r>
    </w:p>
    <w:p w:rsidR="002C0BB1" w:rsidRPr="006350BE" w:rsidRDefault="002C0BB1" w:rsidP="006350BE">
      <w:pPr>
        <w:pStyle w:val="ECHRParaQuote"/>
      </w:pPr>
      <w:r w:rsidRPr="006350BE">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00776700" w:rsidRPr="006350BE" w:rsidRDefault="00776700" w:rsidP="006350BE">
      <w:pPr>
        <w:pStyle w:val="ECHRParaQuote"/>
      </w:pPr>
      <w:r w:rsidRPr="006350BE">
        <w:lastRenderedPageBreak/>
        <w:t>...</w:t>
      </w:r>
    </w:p>
    <w:p w:rsidR="002C0BB1" w:rsidRPr="006350BE" w:rsidRDefault="002C0BB1" w:rsidP="006350BE">
      <w:pPr>
        <w:pStyle w:val="ECHRParaQuote"/>
      </w:pPr>
      <w:r w:rsidRPr="006350BE">
        <w:t>4.</w:t>
      </w:r>
      <w:r w:rsidR="008D5C89" w:rsidRPr="006350BE">
        <w:t> </w:t>
      </w:r>
      <w:r w:rsidR="000C6580" w:rsidRPr="006350BE">
        <w:t> </w:t>
      </w:r>
      <w:r w:rsidR="008D5C89" w:rsidRPr="006350BE">
        <w:t>Everyone</w:t>
      </w:r>
      <w:r w:rsidRPr="006350BE">
        <w:t xml:space="preserve"> who is deprived of his liberty by arrest or detention shall be entitled to take proceedings by which the lawfulness of his detention shall be decided speedily by a court and his release ordered if the detention is not lawful</w:t>
      </w:r>
      <w:r w:rsidR="000C6580" w:rsidRPr="006350BE">
        <w:t xml:space="preserve"> </w:t>
      </w:r>
      <w:r w:rsidR="00776700" w:rsidRPr="006350BE">
        <w:t>...</w:t>
      </w:r>
      <w:r w:rsidRPr="006350BE">
        <w:t>”</w:t>
      </w:r>
    </w:p>
    <w:p w:rsidR="00E07712" w:rsidRPr="006350BE" w:rsidRDefault="00E07712" w:rsidP="006350BE">
      <w:pPr>
        <w:pStyle w:val="ECHRPara"/>
        <w:rPr>
          <w:bCs/>
        </w:rPr>
      </w:pPr>
      <w:r w:rsidRPr="006350BE">
        <w:rPr>
          <w:bCs/>
        </w:rPr>
        <w:fldChar w:fldCharType="begin"/>
      </w:r>
      <w:r w:rsidRPr="006350BE">
        <w:rPr>
          <w:bCs/>
        </w:rPr>
        <w:instrText xml:space="preserve"> SEQ level0 \*arabic </w:instrText>
      </w:r>
      <w:r w:rsidRPr="006350BE">
        <w:rPr>
          <w:bCs/>
        </w:rPr>
        <w:fldChar w:fldCharType="separate"/>
      </w:r>
      <w:r w:rsidR="006350BE" w:rsidRPr="006350BE">
        <w:rPr>
          <w:bCs/>
          <w:noProof/>
        </w:rPr>
        <w:t>66</w:t>
      </w:r>
      <w:r w:rsidRPr="006350BE">
        <w:rPr>
          <w:bCs/>
        </w:rPr>
        <w:fldChar w:fldCharType="end"/>
      </w:r>
      <w:r w:rsidRPr="006350BE">
        <w:rPr>
          <w:bCs/>
        </w:rPr>
        <w:t>.  The Government contested those arguments.</w:t>
      </w:r>
    </w:p>
    <w:p w:rsidR="000C6580" w:rsidRPr="006350BE" w:rsidRDefault="000D3B1D" w:rsidP="006350BE">
      <w:pPr>
        <w:pStyle w:val="ECHRPara"/>
        <w:rPr>
          <w:bCs/>
        </w:rPr>
      </w:pPr>
      <w:r w:rsidRPr="006350BE">
        <w:rPr>
          <w:bCs/>
        </w:rPr>
        <w:fldChar w:fldCharType="begin"/>
      </w:r>
      <w:r w:rsidRPr="006350BE">
        <w:rPr>
          <w:bCs/>
        </w:rPr>
        <w:instrText xml:space="preserve"> SEQ level0 \*arabic </w:instrText>
      </w:r>
      <w:r w:rsidRPr="006350BE">
        <w:rPr>
          <w:bCs/>
        </w:rPr>
        <w:fldChar w:fldCharType="separate"/>
      </w:r>
      <w:r w:rsidR="006350BE" w:rsidRPr="006350BE">
        <w:rPr>
          <w:bCs/>
          <w:noProof/>
        </w:rPr>
        <w:t>67</w:t>
      </w:r>
      <w:r w:rsidRPr="006350BE">
        <w:rPr>
          <w:bCs/>
        </w:rPr>
        <w:fldChar w:fldCharType="end"/>
      </w:r>
      <w:r w:rsidRPr="006350BE">
        <w:rPr>
          <w:bCs/>
        </w:rPr>
        <w:t>.  </w:t>
      </w:r>
      <w:r w:rsidR="008800BA" w:rsidRPr="006350BE">
        <w:rPr>
          <w:bCs/>
        </w:rPr>
        <w:t>The second applicant maintained his claims. He submitted that the first</w:t>
      </w:r>
      <w:r w:rsidR="00B03B74" w:rsidRPr="006350BE">
        <w:rPr>
          <w:bCs/>
        </w:rPr>
        <w:t>-</w:t>
      </w:r>
      <w:r w:rsidR="008800BA" w:rsidRPr="006350BE">
        <w:rPr>
          <w:bCs/>
        </w:rPr>
        <w:t xml:space="preserve">instance court </w:t>
      </w:r>
      <w:r w:rsidR="00B03B74" w:rsidRPr="006350BE">
        <w:rPr>
          <w:bCs/>
        </w:rPr>
        <w:t xml:space="preserve">had </w:t>
      </w:r>
      <w:r w:rsidR="008800BA" w:rsidRPr="006350BE">
        <w:rPr>
          <w:bCs/>
        </w:rPr>
        <w:t xml:space="preserve">extended his detention without giving any reasons </w:t>
      </w:r>
      <w:r w:rsidR="00B03B74" w:rsidRPr="006350BE">
        <w:rPr>
          <w:bCs/>
        </w:rPr>
        <w:t xml:space="preserve">or </w:t>
      </w:r>
      <w:r w:rsidR="008800BA" w:rsidRPr="006350BE">
        <w:rPr>
          <w:bCs/>
        </w:rPr>
        <w:t>setting any time</w:t>
      </w:r>
      <w:r w:rsidR="00B03B74" w:rsidRPr="006350BE">
        <w:rPr>
          <w:bCs/>
        </w:rPr>
        <w:t>-</w:t>
      </w:r>
      <w:r w:rsidR="008800BA" w:rsidRPr="006350BE">
        <w:rPr>
          <w:bCs/>
        </w:rPr>
        <w:t xml:space="preserve">limits for the </w:t>
      </w:r>
      <w:r w:rsidR="00B03B74" w:rsidRPr="006350BE">
        <w:rPr>
          <w:bCs/>
        </w:rPr>
        <w:t xml:space="preserve">extension, </w:t>
      </w:r>
      <w:r w:rsidRPr="006350BE">
        <w:rPr>
          <w:bCs/>
        </w:rPr>
        <w:t xml:space="preserve">and that the domestic courts </w:t>
      </w:r>
      <w:r w:rsidR="00B03B74" w:rsidRPr="006350BE">
        <w:rPr>
          <w:bCs/>
        </w:rPr>
        <w:t xml:space="preserve">had </w:t>
      </w:r>
      <w:r w:rsidRPr="006350BE">
        <w:rPr>
          <w:bCs/>
        </w:rPr>
        <w:t>failed to examine his appeal against the extension order.</w:t>
      </w:r>
    </w:p>
    <w:p w:rsidR="005D1137" w:rsidRPr="001524AD" w:rsidRDefault="005D1137" w:rsidP="001524AD">
      <w:pPr>
        <w:pStyle w:val="ECHRHeading2"/>
      </w:pPr>
      <w:r w:rsidRPr="001524AD">
        <w:t>Admissibility</w:t>
      </w:r>
    </w:p>
    <w:p w:rsidR="00DC1067" w:rsidRPr="006350BE" w:rsidRDefault="009916C6" w:rsidP="006350BE">
      <w:pPr>
        <w:pStyle w:val="ECHRPara"/>
        <w:rPr>
          <w:bCs/>
        </w:rPr>
      </w:pPr>
      <w:r w:rsidRPr="006350BE">
        <w:rPr>
          <w:bCs/>
        </w:rPr>
        <w:fldChar w:fldCharType="begin"/>
      </w:r>
      <w:r w:rsidRPr="006350BE">
        <w:rPr>
          <w:bCs/>
        </w:rPr>
        <w:instrText xml:space="preserve"> SEQ level0 \*arabic </w:instrText>
      </w:r>
      <w:r w:rsidRPr="006350BE">
        <w:rPr>
          <w:bCs/>
        </w:rPr>
        <w:fldChar w:fldCharType="separate"/>
      </w:r>
      <w:r w:rsidR="006350BE" w:rsidRPr="006350BE">
        <w:rPr>
          <w:bCs/>
          <w:noProof/>
        </w:rPr>
        <w:t>68</w:t>
      </w:r>
      <w:r w:rsidRPr="006350BE">
        <w:rPr>
          <w:bCs/>
        </w:rPr>
        <w:fldChar w:fldCharType="end"/>
      </w:r>
      <w:r w:rsidRPr="006350BE">
        <w:rPr>
          <w:bCs/>
        </w:rPr>
        <w:t>.  </w:t>
      </w:r>
      <w:r w:rsidR="00DC1067" w:rsidRPr="006350BE">
        <w:rPr>
          <w:bCs/>
        </w:rPr>
        <w:t>As regards the second applicant</w:t>
      </w:r>
      <w:r w:rsidR="006350BE" w:rsidRPr="006350BE">
        <w:rPr>
          <w:bCs/>
        </w:rPr>
        <w:t>’</w:t>
      </w:r>
      <w:r w:rsidR="00DC1067" w:rsidRPr="006350BE">
        <w:rPr>
          <w:bCs/>
        </w:rPr>
        <w:t>s complaint lodged under Article 5 § </w:t>
      </w:r>
      <w:r w:rsidR="00E43083" w:rsidRPr="006350BE">
        <w:rPr>
          <w:bCs/>
        </w:rPr>
        <w:t xml:space="preserve">1 </w:t>
      </w:r>
      <w:r w:rsidR="00DC1067" w:rsidRPr="006350BE">
        <w:rPr>
          <w:bCs/>
        </w:rPr>
        <w:t>of the Convention</w:t>
      </w:r>
      <w:r w:rsidR="00B03B74" w:rsidRPr="006350BE">
        <w:rPr>
          <w:bCs/>
        </w:rPr>
        <w:t>,</w:t>
      </w:r>
      <w:r w:rsidR="00DC1067" w:rsidRPr="006350BE">
        <w:rPr>
          <w:bCs/>
        </w:rPr>
        <w:t xml:space="preserve"> the Court notes that</w:t>
      </w:r>
      <w:r w:rsidR="00EC60E4" w:rsidRPr="006350BE">
        <w:rPr>
          <w:bCs/>
        </w:rPr>
        <w:t xml:space="preserve"> his pre-trial detention ended on 17 January 2003, </w:t>
      </w:r>
      <w:r w:rsidR="00B03B74" w:rsidRPr="006350BE">
        <w:rPr>
          <w:bCs/>
        </w:rPr>
        <w:t xml:space="preserve">whereas </w:t>
      </w:r>
      <w:r w:rsidR="00DC1067" w:rsidRPr="006350BE">
        <w:rPr>
          <w:bCs/>
        </w:rPr>
        <w:t>he lodged his application with the Court in 2007</w:t>
      </w:r>
      <w:r w:rsidR="008E351D" w:rsidRPr="006350BE">
        <w:rPr>
          <w:bCs/>
        </w:rPr>
        <w:t xml:space="preserve">, </w:t>
      </w:r>
      <w:r w:rsidR="00DC1067" w:rsidRPr="006350BE">
        <w:rPr>
          <w:bCs/>
        </w:rPr>
        <w:t xml:space="preserve">that is more than six months after the alleged violation </w:t>
      </w:r>
      <w:r w:rsidR="00BE4876" w:rsidRPr="006350BE">
        <w:rPr>
          <w:bCs/>
        </w:rPr>
        <w:t xml:space="preserve">had taken </w:t>
      </w:r>
      <w:r w:rsidR="00DC1067" w:rsidRPr="006350BE">
        <w:rPr>
          <w:bCs/>
        </w:rPr>
        <w:t>place.</w:t>
      </w:r>
    </w:p>
    <w:p w:rsidR="00364729" w:rsidRPr="006350BE" w:rsidRDefault="007B0A20" w:rsidP="006350BE">
      <w:pPr>
        <w:pStyle w:val="ECHRPara"/>
      </w:pPr>
      <w:r w:rsidRPr="006350BE">
        <w:rPr>
          <w:bCs/>
        </w:rPr>
        <w:fldChar w:fldCharType="begin"/>
      </w:r>
      <w:r w:rsidRPr="006350BE">
        <w:rPr>
          <w:bCs/>
        </w:rPr>
        <w:instrText xml:space="preserve"> SEQ level0 \*arabic </w:instrText>
      </w:r>
      <w:r w:rsidRPr="006350BE">
        <w:rPr>
          <w:bCs/>
        </w:rPr>
        <w:fldChar w:fldCharType="separate"/>
      </w:r>
      <w:r w:rsidR="006350BE" w:rsidRPr="006350BE">
        <w:rPr>
          <w:bCs/>
          <w:noProof/>
        </w:rPr>
        <w:t>69</w:t>
      </w:r>
      <w:r w:rsidRPr="006350BE">
        <w:rPr>
          <w:bCs/>
        </w:rPr>
        <w:fldChar w:fldCharType="end"/>
      </w:r>
      <w:r w:rsidRPr="006350BE">
        <w:rPr>
          <w:bCs/>
        </w:rPr>
        <w:t>.  </w:t>
      </w:r>
      <w:r w:rsidR="00DC1067" w:rsidRPr="006350BE">
        <w:rPr>
          <w:bCs/>
        </w:rPr>
        <w:t>The</w:t>
      </w:r>
      <w:r w:rsidR="00FE7B56" w:rsidRPr="006350BE">
        <w:rPr>
          <w:bCs/>
        </w:rPr>
        <w:t xml:space="preserve"> above</w:t>
      </w:r>
      <w:r w:rsidR="00DC1067" w:rsidRPr="006350BE">
        <w:rPr>
          <w:bCs/>
        </w:rPr>
        <w:t xml:space="preserve"> considerations </w:t>
      </w:r>
      <w:r w:rsidR="00B03B74" w:rsidRPr="006350BE">
        <w:rPr>
          <w:bCs/>
        </w:rPr>
        <w:t xml:space="preserve">also </w:t>
      </w:r>
      <w:r w:rsidR="00DC1067" w:rsidRPr="006350BE">
        <w:rPr>
          <w:bCs/>
        </w:rPr>
        <w:t>apply to the second applicant</w:t>
      </w:r>
      <w:r w:rsidR="006350BE" w:rsidRPr="006350BE">
        <w:rPr>
          <w:bCs/>
        </w:rPr>
        <w:t>’</w:t>
      </w:r>
      <w:r w:rsidR="008D5C89" w:rsidRPr="006350BE">
        <w:rPr>
          <w:bCs/>
        </w:rPr>
        <w:t>s complaint</w:t>
      </w:r>
      <w:r w:rsidR="00DC1067" w:rsidRPr="006350BE">
        <w:rPr>
          <w:bCs/>
        </w:rPr>
        <w:t xml:space="preserve"> lodged under Article 5 § 4 </w:t>
      </w:r>
      <w:r w:rsidR="002C0BB1" w:rsidRPr="006350BE">
        <w:rPr>
          <w:bCs/>
        </w:rPr>
        <w:t>of the Convention</w:t>
      </w:r>
      <w:r w:rsidR="00DC1067" w:rsidRPr="006350BE">
        <w:rPr>
          <w:bCs/>
        </w:rPr>
        <w:t xml:space="preserve">. </w:t>
      </w:r>
      <w:r w:rsidR="00B03B74" w:rsidRPr="006350BE">
        <w:rPr>
          <w:bCs/>
        </w:rPr>
        <w:t>E</w:t>
      </w:r>
      <w:r w:rsidR="002C0BB1" w:rsidRPr="006350BE">
        <w:rPr>
          <w:bCs/>
        </w:rPr>
        <w:t xml:space="preserve">ven assuming that </w:t>
      </w:r>
      <w:r w:rsidR="00F34D99" w:rsidRPr="006350BE">
        <w:rPr>
          <w:bCs/>
        </w:rPr>
        <w:t>hi</w:t>
      </w:r>
      <w:r w:rsidR="002C0BB1" w:rsidRPr="006350BE">
        <w:rPr>
          <w:bCs/>
        </w:rPr>
        <w:t>s appeals ag</w:t>
      </w:r>
      <w:r w:rsidR="00961273" w:rsidRPr="006350BE">
        <w:rPr>
          <w:bCs/>
        </w:rPr>
        <w:t>ainst the detention order of 13 </w:t>
      </w:r>
      <w:r w:rsidR="002C0BB1" w:rsidRPr="006350BE">
        <w:rPr>
          <w:bCs/>
        </w:rPr>
        <w:t xml:space="preserve">September 2002 </w:t>
      </w:r>
      <w:r w:rsidR="008E351D" w:rsidRPr="006350BE">
        <w:rPr>
          <w:bCs/>
        </w:rPr>
        <w:t xml:space="preserve">were </w:t>
      </w:r>
      <w:r w:rsidR="002C0BB1" w:rsidRPr="006350BE">
        <w:rPr>
          <w:bCs/>
        </w:rPr>
        <w:t xml:space="preserve">never dispatched by the </w:t>
      </w:r>
      <w:r w:rsidR="008E351D" w:rsidRPr="006350BE">
        <w:rPr>
          <w:bCs/>
        </w:rPr>
        <w:t>remand prison administration</w:t>
      </w:r>
      <w:r w:rsidR="002C0BB1" w:rsidRPr="006350BE">
        <w:rPr>
          <w:bCs/>
        </w:rPr>
        <w:t xml:space="preserve">, he did not dispute </w:t>
      </w:r>
      <w:r w:rsidR="00B03B74" w:rsidRPr="006350BE">
        <w:rPr>
          <w:bCs/>
        </w:rPr>
        <w:t xml:space="preserve">the fact </w:t>
      </w:r>
      <w:r w:rsidR="002C0BB1" w:rsidRPr="006350BE">
        <w:rPr>
          <w:bCs/>
        </w:rPr>
        <w:t xml:space="preserve">that he </w:t>
      </w:r>
      <w:r w:rsidR="00C748F5" w:rsidRPr="006350BE">
        <w:rPr>
          <w:bCs/>
        </w:rPr>
        <w:t xml:space="preserve">had become </w:t>
      </w:r>
      <w:r w:rsidR="002C0BB1" w:rsidRPr="006350BE">
        <w:rPr>
          <w:bCs/>
        </w:rPr>
        <w:t xml:space="preserve">aware of </w:t>
      </w:r>
      <w:r w:rsidR="00B03B74" w:rsidRPr="006350BE">
        <w:rPr>
          <w:bCs/>
        </w:rPr>
        <w:t xml:space="preserve">that </w:t>
      </w:r>
      <w:r w:rsidR="002C0BB1" w:rsidRPr="006350BE">
        <w:rPr>
          <w:bCs/>
        </w:rPr>
        <w:t xml:space="preserve">on 8 July 2003 (see paragraph </w:t>
      </w:r>
      <w:r w:rsidR="008E351D" w:rsidRPr="006350BE">
        <w:rPr>
          <w:bCs/>
        </w:rPr>
        <w:fldChar w:fldCharType="begin"/>
      </w:r>
      <w:r w:rsidR="008E351D" w:rsidRPr="006350BE">
        <w:rPr>
          <w:bCs/>
        </w:rPr>
        <w:instrText xml:space="preserve"> REF para19 \h </w:instrText>
      </w:r>
      <w:r w:rsidR="008E351D" w:rsidRPr="006350BE">
        <w:rPr>
          <w:bCs/>
        </w:rPr>
      </w:r>
      <w:r w:rsidR="008E351D" w:rsidRPr="006350BE">
        <w:rPr>
          <w:bCs/>
        </w:rPr>
        <w:fldChar w:fldCharType="separate"/>
      </w:r>
      <w:r w:rsidR="006350BE" w:rsidRPr="006350BE">
        <w:rPr>
          <w:noProof/>
        </w:rPr>
        <w:t>14</w:t>
      </w:r>
      <w:r w:rsidR="008E351D" w:rsidRPr="006350BE">
        <w:rPr>
          <w:bCs/>
        </w:rPr>
        <w:fldChar w:fldCharType="end"/>
      </w:r>
      <w:r w:rsidR="002C0BB1" w:rsidRPr="006350BE">
        <w:rPr>
          <w:bCs/>
        </w:rPr>
        <w:t xml:space="preserve"> above). However, </w:t>
      </w:r>
      <w:r w:rsidR="00BE4876" w:rsidRPr="006350BE">
        <w:rPr>
          <w:bCs/>
        </w:rPr>
        <w:t xml:space="preserve">he did not apply </w:t>
      </w:r>
      <w:r w:rsidR="002C0BB1" w:rsidRPr="006350BE">
        <w:rPr>
          <w:bCs/>
        </w:rPr>
        <w:t xml:space="preserve">for reinstatement of the time-limit for lodging </w:t>
      </w:r>
      <w:r w:rsidR="00B03B74" w:rsidRPr="006350BE">
        <w:rPr>
          <w:bCs/>
        </w:rPr>
        <w:t xml:space="preserve">an </w:t>
      </w:r>
      <w:r w:rsidR="002C0BB1" w:rsidRPr="006350BE">
        <w:rPr>
          <w:bCs/>
        </w:rPr>
        <w:t xml:space="preserve">appeal against </w:t>
      </w:r>
      <w:r w:rsidR="00B03B74" w:rsidRPr="006350BE">
        <w:rPr>
          <w:bCs/>
        </w:rPr>
        <w:t xml:space="preserve">the </w:t>
      </w:r>
      <w:r w:rsidR="002C0BB1" w:rsidRPr="006350BE">
        <w:rPr>
          <w:bCs/>
        </w:rPr>
        <w:t>detention order</w:t>
      </w:r>
      <w:r w:rsidR="00BE4876" w:rsidRPr="006350BE">
        <w:rPr>
          <w:bCs/>
        </w:rPr>
        <w:t xml:space="preserve"> until 2007</w:t>
      </w:r>
      <w:r w:rsidR="002C0BB1" w:rsidRPr="006350BE">
        <w:rPr>
          <w:bCs/>
        </w:rPr>
        <w:t xml:space="preserve">. In this connection, the Court cannot agree with the </w:t>
      </w:r>
      <w:r w:rsidR="00755C70" w:rsidRPr="006350BE">
        <w:rPr>
          <w:bCs/>
        </w:rPr>
        <w:t xml:space="preserve">second </w:t>
      </w:r>
      <w:r w:rsidR="002C0BB1" w:rsidRPr="006350BE">
        <w:rPr>
          <w:bCs/>
        </w:rPr>
        <w:t>applicant that the decision delivered on 7 May 2008 by the Supreme Court of Russia restarted the running of the six</w:t>
      </w:r>
      <w:r w:rsidR="003533A6" w:rsidRPr="006350BE">
        <w:rPr>
          <w:bCs/>
        </w:rPr>
        <w:t>-</w:t>
      </w:r>
      <w:r w:rsidR="002C0BB1" w:rsidRPr="006350BE">
        <w:rPr>
          <w:bCs/>
        </w:rPr>
        <w:t>month time-limit</w:t>
      </w:r>
      <w:r w:rsidR="003533A6" w:rsidRPr="006350BE">
        <w:rPr>
          <w:bCs/>
        </w:rPr>
        <w:t>,</w:t>
      </w:r>
      <w:r w:rsidR="002C0BB1" w:rsidRPr="006350BE">
        <w:rPr>
          <w:bCs/>
        </w:rPr>
        <w:t xml:space="preserve"> since the procedure </w:t>
      </w:r>
      <w:r w:rsidR="00BE4876" w:rsidRPr="006350BE">
        <w:rPr>
          <w:bCs/>
        </w:rPr>
        <w:t xml:space="preserve">for </w:t>
      </w:r>
      <w:r w:rsidR="002C0BB1" w:rsidRPr="006350BE">
        <w:rPr>
          <w:bCs/>
        </w:rPr>
        <w:t>rei</w:t>
      </w:r>
      <w:r w:rsidR="00BF77FF" w:rsidRPr="006350BE">
        <w:rPr>
          <w:bCs/>
        </w:rPr>
        <w:t>nstatement of a procedural time</w:t>
      </w:r>
      <w:r w:rsidR="00BF77FF" w:rsidRPr="006350BE">
        <w:rPr>
          <w:bCs/>
        </w:rPr>
        <w:noBreakHyphen/>
      </w:r>
      <w:r w:rsidR="002C0BB1" w:rsidRPr="006350BE">
        <w:rPr>
          <w:bCs/>
        </w:rPr>
        <w:t xml:space="preserve">limit was not construed for addressing </w:t>
      </w:r>
      <w:r w:rsidR="00A34838" w:rsidRPr="006350BE">
        <w:rPr>
          <w:bCs/>
        </w:rPr>
        <w:t xml:space="preserve">the </w:t>
      </w:r>
      <w:r w:rsidR="002C0BB1" w:rsidRPr="006350BE">
        <w:rPr>
          <w:bCs/>
        </w:rPr>
        <w:t xml:space="preserve">specific issue of the lawfulness of </w:t>
      </w:r>
      <w:r w:rsidR="00A34838" w:rsidRPr="006350BE">
        <w:rPr>
          <w:bCs/>
        </w:rPr>
        <w:t xml:space="preserve">detention. It cannot therefore be applied to the issue of the lawfulness of </w:t>
      </w:r>
      <w:r w:rsidR="002C0BB1" w:rsidRPr="006350BE">
        <w:rPr>
          <w:bCs/>
        </w:rPr>
        <w:t>the second applicant</w:t>
      </w:r>
      <w:r w:rsidR="006350BE" w:rsidRPr="006350BE">
        <w:rPr>
          <w:bCs/>
        </w:rPr>
        <w:t>’</w:t>
      </w:r>
      <w:r w:rsidR="002C0BB1" w:rsidRPr="006350BE">
        <w:rPr>
          <w:bCs/>
        </w:rPr>
        <w:t>s pre-trial detention back in 2002.</w:t>
      </w:r>
      <w:r w:rsidR="004D79BF" w:rsidRPr="006350BE">
        <w:rPr>
          <w:bCs/>
        </w:rPr>
        <w:t xml:space="preserve"> </w:t>
      </w:r>
      <w:r w:rsidR="003533A6" w:rsidRPr="006350BE">
        <w:rPr>
          <w:bCs/>
          <w:lang w:val="en-US"/>
        </w:rPr>
        <w:t>F</w:t>
      </w:r>
      <w:proofErr w:type="spellStart"/>
      <w:r w:rsidR="00FE45C4" w:rsidRPr="006350BE">
        <w:rPr>
          <w:bCs/>
        </w:rPr>
        <w:t>rom</w:t>
      </w:r>
      <w:proofErr w:type="spellEnd"/>
      <w:r w:rsidR="00FE45C4" w:rsidRPr="006350BE">
        <w:rPr>
          <w:bCs/>
        </w:rPr>
        <w:t xml:space="preserve"> the moment </w:t>
      </w:r>
      <w:r w:rsidR="00FE45C4" w:rsidRPr="006350BE">
        <w:t xml:space="preserve">the Supreme Court upheld the </w:t>
      </w:r>
      <w:r w:rsidR="00C748F5" w:rsidRPr="006350BE">
        <w:t>applicants</w:t>
      </w:r>
      <w:r w:rsidR="006350BE" w:rsidRPr="006350BE">
        <w:t>’</w:t>
      </w:r>
      <w:r w:rsidR="00FE45C4" w:rsidRPr="006350BE">
        <w:t xml:space="preserve"> conviction</w:t>
      </w:r>
      <w:r w:rsidR="004D79BF" w:rsidRPr="006350BE">
        <w:rPr>
          <w:bCs/>
        </w:rPr>
        <w:t xml:space="preserve"> </w:t>
      </w:r>
      <w:r w:rsidR="00C748F5" w:rsidRPr="006350BE">
        <w:rPr>
          <w:bCs/>
        </w:rPr>
        <w:t xml:space="preserve">on appeal </w:t>
      </w:r>
      <w:r w:rsidR="00FE45C4" w:rsidRPr="006350BE">
        <w:rPr>
          <w:bCs/>
        </w:rPr>
        <w:t>(</w:t>
      </w:r>
      <w:r w:rsidR="004D79BF" w:rsidRPr="006350BE">
        <w:t>8 July 2003</w:t>
      </w:r>
      <w:r w:rsidR="00FE45C4" w:rsidRPr="006350BE">
        <w:t>)</w:t>
      </w:r>
      <w:r w:rsidR="004D79BF" w:rsidRPr="006350BE">
        <w:t xml:space="preserve">, it should have been </w:t>
      </w:r>
      <w:r w:rsidR="005D1137" w:rsidRPr="006350BE">
        <w:t xml:space="preserve">obvious </w:t>
      </w:r>
      <w:r w:rsidR="00BE4876" w:rsidRPr="006350BE">
        <w:t xml:space="preserve">to him </w:t>
      </w:r>
      <w:r w:rsidR="004D79BF" w:rsidRPr="006350BE">
        <w:t xml:space="preserve">that </w:t>
      </w:r>
      <w:r w:rsidR="003533A6" w:rsidRPr="006350BE">
        <w:t xml:space="preserve">an </w:t>
      </w:r>
      <w:r w:rsidR="004D79BF" w:rsidRPr="006350BE">
        <w:t>appeal against the detention order of 13</w:t>
      </w:r>
      <w:r w:rsidR="00D10757" w:rsidRPr="006350BE">
        <w:t> </w:t>
      </w:r>
      <w:r w:rsidR="004D79BF" w:rsidRPr="006350BE">
        <w:t>September 2002 had no prospect</w:t>
      </w:r>
      <w:r w:rsidR="003533A6" w:rsidRPr="006350BE">
        <w:t xml:space="preserve"> of success</w:t>
      </w:r>
      <w:r w:rsidR="004D79BF" w:rsidRPr="006350BE">
        <w:t>.</w:t>
      </w:r>
      <w:r w:rsidR="00FE45C4" w:rsidRPr="006350BE">
        <w:t xml:space="preserve"> Moreover</w:t>
      </w:r>
      <w:r w:rsidR="003533A6" w:rsidRPr="006350BE">
        <w:t>,</w:t>
      </w:r>
      <w:r w:rsidR="00FE45C4" w:rsidRPr="006350BE">
        <w:t xml:space="preserve"> </w:t>
      </w:r>
      <w:r w:rsidR="00BE4876" w:rsidRPr="006350BE">
        <w:t xml:space="preserve">he </w:t>
      </w:r>
      <w:r w:rsidR="00FE45C4" w:rsidRPr="006350BE">
        <w:t xml:space="preserve">failed to provide any explanation </w:t>
      </w:r>
      <w:r w:rsidR="00C748F5" w:rsidRPr="006350BE">
        <w:t xml:space="preserve">as </w:t>
      </w:r>
      <w:r w:rsidR="00FE45C4" w:rsidRPr="006350BE">
        <w:t>to why he had remained passive between 2003 and 2007</w:t>
      </w:r>
      <w:r w:rsidR="003533A6" w:rsidRPr="006350BE">
        <w:t>,</w:t>
      </w:r>
      <w:r w:rsidR="00FE45C4" w:rsidRPr="006350BE">
        <w:t xml:space="preserve"> without taking any reasonable steps to </w:t>
      </w:r>
      <w:r w:rsidR="00FE45C4" w:rsidRPr="006350BE">
        <w:rPr>
          <w:bCs/>
        </w:rPr>
        <w:t>apply for reinstatement of the time-limit.</w:t>
      </w:r>
    </w:p>
    <w:p w:rsidR="002C0BB1" w:rsidRPr="006350BE" w:rsidRDefault="002C0BB1" w:rsidP="006350BE">
      <w:pPr>
        <w:pStyle w:val="ECHRPara"/>
        <w:rPr>
          <w:bCs/>
        </w:rPr>
      </w:pPr>
      <w:r w:rsidRPr="006350BE">
        <w:rPr>
          <w:bCs/>
        </w:rPr>
        <w:fldChar w:fldCharType="begin"/>
      </w:r>
      <w:r w:rsidRPr="006350BE">
        <w:rPr>
          <w:bCs/>
        </w:rPr>
        <w:instrText xml:space="preserve"> SEQ level0 \*arabic </w:instrText>
      </w:r>
      <w:r w:rsidRPr="006350BE">
        <w:rPr>
          <w:bCs/>
        </w:rPr>
        <w:fldChar w:fldCharType="separate"/>
      </w:r>
      <w:r w:rsidR="006350BE" w:rsidRPr="006350BE">
        <w:rPr>
          <w:bCs/>
          <w:noProof/>
        </w:rPr>
        <w:t>70</w:t>
      </w:r>
      <w:r w:rsidRPr="006350BE">
        <w:rPr>
          <w:bCs/>
        </w:rPr>
        <w:fldChar w:fldCharType="end"/>
      </w:r>
      <w:r w:rsidRPr="006350BE">
        <w:rPr>
          <w:bCs/>
        </w:rPr>
        <w:t>.  It follows that these complaints must be rejected in accordance with Article 35 §§ </w:t>
      </w:r>
      <w:r w:rsidR="00936D93" w:rsidRPr="006350BE">
        <w:rPr>
          <w:bCs/>
        </w:rPr>
        <w:t>1</w:t>
      </w:r>
      <w:r w:rsidRPr="006350BE">
        <w:rPr>
          <w:bCs/>
        </w:rPr>
        <w:t xml:space="preserve"> and 4 of the Convention.</w:t>
      </w:r>
    </w:p>
    <w:p w:rsidR="007C0FC1" w:rsidRPr="006350BE" w:rsidRDefault="0003178A" w:rsidP="006350BE">
      <w:pPr>
        <w:pStyle w:val="ECHRHeading1"/>
      </w:pPr>
      <w:r w:rsidRPr="006350BE">
        <w:lastRenderedPageBreak/>
        <w:t>I</w:t>
      </w:r>
      <w:r w:rsidR="007C0FC1" w:rsidRPr="006350BE">
        <w:t>V.  ALLEGED VIOLATION OF ARTICLE 5</w:t>
      </w:r>
      <w:r w:rsidR="00BD68A4" w:rsidRPr="006350BE">
        <w:t xml:space="preserve"> </w:t>
      </w:r>
      <w:r w:rsidR="007C0FC1" w:rsidRPr="006350BE">
        <w:rPr>
          <w:bCs w:val="0"/>
        </w:rPr>
        <w:t>§ </w:t>
      </w:r>
      <w:r w:rsidR="00EC1492" w:rsidRPr="006350BE">
        <w:rPr>
          <w:bCs w:val="0"/>
        </w:rPr>
        <w:t>1</w:t>
      </w:r>
      <w:r w:rsidR="007C0FC1" w:rsidRPr="006350BE">
        <w:rPr>
          <w:bCs w:val="0"/>
        </w:rPr>
        <w:t xml:space="preserve"> </w:t>
      </w:r>
      <w:r w:rsidR="007C0FC1" w:rsidRPr="006350BE">
        <w:t xml:space="preserve">OF THE CONVENTION ON ACCOUNT OF THE </w:t>
      </w:r>
      <w:r w:rsidR="00FE7B56" w:rsidRPr="006350BE">
        <w:t>FIRST</w:t>
      </w:r>
      <w:r w:rsidR="007C0FC1" w:rsidRPr="006350BE">
        <w:t xml:space="preserve"> APPLICANT</w:t>
      </w:r>
      <w:r w:rsidR="006350BE" w:rsidRPr="006350BE">
        <w:t>’</w:t>
      </w:r>
      <w:r w:rsidR="007C0FC1" w:rsidRPr="006350BE">
        <w:t>S DETENTION</w:t>
      </w:r>
    </w:p>
    <w:p w:rsidR="005746E2" w:rsidRPr="006350BE" w:rsidRDefault="00092639" w:rsidP="006350BE">
      <w:pPr>
        <w:pStyle w:val="ECHRPara"/>
        <w:rPr>
          <w:bCs/>
        </w:rPr>
      </w:pPr>
      <w:r w:rsidRPr="006350BE">
        <w:rPr>
          <w:bCs/>
        </w:rPr>
        <w:fldChar w:fldCharType="begin"/>
      </w:r>
      <w:r w:rsidRPr="006350BE">
        <w:rPr>
          <w:bCs/>
        </w:rPr>
        <w:instrText xml:space="preserve"> SEQ level0 \*arabic </w:instrText>
      </w:r>
      <w:r w:rsidRPr="006350BE">
        <w:rPr>
          <w:bCs/>
        </w:rPr>
        <w:fldChar w:fldCharType="separate"/>
      </w:r>
      <w:r w:rsidR="006350BE" w:rsidRPr="006350BE">
        <w:rPr>
          <w:bCs/>
          <w:noProof/>
        </w:rPr>
        <w:t>71</w:t>
      </w:r>
      <w:r w:rsidRPr="006350BE">
        <w:rPr>
          <w:bCs/>
        </w:rPr>
        <w:fldChar w:fldCharType="end"/>
      </w:r>
      <w:r w:rsidRPr="006350BE">
        <w:rPr>
          <w:bCs/>
        </w:rPr>
        <w:t>.  </w:t>
      </w:r>
      <w:r w:rsidR="006C7FE5" w:rsidRPr="006350BE">
        <w:rPr>
          <w:bCs/>
        </w:rPr>
        <w:t xml:space="preserve">The first applicant </w:t>
      </w:r>
      <w:r w:rsidR="00A07B25" w:rsidRPr="006350BE">
        <w:rPr>
          <w:bCs/>
        </w:rPr>
        <w:t xml:space="preserve">complained that </w:t>
      </w:r>
      <w:r w:rsidR="006C7FE5" w:rsidRPr="006350BE">
        <w:rPr>
          <w:bCs/>
        </w:rPr>
        <w:t>between December 2005 and May 2007</w:t>
      </w:r>
      <w:r w:rsidR="00A07B25" w:rsidRPr="006350BE">
        <w:rPr>
          <w:bCs/>
        </w:rPr>
        <w:t xml:space="preserve"> he </w:t>
      </w:r>
      <w:r w:rsidR="008162D9" w:rsidRPr="006350BE">
        <w:rPr>
          <w:bCs/>
        </w:rPr>
        <w:t xml:space="preserve">had </w:t>
      </w:r>
      <w:r w:rsidR="00A07B25" w:rsidRPr="006350BE">
        <w:rPr>
          <w:bCs/>
        </w:rPr>
        <w:t xml:space="preserve">remained </w:t>
      </w:r>
      <w:r w:rsidR="008162D9" w:rsidRPr="006350BE">
        <w:rPr>
          <w:bCs/>
        </w:rPr>
        <w:t xml:space="preserve">in detention </w:t>
      </w:r>
      <w:r w:rsidR="00A07B25" w:rsidRPr="006350BE">
        <w:rPr>
          <w:bCs/>
        </w:rPr>
        <w:t xml:space="preserve">without a court </w:t>
      </w:r>
      <w:r w:rsidR="00B864D4" w:rsidRPr="006350BE">
        <w:rPr>
          <w:bCs/>
        </w:rPr>
        <w:t>decision</w:t>
      </w:r>
      <w:r w:rsidR="008162D9" w:rsidRPr="006350BE">
        <w:rPr>
          <w:bCs/>
        </w:rPr>
        <w:t xml:space="preserve"> having been rendered</w:t>
      </w:r>
      <w:r w:rsidR="006C7FE5" w:rsidRPr="006350BE">
        <w:rPr>
          <w:bCs/>
        </w:rPr>
        <w:t>.</w:t>
      </w:r>
      <w:r w:rsidR="005746E2" w:rsidRPr="006350BE">
        <w:rPr>
          <w:bCs/>
        </w:rPr>
        <w:t xml:space="preserve"> He referred to Article 5 § 1 of the Convention, which reads, insofar as relevant, as follows:</w:t>
      </w:r>
    </w:p>
    <w:p w:rsidR="005746E2" w:rsidRPr="006350BE" w:rsidRDefault="005746E2" w:rsidP="006350BE">
      <w:pPr>
        <w:pStyle w:val="ECHRTitleCentre3"/>
      </w:pPr>
      <w:r w:rsidRPr="006350BE">
        <w:t>Article 5</w:t>
      </w:r>
    </w:p>
    <w:p w:rsidR="005746E2" w:rsidRPr="006350BE" w:rsidRDefault="005746E2" w:rsidP="006350BE">
      <w:pPr>
        <w:pStyle w:val="ECHRParaQuote"/>
      </w:pPr>
      <w:r w:rsidRPr="006350BE">
        <w:t>“1.  Everyone has the right to liberty and security of person. No one shall be deprived of his liberty save in the following cases and in accordance with a procedure prescribed by law:</w:t>
      </w:r>
    </w:p>
    <w:p w:rsidR="00991F4A" w:rsidRPr="006350BE" w:rsidRDefault="005746E2" w:rsidP="006350BE">
      <w:pPr>
        <w:pStyle w:val="ECHRParaQuote"/>
      </w:pPr>
      <w:r w:rsidRPr="006350BE">
        <w:t>(</w:t>
      </w:r>
      <w:r w:rsidR="00031D2B" w:rsidRPr="006350BE">
        <w:t>a</w:t>
      </w:r>
      <w:r w:rsidRPr="006350BE">
        <w:t>)  the lawful</w:t>
      </w:r>
      <w:r w:rsidR="00031D2B" w:rsidRPr="006350BE">
        <w:t xml:space="preserve"> detention of a person after conviction by a competent court</w:t>
      </w:r>
      <w:r w:rsidR="004877A3" w:rsidRPr="006350BE">
        <w:t>.”</w:t>
      </w:r>
    </w:p>
    <w:p w:rsidR="00FE7B56" w:rsidRPr="001524AD" w:rsidRDefault="00FE7B56" w:rsidP="001524AD">
      <w:pPr>
        <w:pStyle w:val="ECHRHeading2"/>
      </w:pPr>
      <w:r w:rsidRPr="001524AD">
        <w:t>A.  Admissibility</w:t>
      </w:r>
    </w:p>
    <w:p w:rsidR="0089228E" w:rsidRPr="006350BE" w:rsidRDefault="007C7F51" w:rsidP="006350BE">
      <w:pPr>
        <w:pStyle w:val="ECHRPara"/>
        <w:rPr>
          <w:bCs/>
        </w:rPr>
      </w:pPr>
      <w:r w:rsidRPr="006350BE">
        <w:rPr>
          <w:bCs/>
        </w:rPr>
        <w:fldChar w:fldCharType="begin"/>
      </w:r>
      <w:r w:rsidRPr="006350BE">
        <w:rPr>
          <w:bCs/>
        </w:rPr>
        <w:instrText xml:space="preserve"> SEQ level0 \*arabic </w:instrText>
      </w:r>
      <w:r w:rsidRPr="006350BE">
        <w:rPr>
          <w:bCs/>
        </w:rPr>
        <w:fldChar w:fldCharType="separate"/>
      </w:r>
      <w:r w:rsidR="006350BE" w:rsidRPr="006350BE">
        <w:rPr>
          <w:bCs/>
          <w:noProof/>
        </w:rPr>
        <w:t>72</w:t>
      </w:r>
      <w:r w:rsidRPr="006350BE">
        <w:rPr>
          <w:bCs/>
        </w:rPr>
        <w:fldChar w:fldCharType="end"/>
      </w:r>
      <w:r w:rsidRPr="006350BE">
        <w:rPr>
          <w:bCs/>
        </w:rPr>
        <w:t>.  </w:t>
      </w:r>
      <w:r w:rsidR="00C42C8D" w:rsidRPr="006350BE">
        <w:rPr>
          <w:bCs/>
          <w:lang w:val="en-US"/>
        </w:rPr>
        <w:t>T</w:t>
      </w:r>
      <w:r w:rsidR="0089228E" w:rsidRPr="006350BE">
        <w:rPr>
          <w:bCs/>
        </w:rPr>
        <w:t xml:space="preserve">he Court </w:t>
      </w:r>
      <w:r w:rsidR="0089228E" w:rsidRPr="006350BE">
        <w:t xml:space="preserve">notes that </w:t>
      </w:r>
      <w:r w:rsidR="00BD138C" w:rsidRPr="006350BE">
        <w:t xml:space="preserve">this complaint </w:t>
      </w:r>
      <w:r w:rsidR="0089228E" w:rsidRPr="006350BE">
        <w:t>is not manifestly ill-founded within the meaning of Article 35 § 3 of the Convention. It further notes that it is not inadmissible on any other grounds. It must therefore be declared admissible.</w:t>
      </w:r>
    </w:p>
    <w:p w:rsidR="001448CF" w:rsidRPr="001524AD" w:rsidRDefault="001448CF" w:rsidP="001524AD">
      <w:pPr>
        <w:pStyle w:val="ECHRHeading2"/>
      </w:pPr>
      <w:r w:rsidRPr="001524AD">
        <w:t>B.  Merits</w:t>
      </w:r>
    </w:p>
    <w:p w:rsidR="001448CF" w:rsidRPr="006350BE" w:rsidRDefault="001448CF" w:rsidP="006350BE">
      <w:pPr>
        <w:pStyle w:val="ECHRPara"/>
        <w:rPr>
          <w:bCs/>
        </w:rPr>
      </w:pPr>
      <w:r w:rsidRPr="006350BE">
        <w:rPr>
          <w:bCs/>
        </w:rPr>
        <w:fldChar w:fldCharType="begin"/>
      </w:r>
      <w:r w:rsidRPr="006350BE">
        <w:rPr>
          <w:bCs/>
        </w:rPr>
        <w:instrText xml:space="preserve"> SEQ level0 \*arabic </w:instrText>
      </w:r>
      <w:r w:rsidRPr="006350BE">
        <w:rPr>
          <w:bCs/>
        </w:rPr>
        <w:fldChar w:fldCharType="separate"/>
      </w:r>
      <w:r w:rsidR="006350BE" w:rsidRPr="006350BE">
        <w:rPr>
          <w:bCs/>
          <w:noProof/>
        </w:rPr>
        <w:t>73</w:t>
      </w:r>
      <w:r w:rsidRPr="006350BE">
        <w:rPr>
          <w:bCs/>
        </w:rPr>
        <w:fldChar w:fldCharType="end"/>
      </w:r>
      <w:r w:rsidRPr="006350BE">
        <w:rPr>
          <w:bCs/>
        </w:rPr>
        <w:t>. </w:t>
      </w:r>
      <w:r w:rsidR="000C6580" w:rsidRPr="006350BE">
        <w:rPr>
          <w:bCs/>
        </w:rPr>
        <w:t> </w:t>
      </w:r>
      <w:r w:rsidR="0089228E" w:rsidRPr="006350BE">
        <w:rPr>
          <w:bCs/>
        </w:rPr>
        <w:t>T</w:t>
      </w:r>
      <w:r w:rsidRPr="006350BE">
        <w:rPr>
          <w:bCs/>
        </w:rPr>
        <w:t xml:space="preserve">he Government </w:t>
      </w:r>
      <w:r w:rsidR="008162D9" w:rsidRPr="006350BE">
        <w:rPr>
          <w:bCs/>
        </w:rPr>
        <w:t xml:space="preserve">conceded </w:t>
      </w:r>
      <w:r w:rsidRPr="006350BE">
        <w:rPr>
          <w:bCs/>
        </w:rPr>
        <w:t xml:space="preserve">that </w:t>
      </w:r>
      <w:r w:rsidR="0089228E" w:rsidRPr="006350BE">
        <w:rPr>
          <w:bCs/>
        </w:rPr>
        <w:t xml:space="preserve">between December 2005 and May 2007 </w:t>
      </w:r>
      <w:r w:rsidRPr="006350BE">
        <w:rPr>
          <w:bCs/>
        </w:rPr>
        <w:t xml:space="preserve">the first applicant </w:t>
      </w:r>
      <w:r w:rsidR="008162D9" w:rsidRPr="006350BE">
        <w:rPr>
          <w:bCs/>
        </w:rPr>
        <w:t xml:space="preserve">had </w:t>
      </w:r>
      <w:r w:rsidRPr="006350BE">
        <w:rPr>
          <w:bCs/>
        </w:rPr>
        <w:t xml:space="preserve">remained </w:t>
      </w:r>
      <w:r w:rsidR="00C748F5" w:rsidRPr="006350BE">
        <w:rPr>
          <w:bCs/>
        </w:rPr>
        <w:t xml:space="preserve">in </w:t>
      </w:r>
      <w:r w:rsidRPr="006350BE">
        <w:rPr>
          <w:bCs/>
        </w:rPr>
        <w:t>detention without a court decision. They further accepted that it amounted to a violation of Article 5 of the Convention.</w:t>
      </w:r>
    </w:p>
    <w:p w:rsidR="00E71FF4" w:rsidRPr="006350BE" w:rsidRDefault="00E71FF4" w:rsidP="006350BE">
      <w:pPr>
        <w:pStyle w:val="ECHRPara"/>
        <w:rPr>
          <w:bCs/>
        </w:rPr>
      </w:pPr>
      <w:r w:rsidRPr="006350BE">
        <w:rPr>
          <w:bCs/>
        </w:rPr>
        <w:fldChar w:fldCharType="begin"/>
      </w:r>
      <w:r w:rsidRPr="006350BE">
        <w:rPr>
          <w:bCs/>
        </w:rPr>
        <w:instrText xml:space="preserve"> SEQ level0 \*arabic </w:instrText>
      </w:r>
      <w:r w:rsidRPr="006350BE">
        <w:rPr>
          <w:bCs/>
        </w:rPr>
        <w:fldChar w:fldCharType="separate"/>
      </w:r>
      <w:r w:rsidR="006350BE" w:rsidRPr="006350BE">
        <w:rPr>
          <w:bCs/>
          <w:noProof/>
        </w:rPr>
        <w:t>74</w:t>
      </w:r>
      <w:r w:rsidRPr="006350BE">
        <w:rPr>
          <w:bCs/>
        </w:rPr>
        <w:fldChar w:fldCharType="end"/>
      </w:r>
      <w:r w:rsidRPr="006350BE">
        <w:rPr>
          <w:bCs/>
        </w:rPr>
        <w:t xml:space="preserve">.  The first applicant </w:t>
      </w:r>
      <w:r w:rsidR="007E6353" w:rsidRPr="006350BE">
        <w:rPr>
          <w:bCs/>
        </w:rPr>
        <w:t>maintained his complaint</w:t>
      </w:r>
      <w:r w:rsidRPr="006350BE">
        <w:rPr>
          <w:bCs/>
        </w:rPr>
        <w:t>.</w:t>
      </w:r>
    </w:p>
    <w:p w:rsidR="00C06448" w:rsidRPr="006350BE" w:rsidRDefault="00C06448" w:rsidP="006350BE">
      <w:pPr>
        <w:pStyle w:val="ECHRPara"/>
        <w:rPr>
          <w:lang w:val="en-US"/>
        </w:rPr>
      </w:pPr>
      <w:r w:rsidRPr="006350BE">
        <w:rPr>
          <w:lang w:val="en-US"/>
        </w:rPr>
        <w:fldChar w:fldCharType="begin"/>
      </w:r>
      <w:r w:rsidRPr="006350BE">
        <w:rPr>
          <w:lang w:val="en-US"/>
        </w:rPr>
        <w:instrText xml:space="preserve"> SEQ level0 \*arabic </w:instrText>
      </w:r>
      <w:r w:rsidRPr="006350BE">
        <w:rPr>
          <w:lang w:val="en-US"/>
        </w:rPr>
        <w:fldChar w:fldCharType="separate"/>
      </w:r>
      <w:r w:rsidR="006350BE" w:rsidRPr="006350BE">
        <w:rPr>
          <w:noProof/>
          <w:lang w:val="en-US"/>
        </w:rPr>
        <w:t>75</w:t>
      </w:r>
      <w:r w:rsidRPr="006350BE">
        <w:rPr>
          <w:lang w:val="en-US"/>
        </w:rPr>
        <w:fldChar w:fldCharType="end"/>
      </w:r>
      <w:r w:rsidRPr="006350BE">
        <w:rPr>
          <w:lang w:val="en-US"/>
        </w:rPr>
        <w:t xml:space="preserve">.  The Court reiterates the general principle set </w:t>
      </w:r>
      <w:r w:rsidR="008162D9" w:rsidRPr="006350BE">
        <w:rPr>
          <w:lang w:val="en-US"/>
        </w:rPr>
        <w:t xml:space="preserve">out </w:t>
      </w:r>
      <w:r w:rsidRPr="006350BE">
        <w:rPr>
          <w:lang w:val="en-US"/>
        </w:rPr>
        <w:t>in its case</w:t>
      </w:r>
      <w:r w:rsidR="008162D9" w:rsidRPr="006350BE">
        <w:rPr>
          <w:lang w:val="en-US"/>
        </w:rPr>
        <w:t>-</w:t>
      </w:r>
      <w:r w:rsidRPr="006350BE">
        <w:rPr>
          <w:lang w:val="en-US"/>
        </w:rPr>
        <w:t xml:space="preserve">law that the main issue to be determined in the present case is whether the disputed detention was “lawful”, including whether it complied with “a procedure prescribed by law”. The Convention here essentially refers to national law and the obligation to conform to the substantive and procedural rules thereof, but it requires in addition that any deprivation of liberty should be consistent with the purpose of Article 5, namely to protect individuals from arbitrariness (see </w:t>
      </w:r>
      <w:r w:rsidRPr="006350BE">
        <w:rPr>
          <w:i/>
        </w:rPr>
        <w:t>Benham v. the United Kingdom</w:t>
      </w:r>
      <w:r w:rsidRPr="006350BE">
        <w:t xml:space="preserve">, 10 June 1996, § 40, </w:t>
      </w:r>
      <w:r w:rsidRPr="006350BE">
        <w:rPr>
          <w:i/>
        </w:rPr>
        <w:t xml:space="preserve">Reports </w:t>
      </w:r>
      <w:r w:rsidRPr="006350BE">
        <w:t>1996</w:t>
      </w:r>
      <w:r w:rsidRPr="006350BE">
        <w:noBreakHyphen/>
        <w:t>III</w:t>
      </w:r>
      <w:r w:rsidRPr="006350BE">
        <w:rPr>
          <w:lang w:val="en-US"/>
        </w:rPr>
        <w:t>).</w:t>
      </w:r>
    </w:p>
    <w:p w:rsidR="00C06448" w:rsidRPr="006350BE" w:rsidRDefault="00C06448" w:rsidP="006350BE">
      <w:pPr>
        <w:pStyle w:val="ECHRPara"/>
        <w:rPr>
          <w:lang w:val="en-US"/>
        </w:rPr>
      </w:pPr>
      <w:r w:rsidRPr="006350BE">
        <w:rPr>
          <w:lang w:val="en-US"/>
        </w:rPr>
        <w:fldChar w:fldCharType="begin"/>
      </w:r>
      <w:r w:rsidRPr="006350BE">
        <w:rPr>
          <w:lang w:val="en-US"/>
        </w:rPr>
        <w:instrText xml:space="preserve"> SEQ level0 \*arabic </w:instrText>
      </w:r>
      <w:r w:rsidRPr="006350BE">
        <w:rPr>
          <w:lang w:val="en-US"/>
        </w:rPr>
        <w:fldChar w:fldCharType="separate"/>
      </w:r>
      <w:r w:rsidR="006350BE" w:rsidRPr="006350BE">
        <w:rPr>
          <w:noProof/>
          <w:lang w:val="en-US"/>
        </w:rPr>
        <w:t>76</w:t>
      </w:r>
      <w:r w:rsidRPr="006350BE">
        <w:rPr>
          <w:lang w:val="en-US"/>
        </w:rPr>
        <w:fldChar w:fldCharType="end"/>
      </w:r>
      <w:r w:rsidRPr="006350BE">
        <w:rPr>
          <w:lang w:val="en-US"/>
        </w:rPr>
        <w:t xml:space="preserve">.  It is in the first place for the national authorities, notably the courts, to interpret and apply domestic law. However, since under Article 5 § 1 failure to comply with domestic law entails a breach of the Convention, it follows that the Court can and should exercise a certain power to review whether this law has been complied with (see </w:t>
      </w:r>
      <w:r w:rsidRPr="006350BE">
        <w:rPr>
          <w:i/>
        </w:rPr>
        <w:t>Benham</w:t>
      </w:r>
      <w:r w:rsidRPr="006350BE">
        <w:t>, cited above, § 41</w:t>
      </w:r>
      <w:r w:rsidRPr="006350BE">
        <w:rPr>
          <w:lang w:val="en-US"/>
        </w:rPr>
        <w:t>).</w:t>
      </w:r>
    </w:p>
    <w:p w:rsidR="000C6580" w:rsidRPr="006350BE" w:rsidRDefault="001448CF" w:rsidP="006350BE">
      <w:pPr>
        <w:pStyle w:val="ECHRPara"/>
      </w:pPr>
      <w:r w:rsidRPr="006350BE">
        <w:lastRenderedPageBreak/>
        <w:fldChar w:fldCharType="begin"/>
      </w:r>
      <w:r w:rsidRPr="006350BE">
        <w:instrText xml:space="preserve"> SEQ level0 \*arabic </w:instrText>
      </w:r>
      <w:r w:rsidRPr="006350BE">
        <w:fldChar w:fldCharType="separate"/>
      </w:r>
      <w:r w:rsidR="006350BE" w:rsidRPr="006350BE">
        <w:rPr>
          <w:noProof/>
        </w:rPr>
        <w:t>77</w:t>
      </w:r>
      <w:r w:rsidRPr="006350BE">
        <w:fldChar w:fldCharType="end"/>
      </w:r>
      <w:r w:rsidRPr="006350BE">
        <w:t xml:space="preserve">.  Turning to the circumstances of the present case, the Court observes that on 21 December 2005 the Presidium of the Supreme Court quashed the judgment of </w:t>
      </w:r>
      <w:r w:rsidR="009B1ED0" w:rsidRPr="006350BE">
        <w:t>8 July</w:t>
      </w:r>
      <w:r w:rsidRPr="006350BE">
        <w:t xml:space="preserve"> 2003 by way of </w:t>
      </w:r>
      <w:r w:rsidR="00667C68" w:rsidRPr="006350BE">
        <w:t xml:space="preserve">a </w:t>
      </w:r>
      <w:r w:rsidRPr="006350BE">
        <w:t>supervisory review and ordered a fresh appeal hearing. The Presidium did not give a ruling on the first applicant</w:t>
      </w:r>
      <w:r w:rsidR="006350BE" w:rsidRPr="006350BE">
        <w:t>’</w:t>
      </w:r>
      <w:r w:rsidRPr="006350BE">
        <w:t>s detention.</w:t>
      </w:r>
    </w:p>
    <w:p w:rsidR="00864C91" w:rsidRPr="006350BE" w:rsidRDefault="00E718DA" w:rsidP="006350BE">
      <w:pPr>
        <w:pStyle w:val="ECHRPara"/>
        <w:rPr>
          <w:lang w:val="en-US"/>
        </w:rPr>
      </w:pPr>
      <w:r w:rsidRPr="006350BE">
        <w:fldChar w:fldCharType="begin"/>
      </w:r>
      <w:r w:rsidRPr="006350BE">
        <w:instrText xml:space="preserve"> SEQ level0 \*arabic </w:instrText>
      </w:r>
      <w:r w:rsidRPr="006350BE">
        <w:fldChar w:fldCharType="separate"/>
      </w:r>
      <w:r w:rsidR="006350BE" w:rsidRPr="006350BE">
        <w:rPr>
          <w:noProof/>
        </w:rPr>
        <w:t>78</w:t>
      </w:r>
      <w:r w:rsidRPr="006350BE">
        <w:fldChar w:fldCharType="end"/>
      </w:r>
      <w:r w:rsidRPr="006350BE">
        <w:t>.  </w:t>
      </w:r>
      <w:r w:rsidR="00C539CB" w:rsidRPr="006350BE">
        <w:t xml:space="preserve">The Court </w:t>
      </w:r>
      <w:r w:rsidR="00A5431E" w:rsidRPr="006350BE">
        <w:t xml:space="preserve">further </w:t>
      </w:r>
      <w:r w:rsidR="00C539CB" w:rsidRPr="006350BE">
        <w:t xml:space="preserve">notes that pending the second </w:t>
      </w:r>
      <w:r w:rsidR="00667C68" w:rsidRPr="006350BE">
        <w:t xml:space="preserve">set of </w:t>
      </w:r>
      <w:r w:rsidR="00C539CB" w:rsidRPr="006350BE">
        <w:t>appeal proceedings (between December 2005 and May 2007)</w:t>
      </w:r>
      <w:r w:rsidR="00667C68" w:rsidRPr="006350BE">
        <w:t>,</w:t>
      </w:r>
      <w:r w:rsidR="00C539CB" w:rsidRPr="006350BE">
        <w:t xml:space="preserve"> </w:t>
      </w:r>
      <w:r w:rsidR="00667C68" w:rsidRPr="006350BE">
        <w:t>the first applicant</w:t>
      </w:r>
      <w:r w:rsidR="006350BE" w:rsidRPr="006350BE">
        <w:t>’</w:t>
      </w:r>
      <w:r w:rsidR="00667C68" w:rsidRPr="006350BE">
        <w:t xml:space="preserve">s detention </w:t>
      </w:r>
      <w:r w:rsidR="00C539CB" w:rsidRPr="006350BE">
        <w:t xml:space="preserve">was covered by the trial judgment of 8 July 2003. </w:t>
      </w:r>
      <w:r w:rsidR="00C539CB" w:rsidRPr="006350BE">
        <w:rPr>
          <w:lang w:val="en-US"/>
        </w:rPr>
        <w:t xml:space="preserve">It must be determined whether </w:t>
      </w:r>
      <w:r w:rsidR="00667C68" w:rsidRPr="006350BE">
        <w:rPr>
          <w:lang w:val="en-US"/>
        </w:rPr>
        <w:t xml:space="preserve">his detention </w:t>
      </w:r>
      <w:r w:rsidR="00C539CB" w:rsidRPr="006350BE">
        <w:rPr>
          <w:lang w:val="en-US"/>
        </w:rPr>
        <w:t xml:space="preserve">between December 2005 and May 2007 following </w:t>
      </w:r>
      <w:r w:rsidR="00667C68" w:rsidRPr="006350BE">
        <w:rPr>
          <w:lang w:val="en-US"/>
        </w:rPr>
        <w:t xml:space="preserve">his </w:t>
      </w:r>
      <w:r w:rsidR="00C539CB" w:rsidRPr="006350BE">
        <w:rPr>
          <w:lang w:val="en-US"/>
        </w:rPr>
        <w:t xml:space="preserve">conviction </w:t>
      </w:r>
      <w:r w:rsidR="00667C68" w:rsidRPr="006350BE">
        <w:rPr>
          <w:lang w:val="en-US"/>
        </w:rPr>
        <w:t xml:space="preserve">was in compliance </w:t>
      </w:r>
      <w:r w:rsidR="00C539CB" w:rsidRPr="006350BE">
        <w:rPr>
          <w:lang w:val="en-US"/>
        </w:rPr>
        <w:t>with Article 5</w:t>
      </w:r>
      <w:r w:rsidR="00667C68" w:rsidRPr="006350BE">
        <w:rPr>
          <w:lang w:val="en-US"/>
        </w:rPr>
        <w:t>,</w:t>
      </w:r>
      <w:r w:rsidR="00C539CB" w:rsidRPr="006350BE">
        <w:rPr>
          <w:lang w:val="en-US"/>
        </w:rPr>
        <w:t xml:space="preserve"> without prejudging the merits of the complaint under Article 6 referring to the same </w:t>
      </w:r>
      <w:r w:rsidR="000306A8" w:rsidRPr="006350BE">
        <w:rPr>
          <w:lang w:val="en-US"/>
        </w:rPr>
        <w:t>trial judgment</w:t>
      </w:r>
      <w:r w:rsidR="00C539CB" w:rsidRPr="006350BE">
        <w:rPr>
          <w:lang w:val="en-US"/>
        </w:rPr>
        <w:t>.</w:t>
      </w:r>
    </w:p>
    <w:p w:rsidR="00C539CB" w:rsidRPr="006350BE" w:rsidRDefault="00A546BA" w:rsidP="006350BE">
      <w:pPr>
        <w:pStyle w:val="ECHRPara"/>
      </w:pPr>
      <w:r w:rsidRPr="006350BE">
        <w:rPr>
          <w:lang w:val="en-US"/>
        </w:rPr>
        <w:fldChar w:fldCharType="begin"/>
      </w:r>
      <w:r w:rsidRPr="006350BE">
        <w:rPr>
          <w:lang w:val="en-US"/>
        </w:rPr>
        <w:instrText xml:space="preserve"> SEQ level0 \*arabic </w:instrText>
      </w:r>
      <w:r w:rsidRPr="006350BE">
        <w:rPr>
          <w:lang w:val="en-US"/>
        </w:rPr>
        <w:fldChar w:fldCharType="separate"/>
      </w:r>
      <w:r w:rsidR="006350BE" w:rsidRPr="006350BE">
        <w:rPr>
          <w:noProof/>
          <w:lang w:val="en-US"/>
        </w:rPr>
        <w:t>79</w:t>
      </w:r>
      <w:r w:rsidRPr="006350BE">
        <w:rPr>
          <w:lang w:val="en-US"/>
        </w:rPr>
        <w:fldChar w:fldCharType="end"/>
      </w:r>
      <w:r w:rsidRPr="006350BE">
        <w:rPr>
          <w:lang w:val="en-US"/>
        </w:rPr>
        <w:t>.  </w:t>
      </w:r>
      <w:r w:rsidR="00CC64D0" w:rsidRPr="006350BE">
        <w:t xml:space="preserve">The Court observes that the </w:t>
      </w:r>
      <w:r w:rsidR="005F5B58" w:rsidRPr="006350BE">
        <w:t>first applicant</w:t>
      </w:r>
      <w:r w:rsidR="006350BE" w:rsidRPr="006350BE">
        <w:t>’</w:t>
      </w:r>
      <w:r w:rsidR="005F5B58" w:rsidRPr="006350BE">
        <w:t>s</w:t>
      </w:r>
      <w:r w:rsidR="00CC64D0" w:rsidRPr="006350BE">
        <w:t xml:space="preserve"> detention was </w:t>
      </w:r>
      <w:r w:rsidR="00667C68" w:rsidRPr="006350BE">
        <w:t xml:space="preserve">enforced </w:t>
      </w:r>
      <w:r w:rsidR="00CC64D0" w:rsidRPr="006350BE">
        <w:t xml:space="preserve">pursuant to the </w:t>
      </w:r>
      <w:r w:rsidR="005F5B58" w:rsidRPr="006350BE">
        <w:t>trial judgment of 8 July 2003</w:t>
      </w:r>
      <w:r w:rsidR="00CC64D0" w:rsidRPr="006350BE">
        <w:t xml:space="preserve">. The substantive correctness of </w:t>
      </w:r>
      <w:r w:rsidR="00667C68" w:rsidRPr="006350BE">
        <w:t xml:space="preserve">that </w:t>
      </w:r>
      <w:r w:rsidR="005F5B58" w:rsidRPr="006350BE">
        <w:t xml:space="preserve">judgment </w:t>
      </w:r>
      <w:r w:rsidR="00CC64D0" w:rsidRPr="006350BE">
        <w:t>generally falls outside the Court</w:t>
      </w:r>
      <w:r w:rsidR="006350BE" w:rsidRPr="006350BE">
        <w:t>’</w:t>
      </w:r>
      <w:r w:rsidR="00CC64D0" w:rsidRPr="006350BE">
        <w:t xml:space="preserve">s </w:t>
      </w:r>
      <w:r w:rsidR="00667C68" w:rsidRPr="006350BE">
        <w:t xml:space="preserve">power of </w:t>
      </w:r>
      <w:r w:rsidR="00CC64D0" w:rsidRPr="006350BE">
        <w:t>review, as follows from the case-law cited above. However, this case is different from cases where the impugned decisions were taken by judicial authorities following procedure</w:t>
      </w:r>
      <w:r w:rsidR="00BB75A6" w:rsidRPr="006350BE">
        <w:t>s</w:t>
      </w:r>
      <w:r w:rsidR="00CC64D0" w:rsidRPr="006350BE">
        <w:t xml:space="preserve"> prescribed by law. </w:t>
      </w:r>
      <w:r w:rsidR="00FC7795" w:rsidRPr="006350BE">
        <w:t xml:space="preserve">As established earlier (see paragraph </w:t>
      </w:r>
      <w:r w:rsidR="0040083B" w:rsidRPr="006350BE">
        <w:fldChar w:fldCharType="begin"/>
      </w:r>
      <w:r w:rsidR="0040083B" w:rsidRPr="006350BE">
        <w:instrText xml:space="preserve"> REF Lay_judges2 \h </w:instrText>
      </w:r>
      <w:r w:rsidR="0040083B" w:rsidRPr="006350BE">
        <w:fldChar w:fldCharType="separate"/>
      </w:r>
      <w:r w:rsidR="006350BE" w:rsidRPr="006350BE">
        <w:rPr>
          <w:noProof/>
        </w:rPr>
        <w:t>16</w:t>
      </w:r>
      <w:r w:rsidR="0040083B" w:rsidRPr="006350BE">
        <w:fldChar w:fldCharType="end"/>
      </w:r>
      <w:r w:rsidR="00FC7795" w:rsidRPr="006350BE">
        <w:t xml:space="preserve"> above), the </w:t>
      </w:r>
      <w:r w:rsidR="005F5B58" w:rsidRPr="006350BE">
        <w:t>trial panel</w:t>
      </w:r>
      <w:r w:rsidR="00CC64D0" w:rsidRPr="006350BE">
        <w:t xml:space="preserve"> in the instant case, </w:t>
      </w:r>
      <w:r w:rsidR="005F5B58" w:rsidRPr="006350BE">
        <w:t xml:space="preserve">consisting of </w:t>
      </w:r>
      <w:r w:rsidR="00FC7795" w:rsidRPr="006350BE">
        <w:t xml:space="preserve">a professional judge and two </w:t>
      </w:r>
      <w:r w:rsidR="005F5B58" w:rsidRPr="006350BE">
        <w:t xml:space="preserve">lay judges, </w:t>
      </w:r>
      <w:r w:rsidR="00CC64D0" w:rsidRPr="006350BE">
        <w:t xml:space="preserve">on the contrary, exercised </w:t>
      </w:r>
      <w:r w:rsidR="00FC7795" w:rsidRPr="006350BE">
        <w:t xml:space="preserve">its </w:t>
      </w:r>
      <w:r w:rsidR="00CC64D0" w:rsidRPr="006350BE">
        <w:t xml:space="preserve">authority in manifest </w:t>
      </w:r>
      <w:r w:rsidR="00BB75A6" w:rsidRPr="006350BE">
        <w:t xml:space="preserve">breach of </w:t>
      </w:r>
      <w:r w:rsidR="00CC64D0" w:rsidRPr="006350BE">
        <w:t xml:space="preserve">the procedural guarantees provided for by the Convention. Therefore, the </w:t>
      </w:r>
      <w:r w:rsidR="005F5B58" w:rsidRPr="006350BE">
        <w:t>detention between December 2005 and May 2007</w:t>
      </w:r>
      <w:r w:rsidRPr="006350BE">
        <w:t>, as covered by the trial judgment of 8 July 2003,</w:t>
      </w:r>
      <w:r w:rsidR="005F5B58" w:rsidRPr="006350BE">
        <w:t xml:space="preserve"> cannot be considered “lawful” within the meaning of </w:t>
      </w:r>
      <w:r w:rsidR="00CC64D0" w:rsidRPr="006350BE">
        <w:t>Article 5 of the Convention.</w:t>
      </w:r>
    </w:p>
    <w:p w:rsidR="00A546BA" w:rsidRPr="006350BE" w:rsidRDefault="001448CF" w:rsidP="006350BE">
      <w:pPr>
        <w:pStyle w:val="ECHRPara"/>
        <w:rPr>
          <w:bCs/>
        </w:rPr>
      </w:pPr>
      <w:r w:rsidRPr="006350BE">
        <w:rPr>
          <w:bCs/>
        </w:rPr>
        <w:fldChar w:fldCharType="begin"/>
      </w:r>
      <w:r w:rsidRPr="006350BE">
        <w:rPr>
          <w:bCs/>
        </w:rPr>
        <w:instrText xml:space="preserve"> SEQ level0 \*arabic </w:instrText>
      </w:r>
      <w:r w:rsidRPr="006350BE">
        <w:rPr>
          <w:bCs/>
        </w:rPr>
        <w:fldChar w:fldCharType="separate"/>
      </w:r>
      <w:r w:rsidR="006350BE" w:rsidRPr="006350BE">
        <w:rPr>
          <w:bCs/>
          <w:noProof/>
        </w:rPr>
        <w:t>80</w:t>
      </w:r>
      <w:r w:rsidRPr="006350BE">
        <w:rPr>
          <w:bCs/>
        </w:rPr>
        <w:fldChar w:fldCharType="end"/>
      </w:r>
      <w:r w:rsidRPr="006350BE">
        <w:rPr>
          <w:bCs/>
        </w:rPr>
        <w:t>.  </w:t>
      </w:r>
      <w:r w:rsidR="00A546BA" w:rsidRPr="006350BE">
        <w:t xml:space="preserve">Having regard </w:t>
      </w:r>
      <w:r w:rsidR="00FC7795" w:rsidRPr="006350BE">
        <w:t xml:space="preserve">to the </w:t>
      </w:r>
      <w:r w:rsidR="00A546BA" w:rsidRPr="006350BE">
        <w:t>above findings and the fact that</w:t>
      </w:r>
      <w:r w:rsidR="00C539CB" w:rsidRPr="006350BE">
        <w:t xml:space="preserve"> the</w:t>
      </w:r>
      <w:r w:rsidR="00C539CB" w:rsidRPr="006350BE">
        <w:rPr>
          <w:bCs/>
        </w:rPr>
        <w:t xml:space="preserve"> Government </w:t>
      </w:r>
      <w:r w:rsidR="00C539CB" w:rsidRPr="006350BE">
        <w:t xml:space="preserve">have acknowledged </w:t>
      </w:r>
      <w:r w:rsidR="00C539CB" w:rsidRPr="006350BE">
        <w:rPr>
          <w:bCs/>
        </w:rPr>
        <w:t>the unlawfulness of the first applicant</w:t>
      </w:r>
      <w:r w:rsidR="006350BE" w:rsidRPr="006350BE">
        <w:rPr>
          <w:bCs/>
        </w:rPr>
        <w:t>’</w:t>
      </w:r>
      <w:r w:rsidR="00BB75A6" w:rsidRPr="006350BE">
        <w:rPr>
          <w:bCs/>
        </w:rPr>
        <w:t>s detention</w:t>
      </w:r>
      <w:r w:rsidR="00FC7795" w:rsidRPr="006350BE">
        <w:rPr>
          <w:bCs/>
        </w:rPr>
        <w:t xml:space="preserve">, </w:t>
      </w:r>
      <w:r w:rsidR="00A546BA" w:rsidRPr="006350BE">
        <w:rPr>
          <w:bCs/>
        </w:rPr>
        <w:t xml:space="preserve">the Court </w:t>
      </w:r>
      <w:r w:rsidR="00C539CB" w:rsidRPr="006350BE">
        <w:rPr>
          <w:bCs/>
        </w:rPr>
        <w:t>conclude</w:t>
      </w:r>
      <w:r w:rsidR="00A546BA" w:rsidRPr="006350BE">
        <w:rPr>
          <w:bCs/>
        </w:rPr>
        <w:t>s</w:t>
      </w:r>
      <w:r w:rsidR="00C539CB" w:rsidRPr="006350BE">
        <w:rPr>
          <w:bCs/>
        </w:rPr>
        <w:t xml:space="preserve"> that there has </w:t>
      </w:r>
      <w:r w:rsidR="00C73852" w:rsidRPr="006350BE">
        <w:rPr>
          <w:bCs/>
        </w:rPr>
        <w:t>been a violation of Article 5 § </w:t>
      </w:r>
      <w:r w:rsidR="00C539CB" w:rsidRPr="006350BE">
        <w:rPr>
          <w:bCs/>
        </w:rPr>
        <w:t>1 of the Convention.</w:t>
      </w:r>
    </w:p>
    <w:p w:rsidR="00785B91" w:rsidRPr="006350BE" w:rsidRDefault="00785B91" w:rsidP="006350BE">
      <w:pPr>
        <w:pStyle w:val="ECHRHeading1"/>
      </w:pPr>
      <w:r w:rsidRPr="006350BE">
        <w:t>V.  ALLEGED VIOLATION OF ARTICLE 6 OF THE CONVENTION IN RESPECT OF BOTH APPLICANTS</w:t>
      </w:r>
    </w:p>
    <w:p w:rsidR="00785B91" w:rsidRPr="006350BE" w:rsidRDefault="00785B91"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81</w:t>
      </w:r>
      <w:r w:rsidRPr="006350BE">
        <w:fldChar w:fldCharType="end"/>
      </w:r>
      <w:r w:rsidRPr="006350BE">
        <w:t>.  </w:t>
      </w:r>
      <w:r w:rsidR="007E6353" w:rsidRPr="006350BE">
        <w:t>The</w:t>
      </w:r>
      <w:r w:rsidRPr="006350BE">
        <w:t xml:space="preserve"> applicants complained under Article 6 § 1 of the Convention </w:t>
      </w:r>
      <w:r w:rsidR="00BB75A6" w:rsidRPr="006350BE">
        <w:t xml:space="preserve">of the </w:t>
      </w:r>
      <w:r w:rsidRPr="006350BE">
        <w:t xml:space="preserve">unfairness of </w:t>
      </w:r>
      <w:r w:rsidR="00BB75A6" w:rsidRPr="006350BE">
        <w:t xml:space="preserve">the </w:t>
      </w:r>
      <w:r w:rsidRPr="006350BE">
        <w:t xml:space="preserve">criminal proceedings against them, in particular on account of the unlawful composition of the trial court due to different breaches of the procedure </w:t>
      </w:r>
      <w:r w:rsidR="00BB75A6" w:rsidRPr="006350BE">
        <w:t xml:space="preserve">on the </w:t>
      </w:r>
      <w:r w:rsidRPr="006350BE">
        <w:t xml:space="preserve">selection of lay judges provided </w:t>
      </w:r>
      <w:r w:rsidR="000306A8" w:rsidRPr="006350BE">
        <w:t xml:space="preserve">for </w:t>
      </w:r>
      <w:r w:rsidRPr="006350BE">
        <w:t>by the Lay Judges Act. The relevant parts of Article 6 § 1 read as follows:</w:t>
      </w:r>
    </w:p>
    <w:p w:rsidR="003E7C8E" w:rsidRPr="006350BE" w:rsidRDefault="003E7C8E" w:rsidP="006350BE">
      <w:pPr>
        <w:pStyle w:val="ECHRTitleCentre3"/>
      </w:pPr>
      <w:r w:rsidRPr="006350BE">
        <w:t>Article 6</w:t>
      </w:r>
    </w:p>
    <w:p w:rsidR="00785B91" w:rsidRPr="006350BE" w:rsidRDefault="00785B91" w:rsidP="006350BE">
      <w:pPr>
        <w:pStyle w:val="ECHRParaQuote"/>
      </w:pPr>
      <w:r w:rsidRPr="006350BE">
        <w:t>“In the determination of ... any criminal charge against him, everyone is entitled to a fair ... hearing ... by [a] ... tribunal established by law.”</w:t>
      </w:r>
    </w:p>
    <w:p w:rsidR="00785B91" w:rsidRPr="001524AD" w:rsidRDefault="00785B91" w:rsidP="001524AD">
      <w:pPr>
        <w:pStyle w:val="ECHRHeading2"/>
      </w:pPr>
      <w:r w:rsidRPr="001524AD">
        <w:lastRenderedPageBreak/>
        <w:t>A.  Admissibility</w:t>
      </w:r>
    </w:p>
    <w:p w:rsidR="00785B91" w:rsidRPr="006350BE" w:rsidRDefault="00785B91"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82</w:t>
      </w:r>
      <w:r w:rsidRPr="006350BE">
        <w:rPr>
          <w:noProof/>
        </w:rPr>
        <w:fldChar w:fldCharType="end"/>
      </w:r>
      <w:r w:rsidRPr="006350BE">
        <w:t>.  The Court notes that this complaint is not manifestly ill-founded within the meaning of Article 35 § 3 of the Convention. It further notes that it is not inadmissible on any other grounds. It must therefore be declared admissible.</w:t>
      </w:r>
    </w:p>
    <w:p w:rsidR="00785B91" w:rsidRPr="001524AD" w:rsidRDefault="004877A3" w:rsidP="001524AD">
      <w:pPr>
        <w:pStyle w:val="ECHRHeading2"/>
      </w:pPr>
      <w:r w:rsidRPr="001524AD">
        <w:t>B.  </w:t>
      </w:r>
      <w:r w:rsidR="00785B91" w:rsidRPr="001524AD">
        <w:t>Merits</w:t>
      </w:r>
    </w:p>
    <w:p w:rsidR="00785B91" w:rsidRPr="006350BE" w:rsidRDefault="00785B91"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83</w:t>
      </w:r>
      <w:r w:rsidRPr="006350BE">
        <w:fldChar w:fldCharType="end"/>
      </w:r>
      <w:r w:rsidRPr="006350BE">
        <w:t>.  The applicants submitted that the lay judges Mr D. and Ms M</w:t>
      </w:r>
      <w:r w:rsidR="003E1B2F" w:rsidRPr="006350BE">
        <w:t>ot</w:t>
      </w:r>
      <w:r w:rsidRPr="006350BE">
        <w:t>. had been engaged in other trials in 200</w:t>
      </w:r>
      <w:r w:rsidR="00AB2B65" w:rsidRPr="006350BE">
        <w:t>2</w:t>
      </w:r>
      <w:r w:rsidR="00BD138C" w:rsidRPr="006350BE">
        <w:t>,</w:t>
      </w:r>
      <w:r w:rsidRPr="006350BE">
        <w:t xml:space="preserve"> whereas </w:t>
      </w:r>
      <w:r w:rsidR="00BD138C" w:rsidRPr="006350BE">
        <w:t>under s</w:t>
      </w:r>
      <w:r w:rsidRPr="006350BE">
        <w:t>ection 9 of the Lay Judges Act</w:t>
      </w:r>
      <w:r w:rsidR="00BD138C" w:rsidRPr="006350BE">
        <w:t>,</w:t>
      </w:r>
      <w:r w:rsidRPr="006350BE">
        <w:t xml:space="preserve"> lay judges may not be called more than once a year. They considered therefore that Mr D. and Ms M</w:t>
      </w:r>
      <w:r w:rsidR="003E1B2F" w:rsidRPr="006350BE">
        <w:t>ot</w:t>
      </w:r>
      <w:r w:rsidRPr="006350BE">
        <w:t xml:space="preserve">. </w:t>
      </w:r>
      <w:r w:rsidR="00BD138C" w:rsidRPr="006350BE">
        <w:t xml:space="preserve">had </w:t>
      </w:r>
      <w:r w:rsidRPr="006350BE">
        <w:t xml:space="preserve">lacked legal </w:t>
      </w:r>
      <w:r w:rsidR="00BD138C" w:rsidRPr="006350BE">
        <w:t xml:space="preserve">standing </w:t>
      </w:r>
      <w:r w:rsidRPr="006350BE">
        <w:t>to sit on the panel.</w:t>
      </w:r>
    </w:p>
    <w:p w:rsidR="00785B91" w:rsidRPr="006350BE" w:rsidRDefault="00785B91"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84</w:t>
      </w:r>
      <w:r w:rsidRPr="006350BE">
        <w:fldChar w:fldCharType="end"/>
      </w:r>
      <w:r w:rsidRPr="006350BE">
        <w:t>.  </w:t>
      </w:r>
      <w:r w:rsidR="000306A8" w:rsidRPr="006350BE">
        <w:t xml:space="preserve">The </w:t>
      </w:r>
      <w:r w:rsidRPr="006350BE">
        <w:t>Government contested that argument. In particular</w:t>
      </w:r>
      <w:r w:rsidR="00BD138C" w:rsidRPr="006350BE">
        <w:t>,</w:t>
      </w:r>
      <w:r w:rsidRPr="006350BE">
        <w:t xml:space="preserve"> they submitted that the composition of the trial court and selection of lay judges had been in accordance with the Lay Judges Act.</w:t>
      </w:r>
    </w:p>
    <w:p w:rsidR="00785B91" w:rsidRPr="006350BE" w:rsidRDefault="00785B91"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85</w:t>
      </w:r>
      <w:r w:rsidRPr="006350BE">
        <w:fldChar w:fldCharType="end"/>
      </w:r>
      <w:r w:rsidRPr="006350BE">
        <w:t xml:space="preserve">.  The Court reiterates that it has found a violation of Article 6 § 1 of the Convention in </w:t>
      </w:r>
      <w:r w:rsidR="005D1137" w:rsidRPr="006350BE">
        <w:t xml:space="preserve">a number of </w:t>
      </w:r>
      <w:r w:rsidRPr="006350BE">
        <w:t xml:space="preserve">Russian cases where the composition of the trial courts </w:t>
      </w:r>
      <w:r w:rsidR="000306A8" w:rsidRPr="006350BE">
        <w:t xml:space="preserve">was </w:t>
      </w:r>
      <w:r w:rsidRPr="006350BE">
        <w:t xml:space="preserve">in violation of the Lay Judges Act (see </w:t>
      </w:r>
      <w:proofErr w:type="spellStart"/>
      <w:r w:rsidRPr="006350BE">
        <w:rPr>
          <w:i/>
          <w:iCs/>
        </w:rPr>
        <w:t>Posokhov</w:t>
      </w:r>
      <w:proofErr w:type="spellEnd"/>
      <w:r w:rsidRPr="006350BE">
        <w:t xml:space="preserve"> </w:t>
      </w:r>
      <w:r w:rsidRPr="006350BE">
        <w:rPr>
          <w:i/>
          <w:iCs/>
        </w:rPr>
        <w:t>v. Russia</w:t>
      </w:r>
      <w:r w:rsidRPr="006350BE">
        <w:t>,</w:t>
      </w:r>
      <w:r w:rsidRPr="006350BE">
        <w:rPr>
          <w:i/>
          <w:iCs/>
        </w:rPr>
        <w:t xml:space="preserve"> </w:t>
      </w:r>
      <w:r w:rsidRPr="006350BE">
        <w:t xml:space="preserve">no. 63486/00, §§ 40-44, ECHR 2003-IV; </w:t>
      </w:r>
      <w:proofErr w:type="spellStart"/>
      <w:r w:rsidRPr="006350BE">
        <w:rPr>
          <w:i/>
        </w:rPr>
        <w:t>Fedotova</w:t>
      </w:r>
      <w:proofErr w:type="spellEnd"/>
      <w:r w:rsidRPr="006350BE">
        <w:rPr>
          <w:i/>
        </w:rPr>
        <w:t> v. Russia</w:t>
      </w:r>
      <w:r w:rsidR="00D14495" w:rsidRPr="006350BE">
        <w:t>, no. 73225/05, §§ </w:t>
      </w:r>
      <w:r w:rsidRPr="006350BE">
        <w:t xml:space="preserve">38-44, 13 April 2006; </w:t>
      </w:r>
      <w:proofErr w:type="spellStart"/>
      <w:r w:rsidRPr="006350BE">
        <w:rPr>
          <w:i/>
        </w:rPr>
        <w:t>Shabanov</w:t>
      </w:r>
      <w:proofErr w:type="spellEnd"/>
      <w:r w:rsidRPr="006350BE">
        <w:rPr>
          <w:i/>
        </w:rPr>
        <w:t xml:space="preserve"> and </w:t>
      </w:r>
      <w:proofErr w:type="spellStart"/>
      <w:r w:rsidRPr="006350BE">
        <w:rPr>
          <w:i/>
        </w:rPr>
        <w:t>Tren</w:t>
      </w:r>
      <w:proofErr w:type="spellEnd"/>
      <w:r w:rsidRPr="006350BE">
        <w:rPr>
          <w:i/>
        </w:rPr>
        <w:t xml:space="preserve"> v. Russia</w:t>
      </w:r>
      <w:r w:rsidR="00C73852" w:rsidRPr="006350BE">
        <w:t>, no. 5433/02, §§ </w:t>
      </w:r>
      <w:r w:rsidR="00566608" w:rsidRPr="006350BE">
        <w:t>28</w:t>
      </w:r>
      <w:r w:rsidR="00D14495" w:rsidRPr="006350BE">
        <w:rPr>
          <w:lang w:val="en-US"/>
        </w:rPr>
        <w:noBreakHyphen/>
      </w:r>
      <w:r w:rsidRPr="006350BE">
        <w:t>32, 14 December 2006</w:t>
      </w:r>
      <w:r w:rsidR="00D70415" w:rsidRPr="006350BE">
        <w:t xml:space="preserve"> </w:t>
      </w:r>
      <w:r w:rsidR="00D70415" w:rsidRPr="006350BE">
        <w:rPr>
          <w:lang w:val="en-US"/>
        </w:rPr>
        <w:t xml:space="preserve">and </w:t>
      </w:r>
      <w:proofErr w:type="spellStart"/>
      <w:r w:rsidR="00456A72" w:rsidRPr="006350BE">
        <w:rPr>
          <w:i/>
        </w:rPr>
        <w:t>Yegorychev</w:t>
      </w:r>
      <w:proofErr w:type="spellEnd"/>
      <w:r w:rsidR="00456A72" w:rsidRPr="006350BE">
        <w:rPr>
          <w:i/>
        </w:rPr>
        <w:t xml:space="preserve"> v. Russia</w:t>
      </w:r>
      <w:r w:rsidR="00456A72" w:rsidRPr="006350BE">
        <w:t xml:space="preserve">, no. </w:t>
      </w:r>
      <w:bookmarkStart w:id="20" w:name="File0"/>
      <w:r w:rsidR="00456A72" w:rsidRPr="006350BE">
        <w:t>8026/04</w:t>
      </w:r>
      <w:bookmarkEnd w:id="20"/>
      <w:r w:rsidR="00456A72" w:rsidRPr="006350BE">
        <w:t>, §§</w:t>
      </w:r>
      <w:r w:rsidR="00D14495" w:rsidRPr="006350BE">
        <w:rPr>
          <w:lang w:val="en-US"/>
        </w:rPr>
        <w:t>66</w:t>
      </w:r>
      <w:r w:rsidR="00D14495" w:rsidRPr="006350BE">
        <w:rPr>
          <w:lang w:val="en-US"/>
        </w:rPr>
        <w:noBreakHyphen/>
      </w:r>
      <w:r w:rsidR="00456A72" w:rsidRPr="006350BE">
        <w:rPr>
          <w:lang w:val="en-US"/>
        </w:rPr>
        <w:t>67</w:t>
      </w:r>
      <w:r w:rsidR="00566608" w:rsidRPr="006350BE">
        <w:t>, 17</w:t>
      </w:r>
      <w:r w:rsidR="00566608" w:rsidRPr="006350BE">
        <w:rPr>
          <w:lang w:val="en-US"/>
        </w:rPr>
        <w:t> </w:t>
      </w:r>
      <w:r w:rsidR="00456A72" w:rsidRPr="006350BE">
        <w:t>May 2016</w:t>
      </w:r>
      <w:r w:rsidRPr="006350BE">
        <w:t>).</w:t>
      </w:r>
    </w:p>
    <w:p w:rsidR="00785B91" w:rsidRPr="006350BE" w:rsidRDefault="00785B91"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86</w:t>
      </w:r>
      <w:r w:rsidRPr="006350BE">
        <w:rPr>
          <w:noProof/>
        </w:rPr>
        <w:fldChar w:fldCharType="end"/>
      </w:r>
      <w:r w:rsidRPr="006350BE">
        <w:t>.  Turning to the facts of the present case</w:t>
      </w:r>
      <w:r w:rsidR="00BD138C" w:rsidRPr="006350BE">
        <w:t>,</w:t>
      </w:r>
      <w:r w:rsidRPr="006350BE">
        <w:t xml:space="preserve"> the Court </w:t>
      </w:r>
      <w:r w:rsidR="00BD138C" w:rsidRPr="006350BE">
        <w:t xml:space="preserve">observes </w:t>
      </w:r>
      <w:r w:rsidRPr="006350BE">
        <w:t xml:space="preserve">that the trial hearing </w:t>
      </w:r>
      <w:r w:rsidR="000306A8" w:rsidRPr="006350BE">
        <w:t xml:space="preserve">of 5 December 2002 </w:t>
      </w:r>
      <w:r w:rsidRPr="006350BE">
        <w:t xml:space="preserve">was held by </w:t>
      </w:r>
      <w:r w:rsidR="00BD138C" w:rsidRPr="006350BE">
        <w:t xml:space="preserve">a </w:t>
      </w:r>
      <w:r w:rsidR="000306A8" w:rsidRPr="006350BE">
        <w:t xml:space="preserve">professional </w:t>
      </w:r>
      <w:r w:rsidRPr="006350BE">
        <w:t xml:space="preserve">judge and two </w:t>
      </w:r>
      <w:r w:rsidR="003E1B2F" w:rsidRPr="006350BE">
        <w:t>lay judges</w:t>
      </w:r>
      <w:r w:rsidRPr="006350BE">
        <w:t>, Mr D. and Ms M</w:t>
      </w:r>
      <w:r w:rsidR="003E1B2F" w:rsidRPr="006350BE">
        <w:t>ot</w:t>
      </w:r>
      <w:r w:rsidRPr="006350BE">
        <w:t xml:space="preserve">. </w:t>
      </w:r>
      <w:r w:rsidR="00BD138C" w:rsidRPr="006350BE">
        <w:t>B</w:t>
      </w:r>
      <w:r w:rsidRPr="006350BE">
        <w:t xml:space="preserve">efore delivering the judgment of 17 January 2003, </w:t>
      </w:r>
      <w:r w:rsidR="00BD138C" w:rsidRPr="006350BE">
        <w:t xml:space="preserve">Mr D. </w:t>
      </w:r>
      <w:r w:rsidRPr="006350BE">
        <w:t xml:space="preserve">had </w:t>
      </w:r>
      <w:r w:rsidR="00C748F5" w:rsidRPr="006350BE">
        <w:t xml:space="preserve">participated as </w:t>
      </w:r>
      <w:r w:rsidR="00BD138C" w:rsidRPr="006350BE">
        <w:t xml:space="preserve">a </w:t>
      </w:r>
      <w:r w:rsidR="003E1B2F" w:rsidRPr="006350BE">
        <w:t>lay judge</w:t>
      </w:r>
      <w:r w:rsidRPr="006350BE">
        <w:t xml:space="preserve"> in </w:t>
      </w:r>
      <w:r w:rsidR="00BD138C" w:rsidRPr="006350BE">
        <w:t xml:space="preserve">five previous </w:t>
      </w:r>
      <w:r w:rsidRPr="006350BE">
        <w:t>trials</w:t>
      </w:r>
      <w:r w:rsidR="00B850B3" w:rsidRPr="006350BE">
        <w:t xml:space="preserve"> </w:t>
      </w:r>
      <w:r w:rsidRPr="006350BE">
        <w:t xml:space="preserve">and </w:t>
      </w:r>
      <w:r w:rsidR="00BD138C" w:rsidRPr="006350BE">
        <w:t xml:space="preserve">Ms Mot. had participated </w:t>
      </w:r>
      <w:r w:rsidR="000306A8" w:rsidRPr="006350BE">
        <w:t xml:space="preserve">as a lay judge </w:t>
      </w:r>
      <w:r w:rsidR="00BD138C" w:rsidRPr="006350BE">
        <w:t xml:space="preserve">in </w:t>
      </w:r>
      <w:r w:rsidRPr="006350BE">
        <w:t>three</w:t>
      </w:r>
      <w:r w:rsidR="00BD138C" w:rsidRPr="006350BE">
        <w:t xml:space="preserve"> previous trials</w:t>
      </w:r>
      <w:r w:rsidR="00E47548" w:rsidRPr="006350BE">
        <w:rPr>
          <w:lang w:val="en-US"/>
        </w:rPr>
        <w:t xml:space="preserve"> in respect of other persons</w:t>
      </w:r>
      <w:r w:rsidR="00C748F5" w:rsidRPr="006350BE">
        <w:t>, in contravention of the applicable domestic rules</w:t>
      </w:r>
      <w:r w:rsidR="00742EC2" w:rsidRPr="006350BE">
        <w:t xml:space="preserve"> (see paragraph </w:t>
      </w:r>
      <w:r w:rsidR="00E573A8" w:rsidRPr="006350BE">
        <w:fldChar w:fldCharType="begin"/>
      </w:r>
      <w:r w:rsidR="00E573A8" w:rsidRPr="006350BE">
        <w:instrText xml:space="preserve"> REF Lay_judges2 \h </w:instrText>
      </w:r>
      <w:r w:rsidR="009B3C88" w:rsidRPr="006350BE">
        <w:instrText xml:space="preserve"> \* MERGEFORMAT </w:instrText>
      </w:r>
      <w:r w:rsidR="00E573A8" w:rsidRPr="006350BE">
        <w:fldChar w:fldCharType="separate"/>
      </w:r>
      <w:r w:rsidR="006350BE" w:rsidRPr="006350BE">
        <w:rPr>
          <w:noProof/>
        </w:rPr>
        <w:t>16</w:t>
      </w:r>
      <w:r w:rsidR="00E573A8" w:rsidRPr="006350BE">
        <w:fldChar w:fldCharType="end"/>
      </w:r>
      <w:r w:rsidR="00E573A8" w:rsidRPr="006350BE">
        <w:t xml:space="preserve"> </w:t>
      </w:r>
      <w:r w:rsidR="00742EC2" w:rsidRPr="006350BE">
        <w:t>above)</w:t>
      </w:r>
      <w:r w:rsidRPr="006350BE">
        <w:t>.</w:t>
      </w:r>
    </w:p>
    <w:p w:rsidR="00785B91" w:rsidRPr="006350BE" w:rsidRDefault="00785B91"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87</w:t>
      </w:r>
      <w:r w:rsidRPr="006350BE">
        <w:fldChar w:fldCharType="end"/>
      </w:r>
      <w:r w:rsidRPr="006350BE">
        <w:t xml:space="preserve">.  Having regard to the </w:t>
      </w:r>
      <w:r w:rsidR="005D1137" w:rsidRPr="006350BE">
        <w:t>above</w:t>
      </w:r>
      <w:r w:rsidR="00935C98" w:rsidRPr="006350BE">
        <w:t xml:space="preserve"> considerations</w:t>
      </w:r>
      <w:r w:rsidR="005D1137" w:rsidRPr="006350BE">
        <w:t>,</w:t>
      </w:r>
      <w:r w:rsidRPr="006350BE">
        <w:t xml:space="preserve"> the Court concludes that the Regional Court that issued the judgment of 17 January 2003 could not be regarded as a “tribunal established by law” (see </w:t>
      </w:r>
      <w:proofErr w:type="spellStart"/>
      <w:r w:rsidR="00C73852" w:rsidRPr="006350BE">
        <w:rPr>
          <w:i/>
        </w:rPr>
        <w:t>Laryagin</w:t>
      </w:r>
      <w:proofErr w:type="spellEnd"/>
      <w:r w:rsidR="00C73852" w:rsidRPr="006350BE">
        <w:rPr>
          <w:i/>
        </w:rPr>
        <w:t xml:space="preserve"> and </w:t>
      </w:r>
      <w:proofErr w:type="spellStart"/>
      <w:r w:rsidR="00C73852" w:rsidRPr="006350BE">
        <w:rPr>
          <w:i/>
        </w:rPr>
        <w:t>Aristov</w:t>
      </w:r>
      <w:proofErr w:type="spellEnd"/>
      <w:r w:rsidR="00C73852" w:rsidRPr="006350BE">
        <w:rPr>
          <w:i/>
        </w:rPr>
        <w:t xml:space="preserve"> v. </w:t>
      </w:r>
      <w:r w:rsidRPr="006350BE">
        <w:rPr>
          <w:i/>
        </w:rPr>
        <w:t>Russia</w:t>
      </w:r>
      <w:r w:rsidR="002F0F73" w:rsidRPr="006350BE">
        <w:t>, nos. </w:t>
      </w:r>
      <w:r w:rsidRPr="006350BE">
        <w:t>38697/02 and 14711/03, §§ 36-37, 8 January 2009).</w:t>
      </w:r>
    </w:p>
    <w:p w:rsidR="00785B91" w:rsidRPr="006350BE" w:rsidRDefault="00785B91"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88</w:t>
      </w:r>
      <w:r w:rsidRPr="006350BE">
        <w:rPr>
          <w:noProof/>
        </w:rPr>
        <w:fldChar w:fldCharType="end"/>
      </w:r>
      <w:r w:rsidRPr="006350BE">
        <w:t xml:space="preserve">.  There has therefore been a violation of Article 6 § 1 of the Convention on account of </w:t>
      </w:r>
      <w:r w:rsidR="00935C98" w:rsidRPr="006350BE">
        <w:t xml:space="preserve">the </w:t>
      </w:r>
      <w:r w:rsidRPr="006350BE">
        <w:t>unlawful composition of the trial court.</w:t>
      </w:r>
    </w:p>
    <w:p w:rsidR="00785B91" w:rsidRPr="006350BE" w:rsidRDefault="00785B91"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89</w:t>
      </w:r>
      <w:r w:rsidRPr="006350BE">
        <w:rPr>
          <w:noProof/>
        </w:rPr>
        <w:fldChar w:fldCharType="end"/>
      </w:r>
      <w:r w:rsidRPr="006350BE">
        <w:t>.  </w:t>
      </w:r>
      <w:r w:rsidR="005D1137" w:rsidRPr="006350BE">
        <w:t>Regard being had to the Court</w:t>
      </w:r>
      <w:r w:rsidR="006350BE" w:rsidRPr="006350BE">
        <w:t>’</w:t>
      </w:r>
      <w:r w:rsidR="005D1137" w:rsidRPr="006350BE">
        <w:t xml:space="preserve">s findings in paragraphs </w:t>
      </w:r>
      <w:r w:rsidR="00496E36" w:rsidRPr="006350BE">
        <w:t>8</w:t>
      </w:r>
      <w:r w:rsidR="002278B6" w:rsidRPr="006350BE">
        <w:t>5</w:t>
      </w:r>
      <w:r w:rsidR="00935C98" w:rsidRPr="006350BE">
        <w:t xml:space="preserve"> to </w:t>
      </w:r>
      <w:r w:rsidR="00496E36" w:rsidRPr="006350BE">
        <w:t>8</w:t>
      </w:r>
      <w:r w:rsidR="002278B6" w:rsidRPr="006350BE">
        <w:t>8</w:t>
      </w:r>
      <w:r w:rsidR="005D1137" w:rsidRPr="006350BE">
        <w:t xml:space="preserve"> above, the Court considers it unnecessary to examine the remainder of the applicants</w:t>
      </w:r>
      <w:r w:rsidR="006350BE" w:rsidRPr="006350BE">
        <w:t>’</w:t>
      </w:r>
      <w:r w:rsidR="005D1137" w:rsidRPr="006350BE">
        <w:t xml:space="preserve"> grievances about </w:t>
      </w:r>
      <w:r w:rsidR="00935C98" w:rsidRPr="006350BE">
        <w:t xml:space="preserve">the </w:t>
      </w:r>
      <w:r w:rsidR="005D1137" w:rsidRPr="006350BE">
        <w:t>alleged unfairness of the criminal proceedings against</w:t>
      </w:r>
      <w:r w:rsidR="00935C98" w:rsidRPr="006350BE">
        <w:t xml:space="preserve"> them</w:t>
      </w:r>
      <w:r w:rsidR="005D1137" w:rsidRPr="006350BE">
        <w:t>.</w:t>
      </w:r>
    </w:p>
    <w:p w:rsidR="00014566" w:rsidRPr="006350BE" w:rsidRDefault="00D27BEB" w:rsidP="006350BE">
      <w:pPr>
        <w:pStyle w:val="ECHRHeading1"/>
      </w:pPr>
      <w:r w:rsidRPr="006350BE">
        <w:lastRenderedPageBreak/>
        <w:t>V</w:t>
      </w:r>
      <w:r w:rsidR="00785B91" w:rsidRPr="006350BE">
        <w:t>I</w:t>
      </w:r>
      <w:r w:rsidR="00C73852" w:rsidRPr="006350BE">
        <w:t>.  </w:t>
      </w:r>
      <w:r w:rsidRPr="006350BE">
        <w:t>ALLEGED VIOLATION OF ARTICLE</w:t>
      </w:r>
      <w:r w:rsidR="001F5D8D" w:rsidRPr="006350BE">
        <w:t>S</w:t>
      </w:r>
      <w:r w:rsidRPr="006350BE">
        <w:t xml:space="preserve"> 8 </w:t>
      </w:r>
      <w:r w:rsidR="00E5081A" w:rsidRPr="006350BE">
        <w:t>AND 34</w:t>
      </w:r>
      <w:r w:rsidR="00014566" w:rsidRPr="006350BE">
        <w:t xml:space="preserve"> OF THE CONVENTION</w:t>
      </w:r>
      <w:r w:rsidR="00E5081A" w:rsidRPr="006350BE">
        <w:t xml:space="preserve"> ON ACCOUNT OF THE HI</w:t>
      </w:r>
      <w:r w:rsidR="001F4DA9" w:rsidRPr="006350BE">
        <w:t>N</w:t>
      </w:r>
      <w:r w:rsidR="00E5081A" w:rsidRPr="006350BE">
        <w:t xml:space="preserve">DRANCE WITH </w:t>
      </w:r>
      <w:r w:rsidR="00B074AD" w:rsidRPr="006350BE">
        <w:t>THE SECOND APPLICANT</w:t>
      </w:r>
      <w:r w:rsidR="006350BE" w:rsidRPr="006350BE">
        <w:t>’</w:t>
      </w:r>
      <w:r w:rsidR="00B074AD" w:rsidRPr="006350BE">
        <w:t xml:space="preserve">S </w:t>
      </w:r>
      <w:r w:rsidR="00E5081A" w:rsidRPr="006350BE">
        <w:t>CORRESPONDE</w:t>
      </w:r>
      <w:r w:rsidR="00A2604D" w:rsidRPr="006350BE">
        <w:t>N</w:t>
      </w:r>
      <w:r w:rsidR="00E5081A" w:rsidRPr="006350BE">
        <w:t>CE</w:t>
      </w:r>
    </w:p>
    <w:p w:rsidR="00776700" w:rsidRPr="006350BE" w:rsidRDefault="00DA2403"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90</w:t>
      </w:r>
      <w:r w:rsidRPr="006350BE">
        <w:fldChar w:fldCharType="end"/>
      </w:r>
      <w:r w:rsidR="00014566" w:rsidRPr="006350BE">
        <w:t>.  </w:t>
      </w:r>
      <w:r w:rsidR="001F4DA9" w:rsidRPr="006350BE">
        <w:t xml:space="preserve">The </w:t>
      </w:r>
      <w:r w:rsidR="007C19BD" w:rsidRPr="006350BE">
        <w:t xml:space="preserve">second </w:t>
      </w:r>
      <w:r w:rsidR="001F4DA9" w:rsidRPr="006350BE">
        <w:t xml:space="preserve">applicant complained </w:t>
      </w:r>
      <w:r w:rsidR="004153C6" w:rsidRPr="006350BE">
        <w:t xml:space="preserve">under Articles 8 and 34 of the Convention </w:t>
      </w:r>
      <w:r w:rsidR="001F4DA9" w:rsidRPr="006350BE">
        <w:t xml:space="preserve">that the administration of the correctional </w:t>
      </w:r>
      <w:r w:rsidR="004F707E" w:rsidRPr="006350BE">
        <w:rPr>
          <w:lang w:val="en-US"/>
        </w:rPr>
        <w:t>colon</w:t>
      </w:r>
      <w:r w:rsidR="001F4DA9" w:rsidRPr="006350BE">
        <w:t xml:space="preserve">y where he was serving a prison sentence had not dispatched a number of his letters to the Court </w:t>
      </w:r>
      <w:r w:rsidR="00CE4F2B" w:rsidRPr="006350BE">
        <w:t>between</w:t>
      </w:r>
      <w:r w:rsidR="001D372C" w:rsidRPr="006350BE">
        <w:t xml:space="preserve"> 2009</w:t>
      </w:r>
      <w:r w:rsidR="00A9410E" w:rsidRPr="006350BE">
        <w:t xml:space="preserve"> </w:t>
      </w:r>
      <w:r w:rsidR="00166579" w:rsidRPr="006350BE">
        <w:t>and</w:t>
      </w:r>
      <w:r w:rsidR="00CE4F2B" w:rsidRPr="006350BE">
        <w:t xml:space="preserve"> 2013, and</w:t>
      </w:r>
      <w:r w:rsidR="00166579" w:rsidRPr="006350BE">
        <w:t xml:space="preserve"> </w:t>
      </w:r>
      <w:r w:rsidR="00B074AD" w:rsidRPr="006350BE">
        <w:t xml:space="preserve">had opened </w:t>
      </w:r>
      <w:r w:rsidR="001D372C" w:rsidRPr="006350BE">
        <w:t xml:space="preserve">his correspondence with </w:t>
      </w:r>
      <w:r w:rsidR="00377525" w:rsidRPr="006350BE">
        <w:t>his representative</w:t>
      </w:r>
      <w:r w:rsidR="001D372C" w:rsidRPr="006350BE">
        <w:t>.</w:t>
      </w:r>
    </w:p>
    <w:p w:rsidR="00166579" w:rsidRPr="006350BE" w:rsidRDefault="00166579" w:rsidP="006350BE">
      <w:pPr>
        <w:pStyle w:val="ECHRTitleCentre3"/>
      </w:pPr>
      <w:r w:rsidRPr="006350BE">
        <w:t>Article 8</w:t>
      </w:r>
    </w:p>
    <w:p w:rsidR="00166579" w:rsidRPr="006350BE" w:rsidRDefault="002F0F73" w:rsidP="006350BE">
      <w:pPr>
        <w:pStyle w:val="ECHRParaQuote"/>
      </w:pPr>
      <w:r w:rsidRPr="006350BE">
        <w:t>“1.  </w:t>
      </w:r>
      <w:r w:rsidR="00166579" w:rsidRPr="006350BE">
        <w:t>Everyone has the right to respect for ... his correspondence.</w:t>
      </w:r>
    </w:p>
    <w:p w:rsidR="00166579" w:rsidRPr="006350BE" w:rsidRDefault="00166579" w:rsidP="006350BE">
      <w:pPr>
        <w:pStyle w:val="ECHRParaQuote"/>
      </w:pPr>
      <w:r w:rsidRPr="006350BE">
        <w:t>2.</w:t>
      </w:r>
      <w:r w:rsidR="000C6580" w:rsidRPr="006350BE">
        <w:t>  </w:t>
      </w:r>
      <w:r w:rsidRPr="006350BE">
        <w:t>There shall be no interference by a public authority with the exercise of this right except such as is in accordance with the law and is necessary in a democratic society ... for the prevention of disorder or crime, ... or for the protection of the rights and freedoms of others.”</w:t>
      </w:r>
    </w:p>
    <w:p w:rsidR="00166579" w:rsidRPr="006350BE" w:rsidRDefault="00166579" w:rsidP="006350BE">
      <w:pPr>
        <w:pStyle w:val="ECHRTitleCentre3"/>
      </w:pPr>
      <w:r w:rsidRPr="006350BE">
        <w:t>Article 34</w:t>
      </w:r>
    </w:p>
    <w:p w:rsidR="00166579" w:rsidRPr="006350BE" w:rsidRDefault="00166579" w:rsidP="006350BE">
      <w:pPr>
        <w:pStyle w:val="ECHRParaQuote"/>
      </w:pPr>
      <w:r w:rsidRPr="006350BE">
        <w:t>“The Court may receive applications from any person ... claiming to be the victim of a violation by one of the High Contracting Parties of the rights set forth in the Convention or the Protocols thereto. The High Contracting Parties undertake not to hinder in any way the effective exercise of this right.”</w:t>
      </w:r>
    </w:p>
    <w:p w:rsidR="0071436D" w:rsidRPr="001524AD" w:rsidRDefault="0071436D" w:rsidP="001524AD">
      <w:pPr>
        <w:pStyle w:val="ECHRHeading2"/>
      </w:pPr>
      <w:r w:rsidRPr="001524AD">
        <w:t>Admissibility</w:t>
      </w:r>
    </w:p>
    <w:p w:rsidR="00776700" w:rsidRPr="006350BE" w:rsidRDefault="005C7AEF" w:rsidP="006350BE">
      <w:pPr>
        <w:pStyle w:val="ECHRHeading3"/>
      </w:pPr>
      <w:r w:rsidRPr="006350BE">
        <w:t>1.</w:t>
      </w:r>
      <w:r w:rsidR="005B6CF5" w:rsidRPr="006350BE">
        <w:t>  </w:t>
      </w:r>
      <w:r w:rsidR="002E4D3C" w:rsidRPr="006350BE">
        <w:t>Article 8</w:t>
      </w:r>
    </w:p>
    <w:p w:rsidR="00776700" w:rsidRPr="006350BE" w:rsidRDefault="00DA2403" w:rsidP="006350BE">
      <w:pPr>
        <w:pStyle w:val="ECHRPara"/>
        <w:rPr>
          <w:lang w:val="en-US"/>
        </w:rPr>
      </w:pPr>
      <w:r w:rsidRPr="006350BE">
        <w:fldChar w:fldCharType="begin"/>
      </w:r>
      <w:r w:rsidRPr="006350BE">
        <w:instrText xml:space="preserve"> SEQ level0 \*arabic </w:instrText>
      </w:r>
      <w:r w:rsidRPr="006350BE">
        <w:fldChar w:fldCharType="separate"/>
      </w:r>
      <w:r w:rsidR="006350BE" w:rsidRPr="006350BE">
        <w:rPr>
          <w:noProof/>
        </w:rPr>
        <w:t>91</w:t>
      </w:r>
      <w:r w:rsidRPr="006350BE">
        <w:fldChar w:fldCharType="end"/>
      </w:r>
      <w:r w:rsidR="00014566" w:rsidRPr="006350BE">
        <w:t>. </w:t>
      </w:r>
      <w:r w:rsidR="000C6580" w:rsidRPr="006350BE">
        <w:t> </w:t>
      </w:r>
      <w:r w:rsidR="001365AF" w:rsidRPr="006350BE">
        <w:t xml:space="preserve">The Government did not dispute the fact that </w:t>
      </w:r>
      <w:r w:rsidR="00B80A91" w:rsidRPr="006350BE">
        <w:t xml:space="preserve">the </w:t>
      </w:r>
      <w:r w:rsidR="00A277C7" w:rsidRPr="006350BE">
        <w:t>parcel</w:t>
      </w:r>
      <w:r w:rsidR="001365AF" w:rsidRPr="006350BE">
        <w:t xml:space="preserve"> </w:t>
      </w:r>
      <w:r w:rsidR="00D10C1C" w:rsidRPr="006350BE">
        <w:t xml:space="preserve">received from </w:t>
      </w:r>
      <w:r w:rsidR="001365AF" w:rsidRPr="006350BE">
        <w:t xml:space="preserve">the </w:t>
      </w:r>
      <w:r w:rsidR="00E67562" w:rsidRPr="006350BE">
        <w:t xml:space="preserve">second </w:t>
      </w:r>
      <w:r w:rsidR="001365AF" w:rsidRPr="006350BE">
        <w:t>applicant</w:t>
      </w:r>
      <w:r w:rsidR="006350BE" w:rsidRPr="006350BE">
        <w:t>’</w:t>
      </w:r>
      <w:r w:rsidR="001365AF" w:rsidRPr="006350BE">
        <w:t xml:space="preserve">s representative </w:t>
      </w:r>
      <w:r w:rsidR="00D10C1C" w:rsidRPr="006350BE">
        <w:t xml:space="preserve">on 14 August 2010 </w:t>
      </w:r>
      <w:r w:rsidR="00B074AD" w:rsidRPr="006350BE">
        <w:t xml:space="preserve">had been </w:t>
      </w:r>
      <w:r w:rsidR="001365AF" w:rsidRPr="006350BE">
        <w:t xml:space="preserve">opened by the </w:t>
      </w:r>
      <w:r w:rsidR="00FF111C" w:rsidRPr="006350BE">
        <w:rPr>
          <w:lang w:val="en-US"/>
        </w:rPr>
        <w:t>co</w:t>
      </w:r>
      <w:r w:rsidR="0099070E" w:rsidRPr="006350BE">
        <w:t>r</w:t>
      </w:r>
      <w:proofErr w:type="spellStart"/>
      <w:r w:rsidR="00FF111C" w:rsidRPr="006350BE">
        <w:rPr>
          <w:lang w:val="en-US"/>
        </w:rPr>
        <w:t>rectional</w:t>
      </w:r>
      <w:proofErr w:type="spellEnd"/>
      <w:r w:rsidR="00FF111C" w:rsidRPr="006350BE">
        <w:rPr>
          <w:lang w:val="en-US"/>
        </w:rPr>
        <w:t xml:space="preserve"> colony</w:t>
      </w:r>
      <w:r w:rsidR="00B074AD" w:rsidRPr="006350BE">
        <w:rPr>
          <w:lang w:val="en-US"/>
        </w:rPr>
        <w:t xml:space="preserve"> administration</w:t>
      </w:r>
      <w:r w:rsidR="001365AF" w:rsidRPr="006350BE">
        <w:t xml:space="preserve">. However, they submitted that it </w:t>
      </w:r>
      <w:r w:rsidR="000306A8" w:rsidRPr="006350BE">
        <w:t xml:space="preserve">had been </w:t>
      </w:r>
      <w:r w:rsidR="001365AF" w:rsidRPr="006350BE">
        <w:t xml:space="preserve">in accordance with </w:t>
      </w:r>
      <w:r w:rsidR="00B074AD" w:rsidRPr="006350BE">
        <w:t xml:space="preserve">the </w:t>
      </w:r>
      <w:r w:rsidR="001365AF" w:rsidRPr="006350BE">
        <w:t xml:space="preserve">law and </w:t>
      </w:r>
      <w:r w:rsidR="00B074AD" w:rsidRPr="006350BE">
        <w:t xml:space="preserve">had </w:t>
      </w:r>
      <w:r w:rsidR="001365AF" w:rsidRPr="006350BE">
        <w:t>not hinder</w:t>
      </w:r>
      <w:r w:rsidR="00B074AD" w:rsidRPr="006350BE">
        <w:t>ed</w:t>
      </w:r>
      <w:r w:rsidR="001365AF" w:rsidRPr="006350BE">
        <w:t xml:space="preserve"> the applicant</w:t>
      </w:r>
      <w:r w:rsidR="006350BE" w:rsidRPr="006350BE">
        <w:t>’</w:t>
      </w:r>
      <w:r w:rsidR="001365AF" w:rsidRPr="006350BE">
        <w:t xml:space="preserve">s right </w:t>
      </w:r>
      <w:r w:rsidR="000306A8" w:rsidRPr="006350BE">
        <w:t xml:space="preserve">of </w:t>
      </w:r>
      <w:r w:rsidR="001365AF" w:rsidRPr="006350BE">
        <w:t>application.</w:t>
      </w:r>
    </w:p>
    <w:p w:rsidR="005D1137" w:rsidRPr="006350BE" w:rsidRDefault="009C26B8" w:rsidP="006350BE">
      <w:pPr>
        <w:pStyle w:val="ECHRPara"/>
      </w:pPr>
      <w:r w:rsidRPr="006350BE">
        <w:rPr>
          <w:lang w:val="ru-RU"/>
        </w:rPr>
        <w:fldChar w:fldCharType="begin"/>
      </w:r>
      <w:r w:rsidRPr="006350BE">
        <w:rPr>
          <w:lang w:val="en-US"/>
        </w:rPr>
        <w:instrText xml:space="preserve"> SEQ level0 \*arabic </w:instrText>
      </w:r>
      <w:r w:rsidRPr="006350BE">
        <w:rPr>
          <w:lang w:val="ru-RU"/>
        </w:rPr>
        <w:fldChar w:fldCharType="separate"/>
      </w:r>
      <w:r w:rsidR="006350BE" w:rsidRPr="006350BE">
        <w:rPr>
          <w:noProof/>
          <w:lang w:val="en-US"/>
        </w:rPr>
        <w:t>92</w:t>
      </w:r>
      <w:r w:rsidRPr="006350BE">
        <w:rPr>
          <w:lang w:val="ru-RU"/>
        </w:rPr>
        <w:fldChar w:fldCharType="end"/>
      </w:r>
      <w:r w:rsidRPr="006350BE">
        <w:rPr>
          <w:lang w:val="en-US"/>
        </w:rPr>
        <w:t>.  </w:t>
      </w:r>
      <w:r w:rsidR="0071436D" w:rsidRPr="006350BE">
        <w:t xml:space="preserve">The applicant </w:t>
      </w:r>
      <w:r w:rsidR="005C5AEB" w:rsidRPr="006350BE">
        <w:rPr>
          <w:lang w:val="en-US"/>
        </w:rPr>
        <w:t>claimed</w:t>
      </w:r>
      <w:r w:rsidR="0071436D" w:rsidRPr="006350BE">
        <w:t xml:space="preserve"> that his correspondence with the Court and </w:t>
      </w:r>
      <w:r w:rsidR="00B074AD" w:rsidRPr="006350BE">
        <w:t xml:space="preserve">with </w:t>
      </w:r>
      <w:r w:rsidR="0071436D" w:rsidRPr="006350BE">
        <w:t xml:space="preserve">his representative had been </w:t>
      </w:r>
      <w:r w:rsidR="00EF650C" w:rsidRPr="006350BE">
        <w:t xml:space="preserve">regularly </w:t>
      </w:r>
      <w:r w:rsidR="0071436D" w:rsidRPr="006350BE">
        <w:t>subject</w:t>
      </w:r>
      <w:r w:rsidR="00B074AD" w:rsidRPr="006350BE">
        <w:t>ed</w:t>
      </w:r>
      <w:r w:rsidR="0071436D" w:rsidRPr="006350BE">
        <w:t xml:space="preserve"> </w:t>
      </w:r>
      <w:r w:rsidR="00755E08" w:rsidRPr="006350BE">
        <w:rPr>
          <w:lang w:val="en-US"/>
        </w:rPr>
        <w:t>to</w:t>
      </w:r>
      <w:r w:rsidR="0071436D" w:rsidRPr="006350BE">
        <w:t xml:space="preserve"> censorship and that </w:t>
      </w:r>
      <w:r w:rsidR="00B074AD" w:rsidRPr="006350BE">
        <w:t xml:space="preserve">by </w:t>
      </w:r>
      <w:r w:rsidR="006E110C" w:rsidRPr="006350BE">
        <w:t>opening his parcel on 14 August 2010</w:t>
      </w:r>
      <w:r w:rsidR="00B074AD" w:rsidRPr="006350BE">
        <w:t>,</w:t>
      </w:r>
      <w:r w:rsidR="006E110C" w:rsidRPr="006350BE">
        <w:t xml:space="preserve"> </w:t>
      </w:r>
      <w:r w:rsidR="0071436D" w:rsidRPr="006350BE">
        <w:t xml:space="preserve">the </w:t>
      </w:r>
      <w:r w:rsidR="00B074AD" w:rsidRPr="006350BE">
        <w:t xml:space="preserve">correctional colony </w:t>
      </w:r>
      <w:r w:rsidR="0071436D" w:rsidRPr="006350BE">
        <w:t xml:space="preserve">administration </w:t>
      </w:r>
      <w:r w:rsidR="00B074AD" w:rsidRPr="006350BE">
        <w:t xml:space="preserve">had </w:t>
      </w:r>
      <w:r w:rsidR="006E110C" w:rsidRPr="006350BE">
        <w:t>infringed his right</w:t>
      </w:r>
      <w:r w:rsidR="0071436D" w:rsidRPr="006350BE">
        <w:t xml:space="preserve"> under Article 8</w:t>
      </w:r>
      <w:r w:rsidR="006E110C" w:rsidRPr="006350BE">
        <w:t xml:space="preserve"> of the Convention</w:t>
      </w:r>
      <w:r w:rsidR="0071436D" w:rsidRPr="006350BE">
        <w:t>.</w:t>
      </w:r>
    </w:p>
    <w:p w:rsidR="00EA08D5" w:rsidRPr="006350BE" w:rsidRDefault="00991F4A" w:rsidP="006350BE">
      <w:pPr>
        <w:pStyle w:val="ECHRPara"/>
      </w:pPr>
      <w:r w:rsidRPr="006350BE">
        <w:fldChar w:fldCharType="begin"/>
      </w:r>
      <w:r w:rsidRPr="006350BE">
        <w:rPr>
          <w:lang w:val="en-US"/>
        </w:rPr>
        <w:instrText xml:space="preserve"> </w:instrText>
      </w:r>
      <w:r w:rsidRPr="006350BE">
        <w:instrText>SEQ</w:instrText>
      </w:r>
      <w:r w:rsidRPr="006350BE">
        <w:rPr>
          <w:lang w:val="en-US"/>
        </w:rPr>
        <w:instrText xml:space="preserve"> </w:instrText>
      </w:r>
      <w:r w:rsidRPr="006350BE">
        <w:instrText>level</w:instrText>
      </w:r>
      <w:r w:rsidRPr="006350BE">
        <w:rPr>
          <w:lang w:val="en-US"/>
        </w:rPr>
        <w:instrText>0 \*</w:instrText>
      </w:r>
      <w:r w:rsidRPr="006350BE">
        <w:instrText>arabic</w:instrText>
      </w:r>
      <w:r w:rsidRPr="006350BE">
        <w:rPr>
          <w:lang w:val="en-US"/>
        </w:rPr>
        <w:instrText xml:space="preserve"> </w:instrText>
      </w:r>
      <w:r w:rsidRPr="006350BE">
        <w:fldChar w:fldCharType="separate"/>
      </w:r>
      <w:r w:rsidR="006350BE" w:rsidRPr="006350BE">
        <w:rPr>
          <w:noProof/>
        </w:rPr>
        <w:t>93</w:t>
      </w:r>
      <w:r w:rsidRPr="006350BE">
        <w:rPr>
          <w:noProof/>
        </w:rPr>
        <w:fldChar w:fldCharType="end"/>
      </w:r>
      <w:r w:rsidR="001365AF" w:rsidRPr="006350BE">
        <w:rPr>
          <w:lang w:val="en-US"/>
        </w:rPr>
        <w:t>.</w:t>
      </w:r>
      <w:r w:rsidR="001365AF" w:rsidRPr="006350BE">
        <w:t>  </w:t>
      </w:r>
      <w:r w:rsidR="00757BC9" w:rsidRPr="006350BE">
        <w:t>The Court</w:t>
      </w:r>
      <w:r w:rsidR="00EA08D5" w:rsidRPr="006350BE">
        <w:t xml:space="preserve"> first</w:t>
      </w:r>
      <w:r w:rsidR="00956F09" w:rsidRPr="006350BE">
        <w:t xml:space="preserve"> notes that the censorship</w:t>
      </w:r>
      <w:r w:rsidR="00B074AD" w:rsidRPr="006350BE">
        <w:t xml:space="preserve"> of </w:t>
      </w:r>
      <w:r w:rsidR="000306A8" w:rsidRPr="006350BE">
        <w:t xml:space="preserve">his </w:t>
      </w:r>
      <w:r w:rsidR="00B074AD" w:rsidRPr="006350BE">
        <w:t>correspondence</w:t>
      </w:r>
      <w:r w:rsidR="000306A8" w:rsidRPr="006350BE">
        <w:t>,</w:t>
      </w:r>
      <w:r w:rsidR="00B074AD" w:rsidRPr="006350BE">
        <w:t xml:space="preserve"> of which</w:t>
      </w:r>
      <w:r w:rsidR="00956F09" w:rsidRPr="006350BE">
        <w:t xml:space="preserve"> the </w:t>
      </w:r>
      <w:r w:rsidR="00D638FA" w:rsidRPr="006350BE">
        <w:t xml:space="preserve">second </w:t>
      </w:r>
      <w:r w:rsidR="00956F09" w:rsidRPr="006350BE">
        <w:t>applicant complains</w:t>
      </w:r>
      <w:r w:rsidR="000306A8" w:rsidRPr="006350BE">
        <w:t>,</w:t>
      </w:r>
      <w:r w:rsidR="00956F09" w:rsidRPr="006350BE">
        <w:t xml:space="preserve"> </w:t>
      </w:r>
      <w:r w:rsidR="00B074AD" w:rsidRPr="006350BE">
        <w:t xml:space="preserve">concerns </w:t>
      </w:r>
      <w:r w:rsidR="00956F09" w:rsidRPr="006350BE">
        <w:t xml:space="preserve">the </w:t>
      </w:r>
      <w:r w:rsidR="00E67562" w:rsidRPr="006350BE">
        <w:t xml:space="preserve">parcel received </w:t>
      </w:r>
      <w:r w:rsidR="00EA08D5" w:rsidRPr="006350BE">
        <w:t>from his representative</w:t>
      </w:r>
      <w:r w:rsidR="00B074AD" w:rsidRPr="006350BE">
        <w:t>.</w:t>
      </w:r>
      <w:r w:rsidR="004C2C7F" w:rsidRPr="006350BE">
        <w:t xml:space="preserve"> </w:t>
      </w:r>
      <w:r w:rsidR="00B074AD" w:rsidRPr="006350BE">
        <w:t>T</w:t>
      </w:r>
      <w:r w:rsidR="004C2C7F" w:rsidRPr="006350BE">
        <w:t xml:space="preserve">here is no dispute between </w:t>
      </w:r>
      <w:r w:rsidR="000306A8" w:rsidRPr="006350BE">
        <w:t xml:space="preserve">the </w:t>
      </w:r>
      <w:r w:rsidR="004C2C7F" w:rsidRPr="006350BE">
        <w:t>parties</w:t>
      </w:r>
      <w:r w:rsidR="00D638FA" w:rsidRPr="006350BE">
        <w:t xml:space="preserve"> that on 14 August 2010 </w:t>
      </w:r>
      <w:r w:rsidR="00493000" w:rsidRPr="006350BE">
        <w:t>the</w:t>
      </w:r>
      <w:r w:rsidR="00D638FA" w:rsidRPr="006350BE">
        <w:t xml:space="preserve"> correspondence was opened and censored.</w:t>
      </w:r>
    </w:p>
    <w:p w:rsidR="00D109CA" w:rsidRPr="006350BE" w:rsidRDefault="004E7EBF" w:rsidP="006350BE">
      <w:pPr>
        <w:pStyle w:val="ECHRPara"/>
        <w:rPr>
          <w:lang w:val="it-IT"/>
        </w:rPr>
      </w:pPr>
      <w:r w:rsidRPr="006350BE">
        <w:rPr>
          <w:lang w:val="en-US"/>
        </w:rPr>
        <w:fldChar w:fldCharType="begin"/>
      </w:r>
      <w:r w:rsidRPr="006350BE">
        <w:rPr>
          <w:lang w:val="en-US"/>
        </w:rPr>
        <w:instrText xml:space="preserve"> SEQ level0 \*arabic </w:instrText>
      </w:r>
      <w:r w:rsidRPr="006350BE">
        <w:rPr>
          <w:lang w:val="en-US"/>
        </w:rPr>
        <w:fldChar w:fldCharType="separate"/>
      </w:r>
      <w:r w:rsidR="006350BE" w:rsidRPr="006350BE">
        <w:rPr>
          <w:noProof/>
          <w:lang w:val="en-US"/>
        </w:rPr>
        <w:t>94</w:t>
      </w:r>
      <w:r w:rsidRPr="006350BE">
        <w:rPr>
          <w:lang w:val="en-US"/>
        </w:rPr>
        <w:fldChar w:fldCharType="end"/>
      </w:r>
      <w:r w:rsidRPr="006350BE">
        <w:rPr>
          <w:lang w:val="en-US"/>
        </w:rPr>
        <w:t>.  </w:t>
      </w:r>
      <w:r w:rsidR="00D109CA" w:rsidRPr="006350BE">
        <w:rPr>
          <w:lang w:val="en-US"/>
        </w:rPr>
        <w:t>The Court reiterates that an interference will contravene Article 8 unless it is “in accordance with the law”, pursues one or more of the legitimate aims referred to in the second paragraph of that provision and is “necessary in a democratic society” in order to achieve them (</w:t>
      </w:r>
      <w:r w:rsidR="00837338" w:rsidRPr="006350BE">
        <w:rPr>
          <w:lang w:val="en-US"/>
        </w:rPr>
        <w:t xml:space="preserve">see </w:t>
      </w:r>
      <w:r w:rsidR="002F0F73" w:rsidRPr="006350BE">
        <w:rPr>
          <w:i/>
          <w:lang w:val="it-IT"/>
        </w:rPr>
        <w:t>Puzinas v. </w:t>
      </w:r>
      <w:r w:rsidR="00837338" w:rsidRPr="006350BE">
        <w:rPr>
          <w:i/>
          <w:lang w:val="it-IT"/>
        </w:rPr>
        <w:t>Lithuania (no. 2)</w:t>
      </w:r>
      <w:r w:rsidR="00837338" w:rsidRPr="006350BE">
        <w:rPr>
          <w:lang w:val="it-IT"/>
        </w:rPr>
        <w:t xml:space="preserve">, no. 63767/00, § </w:t>
      </w:r>
      <w:r w:rsidR="00837338" w:rsidRPr="006350BE">
        <w:rPr>
          <w:lang w:val="en-US"/>
        </w:rPr>
        <w:t>31</w:t>
      </w:r>
      <w:r w:rsidR="00837338" w:rsidRPr="006350BE">
        <w:rPr>
          <w:lang w:val="it-IT"/>
        </w:rPr>
        <w:t>, 9 January 2007</w:t>
      </w:r>
      <w:r w:rsidR="00D109CA" w:rsidRPr="006350BE">
        <w:rPr>
          <w:lang w:val="en-US"/>
        </w:rPr>
        <w:t>).</w:t>
      </w:r>
    </w:p>
    <w:p w:rsidR="000C6580" w:rsidRPr="006350BE" w:rsidRDefault="00D638FA" w:rsidP="006350BE">
      <w:pPr>
        <w:pStyle w:val="ECHRPara"/>
        <w:rPr>
          <w:lang w:val="en-US"/>
        </w:rPr>
      </w:pPr>
      <w:r w:rsidRPr="006350BE">
        <w:rPr>
          <w:lang w:val="en-US"/>
        </w:rPr>
        <w:lastRenderedPageBreak/>
        <w:fldChar w:fldCharType="begin"/>
      </w:r>
      <w:r w:rsidRPr="006350BE">
        <w:rPr>
          <w:lang w:val="en-US"/>
        </w:rPr>
        <w:instrText xml:space="preserve"> SEQ level0 \*arabic </w:instrText>
      </w:r>
      <w:r w:rsidRPr="006350BE">
        <w:rPr>
          <w:lang w:val="en-US"/>
        </w:rPr>
        <w:fldChar w:fldCharType="separate"/>
      </w:r>
      <w:r w:rsidR="006350BE" w:rsidRPr="006350BE">
        <w:rPr>
          <w:noProof/>
          <w:lang w:val="en-US"/>
        </w:rPr>
        <w:t>95</w:t>
      </w:r>
      <w:r w:rsidRPr="006350BE">
        <w:rPr>
          <w:lang w:val="en-US"/>
        </w:rPr>
        <w:fldChar w:fldCharType="end"/>
      </w:r>
      <w:r w:rsidRPr="006350BE">
        <w:rPr>
          <w:lang w:val="en-US"/>
        </w:rPr>
        <w:t>.  </w:t>
      </w:r>
      <w:r w:rsidR="00EA08D5" w:rsidRPr="006350BE">
        <w:rPr>
          <w:lang w:val="en-US"/>
        </w:rPr>
        <w:t xml:space="preserve">The </w:t>
      </w:r>
      <w:r w:rsidR="00283B49" w:rsidRPr="006350BE">
        <w:rPr>
          <w:lang w:val="en-US"/>
        </w:rPr>
        <w:t xml:space="preserve">Court </w:t>
      </w:r>
      <w:r w:rsidR="00D109CA" w:rsidRPr="006350BE">
        <w:rPr>
          <w:lang w:val="en-US"/>
        </w:rPr>
        <w:t>is satisfied that the domestic law at issue</w:t>
      </w:r>
      <w:r w:rsidR="000C6580" w:rsidRPr="006350BE">
        <w:rPr>
          <w:lang w:val="en-US"/>
        </w:rPr>
        <w:t xml:space="preserve"> </w:t>
      </w:r>
      <w:r w:rsidR="00D109CA" w:rsidRPr="006350BE">
        <w:rPr>
          <w:lang w:val="en-US"/>
        </w:rPr>
        <w:t>(</w:t>
      </w:r>
      <w:r w:rsidR="00D109CA" w:rsidRPr="006350BE">
        <w:t>Article 91</w:t>
      </w:r>
      <w:r w:rsidR="00D109CA" w:rsidRPr="006350BE">
        <w:rPr>
          <w:rFonts w:ascii="Sylfaen" w:hAnsi="Sylfaen"/>
        </w:rPr>
        <w:t xml:space="preserve"> </w:t>
      </w:r>
      <w:r w:rsidR="000306A8" w:rsidRPr="006350BE">
        <w:rPr>
          <w:rFonts w:cstheme="minorHAnsi"/>
        </w:rPr>
        <w:t>§</w:t>
      </w:r>
      <w:r w:rsidR="000306A8" w:rsidRPr="006350BE">
        <w:t xml:space="preserve"> </w:t>
      </w:r>
      <w:r w:rsidR="00D109CA" w:rsidRPr="006350BE">
        <w:t xml:space="preserve">3 of the Code </w:t>
      </w:r>
      <w:r w:rsidR="00B074AD" w:rsidRPr="006350BE">
        <w:t xml:space="preserve">on the </w:t>
      </w:r>
      <w:r w:rsidR="00D109CA" w:rsidRPr="006350BE">
        <w:t>Execution of Sentences</w:t>
      </w:r>
      <w:r w:rsidR="00D109CA" w:rsidRPr="006350BE">
        <w:rPr>
          <w:lang w:val="en-US"/>
        </w:rPr>
        <w:t>) in the present case was drafted with sufficient clarity and precision, and was furthermore accessible and</w:t>
      </w:r>
      <w:r w:rsidR="00B074AD" w:rsidRPr="006350BE">
        <w:rPr>
          <w:lang w:val="en-US"/>
        </w:rPr>
        <w:t xml:space="preserve"> amenable to appeal</w:t>
      </w:r>
      <w:r w:rsidR="00D109CA" w:rsidRPr="006350BE">
        <w:rPr>
          <w:lang w:val="en-US"/>
        </w:rPr>
        <w:t xml:space="preserve">. The interference was thus compatible with the “lawfulness” requirement in the second paragraph of Article 8. It is further observed that the interference pursued the legitimate aim of </w:t>
      </w:r>
      <w:r w:rsidR="00312839" w:rsidRPr="006350BE">
        <w:rPr>
          <w:lang w:val="en-US"/>
        </w:rPr>
        <w:t xml:space="preserve">preventing </w:t>
      </w:r>
      <w:r w:rsidR="00D109CA" w:rsidRPr="006350BE">
        <w:rPr>
          <w:lang w:val="en-US"/>
        </w:rPr>
        <w:t>disorder and crime.</w:t>
      </w:r>
    </w:p>
    <w:p w:rsidR="00AF4F46" w:rsidRPr="006350BE" w:rsidRDefault="004E7EBF" w:rsidP="006350BE">
      <w:pPr>
        <w:pStyle w:val="ECHRPara"/>
        <w:rPr>
          <w:i/>
          <w:lang w:val="fi-FI"/>
        </w:rPr>
      </w:pPr>
      <w:r w:rsidRPr="006350BE">
        <w:rPr>
          <w:lang w:val="en-US"/>
        </w:rPr>
        <w:fldChar w:fldCharType="begin"/>
      </w:r>
      <w:r w:rsidRPr="006350BE">
        <w:rPr>
          <w:lang w:val="en-US"/>
        </w:rPr>
        <w:instrText xml:space="preserve"> SEQ level0 \*arabic </w:instrText>
      </w:r>
      <w:r w:rsidRPr="006350BE">
        <w:rPr>
          <w:lang w:val="en-US"/>
        </w:rPr>
        <w:fldChar w:fldCharType="separate"/>
      </w:r>
      <w:r w:rsidR="006350BE" w:rsidRPr="006350BE">
        <w:rPr>
          <w:noProof/>
          <w:lang w:val="en-US"/>
        </w:rPr>
        <w:t>96</w:t>
      </w:r>
      <w:r w:rsidRPr="006350BE">
        <w:rPr>
          <w:lang w:val="en-US"/>
        </w:rPr>
        <w:fldChar w:fldCharType="end"/>
      </w:r>
      <w:r w:rsidRPr="006350BE">
        <w:rPr>
          <w:lang w:val="en-US"/>
        </w:rPr>
        <w:t>.  </w:t>
      </w:r>
      <w:r w:rsidR="00AF4F46" w:rsidRPr="006350BE">
        <w:rPr>
          <w:lang w:val="en-US"/>
        </w:rPr>
        <w:t>As to the necessity of the interference, the Court considers that the ordinary and reasonable requirements of imprisonment may justify a system of internal inquiry into prisoners</w:t>
      </w:r>
      <w:r w:rsidR="006350BE" w:rsidRPr="006350BE">
        <w:rPr>
          <w:lang w:val="en-US"/>
        </w:rPr>
        <w:t>’</w:t>
      </w:r>
      <w:r w:rsidR="00AF4F46" w:rsidRPr="006350BE">
        <w:rPr>
          <w:lang w:val="en-US"/>
        </w:rPr>
        <w:t xml:space="preserve"> complaints about their treatment and conditions of detention (</w:t>
      </w:r>
      <w:r w:rsidRPr="006350BE">
        <w:rPr>
          <w:lang w:val="en-US"/>
        </w:rPr>
        <w:t>see</w:t>
      </w:r>
      <w:r w:rsidR="002F0F73" w:rsidRPr="006350BE">
        <w:rPr>
          <w:lang w:val="en-US"/>
        </w:rPr>
        <w:t xml:space="preserve"> </w:t>
      </w:r>
      <w:r w:rsidR="00AF4F46" w:rsidRPr="006350BE">
        <w:rPr>
          <w:i/>
          <w:iCs/>
          <w:lang w:val="en-US"/>
        </w:rPr>
        <w:t>Silver and Others v. the United Kingdom</w:t>
      </w:r>
      <w:r w:rsidR="00AF4F46" w:rsidRPr="006350BE">
        <w:rPr>
          <w:lang w:val="en-US"/>
        </w:rPr>
        <w:t>, Commission Report of 1 October 1980, § 301). With that aim in mind, some measure of control over prisoners</w:t>
      </w:r>
      <w:r w:rsidR="006350BE" w:rsidRPr="006350BE">
        <w:rPr>
          <w:lang w:val="en-US"/>
        </w:rPr>
        <w:t>’</w:t>
      </w:r>
      <w:r w:rsidR="00AF4F46" w:rsidRPr="006350BE">
        <w:rPr>
          <w:lang w:val="en-US"/>
        </w:rPr>
        <w:t xml:space="preserve"> correspondence, such as sporadic screening (other than letters involving domestic or Convention judicial business), may be called for and may not of itself be incompatible with the Convention (</w:t>
      </w:r>
      <w:r w:rsidR="00312839" w:rsidRPr="006350BE">
        <w:rPr>
          <w:lang w:val="en-US"/>
        </w:rPr>
        <w:t xml:space="preserve">see </w:t>
      </w:r>
      <w:r w:rsidR="00AF4F46" w:rsidRPr="006350BE">
        <w:rPr>
          <w:i/>
          <w:iCs/>
          <w:lang w:val="en-US"/>
        </w:rPr>
        <w:t>Silver and Others v. the United Kingdom</w:t>
      </w:r>
      <w:r w:rsidR="00AF4F46" w:rsidRPr="006350BE">
        <w:rPr>
          <w:lang w:val="en-US"/>
        </w:rPr>
        <w:t xml:space="preserve">, </w:t>
      </w:r>
      <w:r w:rsidR="006A6A85" w:rsidRPr="006350BE">
        <w:t>25 March 1983, § </w:t>
      </w:r>
      <w:r w:rsidR="006A6A85" w:rsidRPr="006350BE">
        <w:rPr>
          <w:lang w:val="en-US"/>
        </w:rPr>
        <w:t>98</w:t>
      </w:r>
      <w:r w:rsidR="006A6A85" w:rsidRPr="006350BE">
        <w:t>, Series A no. 61</w:t>
      </w:r>
      <w:r w:rsidR="00312839" w:rsidRPr="006350BE">
        <w:rPr>
          <w:lang w:val="en-US"/>
        </w:rPr>
        <w:t>, and,</w:t>
      </w:r>
      <w:r w:rsidR="006A6A85" w:rsidRPr="006350BE">
        <w:rPr>
          <w:lang w:val="en-US"/>
        </w:rPr>
        <w:t xml:space="preserve"> </w:t>
      </w:r>
      <w:r w:rsidR="00312839" w:rsidRPr="006350BE">
        <w:rPr>
          <w:iCs/>
          <w:lang w:val="en-US"/>
        </w:rPr>
        <w:t>conversely</w:t>
      </w:r>
      <w:r w:rsidR="00AF4F46" w:rsidRPr="006350BE">
        <w:rPr>
          <w:i/>
          <w:iCs/>
          <w:lang w:val="en-US"/>
        </w:rPr>
        <w:t xml:space="preserve">, </w:t>
      </w:r>
      <w:proofErr w:type="spellStart"/>
      <w:r w:rsidR="00AF4F46" w:rsidRPr="006350BE">
        <w:rPr>
          <w:i/>
          <w:iCs/>
          <w:lang w:val="en-US"/>
        </w:rPr>
        <w:t>Ja</w:t>
      </w:r>
      <w:r w:rsidR="00C73852" w:rsidRPr="006350BE">
        <w:rPr>
          <w:i/>
          <w:iCs/>
          <w:lang w:val="en-US"/>
        </w:rPr>
        <w:t>nkauskas</w:t>
      </w:r>
      <w:proofErr w:type="spellEnd"/>
      <w:r w:rsidR="00C73852" w:rsidRPr="006350BE">
        <w:rPr>
          <w:i/>
          <w:iCs/>
          <w:lang w:val="en-US"/>
        </w:rPr>
        <w:t xml:space="preserve"> v. </w:t>
      </w:r>
      <w:r w:rsidR="00AF4F46" w:rsidRPr="006350BE">
        <w:rPr>
          <w:i/>
          <w:iCs/>
          <w:lang w:val="en-US"/>
        </w:rPr>
        <w:t>Lithuania</w:t>
      </w:r>
      <w:r w:rsidR="00AF4F46" w:rsidRPr="006350BE">
        <w:rPr>
          <w:lang w:val="en-US"/>
        </w:rPr>
        <w:t>, no. </w:t>
      </w:r>
      <w:r w:rsidR="002637C3" w:rsidRPr="006350BE">
        <w:rPr>
          <w:lang w:val="en-US"/>
        </w:rPr>
        <w:t>59304/00</w:t>
      </w:r>
      <w:r w:rsidR="00AF4F46" w:rsidRPr="006350BE">
        <w:rPr>
          <w:lang w:val="en-US"/>
        </w:rPr>
        <w:t>, §§ 21-22</w:t>
      </w:r>
      <w:r w:rsidR="001653EC" w:rsidRPr="006350BE">
        <w:rPr>
          <w:lang w:val="en-US"/>
        </w:rPr>
        <w:t>, 24 February 2005</w:t>
      </w:r>
      <w:r w:rsidR="00AF4F46" w:rsidRPr="006350BE">
        <w:rPr>
          <w:lang w:val="en-US"/>
        </w:rPr>
        <w:t xml:space="preserve">). Such considerations do not imply, however, that correspondence may be </w:t>
      </w:r>
      <w:r w:rsidR="00F00F2A" w:rsidRPr="006350BE">
        <w:rPr>
          <w:lang w:val="en-US"/>
        </w:rPr>
        <w:t xml:space="preserve">either blocked </w:t>
      </w:r>
      <w:r w:rsidR="00AF4F46" w:rsidRPr="006350BE">
        <w:rPr>
          <w:lang w:val="en-US"/>
        </w:rPr>
        <w:t>for raising complaints about prison matters or delayed until such complaints have first been examined by the prison administration.</w:t>
      </w:r>
    </w:p>
    <w:p w:rsidR="00AF4F46" w:rsidRPr="006350BE" w:rsidRDefault="004E7EBF" w:rsidP="006350BE">
      <w:pPr>
        <w:pStyle w:val="ECHRPara"/>
        <w:rPr>
          <w:lang w:val="en-US"/>
        </w:rPr>
      </w:pPr>
      <w:r w:rsidRPr="006350BE">
        <w:rPr>
          <w:lang w:val="en-US"/>
        </w:rPr>
        <w:fldChar w:fldCharType="begin"/>
      </w:r>
      <w:r w:rsidRPr="006350BE">
        <w:rPr>
          <w:lang w:val="en-US"/>
        </w:rPr>
        <w:instrText xml:space="preserve"> SEQ level0 \*arabic </w:instrText>
      </w:r>
      <w:r w:rsidRPr="006350BE">
        <w:rPr>
          <w:lang w:val="en-US"/>
        </w:rPr>
        <w:fldChar w:fldCharType="separate"/>
      </w:r>
      <w:r w:rsidR="006350BE" w:rsidRPr="006350BE">
        <w:rPr>
          <w:noProof/>
          <w:lang w:val="en-US"/>
        </w:rPr>
        <w:t>97</w:t>
      </w:r>
      <w:r w:rsidRPr="006350BE">
        <w:rPr>
          <w:lang w:val="en-US"/>
        </w:rPr>
        <w:fldChar w:fldCharType="end"/>
      </w:r>
      <w:r w:rsidRPr="006350BE">
        <w:rPr>
          <w:lang w:val="en-US"/>
        </w:rPr>
        <w:t>.  </w:t>
      </w:r>
      <w:r w:rsidR="00D109CA" w:rsidRPr="006350BE">
        <w:rPr>
          <w:lang w:val="en-US"/>
        </w:rPr>
        <w:t>Turning to the present case</w:t>
      </w:r>
      <w:r w:rsidR="00F00F2A" w:rsidRPr="006350BE">
        <w:rPr>
          <w:lang w:val="en-US"/>
        </w:rPr>
        <w:t>,</w:t>
      </w:r>
      <w:r w:rsidR="00D109CA" w:rsidRPr="006350BE">
        <w:rPr>
          <w:lang w:val="en-US"/>
        </w:rPr>
        <w:t xml:space="preserve"> t</w:t>
      </w:r>
      <w:r w:rsidR="00AF4F46" w:rsidRPr="006350BE">
        <w:rPr>
          <w:lang w:val="en-US"/>
        </w:rPr>
        <w:t xml:space="preserve">he Court notes, first, </w:t>
      </w:r>
      <w:r w:rsidR="00F00F2A" w:rsidRPr="006350BE">
        <w:rPr>
          <w:lang w:val="en-US"/>
        </w:rPr>
        <w:t xml:space="preserve">that </w:t>
      </w:r>
      <w:r w:rsidR="00AF4F46" w:rsidRPr="006350BE">
        <w:rPr>
          <w:lang w:val="en-US"/>
        </w:rPr>
        <w:t xml:space="preserve">the </w:t>
      </w:r>
      <w:r w:rsidR="00F00F2A" w:rsidRPr="006350BE">
        <w:rPr>
          <w:lang w:val="en-US"/>
        </w:rPr>
        <w:t xml:space="preserve">second </w:t>
      </w:r>
      <w:r w:rsidR="00AF4F46" w:rsidRPr="006350BE">
        <w:rPr>
          <w:lang w:val="en-US"/>
        </w:rPr>
        <w:t xml:space="preserve">applicant has failed to present any argument calling into question the proportionality of the measure imposed. </w:t>
      </w:r>
      <w:r w:rsidR="00D109CA" w:rsidRPr="006350BE">
        <w:rPr>
          <w:lang w:val="en-US"/>
        </w:rPr>
        <w:t>Secon</w:t>
      </w:r>
      <w:r w:rsidR="00AF4F46" w:rsidRPr="006350BE">
        <w:rPr>
          <w:lang w:val="en-US"/>
        </w:rPr>
        <w:t xml:space="preserve">dly, </w:t>
      </w:r>
      <w:r w:rsidR="00F00F2A" w:rsidRPr="006350BE">
        <w:rPr>
          <w:lang w:val="en-US"/>
        </w:rPr>
        <w:t xml:space="preserve">he </w:t>
      </w:r>
      <w:r w:rsidR="00AF4F46" w:rsidRPr="006350BE">
        <w:rPr>
          <w:lang w:val="en-US"/>
        </w:rPr>
        <w:t>has not shown that his possible fear of censorship was a valid excuse for circumventing an apparently legitimate prison rule regard</w:t>
      </w:r>
      <w:r w:rsidR="00837338" w:rsidRPr="006350BE">
        <w:rPr>
          <w:lang w:val="en-US"/>
        </w:rPr>
        <w:t>ing the channels of complaint. Thirdl</w:t>
      </w:r>
      <w:r w:rsidR="00AF4F46" w:rsidRPr="006350BE">
        <w:rPr>
          <w:lang w:val="en-US"/>
        </w:rPr>
        <w:t xml:space="preserve">y, the </w:t>
      </w:r>
      <w:r w:rsidR="00F00F2A" w:rsidRPr="006350BE">
        <w:rPr>
          <w:lang w:val="en-US"/>
        </w:rPr>
        <w:t xml:space="preserve">interference </w:t>
      </w:r>
      <w:r w:rsidR="00AF4F46" w:rsidRPr="006350BE">
        <w:rPr>
          <w:lang w:val="en-US"/>
        </w:rPr>
        <w:t>was of a minor nature. In the specific circumstances of the present case, the Court considers that the authorities did not overstep their margin of appreciation in the present case</w:t>
      </w:r>
      <w:r w:rsidR="00837338" w:rsidRPr="006350BE">
        <w:rPr>
          <w:lang w:val="en-US"/>
        </w:rPr>
        <w:t>.</w:t>
      </w:r>
    </w:p>
    <w:p w:rsidR="001C0FA7" w:rsidRPr="006350BE" w:rsidRDefault="00177F00" w:rsidP="006350BE">
      <w:pPr>
        <w:pStyle w:val="ECHRPara"/>
        <w:rPr>
          <w:i/>
          <w:lang w:val="en-US"/>
        </w:rPr>
      </w:pPr>
      <w:r w:rsidRPr="006350BE">
        <w:rPr>
          <w:lang w:val="en-US"/>
        </w:rPr>
        <w:fldChar w:fldCharType="begin"/>
      </w:r>
      <w:r w:rsidRPr="006350BE">
        <w:rPr>
          <w:lang w:val="en-US"/>
        </w:rPr>
        <w:instrText xml:space="preserve"> SEQ level0 \*arabic </w:instrText>
      </w:r>
      <w:r w:rsidRPr="006350BE">
        <w:rPr>
          <w:lang w:val="en-US"/>
        </w:rPr>
        <w:fldChar w:fldCharType="separate"/>
      </w:r>
      <w:r w:rsidR="006350BE" w:rsidRPr="006350BE">
        <w:rPr>
          <w:noProof/>
          <w:lang w:val="en-US"/>
        </w:rPr>
        <w:t>98</w:t>
      </w:r>
      <w:r w:rsidRPr="006350BE">
        <w:rPr>
          <w:lang w:val="en-US"/>
        </w:rPr>
        <w:fldChar w:fldCharType="end"/>
      </w:r>
      <w:r w:rsidRPr="006350BE">
        <w:rPr>
          <w:lang w:val="en-US"/>
        </w:rPr>
        <w:t>.  </w:t>
      </w:r>
      <w:r w:rsidR="00283B49" w:rsidRPr="006350BE">
        <w:rPr>
          <w:lang w:val="en-US"/>
        </w:rPr>
        <w:t xml:space="preserve">The Court therefore considers this part of the application manifestly ill-founded. It concludes that it must be rejected under Article 35 §§ 3 </w:t>
      </w:r>
      <w:r w:rsidR="00AE5A3F" w:rsidRPr="006350BE">
        <w:rPr>
          <w:lang w:val="en-US"/>
        </w:rPr>
        <w:t xml:space="preserve">(a) </w:t>
      </w:r>
      <w:r w:rsidR="00283B49" w:rsidRPr="006350BE">
        <w:rPr>
          <w:lang w:val="en-US"/>
        </w:rPr>
        <w:t>and 4 of the Convention.</w:t>
      </w:r>
    </w:p>
    <w:p w:rsidR="00F21ADB" w:rsidRPr="006350BE" w:rsidRDefault="00F21ADB" w:rsidP="006350BE">
      <w:pPr>
        <w:pStyle w:val="ECHRHeading3"/>
      </w:pPr>
      <w:r w:rsidRPr="006350BE">
        <w:t>2</w:t>
      </w:r>
      <w:r w:rsidR="000C6580" w:rsidRPr="006350BE">
        <w:t>.  </w:t>
      </w:r>
      <w:r w:rsidRPr="006350BE">
        <w:t>Article 34</w:t>
      </w:r>
    </w:p>
    <w:p w:rsidR="00776700" w:rsidRPr="006350BE" w:rsidRDefault="00991F4A" w:rsidP="006350BE">
      <w:pPr>
        <w:pStyle w:val="ECHRPara"/>
        <w:rPr>
          <w:lang w:val="en-US"/>
        </w:rPr>
      </w:pPr>
      <w:r w:rsidRPr="006350BE">
        <w:fldChar w:fldCharType="begin"/>
      </w:r>
      <w:r w:rsidRPr="006350BE">
        <w:instrText xml:space="preserve"> SEQ level0 \*arabic </w:instrText>
      </w:r>
      <w:r w:rsidRPr="006350BE">
        <w:fldChar w:fldCharType="separate"/>
      </w:r>
      <w:r w:rsidR="006350BE" w:rsidRPr="006350BE">
        <w:rPr>
          <w:noProof/>
        </w:rPr>
        <w:t>99</w:t>
      </w:r>
      <w:r w:rsidRPr="006350BE">
        <w:rPr>
          <w:noProof/>
        </w:rPr>
        <w:fldChar w:fldCharType="end"/>
      </w:r>
      <w:r w:rsidR="00391529" w:rsidRPr="006350BE">
        <w:t>.  </w:t>
      </w:r>
      <w:r w:rsidR="00166579" w:rsidRPr="006350BE">
        <w:t xml:space="preserve">The Government </w:t>
      </w:r>
      <w:r w:rsidR="00391529" w:rsidRPr="006350BE">
        <w:t>submitted</w:t>
      </w:r>
      <w:r w:rsidR="00166579" w:rsidRPr="006350BE">
        <w:t xml:space="preserve"> that the </w:t>
      </w:r>
      <w:r w:rsidR="00F00F2A" w:rsidRPr="006350BE">
        <w:t xml:space="preserve">second </w:t>
      </w:r>
      <w:r w:rsidR="00166579" w:rsidRPr="006350BE">
        <w:t xml:space="preserve">applicant had </w:t>
      </w:r>
      <w:r w:rsidR="00F00F2A" w:rsidRPr="006350BE">
        <w:t xml:space="preserve">at all times </w:t>
      </w:r>
      <w:r w:rsidR="00166579" w:rsidRPr="006350BE">
        <w:t>been able freely to exercise his right of individual p</w:t>
      </w:r>
      <w:r w:rsidR="00937FDA" w:rsidRPr="006350BE">
        <w:t>etition</w:t>
      </w:r>
      <w:r w:rsidR="00F00F2A" w:rsidRPr="006350BE">
        <w:t>,</w:t>
      </w:r>
      <w:r w:rsidR="00937FDA" w:rsidRPr="006350BE">
        <w:t xml:space="preserve"> </w:t>
      </w:r>
      <w:r w:rsidR="00F00F2A" w:rsidRPr="006350BE">
        <w:t xml:space="preserve">as </w:t>
      </w:r>
      <w:r w:rsidR="00937FDA" w:rsidRPr="006350BE">
        <w:t>provided for in Article</w:t>
      </w:r>
      <w:r w:rsidR="00937FDA" w:rsidRPr="006350BE">
        <w:rPr>
          <w:lang w:val="en-US"/>
        </w:rPr>
        <w:t> </w:t>
      </w:r>
      <w:r w:rsidR="00166579" w:rsidRPr="006350BE">
        <w:t>34 of the Convention. All of his letters had been dispatched to the Court.</w:t>
      </w:r>
    </w:p>
    <w:p w:rsidR="005D1137" w:rsidRPr="006350BE" w:rsidRDefault="0095014E"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100</w:t>
      </w:r>
      <w:r w:rsidRPr="006350BE">
        <w:fldChar w:fldCharType="end"/>
      </w:r>
      <w:r w:rsidRPr="006350BE">
        <w:t>.  </w:t>
      </w:r>
      <w:r w:rsidR="009C26B8" w:rsidRPr="006350BE">
        <w:t xml:space="preserve">The </w:t>
      </w:r>
      <w:r w:rsidR="00F00F2A" w:rsidRPr="006350BE">
        <w:t xml:space="preserve">second </w:t>
      </w:r>
      <w:r w:rsidR="009C26B8" w:rsidRPr="006350BE">
        <w:t>applicant contested the Government</w:t>
      </w:r>
      <w:r w:rsidR="006350BE" w:rsidRPr="006350BE">
        <w:t>’</w:t>
      </w:r>
      <w:r w:rsidR="009C26B8" w:rsidRPr="006350BE">
        <w:t xml:space="preserve">s argument </w:t>
      </w:r>
      <w:r w:rsidR="00FC117E" w:rsidRPr="006350BE">
        <w:t xml:space="preserve">and submitted that </w:t>
      </w:r>
      <w:r w:rsidR="00F51D44" w:rsidRPr="006350BE">
        <w:t xml:space="preserve">the </w:t>
      </w:r>
      <w:r w:rsidR="00F00F2A" w:rsidRPr="006350BE">
        <w:t xml:space="preserve">checking </w:t>
      </w:r>
      <w:r w:rsidR="00FC117E" w:rsidRPr="006350BE">
        <w:t xml:space="preserve">of his correspondence by the administration of the correctional colony </w:t>
      </w:r>
      <w:r w:rsidR="00F00F2A" w:rsidRPr="006350BE">
        <w:t xml:space="preserve">had </w:t>
      </w:r>
      <w:r w:rsidR="00FC117E" w:rsidRPr="006350BE">
        <w:t>not allow</w:t>
      </w:r>
      <w:r w:rsidR="00F00F2A" w:rsidRPr="006350BE">
        <w:t>ed</w:t>
      </w:r>
      <w:r w:rsidR="00FC117E" w:rsidRPr="006350BE">
        <w:t xml:space="preserve"> him to present his case before the Court.</w:t>
      </w:r>
    </w:p>
    <w:p w:rsidR="00776700" w:rsidRPr="006350BE" w:rsidRDefault="00DA2403"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101</w:t>
      </w:r>
      <w:r w:rsidRPr="006350BE">
        <w:fldChar w:fldCharType="end"/>
      </w:r>
      <w:r w:rsidR="00014566" w:rsidRPr="006350BE">
        <w:t xml:space="preserve">.  The Court </w:t>
      </w:r>
      <w:proofErr w:type="spellStart"/>
      <w:r w:rsidR="00937FDA" w:rsidRPr="006350BE">
        <w:rPr>
          <w:lang w:val="en-US"/>
        </w:rPr>
        <w:t>obs</w:t>
      </w:r>
      <w:r w:rsidR="00014566" w:rsidRPr="006350BE">
        <w:t>er</w:t>
      </w:r>
      <w:proofErr w:type="spellEnd"/>
      <w:r w:rsidR="00937FDA" w:rsidRPr="006350BE">
        <w:rPr>
          <w:lang w:val="en-US"/>
        </w:rPr>
        <w:t>v</w:t>
      </w:r>
      <w:proofErr w:type="spellStart"/>
      <w:r w:rsidR="005B6CF5" w:rsidRPr="006350BE">
        <w:t>e</w:t>
      </w:r>
      <w:r w:rsidR="00014566" w:rsidRPr="006350BE">
        <w:t>s</w:t>
      </w:r>
      <w:proofErr w:type="spellEnd"/>
      <w:r w:rsidR="00014566" w:rsidRPr="006350BE">
        <w:t xml:space="preserve"> that </w:t>
      </w:r>
      <w:r w:rsidR="00F00F2A" w:rsidRPr="006350BE">
        <w:t xml:space="preserve">between </w:t>
      </w:r>
      <w:r w:rsidR="008B3252" w:rsidRPr="006350BE">
        <w:t>31 July 2007</w:t>
      </w:r>
      <w:r w:rsidR="00804C53" w:rsidRPr="006350BE">
        <w:rPr>
          <w:lang w:val="en-US"/>
        </w:rPr>
        <w:t>,</w:t>
      </w:r>
      <w:r w:rsidR="008B3252" w:rsidRPr="006350BE">
        <w:t xml:space="preserve"> that is the </w:t>
      </w:r>
      <w:r w:rsidR="00F00F2A" w:rsidRPr="006350BE">
        <w:t xml:space="preserve">date on which </w:t>
      </w:r>
      <w:r w:rsidR="008B3252" w:rsidRPr="006350BE">
        <w:t xml:space="preserve">the application </w:t>
      </w:r>
      <w:r w:rsidR="00F00F2A" w:rsidRPr="006350BE">
        <w:t xml:space="preserve">was lodged </w:t>
      </w:r>
      <w:r w:rsidR="008B3252" w:rsidRPr="006350BE">
        <w:t>with the Court</w:t>
      </w:r>
      <w:r w:rsidR="00F00F2A" w:rsidRPr="006350BE">
        <w:t>,</w:t>
      </w:r>
      <w:r w:rsidR="008B3252" w:rsidRPr="006350BE">
        <w:t xml:space="preserve"> </w:t>
      </w:r>
      <w:r w:rsidR="00F00F2A" w:rsidRPr="006350BE">
        <w:t xml:space="preserve">and </w:t>
      </w:r>
      <w:r w:rsidR="008B3252" w:rsidRPr="006350BE">
        <w:t>8 December</w:t>
      </w:r>
      <w:r w:rsidR="002D0DE2" w:rsidRPr="006350BE">
        <w:t xml:space="preserve"> 2011, </w:t>
      </w:r>
      <w:r w:rsidR="002D0DE2" w:rsidRPr="006350BE">
        <w:lastRenderedPageBreak/>
        <w:t xml:space="preserve">when the </w:t>
      </w:r>
      <w:r w:rsidR="00F00F2A" w:rsidRPr="006350BE">
        <w:t xml:space="preserve">Government were given notice of the </w:t>
      </w:r>
      <w:r w:rsidR="002D0DE2" w:rsidRPr="006350BE">
        <w:t>complaint</w:t>
      </w:r>
      <w:r w:rsidR="008B3252" w:rsidRPr="006350BE">
        <w:t xml:space="preserve">, </w:t>
      </w:r>
      <w:r w:rsidR="002E39A2" w:rsidRPr="006350BE">
        <w:t xml:space="preserve">the Registry of the Court received sixteen letters from the </w:t>
      </w:r>
      <w:r w:rsidR="00F00F2A" w:rsidRPr="006350BE">
        <w:t xml:space="preserve">second </w:t>
      </w:r>
      <w:r w:rsidR="002E39A2" w:rsidRPr="006350BE">
        <w:t xml:space="preserve">applicant. </w:t>
      </w:r>
      <w:r w:rsidR="00F00F2A" w:rsidRPr="006350BE">
        <w:t xml:space="preserve">In </w:t>
      </w:r>
      <w:r w:rsidR="002E39A2" w:rsidRPr="006350BE">
        <w:t>the same period the Registry sent nineteen letters to</w:t>
      </w:r>
      <w:r w:rsidR="00F51D44" w:rsidRPr="006350BE">
        <w:t xml:space="preserve"> him</w:t>
      </w:r>
      <w:r w:rsidR="00F00F2A" w:rsidRPr="006350BE">
        <w:t>,</w:t>
      </w:r>
      <w:r w:rsidR="00A277C7" w:rsidRPr="006350BE">
        <w:t xml:space="preserve"> either acknowledging receipt of </w:t>
      </w:r>
      <w:r w:rsidR="00F00F2A" w:rsidRPr="006350BE">
        <w:t xml:space="preserve">his </w:t>
      </w:r>
      <w:r w:rsidR="00A277C7" w:rsidRPr="006350BE">
        <w:t>letters or requesting documents</w:t>
      </w:r>
      <w:r w:rsidR="002E39A2" w:rsidRPr="006350BE">
        <w:t>.</w:t>
      </w:r>
      <w:r w:rsidR="00CA70F1" w:rsidRPr="006350BE">
        <w:t xml:space="preserve"> </w:t>
      </w:r>
      <w:r w:rsidR="00221124" w:rsidRPr="006350BE">
        <w:t xml:space="preserve">During </w:t>
      </w:r>
      <w:r w:rsidR="00F00F2A" w:rsidRPr="006350BE">
        <w:t xml:space="preserve">that </w:t>
      </w:r>
      <w:r w:rsidR="00221124" w:rsidRPr="006350BE">
        <w:t>period the applicant changed his representative twice</w:t>
      </w:r>
      <w:r w:rsidR="00F00F2A" w:rsidRPr="006350BE">
        <w:t>,</w:t>
      </w:r>
      <w:r w:rsidR="00221124" w:rsidRPr="006350BE">
        <w:t xml:space="preserve"> </w:t>
      </w:r>
      <w:r w:rsidR="00F00F2A" w:rsidRPr="006350BE">
        <w:t xml:space="preserve">which is why </w:t>
      </w:r>
      <w:r w:rsidR="00221124" w:rsidRPr="006350BE">
        <w:t>he did not receive the Registry</w:t>
      </w:r>
      <w:r w:rsidR="006350BE" w:rsidRPr="006350BE">
        <w:t>’</w:t>
      </w:r>
      <w:r w:rsidR="00221124" w:rsidRPr="006350BE">
        <w:t>s letter of 21 July 2011</w:t>
      </w:r>
      <w:r w:rsidR="00F51D44" w:rsidRPr="006350BE">
        <w:t>, which had been</w:t>
      </w:r>
      <w:r w:rsidR="00221124" w:rsidRPr="006350BE">
        <w:t xml:space="preserve"> </w:t>
      </w:r>
      <w:r w:rsidR="00A277C7" w:rsidRPr="006350BE">
        <w:t>sent to his former representative</w:t>
      </w:r>
      <w:r w:rsidR="00F00F2A" w:rsidRPr="006350BE">
        <w:t>,</w:t>
      </w:r>
      <w:r w:rsidR="00A277C7" w:rsidRPr="006350BE">
        <w:t xml:space="preserve"> </w:t>
      </w:r>
      <w:r w:rsidR="00F00F2A" w:rsidRPr="006350BE">
        <w:t xml:space="preserve">asking him to submit </w:t>
      </w:r>
      <w:r w:rsidR="00221124" w:rsidRPr="006350BE">
        <w:t>observations.</w:t>
      </w:r>
      <w:r w:rsidR="00964B86" w:rsidRPr="006350BE">
        <w:t xml:space="preserve"> </w:t>
      </w:r>
      <w:r w:rsidR="004F42A8" w:rsidRPr="006350BE">
        <w:t xml:space="preserve">Having received </w:t>
      </w:r>
      <w:r w:rsidR="00F00F2A" w:rsidRPr="006350BE">
        <w:t xml:space="preserve">the </w:t>
      </w:r>
      <w:r w:rsidR="00964B86" w:rsidRPr="006350BE">
        <w:t>letters of 12 August a</w:t>
      </w:r>
      <w:r w:rsidR="0003553F" w:rsidRPr="006350BE">
        <w:t>nd 13 September 2011</w:t>
      </w:r>
      <w:r w:rsidR="004F42A8" w:rsidRPr="006350BE">
        <w:t xml:space="preserve"> from the applicant</w:t>
      </w:r>
      <w:r w:rsidR="006350BE" w:rsidRPr="006350BE">
        <w:t>’</w:t>
      </w:r>
      <w:r w:rsidR="004F42A8" w:rsidRPr="006350BE">
        <w:t>s new representative</w:t>
      </w:r>
      <w:r w:rsidR="0003553F" w:rsidRPr="006350BE">
        <w:t xml:space="preserve">, the Court </w:t>
      </w:r>
      <w:r w:rsidR="00964B86" w:rsidRPr="006350BE">
        <w:t xml:space="preserve">extended the time-limit for </w:t>
      </w:r>
      <w:r w:rsidR="00AB37BA" w:rsidRPr="006350BE">
        <w:t xml:space="preserve">the </w:t>
      </w:r>
      <w:r w:rsidR="00964B86" w:rsidRPr="006350BE">
        <w:t xml:space="preserve">submissions. </w:t>
      </w:r>
      <w:r w:rsidR="00123C04" w:rsidRPr="006350BE">
        <w:t>Throughout his correspondence with the Court</w:t>
      </w:r>
      <w:r w:rsidR="004F42A8" w:rsidRPr="006350BE">
        <w:t>,</w:t>
      </w:r>
      <w:r w:rsidR="00123C04" w:rsidRPr="006350BE">
        <w:t xml:space="preserve"> the applicant </w:t>
      </w:r>
      <w:r w:rsidR="00A123D9" w:rsidRPr="006350BE">
        <w:t xml:space="preserve">informed the Court </w:t>
      </w:r>
      <w:r w:rsidR="00123C04" w:rsidRPr="006350BE">
        <w:t>only once</w:t>
      </w:r>
      <w:r w:rsidR="00A123D9" w:rsidRPr="006350BE">
        <w:t xml:space="preserve"> –</w:t>
      </w:r>
      <w:r w:rsidR="00123C04" w:rsidRPr="006350BE">
        <w:t xml:space="preserve"> that is</w:t>
      </w:r>
      <w:r w:rsidR="00A123D9" w:rsidRPr="006350BE">
        <w:t>,</w:t>
      </w:r>
      <w:r w:rsidR="00123C04" w:rsidRPr="006350BE">
        <w:t xml:space="preserve"> on 19</w:t>
      </w:r>
      <w:r w:rsidR="001F5D8D" w:rsidRPr="006350BE">
        <w:t> </w:t>
      </w:r>
      <w:r w:rsidR="00123C04" w:rsidRPr="006350BE">
        <w:t>October 2009</w:t>
      </w:r>
      <w:r w:rsidR="00A123D9" w:rsidRPr="006350BE">
        <w:t xml:space="preserve"> –</w:t>
      </w:r>
      <w:r w:rsidR="00070EBB" w:rsidRPr="006350BE">
        <w:t xml:space="preserve"> </w:t>
      </w:r>
      <w:r w:rsidR="00123C04" w:rsidRPr="006350BE">
        <w:t xml:space="preserve">that he had sent </w:t>
      </w:r>
      <w:r w:rsidR="00A123D9" w:rsidRPr="006350BE">
        <w:t xml:space="preserve">a letter </w:t>
      </w:r>
      <w:r w:rsidR="00123C04" w:rsidRPr="006350BE">
        <w:t xml:space="preserve">via the administration of </w:t>
      </w:r>
      <w:r w:rsidR="004F42A8" w:rsidRPr="006350BE">
        <w:t xml:space="preserve">the </w:t>
      </w:r>
      <w:r w:rsidR="00123C04" w:rsidRPr="006350BE">
        <w:t xml:space="preserve">correctional </w:t>
      </w:r>
      <w:r w:rsidR="00E071DB" w:rsidRPr="006350BE">
        <w:rPr>
          <w:lang w:val="en-US"/>
        </w:rPr>
        <w:t>colony</w:t>
      </w:r>
      <w:r w:rsidR="00123C04" w:rsidRPr="006350BE">
        <w:t xml:space="preserve"> </w:t>
      </w:r>
      <w:r w:rsidR="004F42A8" w:rsidRPr="006350BE">
        <w:t xml:space="preserve">which had </w:t>
      </w:r>
      <w:r w:rsidR="00123C04" w:rsidRPr="006350BE">
        <w:t xml:space="preserve">not </w:t>
      </w:r>
      <w:r w:rsidR="004F42A8" w:rsidRPr="006350BE">
        <w:t xml:space="preserve">been </w:t>
      </w:r>
      <w:r w:rsidR="00123C04" w:rsidRPr="006350BE">
        <w:t xml:space="preserve">received by the Court. </w:t>
      </w:r>
      <w:r w:rsidR="007C2151" w:rsidRPr="006350BE">
        <w:t>Subsequently, o</w:t>
      </w:r>
      <w:r w:rsidR="00123C04" w:rsidRPr="006350BE">
        <w:t xml:space="preserve">n </w:t>
      </w:r>
      <w:r w:rsidR="007C2151" w:rsidRPr="006350BE">
        <w:t xml:space="preserve">11 December 2009 </w:t>
      </w:r>
      <w:r w:rsidR="00123C04" w:rsidRPr="006350BE">
        <w:t>the Registry of the Court</w:t>
      </w:r>
      <w:r w:rsidR="00EC0DDD" w:rsidRPr="006350BE">
        <w:t xml:space="preserve"> received the </w:t>
      </w:r>
      <w:r w:rsidR="00804CFC" w:rsidRPr="006350BE">
        <w:t xml:space="preserve">initial letter </w:t>
      </w:r>
      <w:r w:rsidR="00EC0DDD" w:rsidRPr="006350BE">
        <w:t xml:space="preserve">sent by the administration of </w:t>
      </w:r>
      <w:r w:rsidR="004F42A8" w:rsidRPr="006350BE">
        <w:t xml:space="preserve">the </w:t>
      </w:r>
      <w:r w:rsidR="00EC0DDD" w:rsidRPr="006350BE">
        <w:t xml:space="preserve">correctional </w:t>
      </w:r>
      <w:r w:rsidR="00E071DB" w:rsidRPr="006350BE">
        <w:rPr>
          <w:lang w:val="en-US"/>
        </w:rPr>
        <w:t>colony</w:t>
      </w:r>
      <w:r w:rsidR="007C2151" w:rsidRPr="006350BE">
        <w:t xml:space="preserve"> on 19</w:t>
      </w:r>
      <w:r w:rsidR="001F1339" w:rsidRPr="006350BE">
        <w:t> </w:t>
      </w:r>
      <w:r w:rsidR="007C2151" w:rsidRPr="006350BE">
        <w:t>November 2009</w:t>
      </w:r>
      <w:r w:rsidR="00EC0DDD" w:rsidRPr="006350BE">
        <w:t>.</w:t>
      </w:r>
    </w:p>
    <w:p w:rsidR="00776700" w:rsidRPr="006350BE" w:rsidRDefault="00991F4A"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102</w:t>
      </w:r>
      <w:r w:rsidRPr="006350BE">
        <w:rPr>
          <w:noProof/>
        </w:rPr>
        <w:fldChar w:fldCharType="end"/>
      </w:r>
      <w:r w:rsidR="007C2151" w:rsidRPr="006350BE">
        <w:t>.  Having regard to the above circumstances</w:t>
      </w:r>
      <w:r w:rsidR="00F51D44" w:rsidRPr="006350BE">
        <w:t>,</w:t>
      </w:r>
      <w:r w:rsidR="007C2151" w:rsidRPr="006350BE">
        <w:t xml:space="preserve"> t</w:t>
      </w:r>
      <w:r w:rsidR="00F748A2" w:rsidRPr="006350BE">
        <w:t>he Court notes that</w:t>
      </w:r>
      <w:r w:rsidR="00391529" w:rsidRPr="006350BE">
        <w:t xml:space="preserve"> </w:t>
      </w:r>
      <w:r w:rsidR="00C748F5" w:rsidRPr="006350BE">
        <w:t xml:space="preserve">the fact that </w:t>
      </w:r>
      <w:r w:rsidR="00A62C77" w:rsidRPr="006350BE">
        <w:t xml:space="preserve">the first letter sent by the </w:t>
      </w:r>
      <w:r w:rsidR="00AE2E37" w:rsidRPr="006350BE">
        <w:t xml:space="preserve">second </w:t>
      </w:r>
      <w:r w:rsidR="00A62C77" w:rsidRPr="006350BE">
        <w:t xml:space="preserve">applicant to the Court </w:t>
      </w:r>
      <w:r w:rsidR="00F51D44" w:rsidRPr="006350BE">
        <w:t xml:space="preserve">was </w:t>
      </w:r>
      <w:r w:rsidR="00A62C77" w:rsidRPr="006350BE">
        <w:t>not delivered</w:t>
      </w:r>
      <w:r w:rsidR="002D0DE2" w:rsidRPr="006350BE">
        <w:t xml:space="preserve"> </w:t>
      </w:r>
      <w:r w:rsidR="00317C74" w:rsidRPr="006350BE">
        <w:t xml:space="preserve">is insufficient </w:t>
      </w:r>
      <w:r w:rsidR="00A62C77" w:rsidRPr="006350BE">
        <w:t>for the Court to</w:t>
      </w:r>
      <w:r w:rsidR="00317C74" w:rsidRPr="006350BE">
        <w:t xml:space="preserve"> conclude that there has been any unjustified interference by the State authorities with the applicant</w:t>
      </w:r>
      <w:r w:rsidR="006350BE" w:rsidRPr="006350BE">
        <w:t>’</w:t>
      </w:r>
      <w:r w:rsidR="00317C74" w:rsidRPr="006350BE">
        <w:t>s exercise of the right of petition in the proceedings before the Court in relation to the present application</w:t>
      </w:r>
      <w:r w:rsidR="00004EA1" w:rsidRPr="006350BE">
        <w:t xml:space="preserve"> (see </w:t>
      </w:r>
      <w:proofErr w:type="spellStart"/>
      <w:r w:rsidR="00004EA1" w:rsidRPr="006350BE">
        <w:rPr>
          <w:i/>
        </w:rPr>
        <w:t>Fedotova</w:t>
      </w:r>
      <w:proofErr w:type="spellEnd"/>
      <w:r w:rsidR="00004EA1" w:rsidRPr="006350BE">
        <w:t xml:space="preserve">, </w:t>
      </w:r>
      <w:r w:rsidR="00BF77FF" w:rsidRPr="006350BE">
        <w:t>cited above</w:t>
      </w:r>
      <w:r w:rsidR="00004EA1" w:rsidRPr="006350BE">
        <w:t xml:space="preserve">, §§ 48-51, and </w:t>
      </w:r>
      <w:r w:rsidR="00004EA1" w:rsidRPr="006350BE">
        <w:rPr>
          <w:i/>
        </w:rPr>
        <w:t>McShane v.</w:t>
      </w:r>
      <w:r w:rsidR="00BF77FF" w:rsidRPr="006350BE">
        <w:rPr>
          <w:i/>
        </w:rPr>
        <w:t> </w:t>
      </w:r>
      <w:r w:rsidR="00004EA1" w:rsidRPr="006350BE">
        <w:rPr>
          <w:i/>
        </w:rPr>
        <w:t>the United Kingdom</w:t>
      </w:r>
      <w:r w:rsidR="00004EA1" w:rsidRPr="006350BE">
        <w:t>, no. 43290/98, § 151, 28 May 2002).</w:t>
      </w:r>
      <w:r w:rsidR="00A62C77" w:rsidRPr="006350BE">
        <w:t xml:space="preserve"> The applicant was able to send all documents and observations requested by the Registry of the Court.</w:t>
      </w:r>
    </w:p>
    <w:p w:rsidR="009B7B98" w:rsidRPr="006350BE" w:rsidRDefault="00DA2403"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103</w:t>
      </w:r>
      <w:r w:rsidRPr="006350BE">
        <w:fldChar w:fldCharType="end"/>
      </w:r>
      <w:r w:rsidR="00014566" w:rsidRPr="006350BE">
        <w:t>.  </w:t>
      </w:r>
      <w:r w:rsidR="00E068C3" w:rsidRPr="006350BE">
        <w:t>It follows that this complaint is manifestly ill-founded and must be rejected in accordance with Article 35 §§ 3 (a) and 4 of the Convention</w:t>
      </w:r>
      <w:r w:rsidR="00014566" w:rsidRPr="006350BE">
        <w:t>.</w:t>
      </w:r>
    </w:p>
    <w:p w:rsidR="009B7B98" w:rsidRPr="006350BE" w:rsidRDefault="009B7B98" w:rsidP="006350BE">
      <w:pPr>
        <w:pStyle w:val="ECHRHeading1"/>
      </w:pPr>
      <w:r w:rsidRPr="006350BE">
        <w:t>VII.</w:t>
      </w:r>
      <w:r w:rsidR="004877A3" w:rsidRPr="006350BE">
        <w:t>  </w:t>
      </w:r>
      <w:r w:rsidRPr="006350BE">
        <w:t>OTHER ALLEGED VIOLATIONS OF THE CONVENTION IN RESPECT OF BOTH APPLICANTS</w:t>
      </w:r>
    </w:p>
    <w:p w:rsidR="009B7B98" w:rsidRPr="006350BE" w:rsidRDefault="003C04E6" w:rsidP="006350BE">
      <w:pPr>
        <w:pStyle w:val="ECHRPara"/>
        <w:rPr>
          <w:lang w:val="en-US"/>
        </w:rPr>
      </w:pPr>
      <w:r w:rsidRPr="006350BE">
        <w:rPr>
          <w:lang w:val="en-US"/>
        </w:rPr>
        <w:fldChar w:fldCharType="begin"/>
      </w:r>
      <w:r w:rsidRPr="006350BE">
        <w:rPr>
          <w:lang w:val="en-US"/>
        </w:rPr>
        <w:instrText xml:space="preserve"> SEQ level0 \*arabic </w:instrText>
      </w:r>
      <w:r w:rsidRPr="006350BE">
        <w:rPr>
          <w:lang w:val="en-US"/>
        </w:rPr>
        <w:fldChar w:fldCharType="separate"/>
      </w:r>
      <w:r w:rsidR="006350BE" w:rsidRPr="006350BE">
        <w:rPr>
          <w:noProof/>
          <w:lang w:val="en-US"/>
        </w:rPr>
        <w:t>104</w:t>
      </w:r>
      <w:r w:rsidRPr="006350BE">
        <w:rPr>
          <w:lang w:val="en-US"/>
        </w:rPr>
        <w:fldChar w:fldCharType="end"/>
      </w:r>
      <w:r w:rsidRPr="006350BE">
        <w:rPr>
          <w:lang w:val="en-US"/>
        </w:rPr>
        <w:t>.  </w:t>
      </w:r>
      <w:r w:rsidR="009B7B98" w:rsidRPr="006350BE">
        <w:rPr>
          <w:lang w:val="en-US"/>
        </w:rPr>
        <w:t xml:space="preserve">Lastly, </w:t>
      </w:r>
      <w:r w:rsidR="00A62C77" w:rsidRPr="006350BE">
        <w:rPr>
          <w:lang w:val="en-US"/>
        </w:rPr>
        <w:t>the</w:t>
      </w:r>
      <w:r w:rsidR="009B7B98" w:rsidRPr="006350BE">
        <w:rPr>
          <w:lang w:val="en-US"/>
        </w:rPr>
        <w:t xml:space="preserve"> applicants complained</w:t>
      </w:r>
      <w:r w:rsidR="00F51D44" w:rsidRPr="006350BE">
        <w:rPr>
          <w:lang w:val="en-US"/>
        </w:rPr>
        <w:t>,</w:t>
      </w:r>
      <w:r w:rsidR="009B7B98" w:rsidRPr="006350BE">
        <w:rPr>
          <w:lang w:val="en-US"/>
        </w:rPr>
        <w:t xml:space="preserve"> under Articles 3 </w:t>
      </w:r>
      <w:r w:rsidR="0050692C" w:rsidRPr="006350BE">
        <w:rPr>
          <w:lang w:val="en-US"/>
        </w:rPr>
        <w:t xml:space="preserve">and 5 </w:t>
      </w:r>
      <w:r w:rsidR="009B7B98" w:rsidRPr="006350BE">
        <w:rPr>
          <w:lang w:val="en-US"/>
        </w:rPr>
        <w:t>of the Convention</w:t>
      </w:r>
      <w:r w:rsidR="00F51D44" w:rsidRPr="006350BE">
        <w:rPr>
          <w:lang w:val="en-US"/>
        </w:rPr>
        <w:t>,</w:t>
      </w:r>
      <w:r w:rsidR="009B7B98" w:rsidRPr="006350BE">
        <w:rPr>
          <w:lang w:val="en-US"/>
        </w:rPr>
        <w:t xml:space="preserve"> </w:t>
      </w:r>
      <w:r w:rsidR="00AE2E37" w:rsidRPr="006350BE">
        <w:rPr>
          <w:lang w:val="en-US"/>
        </w:rPr>
        <w:t xml:space="preserve">of poor </w:t>
      </w:r>
      <w:r w:rsidR="009B7B98" w:rsidRPr="006350BE">
        <w:rPr>
          <w:lang w:val="en-US"/>
        </w:rPr>
        <w:t>conditions of detention</w:t>
      </w:r>
      <w:r w:rsidR="0050692C" w:rsidRPr="006350BE">
        <w:rPr>
          <w:lang w:val="en-US"/>
        </w:rPr>
        <w:t xml:space="preserve"> and unlawful pre-trial detention between 1998 and 2003</w:t>
      </w:r>
      <w:r w:rsidR="009B7B98" w:rsidRPr="006350BE">
        <w:rPr>
          <w:lang w:val="en-US"/>
        </w:rPr>
        <w:t>.</w:t>
      </w:r>
    </w:p>
    <w:p w:rsidR="009B7B98" w:rsidRPr="006350BE" w:rsidRDefault="003C04E6" w:rsidP="006350BE">
      <w:pPr>
        <w:pStyle w:val="ECHRPara"/>
        <w:rPr>
          <w:lang w:val="en-US"/>
        </w:rPr>
      </w:pPr>
      <w:r w:rsidRPr="006350BE">
        <w:rPr>
          <w:lang w:val="en-US"/>
        </w:rPr>
        <w:fldChar w:fldCharType="begin"/>
      </w:r>
      <w:r w:rsidRPr="006350BE">
        <w:rPr>
          <w:lang w:val="en-US"/>
        </w:rPr>
        <w:instrText xml:space="preserve"> SEQ level0 \*arabic </w:instrText>
      </w:r>
      <w:r w:rsidRPr="006350BE">
        <w:rPr>
          <w:lang w:val="en-US"/>
        </w:rPr>
        <w:fldChar w:fldCharType="separate"/>
      </w:r>
      <w:r w:rsidR="006350BE" w:rsidRPr="006350BE">
        <w:rPr>
          <w:noProof/>
          <w:lang w:val="en-US"/>
        </w:rPr>
        <w:t>105</w:t>
      </w:r>
      <w:r w:rsidRPr="006350BE">
        <w:rPr>
          <w:lang w:val="en-US"/>
        </w:rPr>
        <w:fldChar w:fldCharType="end"/>
      </w:r>
      <w:r w:rsidRPr="006350BE">
        <w:rPr>
          <w:lang w:val="en-US"/>
        </w:rPr>
        <w:t>.  </w:t>
      </w:r>
      <w:r w:rsidR="009B7B98" w:rsidRPr="006350BE">
        <w:rPr>
          <w:lang w:val="en-US"/>
        </w:rPr>
        <w:t>In the light of all the material in its possession, and in so far as the matters complained of are within its competence, the Court finds that these complaints do not disclose any appearance of a violation of the rights and freedoms set out in the Convention or its Protocols. It follows that they are manifestly ill-founded and must be rejected in accordance with Article 35 §§ 3</w:t>
      </w:r>
      <w:r w:rsidR="00DE3955" w:rsidRPr="006350BE">
        <w:rPr>
          <w:lang w:val="en-US"/>
        </w:rPr>
        <w:t xml:space="preserve"> (a)</w:t>
      </w:r>
      <w:r w:rsidR="009B7B98" w:rsidRPr="006350BE">
        <w:rPr>
          <w:lang w:val="en-US"/>
        </w:rPr>
        <w:t xml:space="preserve"> and 4 of the Convention.</w:t>
      </w:r>
    </w:p>
    <w:p w:rsidR="00014566" w:rsidRPr="006350BE" w:rsidRDefault="00C24843" w:rsidP="006350BE">
      <w:pPr>
        <w:pStyle w:val="ECHRHeading1"/>
      </w:pPr>
      <w:r w:rsidRPr="006350BE">
        <w:rPr>
          <w:lang w:val="en-US"/>
        </w:rPr>
        <w:lastRenderedPageBreak/>
        <w:t>VIII</w:t>
      </w:r>
      <w:r w:rsidR="00014566" w:rsidRPr="006350BE">
        <w:t>.  APPLICATION OF ARTICLE 41 OF THE CONVENTION</w:t>
      </w:r>
    </w:p>
    <w:p w:rsidR="00014566" w:rsidRPr="006350BE" w:rsidRDefault="00DA2403" w:rsidP="006350BE">
      <w:pPr>
        <w:pStyle w:val="ECHRPara"/>
        <w:keepNext/>
        <w:keepLines/>
      </w:pPr>
      <w:r w:rsidRPr="006350BE">
        <w:fldChar w:fldCharType="begin"/>
      </w:r>
      <w:r w:rsidRPr="006350BE">
        <w:instrText xml:space="preserve"> SEQ level0 \*arabic </w:instrText>
      </w:r>
      <w:r w:rsidRPr="006350BE">
        <w:fldChar w:fldCharType="separate"/>
      </w:r>
      <w:r w:rsidR="006350BE" w:rsidRPr="006350BE">
        <w:rPr>
          <w:noProof/>
        </w:rPr>
        <w:t>106</w:t>
      </w:r>
      <w:r w:rsidRPr="006350BE">
        <w:fldChar w:fldCharType="end"/>
      </w:r>
      <w:r w:rsidR="00014566" w:rsidRPr="006350BE">
        <w:t>.  Article 41 of the Convention provides:</w:t>
      </w:r>
    </w:p>
    <w:p w:rsidR="00014566" w:rsidRPr="006350BE" w:rsidRDefault="00014566" w:rsidP="006350BE">
      <w:pPr>
        <w:pStyle w:val="ECHRParaQuote"/>
        <w:keepNext/>
        <w:keepLines/>
      </w:pPr>
      <w:r w:rsidRPr="006350BE">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014566" w:rsidRPr="001524AD" w:rsidRDefault="00014566" w:rsidP="001524AD">
      <w:pPr>
        <w:pStyle w:val="ECHRHeading2"/>
      </w:pPr>
      <w:r w:rsidRPr="001524AD">
        <w:t>A.  Damage</w:t>
      </w:r>
    </w:p>
    <w:p w:rsidR="00CF399F" w:rsidRPr="006350BE" w:rsidRDefault="00DA2403"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107</w:t>
      </w:r>
      <w:r w:rsidRPr="006350BE">
        <w:fldChar w:fldCharType="end"/>
      </w:r>
      <w:r w:rsidR="00014566" w:rsidRPr="006350BE">
        <w:t>.  </w:t>
      </w:r>
      <w:r w:rsidR="001F690A" w:rsidRPr="006350BE">
        <w:t>The applicants did not submit</w:t>
      </w:r>
      <w:r w:rsidR="00CF399F" w:rsidRPr="006350BE">
        <w:t xml:space="preserve"> </w:t>
      </w:r>
      <w:r w:rsidR="00AE2E37" w:rsidRPr="006350BE">
        <w:t xml:space="preserve">any </w:t>
      </w:r>
      <w:r w:rsidR="00CF399F" w:rsidRPr="006350BE">
        <w:t>claims in respect of pecuniary damage.</w:t>
      </w:r>
    </w:p>
    <w:p w:rsidR="00014566" w:rsidRPr="006350BE" w:rsidRDefault="00C57A1C"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108</w:t>
      </w:r>
      <w:r w:rsidRPr="006350BE">
        <w:fldChar w:fldCharType="end"/>
      </w:r>
      <w:r w:rsidRPr="006350BE">
        <w:t>.  </w:t>
      </w:r>
      <w:r w:rsidR="00014566" w:rsidRPr="006350BE">
        <w:t xml:space="preserve">The </w:t>
      </w:r>
      <w:r w:rsidR="00CF399F" w:rsidRPr="006350BE">
        <w:t xml:space="preserve">first applicant </w:t>
      </w:r>
      <w:r w:rsidR="00014566" w:rsidRPr="006350BE">
        <w:t xml:space="preserve">claimed </w:t>
      </w:r>
      <w:r w:rsidRPr="006350BE">
        <w:t>51,000</w:t>
      </w:r>
      <w:r w:rsidR="00014566" w:rsidRPr="006350BE">
        <w:t xml:space="preserve"> euros (EUR) </w:t>
      </w:r>
      <w:r w:rsidRPr="006350BE">
        <w:t xml:space="preserve">and the second applicant claimed EUR 90,000 </w:t>
      </w:r>
      <w:r w:rsidR="00014566" w:rsidRPr="006350BE">
        <w:t>in respect of non-pecuniary damage.</w:t>
      </w:r>
    </w:p>
    <w:p w:rsidR="00014566" w:rsidRPr="006350BE" w:rsidRDefault="00DA2403"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109</w:t>
      </w:r>
      <w:r w:rsidRPr="006350BE">
        <w:fldChar w:fldCharType="end"/>
      </w:r>
      <w:r w:rsidR="00014566" w:rsidRPr="006350BE">
        <w:t xml:space="preserve">.  The Government </w:t>
      </w:r>
      <w:r w:rsidR="00C57A1C" w:rsidRPr="006350BE">
        <w:t>considered the applicants</w:t>
      </w:r>
      <w:r w:rsidR="006350BE" w:rsidRPr="006350BE">
        <w:t>’</w:t>
      </w:r>
      <w:r w:rsidR="00C57A1C" w:rsidRPr="006350BE">
        <w:t xml:space="preserve"> claims to be excessive and unreasonable.</w:t>
      </w:r>
    </w:p>
    <w:p w:rsidR="00C86EC0" w:rsidRPr="006350BE" w:rsidRDefault="00DA2403"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110</w:t>
      </w:r>
      <w:r w:rsidRPr="006350BE">
        <w:fldChar w:fldCharType="end"/>
      </w:r>
      <w:r w:rsidR="00014566" w:rsidRPr="006350BE">
        <w:t xml:space="preserve">.  The </w:t>
      </w:r>
      <w:r w:rsidR="00C57A1C" w:rsidRPr="006350BE">
        <w:t>Court considers that the applicant</w:t>
      </w:r>
      <w:r w:rsidR="008B7A70" w:rsidRPr="006350BE">
        <w:t>s</w:t>
      </w:r>
      <w:r w:rsidR="00C57A1C" w:rsidRPr="006350BE">
        <w:t xml:space="preserve"> must have sustained </w:t>
      </w:r>
      <w:r w:rsidR="005D1137" w:rsidRPr="006350BE">
        <w:t>di</w:t>
      </w:r>
      <w:r w:rsidR="00C57A1C" w:rsidRPr="006350BE">
        <w:t xml:space="preserve">stress and frustration as a result of the violations found. Making an assessment on an equitable basis, the Court awards </w:t>
      </w:r>
      <w:r w:rsidR="00750750" w:rsidRPr="006350BE">
        <w:t>EUR</w:t>
      </w:r>
      <w:r w:rsidR="000D4186" w:rsidRPr="006350BE">
        <w:t> </w:t>
      </w:r>
      <w:r w:rsidR="00917B76" w:rsidRPr="006350BE">
        <w:t>9,800</w:t>
      </w:r>
      <w:r w:rsidR="009D23FD" w:rsidRPr="006350BE">
        <w:t xml:space="preserve"> </w:t>
      </w:r>
      <w:r w:rsidR="008A6FA6" w:rsidRPr="006350BE">
        <w:t xml:space="preserve">to </w:t>
      </w:r>
      <w:r w:rsidR="00F51D44" w:rsidRPr="006350BE">
        <w:t xml:space="preserve">each </w:t>
      </w:r>
      <w:r w:rsidR="008A6FA6" w:rsidRPr="006350BE">
        <w:t xml:space="preserve">applicant </w:t>
      </w:r>
      <w:r w:rsidR="00C57A1C" w:rsidRPr="006350BE">
        <w:t>in respect of non-pecuniary damage, plus any tax that may be chargeable.</w:t>
      </w:r>
    </w:p>
    <w:p w:rsidR="00014566" w:rsidRPr="001524AD" w:rsidRDefault="00014566" w:rsidP="001524AD">
      <w:pPr>
        <w:pStyle w:val="ECHRHeading2"/>
      </w:pPr>
      <w:r w:rsidRPr="001524AD">
        <w:t>B.  Costs and expenses</w:t>
      </w:r>
    </w:p>
    <w:p w:rsidR="00014566" w:rsidRPr="006350BE" w:rsidRDefault="00DA2403"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111</w:t>
      </w:r>
      <w:r w:rsidRPr="006350BE">
        <w:fldChar w:fldCharType="end"/>
      </w:r>
      <w:r w:rsidR="00014566" w:rsidRPr="006350BE">
        <w:t xml:space="preserve">.  The </w:t>
      </w:r>
      <w:r w:rsidR="00E35366" w:rsidRPr="006350BE">
        <w:t xml:space="preserve">first </w:t>
      </w:r>
      <w:r w:rsidR="00F002E9" w:rsidRPr="006350BE">
        <w:t xml:space="preserve">and second </w:t>
      </w:r>
      <w:r w:rsidR="00E35366" w:rsidRPr="006350BE">
        <w:t>applicant</w:t>
      </w:r>
      <w:r w:rsidR="00F002E9" w:rsidRPr="006350BE">
        <w:t>s</w:t>
      </w:r>
      <w:r w:rsidR="00662827" w:rsidRPr="006350BE">
        <w:t xml:space="preserve"> </w:t>
      </w:r>
      <w:r w:rsidR="00014566" w:rsidRPr="006350BE">
        <w:t xml:space="preserve">claimed </w:t>
      </w:r>
      <w:r w:rsidR="006F5C74" w:rsidRPr="006350BE">
        <w:t xml:space="preserve">EUR 2,450 </w:t>
      </w:r>
      <w:r w:rsidR="00104362" w:rsidRPr="006350BE">
        <w:t xml:space="preserve">and </w:t>
      </w:r>
      <w:r w:rsidR="006F5C74" w:rsidRPr="006350BE">
        <w:t>EUR</w:t>
      </w:r>
      <w:r w:rsidR="00724B5C" w:rsidRPr="006350BE">
        <w:t> </w:t>
      </w:r>
      <w:r w:rsidR="006F5C74" w:rsidRPr="006350BE">
        <w:t xml:space="preserve">4,950 </w:t>
      </w:r>
      <w:r w:rsidR="00F002E9" w:rsidRPr="006350BE">
        <w:t xml:space="preserve">respectively </w:t>
      </w:r>
      <w:r w:rsidR="00014566" w:rsidRPr="006350BE">
        <w:t>for the costs and expenses incurred before the Court.</w:t>
      </w:r>
    </w:p>
    <w:p w:rsidR="00014566" w:rsidRPr="006350BE" w:rsidRDefault="00DA2403"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112</w:t>
      </w:r>
      <w:r w:rsidRPr="006350BE">
        <w:fldChar w:fldCharType="end"/>
      </w:r>
      <w:r w:rsidR="00014566" w:rsidRPr="006350BE">
        <w:t>.  The Government</w:t>
      </w:r>
      <w:r w:rsidR="00E531DC" w:rsidRPr="006350BE">
        <w:t xml:space="preserve"> submitted</w:t>
      </w:r>
      <w:r w:rsidR="00014566" w:rsidRPr="006350BE">
        <w:t xml:space="preserve"> </w:t>
      </w:r>
      <w:r w:rsidR="00E531DC" w:rsidRPr="006350BE">
        <w:t>that the applicant</w:t>
      </w:r>
      <w:r w:rsidR="00AE2E37" w:rsidRPr="006350BE">
        <w:t>s</w:t>
      </w:r>
      <w:r w:rsidR="00E531DC" w:rsidRPr="006350BE">
        <w:t xml:space="preserve"> had not actually incurred the costs and expenses claimed and that nothing should be awarded to </w:t>
      </w:r>
      <w:r w:rsidR="00AE2E37" w:rsidRPr="006350BE">
        <w:t xml:space="preserve">them </w:t>
      </w:r>
      <w:r w:rsidR="00E531DC" w:rsidRPr="006350BE">
        <w:t>under this head</w:t>
      </w:r>
      <w:r w:rsidRPr="006350BE">
        <w:t>.</w:t>
      </w:r>
    </w:p>
    <w:p w:rsidR="00014566" w:rsidRPr="006350BE" w:rsidRDefault="00DA2403" w:rsidP="006350BE">
      <w:pPr>
        <w:pStyle w:val="ECHRPara"/>
        <w:rPr>
          <w:lang w:val="en-US"/>
        </w:rPr>
      </w:pPr>
      <w:r w:rsidRPr="006350BE">
        <w:fldChar w:fldCharType="begin"/>
      </w:r>
      <w:r w:rsidRPr="006350BE">
        <w:instrText xml:space="preserve"> SEQ level0 \*arabic </w:instrText>
      </w:r>
      <w:r w:rsidRPr="006350BE">
        <w:fldChar w:fldCharType="separate"/>
      </w:r>
      <w:r w:rsidR="006350BE" w:rsidRPr="006350BE">
        <w:rPr>
          <w:noProof/>
        </w:rPr>
        <w:t>113</w:t>
      </w:r>
      <w:r w:rsidRPr="006350BE">
        <w:fldChar w:fldCharType="end"/>
      </w:r>
      <w:r w:rsidR="00014566" w:rsidRPr="006350BE">
        <w:t>.  </w:t>
      </w:r>
      <w:r w:rsidR="00E531DC" w:rsidRPr="006350BE">
        <w:t xml:space="preserve">The Court notes that </w:t>
      </w:r>
      <w:r w:rsidR="00B77E3B" w:rsidRPr="006350BE">
        <w:t>each</w:t>
      </w:r>
      <w:r w:rsidR="00E531DC" w:rsidRPr="006350BE">
        <w:t xml:space="preserve"> applicant</w:t>
      </w:r>
      <w:r w:rsidR="00B77E3B" w:rsidRPr="006350BE">
        <w:t xml:space="preserve"> was</w:t>
      </w:r>
      <w:r w:rsidR="00E531DC" w:rsidRPr="006350BE">
        <w:t xml:space="preserve"> granted legal aid of EUR</w:t>
      </w:r>
      <w:r w:rsidR="00A46B86" w:rsidRPr="006350BE">
        <w:t> </w:t>
      </w:r>
      <w:r w:rsidR="00E531DC" w:rsidRPr="006350BE">
        <w:t xml:space="preserve">850. </w:t>
      </w:r>
      <w:r w:rsidR="00E7150D" w:rsidRPr="006350BE">
        <w:t xml:space="preserve">It further notes that </w:t>
      </w:r>
      <w:r w:rsidR="00496F64" w:rsidRPr="006350BE">
        <w:t xml:space="preserve">it does not follow from the documents submitted </w:t>
      </w:r>
      <w:r w:rsidR="00AE2E37" w:rsidRPr="006350BE">
        <w:t xml:space="preserve">to </w:t>
      </w:r>
      <w:r w:rsidR="00496F64" w:rsidRPr="006350BE">
        <w:t xml:space="preserve">the </w:t>
      </w:r>
      <w:r w:rsidR="00C748F5" w:rsidRPr="006350BE">
        <w:t xml:space="preserve">Court </w:t>
      </w:r>
      <w:r w:rsidR="00496F64" w:rsidRPr="006350BE">
        <w:t>that the costs and expenses</w:t>
      </w:r>
      <w:r w:rsidR="00621DCF" w:rsidRPr="006350BE">
        <w:t xml:space="preserve">, as submitted by the </w:t>
      </w:r>
      <w:r w:rsidR="00AE2E37" w:rsidRPr="006350BE">
        <w:t>applicants</w:t>
      </w:r>
      <w:r w:rsidR="006350BE" w:rsidRPr="006350BE">
        <w:t>’</w:t>
      </w:r>
      <w:r w:rsidR="00AE2E37" w:rsidRPr="006350BE">
        <w:t xml:space="preserve"> </w:t>
      </w:r>
      <w:r w:rsidR="00621DCF" w:rsidRPr="006350BE">
        <w:t>representative,</w:t>
      </w:r>
      <w:r w:rsidR="00496F64" w:rsidRPr="006350BE">
        <w:t xml:space="preserve"> have been necessarily incurred. Moreover</w:t>
      </w:r>
      <w:r w:rsidR="00AE2E37" w:rsidRPr="006350BE">
        <w:t>,</w:t>
      </w:r>
      <w:r w:rsidR="00496F64" w:rsidRPr="006350BE">
        <w:t xml:space="preserve"> the applicants were represented on</w:t>
      </w:r>
      <w:r w:rsidR="00AE2E37" w:rsidRPr="006350BE">
        <w:t xml:space="preserve"> a</w:t>
      </w:r>
      <w:r w:rsidR="00496F64" w:rsidRPr="006350BE">
        <w:t xml:space="preserve"> </w:t>
      </w:r>
      <w:r w:rsidR="00496F64" w:rsidRPr="006350BE">
        <w:rPr>
          <w:i/>
        </w:rPr>
        <w:t>pro bono</w:t>
      </w:r>
      <w:r w:rsidR="00496F64" w:rsidRPr="006350BE">
        <w:t xml:space="preserve"> basis</w:t>
      </w:r>
      <w:r w:rsidR="00B41A49" w:rsidRPr="006350BE">
        <w:t xml:space="preserve"> (see </w:t>
      </w:r>
      <w:r w:rsidR="00B41A49" w:rsidRPr="006350BE">
        <w:rPr>
          <w:i/>
        </w:rPr>
        <w:t xml:space="preserve">Dudgeon v. the United Kingdom </w:t>
      </w:r>
      <w:r w:rsidR="005F1AF6" w:rsidRPr="006350BE">
        <w:rPr>
          <w:i/>
        </w:rPr>
        <w:t xml:space="preserve">(Article 50), </w:t>
      </w:r>
      <w:r w:rsidR="005F1AF6" w:rsidRPr="006350BE">
        <w:t>24 February 1983, §§ 20 and 22, Series A no. 59, and</w:t>
      </w:r>
      <w:r w:rsidR="00B41A49" w:rsidRPr="006350BE">
        <w:t xml:space="preserve"> </w:t>
      </w:r>
      <w:proofErr w:type="spellStart"/>
      <w:r w:rsidR="00B41A49" w:rsidRPr="006350BE">
        <w:rPr>
          <w:i/>
        </w:rPr>
        <w:t>Voskuil</w:t>
      </w:r>
      <w:proofErr w:type="spellEnd"/>
      <w:r w:rsidR="00B41A49" w:rsidRPr="006350BE">
        <w:rPr>
          <w:i/>
        </w:rPr>
        <w:t xml:space="preserve"> v. the Netherlands</w:t>
      </w:r>
      <w:r w:rsidR="00B41A49" w:rsidRPr="006350BE">
        <w:t>, no. 64752/01, § 92, 22 November 2007))</w:t>
      </w:r>
      <w:r w:rsidR="00496F64" w:rsidRPr="006350BE">
        <w:t>.</w:t>
      </w:r>
      <w:r w:rsidR="00E531DC" w:rsidRPr="006350BE">
        <w:t xml:space="preserve"> </w:t>
      </w:r>
      <w:r w:rsidR="006F5C74" w:rsidRPr="006350BE">
        <w:t>Regard being had to the documents in its possession and to its case</w:t>
      </w:r>
      <w:r w:rsidR="006F5C74" w:rsidRPr="006350BE">
        <w:noBreakHyphen/>
        <w:t>law, the Court</w:t>
      </w:r>
      <w:r w:rsidR="00621DCF" w:rsidRPr="006350BE">
        <w:t> makes no award under this head</w:t>
      </w:r>
      <w:r w:rsidR="006F5C74" w:rsidRPr="006350BE">
        <w:t>.</w:t>
      </w:r>
    </w:p>
    <w:p w:rsidR="00014566" w:rsidRPr="001524AD" w:rsidRDefault="00014566" w:rsidP="001524AD">
      <w:pPr>
        <w:pStyle w:val="ECHRHeading2"/>
      </w:pPr>
      <w:r w:rsidRPr="001524AD">
        <w:t>C.  Default interest</w:t>
      </w:r>
    </w:p>
    <w:p w:rsidR="00014566" w:rsidRPr="006350BE" w:rsidRDefault="00DA2403" w:rsidP="006350BE">
      <w:pPr>
        <w:pStyle w:val="ECHRPara"/>
      </w:pPr>
      <w:r w:rsidRPr="006350BE">
        <w:fldChar w:fldCharType="begin"/>
      </w:r>
      <w:r w:rsidRPr="006350BE">
        <w:instrText xml:space="preserve"> SEQ level0 \*arabic </w:instrText>
      </w:r>
      <w:r w:rsidRPr="006350BE">
        <w:fldChar w:fldCharType="separate"/>
      </w:r>
      <w:r w:rsidR="006350BE" w:rsidRPr="006350BE">
        <w:rPr>
          <w:noProof/>
        </w:rPr>
        <w:t>114</w:t>
      </w:r>
      <w:r w:rsidRPr="006350BE">
        <w:fldChar w:fldCharType="end"/>
      </w:r>
      <w:r w:rsidR="00014566" w:rsidRPr="006350BE">
        <w:t>.  The Court considers it appropriate that the default interest rate should be based on the marginal lending rate of the European Central Bank, to which should be added three percentage points.</w:t>
      </w:r>
    </w:p>
    <w:p w:rsidR="00014566" w:rsidRPr="006350BE" w:rsidRDefault="00BB5883" w:rsidP="006350BE">
      <w:pPr>
        <w:pStyle w:val="ECHRTitle1"/>
      </w:pPr>
      <w:r w:rsidRPr="006350BE">
        <w:lastRenderedPageBreak/>
        <w:t>FOR THESE REASONS, THE COURT</w:t>
      </w:r>
      <w:r w:rsidR="00DA2403" w:rsidRPr="006350BE">
        <w:t>, UNANIMOUSLY,</w:t>
      </w:r>
    </w:p>
    <w:p w:rsidR="00B637B9" w:rsidRPr="006350BE" w:rsidRDefault="00B637B9" w:rsidP="006350BE">
      <w:pPr>
        <w:pStyle w:val="JuList"/>
      </w:pPr>
      <w:r w:rsidRPr="006350BE">
        <w:t>1. </w:t>
      </w:r>
      <w:r w:rsidR="00CF399F" w:rsidRPr="006350BE">
        <w:t> </w:t>
      </w:r>
      <w:r w:rsidR="00CF399F" w:rsidRPr="006350BE">
        <w:rPr>
          <w:i/>
        </w:rPr>
        <w:t>Decides</w:t>
      </w:r>
      <w:r w:rsidR="00CF399F" w:rsidRPr="006350BE">
        <w:rPr>
          <w:color w:val="000000"/>
        </w:rPr>
        <w:t xml:space="preserve"> </w:t>
      </w:r>
      <w:r w:rsidR="00CF399F" w:rsidRPr="006350BE">
        <w:t>to join the applications;</w:t>
      </w:r>
    </w:p>
    <w:p w:rsidR="00CF399F" w:rsidRPr="006350BE" w:rsidRDefault="00CF399F" w:rsidP="006350BE">
      <w:pPr>
        <w:pStyle w:val="JuList"/>
      </w:pPr>
    </w:p>
    <w:p w:rsidR="00B637B9" w:rsidRPr="006350BE" w:rsidRDefault="00CF399F" w:rsidP="006350BE">
      <w:pPr>
        <w:pStyle w:val="JuList"/>
      </w:pPr>
      <w:r w:rsidRPr="006350BE">
        <w:t>2</w:t>
      </w:r>
      <w:r w:rsidR="00B637B9" w:rsidRPr="006350BE">
        <w:t>.  </w:t>
      </w:r>
      <w:r w:rsidR="00B637B9" w:rsidRPr="006350BE">
        <w:rPr>
          <w:i/>
        </w:rPr>
        <w:t>Declares</w:t>
      </w:r>
      <w:r w:rsidR="00B637B9" w:rsidRPr="006350BE">
        <w:t xml:space="preserve"> the complaints </w:t>
      </w:r>
      <w:r w:rsidR="00356030" w:rsidRPr="006350BE">
        <w:t>under Articles 3 of the Convention on account of the second applicant</w:t>
      </w:r>
      <w:r w:rsidR="006350BE" w:rsidRPr="006350BE">
        <w:t>’</w:t>
      </w:r>
      <w:r w:rsidR="00356030" w:rsidRPr="006350BE">
        <w:t>s ill-treatment</w:t>
      </w:r>
      <w:r w:rsidR="00C748F5" w:rsidRPr="006350BE">
        <w:t xml:space="preserve"> and </w:t>
      </w:r>
      <w:r w:rsidR="00AE2E37" w:rsidRPr="006350BE">
        <w:t xml:space="preserve">the </w:t>
      </w:r>
      <w:r w:rsidR="00C748F5" w:rsidRPr="006350BE">
        <w:t>alleged ineffectiveness of the ensuing</w:t>
      </w:r>
      <w:r w:rsidR="00AE2E37" w:rsidRPr="006350BE">
        <w:t xml:space="preserve"> inquiry</w:t>
      </w:r>
      <w:r w:rsidR="00356030" w:rsidRPr="006350BE">
        <w:t xml:space="preserve">, </w:t>
      </w:r>
      <w:r w:rsidR="00DB65C1" w:rsidRPr="006350BE">
        <w:t xml:space="preserve">the complaints under Article 5 of the Convention in respect of the first applicant and </w:t>
      </w:r>
      <w:r w:rsidR="00356030" w:rsidRPr="006350BE">
        <w:t xml:space="preserve">the complaints under Article 6 of the Convention in respect of both applicants admissible </w:t>
      </w:r>
      <w:r w:rsidR="00B637B9" w:rsidRPr="006350BE">
        <w:t xml:space="preserve">and the remainder of the </w:t>
      </w:r>
      <w:r w:rsidR="00DA2403" w:rsidRPr="006350BE">
        <w:t>applications</w:t>
      </w:r>
      <w:r w:rsidR="00B637B9" w:rsidRPr="006350BE">
        <w:t xml:space="preserve"> inadmissible;</w:t>
      </w:r>
    </w:p>
    <w:p w:rsidR="00014566" w:rsidRPr="006350BE" w:rsidRDefault="00014566" w:rsidP="006350BE">
      <w:pPr>
        <w:pStyle w:val="JuList"/>
        <w:ind w:left="0" w:firstLine="0"/>
      </w:pPr>
    </w:p>
    <w:p w:rsidR="00014566" w:rsidRPr="006350BE" w:rsidRDefault="00F84241" w:rsidP="006350BE">
      <w:pPr>
        <w:pStyle w:val="JuList"/>
      </w:pPr>
      <w:r w:rsidRPr="006350BE">
        <w:t>3</w:t>
      </w:r>
      <w:r w:rsidR="00014566" w:rsidRPr="006350BE">
        <w:t>.  </w:t>
      </w:r>
      <w:r w:rsidR="00B6661D" w:rsidRPr="006350BE">
        <w:rPr>
          <w:i/>
        </w:rPr>
        <w:t>Holds</w:t>
      </w:r>
      <w:r w:rsidR="00B6661D" w:rsidRPr="006350BE">
        <w:rPr>
          <w:color w:val="000000"/>
        </w:rPr>
        <w:t xml:space="preserve"> </w:t>
      </w:r>
      <w:r w:rsidR="00B6661D" w:rsidRPr="006350BE">
        <w:t>that there has been both a substantive and a procedural violation of Article 3 of the Convention on account of the second applicant</w:t>
      </w:r>
      <w:r w:rsidR="006350BE" w:rsidRPr="006350BE">
        <w:t>’</w:t>
      </w:r>
      <w:r w:rsidR="00B6661D" w:rsidRPr="006350BE">
        <w:t>s ill</w:t>
      </w:r>
      <w:r w:rsidR="00B6661D" w:rsidRPr="006350BE">
        <w:noBreakHyphen/>
        <w:t>treatment o</w:t>
      </w:r>
      <w:r w:rsidR="00B6661D" w:rsidRPr="006350BE">
        <w:rPr>
          <w:lang w:val="en-US"/>
        </w:rPr>
        <w:t>f</w:t>
      </w:r>
      <w:r w:rsidR="00B6661D" w:rsidRPr="006350BE">
        <w:t xml:space="preserve"> 15 May 2006 and 27 December 2007;</w:t>
      </w:r>
    </w:p>
    <w:p w:rsidR="00F84241" w:rsidRPr="006350BE" w:rsidRDefault="00F84241" w:rsidP="006350BE">
      <w:pPr>
        <w:pStyle w:val="JuList"/>
      </w:pPr>
    </w:p>
    <w:p w:rsidR="00014566" w:rsidRPr="006350BE" w:rsidRDefault="00F84241" w:rsidP="006350BE">
      <w:pPr>
        <w:pStyle w:val="JuList"/>
      </w:pPr>
      <w:r w:rsidRPr="006350BE">
        <w:t>4</w:t>
      </w:r>
      <w:r w:rsidR="00014566" w:rsidRPr="006350BE">
        <w:t>.  </w:t>
      </w:r>
      <w:r w:rsidR="00B6661D" w:rsidRPr="006350BE">
        <w:rPr>
          <w:i/>
        </w:rPr>
        <w:t>Holds</w:t>
      </w:r>
      <w:r w:rsidR="00B6661D" w:rsidRPr="006350BE">
        <w:t xml:space="preserve"> that there </w:t>
      </w:r>
      <w:r w:rsidR="00B6661D" w:rsidRPr="006350BE">
        <w:rPr>
          <w:lang w:val="en-US"/>
        </w:rPr>
        <w:t>has been</w:t>
      </w:r>
      <w:r w:rsidR="00B6661D" w:rsidRPr="006350BE">
        <w:t xml:space="preserve"> no </w:t>
      </w:r>
      <w:r w:rsidR="00B6661D" w:rsidRPr="006350BE">
        <w:rPr>
          <w:lang w:val="en-US"/>
        </w:rPr>
        <w:t>violation of</w:t>
      </w:r>
      <w:r w:rsidR="00B6661D" w:rsidRPr="006350BE">
        <w:t xml:space="preserve"> Article 3 of the Convention on account of the second applicant</w:t>
      </w:r>
      <w:r w:rsidR="006350BE" w:rsidRPr="006350BE">
        <w:t>’</w:t>
      </w:r>
      <w:r w:rsidR="00B6661D" w:rsidRPr="006350BE">
        <w:t>s allegations of ill</w:t>
      </w:r>
      <w:r w:rsidR="00B6661D" w:rsidRPr="006350BE">
        <w:noBreakHyphen/>
        <w:t xml:space="preserve">treatment </w:t>
      </w:r>
      <w:r w:rsidR="00AE2E37" w:rsidRPr="006350BE">
        <w:rPr>
          <w:lang w:val="en-US"/>
        </w:rPr>
        <w:t xml:space="preserve">sustained </w:t>
      </w:r>
      <w:r w:rsidR="00B6661D" w:rsidRPr="006350BE">
        <w:t>in 2009 and 2010;</w:t>
      </w:r>
    </w:p>
    <w:p w:rsidR="00DB65C1" w:rsidRPr="006350BE" w:rsidRDefault="00DB65C1" w:rsidP="006350BE">
      <w:pPr>
        <w:pStyle w:val="JuList"/>
      </w:pPr>
    </w:p>
    <w:p w:rsidR="00DB65C1" w:rsidRPr="006350BE" w:rsidRDefault="00DB65C1" w:rsidP="006350BE">
      <w:pPr>
        <w:pStyle w:val="JuList"/>
      </w:pPr>
      <w:r w:rsidRPr="006350BE">
        <w:t>5.  </w:t>
      </w:r>
      <w:r w:rsidRPr="006350BE">
        <w:rPr>
          <w:i/>
        </w:rPr>
        <w:t>Holds</w:t>
      </w:r>
      <w:r w:rsidRPr="006350BE">
        <w:rPr>
          <w:color w:val="000000"/>
        </w:rPr>
        <w:t xml:space="preserve"> </w:t>
      </w:r>
      <w:r w:rsidRPr="006350BE">
        <w:t xml:space="preserve">that there has been </w:t>
      </w:r>
      <w:r w:rsidR="00855A5C" w:rsidRPr="006350BE">
        <w:t xml:space="preserve">a </w:t>
      </w:r>
      <w:r w:rsidRPr="006350BE">
        <w:t xml:space="preserve">violation of Article 5 </w:t>
      </w:r>
      <w:r w:rsidR="00927591" w:rsidRPr="006350BE">
        <w:t>§</w:t>
      </w:r>
      <w:r w:rsidR="00927591" w:rsidRPr="006350BE">
        <w:rPr>
          <w:lang w:val="en-US"/>
        </w:rPr>
        <w:t xml:space="preserve"> 1 </w:t>
      </w:r>
      <w:r w:rsidRPr="006350BE">
        <w:t>of the Convention on account of the first applicant</w:t>
      </w:r>
      <w:r w:rsidR="006350BE" w:rsidRPr="006350BE">
        <w:t>’</w:t>
      </w:r>
      <w:r w:rsidRPr="006350BE">
        <w:t xml:space="preserve">s </w:t>
      </w:r>
      <w:r w:rsidR="00BB543C" w:rsidRPr="006350BE">
        <w:t>detention between December </w:t>
      </w:r>
      <w:r w:rsidRPr="006350BE">
        <w:t>2005 and May 2007;</w:t>
      </w:r>
    </w:p>
    <w:p w:rsidR="00014566" w:rsidRPr="006350BE" w:rsidRDefault="00014566" w:rsidP="006350BE">
      <w:pPr>
        <w:pStyle w:val="JuList"/>
      </w:pPr>
    </w:p>
    <w:p w:rsidR="00014566" w:rsidRPr="006350BE" w:rsidRDefault="00DB65C1" w:rsidP="006350BE">
      <w:pPr>
        <w:pStyle w:val="JuList"/>
      </w:pPr>
      <w:r w:rsidRPr="006350BE">
        <w:t>6</w:t>
      </w:r>
      <w:r w:rsidR="00014566" w:rsidRPr="006350BE">
        <w:t>.  </w:t>
      </w:r>
      <w:r w:rsidR="00014566" w:rsidRPr="006350BE">
        <w:rPr>
          <w:i/>
        </w:rPr>
        <w:t>Holds</w:t>
      </w:r>
      <w:r w:rsidR="00014566" w:rsidRPr="006350BE">
        <w:rPr>
          <w:color w:val="000000"/>
        </w:rPr>
        <w:t xml:space="preserve"> </w:t>
      </w:r>
      <w:r w:rsidR="00014566" w:rsidRPr="006350BE">
        <w:t xml:space="preserve">that there has been a violation of Article </w:t>
      </w:r>
      <w:r w:rsidR="00F84241" w:rsidRPr="006350BE">
        <w:t>6</w:t>
      </w:r>
      <w:r w:rsidR="00014566" w:rsidRPr="006350BE">
        <w:t xml:space="preserve"> of the Convention</w:t>
      </w:r>
      <w:r w:rsidR="00F84241" w:rsidRPr="006350BE">
        <w:t xml:space="preserve"> in respect of both applicants on account of the unlawful composition of the trial court</w:t>
      </w:r>
      <w:r w:rsidR="00014566" w:rsidRPr="006350BE">
        <w:t>;</w:t>
      </w:r>
    </w:p>
    <w:p w:rsidR="00014566" w:rsidRPr="006350BE" w:rsidRDefault="00014566" w:rsidP="006350BE">
      <w:pPr>
        <w:pStyle w:val="JuList"/>
      </w:pPr>
    </w:p>
    <w:p w:rsidR="00F84241" w:rsidRPr="006350BE" w:rsidRDefault="00D27BEB" w:rsidP="006350BE">
      <w:pPr>
        <w:pStyle w:val="JuList"/>
      </w:pPr>
      <w:r w:rsidRPr="006350BE">
        <w:t>7</w:t>
      </w:r>
      <w:r w:rsidR="00014566" w:rsidRPr="006350BE">
        <w:t>.  </w:t>
      </w:r>
      <w:r w:rsidR="00014566" w:rsidRPr="006350BE">
        <w:rPr>
          <w:i/>
        </w:rPr>
        <w:t>Holds</w:t>
      </w:r>
      <w:r w:rsidR="00014566" w:rsidRPr="006350BE">
        <w:rPr>
          <w:color w:val="000000"/>
        </w:rPr>
        <w:t xml:space="preserve"> </w:t>
      </w:r>
      <w:r w:rsidR="00014566" w:rsidRPr="006350BE">
        <w:t xml:space="preserve">that </w:t>
      </w:r>
      <w:r w:rsidR="00F84241" w:rsidRPr="006350BE">
        <w:t xml:space="preserve">there is no need to examine the </w:t>
      </w:r>
      <w:r w:rsidR="005D1137" w:rsidRPr="006350BE">
        <w:t xml:space="preserve">remainder of the </w:t>
      </w:r>
      <w:r w:rsidR="00F84241" w:rsidRPr="006350BE">
        <w:t>applicants</w:t>
      </w:r>
      <w:r w:rsidR="006350BE" w:rsidRPr="006350BE">
        <w:t>’</w:t>
      </w:r>
      <w:r w:rsidR="00F84241" w:rsidRPr="006350BE">
        <w:t xml:space="preserve"> complaints under Article 6 of the Convention;</w:t>
      </w:r>
    </w:p>
    <w:p w:rsidR="00014566" w:rsidRPr="006350BE" w:rsidRDefault="00014566" w:rsidP="006350BE">
      <w:pPr>
        <w:pStyle w:val="JuList"/>
      </w:pPr>
    </w:p>
    <w:p w:rsidR="00DA2403" w:rsidRPr="006350BE" w:rsidRDefault="00D27BEB" w:rsidP="006350BE">
      <w:pPr>
        <w:pStyle w:val="JuList"/>
      </w:pPr>
      <w:r w:rsidRPr="006350BE">
        <w:t>8</w:t>
      </w:r>
      <w:r w:rsidR="00014566" w:rsidRPr="006350BE">
        <w:t>.  </w:t>
      </w:r>
      <w:r w:rsidR="00014566" w:rsidRPr="006350BE">
        <w:rPr>
          <w:i/>
        </w:rPr>
        <w:t>Hold</w:t>
      </w:r>
      <w:bookmarkStart w:id="21" w:name="_GoBack"/>
      <w:bookmarkEnd w:id="21"/>
      <w:r w:rsidR="00014566" w:rsidRPr="006350BE">
        <w:rPr>
          <w:i/>
        </w:rPr>
        <w:t>s</w:t>
      </w:r>
    </w:p>
    <w:p w:rsidR="001E5AAF" w:rsidRPr="006350BE" w:rsidRDefault="001E5AAF" w:rsidP="006350BE">
      <w:pPr>
        <w:pStyle w:val="JuLista"/>
      </w:pPr>
      <w:r w:rsidRPr="006350BE">
        <w:t>(a)  that the respondent State is to pay</w:t>
      </w:r>
      <w:r w:rsidR="00AE2E37" w:rsidRPr="006350BE">
        <w:t xml:space="preserve"> the applicants,</w:t>
      </w:r>
      <w:r w:rsidRPr="006350BE">
        <w:t xml:space="preserve"> </w:t>
      </w:r>
      <w:r w:rsidR="005E3103" w:rsidRPr="006350BE">
        <w:t>within three months</w:t>
      </w:r>
      <w:r w:rsidR="00AE2E37" w:rsidRPr="006350BE">
        <w:t>,</w:t>
      </w:r>
      <w:r w:rsidR="005E3103" w:rsidRPr="006350BE">
        <w:t xml:space="preserve"> </w:t>
      </w:r>
      <w:r w:rsidR="009D23FD" w:rsidRPr="006350BE">
        <w:t xml:space="preserve">EUR </w:t>
      </w:r>
      <w:r w:rsidR="00EA1EC3" w:rsidRPr="006350BE">
        <w:t>9,800</w:t>
      </w:r>
      <w:r w:rsidR="009D23FD" w:rsidRPr="006350BE">
        <w:t xml:space="preserve"> (</w:t>
      </w:r>
      <w:r w:rsidR="00EA1EC3" w:rsidRPr="006350BE">
        <w:t xml:space="preserve">nine </w:t>
      </w:r>
      <w:r w:rsidR="002B4561" w:rsidRPr="006350BE">
        <w:t xml:space="preserve">thousand </w:t>
      </w:r>
      <w:r w:rsidR="00EA1EC3" w:rsidRPr="006350BE">
        <w:t xml:space="preserve">eight </w:t>
      </w:r>
      <w:r w:rsidR="002B4561" w:rsidRPr="006350BE">
        <w:t>hundred euros</w:t>
      </w:r>
      <w:r w:rsidR="009D23FD" w:rsidRPr="006350BE">
        <w:t>) each</w:t>
      </w:r>
      <w:r w:rsidRPr="006350BE">
        <w:t xml:space="preserve"> </w:t>
      </w:r>
      <w:r w:rsidR="00AE2E37" w:rsidRPr="006350BE">
        <w:t xml:space="preserve">in respect of non-pecuniary damage, </w:t>
      </w:r>
      <w:r w:rsidRPr="006350BE">
        <w:t xml:space="preserve">to be converted into </w:t>
      </w:r>
      <w:r w:rsidRPr="006350BE">
        <w:rPr>
          <w:color w:val="000000"/>
        </w:rPr>
        <w:t>the currency of the respondent State</w:t>
      </w:r>
      <w:r w:rsidRPr="006350BE">
        <w:t xml:space="preserve"> at the rate applicable at the date of settlement</w:t>
      </w:r>
      <w:r w:rsidRPr="006350BE">
        <w:rPr>
          <w:color w:val="000000"/>
        </w:rPr>
        <w:t>,</w:t>
      </w:r>
      <w:r w:rsidRPr="006350BE">
        <w:t xml:space="preserve"> plus any tax that may be chargeable;</w:t>
      </w:r>
    </w:p>
    <w:p w:rsidR="00014566" w:rsidRPr="006350BE" w:rsidRDefault="00014566" w:rsidP="006350BE">
      <w:pPr>
        <w:pStyle w:val="JuLista"/>
      </w:pPr>
      <w:r w:rsidRPr="006350BE">
        <w:t>(b)  that from the expiry of the above-mentioned three months until settlement</w:t>
      </w:r>
      <w:r w:rsidR="00AE2E37" w:rsidRPr="006350BE">
        <w:t>,</w:t>
      </w:r>
      <w:r w:rsidRPr="006350BE">
        <w:t xml:space="preserve"> simple interest shall be payable on the above amounts at a rate equal to the marginal lending rate of the European Central Bank during the default period</w:t>
      </w:r>
      <w:r w:rsidR="00AE2E37" w:rsidRPr="006350BE">
        <w:t>,</w:t>
      </w:r>
      <w:r w:rsidRPr="006350BE">
        <w:t xml:space="preserve"> plus three percentage points;</w:t>
      </w:r>
    </w:p>
    <w:p w:rsidR="00014566" w:rsidRPr="006350BE" w:rsidRDefault="00014566" w:rsidP="006350BE">
      <w:pPr>
        <w:pStyle w:val="JuList"/>
      </w:pPr>
    </w:p>
    <w:p w:rsidR="00014566" w:rsidRPr="006350BE" w:rsidRDefault="00D27BEB" w:rsidP="006350BE">
      <w:pPr>
        <w:pStyle w:val="JuList"/>
      </w:pPr>
      <w:r w:rsidRPr="006350BE">
        <w:t>9</w:t>
      </w:r>
      <w:r w:rsidR="00014566" w:rsidRPr="006350BE">
        <w:t>.  </w:t>
      </w:r>
      <w:r w:rsidR="00014566" w:rsidRPr="006350BE">
        <w:rPr>
          <w:i/>
        </w:rPr>
        <w:t>Dismisses</w:t>
      </w:r>
      <w:r w:rsidR="00014566" w:rsidRPr="006350BE">
        <w:rPr>
          <w:color w:val="000000"/>
        </w:rPr>
        <w:t xml:space="preserve"> </w:t>
      </w:r>
      <w:r w:rsidR="00014566" w:rsidRPr="006350BE">
        <w:t>the remainder of the applicant</w:t>
      </w:r>
      <w:r w:rsidR="00DA2403" w:rsidRPr="006350BE">
        <w:t>s</w:t>
      </w:r>
      <w:r w:rsidR="006350BE" w:rsidRPr="006350BE">
        <w:t>’</w:t>
      </w:r>
      <w:r w:rsidR="00014566" w:rsidRPr="006350BE">
        <w:t xml:space="preserve"> claim for just satisfaction.</w:t>
      </w:r>
    </w:p>
    <w:p w:rsidR="00014566" w:rsidRPr="006350BE" w:rsidRDefault="00014566" w:rsidP="006350BE">
      <w:pPr>
        <w:pStyle w:val="JuParaLast"/>
      </w:pPr>
      <w:r w:rsidRPr="006350BE">
        <w:lastRenderedPageBreak/>
        <w:t xml:space="preserve">Done in English, and notified in writing on </w:t>
      </w:r>
      <w:r w:rsidR="0041416A" w:rsidRPr="006350BE">
        <w:t>25 June 2019</w:t>
      </w:r>
      <w:r w:rsidRPr="006350BE">
        <w:t>, pursuant to Rule 77 §§ 2 and 3 of the Rules of Court.</w:t>
      </w:r>
    </w:p>
    <w:p w:rsidR="004D15F3" w:rsidRDefault="00014566" w:rsidP="006350BE">
      <w:pPr>
        <w:pStyle w:val="JuSigned"/>
      </w:pPr>
      <w:r w:rsidRPr="006350BE">
        <w:tab/>
      </w:r>
      <w:r w:rsidR="0030632C" w:rsidRPr="006350BE">
        <w:t>Stephen Phillips</w:t>
      </w:r>
      <w:r w:rsidRPr="006350BE">
        <w:tab/>
      </w:r>
      <w:r w:rsidR="0030632C" w:rsidRPr="006350BE">
        <w:t xml:space="preserve">Alena </w:t>
      </w:r>
      <w:proofErr w:type="spellStart"/>
      <w:r w:rsidR="0030632C" w:rsidRPr="006350BE">
        <w:t>Poláčková</w:t>
      </w:r>
      <w:proofErr w:type="spellEnd"/>
      <w:r w:rsidR="00E1557C" w:rsidRPr="006350BE">
        <w:rPr>
          <w:szCs w:val="24"/>
        </w:rPr>
        <w:br/>
      </w:r>
      <w:r w:rsidRPr="006350BE">
        <w:tab/>
      </w:r>
      <w:r w:rsidR="00DA2403" w:rsidRPr="006350BE">
        <w:rPr>
          <w:iCs/>
        </w:rPr>
        <w:t>Registrar</w:t>
      </w:r>
      <w:r w:rsidRPr="006350BE">
        <w:tab/>
        <w:t>President</w:t>
      </w:r>
    </w:p>
    <w:p w:rsidR="001524AD" w:rsidRPr="001524AD" w:rsidRDefault="001524AD" w:rsidP="001524AD">
      <w:pPr>
        <w:pStyle w:val="JuParaLast"/>
      </w:pPr>
    </w:p>
    <w:sectPr w:rsidR="001524AD" w:rsidRPr="001524AD" w:rsidSect="0041416A">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3F4" w:rsidRDefault="00BD53F4" w:rsidP="00014566">
      <w:r>
        <w:separator/>
      </w:r>
    </w:p>
  </w:endnote>
  <w:endnote w:type="continuationSeparator" w:id="0">
    <w:p w:rsidR="00BD53F4" w:rsidRDefault="00BD53F4"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A" w:rsidRPr="00150BFA" w:rsidRDefault="0041416A" w:rsidP="0020718E">
    <w:pPr>
      <w:jc w:val="center"/>
    </w:pPr>
    <w:r>
      <w:rPr>
        <w:noProof/>
        <w:lang w:val="ru-RU" w:eastAsia="ru-RU"/>
      </w:rPr>
      <w:drawing>
        <wp:inline distT="0" distB="0" distL="0" distR="0" wp14:anchorId="044D96D9" wp14:editId="2FA0BE7A">
          <wp:extent cx="771525" cy="619125"/>
          <wp:effectExtent l="0" t="0" r="9525" b="9525"/>
          <wp:docPr id="25" name="Picture 2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41416A" w:rsidRDefault="0041416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2C" w:rsidRDefault="0030632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2C" w:rsidRDefault="0030632C">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2C" w:rsidRPr="00150BFA" w:rsidRDefault="0030632C" w:rsidP="0020718E">
    <w:pPr>
      <w:jc w:val="center"/>
    </w:pPr>
    <w:r>
      <w:rPr>
        <w:noProof/>
        <w:lang w:val="ru-RU" w:eastAsia="ru-RU"/>
      </w:rPr>
      <w:drawing>
        <wp:inline distT="0" distB="0" distL="0" distR="0" wp14:anchorId="4A370637" wp14:editId="3BF644D9">
          <wp:extent cx="771525" cy="619125"/>
          <wp:effectExtent l="0" t="0" r="9525" b="9525"/>
          <wp:docPr id="2" name="Picture 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0632C" w:rsidRDefault="0030632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3F4" w:rsidRDefault="00BD53F4" w:rsidP="00014566">
      <w:r>
        <w:separator/>
      </w:r>
    </w:p>
  </w:footnote>
  <w:footnote w:type="continuationSeparator" w:id="0">
    <w:p w:rsidR="00BD53F4" w:rsidRDefault="00BD53F4" w:rsidP="00014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30" w:rsidRPr="0041416A" w:rsidRDefault="009B0530" w:rsidP="0041416A">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A" w:rsidRPr="00A45145" w:rsidRDefault="0041416A" w:rsidP="00A45145">
    <w:pPr>
      <w:jc w:val="center"/>
    </w:pPr>
    <w:r>
      <w:rPr>
        <w:noProof/>
        <w:lang w:val="ru-RU" w:eastAsia="ru-RU"/>
      </w:rPr>
      <w:drawing>
        <wp:inline distT="0" distB="0" distL="0" distR="0" wp14:anchorId="7E403825" wp14:editId="00B6EA77">
          <wp:extent cx="2962275" cy="1219200"/>
          <wp:effectExtent l="0" t="0" r="9525" b="0"/>
          <wp:docPr id="13" name="Picture 1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B0530" w:rsidRDefault="009B053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A" w:rsidRPr="00FF2306" w:rsidRDefault="0041416A" w:rsidP="00EE1DA9">
    <w:pPr>
      <w:pStyle w:val="ECHRHeader"/>
    </w:pPr>
    <w:r>
      <w:rPr>
        <w:rStyle w:val="aff1"/>
        <w:szCs w:val="18"/>
      </w:rPr>
      <w:fldChar w:fldCharType="begin"/>
    </w:r>
    <w:r>
      <w:rPr>
        <w:rStyle w:val="aff1"/>
        <w:szCs w:val="18"/>
      </w:rPr>
      <w:instrText xml:space="preserve"> PAGE </w:instrText>
    </w:r>
    <w:r>
      <w:rPr>
        <w:rStyle w:val="aff1"/>
        <w:szCs w:val="18"/>
      </w:rPr>
      <w:fldChar w:fldCharType="separate"/>
    </w:r>
    <w:r w:rsidR="007921D0">
      <w:rPr>
        <w:rStyle w:val="aff1"/>
        <w:noProof/>
        <w:szCs w:val="18"/>
      </w:rPr>
      <w:t>18</w:t>
    </w:r>
    <w:r>
      <w:rPr>
        <w:rStyle w:val="aff1"/>
        <w:szCs w:val="18"/>
      </w:rPr>
      <w:fldChar w:fldCharType="end"/>
    </w:r>
    <w:r w:rsidRPr="00FF2306">
      <w:tab/>
    </w:r>
    <w:r w:rsidRPr="00686273">
      <w:t>ZATYNAYKO</w:t>
    </w:r>
    <w:r>
      <w:t xml:space="preserve"> v. RUSSIA</w:t>
    </w:r>
    <w:r w:rsidR="00DF4207">
      <w:t xml:space="preserve"> </w:t>
    </w:r>
    <w:r w:rsidR="0030632C" w:rsidRPr="0030632C">
      <w:t>JUDGMENT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6A" w:rsidRPr="00D60D87" w:rsidRDefault="0041416A" w:rsidP="00D60D87">
    <w:pPr>
      <w:pStyle w:val="ECHRHeader"/>
    </w:pPr>
    <w:r w:rsidRPr="00D60D87">
      <w:tab/>
    </w:r>
    <w:r w:rsidRPr="00686273">
      <w:t>ZATYNAYKO</w:t>
    </w:r>
    <w:r w:rsidRPr="00FD50E7">
      <w:t xml:space="preserve"> </w:t>
    </w:r>
    <w:r>
      <w:t>v. RUSSIA</w:t>
    </w:r>
    <w:r w:rsidR="00DF4207">
      <w:t xml:space="preserve"> </w:t>
    </w:r>
    <w:r w:rsidR="0030632C" w:rsidRPr="0030632C">
      <w:t>JUDGMENT</w:t>
    </w:r>
    <w:r w:rsidRPr="00D60D87">
      <w:tab/>
    </w:r>
    <w:r>
      <w:rPr>
        <w:rStyle w:val="aff1"/>
        <w:szCs w:val="18"/>
      </w:rPr>
      <w:fldChar w:fldCharType="begin"/>
    </w:r>
    <w:r>
      <w:rPr>
        <w:rStyle w:val="aff1"/>
        <w:szCs w:val="18"/>
      </w:rPr>
      <w:instrText xml:space="preserve"> PAGE </w:instrText>
    </w:r>
    <w:r>
      <w:rPr>
        <w:rStyle w:val="aff1"/>
        <w:szCs w:val="18"/>
      </w:rPr>
      <w:fldChar w:fldCharType="separate"/>
    </w:r>
    <w:r w:rsidR="007921D0">
      <w:rPr>
        <w:rStyle w:val="aff1"/>
        <w:noProof/>
        <w:szCs w:val="18"/>
      </w:rPr>
      <w:t>19</w:t>
    </w:r>
    <w:r>
      <w:rPr>
        <w:rStyle w:val="aff1"/>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2C" w:rsidRPr="00A45145" w:rsidRDefault="0030632C" w:rsidP="00A45145">
    <w:pPr>
      <w:jc w:val="center"/>
    </w:pPr>
    <w:r>
      <w:rPr>
        <w:noProof/>
        <w:lang w:val="ru-RU" w:eastAsia="ru-RU"/>
      </w:rPr>
      <w:drawing>
        <wp:inline distT="0" distB="0" distL="0" distR="0" wp14:anchorId="0D24A19F" wp14:editId="5159018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0632C" w:rsidRDefault="0030632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a"/>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DA2403"/>
    <w:rsid w:val="000010ED"/>
    <w:rsid w:val="000041F8"/>
    <w:rsid w:val="000042A8"/>
    <w:rsid w:val="000042F3"/>
    <w:rsid w:val="00004308"/>
    <w:rsid w:val="00004EA1"/>
    <w:rsid w:val="00005BF0"/>
    <w:rsid w:val="00005D8C"/>
    <w:rsid w:val="00006569"/>
    <w:rsid w:val="00007154"/>
    <w:rsid w:val="000103AE"/>
    <w:rsid w:val="0001140F"/>
    <w:rsid w:val="00011D69"/>
    <w:rsid w:val="00012AD3"/>
    <w:rsid w:val="00014566"/>
    <w:rsid w:val="00015C2D"/>
    <w:rsid w:val="00015F00"/>
    <w:rsid w:val="00017691"/>
    <w:rsid w:val="000222B0"/>
    <w:rsid w:val="00022C1D"/>
    <w:rsid w:val="000306A8"/>
    <w:rsid w:val="0003178A"/>
    <w:rsid w:val="00031D2B"/>
    <w:rsid w:val="00034987"/>
    <w:rsid w:val="0003553F"/>
    <w:rsid w:val="00043256"/>
    <w:rsid w:val="00054FF0"/>
    <w:rsid w:val="00057731"/>
    <w:rsid w:val="000602DF"/>
    <w:rsid w:val="00061B05"/>
    <w:rsid w:val="00062973"/>
    <w:rsid w:val="00062D5D"/>
    <w:rsid w:val="000632D5"/>
    <w:rsid w:val="000644EE"/>
    <w:rsid w:val="00070EBB"/>
    <w:rsid w:val="000727A5"/>
    <w:rsid w:val="00072990"/>
    <w:rsid w:val="000760AA"/>
    <w:rsid w:val="000856D7"/>
    <w:rsid w:val="000857DE"/>
    <w:rsid w:val="00086EDA"/>
    <w:rsid w:val="00090B2C"/>
    <w:rsid w:val="000925AD"/>
    <w:rsid w:val="00092639"/>
    <w:rsid w:val="000965A1"/>
    <w:rsid w:val="00096F0C"/>
    <w:rsid w:val="000A1320"/>
    <w:rsid w:val="000A21F1"/>
    <w:rsid w:val="000A24EB"/>
    <w:rsid w:val="000A27BE"/>
    <w:rsid w:val="000A780E"/>
    <w:rsid w:val="000B497B"/>
    <w:rsid w:val="000B6923"/>
    <w:rsid w:val="000C033C"/>
    <w:rsid w:val="000C2167"/>
    <w:rsid w:val="000C5F3C"/>
    <w:rsid w:val="000C6580"/>
    <w:rsid w:val="000C6A98"/>
    <w:rsid w:val="000C6DCC"/>
    <w:rsid w:val="000D04A3"/>
    <w:rsid w:val="000D2C51"/>
    <w:rsid w:val="000D3B1D"/>
    <w:rsid w:val="000D4186"/>
    <w:rsid w:val="000D47AA"/>
    <w:rsid w:val="000D721F"/>
    <w:rsid w:val="000E069B"/>
    <w:rsid w:val="000E0E82"/>
    <w:rsid w:val="000E151A"/>
    <w:rsid w:val="000E1DC5"/>
    <w:rsid w:val="000E223F"/>
    <w:rsid w:val="000E35AC"/>
    <w:rsid w:val="000E3C49"/>
    <w:rsid w:val="000E57EE"/>
    <w:rsid w:val="000E7D45"/>
    <w:rsid w:val="000F2B2C"/>
    <w:rsid w:val="000F43A4"/>
    <w:rsid w:val="000F7851"/>
    <w:rsid w:val="001011CD"/>
    <w:rsid w:val="00101329"/>
    <w:rsid w:val="00103FBD"/>
    <w:rsid w:val="00104362"/>
    <w:rsid w:val="00104BF8"/>
    <w:rsid w:val="00104E23"/>
    <w:rsid w:val="00105174"/>
    <w:rsid w:val="00111B0C"/>
    <w:rsid w:val="00120D6C"/>
    <w:rsid w:val="0012114D"/>
    <w:rsid w:val="00121723"/>
    <w:rsid w:val="00123C04"/>
    <w:rsid w:val="00123E22"/>
    <w:rsid w:val="001257EC"/>
    <w:rsid w:val="001329A1"/>
    <w:rsid w:val="00132C6A"/>
    <w:rsid w:val="00132F29"/>
    <w:rsid w:val="00133AA8"/>
    <w:rsid w:val="00133D33"/>
    <w:rsid w:val="00134D64"/>
    <w:rsid w:val="00135989"/>
    <w:rsid w:val="00135A30"/>
    <w:rsid w:val="0013612C"/>
    <w:rsid w:val="001365AF"/>
    <w:rsid w:val="00137FF6"/>
    <w:rsid w:val="001400D3"/>
    <w:rsid w:val="001403A3"/>
    <w:rsid w:val="00140921"/>
    <w:rsid w:val="00141650"/>
    <w:rsid w:val="00142ABE"/>
    <w:rsid w:val="001448CF"/>
    <w:rsid w:val="001524AD"/>
    <w:rsid w:val="00153349"/>
    <w:rsid w:val="00154D9E"/>
    <w:rsid w:val="0015706B"/>
    <w:rsid w:val="001575B4"/>
    <w:rsid w:val="00160369"/>
    <w:rsid w:val="00160CA0"/>
    <w:rsid w:val="0016216C"/>
    <w:rsid w:val="001623AB"/>
    <w:rsid w:val="00162A12"/>
    <w:rsid w:val="0016453D"/>
    <w:rsid w:val="001653EC"/>
    <w:rsid w:val="00166530"/>
    <w:rsid w:val="00166579"/>
    <w:rsid w:val="001668BB"/>
    <w:rsid w:val="001676B0"/>
    <w:rsid w:val="0017211B"/>
    <w:rsid w:val="001735F3"/>
    <w:rsid w:val="00175FF7"/>
    <w:rsid w:val="00177F00"/>
    <w:rsid w:val="001832BD"/>
    <w:rsid w:val="001836BB"/>
    <w:rsid w:val="00185577"/>
    <w:rsid w:val="00185CB7"/>
    <w:rsid w:val="001943B5"/>
    <w:rsid w:val="00195134"/>
    <w:rsid w:val="001A145B"/>
    <w:rsid w:val="001A3285"/>
    <w:rsid w:val="001A674C"/>
    <w:rsid w:val="001A7DED"/>
    <w:rsid w:val="001B29FE"/>
    <w:rsid w:val="001B3B24"/>
    <w:rsid w:val="001B570E"/>
    <w:rsid w:val="001B6C84"/>
    <w:rsid w:val="001C0F98"/>
    <w:rsid w:val="001C0FA7"/>
    <w:rsid w:val="001C2A42"/>
    <w:rsid w:val="001C392A"/>
    <w:rsid w:val="001C41EB"/>
    <w:rsid w:val="001C5028"/>
    <w:rsid w:val="001D0F81"/>
    <w:rsid w:val="001D372C"/>
    <w:rsid w:val="001D453E"/>
    <w:rsid w:val="001D4E5F"/>
    <w:rsid w:val="001D63ED"/>
    <w:rsid w:val="001D7121"/>
    <w:rsid w:val="001D7348"/>
    <w:rsid w:val="001E035B"/>
    <w:rsid w:val="001E0961"/>
    <w:rsid w:val="001E3EAE"/>
    <w:rsid w:val="001E5AAF"/>
    <w:rsid w:val="001E6F32"/>
    <w:rsid w:val="001F010C"/>
    <w:rsid w:val="001F0464"/>
    <w:rsid w:val="001F1339"/>
    <w:rsid w:val="001F1CD6"/>
    <w:rsid w:val="001F2145"/>
    <w:rsid w:val="001F3973"/>
    <w:rsid w:val="001F4DA9"/>
    <w:rsid w:val="001F5447"/>
    <w:rsid w:val="001F5D8D"/>
    <w:rsid w:val="001F6262"/>
    <w:rsid w:val="001F67B0"/>
    <w:rsid w:val="001F690A"/>
    <w:rsid w:val="001F6D6E"/>
    <w:rsid w:val="001F7130"/>
    <w:rsid w:val="001F7969"/>
    <w:rsid w:val="001F7B3D"/>
    <w:rsid w:val="001F7CC5"/>
    <w:rsid w:val="00203499"/>
    <w:rsid w:val="0020494B"/>
    <w:rsid w:val="00205F9F"/>
    <w:rsid w:val="00210338"/>
    <w:rsid w:val="002115FC"/>
    <w:rsid w:val="002133F8"/>
    <w:rsid w:val="00213D1F"/>
    <w:rsid w:val="0021423C"/>
    <w:rsid w:val="00216534"/>
    <w:rsid w:val="00221124"/>
    <w:rsid w:val="002216B5"/>
    <w:rsid w:val="00223109"/>
    <w:rsid w:val="00223D90"/>
    <w:rsid w:val="002278B6"/>
    <w:rsid w:val="00230D00"/>
    <w:rsid w:val="00231AB4"/>
    <w:rsid w:val="00231DF7"/>
    <w:rsid w:val="00231FD1"/>
    <w:rsid w:val="002320D8"/>
    <w:rsid w:val="002339E0"/>
    <w:rsid w:val="00233CF8"/>
    <w:rsid w:val="002352BE"/>
    <w:rsid w:val="0023575D"/>
    <w:rsid w:val="00237148"/>
    <w:rsid w:val="00237A51"/>
    <w:rsid w:val="0024222D"/>
    <w:rsid w:val="00242939"/>
    <w:rsid w:val="00244B0E"/>
    <w:rsid w:val="00244F6C"/>
    <w:rsid w:val="0024559C"/>
    <w:rsid w:val="00247A6F"/>
    <w:rsid w:val="002522F7"/>
    <w:rsid w:val="002532C5"/>
    <w:rsid w:val="0025457B"/>
    <w:rsid w:val="00255534"/>
    <w:rsid w:val="00255CA1"/>
    <w:rsid w:val="0025716B"/>
    <w:rsid w:val="00260C03"/>
    <w:rsid w:val="002631DD"/>
    <w:rsid w:val="002637C3"/>
    <w:rsid w:val="0026488E"/>
    <w:rsid w:val="00264A38"/>
    <w:rsid w:val="0026540E"/>
    <w:rsid w:val="00266477"/>
    <w:rsid w:val="00270910"/>
    <w:rsid w:val="0027225C"/>
    <w:rsid w:val="00274665"/>
    <w:rsid w:val="0027490B"/>
    <w:rsid w:val="00275123"/>
    <w:rsid w:val="00282240"/>
    <w:rsid w:val="00283B49"/>
    <w:rsid w:val="002841C7"/>
    <w:rsid w:val="0028572A"/>
    <w:rsid w:val="002876A0"/>
    <w:rsid w:val="002948AD"/>
    <w:rsid w:val="00294C05"/>
    <w:rsid w:val="00294C92"/>
    <w:rsid w:val="002971FF"/>
    <w:rsid w:val="002A01CC"/>
    <w:rsid w:val="002A159D"/>
    <w:rsid w:val="002A53F3"/>
    <w:rsid w:val="002A61B1"/>
    <w:rsid w:val="002A663C"/>
    <w:rsid w:val="002B07F9"/>
    <w:rsid w:val="002B1CDD"/>
    <w:rsid w:val="002B1E6C"/>
    <w:rsid w:val="002B243C"/>
    <w:rsid w:val="002B444B"/>
    <w:rsid w:val="002B4561"/>
    <w:rsid w:val="002B5887"/>
    <w:rsid w:val="002B5984"/>
    <w:rsid w:val="002C0692"/>
    <w:rsid w:val="002C07CD"/>
    <w:rsid w:val="002C0BB1"/>
    <w:rsid w:val="002C0E27"/>
    <w:rsid w:val="002C3040"/>
    <w:rsid w:val="002C7459"/>
    <w:rsid w:val="002D022D"/>
    <w:rsid w:val="002D0A09"/>
    <w:rsid w:val="002D0DE2"/>
    <w:rsid w:val="002D24BB"/>
    <w:rsid w:val="002E2636"/>
    <w:rsid w:val="002E39A2"/>
    <w:rsid w:val="002E4D3C"/>
    <w:rsid w:val="002E7444"/>
    <w:rsid w:val="002F0F73"/>
    <w:rsid w:val="002F2AF7"/>
    <w:rsid w:val="002F6B40"/>
    <w:rsid w:val="002F6EE5"/>
    <w:rsid w:val="002F7E1C"/>
    <w:rsid w:val="00301A75"/>
    <w:rsid w:val="00301BCB"/>
    <w:rsid w:val="00301E12"/>
    <w:rsid w:val="00302F70"/>
    <w:rsid w:val="0030336F"/>
    <w:rsid w:val="0030375E"/>
    <w:rsid w:val="003037AB"/>
    <w:rsid w:val="0030632C"/>
    <w:rsid w:val="00310ED4"/>
    <w:rsid w:val="00311BCB"/>
    <w:rsid w:val="00312839"/>
    <w:rsid w:val="00312A30"/>
    <w:rsid w:val="00317C74"/>
    <w:rsid w:val="00320571"/>
    <w:rsid w:val="00320F72"/>
    <w:rsid w:val="00323FF8"/>
    <w:rsid w:val="0032463E"/>
    <w:rsid w:val="00324698"/>
    <w:rsid w:val="00326224"/>
    <w:rsid w:val="00326351"/>
    <w:rsid w:val="00326AC2"/>
    <w:rsid w:val="00336ADF"/>
    <w:rsid w:val="00337EE4"/>
    <w:rsid w:val="00340FFD"/>
    <w:rsid w:val="00344744"/>
    <w:rsid w:val="003500AB"/>
    <w:rsid w:val="003506B1"/>
    <w:rsid w:val="00350842"/>
    <w:rsid w:val="003533A6"/>
    <w:rsid w:val="00356030"/>
    <w:rsid w:val="00356AC7"/>
    <w:rsid w:val="003609FA"/>
    <w:rsid w:val="0036407D"/>
    <w:rsid w:val="00364729"/>
    <w:rsid w:val="00364EAF"/>
    <w:rsid w:val="003708EC"/>
    <w:rsid w:val="003710C8"/>
    <w:rsid w:val="003750BE"/>
    <w:rsid w:val="00376950"/>
    <w:rsid w:val="00377525"/>
    <w:rsid w:val="00387B9D"/>
    <w:rsid w:val="00391529"/>
    <w:rsid w:val="003919AD"/>
    <w:rsid w:val="0039364F"/>
    <w:rsid w:val="003951C2"/>
    <w:rsid w:val="00396686"/>
    <w:rsid w:val="0039778E"/>
    <w:rsid w:val="003A0C0F"/>
    <w:rsid w:val="003A3972"/>
    <w:rsid w:val="003A6FD7"/>
    <w:rsid w:val="003A74A4"/>
    <w:rsid w:val="003B06BD"/>
    <w:rsid w:val="003B4941"/>
    <w:rsid w:val="003B4D15"/>
    <w:rsid w:val="003B5626"/>
    <w:rsid w:val="003B7C73"/>
    <w:rsid w:val="003C04E6"/>
    <w:rsid w:val="003C5714"/>
    <w:rsid w:val="003C6B9F"/>
    <w:rsid w:val="003C6E2A"/>
    <w:rsid w:val="003D0299"/>
    <w:rsid w:val="003D0595"/>
    <w:rsid w:val="003D09CD"/>
    <w:rsid w:val="003E10B4"/>
    <w:rsid w:val="003E1B2F"/>
    <w:rsid w:val="003E6D80"/>
    <w:rsid w:val="003E7C8E"/>
    <w:rsid w:val="003F05FA"/>
    <w:rsid w:val="003F244A"/>
    <w:rsid w:val="003F30B8"/>
    <w:rsid w:val="003F4C45"/>
    <w:rsid w:val="003F5908"/>
    <w:rsid w:val="003F5F7B"/>
    <w:rsid w:val="003F7D0B"/>
    <w:rsid w:val="003F7D64"/>
    <w:rsid w:val="0040083B"/>
    <w:rsid w:val="004026D2"/>
    <w:rsid w:val="00407363"/>
    <w:rsid w:val="0041416A"/>
    <w:rsid w:val="00414300"/>
    <w:rsid w:val="00414EA4"/>
    <w:rsid w:val="004153C6"/>
    <w:rsid w:val="00423BD0"/>
    <w:rsid w:val="00425C67"/>
    <w:rsid w:val="00427090"/>
    <w:rsid w:val="00427E7A"/>
    <w:rsid w:val="00427F8E"/>
    <w:rsid w:val="004320A3"/>
    <w:rsid w:val="0043383E"/>
    <w:rsid w:val="00436307"/>
    <w:rsid w:val="004365F1"/>
    <w:rsid w:val="00436C49"/>
    <w:rsid w:val="00445366"/>
    <w:rsid w:val="00447F5B"/>
    <w:rsid w:val="004502DB"/>
    <w:rsid w:val="00456A72"/>
    <w:rsid w:val="0045771E"/>
    <w:rsid w:val="00461DB0"/>
    <w:rsid w:val="00463926"/>
    <w:rsid w:val="004646E0"/>
    <w:rsid w:val="00464C9A"/>
    <w:rsid w:val="00472663"/>
    <w:rsid w:val="004735E4"/>
    <w:rsid w:val="00474F3D"/>
    <w:rsid w:val="00475ECC"/>
    <w:rsid w:val="00477E3A"/>
    <w:rsid w:val="0048031F"/>
    <w:rsid w:val="00483E5F"/>
    <w:rsid w:val="00485FF9"/>
    <w:rsid w:val="004877A3"/>
    <w:rsid w:val="00487858"/>
    <w:rsid w:val="004907F0"/>
    <w:rsid w:val="0049140B"/>
    <w:rsid w:val="0049183B"/>
    <w:rsid w:val="004923A5"/>
    <w:rsid w:val="004927F6"/>
    <w:rsid w:val="00493000"/>
    <w:rsid w:val="004949A2"/>
    <w:rsid w:val="00496341"/>
    <w:rsid w:val="00496BF3"/>
    <w:rsid w:val="00496BFB"/>
    <w:rsid w:val="00496E36"/>
    <w:rsid w:val="00496F64"/>
    <w:rsid w:val="004A1440"/>
    <w:rsid w:val="004A15C7"/>
    <w:rsid w:val="004A7AD7"/>
    <w:rsid w:val="004B013B"/>
    <w:rsid w:val="004B112B"/>
    <w:rsid w:val="004B7166"/>
    <w:rsid w:val="004C01E4"/>
    <w:rsid w:val="004C086C"/>
    <w:rsid w:val="004C1902"/>
    <w:rsid w:val="004C1B8C"/>
    <w:rsid w:val="004C1F56"/>
    <w:rsid w:val="004C27BC"/>
    <w:rsid w:val="004C2C7F"/>
    <w:rsid w:val="004D15F3"/>
    <w:rsid w:val="004D52D2"/>
    <w:rsid w:val="004D5311"/>
    <w:rsid w:val="004D5DCC"/>
    <w:rsid w:val="004D6256"/>
    <w:rsid w:val="004D79BF"/>
    <w:rsid w:val="004E7EBF"/>
    <w:rsid w:val="004F10AF"/>
    <w:rsid w:val="004F11A4"/>
    <w:rsid w:val="004F2389"/>
    <w:rsid w:val="004F28B1"/>
    <w:rsid w:val="004F304D"/>
    <w:rsid w:val="004F42A8"/>
    <w:rsid w:val="004F459F"/>
    <w:rsid w:val="004F61BE"/>
    <w:rsid w:val="004F66B1"/>
    <w:rsid w:val="004F707E"/>
    <w:rsid w:val="00501DFE"/>
    <w:rsid w:val="00505A55"/>
    <w:rsid w:val="0050692C"/>
    <w:rsid w:val="00507F22"/>
    <w:rsid w:val="005114B0"/>
    <w:rsid w:val="00511C07"/>
    <w:rsid w:val="00515DE8"/>
    <w:rsid w:val="005173A6"/>
    <w:rsid w:val="00520BAA"/>
    <w:rsid w:val="005234A3"/>
    <w:rsid w:val="00525208"/>
    <w:rsid w:val="005257A5"/>
    <w:rsid w:val="005264C0"/>
    <w:rsid w:val="00526A8A"/>
    <w:rsid w:val="00531DF2"/>
    <w:rsid w:val="005442EE"/>
    <w:rsid w:val="0054564E"/>
    <w:rsid w:val="00545960"/>
    <w:rsid w:val="00547353"/>
    <w:rsid w:val="005474E7"/>
    <w:rsid w:val="005512A3"/>
    <w:rsid w:val="0055193B"/>
    <w:rsid w:val="00555CD2"/>
    <w:rsid w:val="005578CE"/>
    <w:rsid w:val="00562781"/>
    <w:rsid w:val="00563E83"/>
    <w:rsid w:val="00565015"/>
    <w:rsid w:val="005657D2"/>
    <w:rsid w:val="00566608"/>
    <w:rsid w:val="00567D98"/>
    <w:rsid w:val="0057271C"/>
    <w:rsid w:val="00572845"/>
    <w:rsid w:val="0057447D"/>
    <w:rsid w:val="005746E2"/>
    <w:rsid w:val="00582B95"/>
    <w:rsid w:val="00583A62"/>
    <w:rsid w:val="005847B2"/>
    <w:rsid w:val="00587A1F"/>
    <w:rsid w:val="00592772"/>
    <w:rsid w:val="00594191"/>
    <w:rsid w:val="0059574A"/>
    <w:rsid w:val="005970B8"/>
    <w:rsid w:val="005A1B9B"/>
    <w:rsid w:val="005A6751"/>
    <w:rsid w:val="005B092E"/>
    <w:rsid w:val="005B1372"/>
    <w:rsid w:val="005B152C"/>
    <w:rsid w:val="005B1EE0"/>
    <w:rsid w:val="005B2B24"/>
    <w:rsid w:val="005B4425"/>
    <w:rsid w:val="005B4B94"/>
    <w:rsid w:val="005B6CF5"/>
    <w:rsid w:val="005B78E1"/>
    <w:rsid w:val="005C207E"/>
    <w:rsid w:val="005C3EE8"/>
    <w:rsid w:val="005C5AEB"/>
    <w:rsid w:val="005C719E"/>
    <w:rsid w:val="005C7AEF"/>
    <w:rsid w:val="005D1137"/>
    <w:rsid w:val="005D2A2C"/>
    <w:rsid w:val="005D2C52"/>
    <w:rsid w:val="005D34F9"/>
    <w:rsid w:val="005D4190"/>
    <w:rsid w:val="005D5827"/>
    <w:rsid w:val="005D5F1B"/>
    <w:rsid w:val="005D67A3"/>
    <w:rsid w:val="005E2988"/>
    <w:rsid w:val="005E2A43"/>
    <w:rsid w:val="005E2D49"/>
    <w:rsid w:val="005E3085"/>
    <w:rsid w:val="005E3103"/>
    <w:rsid w:val="005E37A8"/>
    <w:rsid w:val="005E3825"/>
    <w:rsid w:val="005E438A"/>
    <w:rsid w:val="005E46E2"/>
    <w:rsid w:val="005F1AF6"/>
    <w:rsid w:val="005F51E1"/>
    <w:rsid w:val="005F56A0"/>
    <w:rsid w:val="005F5B58"/>
    <w:rsid w:val="005F7628"/>
    <w:rsid w:val="006000C1"/>
    <w:rsid w:val="0060427C"/>
    <w:rsid w:val="00604FAD"/>
    <w:rsid w:val="00611C80"/>
    <w:rsid w:val="00620692"/>
    <w:rsid w:val="006207E4"/>
    <w:rsid w:val="00621105"/>
    <w:rsid w:val="006211F1"/>
    <w:rsid w:val="00621DCF"/>
    <w:rsid w:val="00623385"/>
    <w:rsid w:val="006242CA"/>
    <w:rsid w:val="00627507"/>
    <w:rsid w:val="006327F5"/>
    <w:rsid w:val="00633717"/>
    <w:rsid w:val="00633F8B"/>
    <w:rsid w:val="006344E1"/>
    <w:rsid w:val="006350BE"/>
    <w:rsid w:val="00636140"/>
    <w:rsid w:val="006545C4"/>
    <w:rsid w:val="00655CAF"/>
    <w:rsid w:val="00657C2E"/>
    <w:rsid w:val="00660A42"/>
    <w:rsid w:val="00661971"/>
    <w:rsid w:val="00661CE8"/>
    <w:rsid w:val="0066208C"/>
    <w:rsid w:val="006623D9"/>
    <w:rsid w:val="00662827"/>
    <w:rsid w:val="0066550C"/>
    <w:rsid w:val="00665B70"/>
    <w:rsid w:val="00667C68"/>
    <w:rsid w:val="00667E93"/>
    <w:rsid w:val="006716F2"/>
    <w:rsid w:val="00672516"/>
    <w:rsid w:val="00672BF7"/>
    <w:rsid w:val="006733FF"/>
    <w:rsid w:val="00680FF4"/>
    <w:rsid w:val="00682BF2"/>
    <w:rsid w:val="006859CE"/>
    <w:rsid w:val="00686273"/>
    <w:rsid w:val="00691270"/>
    <w:rsid w:val="006925C9"/>
    <w:rsid w:val="00694BA8"/>
    <w:rsid w:val="006A0305"/>
    <w:rsid w:val="006A037C"/>
    <w:rsid w:val="006A36F4"/>
    <w:rsid w:val="006A406F"/>
    <w:rsid w:val="006A5D3A"/>
    <w:rsid w:val="006A5D4B"/>
    <w:rsid w:val="006A6A85"/>
    <w:rsid w:val="006B0B89"/>
    <w:rsid w:val="006B5E24"/>
    <w:rsid w:val="006B7FE8"/>
    <w:rsid w:val="006C0D7A"/>
    <w:rsid w:val="006C23D4"/>
    <w:rsid w:val="006C4986"/>
    <w:rsid w:val="006C7BB0"/>
    <w:rsid w:val="006C7FE5"/>
    <w:rsid w:val="006D3237"/>
    <w:rsid w:val="006E110C"/>
    <w:rsid w:val="006E2E37"/>
    <w:rsid w:val="006E3CF1"/>
    <w:rsid w:val="006E7E80"/>
    <w:rsid w:val="006F1400"/>
    <w:rsid w:val="006F1DF9"/>
    <w:rsid w:val="006F24DB"/>
    <w:rsid w:val="006F2CB8"/>
    <w:rsid w:val="006F48CA"/>
    <w:rsid w:val="006F5C74"/>
    <w:rsid w:val="006F64DD"/>
    <w:rsid w:val="006F6F5F"/>
    <w:rsid w:val="00704AAC"/>
    <w:rsid w:val="00706468"/>
    <w:rsid w:val="0071436D"/>
    <w:rsid w:val="00715127"/>
    <w:rsid w:val="00715E8E"/>
    <w:rsid w:val="0071650E"/>
    <w:rsid w:val="00723580"/>
    <w:rsid w:val="00723755"/>
    <w:rsid w:val="00724B5C"/>
    <w:rsid w:val="0073136C"/>
    <w:rsid w:val="00731F0F"/>
    <w:rsid w:val="00733250"/>
    <w:rsid w:val="00735BE6"/>
    <w:rsid w:val="00736867"/>
    <w:rsid w:val="007373AA"/>
    <w:rsid w:val="00737495"/>
    <w:rsid w:val="00737E92"/>
    <w:rsid w:val="00741404"/>
    <w:rsid w:val="00742EC2"/>
    <w:rsid w:val="007449E5"/>
    <w:rsid w:val="00746C5A"/>
    <w:rsid w:val="00747FF0"/>
    <w:rsid w:val="00750750"/>
    <w:rsid w:val="0075213D"/>
    <w:rsid w:val="0075382B"/>
    <w:rsid w:val="00755C38"/>
    <w:rsid w:val="00755C70"/>
    <w:rsid w:val="00755E08"/>
    <w:rsid w:val="00757BC9"/>
    <w:rsid w:val="00764D4E"/>
    <w:rsid w:val="00765299"/>
    <w:rsid w:val="00765A1F"/>
    <w:rsid w:val="0077294D"/>
    <w:rsid w:val="00775B6D"/>
    <w:rsid w:val="007763D0"/>
    <w:rsid w:val="00776700"/>
    <w:rsid w:val="00776D68"/>
    <w:rsid w:val="0078031B"/>
    <w:rsid w:val="007825D8"/>
    <w:rsid w:val="007850EE"/>
    <w:rsid w:val="00785B91"/>
    <w:rsid w:val="00785B95"/>
    <w:rsid w:val="007868AF"/>
    <w:rsid w:val="007875D4"/>
    <w:rsid w:val="00790E96"/>
    <w:rsid w:val="007921D0"/>
    <w:rsid w:val="00793366"/>
    <w:rsid w:val="00793776"/>
    <w:rsid w:val="0079403A"/>
    <w:rsid w:val="007A3A11"/>
    <w:rsid w:val="007A44EE"/>
    <w:rsid w:val="007A716F"/>
    <w:rsid w:val="007B0693"/>
    <w:rsid w:val="007B0A20"/>
    <w:rsid w:val="007B270A"/>
    <w:rsid w:val="007C00D3"/>
    <w:rsid w:val="007C0695"/>
    <w:rsid w:val="007C0FC1"/>
    <w:rsid w:val="007C1139"/>
    <w:rsid w:val="007C19BD"/>
    <w:rsid w:val="007C2151"/>
    <w:rsid w:val="007C419A"/>
    <w:rsid w:val="007C4CC8"/>
    <w:rsid w:val="007C5426"/>
    <w:rsid w:val="007C562A"/>
    <w:rsid w:val="007C5798"/>
    <w:rsid w:val="007C7CFF"/>
    <w:rsid w:val="007C7F51"/>
    <w:rsid w:val="007D18B6"/>
    <w:rsid w:val="007D197A"/>
    <w:rsid w:val="007D23E2"/>
    <w:rsid w:val="007D2BA3"/>
    <w:rsid w:val="007D4082"/>
    <w:rsid w:val="007D4832"/>
    <w:rsid w:val="007E0518"/>
    <w:rsid w:val="007E11DF"/>
    <w:rsid w:val="007E21B2"/>
    <w:rsid w:val="007E2C4E"/>
    <w:rsid w:val="007E5BAB"/>
    <w:rsid w:val="007E6353"/>
    <w:rsid w:val="007F1905"/>
    <w:rsid w:val="007F2C70"/>
    <w:rsid w:val="00801300"/>
    <w:rsid w:val="00801B15"/>
    <w:rsid w:val="0080206E"/>
    <w:rsid w:val="00802284"/>
    <w:rsid w:val="008028CA"/>
    <w:rsid w:val="00802C64"/>
    <w:rsid w:val="00804C53"/>
    <w:rsid w:val="00804CFC"/>
    <w:rsid w:val="0080570F"/>
    <w:rsid w:val="00805E52"/>
    <w:rsid w:val="008061D0"/>
    <w:rsid w:val="00810760"/>
    <w:rsid w:val="00810B38"/>
    <w:rsid w:val="008162D9"/>
    <w:rsid w:val="008204C7"/>
    <w:rsid w:val="00820992"/>
    <w:rsid w:val="008219A8"/>
    <w:rsid w:val="00823602"/>
    <w:rsid w:val="008255F5"/>
    <w:rsid w:val="00826D0D"/>
    <w:rsid w:val="0083014E"/>
    <w:rsid w:val="0083214A"/>
    <w:rsid w:val="00834220"/>
    <w:rsid w:val="00837338"/>
    <w:rsid w:val="00845723"/>
    <w:rsid w:val="00845F9D"/>
    <w:rsid w:val="00847BA4"/>
    <w:rsid w:val="00851EF9"/>
    <w:rsid w:val="00855319"/>
    <w:rsid w:val="00855A5C"/>
    <w:rsid w:val="0085675F"/>
    <w:rsid w:val="00856F6E"/>
    <w:rsid w:val="008577FD"/>
    <w:rsid w:val="00860B03"/>
    <w:rsid w:val="00862DCA"/>
    <w:rsid w:val="0086497A"/>
    <w:rsid w:val="00864C91"/>
    <w:rsid w:val="008713A1"/>
    <w:rsid w:val="008734FE"/>
    <w:rsid w:val="008754AB"/>
    <w:rsid w:val="00876FF1"/>
    <w:rsid w:val="008800BA"/>
    <w:rsid w:val="0088060C"/>
    <w:rsid w:val="008817FF"/>
    <w:rsid w:val="00886FFC"/>
    <w:rsid w:val="0088756B"/>
    <w:rsid w:val="0089228E"/>
    <w:rsid w:val="00893576"/>
    <w:rsid w:val="00893E73"/>
    <w:rsid w:val="00895A2D"/>
    <w:rsid w:val="008967E3"/>
    <w:rsid w:val="00896E94"/>
    <w:rsid w:val="008A00C5"/>
    <w:rsid w:val="008A43C4"/>
    <w:rsid w:val="008A6FA6"/>
    <w:rsid w:val="008A705F"/>
    <w:rsid w:val="008B02DC"/>
    <w:rsid w:val="008B0FD0"/>
    <w:rsid w:val="008B15A0"/>
    <w:rsid w:val="008B2F26"/>
    <w:rsid w:val="008B309C"/>
    <w:rsid w:val="008B317B"/>
    <w:rsid w:val="008B3252"/>
    <w:rsid w:val="008B55EF"/>
    <w:rsid w:val="008B57CE"/>
    <w:rsid w:val="008B659F"/>
    <w:rsid w:val="008B7A70"/>
    <w:rsid w:val="008C26DE"/>
    <w:rsid w:val="008C2F31"/>
    <w:rsid w:val="008C4C1C"/>
    <w:rsid w:val="008D2225"/>
    <w:rsid w:val="008D4752"/>
    <w:rsid w:val="008D53E9"/>
    <w:rsid w:val="008D5C89"/>
    <w:rsid w:val="008D5D52"/>
    <w:rsid w:val="008D5F90"/>
    <w:rsid w:val="008E271C"/>
    <w:rsid w:val="008E351D"/>
    <w:rsid w:val="008E418E"/>
    <w:rsid w:val="008E5BC6"/>
    <w:rsid w:val="008E6A25"/>
    <w:rsid w:val="008E6E92"/>
    <w:rsid w:val="008E722F"/>
    <w:rsid w:val="008F0138"/>
    <w:rsid w:val="008F5193"/>
    <w:rsid w:val="009013A7"/>
    <w:rsid w:val="009017FB"/>
    <w:rsid w:val="009017FC"/>
    <w:rsid w:val="009024EF"/>
    <w:rsid w:val="00902936"/>
    <w:rsid w:val="00903B43"/>
    <w:rsid w:val="0090506B"/>
    <w:rsid w:val="009050C9"/>
    <w:rsid w:val="00905F64"/>
    <w:rsid w:val="009066FC"/>
    <w:rsid w:val="00906D7D"/>
    <w:rsid w:val="00910E64"/>
    <w:rsid w:val="00911CEC"/>
    <w:rsid w:val="00912BDD"/>
    <w:rsid w:val="0091394B"/>
    <w:rsid w:val="009140A3"/>
    <w:rsid w:val="009144A2"/>
    <w:rsid w:val="0091510C"/>
    <w:rsid w:val="00915423"/>
    <w:rsid w:val="00915AA6"/>
    <w:rsid w:val="00917B76"/>
    <w:rsid w:val="00921841"/>
    <w:rsid w:val="00922ABA"/>
    <w:rsid w:val="0092575B"/>
    <w:rsid w:val="009259AC"/>
    <w:rsid w:val="00926F38"/>
    <w:rsid w:val="00927591"/>
    <w:rsid w:val="0093361F"/>
    <w:rsid w:val="0093415F"/>
    <w:rsid w:val="00934301"/>
    <w:rsid w:val="00935C98"/>
    <w:rsid w:val="00936CD1"/>
    <w:rsid w:val="00936D93"/>
    <w:rsid w:val="00937FDA"/>
    <w:rsid w:val="009410F7"/>
    <w:rsid w:val="00941747"/>
    <w:rsid w:val="00941E14"/>
    <w:rsid w:val="00941EFB"/>
    <w:rsid w:val="00947AFB"/>
    <w:rsid w:val="00947C5C"/>
    <w:rsid w:val="0095014E"/>
    <w:rsid w:val="00951D7D"/>
    <w:rsid w:val="00952C12"/>
    <w:rsid w:val="00954152"/>
    <w:rsid w:val="00956F09"/>
    <w:rsid w:val="0096054E"/>
    <w:rsid w:val="00961273"/>
    <w:rsid w:val="00962D81"/>
    <w:rsid w:val="009630C7"/>
    <w:rsid w:val="00964B86"/>
    <w:rsid w:val="009678AE"/>
    <w:rsid w:val="009706A1"/>
    <w:rsid w:val="00972632"/>
    <w:rsid w:val="00972A31"/>
    <w:rsid w:val="00972B55"/>
    <w:rsid w:val="009743B7"/>
    <w:rsid w:val="009766D2"/>
    <w:rsid w:val="009776F7"/>
    <w:rsid w:val="00980B26"/>
    <w:rsid w:val="0098228B"/>
    <w:rsid w:val="009828DA"/>
    <w:rsid w:val="00984F3D"/>
    <w:rsid w:val="00985BAB"/>
    <w:rsid w:val="00986E4E"/>
    <w:rsid w:val="0099070E"/>
    <w:rsid w:val="009916C6"/>
    <w:rsid w:val="00991F4A"/>
    <w:rsid w:val="00994B80"/>
    <w:rsid w:val="00997F03"/>
    <w:rsid w:val="009A46DF"/>
    <w:rsid w:val="009A5FCD"/>
    <w:rsid w:val="009B0530"/>
    <w:rsid w:val="009B1B5F"/>
    <w:rsid w:val="009B1ED0"/>
    <w:rsid w:val="009B231E"/>
    <w:rsid w:val="009B2EC2"/>
    <w:rsid w:val="009B36C6"/>
    <w:rsid w:val="009B3C88"/>
    <w:rsid w:val="009B6673"/>
    <w:rsid w:val="009B68B2"/>
    <w:rsid w:val="009B7B98"/>
    <w:rsid w:val="009C191B"/>
    <w:rsid w:val="009C26B8"/>
    <w:rsid w:val="009C2BD6"/>
    <w:rsid w:val="009C6826"/>
    <w:rsid w:val="009D0F79"/>
    <w:rsid w:val="009D23FD"/>
    <w:rsid w:val="009D2851"/>
    <w:rsid w:val="009D2BA9"/>
    <w:rsid w:val="009D49C5"/>
    <w:rsid w:val="009D7FCB"/>
    <w:rsid w:val="009E1F32"/>
    <w:rsid w:val="009E5829"/>
    <w:rsid w:val="009E776C"/>
    <w:rsid w:val="009F1E2B"/>
    <w:rsid w:val="009F5E0A"/>
    <w:rsid w:val="00A06B88"/>
    <w:rsid w:val="00A07B25"/>
    <w:rsid w:val="00A102D5"/>
    <w:rsid w:val="00A123D9"/>
    <w:rsid w:val="00A15AEE"/>
    <w:rsid w:val="00A1726E"/>
    <w:rsid w:val="00A204CF"/>
    <w:rsid w:val="00A23998"/>
    <w:rsid w:val="00A23D49"/>
    <w:rsid w:val="00A2604D"/>
    <w:rsid w:val="00A27004"/>
    <w:rsid w:val="00A277C7"/>
    <w:rsid w:val="00A27AF9"/>
    <w:rsid w:val="00A302A7"/>
    <w:rsid w:val="00A30C29"/>
    <w:rsid w:val="00A3205A"/>
    <w:rsid w:val="00A34838"/>
    <w:rsid w:val="00A34DD6"/>
    <w:rsid w:val="00A36819"/>
    <w:rsid w:val="00A36989"/>
    <w:rsid w:val="00A42081"/>
    <w:rsid w:val="00A43628"/>
    <w:rsid w:val="00A45401"/>
    <w:rsid w:val="00A46B86"/>
    <w:rsid w:val="00A54192"/>
    <w:rsid w:val="00A5431E"/>
    <w:rsid w:val="00A546BA"/>
    <w:rsid w:val="00A6035E"/>
    <w:rsid w:val="00A6144C"/>
    <w:rsid w:val="00A62C77"/>
    <w:rsid w:val="00A66617"/>
    <w:rsid w:val="00A66A7E"/>
    <w:rsid w:val="00A671F8"/>
    <w:rsid w:val="00A67350"/>
    <w:rsid w:val="00A673A4"/>
    <w:rsid w:val="00A7101A"/>
    <w:rsid w:val="00A724AE"/>
    <w:rsid w:val="00A72F34"/>
    <w:rsid w:val="00A73329"/>
    <w:rsid w:val="00A74868"/>
    <w:rsid w:val="00A7610B"/>
    <w:rsid w:val="00A76FA6"/>
    <w:rsid w:val="00A82359"/>
    <w:rsid w:val="00A82C7B"/>
    <w:rsid w:val="00A850ED"/>
    <w:rsid w:val="00A865D2"/>
    <w:rsid w:val="00A878B0"/>
    <w:rsid w:val="00A92F7A"/>
    <w:rsid w:val="00A9410E"/>
    <w:rsid w:val="00A94C20"/>
    <w:rsid w:val="00A96ED6"/>
    <w:rsid w:val="00A97EF3"/>
    <w:rsid w:val="00AA0EBE"/>
    <w:rsid w:val="00AA227F"/>
    <w:rsid w:val="00AA3230"/>
    <w:rsid w:val="00AA3BC7"/>
    <w:rsid w:val="00AA754A"/>
    <w:rsid w:val="00AB099E"/>
    <w:rsid w:val="00AB0B01"/>
    <w:rsid w:val="00AB2B65"/>
    <w:rsid w:val="00AB333E"/>
    <w:rsid w:val="00AB3780"/>
    <w:rsid w:val="00AB37BA"/>
    <w:rsid w:val="00AB4328"/>
    <w:rsid w:val="00AB5FA0"/>
    <w:rsid w:val="00AC118E"/>
    <w:rsid w:val="00AC479C"/>
    <w:rsid w:val="00AC6322"/>
    <w:rsid w:val="00AD2DBD"/>
    <w:rsid w:val="00AE0A2E"/>
    <w:rsid w:val="00AE2E37"/>
    <w:rsid w:val="00AE354C"/>
    <w:rsid w:val="00AE5A3F"/>
    <w:rsid w:val="00AE5C2C"/>
    <w:rsid w:val="00AE6EA4"/>
    <w:rsid w:val="00AF015E"/>
    <w:rsid w:val="00AF3529"/>
    <w:rsid w:val="00AF4B07"/>
    <w:rsid w:val="00AF4F46"/>
    <w:rsid w:val="00AF6186"/>
    <w:rsid w:val="00AF7A3A"/>
    <w:rsid w:val="00B02BEB"/>
    <w:rsid w:val="00B03B74"/>
    <w:rsid w:val="00B04179"/>
    <w:rsid w:val="00B074AD"/>
    <w:rsid w:val="00B10F9A"/>
    <w:rsid w:val="00B13130"/>
    <w:rsid w:val="00B1474C"/>
    <w:rsid w:val="00B160DB"/>
    <w:rsid w:val="00B20836"/>
    <w:rsid w:val="00B218C7"/>
    <w:rsid w:val="00B22E33"/>
    <w:rsid w:val="00B235BB"/>
    <w:rsid w:val="00B25EEC"/>
    <w:rsid w:val="00B27A44"/>
    <w:rsid w:val="00B30BBF"/>
    <w:rsid w:val="00B33C03"/>
    <w:rsid w:val="00B41A49"/>
    <w:rsid w:val="00B428B4"/>
    <w:rsid w:val="00B44E56"/>
    <w:rsid w:val="00B44F50"/>
    <w:rsid w:val="00B46543"/>
    <w:rsid w:val="00B47D33"/>
    <w:rsid w:val="00B52BE0"/>
    <w:rsid w:val="00B54133"/>
    <w:rsid w:val="00B579CF"/>
    <w:rsid w:val="00B57B33"/>
    <w:rsid w:val="00B60229"/>
    <w:rsid w:val="00B613DA"/>
    <w:rsid w:val="00B6344A"/>
    <w:rsid w:val="00B637B9"/>
    <w:rsid w:val="00B6661D"/>
    <w:rsid w:val="00B675BA"/>
    <w:rsid w:val="00B701ED"/>
    <w:rsid w:val="00B71948"/>
    <w:rsid w:val="00B76330"/>
    <w:rsid w:val="00B77ACD"/>
    <w:rsid w:val="00B77E3B"/>
    <w:rsid w:val="00B8086C"/>
    <w:rsid w:val="00B80A91"/>
    <w:rsid w:val="00B83EF3"/>
    <w:rsid w:val="00B850B3"/>
    <w:rsid w:val="00B861B4"/>
    <w:rsid w:val="00B864D4"/>
    <w:rsid w:val="00B86DFE"/>
    <w:rsid w:val="00B872E7"/>
    <w:rsid w:val="00B90990"/>
    <w:rsid w:val="00B922FF"/>
    <w:rsid w:val="00B9281E"/>
    <w:rsid w:val="00B93925"/>
    <w:rsid w:val="00B95187"/>
    <w:rsid w:val="00B96F94"/>
    <w:rsid w:val="00BA2D55"/>
    <w:rsid w:val="00BA71B1"/>
    <w:rsid w:val="00BB0607"/>
    <w:rsid w:val="00BB0637"/>
    <w:rsid w:val="00BB2C21"/>
    <w:rsid w:val="00BB345F"/>
    <w:rsid w:val="00BB543C"/>
    <w:rsid w:val="00BB5883"/>
    <w:rsid w:val="00BB68EA"/>
    <w:rsid w:val="00BB75A6"/>
    <w:rsid w:val="00BC1C27"/>
    <w:rsid w:val="00BC21A6"/>
    <w:rsid w:val="00BC6BBF"/>
    <w:rsid w:val="00BD0A2E"/>
    <w:rsid w:val="00BD138C"/>
    <w:rsid w:val="00BD1572"/>
    <w:rsid w:val="00BD53F4"/>
    <w:rsid w:val="00BD68A4"/>
    <w:rsid w:val="00BD7E78"/>
    <w:rsid w:val="00BE04FB"/>
    <w:rsid w:val="00BE14E3"/>
    <w:rsid w:val="00BE281C"/>
    <w:rsid w:val="00BE3774"/>
    <w:rsid w:val="00BE41E5"/>
    <w:rsid w:val="00BE4876"/>
    <w:rsid w:val="00BE59A8"/>
    <w:rsid w:val="00BE7BA4"/>
    <w:rsid w:val="00BF0BBB"/>
    <w:rsid w:val="00BF2124"/>
    <w:rsid w:val="00BF4109"/>
    <w:rsid w:val="00BF4CC3"/>
    <w:rsid w:val="00BF5633"/>
    <w:rsid w:val="00BF636F"/>
    <w:rsid w:val="00BF725E"/>
    <w:rsid w:val="00BF77FF"/>
    <w:rsid w:val="00C01F9F"/>
    <w:rsid w:val="00C054C7"/>
    <w:rsid w:val="00C057B5"/>
    <w:rsid w:val="00C06448"/>
    <w:rsid w:val="00C22687"/>
    <w:rsid w:val="00C23742"/>
    <w:rsid w:val="00C23E3D"/>
    <w:rsid w:val="00C24843"/>
    <w:rsid w:val="00C250C4"/>
    <w:rsid w:val="00C254F5"/>
    <w:rsid w:val="00C27006"/>
    <w:rsid w:val="00C27B72"/>
    <w:rsid w:val="00C32E4D"/>
    <w:rsid w:val="00C333A0"/>
    <w:rsid w:val="00C35878"/>
    <w:rsid w:val="00C36A81"/>
    <w:rsid w:val="00C404BE"/>
    <w:rsid w:val="00C410D0"/>
    <w:rsid w:val="00C41888"/>
    <w:rsid w:val="00C41974"/>
    <w:rsid w:val="00C42C8D"/>
    <w:rsid w:val="00C4301C"/>
    <w:rsid w:val="00C447AD"/>
    <w:rsid w:val="00C45DFB"/>
    <w:rsid w:val="00C45F19"/>
    <w:rsid w:val="00C47001"/>
    <w:rsid w:val="00C4784F"/>
    <w:rsid w:val="00C537CF"/>
    <w:rsid w:val="00C539CB"/>
    <w:rsid w:val="00C53F4A"/>
    <w:rsid w:val="00C54125"/>
    <w:rsid w:val="00C54E38"/>
    <w:rsid w:val="00C55B54"/>
    <w:rsid w:val="00C56686"/>
    <w:rsid w:val="00C57A1C"/>
    <w:rsid w:val="00C6098E"/>
    <w:rsid w:val="00C60B75"/>
    <w:rsid w:val="00C6120D"/>
    <w:rsid w:val="00C6152C"/>
    <w:rsid w:val="00C61C55"/>
    <w:rsid w:val="00C621C2"/>
    <w:rsid w:val="00C67779"/>
    <w:rsid w:val="00C70ED1"/>
    <w:rsid w:val="00C71AEB"/>
    <w:rsid w:val="00C7269D"/>
    <w:rsid w:val="00C73852"/>
    <w:rsid w:val="00C74810"/>
    <w:rsid w:val="00C748F5"/>
    <w:rsid w:val="00C8188F"/>
    <w:rsid w:val="00C86EC0"/>
    <w:rsid w:val="00C86F65"/>
    <w:rsid w:val="00C90D68"/>
    <w:rsid w:val="00C92C01"/>
    <w:rsid w:val="00C92D40"/>
    <w:rsid w:val="00C939FE"/>
    <w:rsid w:val="00C93B31"/>
    <w:rsid w:val="00C93F4E"/>
    <w:rsid w:val="00C97839"/>
    <w:rsid w:val="00CA0917"/>
    <w:rsid w:val="00CA20AE"/>
    <w:rsid w:val="00CA3817"/>
    <w:rsid w:val="00CA46F3"/>
    <w:rsid w:val="00CA4BDA"/>
    <w:rsid w:val="00CA70F1"/>
    <w:rsid w:val="00CB0E50"/>
    <w:rsid w:val="00CB1F66"/>
    <w:rsid w:val="00CB2951"/>
    <w:rsid w:val="00CB31EA"/>
    <w:rsid w:val="00CB722D"/>
    <w:rsid w:val="00CC0898"/>
    <w:rsid w:val="00CC2EFE"/>
    <w:rsid w:val="00CC5AB5"/>
    <w:rsid w:val="00CC64D0"/>
    <w:rsid w:val="00CC77F3"/>
    <w:rsid w:val="00CD154B"/>
    <w:rsid w:val="00CD282B"/>
    <w:rsid w:val="00CD3678"/>
    <w:rsid w:val="00CD4460"/>
    <w:rsid w:val="00CD4C35"/>
    <w:rsid w:val="00CD7369"/>
    <w:rsid w:val="00CE0B0E"/>
    <w:rsid w:val="00CE3831"/>
    <w:rsid w:val="00CE4F2B"/>
    <w:rsid w:val="00CE5508"/>
    <w:rsid w:val="00CF132F"/>
    <w:rsid w:val="00CF399F"/>
    <w:rsid w:val="00CF58E1"/>
    <w:rsid w:val="00CF7AE6"/>
    <w:rsid w:val="00CF7CC9"/>
    <w:rsid w:val="00D0074C"/>
    <w:rsid w:val="00D00ABB"/>
    <w:rsid w:val="00D02EEC"/>
    <w:rsid w:val="00D03551"/>
    <w:rsid w:val="00D03951"/>
    <w:rsid w:val="00D03F86"/>
    <w:rsid w:val="00D06A63"/>
    <w:rsid w:val="00D07E0E"/>
    <w:rsid w:val="00D10757"/>
    <w:rsid w:val="00D109CA"/>
    <w:rsid w:val="00D10C1C"/>
    <w:rsid w:val="00D11478"/>
    <w:rsid w:val="00D14495"/>
    <w:rsid w:val="00D147E6"/>
    <w:rsid w:val="00D14AA9"/>
    <w:rsid w:val="00D15ED0"/>
    <w:rsid w:val="00D170E0"/>
    <w:rsid w:val="00D2117F"/>
    <w:rsid w:val="00D21B3E"/>
    <w:rsid w:val="00D21FED"/>
    <w:rsid w:val="00D24251"/>
    <w:rsid w:val="00D26818"/>
    <w:rsid w:val="00D27BEB"/>
    <w:rsid w:val="00D30C5B"/>
    <w:rsid w:val="00D343E2"/>
    <w:rsid w:val="00D361A2"/>
    <w:rsid w:val="00D43EA3"/>
    <w:rsid w:val="00D43F78"/>
    <w:rsid w:val="00D44C2E"/>
    <w:rsid w:val="00D45414"/>
    <w:rsid w:val="00D51623"/>
    <w:rsid w:val="00D53517"/>
    <w:rsid w:val="00D53C0F"/>
    <w:rsid w:val="00D566BD"/>
    <w:rsid w:val="00D57A4D"/>
    <w:rsid w:val="00D60AA7"/>
    <w:rsid w:val="00D60D87"/>
    <w:rsid w:val="00D638FA"/>
    <w:rsid w:val="00D63A78"/>
    <w:rsid w:val="00D6435F"/>
    <w:rsid w:val="00D651DF"/>
    <w:rsid w:val="00D6584E"/>
    <w:rsid w:val="00D65D4A"/>
    <w:rsid w:val="00D70415"/>
    <w:rsid w:val="00D72EAF"/>
    <w:rsid w:val="00D73DB9"/>
    <w:rsid w:val="00D75E28"/>
    <w:rsid w:val="00D772C2"/>
    <w:rsid w:val="00D77FA6"/>
    <w:rsid w:val="00D8008E"/>
    <w:rsid w:val="00D82C45"/>
    <w:rsid w:val="00D84427"/>
    <w:rsid w:val="00D86EB1"/>
    <w:rsid w:val="00D908A8"/>
    <w:rsid w:val="00D92FA6"/>
    <w:rsid w:val="00D954DD"/>
    <w:rsid w:val="00D96FBF"/>
    <w:rsid w:val="00D9719E"/>
    <w:rsid w:val="00D977B6"/>
    <w:rsid w:val="00DA00F9"/>
    <w:rsid w:val="00DA2403"/>
    <w:rsid w:val="00DA3A09"/>
    <w:rsid w:val="00DA4A31"/>
    <w:rsid w:val="00DA7B04"/>
    <w:rsid w:val="00DA7CDB"/>
    <w:rsid w:val="00DB0871"/>
    <w:rsid w:val="00DB0AC7"/>
    <w:rsid w:val="00DB2A90"/>
    <w:rsid w:val="00DB36C2"/>
    <w:rsid w:val="00DB4130"/>
    <w:rsid w:val="00DB4377"/>
    <w:rsid w:val="00DB65C1"/>
    <w:rsid w:val="00DB6A6A"/>
    <w:rsid w:val="00DB7196"/>
    <w:rsid w:val="00DC1067"/>
    <w:rsid w:val="00DC169B"/>
    <w:rsid w:val="00DC2AB9"/>
    <w:rsid w:val="00DC2B7D"/>
    <w:rsid w:val="00DC339D"/>
    <w:rsid w:val="00DC38D1"/>
    <w:rsid w:val="00DC63F0"/>
    <w:rsid w:val="00DC7580"/>
    <w:rsid w:val="00DD2841"/>
    <w:rsid w:val="00DD4E5F"/>
    <w:rsid w:val="00DD533B"/>
    <w:rsid w:val="00DD6EE5"/>
    <w:rsid w:val="00DE386C"/>
    <w:rsid w:val="00DE3955"/>
    <w:rsid w:val="00DE4621"/>
    <w:rsid w:val="00DE4642"/>
    <w:rsid w:val="00DE4D35"/>
    <w:rsid w:val="00DE7165"/>
    <w:rsid w:val="00DF0549"/>
    <w:rsid w:val="00DF098B"/>
    <w:rsid w:val="00DF11C4"/>
    <w:rsid w:val="00DF210C"/>
    <w:rsid w:val="00DF4207"/>
    <w:rsid w:val="00DF4B6A"/>
    <w:rsid w:val="00E02C09"/>
    <w:rsid w:val="00E04D59"/>
    <w:rsid w:val="00E068C3"/>
    <w:rsid w:val="00E071DB"/>
    <w:rsid w:val="00E07712"/>
    <w:rsid w:val="00E07DA1"/>
    <w:rsid w:val="00E123CB"/>
    <w:rsid w:val="00E13969"/>
    <w:rsid w:val="00E14446"/>
    <w:rsid w:val="00E1557C"/>
    <w:rsid w:val="00E20E13"/>
    <w:rsid w:val="00E21DBC"/>
    <w:rsid w:val="00E248BC"/>
    <w:rsid w:val="00E273F9"/>
    <w:rsid w:val="00E275D7"/>
    <w:rsid w:val="00E27DBE"/>
    <w:rsid w:val="00E3008B"/>
    <w:rsid w:val="00E32AB1"/>
    <w:rsid w:val="00E35366"/>
    <w:rsid w:val="00E36C71"/>
    <w:rsid w:val="00E40404"/>
    <w:rsid w:val="00E43083"/>
    <w:rsid w:val="00E459C6"/>
    <w:rsid w:val="00E47548"/>
    <w:rsid w:val="00E47589"/>
    <w:rsid w:val="00E47901"/>
    <w:rsid w:val="00E5081A"/>
    <w:rsid w:val="00E531DC"/>
    <w:rsid w:val="00E564D0"/>
    <w:rsid w:val="00E573A8"/>
    <w:rsid w:val="00E62BE0"/>
    <w:rsid w:val="00E64915"/>
    <w:rsid w:val="00E661D4"/>
    <w:rsid w:val="00E67562"/>
    <w:rsid w:val="00E70091"/>
    <w:rsid w:val="00E7150D"/>
    <w:rsid w:val="00E718DA"/>
    <w:rsid w:val="00E71FF4"/>
    <w:rsid w:val="00E720F5"/>
    <w:rsid w:val="00E76D3B"/>
    <w:rsid w:val="00E76D47"/>
    <w:rsid w:val="00E849F7"/>
    <w:rsid w:val="00E854BF"/>
    <w:rsid w:val="00E8728F"/>
    <w:rsid w:val="00E90302"/>
    <w:rsid w:val="00E9597F"/>
    <w:rsid w:val="00E965EC"/>
    <w:rsid w:val="00E97396"/>
    <w:rsid w:val="00EA08D5"/>
    <w:rsid w:val="00EA098E"/>
    <w:rsid w:val="00EA185E"/>
    <w:rsid w:val="00EA1EC3"/>
    <w:rsid w:val="00EA592A"/>
    <w:rsid w:val="00EA6BF2"/>
    <w:rsid w:val="00EB07B9"/>
    <w:rsid w:val="00EB14E4"/>
    <w:rsid w:val="00EB1855"/>
    <w:rsid w:val="00EB3230"/>
    <w:rsid w:val="00EB32A5"/>
    <w:rsid w:val="00EB3430"/>
    <w:rsid w:val="00EB34ED"/>
    <w:rsid w:val="00EB6681"/>
    <w:rsid w:val="00EB7BE0"/>
    <w:rsid w:val="00EC0DDD"/>
    <w:rsid w:val="00EC1492"/>
    <w:rsid w:val="00EC315E"/>
    <w:rsid w:val="00EC60E4"/>
    <w:rsid w:val="00ED077C"/>
    <w:rsid w:val="00ED0FDC"/>
    <w:rsid w:val="00ED1190"/>
    <w:rsid w:val="00ED6544"/>
    <w:rsid w:val="00EE0277"/>
    <w:rsid w:val="00EE0F24"/>
    <w:rsid w:val="00EE1DA9"/>
    <w:rsid w:val="00EE2890"/>
    <w:rsid w:val="00EE32D3"/>
    <w:rsid w:val="00EE3E00"/>
    <w:rsid w:val="00EE5DAB"/>
    <w:rsid w:val="00EE5DD2"/>
    <w:rsid w:val="00EF41F1"/>
    <w:rsid w:val="00EF4F08"/>
    <w:rsid w:val="00EF650C"/>
    <w:rsid w:val="00F002E9"/>
    <w:rsid w:val="00F00A79"/>
    <w:rsid w:val="00F00E86"/>
    <w:rsid w:val="00F00F2A"/>
    <w:rsid w:val="00F00F8B"/>
    <w:rsid w:val="00F074E6"/>
    <w:rsid w:val="00F07C1E"/>
    <w:rsid w:val="00F105DB"/>
    <w:rsid w:val="00F132BC"/>
    <w:rsid w:val="00F13C8F"/>
    <w:rsid w:val="00F13D80"/>
    <w:rsid w:val="00F13FA0"/>
    <w:rsid w:val="00F14E90"/>
    <w:rsid w:val="00F16AAA"/>
    <w:rsid w:val="00F21161"/>
    <w:rsid w:val="00F2160D"/>
    <w:rsid w:val="00F218EF"/>
    <w:rsid w:val="00F21ADB"/>
    <w:rsid w:val="00F21BC7"/>
    <w:rsid w:val="00F24228"/>
    <w:rsid w:val="00F266A2"/>
    <w:rsid w:val="00F32269"/>
    <w:rsid w:val="00F349AF"/>
    <w:rsid w:val="00F34D99"/>
    <w:rsid w:val="00F36C8B"/>
    <w:rsid w:val="00F375C7"/>
    <w:rsid w:val="00F4457E"/>
    <w:rsid w:val="00F4743F"/>
    <w:rsid w:val="00F51D44"/>
    <w:rsid w:val="00F56A6F"/>
    <w:rsid w:val="00F5709C"/>
    <w:rsid w:val="00F64EF1"/>
    <w:rsid w:val="00F66756"/>
    <w:rsid w:val="00F748A2"/>
    <w:rsid w:val="00F756E5"/>
    <w:rsid w:val="00F77A91"/>
    <w:rsid w:val="00F84241"/>
    <w:rsid w:val="00F8765F"/>
    <w:rsid w:val="00F90767"/>
    <w:rsid w:val="00F946F4"/>
    <w:rsid w:val="00FA165B"/>
    <w:rsid w:val="00FA6291"/>
    <w:rsid w:val="00FA685B"/>
    <w:rsid w:val="00FA7EFA"/>
    <w:rsid w:val="00FB0C01"/>
    <w:rsid w:val="00FB10E4"/>
    <w:rsid w:val="00FB5CAE"/>
    <w:rsid w:val="00FB60DA"/>
    <w:rsid w:val="00FC0758"/>
    <w:rsid w:val="00FC0CDA"/>
    <w:rsid w:val="00FC117E"/>
    <w:rsid w:val="00FC18F2"/>
    <w:rsid w:val="00FC39E5"/>
    <w:rsid w:val="00FC3A78"/>
    <w:rsid w:val="00FC5FFE"/>
    <w:rsid w:val="00FC7795"/>
    <w:rsid w:val="00FC78B0"/>
    <w:rsid w:val="00FD048C"/>
    <w:rsid w:val="00FD1005"/>
    <w:rsid w:val="00FD168B"/>
    <w:rsid w:val="00FD247A"/>
    <w:rsid w:val="00FD3180"/>
    <w:rsid w:val="00FD50E7"/>
    <w:rsid w:val="00FD6402"/>
    <w:rsid w:val="00FD6C75"/>
    <w:rsid w:val="00FE06B1"/>
    <w:rsid w:val="00FE21AE"/>
    <w:rsid w:val="00FE45C4"/>
    <w:rsid w:val="00FE71B3"/>
    <w:rsid w:val="00FE7B56"/>
    <w:rsid w:val="00FE7E1E"/>
    <w:rsid w:val="00FF0A58"/>
    <w:rsid w:val="00FF111C"/>
    <w:rsid w:val="00FF2136"/>
    <w:rsid w:val="00FF3CAD"/>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6350BE"/>
    <w:pPr>
      <w:jc w:val="both"/>
    </w:pPr>
    <w:rPr>
      <w:rFonts w:eastAsiaTheme="minorEastAsia"/>
      <w:sz w:val="24"/>
      <w:lang w:val="en-GB"/>
    </w:rPr>
  </w:style>
  <w:style w:type="paragraph" w:styleId="1">
    <w:name w:val="heading 1"/>
    <w:basedOn w:val="a2"/>
    <w:next w:val="a2"/>
    <w:link w:val="10"/>
    <w:uiPriority w:val="99"/>
    <w:semiHidden/>
    <w:rsid w:val="006350BE"/>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6350BE"/>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6350BE"/>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6350BE"/>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6350BE"/>
    <w:pPr>
      <w:spacing w:before="200"/>
      <w:outlineLvl w:val="4"/>
    </w:pPr>
    <w:rPr>
      <w:rFonts w:asciiTheme="majorHAnsi" w:eastAsiaTheme="majorEastAsia" w:hAnsiTheme="majorHAnsi" w:cstheme="majorBidi"/>
      <w:b/>
      <w:bCs/>
      <w:color w:val="808080"/>
      <w:sz w:val="22"/>
      <w:lang w:val="en-US"/>
    </w:rPr>
  </w:style>
  <w:style w:type="paragraph" w:styleId="6">
    <w:name w:val="heading 6"/>
    <w:basedOn w:val="a2"/>
    <w:next w:val="a2"/>
    <w:link w:val="60"/>
    <w:uiPriority w:val="99"/>
    <w:semiHidden/>
    <w:rsid w:val="006350BE"/>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6350BE"/>
    <w:pPr>
      <w:outlineLvl w:val="6"/>
    </w:pPr>
    <w:rPr>
      <w:rFonts w:asciiTheme="majorHAnsi" w:eastAsiaTheme="majorEastAsia" w:hAnsiTheme="majorHAnsi" w:cstheme="majorBidi"/>
      <w:i/>
      <w:iCs/>
      <w:sz w:val="22"/>
      <w:lang w:val="en-US" w:bidi="en-US"/>
    </w:rPr>
  </w:style>
  <w:style w:type="paragraph" w:styleId="8">
    <w:name w:val="heading 8"/>
    <w:basedOn w:val="a2"/>
    <w:next w:val="a2"/>
    <w:link w:val="80"/>
    <w:uiPriority w:val="99"/>
    <w:semiHidden/>
    <w:qFormat/>
    <w:rsid w:val="006350BE"/>
    <w:pPr>
      <w:outlineLvl w:val="7"/>
    </w:pPr>
    <w:rPr>
      <w:rFonts w:asciiTheme="majorHAnsi" w:eastAsiaTheme="majorEastAsia" w:hAnsiTheme="majorHAnsi" w:cstheme="majorBidi"/>
      <w:sz w:val="20"/>
      <w:szCs w:val="20"/>
      <w:lang w:val="en-US" w:bidi="en-US"/>
    </w:rPr>
  </w:style>
  <w:style w:type="paragraph" w:styleId="9">
    <w:name w:val="heading 9"/>
    <w:basedOn w:val="a2"/>
    <w:next w:val="a2"/>
    <w:link w:val="90"/>
    <w:uiPriority w:val="99"/>
    <w:semiHidden/>
    <w:qFormat/>
    <w:rsid w:val="006350BE"/>
    <w:pPr>
      <w:outlineLvl w:val="8"/>
    </w:pPr>
    <w:rPr>
      <w:rFonts w:asciiTheme="majorHAnsi" w:eastAsiaTheme="majorEastAsia" w:hAnsiTheme="majorHAnsi" w:cstheme="majorBidi"/>
      <w:i/>
      <w:iCs/>
      <w:spacing w:val="5"/>
      <w:sz w:val="20"/>
      <w:szCs w:val="20"/>
      <w:lang w:val="en-US"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6350BE"/>
    <w:rPr>
      <w:rFonts w:ascii="Tahoma" w:hAnsi="Tahoma" w:cs="Tahoma"/>
      <w:sz w:val="16"/>
      <w:szCs w:val="16"/>
    </w:rPr>
  </w:style>
  <w:style w:type="character" w:customStyle="1" w:styleId="a7">
    <w:name w:val="Текст выноски Знак"/>
    <w:basedOn w:val="a3"/>
    <w:link w:val="a6"/>
    <w:uiPriority w:val="99"/>
    <w:semiHidden/>
    <w:rsid w:val="006350BE"/>
    <w:rPr>
      <w:rFonts w:ascii="Tahoma" w:eastAsiaTheme="minorEastAsia" w:hAnsi="Tahoma" w:cs="Tahoma"/>
      <w:sz w:val="16"/>
      <w:szCs w:val="16"/>
      <w:lang w:val="en-GB"/>
    </w:rPr>
  </w:style>
  <w:style w:type="character" w:styleId="a8">
    <w:name w:val="Book Title"/>
    <w:uiPriority w:val="99"/>
    <w:semiHidden/>
    <w:qFormat/>
    <w:rsid w:val="006350BE"/>
    <w:rPr>
      <w:i/>
      <w:iCs/>
      <w:smallCaps/>
      <w:spacing w:val="5"/>
    </w:rPr>
  </w:style>
  <w:style w:type="paragraph" w:customStyle="1" w:styleId="ECHRHeader">
    <w:name w:val="ECHR_Header"/>
    <w:aliases w:val="Ju_Header"/>
    <w:basedOn w:val="a9"/>
    <w:uiPriority w:val="4"/>
    <w:qFormat/>
    <w:rsid w:val="006350BE"/>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6350BE"/>
    <w:pPr>
      <w:jc w:val="left"/>
    </w:pPr>
    <w:rPr>
      <w:sz w:val="8"/>
    </w:rPr>
  </w:style>
  <w:style w:type="character" w:styleId="ab">
    <w:name w:val="Strong"/>
    <w:uiPriority w:val="99"/>
    <w:semiHidden/>
    <w:qFormat/>
    <w:rsid w:val="006350BE"/>
    <w:rPr>
      <w:b/>
      <w:bCs/>
    </w:rPr>
  </w:style>
  <w:style w:type="paragraph" w:styleId="ac">
    <w:name w:val="No Spacing"/>
    <w:basedOn w:val="a2"/>
    <w:link w:val="ad"/>
    <w:semiHidden/>
    <w:qFormat/>
    <w:rsid w:val="006350BE"/>
    <w:rPr>
      <w:sz w:val="22"/>
      <w:lang w:val="en-US"/>
    </w:rPr>
  </w:style>
  <w:style w:type="character" w:customStyle="1" w:styleId="ad">
    <w:name w:val="Без интервала Знак"/>
    <w:basedOn w:val="a3"/>
    <w:link w:val="ac"/>
    <w:semiHidden/>
    <w:rsid w:val="006350BE"/>
    <w:rPr>
      <w:rFonts w:eastAsiaTheme="minorEastAsia"/>
    </w:rPr>
  </w:style>
  <w:style w:type="paragraph" w:customStyle="1" w:styleId="ECHRFooterLine">
    <w:name w:val="ECHR_Footer_Line"/>
    <w:aliases w:val="Footer_Line"/>
    <w:basedOn w:val="a2"/>
    <w:next w:val="ECHRFooter"/>
    <w:uiPriority w:val="57"/>
    <w:semiHidden/>
    <w:rsid w:val="006350BE"/>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6350BE"/>
  </w:style>
  <w:style w:type="paragraph" w:customStyle="1" w:styleId="DecList">
    <w:name w:val="Dec_List"/>
    <w:basedOn w:val="a2"/>
    <w:uiPriority w:val="9"/>
    <w:semiHidden/>
    <w:qFormat/>
    <w:rsid w:val="006350BE"/>
    <w:pPr>
      <w:spacing w:before="240"/>
      <w:ind w:left="284"/>
    </w:pPr>
  </w:style>
  <w:style w:type="paragraph" w:customStyle="1" w:styleId="DummyStyle">
    <w:name w:val="Dummy_Style"/>
    <w:basedOn w:val="a2"/>
    <w:semiHidden/>
    <w:qFormat/>
    <w:rsid w:val="006350BE"/>
    <w:rPr>
      <w:color w:val="00B050"/>
    </w:rPr>
  </w:style>
  <w:style w:type="paragraph" w:customStyle="1" w:styleId="ECHRTitleCentre3">
    <w:name w:val="ECHR_Title_Centre_3"/>
    <w:aliases w:val="Ju_H_Article"/>
    <w:basedOn w:val="a2"/>
    <w:next w:val="ECHRParaQuote"/>
    <w:uiPriority w:val="27"/>
    <w:qFormat/>
    <w:rsid w:val="006350BE"/>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6350BE"/>
    <w:pPr>
      <w:keepNext/>
      <w:keepLines/>
      <w:spacing w:after="240"/>
      <w:jc w:val="center"/>
      <w:outlineLvl w:val="0"/>
    </w:pPr>
    <w:rPr>
      <w:rFonts w:asciiTheme="majorHAnsi" w:hAnsiTheme="majorHAnsi"/>
      <w:sz w:val="28"/>
    </w:rPr>
  </w:style>
  <w:style w:type="paragraph" w:customStyle="1" w:styleId="JuAppQuestion">
    <w:name w:val="Ju_App_Question"/>
    <w:basedOn w:val="a2"/>
    <w:uiPriority w:val="5"/>
    <w:semiHidden/>
    <w:qFormat/>
    <w:rsid w:val="006350BE"/>
    <w:pPr>
      <w:numPr>
        <w:numId w:val="26"/>
      </w:numPr>
      <w:jc w:val="left"/>
    </w:pPr>
    <w:rPr>
      <w:b/>
    </w:rPr>
  </w:style>
  <w:style w:type="paragraph" w:customStyle="1" w:styleId="JuCourt">
    <w:name w:val="Ju_Court"/>
    <w:basedOn w:val="a2"/>
    <w:next w:val="a2"/>
    <w:uiPriority w:val="16"/>
    <w:qFormat/>
    <w:rsid w:val="006350BE"/>
    <w:pPr>
      <w:tabs>
        <w:tab w:val="left" w:pos="907"/>
        <w:tab w:val="left" w:pos="1701"/>
        <w:tab w:val="right" w:pos="7371"/>
      </w:tabs>
      <w:spacing w:before="240"/>
      <w:ind w:left="397" w:hanging="397"/>
      <w:jc w:val="left"/>
    </w:pPr>
    <w:rPr>
      <w:lang w:bidi="en-US"/>
    </w:rPr>
  </w:style>
  <w:style w:type="paragraph" w:customStyle="1" w:styleId="JuInitialled">
    <w:name w:val="Ju_Initialled"/>
    <w:basedOn w:val="a2"/>
    <w:uiPriority w:val="31"/>
    <w:qFormat/>
    <w:rsid w:val="006350BE"/>
    <w:pPr>
      <w:tabs>
        <w:tab w:val="center" w:pos="6407"/>
      </w:tabs>
      <w:spacing w:before="720"/>
      <w:jc w:val="right"/>
    </w:pPr>
  </w:style>
  <w:style w:type="paragraph" w:customStyle="1" w:styleId="ECHRTitleCentre2">
    <w:name w:val="ECHR_Title_Centre_2"/>
    <w:aliases w:val="Dec_H_Case"/>
    <w:basedOn w:val="a2"/>
    <w:next w:val="ECHRPara"/>
    <w:uiPriority w:val="8"/>
    <w:qFormat/>
    <w:rsid w:val="006350BE"/>
    <w:pPr>
      <w:spacing w:after="240"/>
      <w:jc w:val="center"/>
      <w:outlineLvl w:val="0"/>
    </w:pPr>
    <w:rPr>
      <w:rFonts w:asciiTheme="majorHAnsi" w:hAnsiTheme="majorHAnsi"/>
    </w:rPr>
  </w:style>
  <w:style w:type="paragraph" w:customStyle="1" w:styleId="JuListi">
    <w:name w:val="Ju_List_i"/>
    <w:basedOn w:val="a2"/>
    <w:next w:val="JuLista"/>
    <w:uiPriority w:val="28"/>
    <w:qFormat/>
    <w:rsid w:val="006350BE"/>
    <w:pPr>
      <w:ind w:left="794"/>
    </w:pPr>
  </w:style>
  <w:style w:type="paragraph" w:styleId="ae">
    <w:name w:val="Title"/>
    <w:basedOn w:val="a2"/>
    <w:next w:val="a2"/>
    <w:link w:val="af"/>
    <w:uiPriority w:val="99"/>
    <w:semiHidden/>
    <w:qFormat/>
    <w:rsid w:val="006350BE"/>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af">
    <w:name w:val="Заголовок Знак"/>
    <w:basedOn w:val="a3"/>
    <w:link w:val="ae"/>
    <w:uiPriority w:val="99"/>
    <w:semiHidden/>
    <w:rsid w:val="006350BE"/>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31"/>
    <w:next w:val="ECHRPara"/>
    <w:uiPriority w:val="21"/>
    <w:qFormat/>
    <w:rsid w:val="006350BE"/>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6350BE"/>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6350BE"/>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6"/>
    <w:next w:val="ECHRPara"/>
    <w:uiPriority w:val="24"/>
    <w:qFormat/>
    <w:rsid w:val="006350BE"/>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7"/>
    <w:next w:val="ECHRPara"/>
    <w:uiPriority w:val="25"/>
    <w:qFormat/>
    <w:rsid w:val="006350BE"/>
    <w:pPr>
      <w:keepNext/>
      <w:keepLines/>
      <w:spacing w:before="240" w:after="120"/>
      <w:ind w:left="1236"/>
    </w:pPr>
    <w:rPr>
      <w:sz w:val="20"/>
      <w:lang w:val="en-GB"/>
    </w:rPr>
  </w:style>
  <w:style w:type="character" w:customStyle="1" w:styleId="JUNAMES">
    <w:name w:val="JU_NAMES"/>
    <w:uiPriority w:val="17"/>
    <w:qFormat/>
    <w:rsid w:val="006350BE"/>
    <w:rPr>
      <w:caps w:val="0"/>
      <w:smallCaps/>
    </w:rPr>
  </w:style>
  <w:style w:type="paragraph" w:customStyle="1" w:styleId="JuParaSub">
    <w:name w:val="Ju_Para_Sub"/>
    <w:basedOn w:val="ECHRPara"/>
    <w:uiPriority w:val="13"/>
    <w:qFormat/>
    <w:rsid w:val="006350BE"/>
    <w:pPr>
      <w:ind w:left="284"/>
    </w:pPr>
  </w:style>
  <w:style w:type="paragraph" w:customStyle="1" w:styleId="JuQuotSub">
    <w:name w:val="Ju_Quot_Sub"/>
    <w:basedOn w:val="ECHRParaQuote"/>
    <w:uiPriority w:val="15"/>
    <w:qFormat/>
    <w:rsid w:val="006350BE"/>
    <w:pPr>
      <w:ind w:left="567"/>
    </w:pPr>
  </w:style>
  <w:style w:type="paragraph" w:styleId="a9">
    <w:name w:val="header"/>
    <w:basedOn w:val="a2"/>
    <w:link w:val="af0"/>
    <w:uiPriority w:val="57"/>
    <w:semiHidden/>
    <w:rsid w:val="006350BE"/>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6350BE"/>
    <w:rPr>
      <w:sz w:val="24"/>
      <w:lang w:val="en-GB"/>
    </w:rPr>
  </w:style>
  <w:style w:type="character" w:customStyle="1" w:styleId="10">
    <w:name w:val="Заголовок 1 Знак"/>
    <w:basedOn w:val="a3"/>
    <w:link w:val="1"/>
    <w:uiPriority w:val="99"/>
    <w:semiHidden/>
    <w:rsid w:val="006350BE"/>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1"/>
    <w:next w:val="ECHRPara"/>
    <w:uiPriority w:val="19"/>
    <w:qFormat/>
    <w:rsid w:val="006350BE"/>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link w:val="JuHAChar"/>
    <w:uiPriority w:val="20"/>
    <w:qFormat/>
    <w:rsid w:val="006350BE"/>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6350BE"/>
    <w:rPr>
      <w:rFonts w:asciiTheme="majorHAnsi" w:eastAsiaTheme="majorEastAsia" w:hAnsiTheme="majorHAnsi" w:cstheme="majorBidi"/>
      <w:b/>
      <w:bCs/>
      <w:color w:val="4D4D4D"/>
      <w:sz w:val="26"/>
      <w:szCs w:val="26"/>
      <w:lang w:val="en-GB"/>
    </w:rPr>
  </w:style>
  <w:style w:type="paragraph" w:customStyle="1" w:styleId="JuTitle">
    <w:name w:val="Ju_Title"/>
    <w:basedOn w:val="a2"/>
    <w:next w:val="ECHRPara"/>
    <w:uiPriority w:val="3"/>
    <w:semiHidden/>
    <w:qFormat/>
    <w:rsid w:val="006350BE"/>
    <w:pPr>
      <w:spacing w:before="720" w:after="240"/>
      <w:jc w:val="center"/>
      <w:outlineLvl w:val="0"/>
    </w:pPr>
    <w:rPr>
      <w:rFonts w:asciiTheme="majorHAnsi" w:hAnsiTheme="majorHAnsi"/>
      <w:b/>
      <w:caps/>
    </w:rPr>
  </w:style>
  <w:style w:type="paragraph" w:customStyle="1" w:styleId="JuCase">
    <w:name w:val="Ju_Case"/>
    <w:basedOn w:val="a2"/>
    <w:next w:val="ECHRPara"/>
    <w:uiPriority w:val="10"/>
    <w:rsid w:val="006350BE"/>
    <w:pPr>
      <w:ind w:firstLine="284"/>
    </w:pPr>
    <w:rPr>
      <w:b/>
    </w:rPr>
  </w:style>
  <w:style w:type="character" w:customStyle="1" w:styleId="32">
    <w:name w:val="Заголовок 3 Знак"/>
    <w:basedOn w:val="a3"/>
    <w:link w:val="31"/>
    <w:uiPriority w:val="99"/>
    <w:semiHidden/>
    <w:rsid w:val="006350BE"/>
    <w:rPr>
      <w:rFonts w:asciiTheme="majorHAnsi" w:eastAsiaTheme="majorEastAsia" w:hAnsiTheme="majorHAnsi" w:cstheme="majorBidi"/>
      <w:b/>
      <w:bCs/>
      <w:color w:val="5F5F5F"/>
      <w:sz w:val="24"/>
      <w:lang w:val="en-GB"/>
    </w:rPr>
  </w:style>
  <w:style w:type="character" w:customStyle="1" w:styleId="42">
    <w:name w:val="Заголовок 4 Знак"/>
    <w:basedOn w:val="a3"/>
    <w:link w:val="41"/>
    <w:uiPriority w:val="99"/>
    <w:semiHidden/>
    <w:rsid w:val="006350BE"/>
    <w:rPr>
      <w:rFonts w:asciiTheme="majorHAnsi" w:eastAsiaTheme="majorEastAsia" w:hAnsiTheme="majorHAnsi" w:cstheme="majorBidi"/>
      <w:b/>
      <w:bCs/>
      <w:i/>
      <w:iCs/>
      <w:color w:val="777777"/>
      <w:sz w:val="24"/>
      <w:lang w:val="en-GB"/>
    </w:rPr>
  </w:style>
  <w:style w:type="character" w:customStyle="1" w:styleId="52">
    <w:name w:val="Заголовок 5 Знак"/>
    <w:basedOn w:val="a3"/>
    <w:link w:val="51"/>
    <w:uiPriority w:val="99"/>
    <w:semiHidden/>
    <w:rsid w:val="006350BE"/>
    <w:rPr>
      <w:rFonts w:asciiTheme="majorHAnsi" w:eastAsiaTheme="majorEastAsia" w:hAnsiTheme="majorHAnsi" w:cstheme="majorBidi"/>
      <w:b/>
      <w:bCs/>
      <w:color w:val="808080"/>
    </w:rPr>
  </w:style>
  <w:style w:type="character" w:styleId="af1">
    <w:name w:val="Subtle Emphasis"/>
    <w:uiPriority w:val="99"/>
    <w:semiHidden/>
    <w:qFormat/>
    <w:rsid w:val="006350BE"/>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6350BE"/>
    <w:pPr>
      <w:keepNext/>
      <w:keepLines/>
      <w:spacing w:before="720" w:after="240"/>
      <w:outlineLvl w:val="0"/>
    </w:pPr>
    <w:rPr>
      <w:rFonts w:asciiTheme="majorHAnsi" w:hAnsiTheme="majorHAnsi"/>
      <w:sz w:val="28"/>
    </w:rPr>
  </w:style>
  <w:style w:type="character" w:styleId="af2">
    <w:name w:val="Emphasis"/>
    <w:uiPriority w:val="99"/>
    <w:semiHidden/>
    <w:qFormat/>
    <w:rsid w:val="006350BE"/>
    <w:rPr>
      <w:b/>
      <w:bCs/>
      <w:i/>
      <w:iCs/>
      <w:spacing w:val="10"/>
      <w:bdr w:val="none" w:sz="0" w:space="0" w:color="auto"/>
      <w:shd w:val="clear" w:color="auto" w:fill="auto"/>
    </w:rPr>
  </w:style>
  <w:style w:type="paragraph" w:styleId="aa">
    <w:name w:val="footer"/>
    <w:basedOn w:val="a2"/>
    <w:link w:val="af3"/>
    <w:uiPriority w:val="57"/>
    <w:semiHidden/>
    <w:rsid w:val="006350BE"/>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6350BE"/>
    <w:rPr>
      <w:sz w:val="24"/>
      <w:lang w:val="en-GB"/>
    </w:rPr>
  </w:style>
  <w:style w:type="character" w:styleId="af4">
    <w:name w:val="footnote reference"/>
    <w:basedOn w:val="a3"/>
    <w:uiPriority w:val="99"/>
    <w:semiHidden/>
    <w:rsid w:val="006350BE"/>
    <w:rPr>
      <w:vertAlign w:val="superscript"/>
    </w:rPr>
  </w:style>
  <w:style w:type="paragraph" w:styleId="af5">
    <w:name w:val="footnote text"/>
    <w:basedOn w:val="a2"/>
    <w:link w:val="af6"/>
    <w:uiPriority w:val="99"/>
    <w:semiHidden/>
    <w:rsid w:val="006350BE"/>
    <w:rPr>
      <w:sz w:val="20"/>
      <w:szCs w:val="20"/>
    </w:rPr>
  </w:style>
  <w:style w:type="character" w:customStyle="1" w:styleId="af6">
    <w:name w:val="Текст сноски Знак"/>
    <w:basedOn w:val="a3"/>
    <w:link w:val="af5"/>
    <w:uiPriority w:val="99"/>
    <w:semiHidden/>
    <w:rsid w:val="006350BE"/>
    <w:rPr>
      <w:rFonts w:eastAsiaTheme="minorEastAsia"/>
      <w:sz w:val="20"/>
      <w:szCs w:val="20"/>
      <w:lang w:val="en-GB"/>
    </w:rPr>
  </w:style>
  <w:style w:type="character" w:customStyle="1" w:styleId="60">
    <w:name w:val="Заголовок 6 Знак"/>
    <w:basedOn w:val="a3"/>
    <w:link w:val="6"/>
    <w:uiPriority w:val="99"/>
    <w:semiHidden/>
    <w:rsid w:val="006350BE"/>
    <w:rPr>
      <w:rFonts w:asciiTheme="majorHAnsi" w:eastAsiaTheme="majorEastAsia" w:hAnsiTheme="majorHAnsi" w:cstheme="majorBidi"/>
      <w:b/>
      <w:bCs/>
      <w:i/>
      <w:iCs/>
      <w:color w:val="7F7F7F" w:themeColor="text1" w:themeTint="80"/>
      <w:sz w:val="24"/>
      <w:lang w:val="en-GB" w:bidi="en-US"/>
    </w:rPr>
  </w:style>
  <w:style w:type="character" w:customStyle="1" w:styleId="70">
    <w:name w:val="Заголовок 7 Знак"/>
    <w:basedOn w:val="a3"/>
    <w:link w:val="7"/>
    <w:uiPriority w:val="99"/>
    <w:semiHidden/>
    <w:rsid w:val="006350BE"/>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6350BE"/>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6350BE"/>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6350BE"/>
    <w:rPr>
      <w:color w:val="0072BC" w:themeColor="hyperlink"/>
      <w:u w:val="single"/>
    </w:rPr>
  </w:style>
  <w:style w:type="character" w:styleId="af8">
    <w:name w:val="Intense Emphasis"/>
    <w:uiPriority w:val="99"/>
    <w:semiHidden/>
    <w:qFormat/>
    <w:rsid w:val="006350BE"/>
    <w:rPr>
      <w:b/>
      <w:bCs/>
    </w:rPr>
  </w:style>
  <w:style w:type="paragraph" w:styleId="af9">
    <w:name w:val="Intense Quote"/>
    <w:basedOn w:val="a2"/>
    <w:next w:val="a2"/>
    <w:link w:val="afa"/>
    <w:uiPriority w:val="99"/>
    <w:semiHidden/>
    <w:qFormat/>
    <w:rsid w:val="006350BE"/>
    <w:pPr>
      <w:pBdr>
        <w:bottom w:val="single" w:sz="4" w:space="1" w:color="auto"/>
      </w:pBdr>
      <w:spacing w:before="200" w:after="280"/>
      <w:ind w:left="1008" w:right="1152"/>
    </w:pPr>
    <w:rPr>
      <w:b/>
      <w:bCs/>
      <w:i/>
      <w:iCs/>
      <w:sz w:val="22"/>
      <w:lang w:val="en-US" w:bidi="en-US"/>
    </w:rPr>
  </w:style>
  <w:style w:type="character" w:customStyle="1" w:styleId="afa">
    <w:name w:val="Выделенная цитата Знак"/>
    <w:basedOn w:val="a3"/>
    <w:link w:val="af9"/>
    <w:uiPriority w:val="99"/>
    <w:semiHidden/>
    <w:rsid w:val="006350BE"/>
    <w:rPr>
      <w:rFonts w:eastAsiaTheme="minorEastAsia"/>
      <w:b/>
      <w:bCs/>
      <w:i/>
      <w:iCs/>
      <w:lang w:bidi="en-US"/>
    </w:rPr>
  </w:style>
  <w:style w:type="character" w:styleId="afb">
    <w:name w:val="Intense Reference"/>
    <w:uiPriority w:val="99"/>
    <w:semiHidden/>
    <w:qFormat/>
    <w:rsid w:val="006350BE"/>
    <w:rPr>
      <w:smallCaps/>
      <w:spacing w:val="5"/>
      <w:u w:val="single"/>
    </w:rPr>
  </w:style>
  <w:style w:type="paragraph" w:styleId="afc">
    <w:name w:val="List Paragraph"/>
    <w:basedOn w:val="a2"/>
    <w:uiPriority w:val="99"/>
    <w:semiHidden/>
    <w:qFormat/>
    <w:rsid w:val="006350BE"/>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6350BE"/>
    <w:pPr>
      <w:spacing w:before="200"/>
      <w:ind w:left="360" w:right="360"/>
    </w:pPr>
    <w:rPr>
      <w:i/>
      <w:iCs/>
      <w:sz w:val="22"/>
      <w:lang w:val="en-US" w:bidi="en-US"/>
    </w:rPr>
  </w:style>
  <w:style w:type="character" w:customStyle="1" w:styleId="24">
    <w:name w:val="Цитата 2 Знак"/>
    <w:basedOn w:val="a3"/>
    <w:link w:val="23"/>
    <w:uiPriority w:val="99"/>
    <w:semiHidden/>
    <w:rsid w:val="006350BE"/>
    <w:rPr>
      <w:rFonts w:eastAsiaTheme="minorEastAsia"/>
      <w:i/>
      <w:iCs/>
      <w:lang w:bidi="en-US"/>
    </w:rPr>
  </w:style>
  <w:style w:type="character" w:styleId="afd">
    <w:name w:val="Subtle Reference"/>
    <w:uiPriority w:val="99"/>
    <w:semiHidden/>
    <w:qFormat/>
    <w:rsid w:val="006350BE"/>
    <w:rPr>
      <w:smallCaps/>
    </w:rPr>
  </w:style>
  <w:style w:type="table" w:styleId="afe">
    <w:name w:val="Table Grid"/>
    <w:basedOn w:val="a4"/>
    <w:uiPriority w:val="59"/>
    <w:semiHidden/>
    <w:rsid w:val="006350B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6350BE"/>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6350BE"/>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6350BE"/>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6350BE"/>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6350BE"/>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6350BE"/>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6350BE"/>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a2"/>
    <w:link w:val="JuQuotChar"/>
    <w:uiPriority w:val="14"/>
    <w:qFormat/>
    <w:rsid w:val="006350BE"/>
    <w:pPr>
      <w:spacing w:before="120" w:after="120"/>
      <w:ind w:left="425" w:firstLine="142"/>
    </w:pPr>
    <w:rPr>
      <w:sz w:val="20"/>
    </w:rPr>
  </w:style>
  <w:style w:type="paragraph" w:customStyle="1" w:styleId="ECHRPara">
    <w:name w:val="ECHR_Para"/>
    <w:aliases w:val="Ju_Para"/>
    <w:basedOn w:val="a2"/>
    <w:link w:val="ECHRParaChar"/>
    <w:uiPriority w:val="12"/>
    <w:qFormat/>
    <w:rsid w:val="006350BE"/>
    <w:pPr>
      <w:ind w:firstLine="284"/>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6350BE"/>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6350BE"/>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6350BE"/>
    <w:pPr>
      <w:ind w:left="340" w:hanging="340"/>
    </w:pPr>
  </w:style>
  <w:style w:type="paragraph" w:customStyle="1" w:styleId="JuSigned">
    <w:name w:val="Ju_Signed"/>
    <w:basedOn w:val="a2"/>
    <w:next w:val="JuParaLast"/>
    <w:uiPriority w:val="32"/>
    <w:qFormat/>
    <w:rsid w:val="006350BE"/>
    <w:pPr>
      <w:tabs>
        <w:tab w:val="center" w:pos="851"/>
        <w:tab w:val="center" w:pos="6407"/>
      </w:tabs>
      <w:spacing w:before="720"/>
      <w:jc w:val="left"/>
    </w:pPr>
  </w:style>
  <w:style w:type="paragraph" w:customStyle="1" w:styleId="JuParaLast">
    <w:name w:val="Ju_Para_Last"/>
    <w:basedOn w:val="a2"/>
    <w:next w:val="ECHRPara"/>
    <w:uiPriority w:val="30"/>
    <w:qFormat/>
    <w:rsid w:val="006350BE"/>
    <w:pPr>
      <w:keepNext/>
      <w:keepLines/>
      <w:spacing w:before="240"/>
      <w:ind w:firstLine="284"/>
    </w:pPr>
  </w:style>
  <w:style w:type="paragraph" w:customStyle="1" w:styleId="OpiH1">
    <w:name w:val="Opi_H_1"/>
    <w:basedOn w:val="ECHRHeading2"/>
    <w:uiPriority w:val="42"/>
    <w:qFormat/>
    <w:rsid w:val="006350BE"/>
    <w:pPr>
      <w:ind w:left="635" w:hanging="357"/>
      <w:outlineLvl w:val="2"/>
    </w:pPr>
  </w:style>
  <w:style w:type="character" w:styleId="aff1">
    <w:name w:val="page number"/>
    <w:uiPriority w:val="99"/>
    <w:semiHidden/>
    <w:rsid w:val="00014566"/>
    <w:rPr>
      <w:sz w:val="18"/>
    </w:rPr>
  </w:style>
  <w:style w:type="paragraph" w:customStyle="1" w:styleId="JuLista">
    <w:name w:val="Ju_List_a"/>
    <w:basedOn w:val="JuList"/>
    <w:uiPriority w:val="28"/>
    <w:qFormat/>
    <w:rsid w:val="006350BE"/>
    <w:pPr>
      <w:ind w:left="346" w:firstLine="0"/>
    </w:pPr>
  </w:style>
  <w:style w:type="paragraph" w:customStyle="1" w:styleId="OpiHa">
    <w:name w:val="Opi_H_a"/>
    <w:basedOn w:val="ECHRHeading3"/>
    <w:uiPriority w:val="43"/>
    <w:qFormat/>
    <w:rsid w:val="006350BE"/>
    <w:pPr>
      <w:ind w:left="833" w:hanging="357"/>
      <w:outlineLvl w:val="3"/>
    </w:pPr>
    <w:rPr>
      <w:b/>
      <w:i w:val="0"/>
      <w:sz w:val="20"/>
    </w:rPr>
  </w:style>
  <w:style w:type="character" w:styleId="aff2">
    <w:name w:val="annotation reference"/>
    <w:uiPriority w:val="99"/>
    <w:semiHidden/>
    <w:rsid w:val="00014566"/>
    <w:rPr>
      <w:sz w:val="16"/>
    </w:rPr>
  </w:style>
  <w:style w:type="paragraph" w:styleId="aff3">
    <w:name w:val="annotation text"/>
    <w:basedOn w:val="a2"/>
    <w:link w:val="aff4"/>
    <w:semiHidden/>
    <w:rsid w:val="00014566"/>
    <w:rPr>
      <w:sz w:val="20"/>
    </w:rPr>
  </w:style>
  <w:style w:type="character" w:customStyle="1" w:styleId="aff4">
    <w:name w:val="Текст примечания Знак"/>
    <w:basedOn w:val="a3"/>
    <w:link w:val="aff3"/>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basedOn w:val="a3"/>
    <w:uiPriority w:val="99"/>
    <w:semiHidden/>
    <w:rsid w:val="006350BE"/>
    <w:rPr>
      <w:vertAlign w:val="superscript"/>
    </w:rPr>
  </w:style>
  <w:style w:type="paragraph" w:styleId="aff8">
    <w:name w:val="endnote text"/>
    <w:basedOn w:val="a2"/>
    <w:link w:val="aff9"/>
    <w:uiPriority w:val="99"/>
    <w:semiHidden/>
    <w:rsid w:val="006350BE"/>
    <w:rPr>
      <w:sz w:val="20"/>
      <w:szCs w:val="20"/>
    </w:rPr>
  </w:style>
  <w:style w:type="character" w:customStyle="1" w:styleId="aff9">
    <w:name w:val="Текст концевой сноски Знак"/>
    <w:basedOn w:val="a3"/>
    <w:link w:val="aff8"/>
    <w:uiPriority w:val="99"/>
    <w:semiHidden/>
    <w:rsid w:val="006350BE"/>
    <w:rPr>
      <w:rFonts w:eastAsiaTheme="minorEastAsia"/>
      <w:sz w:val="20"/>
      <w:szCs w:val="20"/>
      <w:lang w:val="en-GB"/>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OpiHA0">
    <w:name w:val="Opi_H_A"/>
    <w:basedOn w:val="ECHRHeading1"/>
    <w:next w:val="OpiPara"/>
    <w:uiPriority w:val="41"/>
    <w:qFormat/>
    <w:rsid w:val="006350BE"/>
    <w:pPr>
      <w:tabs>
        <w:tab w:val="clear" w:pos="357"/>
      </w:tabs>
      <w:outlineLvl w:val="1"/>
    </w:pPr>
    <w:rPr>
      <w:b/>
    </w:rPr>
  </w:style>
  <w:style w:type="paragraph" w:styleId="a0">
    <w:name w:val="List Bullet"/>
    <w:basedOn w:val="a2"/>
    <w:uiPriority w:val="99"/>
    <w:semiHidden/>
    <w:rsid w:val="00014566"/>
    <w:pPr>
      <w:numPr>
        <w:numId w:val="1"/>
      </w:numPr>
    </w:pPr>
  </w:style>
  <w:style w:type="character" w:customStyle="1" w:styleId="JuITMark">
    <w:name w:val="Ju_ITMark"/>
    <w:basedOn w:val="a3"/>
    <w:uiPriority w:val="38"/>
    <w:qFormat/>
    <w:rsid w:val="006350BE"/>
    <w:rPr>
      <w:vanish w:val="0"/>
      <w:color w:val="auto"/>
      <w:sz w:val="14"/>
      <w:bdr w:val="none" w:sz="0" w:space="0" w:color="auto"/>
      <w:shd w:val="clear" w:color="auto" w:fill="BEE5FF" w:themeFill="background1" w:themeFillTint="33"/>
    </w:rPr>
  </w:style>
  <w:style w:type="paragraph" w:styleId="affd">
    <w:name w:val="Subtitle"/>
    <w:basedOn w:val="a2"/>
    <w:next w:val="a2"/>
    <w:link w:val="affe"/>
    <w:uiPriority w:val="99"/>
    <w:semiHidden/>
    <w:qFormat/>
    <w:rsid w:val="006350BE"/>
    <w:pPr>
      <w:spacing w:after="600"/>
    </w:pPr>
    <w:rPr>
      <w:rFonts w:asciiTheme="majorHAnsi" w:eastAsiaTheme="majorEastAsia" w:hAnsiTheme="majorHAnsi" w:cstheme="majorBidi"/>
      <w:i/>
      <w:iCs/>
      <w:spacing w:val="13"/>
      <w:szCs w:val="24"/>
      <w:lang w:val="en-US" w:bidi="en-US"/>
    </w:rPr>
  </w:style>
  <w:style w:type="character" w:customStyle="1" w:styleId="affe">
    <w:name w:val="Подзаголовок Знак"/>
    <w:basedOn w:val="a3"/>
    <w:link w:val="affd"/>
    <w:uiPriority w:val="99"/>
    <w:semiHidden/>
    <w:rsid w:val="006350BE"/>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en-GB" w:eastAsia="fr-FR"/>
    </w:rPr>
  </w:style>
  <w:style w:type="table" w:styleId="13">
    <w:name w:val="Medium Grid 1"/>
    <w:basedOn w:val="a4"/>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6350BE"/>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6350BE"/>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6350BE"/>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OpiHi">
    <w:name w:val="Opi_H_i"/>
    <w:basedOn w:val="ECHRHeading4"/>
    <w:uiPriority w:val="44"/>
    <w:qFormat/>
    <w:rsid w:val="006350BE"/>
    <w:pPr>
      <w:ind w:left="1037" w:hanging="357"/>
      <w:outlineLvl w:val="4"/>
    </w:pPr>
    <w:rPr>
      <w:b w:val="0"/>
      <w:i/>
    </w:rPr>
  </w:style>
  <w:style w:type="paragraph" w:customStyle="1" w:styleId="OpiPara">
    <w:name w:val="Opi_Para"/>
    <w:basedOn w:val="ECHRPara"/>
    <w:uiPriority w:val="46"/>
    <w:qFormat/>
    <w:rsid w:val="006350BE"/>
  </w:style>
  <w:style w:type="paragraph" w:customStyle="1" w:styleId="OpiParaSub">
    <w:name w:val="Opi_Para_Sub"/>
    <w:basedOn w:val="JuParaSub"/>
    <w:uiPriority w:val="47"/>
    <w:qFormat/>
    <w:rsid w:val="006350BE"/>
  </w:style>
  <w:style w:type="paragraph" w:customStyle="1" w:styleId="OpiQuot">
    <w:name w:val="Opi_Quot"/>
    <w:basedOn w:val="ECHRParaQuote"/>
    <w:uiPriority w:val="48"/>
    <w:qFormat/>
    <w:rsid w:val="006350BE"/>
  </w:style>
  <w:style w:type="paragraph" w:customStyle="1" w:styleId="OpiQuotSub">
    <w:name w:val="Opi_Quot_Sub"/>
    <w:basedOn w:val="JuQuotSub"/>
    <w:uiPriority w:val="49"/>
    <w:qFormat/>
    <w:rsid w:val="006350BE"/>
  </w:style>
  <w:style w:type="paragraph" w:customStyle="1" w:styleId="OpiTranslation">
    <w:name w:val="Opi_Translation"/>
    <w:basedOn w:val="a2"/>
    <w:next w:val="OpiPara"/>
    <w:uiPriority w:val="40"/>
    <w:qFormat/>
    <w:rsid w:val="006350BE"/>
    <w:pPr>
      <w:jc w:val="center"/>
      <w:outlineLvl w:val="0"/>
    </w:pPr>
    <w:rPr>
      <w:i/>
    </w:rPr>
  </w:style>
  <w:style w:type="paragraph" w:customStyle="1" w:styleId="JuHeaderLandscape">
    <w:name w:val="Ju_Header_Landscape"/>
    <w:basedOn w:val="ECHRHeader"/>
    <w:uiPriority w:val="4"/>
    <w:qFormat/>
    <w:rsid w:val="006350BE"/>
    <w:pPr>
      <w:tabs>
        <w:tab w:val="clear" w:pos="3686"/>
        <w:tab w:val="clear" w:pos="7371"/>
        <w:tab w:val="center" w:pos="6146"/>
        <w:tab w:val="right" w:pos="12293"/>
      </w:tabs>
    </w:pPr>
  </w:style>
  <w:style w:type="character" w:customStyle="1" w:styleId="ECHRParaChar">
    <w:name w:val="ECHR_Para Char"/>
    <w:aliases w:val="Ju_Para Char"/>
    <w:basedOn w:val="a3"/>
    <w:link w:val="ECHRPara"/>
    <w:uiPriority w:val="12"/>
    <w:rsid w:val="00E5081A"/>
    <w:rPr>
      <w:rFonts w:eastAsiaTheme="minorEastAsia"/>
      <w:sz w:val="24"/>
      <w:lang w:val="en-GB"/>
    </w:rPr>
  </w:style>
  <w:style w:type="character" w:customStyle="1" w:styleId="JuQuotChar">
    <w:name w:val="Ju_Quot Char"/>
    <w:basedOn w:val="a3"/>
    <w:link w:val="ECHRParaQuote"/>
    <w:uiPriority w:val="14"/>
    <w:rsid w:val="00A92F7A"/>
    <w:rPr>
      <w:rFonts w:eastAsiaTheme="minorEastAsia"/>
      <w:sz w:val="20"/>
      <w:lang w:val="en-GB"/>
    </w:rPr>
  </w:style>
  <w:style w:type="character" w:customStyle="1" w:styleId="JuHAChar">
    <w:name w:val="Ju_H_A Char"/>
    <w:basedOn w:val="a3"/>
    <w:link w:val="ECHRHeading2"/>
    <w:uiPriority w:val="20"/>
    <w:rsid w:val="00F946F4"/>
    <w:rPr>
      <w:rFonts w:asciiTheme="majorHAnsi" w:eastAsiaTheme="majorEastAsia" w:hAnsiTheme="majorHAnsi" w:cstheme="majorBidi"/>
      <w:b/>
      <w:bCs/>
      <w:sz w:val="24"/>
      <w:szCs w:val="26"/>
      <w:lang w:val="en-GB"/>
    </w:rPr>
  </w:style>
  <w:style w:type="paragraph" w:styleId="affffff">
    <w:name w:val="Revision"/>
    <w:hidden/>
    <w:uiPriority w:val="99"/>
    <w:semiHidden/>
    <w:rsid w:val="00A67350"/>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7031">
      <w:bodyDiv w:val="1"/>
      <w:marLeft w:val="0"/>
      <w:marRight w:val="0"/>
      <w:marTop w:val="0"/>
      <w:marBottom w:val="0"/>
      <w:divBdr>
        <w:top w:val="none" w:sz="0" w:space="0" w:color="auto"/>
        <w:left w:val="none" w:sz="0" w:space="0" w:color="auto"/>
        <w:bottom w:val="none" w:sz="0" w:space="0" w:color="auto"/>
        <w:right w:val="none" w:sz="0" w:space="0" w:color="auto"/>
      </w:divBdr>
    </w:div>
    <w:div w:id="277839009">
      <w:bodyDiv w:val="1"/>
      <w:marLeft w:val="0"/>
      <w:marRight w:val="0"/>
      <w:marTop w:val="0"/>
      <w:marBottom w:val="0"/>
      <w:divBdr>
        <w:top w:val="none" w:sz="0" w:space="0" w:color="auto"/>
        <w:left w:val="none" w:sz="0" w:space="0" w:color="auto"/>
        <w:bottom w:val="none" w:sz="0" w:space="0" w:color="auto"/>
        <w:right w:val="none" w:sz="0" w:space="0" w:color="auto"/>
      </w:divBdr>
    </w:div>
    <w:div w:id="284504940">
      <w:bodyDiv w:val="1"/>
      <w:marLeft w:val="0"/>
      <w:marRight w:val="0"/>
      <w:marTop w:val="0"/>
      <w:marBottom w:val="0"/>
      <w:divBdr>
        <w:top w:val="none" w:sz="0" w:space="0" w:color="auto"/>
        <w:left w:val="none" w:sz="0" w:space="0" w:color="auto"/>
        <w:bottom w:val="none" w:sz="0" w:space="0" w:color="auto"/>
        <w:right w:val="none" w:sz="0" w:space="0" w:color="auto"/>
      </w:divBdr>
      <w:divsChild>
        <w:div w:id="464350910">
          <w:marLeft w:val="0"/>
          <w:marRight w:val="0"/>
          <w:marTop w:val="0"/>
          <w:marBottom w:val="0"/>
          <w:divBdr>
            <w:top w:val="none" w:sz="0" w:space="0" w:color="auto"/>
            <w:left w:val="none" w:sz="0" w:space="0" w:color="auto"/>
            <w:bottom w:val="none" w:sz="0" w:space="0" w:color="auto"/>
            <w:right w:val="none" w:sz="0" w:space="0" w:color="auto"/>
          </w:divBdr>
          <w:divsChild>
            <w:div w:id="1951475262">
              <w:marLeft w:val="0"/>
              <w:marRight w:val="0"/>
              <w:marTop w:val="0"/>
              <w:marBottom w:val="0"/>
              <w:divBdr>
                <w:top w:val="none" w:sz="0" w:space="0" w:color="auto"/>
                <w:left w:val="none" w:sz="0" w:space="0" w:color="auto"/>
                <w:bottom w:val="none" w:sz="0" w:space="0" w:color="auto"/>
                <w:right w:val="none" w:sz="0" w:space="0" w:color="auto"/>
              </w:divBdr>
              <w:divsChild>
                <w:div w:id="189952224">
                  <w:marLeft w:val="0"/>
                  <w:marRight w:val="0"/>
                  <w:marTop w:val="0"/>
                  <w:marBottom w:val="0"/>
                  <w:divBdr>
                    <w:top w:val="none" w:sz="0" w:space="0" w:color="auto"/>
                    <w:left w:val="none" w:sz="0" w:space="0" w:color="auto"/>
                    <w:bottom w:val="none" w:sz="0" w:space="0" w:color="auto"/>
                    <w:right w:val="none" w:sz="0" w:space="0" w:color="auto"/>
                  </w:divBdr>
                  <w:divsChild>
                    <w:div w:id="2087410858">
                      <w:marLeft w:val="0"/>
                      <w:marRight w:val="0"/>
                      <w:marTop w:val="0"/>
                      <w:marBottom w:val="0"/>
                      <w:divBdr>
                        <w:top w:val="none" w:sz="0" w:space="0" w:color="auto"/>
                        <w:left w:val="none" w:sz="0" w:space="0" w:color="auto"/>
                        <w:bottom w:val="none" w:sz="0" w:space="0" w:color="auto"/>
                        <w:right w:val="none" w:sz="0" w:space="0" w:color="auto"/>
                      </w:divBdr>
                      <w:divsChild>
                        <w:div w:id="1438014810">
                          <w:marLeft w:val="0"/>
                          <w:marRight w:val="0"/>
                          <w:marTop w:val="0"/>
                          <w:marBottom w:val="0"/>
                          <w:divBdr>
                            <w:top w:val="none" w:sz="0" w:space="0" w:color="auto"/>
                            <w:left w:val="none" w:sz="0" w:space="0" w:color="auto"/>
                            <w:bottom w:val="none" w:sz="0" w:space="0" w:color="auto"/>
                            <w:right w:val="none" w:sz="0" w:space="0" w:color="auto"/>
                          </w:divBdr>
                          <w:divsChild>
                            <w:div w:id="1937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920381">
      <w:bodyDiv w:val="1"/>
      <w:marLeft w:val="0"/>
      <w:marRight w:val="0"/>
      <w:marTop w:val="0"/>
      <w:marBottom w:val="0"/>
      <w:divBdr>
        <w:top w:val="none" w:sz="0" w:space="0" w:color="auto"/>
        <w:left w:val="none" w:sz="0" w:space="0" w:color="auto"/>
        <w:bottom w:val="none" w:sz="0" w:space="0" w:color="auto"/>
        <w:right w:val="none" w:sz="0" w:space="0" w:color="auto"/>
      </w:divBdr>
    </w:div>
    <w:div w:id="758330139">
      <w:bodyDiv w:val="1"/>
      <w:marLeft w:val="0"/>
      <w:marRight w:val="0"/>
      <w:marTop w:val="0"/>
      <w:marBottom w:val="0"/>
      <w:divBdr>
        <w:top w:val="none" w:sz="0" w:space="0" w:color="auto"/>
        <w:left w:val="none" w:sz="0" w:space="0" w:color="auto"/>
        <w:bottom w:val="none" w:sz="0" w:space="0" w:color="auto"/>
        <w:right w:val="none" w:sz="0" w:space="0" w:color="auto"/>
      </w:divBdr>
      <w:divsChild>
        <w:div w:id="1572814243">
          <w:marLeft w:val="0"/>
          <w:marRight w:val="0"/>
          <w:marTop w:val="0"/>
          <w:marBottom w:val="0"/>
          <w:divBdr>
            <w:top w:val="none" w:sz="0" w:space="0" w:color="auto"/>
            <w:left w:val="none" w:sz="0" w:space="0" w:color="auto"/>
            <w:bottom w:val="none" w:sz="0" w:space="0" w:color="auto"/>
            <w:right w:val="none" w:sz="0" w:space="0" w:color="auto"/>
          </w:divBdr>
          <w:divsChild>
            <w:div w:id="1147942051">
              <w:marLeft w:val="0"/>
              <w:marRight w:val="0"/>
              <w:marTop w:val="0"/>
              <w:marBottom w:val="0"/>
              <w:divBdr>
                <w:top w:val="none" w:sz="0" w:space="0" w:color="auto"/>
                <w:left w:val="none" w:sz="0" w:space="0" w:color="auto"/>
                <w:bottom w:val="none" w:sz="0" w:space="0" w:color="auto"/>
                <w:right w:val="none" w:sz="0" w:space="0" w:color="auto"/>
              </w:divBdr>
              <w:divsChild>
                <w:div w:id="1234509941">
                  <w:marLeft w:val="0"/>
                  <w:marRight w:val="0"/>
                  <w:marTop w:val="0"/>
                  <w:marBottom w:val="0"/>
                  <w:divBdr>
                    <w:top w:val="none" w:sz="0" w:space="0" w:color="auto"/>
                    <w:left w:val="none" w:sz="0" w:space="0" w:color="auto"/>
                    <w:bottom w:val="none" w:sz="0" w:space="0" w:color="auto"/>
                    <w:right w:val="none" w:sz="0" w:space="0" w:color="auto"/>
                  </w:divBdr>
                  <w:divsChild>
                    <w:div w:id="750541715">
                      <w:marLeft w:val="0"/>
                      <w:marRight w:val="0"/>
                      <w:marTop w:val="0"/>
                      <w:marBottom w:val="0"/>
                      <w:divBdr>
                        <w:top w:val="none" w:sz="0" w:space="0" w:color="auto"/>
                        <w:left w:val="none" w:sz="0" w:space="0" w:color="auto"/>
                        <w:bottom w:val="none" w:sz="0" w:space="0" w:color="auto"/>
                        <w:right w:val="none" w:sz="0" w:space="0" w:color="auto"/>
                      </w:divBdr>
                      <w:divsChild>
                        <w:div w:id="1278562514">
                          <w:marLeft w:val="0"/>
                          <w:marRight w:val="0"/>
                          <w:marTop w:val="0"/>
                          <w:marBottom w:val="0"/>
                          <w:divBdr>
                            <w:top w:val="none" w:sz="0" w:space="0" w:color="auto"/>
                            <w:left w:val="none" w:sz="0" w:space="0" w:color="auto"/>
                            <w:bottom w:val="none" w:sz="0" w:space="0" w:color="auto"/>
                            <w:right w:val="none" w:sz="0" w:space="0" w:color="auto"/>
                          </w:divBdr>
                          <w:divsChild>
                            <w:div w:id="13910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054134">
      <w:bodyDiv w:val="1"/>
      <w:marLeft w:val="0"/>
      <w:marRight w:val="0"/>
      <w:marTop w:val="0"/>
      <w:marBottom w:val="0"/>
      <w:divBdr>
        <w:top w:val="none" w:sz="0" w:space="0" w:color="auto"/>
        <w:left w:val="none" w:sz="0" w:space="0" w:color="auto"/>
        <w:bottom w:val="none" w:sz="0" w:space="0" w:color="auto"/>
        <w:right w:val="none" w:sz="0" w:space="0" w:color="auto"/>
      </w:divBdr>
    </w:div>
    <w:div w:id="823476914">
      <w:bodyDiv w:val="1"/>
      <w:marLeft w:val="0"/>
      <w:marRight w:val="0"/>
      <w:marTop w:val="0"/>
      <w:marBottom w:val="0"/>
      <w:divBdr>
        <w:top w:val="none" w:sz="0" w:space="0" w:color="auto"/>
        <w:left w:val="none" w:sz="0" w:space="0" w:color="auto"/>
        <w:bottom w:val="none" w:sz="0" w:space="0" w:color="auto"/>
        <w:right w:val="none" w:sz="0" w:space="0" w:color="auto"/>
      </w:divBdr>
    </w:div>
    <w:div w:id="1170216574">
      <w:bodyDiv w:val="1"/>
      <w:marLeft w:val="0"/>
      <w:marRight w:val="0"/>
      <w:marTop w:val="0"/>
      <w:marBottom w:val="0"/>
      <w:divBdr>
        <w:top w:val="none" w:sz="0" w:space="0" w:color="auto"/>
        <w:left w:val="none" w:sz="0" w:space="0" w:color="auto"/>
        <w:bottom w:val="none" w:sz="0" w:space="0" w:color="auto"/>
        <w:right w:val="none" w:sz="0" w:space="0" w:color="auto"/>
      </w:divBdr>
    </w:div>
    <w:div w:id="1256785752">
      <w:bodyDiv w:val="1"/>
      <w:marLeft w:val="0"/>
      <w:marRight w:val="0"/>
      <w:marTop w:val="0"/>
      <w:marBottom w:val="0"/>
      <w:divBdr>
        <w:top w:val="none" w:sz="0" w:space="0" w:color="auto"/>
        <w:left w:val="none" w:sz="0" w:space="0" w:color="auto"/>
        <w:bottom w:val="none" w:sz="0" w:space="0" w:color="auto"/>
        <w:right w:val="none" w:sz="0" w:space="0" w:color="auto"/>
      </w:divBdr>
      <w:divsChild>
        <w:div w:id="325329911">
          <w:marLeft w:val="0"/>
          <w:marRight w:val="0"/>
          <w:marTop w:val="0"/>
          <w:marBottom w:val="0"/>
          <w:divBdr>
            <w:top w:val="none" w:sz="0" w:space="0" w:color="auto"/>
            <w:left w:val="none" w:sz="0" w:space="0" w:color="auto"/>
            <w:bottom w:val="none" w:sz="0" w:space="0" w:color="auto"/>
            <w:right w:val="none" w:sz="0" w:space="0" w:color="auto"/>
          </w:divBdr>
          <w:divsChild>
            <w:div w:id="664431544">
              <w:marLeft w:val="0"/>
              <w:marRight w:val="0"/>
              <w:marTop w:val="0"/>
              <w:marBottom w:val="0"/>
              <w:divBdr>
                <w:top w:val="none" w:sz="0" w:space="0" w:color="auto"/>
                <w:left w:val="none" w:sz="0" w:space="0" w:color="auto"/>
                <w:bottom w:val="none" w:sz="0" w:space="0" w:color="auto"/>
                <w:right w:val="none" w:sz="0" w:space="0" w:color="auto"/>
              </w:divBdr>
              <w:divsChild>
                <w:div w:id="1224873309">
                  <w:marLeft w:val="0"/>
                  <w:marRight w:val="0"/>
                  <w:marTop w:val="0"/>
                  <w:marBottom w:val="0"/>
                  <w:divBdr>
                    <w:top w:val="none" w:sz="0" w:space="0" w:color="auto"/>
                    <w:left w:val="none" w:sz="0" w:space="0" w:color="auto"/>
                    <w:bottom w:val="none" w:sz="0" w:space="0" w:color="auto"/>
                    <w:right w:val="none" w:sz="0" w:space="0" w:color="auto"/>
                  </w:divBdr>
                  <w:divsChild>
                    <w:div w:id="2128770045">
                      <w:marLeft w:val="0"/>
                      <w:marRight w:val="0"/>
                      <w:marTop w:val="0"/>
                      <w:marBottom w:val="0"/>
                      <w:divBdr>
                        <w:top w:val="none" w:sz="0" w:space="0" w:color="auto"/>
                        <w:left w:val="none" w:sz="0" w:space="0" w:color="auto"/>
                        <w:bottom w:val="none" w:sz="0" w:space="0" w:color="auto"/>
                        <w:right w:val="none" w:sz="0" w:space="0" w:color="auto"/>
                      </w:divBdr>
                      <w:divsChild>
                        <w:div w:id="1144590827">
                          <w:marLeft w:val="0"/>
                          <w:marRight w:val="0"/>
                          <w:marTop w:val="0"/>
                          <w:marBottom w:val="0"/>
                          <w:divBdr>
                            <w:top w:val="none" w:sz="0" w:space="0" w:color="auto"/>
                            <w:left w:val="none" w:sz="0" w:space="0" w:color="auto"/>
                            <w:bottom w:val="none" w:sz="0" w:space="0" w:color="auto"/>
                            <w:right w:val="none" w:sz="0" w:space="0" w:color="auto"/>
                          </w:divBdr>
                          <w:divsChild>
                            <w:div w:id="18455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182637">
      <w:bodyDiv w:val="1"/>
      <w:marLeft w:val="0"/>
      <w:marRight w:val="0"/>
      <w:marTop w:val="0"/>
      <w:marBottom w:val="0"/>
      <w:divBdr>
        <w:top w:val="none" w:sz="0" w:space="0" w:color="auto"/>
        <w:left w:val="none" w:sz="0" w:space="0" w:color="auto"/>
        <w:bottom w:val="none" w:sz="0" w:space="0" w:color="auto"/>
        <w:right w:val="none" w:sz="0" w:space="0" w:color="auto"/>
      </w:divBdr>
      <w:divsChild>
        <w:div w:id="596105">
          <w:marLeft w:val="0"/>
          <w:marRight w:val="0"/>
          <w:marTop w:val="0"/>
          <w:marBottom w:val="0"/>
          <w:divBdr>
            <w:top w:val="none" w:sz="0" w:space="0" w:color="auto"/>
            <w:left w:val="none" w:sz="0" w:space="0" w:color="auto"/>
            <w:bottom w:val="none" w:sz="0" w:space="0" w:color="auto"/>
            <w:right w:val="none" w:sz="0" w:space="0" w:color="auto"/>
          </w:divBdr>
          <w:divsChild>
            <w:div w:id="446581568">
              <w:marLeft w:val="0"/>
              <w:marRight w:val="0"/>
              <w:marTop w:val="0"/>
              <w:marBottom w:val="0"/>
              <w:divBdr>
                <w:top w:val="none" w:sz="0" w:space="0" w:color="auto"/>
                <w:left w:val="none" w:sz="0" w:space="0" w:color="auto"/>
                <w:bottom w:val="none" w:sz="0" w:space="0" w:color="auto"/>
                <w:right w:val="none" w:sz="0" w:space="0" w:color="auto"/>
              </w:divBdr>
              <w:divsChild>
                <w:div w:id="479469381">
                  <w:marLeft w:val="0"/>
                  <w:marRight w:val="0"/>
                  <w:marTop w:val="0"/>
                  <w:marBottom w:val="0"/>
                  <w:divBdr>
                    <w:top w:val="none" w:sz="0" w:space="0" w:color="auto"/>
                    <w:left w:val="none" w:sz="0" w:space="0" w:color="auto"/>
                    <w:bottom w:val="none" w:sz="0" w:space="0" w:color="auto"/>
                    <w:right w:val="none" w:sz="0" w:space="0" w:color="auto"/>
                  </w:divBdr>
                  <w:divsChild>
                    <w:div w:id="1692101784">
                      <w:marLeft w:val="0"/>
                      <w:marRight w:val="0"/>
                      <w:marTop w:val="0"/>
                      <w:marBottom w:val="0"/>
                      <w:divBdr>
                        <w:top w:val="none" w:sz="0" w:space="0" w:color="auto"/>
                        <w:left w:val="none" w:sz="0" w:space="0" w:color="auto"/>
                        <w:bottom w:val="none" w:sz="0" w:space="0" w:color="auto"/>
                        <w:right w:val="none" w:sz="0" w:space="0" w:color="auto"/>
                      </w:divBdr>
                      <w:divsChild>
                        <w:div w:id="676074990">
                          <w:marLeft w:val="0"/>
                          <w:marRight w:val="0"/>
                          <w:marTop w:val="0"/>
                          <w:marBottom w:val="0"/>
                          <w:divBdr>
                            <w:top w:val="none" w:sz="0" w:space="0" w:color="auto"/>
                            <w:left w:val="none" w:sz="0" w:space="0" w:color="auto"/>
                            <w:bottom w:val="none" w:sz="0" w:space="0" w:color="auto"/>
                            <w:right w:val="none" w:sz="0" w:space="0" w:color="auto"/>
                          </w:divBdr>
                          <w:divsChild>
                            <w:div w:id="16439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711513">
      <w:bodyDiv w:val="1"/>
      <w:marLeft w:val="0"/>
      <w:marRight w:val="0"/>
      <w:marTop w:val="0"/>
      <w:marBottom w:val="0"/>
      <w:divBdr>
        <w:top w:val="none" w:sz="0" w:space="0" w:color="auto"/>
        <w:left w:val="none" w:sz="0" w:space="0" w:color="auto"/>
        <w:bottom w:val="none" w:sz="0" w:space="0" w:color="auto"/>
        <w:right w:val="none" w:sz="0" w:space="0" w:color="auto"/>
      </w:divBdr>
      <w:divsChild>
        <w:div w:id="1040402950">
          <w:marLeft w:val="0"/>
          <w:marRight w:val="0"/>
          <w:marTop w:val="0"/>
          <w:marBottom w:val="0"/>
          <w:divBdr>
            <w:top w:val="none" w:sz="0" w:space="0" w:color="auto"/>
            <w:left w:val="none" w:sz="0" w:space="0" w:color="auto"/>
            <w:bottom w:val="none" w:sz="0" w:space="0" w:color="auto"/>
            <w:right w:val="none" w:sz="0" w:space="0" w:color="auto"/>
          </w:divBdr>
          <w:divsChild>
            <w:div w:id="128479185">
              <w:marLeft w:val="0"/>
              <w:marRight w:val="0"/>
              <w:marTop w:val="0"/>
              <w:marBottom w:val="0"/>
              <w:divBdr>
                <w:top w:val="none" w:sz="0" w:space="0" w:color="auto"/>
                <w:left w:val="none" w:sz="0" w:space="0" w:color="auto"/>
                <w:bottom w:val="none" w:sz="0" w:space="0" w:color="auto"/>
                <w:right w:val="none" w:sz="0" w:space="0" w:color="auto"/>
              </w:divBdr>
              <w:divsChild>
                <w:div w:id="1374840596">
                  <w:marLeft w:val="0"/>
                  <w:marRight w:val="0"/>
                  <w:marTop w:val="0"/>
                  <w:marBottom w:val="0"/>
                  <w:divBdr>
                    <w:top w:val="none" w:sz="0" w:space="0" w:color="auto"/>
                    <w:left w:val="none" w:sz="0" w:space="0" w:color="auto"/>
                    <w:bottom w:val="none" w:sz="0" w:space="0" w:color="auto"/>
                    <w:right w:val="none" w:sz="0" w:space="0" w:color="auto"/>
                  </w:divBdr>
                  <w:divsChild>
                    <w:div w:id="856232500">
                      <w:marLeft w:val="0"/>
                      <w:marRight w:val="0"/>
                      <w:marTop w:val="0"/>
                      <w:marBottom w:val="0"/>
                      <w:divBdr>
                        <w:top w:val="none" w:sz="0" w:space="0" w:color="auto"/>
                        <w:left w:val="none" w:sz="0" w:space="0" w:color="auto"/>
                        <w:bottom w:val="none" w:sz="0" w:space="0" w:color="auto"/>
                        <w:right w:val="none" w:sz="0" w:space="0" w:color="auto"/>
                      </w:divBdr>
                      <w:divsChild>
                        <w:div w:id="2009139348">
                          <w:marLeft w:val="0"/>
                          <w:marRight w:val="0"/>
                          <w:marTop w:val="0"/>
                          <w:marBottom w:val="0"/>
                          <w:divBdr>
                            <w:top w:val="none" w:sz="0" w:space="0" w:color="auto"/>
                            <w:left w:val="none" w:sz="0" w:space="0" w:color="auto"/>
                            <w:bottom w:val="none" w:sz="0" w:space="0" w:color="auto"/>
                            <w:right w:val="none" w:sz="0" w:space="0" w:color="auto"/>
                          </w:divBdr>
                          <w:divsChild>
                            <w:div w:id="236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995270">
      <w:bodyDiv w:val="1"/>
      <w:marLeft w:val="0"/>
      <w:marRight w:val="0"/>
      <w:marTop w:val="0"/>
      <w:marBottom w:val="0"/>
      <w:divBdr>
        <w:top w:val="none" w:sz="0" w:space="0" w:color="auto"/>
        <w:left w:val="none" w:sz="0" w:space="0" w:color="auto"/>
        <w:bottom w:val="none" w:sz="0" w:space="0" w:color="auto"/>
        <w:right w:val="none" w:sz="0" w:space="0" w:color="auto"/>
      </w:divBdr>
    </w:div>
    <w:div w:id="1460996270">
      <w:bodyDiv w:val="1"/>
      <w:marLeft w:val="0"/>
      <w:marRight w:val="0"/>
      <w:marTop w:val="0"/>
      <w:marBottom w:val="0"/>
      <w:divBdr>
        <w:top w:val="none" w:sz="0" w:space="0" w:color="auto"/>
        <w:left w:val="none" w:sz="0" w:space="0" w:color="auto"/>
        <w:bottom w:val="none" w:sz="0" w:space="0" w:color="auto"/>
        <w:right w:val="none" w:sz="0" w:space="0" w:color="auto"/>
      </w:divBdr>
    </w:div>
    <w:div w:id="1501118386">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77403768">
      <w:bodyDiv w:val="1"/>
      <w:marLeft w:val="0"/>
      <w:marRight w:val="0"/>
      <w:marTop w:val="0"/>
      <w:marBottom w:val="0"/>
      <w:divBdr>
        <w:top w:val="none" w:sz="0" w:space="0" w:color="auto"/>
        <w:left w:val="none" w:sz="0" w:space="0" w:color="auto"/>
        <w:bottom w:val="none" w:sz="0" w:space="0" w:color="auto"/>
        <w:right w:val="none" w:sz="0" w:space="0" w:color="auto"/>
      </w:divBdr>
      <w:divsChild>
        <w:div w:id="463038007">
          <w:marLeft w:val="0"/>
          <w:marRight w:val="0"/>
          <w:marTop w:val="0"/>
          <w:marBottom w:val="0"/>
          <w:divBdr>
            <w:top w:val="none" w:sz="0" w:space="0" w:color="auto"/>
            <w:left w:val="none" w:sz="0" w:space="0" w:color="auto"/>
            <w:bottom w:val="none" w:sz="0" w:space="0" w:color="auto"/>
            <w:right w:val="none" w:sz="0" w:space="0" w:color="auto"/>
          </w:divBdr>
          <w:divsChild>
            <w:div w:id="1127238058">
              <w:marLeft w:val="0"/>
              <w:marRight w:val="0"/>
              <w:marTop w:val="0"/>
              <w:marBottom w:val="0"/>
              <w:divBdr>
                <w:top w:val="none" w:sz="0" w:space="0" w:color="auto"/>
                <w:left w:val="none" w:sz="0" w:space="0" w:color="auto"/>
                <w:bottom w:val="none" w:sz="0" w:space="0" w:color="auto"/>
                <w:right w:val="none" w:sz="0" w:space="0" w:color="auto"/>
              </w:divBdr>
              <w:divsChild>
                <w:div w:id="634218235">
                  <w:marLeft w:val="0"/>
                  <w:marRight w:val="0"/>
                  <w:marTop w:val="0"/>
                  <w:marBottom w:val="0"/>
                  <w:divBdr>
                    <w:top w:val="none" w:sz="0" w:space="0" w:color="auto"/>
                    <w:left w:val="none" w:sz="0" w:space="0" w:color="auto"/>
                    <w:bottom w:val="none" w:sz="0" w:space="0" w:color="auto"/>
                    <w:right w:val="none" w:sz="0" w:space="0" w:color="auto"/>
                  </w:divBdr>
                  <w:divsChild>
                    <w:div w:id="116996404">
                      <w:marLeft w:val="0"/>
                      <w:marRight w:val="0"/>
                      <w:marTop w:val="0"/>
                      <w:marBottom w:val="0"/>
                      <w:divBdr>
                        <w:top w:val="none" w:sz="0" w:space="0" w:color="auto"/>
                        <w:left w:val="none" w:sz="0" w:space="0" w:color="auto"/>
                        <w:bottom w:val="none" w:sz="0" w:space="0" w:color="auto"/>
                        <w:right w:val="none" w:sz="0" w:space="0" w:color="auto"/>
                      </w:divBdr>
                      <w:divsChild>
                        <w:div w:id="589123990">
                          <w:marLeft w:val="0"/>
                          <w:marRight w:val="0"/>
                          <w:marTop w:val="0"/>
                          <w:marBottom w:val="0"/>
                          <w:divBdr>
                            <w:top w:val="none" w:sz="0" w:space="0" w:color="auto"/>
                            <w:left w:val="none" w:sz="0" w:space="0" w:color="auto"/>
                            <w:bottom w:val="none" w:sz="0" w:space="0" w:color="auto"/>
                            <w:right w:val="none" w:sz="0" w:space="0" w:color="auto"/>
                          </w:divBdr>
                          <w:divsChild>
                            <w:div w:id="4532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34952">
      <w:bodyDiv w:val="1"/>
      <w:marLeft w:val="0"/>
      <w:marRight w:val="0"/>
      <w:marTop w:val="0"/>
      <w:marBottom w:val="0"/>
      <w:divBdr>
        <w:top w:val="none" w:sz="0" w:space="0" w:color="auto"/>
        <w:left w:val="none" w:sz="0" w:space="0" w:color="auto"/>
        <w:bottom w:val="none" w:sz="0" w:space="0" w:color="auto"/>
        <w:right w:val="none" w:sz="0" w:space="0" w:color="auto"/>
      </w:divBdr>
    </w:div>
    <w:div w:id="1920291015">
      <w:bodyDiv w:val="1"/>
      <w:marLeft w:val="0"/>
      <w:marRight w:val="0"/>
      <w:marTop w:val="0"/>
      <w:marBottom w:val="0"/>
      <w:divBdr>
        <w:top w:val="none" w:sz="0" w:space="0" w:color="auto"/>
        <w:left w:val="none" w:sz="0" w:space="0" w:color="auto"/>
        <w:bottom w:val="none" w:sz="0" w:space="0" w:color="auto"/>
        <w:right w:val="none" w:sz="0" w:space="0" w:color="auto"/>
      </w:divBdr>
      <w:divsChild>
        <w:div w:id="1225143509">
          <w:marLeft w:val="0"/>
          <w:marRight w:val="0"/>
          <w:marTop w:val="0"/>
          <w:marBottom w:val="0"/>
          <w:divBdr>
            <w:top w:val="none" w:sz="0" w:space="0" w:color="auto"/>
            <w:left w:val="none" w:sz="0" w:space="0" w:color="auto"/>
            <w:bottom w:val="none" w:sz="0" w:space="0" w:color="auto"/>
            <w:right w:val="none" w:sz="0" w:space="0" w:color="auto"/>
          </w:divBdr>
          <w:divsChild>
            <w:div w:id="2110153927">
              <w:marLeft w:val="0"/>
              <w:marRight w:val="0"/>
              <w:marTop w:val="0"/>
              <w:marBottom w:val="0"/>
              <w:divBdr>
                <w:top w:val="none" w:sz="0" w:space="0" w:color="auto"/>
                <w:left w:val="none" w:sz="0" w:space="0" w:color="auto"/>
                <w:bottom w:val="none" w:sz="0" w:space="0" w:color="auto"/>
                <w:right w:val="none" w:sz="0" w:space="0" w:color="auto"/>
              </w:divBdr>
              <w:divsChild>
                <w:div w:id="803236548">
                  <w:marLeft w:val="0"/>
                  <w:marRight w:val="0"/>
                  <w:marTop w:val="0"/>
                  <w:marBottom w:val="0"/>
                  <w:divBdr>
                    <w:top w:val="none" w:sz="0" w:space="0" w:color="auto"/>
                    <w:left w:val="none" w:sz="0" w:space="0" w:color="auto"/>
                    <w:bottom w:val="none" w:sz="0" w:space="0" w:color="auto"/>
                    <w:right w:val="none" w:sz="0" w:space="0" w:color="auto"/>
                  </w:divBdr>
                  <w:divsChild>
                    <w:div w:id="395707327">
                      <w:marLeft w:val="0"/>
                      <w:marRight w:val="0"/>
                      <w:marTop w:val="0"/>
                      <w:marBottom w:val="0"/>
                      <w:divBdr>
                        <w:top w:val="none" w:sz="0" w:space="0" w:color="auto"/>
                        <w:left w:val="none" w:sz="0" w:space="0" w:color="auto"/>
                        <w:bottom w:val="none" w:sz="0" w:space="0" w:color="auto"/>
                        <w:right w:val="none" w:sz="0" w:space="0" w:color="auto"/>
                      </w:divBdr>
                      <w:divsChild>
                        <w:div w:id="1035037314">
                          <w:marLeft w:val="0"/>
                          <w:marRight w:val="0"/>
                          <w:marTop w:val="0"/>
                          <w:marBottom w:val="0"/>
                          <w:divBdr>
                            <w:top w:val="none" w:sz="0" w:space="0" w:color="auto"/>
                            <w:left w:val="none" w:sz="0" w:space="0" w:color="auto"/>
                            <w:bottom w:val="none" w:sz="0" w:space="0" w:color="auto"/>
                            <w:right w:val="none" w:sz="0" w:space="0" w:color="auto"/>
                          </w:divBdr>
                          <w:divsChild>
                            <w:div w:id="3174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4CDC-1077-46BF-8C2F-1F995E975B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2865C2-52B9-4D3F-9157-3C3C9F804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E70161-C055-4052-B5AA-AFA275837C91}">
  <ds:schemaRefs>
    <ds:schemaRef ds:uri="http://schemas.microsoft.com/sharepoint/v3/contenttype/forms"/>
  </ds:schemaRefs>
</ds:datastoreItem>
</file>

<file path=customXml/itemProps4.xml><?xml version="1.0" encoding="utf-8"?>
<ds:datastoreItem xmlns:ds="http://schemas.openxmlformats.org/officeDocument/2006/customXml" ds:itemID="{11F80829-392C-424E-96E0-C03CEFF3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7304</Words>
  <Characters>41636</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2019-06-25T09:24:00Z</dcterms:created>
  <dcterms:modified xsi:type="dcterms:W3CDTF">2019-06-25T09:24:00Z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1935/07</vt:lpwstr>
  </property>
  <property fmtid="{D5CDD505-2E9C-101B-9397-08002B2CF9AE}" pid="4" name="CASEID">
    <vt:lpwstr>429389</vt:lpwstr>
  </property>
  <property fmtid="{D5CDD505-2E9C-101B-9397-08002B2CF9AE}" pid="5" name="ContentTypeId">
    <vt:lpwstr>0x010100558EB02BDB9E204AB350EDD385B68E10</vt:lpwstr>
  </property>
</Properties>
</file>