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66102" w:rsidR="00087C49" w:rsidP="00566102" w:rsidRDefault="00087C49">
      <w:pPr>
        <w:pStyle w:val="ECHRDecisionBody"/>
        <w:jc w:val="center"/>
      </w:pPr>
      <w:bookmarkStart w:name="_GoBack" w:id="0"/>
      <w:bookmarkEnd w:id="0"/>
    </w:p>
    <w:p w:rsidRPr="00566102" w:rsidR="00EF58B4" w:rsidP="00566102" w:rsidRDefault="00EF58B4">
      <w:pPr>
        <w:pStyle w:val="ECHRDecisionBody"/>
        <w:jc w:val="center"/>
      </w:pPr>
    </w:p>
    <w:p w:rsidRPr="00566102" w:rsidR="00EF58B4" w:rsidP="00566102" w:rsidRDefault="00EF58B4">
      <w:pPr>
        <w:pStyle w:val="ECHRDecisionBody"/>
        <w:jc w:val="center"/>
      </w:pPr>
    </w:p>
    <w:p w:rsidRPr="00566102" w:rsidR="00087C49" w:rsidP="00566102" w:rsidRDefault="00087C49">
      <w:pPr>
        <w:jc w:val="center"/>
      </w:pPr>
      <w:r w:rsidRPr="00566102">
        <w:t>THIRD SECTION</w:t>
      </w:r>
    </w:p>
    <w:p w:rsidRPr="00566102" w:rsidR="00087C49" w:rsidP="00566102" w:rsidRDefault="00087C49">
      <w:pPr>
        <w:jc w:val="center"/>
      </w:pPr>
    </w:p>
    <w:p w:rsidRPr="00566102" w:rsidR="00EF58B4" w:rsidP="00566102" w:rsidRDefault="00EF58B4">
      <w:pPr>
        <w:jc w:val="center"/>
      </w:pPr>
    </w:p>
    <w:p w:rsidRPr="00566102" w:rsidR="00EF58B4" w:rsidP="00566102" w:rsidRDefault="00EF58B4">
      <w:pPr>
        <w:jc w:val="center"/>
      </w:pPr>
    </w:p>
    <w:p w:rsidRPr="00566102" w:rsidR="00EF58B4" w:rsidP="00566102" w:rsidRDefault="00EF58B4">
      <w:pPr>
        <w:jc w:val="center"/>
      </w:pPr>
    </w:p>
    <w:p w:rsidRPr="00566102" w:rsidR="00EF58B4" w:rsidP="00566102" w:rsidRDefault="00EF58B4">
      <w:pPr>
        <w:jc w:val="center"/>
      </w:pPr>
    </w:p>
    <w:p w:rsidRPr="00566102" w:rsidR="00EF58B4" w:rsidP="00566102" w:rsidRDefault="00EF58B4">
      <w:pPr>
        <w:jc w:val="center"/>
      </w:pPr>
    </w:p>
    <w:p w:rsidRPr="00566102" w:rsidR="00EF58B4" w:rsidP="00566102" w:rsidRDefault="00EF58B4">
      <w:pPr>
        <w:jc w:val="center"/>
      </w:pPr>
    </w:p>
    <w:p w:rsidRPr="00566102" w:rsidR="00087C49" w:rsidP="00566102" w:rsidRDefault="00087C49">
      <w:pPr>
        <w:jc w:val="center"/>
        <w:rPr>
          <w:b/>
        </w:rPr>
      </w:pPr>
      <w:r w:rsidRPr="00566102">
        <w:rPr>
          <w:b/>
        </w:rPr>
        <w:t>CASE OF R.A. v. RUSSIA</w:t>
      </w:r>
    </w:p>
    <w:p w:rsidRPr="00566102" w:rsidR="00087C49" w:rsidP="00566102" w:rsidRDefault="00087C49">
      <w:pPr>
        <w:jc w:val="center"/>
      </w:pPr>
    </w:p>
    <w:p w:rsidRPr="00566102" w:rsidR="00087C49" w:rsidP="00566102" w:rsidRDefault="00087C49">
      <w:pPr>
        <w:jc w:val="center"/>
        <w:rPr>
          <w:i/>
        </w:rPr>
      </w:pPr>
      <w:r w:rsidRPr="00566102">
        <w:rPr>
          <w:i/>
        </w:rPr>
        <w:t>(Application no. 2592/17)</w:t>
      </w:r>
    </w:p>
    <w:p w:rsidRPr="00566102" w:rsidR="00014566" w:rsidP="00566102" w:rsidRDefault="00014566">
      <w:pPr>
        <w:jc w:val="center"/>
      </w:pPr>
    </w:p>
    <w:p w:rsidRPr="00566102" w:rsidR="00014566" w:rsidP="00566102" w:rsidRDefault="00014566">
      <w:pPr>
        <w:jc w:val="center"/>
      </w:pPr>
    </w:p>
    <w:p w:rsidRPr="00566102" w:rsidR="00014566" w:rsidP="00566102" w:rsidRDefault="00014566">
      <w:pPr>
        <w:jc w:val="center"/>
      </w:pPr>
    </w:p>
    <w:p w:rsidRPr="00566102" w:rsidR="00014566" w:rsidP="00566102" w:rsidRDefault="00014566">
      <w:pPr>
        <w:jc w:val="center"/>
      </w:pPr>
    </w:p>
    <w:p w:rsidRPr="00566102" w:rsidR="00014566" w:rsidP="00566102" w:rsidRDefault="00014566">
      <w:pPr>
        <w:jc w:val="center"/>
      </w:pPr>
    </w:p>
    <w:p w:rsidRPr="00566102" w:rsidR="00EF58B4" w:rsidP="00566102" w:rsidRDefault="00EF58B4">
      <w:pPr>
        <w:jc w:val="center"/>
      </w:pPr>
    </w:p>
    <w:p w:rsidRPr="00566102" w:rsidR="00EF58B4" w:rsidP="00566102" w:rsidRDefault="00EF58B4">
      <w:pPr>
        <w:jc w:val="center"/>
      </w:pPr>
    </w:p>
    <w:p w:rsidRPr="00566102" w:rsidR="00EF58B4" w:rsidP="00566102" w:rsidRDefault="00EF58B4">
      <w:pPr>
        <w:jc w:val="center"/>
      </w:pPr>
    </w:p>
    <w:p w:rsidRPr="00566102" w:rsidR="00EF58B4" w:rsidP="00566102" w:rsidRDefault="00EF58B4">
      <w:pPr>
        <w:jc w:val="center"/>
      </w:pPr>
    </w:p>
    <w:p w:rsidRPr="00566102" w:rsidR="00EF58B4" w:rsidP="00566102" w:rsidRDefault="00EF58B4">
      <w:pPr>
        <w:jc w:val="center"/>
      </w:pPr>
    </w:p>
    <w:p w:rsidRPr="00566102" w:rsidR="007971B6" w:rsidP="00566102" w:rsidRDefault="00EF58B4">
      <w:pPr>
        <w:jc w:val="center"/>
        <w:rPr>
          <w:szCs w:val="24"/>
        </w:rPr>
      </w:pPr>
      <w:r w:rsidRPr="00566102">
        <w:rPr>
          <w:szCs w:val="24"/>
        </w:rPr>
        <w:t>JUDGMENT</w:t>
      </w:r>
    </w:p>
    <w:p w:rsidRPr="00566102" w:rsidR="00EF58B4" w:rsidP="00566102" w:rsidRDefault="00EF58B4">
      <w:pPr>
        <w:pStyle w:val="JuCase"/>
        <w:ind w:firstLine="0"/>
        <w:jc w:val="center"/>
        <w:rPr>
          <w:b w:val="0"/>
        </w:rPr>
      </w:pPr>
    </w:p>
    <w:p w:rsidRPr="00566102" w:rsidR="00EF58B4" w:rsidP="00566102" w:rsidRDefault="00EF58B4">
      <w:pPr>
        <w:pStyle w:val="ECHRPara"/>
        <w:ind w:firstLine="0"/>
        <w:jc w:val="center"/>
      </w:pPr>
    </w:p>
    <w:p w:rsidRPr="00566102" w:rsidR="00EF58B4" w:rsidP="00566102" w:rsidRDefault="00EF58B4">
      <w:pPr>
        <w:pStyle w:val="JuCase"/>
        <w:ind w:firstLine="0"/>
        <w:jc w:val="center"/>
        <w:rPr>
          <w:b w:val="0"/>
        </w:rPr>
      </w:pPr>
      <w:r w:rsidRPr="00566102">
        <w:rPr>
          <w:b w:val="0"/>
        </w:rPr>
        <w:t>STRASBOURG</w:t>
      </w:r>
    </w:p>
    <w:p w:rsidRPr="00566102" w:rsidR="00EF58B4" w:rsidP="00566102" w:rsidRDefault="00EF58B4">
      <w:pPr>
        <w:pStyle w:val="JuCase"/>
        <w:ind w:firstLine="0"/>
        <w:jc w:val="center"/>
        <w:rPr>
          <w:b w:val="0"/>
        </w:rPr>
      </w:pPr>
    </w:p>
    <w:p w:rsidRPr="00566102" w:rsidR="00EF58B4" w:rsidP="00566102" w:rsidRDefault="00EF58B4">
      <w:pPr>
        <w:pStyle w:val="JuCase"/>
        <w:ind w:firstLine="0"/>
        <w:jc w:val="center"/>
        <w:rPr>
          <w:b w:val="0"/>
          <w:bCs/>
        </w:rPr>
      </w:pPr>
      <w:r w:rsidRPr="00566102">
        <w:rPr>
          <w:b w:val="0"/>
          <w:bCs/>
        </w:rPr>
        <w:t>9 July 2019</w:t>
      </w:r>
    </w:p>
    <w:p w:rsidRPr="00566102" w:rsidR="00EF58B4" w:rsidP="00566102" w:rsidRDefault="00EF58B4">
      <w:pPr>
        <w:pStyle w:val="JuCase"/>
        <w:ind w:firstLine="0"/>
        <w:jc w:val="center"/>
        <w:rPr>
          <w:b w:val="0"/>
          <w:bCs/>
        </w:rPr>
      </w:pPr>
    </w:p>
    <w:p w:rsidRPr="00566102" w:rsidR="00EF58B4" w:rsidP="00566102" w:rsidRDefault="00EF58B4">
      <w:pPr>
        <w:pStyle w:val="ECHRPara"/>
        <w:ind w:firstLine="0"/>
        <w:jc w:val="center"/>
      </w:pPr>
    </w:p>
    <w:p w:rsidRPr="00566102" w:rsidR="00EF58B4" w:rsidP="00566102" w:rsidRDefault="00EF58B4">
      <w:pPr>
        <w:pStyle w:val="ECHRPara"/>
        <w:ind w:firstLine="0"/>
        <w:jc w:val="center"/>
      </w:pPr>
    </w:p>
    <w:p w:rsidRPr="00566102" w:rsidR="00EF58B4" w:rsidP="00566102" w:rsidRDefault="00EF58B4">
      <w:pPr>
        <w:pStyle w:val="ECHRPara"/>
        <w:ind w:firstLine="0"/>
        <w:jc w:val="center"/>
      </w:pPr>
    </w:p>
    <w:p w:rsidRPr="00566102" w:rsidR="00566102" w:rsidP="00566102" w:rsidRDefault="00566102">
      <w:pPr>
        <w:pStyle w:val="ECHRPara"/>
        <w:ind w:firstLine="0"/>
        <w:jc w:val="center"/>
      </w:pPr>
    </w:p>
    <w:p w:rsidRPr="00566102" w:rsidR="00EF58B4" w:rsidP="00566102" w:rsidRDefault="00EF58B4">
      <w:pPr>
        <w:pStyle w:val="JuCase"/>
        <w:ind w:firstLine="0"/>
        <w:rPr>
          <w:szCs w:val="24"/>
        </w:rPr>
      </w:pPr>
      <w:r w:rsidRPr="00566102">
        <w:rPr>
          <w:b w:val="0"/>
          <w:bCs/>
          <w:i/>
          <w:sz w:val="22"/>
        </w:rPr>
        <w:t>This judgment is final but it may be subject to editorial revision.</w:t>
      </w:r>
    </w:p>
    <w:p w:rsidRPr="00566102" w:rsidR="00EF58B4" w:rsidP="00566102" w:rsidRDefault="00EF58B4">
      <w:pPr>
        <w:pStyle w:val="JuCase"/>
      </w:pPr>
    </w:p>
    <w:p w:rsidRPr="00566102" w:rsidR="00566102" w:rsidP="00566102" w:rsidRDefault="00566102">
      <w:pPr>
        <w:pStyle w:val="ECHRPara"/>
        <w:sectPr w:rsidRPr="00566102" w:rsidR="00566102" w:rsidSect="00EF58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cols w:space="720"/>
          <w:titlePg/>
          <w:docGrid w:linePitch="326"/>
        </w:sectPr>
      </w:pPr>
    </w:p>
    <w:p w:rsidRPr="00566102" w:rsidR="00EF58B4" w:rsidP="00566102" w:rsidRDefault="00EF58B4">
      <w:pPr>
        <w:pStyle w:val="ECHRPara"/>
      </w:pPr>
    </w:p>
    <w:p w:rsidRPr="00566102" w:rsidR="003804DC" w:rsidP="00566102" w:rsidRDefault="003804DC">
      <w:pPr>
        <w:pStyle w:val="ECHRPara"/>
        <w:rPr>
          <w:b/>
        </w:rPr>
      </w:pPr>
      <w:r w:rsidRPr="00566102">
        <w:rPr>
          <w:b/>
        </w:rPr>
        <w:t>In the case of R.A. v. Russia,</w:t>
      </w:r>
    </w:p>
    <w:p w:rsidRPr="00566102" w:rsidR="00014566" w:rsidP="00566102" w:rsidRDefault="00014566">
      <w:pPr>
        <w:pStyle w:val="ECHRPara"/>
      </w:pPr>
      <w:r w:rsidRPr="00566102">
        <w:t>The European Court of Human Rights (</w:t>
      </w:r>
      <w:r w:rsidRPr="00566102" w:rsidR="005D4E26">
        <w:t>Third Section</w:t>
      </w:r>
      <w:r w:rsidRPr="00566102">
        <w:t xml:space="preserve">), sitting as a </w:t>
      </w:r>
      <w:r w:rsidRPr="00566102" w:rsidR="005D4E26">
        <w:t>Committee</w:t>
      </w:r>
      <w:r w:rsidRPr="00566102">
        <w:t xml:space="preserve"> composed of:</w:t>
      </w:r>
    </w:p>
    <w:p w:rsidRPr="00566102" w:rsidR="00014566" w:rsidP="00566102" w:rsidRDefault="00E32763">
      <w:pPr>
        <w:pStyle w:val="ECHRDecisionBody"/>
      </w:pPr>
      <w:r w:rsidRPr="00566102">
        <w:tab/>
        <w:t>Alena Poláčková,</w:t>
      </w:r>
      <w:r w:rsidRPr="00566102">
        <w:rPr>
          <w:i/>
        </w:rPr>
        <w:t xml:space="preserve"> President,</w:t>
      </w:r>
      <w:r w:rsidRPr="00566102">
        <w:rPr>
          <w:i/>
        </w:rPr>
        <w:br/>
      </w:r>
      <w:r w:rsidRPr="00566102">
        <w:tab/>
        <w:t>Dmitry Dedov,</w:t>
      </w:r>
      <w:r w:rsidRPr="00566102">
        <w:rPr>
          <w:i/>
        </w:rPr>
        <w:br/>
      </w:r>
      <w:r w:rsidRPr="00566102">
        <w:tab/>
        <w:t>Jolien Schukking,</w:t>
      </w:r>
      <w:r w:rsidRPr="00566102">
        <w:rPr>
          <w:i/>
        </w:rPr>
        <w:t xml:space="preserve"> judges,</w:t>
      </w:r>
      <w:r w:rsidRPr="00566102" w:rsidR="00014566">
        <w:rPr>
          <w:szCs w:val="24"/>
        </w:rPr>
        <w:br/>
      </w:r>
      <w:r w:rsidRPr="00566102" w:rsidR="00014566">
        <w:t xml:space="preserve">and </w:t>
      </w:r>
      <w:r w:rsidRPr="00566102" w:rsidR="005D4E26">
        <w:t>Fatoş Aracı</w:t>
      </w:r>
      <w:r w:rsidRPr="00566102" w:rsidR="00014566">
        <w:t xml:space="preserve">, </w:t>
      </w:r>
      <w:r w:rsidRPr="00566102" w:rsidR="005D4E26">
        <w:rPr>
          <w:i/>
        </w:rPr>
        <w:t xml:space="preserve">Deputy Section </w:t>
      </w:r>
      <w:r w:rsidRPr="00566102" w:rsidR="005D4E26">
        <w:rPr>
          <w:i/>
          <w:iCs/>
        </w:rPr>
        <w:t>Registrar</w:t>
      </w:r>
      <w:r w:rsidRPr="00566102" w:rsidR="00014566">
        <w:rPr>
          <w:i/>
        </w:rPr>
        <w:t>,</w:t>
      </w:r>
    </w:p>
    <w:p w:rsidRPr="00566102" w:rsidR="00014566" w:rsidP="00566102" w:rsidRDefault="00014566">
      <w:pPr>
        <w:pStyle w:val="ECHRPara"/>
      </w:pPr>
      <w:r w:rsidRPr="00566102">
        <w:t xml:space="preserve">Having deliberated in private on </w:t>
      </w:r>
      <w:r w:rsidRPr="00566102" w:rsidR="00E32763">
        <w:t>18 June 2019</w:t>
      </w:r>
      <w:r w:rsidRPr="00566102">
        <w:t>,</w:t>
      </w:r>
    </w:p>
    <w:p w:rsidRPr="00566102" w:rsidR="00014566" w:rsidP="00566102" w:rsidRDefault="00014566">
      <w:pPr>
        <w:pStyle w:val="ECHRPara"/>
      </w:pPr>
      <w:r w:rsidRPr="00566102">
        <w:t>Delivers the following judgment, which was adopted on that date:</w:t>
      </w:r>
    </w:p>
    <w:p w:rsidRPr="00566102" w:rsidR="00014566" w:rsidP="00566102" w:rsidRDefault="00014566">
      <w:pPr>
        <w:pStyle w:val="ECHRTitle1"/>
      </w:pPr>
      <w:r w:rsidRPr="00566102">
        <w:t>PROCEDURE</w:t>
      </w:r>
    </w:p>
    <w:p w:rsidRPr="00566102" w:rsidR="00014566" w:rsidP="00566102" w:rsidRDefault="005A1D43">
      <w:pPr>
        <w:pStyle w:val="ECHRPara"/>
      </w:pPr>
      <w:r w:rsidRPr="00566102">
        <w:fldChar w:fldCharType="begin"/>
      </w:r>
      <w:r w:rsidRPr="00566102">
        <w:instrText xml:space="preserve"> SEQ level0 \*arabic \r1 </w:instrText>
      </w:r>
      <w:r w:rsidRPr="00566102">
        <w:fldChar w:fldCharType="separate"/>
      </w:r>
      <w:r w:rsidRPr="00566102" w:rsidR="00566102">
        <w:rPr>
          <w:noProof/>
        </w:rPr>
        <w:t>1</w:t>
      </w:r>
      <w:r w:rsidRPr="00566102">
        <w:fldChar w:fldCharType="end"/>
      </w:r>
      <w:r w:rsidRPr="00566102">
        <w:t>.  </w:t>
      </w:r>
      <w:r w:rsidRPr="00566102" w:rsidR="00014566">
        <w:t xml:space="preserve">The case originated in </w:t>
      </w:r>
      <w:r w:rsidRPr="00566102" w:rsidR="00F9629D">
        <w:t>an application (</w:t>
      </w:r>
      <w:r w:rsidRPr="00566102" w:rsidR="005D4E26">
        <w:t xml:space="preserve">no. </w:t>
      </w:r>
      <w:r w:rsidRPr="00566102" w:rsidR="00426A63">
        <w:t>2592/17</w:t>
      </w:r>
      <w:r w:rsidRPr="00566102" w:rsidR="00F9629D">
        <w:t>)</w:t>
      </w:r>
      <w:r w:rsidRPr="00566102" w:rsidR="00014566">
        <w:t xml:space="preserve"> against </w:t>
      </w:r>
      <w:r w:rsidRPr="00566102" w:rsidR="005D4E26">
        <w:t>the Russian Federation</w:t>
      </w:r>
      <w:r w:rsidRPr="00566102" w:rsidR="00014566">
        <w:t xml:space="preserve"> lodged with the </w:t>
      </w:r>
      <w:r w:rsidRPr="00566102" w:rsidR="005D4E26">
        <w:t>Court under Article 34</w:t>
      </w:r>
      <w:r w:rsidRPr="00566102" w:rsidR="00014566">
        <w:t xml:space="preserve"> of the Convention for the Protection of Human Rights and Fundamental Freedoms (“the Convention”) by </w:t>
      </w:r>
      <w:r w:rsidRPr="00566102" w:rsidR="00087C49">
        <w:t xml:space="preserve">an </w:t>
      </w:r>
      <w:r w:rsidRPr="00566102" w:rsidR="00EC472B">
        <w:t xml:space="preserve">Uzbek </w:t>
      </w:r>
      <w:r w:rsidRPr="00566102" w:rsidR="00087C49">
        <w:t>national</w:t>
      </w:r>
      <w:r w:rsidRPr="00566102" w:rsidR="005D4E26">
        <w:t xml:space="preserve">, Mr </w:t>
      </w:r>
      <w:r w:rsidRPr="00566102" w:rsidR="00A3139E">
        <w:t>R.A.</w:t>
      </w:r>
      <w:r w:rsidRPr="00566102" w:rsidR="005D4E26">
        <w:t xml:space="preserve"> (“the applicant”), on </w:t>
      </w:r>
      <w:r w:rsidRPr="00566102" w:rsidR="00EC472B">
        <w:t>7</w:t>
      </w:r>
      <w:r w:rsidRPr="00566102" w:rsidR="00F9629D">
        <w:t> </w:t>
      </w:r>
      <w:r w:rsidRPr="00566102" w:rsidR="00EC472B">
        <w:t>February 2017</w:t>
      </w:r>
      <w:r w:rsidRPr="00566102" w:rsidR="00014566">
        <w:t>.</w:t>
      </w:r>
    </w:p>
    <w:p w:rsidRPr="00566102" w:rsidR="00014566" w:rsidP="00566102" w:rsidRDefault="005D4E26">
      <w:pPr>
        <w:pStyle w:val="ECHRPara"/>
      </w:pPr>
      <w:r w:rsidRPr="00566102">
        <w:fldChar w:fldCharType="begin"/>
      </w:r>
      <w:r w:rsidRPr="00566102">
        <w:instrText xml:space="preserve"> SEQ level0 \*arabic </w:instrText>
      </w:r>
      <w:r w:rsidRPr="00566102">
        <w:fldChar w:fldCharType="separate"/>
      </w:r>
      <w:r w:rsidRPr="00566102" w:rsidR="00566102">
        <w:rPr>
          <w:noProof/>
        </w:rPr>
        <w:t>2</w:t>
      </w:r>
      <w:r w:rsidRPr="00566102">
        <w:fldChar w:fldCharType="end"/>
      </w:r>
      <w:r w:rsidRPr="00566102" w:rsidR="00014566">
        <w:t>.  </w:t>
      </w:r>
      <w:r w:rsidRPr="00566102" w:rsidR="00087C49">
        <w:t>The applicant was</w:t>
      </w:r>
      <w:r w:rsidRPr="00566102">
        <w:t xml:space="preserve"> represented by Ms D.</w:t>
      </w:r>
      <w:r w:rsidRPr="00566102" w:rsidR="00AE3C5D">
        <w:t> </w:t>
      </w:r>
      <w:r w:rsidRPr="00566102">
        <w:t>Trenina and Ms</w:t>
      </w:r>
      <w:r w:rsidRPr="00566102" w:rsidR="00EC472B">
        <w:t> E. Davidyan</w:t>
      </w:r>
      <w:r w:rsidRPr="00566102" w:rsidR="00B70F01">
        <w:t xml:space="preserve"> (“the representatives”)</w:t>
      </w:r>
      <w:r w:rsidRPr="00566102">
        <w:t xml:space="preserve">, lawyers practising in Moscow. </w:t>
      </w:r>
      <w:r w:rsidRPr="00566102" w:rsidR="00014566">
        <w:t xml:space="preserve">The </w:t>
      </w:r>
      <w:r w:rsidRPr="00566102">
        <w:t>Russian</w:t>
      </w:r>
      <w:r w:rsidRPr="00566102" w:rsidR="00014566">
        <w:t xml:space="preserve"> Government (“the Government”) were represented </w:t>
      </w:r>
      <w:r w:rsidRPr="00566102" w:rsidR="00AE3C5D">
        <w:t>initially by Mr</w:t>
      </w:r>
      <w:r w:rsidRPr="00566102" w:rsidR="00B70F01">
        <w:t> </w:t>
      </w:r>
      <w:r w:rsidRPr="00566102" w:rsidR="00087C49">
        <w:t>G. </w:t>
      </w:r>
      <w:r w:rsidRPr="00566102" w:rsidR="00AE3C5D">
        <w:t>Matyushkin,</w:t>
      </w:r>
      <w:r w:rsidRPr="00566102" w:rsidR="00CD2157">
        <w:t xml:space="preserve"> </w:t>
      </w:r>
      <w:r w:rsidRPr="00566102" w:rsidR="00AE3C5D">
        <w:t xml:space="preserve">the </w:t>
      </w:r>
      <w:r w:rsidRPr="00566102" w:rsidR="00F00F8B">
        <w:t xml:space="preserve">Representative of </w:t>
      </w:r>
      <w:r w:rsidRPr="00566102" w:rsidR="00AE3C5D">
        <w:t xml:space="preserve">the Russian Federation to </w:t>
      </w:r>
      <w:r w:rsidRPr="00566102" w:rsidR="00F00F8B">
        <w:t>the European Court of Human Rights</w:t>
      </w:r>
      <w:r w:rsidRPr="00566102" w:rsidR="00AE3C5D">
        <w:t xml:space="preserve">, and </w:t>
      </w:r>
      <w:r w:rsidRPr="00566102" w:rsidR="009A2472">
        <w:t xml:space="preserve">subsequently </w:t>
      </w:r>
      <w:r w:rsidRPr="00566102" w:rsidR="00AE3C5D">
        <w:t>by his</w:t>
      </w:r>
      <w:r w:rsidRPr="00566102" w:rsidR="00087C49">
        <w:t xml:space="preserve"> successor in that office Mr M. </w:t>
      </w:r>
      <w:r w:rsidRPr="00566102" w:rsidR="00AE3C5D">
        <w:t>Galperin</w:t>
      </w:r>
      <w:r w:rsidRPr="00566102" w:rsidR="00014566">
        <w:t>.</w:t>
      </w:r>
    </w:p>
    <w:p w:rsidRPr="00566102" w:rsidR="001E1869" w:rsidP="00566102" w:rsidRDefault="001E1869">
      <w:pPr>
        <w:pStyle w:val="ECHRPara"/>
      </w:pPr>
      <w:r w:rsidRPr="00566102">
        <w:fldChar w:fldCharType="begin"/>
      </w:r>
      <w:r w:rsidRPr="00566102">
        <w:instrText xml:space="preserve"> SEQ level0 \*arabic </w:instrText>
      </w:r>
      <w:r w:rsidRPr="00566102">
        <w:fldChar w:fldCharType="separate"/>
      </w:r>
      <w:r w:rsidRPr="00566102" w:rsidR="00566102">
        <w:rPr>
          <w:noProof/>
        </w:rPr>
        <w:t>3</w:t>
      </w:r>
      <w:r w:rsidRPr="00566102">
        <w:fldChar w:fldCharType="end"/>
      </w:r>
      <w:r w:rsidRPr="00566102" w:rsidR="00087C49">
        <w:t>.  The applicant</w:t>
      </w:r>
      <w:r w:rsidRPr="00566102">
        <w:t xml:space="preserve"> </w:t>
      </w:r>
      <w:r w:rsidRPr="00566102" w:rsidR="000C1B12">
        <w:t>complain</w:t>
      </w:r>
      <w:r w:rsidRPr="00566102" w:rsidR="00DE3F6A">
        <w:t>ed</w:t>
      </w:r>
      <w:r w:rsidRPr="00566102" w:rsidR="000C1B12">
        <w:t xml:space="preserve"> under </w:t>
      </w:r>
      <w:r w:rsidRPr="00566102">
        <w:t>Article</w:t>
      </w:r>
      <w:r w:rsidRPr="00566102" w:rsidR="002F3602">
        <w:t>s</w:t>
      </w:r>
      <w:r w:rsidRPr="00566102">
        <w:t xml:space="preserve"> 3</w:t>
      </w:r>
      <w:r w:rsidRPr="00566102" w:rsidR="00E32D20">
        <w:t>, 5</w:t>
      </w:r>
      <w:r w:rsidRPr="00566102" w:rsidR="00DE3F6A">
        <w:t xml:space="preserve">, </w:t>
      </w:r>
      <w:r w:rsidRPr="00566102" w:rsidR="00087C49">
        <w:t xml:space="preserve">13 </w:t>
      </w:r>
      <w:r w:rsidRPr="00566102" w:rsidR="00DE3F6A">
        <w:t xml:space="preserve">and 34 </w:t>
      </w:r>
      <w:r w:rsidRPr="00566102" w:rsidR="00087C49">
        <w:t>of the Convention.</w:t>
      </w:r>
    </w:p>
    <w:p w:rsidRPr="00566102" w:rsidR="00F9629D" w:rsidP="00566102" w:rsidRDefault="005D4E26">
      <w:pPr>
        <w:pStyle w:val="ECHRPara"/>
      </w:pPr>
      <w:r w:rsidRPr="00566102">
        <w:fldChar w:fldCharType="begin"/>
      </w:r>
      <w:r w:rsidRPr="00566102">
        <w:instrText xml:space="preserve"> SEQ level0 \*arabic </w:instrText>
      </w:r>
      <w:r w:rsidRPr="00566102">
        <w:fldChar w:fldCharType="separate"/>
      </w:r>
      <w:r w:rsidRPr="00566102" w:rsidR="00566102">
        <w:rPr>
          <w:noProof/>
        </w:rPr>
        <w:t>4</w:t>
      </w:r>
      <w:r w:rsidRPr="00566102">
        <w:fldChar w:fldCharType="end"/>
      </w:r>
      <w:r w:rsidRPr="00566102" w:rsidR="00014566">
        <w:t>.  </w:t>
      </w:r>
      <w:r w:rsidRPr="00566102" w:rsidR="00E0579D">
        <w:t xml:space="preserve">On </w:t>
      </w:r>
      <w:r w:rsidRPr="00566102" w:rsidR="002638EB">
        <w:t xml:space="preserve">10 January 2017 </w:t>
      </w:r>
      <w:r w:rsidRPr="00566102" w:rsidR="00E0579D">
        <w:t>the applicant</w:t>
      </w:r>
      <w:r w:rsidRPr="00566102" w:rsidR="00566102">
        <w:t>’</w:t>
      </w:r>
      <w:r w:rsidRPr="00566102" w:rsidR="00E0579D">
        <w:t>s</w:t>
      </w:r>
      <w:r w:rsidRPr="00566102" w:rsidR="00087C49">
        <w:t xml:space="preserve"> request</w:t>
      </w:r>
      <w:r w:rsidRPr="00566102" w:rsidR="00E0579D">
        <w:t xml:space="preserve"> for interim measures preventing </w:t>
      </w:r>
      <w:r w:rsidRPr="00566102" w:rsidR="00087C49">
        <w:t xml:space="preserve">his </w:t>
      </w:r>
      <w:r w:rsidRPr="00566102" w:rsidR="00E0579D">
        <w:t xml:space="preserve">removal from Russia to Uzbekistan </w:t>
      </w:r>
      <w:r w:rsidRPr="00566102" w:rsidR="00087C49">
        <w:t xml:space="preserve">was </w:t>
      </w:r>
      <w:r w:rsidRPr="00566102" w:rsidR="00E0579D">
        <w:t>granted by the Court under Rule 39 of the Rules of Court.</w:t>
      </w:r>
      <w:r w:rsidRPr="00566102" w:rsidR="00C10B45">
        <w:t xml:space="preserve"> On the same date </w:t>
      </w:r>
      <w:r w:rsidRPr="00566102" w:rsidR="00F9629D">
        <w:t xml:space="preserve">notice of the </w:t>
      </w:r>
      <w:r w:rsidRPr="00566102" w:rsidR="00F9629D">
        <w:rPr>
          <w:szCs w:val="24"/>
        </w:rPr>
        <w:t>application was given to the Government</w:t>
      </w:r>
      <w:r w:rsidRPr="00566102" w:rsidR="00F9629D">
        <w:t>.</w:t>
      </w:r>
    </w:p>
    <w:p w:rsidRPr="00566102" w:rsidR="00D97CB5" w:rsidP="00566102" w:rsidRDefault="009A2472">
      <w:pPr>
        <w:pStyle w:val="ECHRPara"/>
      </w:pPr>
      <w:r w:rsidRPr="00566102">
        <w:fldChar w:fldCharType="begin"/>
      </w:r>
      <w:r w:rsidRPr="00566102">
        <w:instrText xml:space="preserve"> SEQ level0 \*arabic </w:instrText>
      </w:r>
      <w:r w:rsidRPr="00566102">
        <w:fldChar w:fldCharType="separate"/>
      </w:r>
      <w:r w:rsidRPr="00566102" w:rsidR="00566102">
        <w:rPr>
          <w:noProof/>
        </w:rPr>
        <w:t>5</w:t>
      </w:r>
      <w:r w:rsidRPr="00566102">
        <w:fldChar w:fldCharType="end"/>
      </w:r>
      <w:r w:rsidRPr="00566102">
        <w:t>.  </w:t>
      </w:r>
      <w:r w:rsidRPr="00566102" w:rsidR="00C10B45">
        <w:t>The application was further granted priority (Rule 47) and confidentiality (Rule 33) and the applicant was granted anonymity (Rule 47 § 4).</w:t>
      </w:r>
    </w:p>
    <w:p w:rsidRPr="00566102" w:rsidR="00014566" w:rsidP="00566102" w:rsidRDefault="00014566">
      <w:pPr>
        <w:pStyle w:val="ECHRTitle1"/>
      </w:pPr>
      <w:r w:rsidRPr="00566102">
        <w:t>THE FACTS</w:t>
      </w:r>
    </w:p>
    <w:p w:rsidRPr="00566102" w:rsidR="00014566" w:rsidP="00566102" w:rsidRDefault="00014566">
      <w:pPr>
        <w:pStyle w:val="ECHRHeading1"/>
      </w:pPr>
      <w:r w:rsidRPr="00566102">
        <w:t>I.  THE CIRCUMSTANCES OF THE CASE</w:t>
      </w:r>
    </w:p>
    <w:p w:rsidRPr="00566102" w:rsidR="00153C0F" w:rsidP="00566102" w:rsidRDefault="005D4E26">
      <w:pPr>
        <w:pStyle w:val="ECHRPara"/>
      </w:pPr>
      <w:r w:rsidRPr="00566102">
        <w:fldChar w:fldCharType="begin"/>
      </w:r>
      <w:r w:rsidRPr="00566102">
        <w:instrText xml:space="preserve"> SEQ level0 \*arabic </w:instrText>
      </w:r>
      <w:r w:rsidRPr="00566102">
        <w:fldChar w:fldCharType="separate"/>
      </w:r>
      <w:r w:rsidRPr="00566102" w:rsidR="00566102">
        <w:rPr>
          <w:noProof/>
        </w:rPr>
        <w:t>6</w:t>
      </w:r>
      <w:r w:rsidRPr="00566102">
        <w:fldChar w:fldCharType="end"/>
      </w:r>
      <w:r w:rsidRPr="00566102" w:rsidR="00014566">
        <w:t>.  </w:t>
      </w:r>
      <w:r w:rsidRPr="00566102" w:rsidR="00087C49">
        <w:t>The applicant is a national</w:t>
      </w:r>
      <w:r w:rsidRPr="00566102" w:rsidR="00153C0F">
        <w:t xml:space="preserve"> of Uzbekistan</w:t>
      </w:r>
      <w:r w:rsidRPr="00566102" w:rsidR="00460C90">
        <w:t>,</w:t>
      </w:r>
      <w:r w:rsidRPr="00566102" w:rsidR="00800D46">
        <w:t xml:space="preserve"> born on 19 June 1991</w:t>
      </w:r>
      <w:r w:rsidRPr="00566102" w:rsidR="00153C0F">
        <w:t>.</w:t>
      </w:r>
      <w:r w:rsidRPr="00566102" w:rsidR="00F81B67">
        <w:t xml:space="preserve"> He currently resides in Poloson, Fergana Region, Uzbekistan</w:t>
      </w:r>
      <w:r w:rsidRPr="00566102" w:rsidR="004A1D31">
        <w:t>.</w:t>
      </w:r>
    </w:p>
    <w:p w:rsidRPr="00566102" w:rsidR="000C1B12" w:rsidP="00566102" w:rsidRDefault="000C1B12">
      <w:pPr>
        <w:pStyle w:val="ECHRPara"/>
      </w:pPr>
      <w:r w:rsidRPr="00566102">
        <w:fldChar w:fldCharType="begin"/>
      </w:r>
      <w:r w:rsidRPr="00566102">
        <w:instrText xml:space="preserve"> SEQ level0 \*arabic </w:instrText>
      </w:r>
      <w:r w:rsidRPr="00566102">
        <w:fldChar w:fldCharType="separate"/>
      </w:r>
      <w:r w:rsidRPr="00566102" w:rsidR="00566102">
        <w:rPr>
          <w:noProof/>
        </w:rPr>
        <w:t>7</w:t>
      </w:r>
      <w:r w:rsidRPr="00566102">
        <w:fldChar w:fldCharType="end"/>
      </w:r>
      <w:r w:rsidRPr="00566102">
        <w:t>.  </w:t>
      </w:r>
      <w:r w:rsidRPr="00566102" w:rsidR="00875FC4">
        <w:t xml:space="preserve">On </w:t>
      </w:r>
      <w:r w:rsidRPr="00566102" w:rsidR="002E29F8">
        <w:t>6 February 2015</w:t>
      </w:r>
      <w:r w:rsidRPr="00566102" w:rsidR="00875FC4">
        <w:t xml:space="preserve"> </w:t>
      </w:r>
      <w:r w:rsidRPr="00566102" w:rsidR="00F740E1">
        <w:t xml:space="preserve">the applicant </w:t>
      </w:r>
      <w:r w:rsidRPr="00566102" w:rsidR="00087C49">
        <w:t>was</w:t>
      </w:r>
      <w:r w:rsidRPr="00566102" w:rsidR="00875FC4">
        <w:t xml:space="preserve"> charged in Uzbekistan with religious and politically motivated crimes, </w:t>
      </w:r>
      <w:r w:rsidRPr="00566102" w:rsidR="00087C49">
        <w:t xml:space="preserve">his </w:t>
      </w:r>
      <w:r w:rsidRPr="00566102" w:rsidR="00875FC4">
        <w:t xml:space="preserve">pre-trial detention was ordered </w:t>
      </w:r>
      <w:r w:rsidRPr="00566102" w:rsidR="00875FC4">
        <w:rPr>
          <w:i/>
        </w:rPr>
        <w:t>in absentia</w:t>
      </w:r>
      <w:r w:rsidRPr="00566102" w:rsidR="00875FC4">
        <w:t xml:space="preserve">, and </w:t>
      </w:r>
      <w:r w:rsidRPr="00566102" w:rsidR="00230B6A">
        <w:t xml:space="preserve">an </w:t>
      </w:r>
      <w:r w:rsidRPr="00566102" w:rsidR="00875FC4">
        <w:t xml:space="preserve">international search warrant </w:t>
      </w:r>
      <w:r w:rsidRPr="00566102" w:rsidR="00230B6A">
        <w:t xml:space="preserve">was </w:t>
      </w:r>
      <w:r w:rsidRPr="00566102" w:rsidR="00875FC4">
        <w:t>issued by the authorities.</w:t>
      </w:r>
    </w:p>
    <w:p w:rsidRPr="00566102" w:rsidR="00230B6A" w:rsidP="00566102" w:rsidRDefault="00230B6A">
      <w:pPr>
        <w:pStyle w:val="ECHRPara"/>
      </w:pPr>
      <w:r w:rsidRPr="00566102">
        <w:fldChar w:fldCharType="begin"/>
      </w:r>
      <w:r w:rsidRPr="00566102">
        <w:instrText xml:space="preserve"> SEQ level0 \*arabic </w:instrText>
      </w:r>
      <w:r w:rsidRPr="00566102">
        <w:fldChar w:fldCharType="separate"/>
      </w:r>
      <w:r w:rsidRPr="00566102" w:rsidR="00566102">
        <w:rPr>
          <w:noProof/>
        </w:rPr>
        <w:t>8</w:t>
      </w:r>
      <w:r w:rsidRPr="00566102">
        <w:fldChar w:fldCharType="end"/>
      </w:r>
      <w:r w:rsidRPr="00566102">
        <w:t>.  On 3 November 2015 the applicant was arrested and subsequently detained by the Russian authorities until 19 October 2016.</w:t>
      </w:r>
    </w:p>
    <w:p w:rsidRPr="00566102" w:rsidR="00230B6A" w:rsidP="00566102" w:rsidRDefault="00230B6A">
      <w:pPr>
        <w:pStyle w:val="ECHRPara"/>
      </w:pPr>
      <w:r w:rsidRPr="00566102">
        <w:fldChar w:fldCharType="begin"/>
      </w:r>
      <w:r w:rsidRPr="00566102">
        <w:instrText xml:space="preserve"> SEQ level0 \*arabic </w:instrText>
      </w:r>
      <w:r w:rsidRPr="00566102">
        <w:fldChar w:fldCharType="separate"/>
      </w:r>
      <w:r w:rsidRPr="00566102" w:rsidR="00566102">
        <w:rPr>
          <w:noProof/>
        </w:rPr>
        <w:t>9</w:t>
      </w:r>
      <w:r w:rsidRPr="00566102">
        <w:fldChar w:fldCharType="end"/>
      </w:r>
      <w:r w:rsidRPr="00566102">
        <w:t>.  On 18 November 2015 the Uzbek authorities requested his extradition, which was authorised by the Deputy Prosecutor General of the Russian Federation on 15 September 2016. The applicant claimed in the relevant proceedings that in the event of removal he would face a real risk of treatment contrary to Article 3 of the Convention. Despite these claims the above authorisation was upheld by the Supreme Court of the Russian Federation on 12 January 2017.</w:t>
      </w:r>
    </w:p>
    <w:p w:rsidRPr="00566102" w:rsidR="003419C8" w:rsidP="00566102" w:rsidRDefault="00014461">
      <w:pPr>
        <w:pStyle w:val="ECHRHeading2"/>
      </w:pPr>
      <w:r w:rsidRPr="00566102">
        <w:t>A.  </w:t>
      </w:r>
      <w:r w:rsidRPr="00566102" w:rsidR="00460C90">
        <w:t>Request for an interim measure under Rule 39 of the Rules of Court</w:t>
      </w:r>
    </w:p>
    <w:p w:rsidRPr="00566102" w:rsidR="00A72500" w:rsidP="00566102" w:rsidRDefault="00A034C9">
      <w:pPr>
        <w:pStyle w:val="ECHRPara"/>
      </w:pPr>
      <w:r w:rsidRPr="00566102">
        <w:fldChar w:fldCharType="begin"/>
      </w:r>
      <w:r w:rsidRPr="00566102">
        <w:instrText xml:space="preserve"> SEQ level0 \*arabic </w:instrText>
      </w:r>
      <w:r w:rsidRPr="00566102">
        <w:fldChar w:fldCharType="separate"/>
      </w:r>
      <w:r w:rsidRPr="00566102" w:rsidR="00566102">
        <w:rPr>
          <w:noProof/>
        </w:rPr>
        <w:t>10</w:t>
      </w:r>
      <w:r w:rsidRPr="00566102">
        <w:fldChar w:fldCharType="end"/>
      </w:r>
      <w:r w:rsidRPr="00566102">
        <w:t>.  </w:t>
      </w:r>
      <w:r w:rsidRPr="00566102" w:rsidR="00CF23E6">
        <w:t>T</w:t>
      </w:r>
      <w:r w:rsidRPr="00566102" w:rsidR="00460C90">
        <w:t>he applicant</w:t>
      </w:r>
      <w:r w:rsidRPr="00566102" w:rsidR="00566102">
        <w:t>’</w:t>
      </w:r>
      <w:r w:rsidRPr="00566102" w:rsidR="00460C90">
        <w:t xml:space="preserve">s request </w:t>
      </w:r>
      <w:r w:rsidRPr="00566102" w:rsidR="00CF23E6">
        <w:t xml:space="preserve">of 9 January 2017 </w:t>
      </w:r>
      <w:r w:rsidRPr="00566102" w:rsidR="00460C90">
        <w:t>for an interim measure under Rule 39 of the Rules of Court was granted by the Court</w:t>
      </w:r>
      <w:r w:rsidRPr="00566102" w:rsidR="00CF23E6">
        <w:t xml:space="preserve"> on 10 January 2017 and</w:t>
      </w:r>
      <w:r w:rsidRPr="00566102" w:rsidR="00460C90">
        <w:t xml:space="preserve"> his removal was stayed for the duration of the proceedings before the Court. The Russian Government were immediately informed about the measure. They were also informed that failure by a Contracting State to comply with a measure indicated under Rule 39 might entail a breach of Article 34 of the Convention.</w:t>
      </w:r>
    </w:p>
    <w:p w:rsidRPr="00566102" w:rsidR="00A72500" w:rsidP="00566102" w:rsidRDefault="00C31C19">
      <w:pPr>
        <w:pStyle w:val="ECHRHeading2"/>
      </w:pPr>
      <w:r w:rsidRPr="00566102">
        <w:t>B.</w:t>
      </w:r>
      <w:r w:rsidRPr="00566102" w:rsidR="00566102">
        <w:t>  </w:t>
      </w:r>
      <w:r w:rsidRPr="00566102">
        <w:t>The applicant</w:t>
      </w:r>
      <w:r w:rsidRPr="00566102" w:rsidR="00566102">
        <w:t>’</w:t>
      </w:r>
      <w:r w:rsidRPr="00566102">
        <w:t xml:space="preserve">s alleged </w:t>
      </w:r>
      <w:r w:rsidRPr="00566102" w:rsidR="004E78EA">
        <w:t xml:space="preserve">forcible </w:t>
      </w:r>
      <w:r w:rsidRPr="00566102">
        <w:t>removal to Uzbekistan</w:t>
      </w:r>
    </w:p>
    <w:p w:rsidRPr="00566102" w:rsidR="008E4C79" w:rsidP="00566102" w:rsidRDefault="008E4C79">
      <w:pPr>
        <w:pStyle w:val="ECHRPara"/>
      </w:pPr>
      <w:r w:rsidRPr="00566102">
        <w:fldChar w:fldCharType="begin"/>
      </w:r>
      <w:r w:rsidRPr="00566102">
        <w:instrText xml:space="preserve"> SEQ level0 \*arabic </w:instrText>
      </w:r>
      <w:r w:rsidRPr="00566102">
        <w:fldChar w:fldCharType="separate"/>
      </w:r>
      <w:r w:rsidRPr="00566102" w:rsidR="00566102">
        <w:rPr>
          <w:noProof/>
        </w:rPr>
        <w:t>11</w:t>
      </w:r>
      <w:r w:rsidRPr="00566102">
        <w:fldChar w:fldCharType="end"/>
      </w:r>
      <w:r w:rsidRPr="00566102">
        <w:t>.  On 12 January 2018 the applicant was arrested and administratively fined for violation of the rules on presence of foreigners on a territory with restricted access. The police records indicate</w:t>
      </w:r>
      <w:r w:rsidRPr="00566102" w:rsidR="004E78EA">
        <w:t>d</w:t>
      </w:r>
      <w:r w:rsidRPr="00566102">
        <w:t xml:space="preserve"> that </w:t>
      </w:r>
      <w:r w:rsidRPr="00566102" w:rsidR="004E78EA">
        <w:t>he had</w:t>
      </w:r>
      <w:r w:rsidRPr="00566102">
        <w:t xml:space="preserve"> resisted arrest and that f</w:t>
      </w:r>
      <w:r w:rsidRPr="00566102" w:rsidR="004E78EA">
        <w:t xml:space="preserve">orce, </w:t>
      </w:r>
      <w:r w:rsidRPr="00566102" w:rsidR="004E78EA">
        <w:rPr>
          <w:i/>
        </w:rPr>
        <w:t>inter alia</w:t>
      </w:r>
      <w:r w:rsidRPr="00566102" w:rsidR="004E78EA">
        <w:t xml:space="preserve"> handcuffing,</w:t>
      </w:r>
      <w:r w:rsidRPr="00566102">
        <w:t xml:space="preserve"> had been </w:t>
      </w:r>
      <w:r w:rsidRPr="00566102" w:rsidR="004E78EA">
        <w:t>used by the arresting officers.</w:t>
      </w:r>
    </w:p>
    <w:p w:rsidRPr="00566102" w:rsidR="004E78EA" w:rsidP="00566102" w:rsidRDefault="004E78EA">
      <w:pPr>
        <w:pStyle w:val="ECHRPara"/>
      </w:pPr>
      <w:r w:rsidRPr="00566102">
        <w:fldChar w:fldCharType="begin"/>
      </w:r>
      <w:r w:rsidRPr="00566102">
        <w:instrText xml:space="preserve"> SEQ level0 \*arabic </w:instrText>
      </w:r>
      <w:r w:rsidRPr="00566102">
        <w:fldChar w:fldCharType="separate"/>
      </w:r>
      <w:r w:rsidRPr="00566102" w:rsidR="00566102">
        <w:rPr>
          <w:noProof/>
        </w:rPr>
        <w:t>12</w:t>
      </w:r>
      <w:r w:rsidRPr="00566102">
        <w:fldChar w:fldCharType="end"/>
      </w:r>
      <w:r w:rsidRPr="00566102">
        <w:t>.  Early in the morning on 13 January 2018 the applicant boarded Uzbek</w:t>
      </w:r>
      <w:r w:rsidRPr="00566102" w:rsidR="00DA2544">
        <w:t>istan</w:t>
      </w:r>
      <w:r w:rsidRPr="00566102">
        <w:t xml:space="preserve"> </w:t>
      </w:r>
      <w:r w:rsidRPr="00566102" w:rsidR="00DA2544">
        <w:t>Airways</w:t>
      </w:r>
      <w:r w:rsidRPr="00566102">
        <w:t xml:space="preserve"> flight for Tashkent and left Russia.</w:t>
      </w:r>
    </w:p>
    <w:p w:rsidRPr="00566102" w:rsidR="00EB4678" w:rsidP="00566102" w:rsidRDefault="00C31C19">
      <w:pPr>
        <w:pStyle w:val="ECHRPara"/>
      </w:pPr>
      <w:r w:rsidRPr="00566102">
        <w:fldChar w:fldCharType="begin"/>
      </w:r>
      <w:r w:rsidRPr="00566102">
        <w:instrText xml:space="preserve"> SEQ level0 \*arabic </w:instrText>
      </w:r>
      <w:r w:rsidRPr="00566102">
        <w:fldChar w:fldCharType="separate"/>
      </w:r>
      <w:r w:rsidRPr="00566102" w:rsidR="00566102">
        <w:rPr>
          <w:noProof/>
        </w:rPr>
        <w:t>13</w:t>
      </w:r>
      <w:r w:rsidRPr="00566102">
        <w:fldChar w:fldCharType="end"/>
      </w:r>
      <w:r w:rsidRPr="00566102">
        <w:t xml:space="preserve">.  On 14 June 2018 </w:t>
      </w:r>
      <w:r w:rsidRPr="00566102" w:rsidR="004E78EA">
        <w:t>the applicant</w:t>
      </w:r>
      <w:r w:rsidRPr="00566102" w:rsidR="00566102">
        <w:t>’</w:t>
      </w:r>
      <w:r w:rsidRPr="00566102" w:rsidR="004E78EA">
        <w:t xml:space="preserve">s representative </w:t>
      </w:r>
      <w:r w:rsidRPr="00566102">
        <w:t xml:space="preserve">informed the Court </w:t>
      </w:r>
      <w:r w:rsidRPr="00566102" w:rsidR="004E78EA">
        <w:t xml:space="preserve">about the events alleging that that the applicant had been </w:t>
      </w:r>
      <w:r w:rsidRPr="00566102">
        <w:t>forcibl</w:t>
      </w:r>
      <w:r w:rsidRPr="00566102" w:rsidR="004E78EA">
        <w:t>y</w:t>
      </w:r>
      <w:r w:rsidRPr="00566102">
        <w:t xml:space="preserve"> remov</w:t>
      </w:r>
      <w:r w:rsidRPr="00566102" w:rsidR="004E78EA">
        <w:t>ed</w:t>
      </w:r>
      <w:r w:rsidRPr="00566102">
        <w:t xml:space="preserve"> to Uzbekistan by the Russian authorities. </w:t>
      </w:r>
      <w:r w:rsidRPr="00566102" w:rsidR="004E78EA">
        <w:t xml:space="preserve">She stated that </w:t>
      </w:r>
      <w:r w:rsidRPr="00566102" w:rsidR="00AB3730">
        <w:t xml:space="preserve">on 12 June 2018 </w:t>
      </w:r>
      <w:r w:rsidRPr="00566102" w:rsidR="004E78EA">
        <w:t xml:space="preserve">FSB officers </w:t>
      </w:r>
      <w:r w:rsidRPr="00566102" w:rsidR="00AB3730">
        <w:t>apprehended the applicant and took him to a police station, where he was held overnight. In the morning of 13 January 2018 FSB officers allegedly took the applicant to the airport and controlled his departure from Russia.</w:t>
      </w:r>
      <w:r w:rsidRPr="00566102" w:rsidR="00DA2544">
        <w:t xml:space="preserve"> She notes that the removal had been carried out in violation of the interim measure indicated by the Court and that the applicant</w:t>
      </w:r>
      <w:r w:rsidRPr="00566102" w:rsidR="00566102">
        <w:t>’</w:t>
      </w:r>
      <w:r w:rsidRPr="00566102" w:rsidR="00DA2544">
        <w:t>s lawyers took every effort to notify the airport police, border control services, the FSB and the General Prosecutor</w:t>
      </w:r>
      <w:r w:rsidRPr="00566102" w:rsidR="00566102">
        <w:t>’</w:t>
      </w:r>
      <w:r w:rsidRPr="00566102" w:rsidR="00DA2544">
        <w:t>s Office of the on</w:t>
      </w:r>
      <w:r w:rsidRPr="00566102" w:rsidR="00A00D35">
        <w:noBreakHyphen/>
      </w:r>
      <w:r w:rsidRPr="00566102" w:rsidR="00DA2544">
        <w:t>going removal.</w:t>
      </w:r>
    </w:p>
    <w:p w:rsidRPr="00566102" w:rsidR="004C3A91" w:rsidP="00566102" w:rsidRDefault="00EB4678">
      <w:pPr>
        <w:pStyle w:val="ECHRPara"/>
      </w:pPr>
      <w:r w:rsidRPr="00566102">
        <w:fldChar w:fldCharType="begin"/>
      </w:r>
      <w:r w:rsidRPr="00566102">
        <w:instrText xml:space="preserve"> SEQ level0 \*arabic </w:instrText>
      </w:r>
      <w:r w:rsidRPr="00566102">
        <w:fldChar w:fldCharType="separate"/>
      </w:r>
      <w:r w:rsidRPr="00566102" w:rsidR="00566102">
        <w:rPr>
          <w:noProof/>
        </w:rPr>
        <w:t>14</w:t>
      </w:r>
      <w:r w:rsidRPr="00566102">
        <w:fldChar w:fldCharType="end"/>
      </w:r>
      <w:r w:rsidRPr="00566102">
        <w:t>.  In support of her allegation of forcible removal t</w:t>
      </w:r>
      <w:r w:rsidRPr="00566102" w:rsidR="00DA2544">
        <w:t>he representative referred to the followings facts. According to the information obtained from Uzbekistan Airways the applicant</w:t>
      </w:r>
      <w:r w:rsidRPr="00566102" w:rsidR="00566102">
        <w:t>’</w:t>
      </w:r>
      <w:r w:rsidRPr="00566102" w:rsidR="00DA2544">
        <w:t>s ticket was bought in Uzbekistan at the request of “the competent authorities of the Republic of Uzbekistan and the passenger</w:t>
      </w:r>
      <w:r w:rsidRPr="00566102" w:rsidR="00566102">
        <w:t>’</w:t>
      </w:r>
      <w:r w:rsidRPr="00566102" w:rsidR="00DA2544">
        <w:t xml:space="preserve">s relatives”. </w:t>
      </w:r>
      <w:r w:rsidRPr="00566102" w:rsidR="002637A9">
        <w:t>The ticket was bought using the applicant</w:t>
      </w:r>
      <w:r w:rsidRPr="00566102" w:rsidR="00566102">
        <w:t>’</w:t>
      </w:r>
      <w:r w:rsidRPr="00566102" w:rsidR="002637A9">
        <w:t>s passport, which had expired in 2016, and apparently the same passport should have been used for crossing the Russian border.</w:t>
      </w:r>
      <w:r w:rsidRPr="00566102">
        <w:t xml:space="preserve"> According to the statement by the applicant</w:t>
      </w:r>
      <w:r w:rsidRPr="00566102" w:rsidR="00566102">
        <w:t>’</w:t>
      </w:r>
      <w:r w:rsidRPr="00566102">
        <w:t>s father</w:t>
      </w:r>
      <w:r w:rsidRPr="00566102" w:rsidR="00EF429C">
        <w:t>,</w:t>
      </w:r>
      <w:r w:rsidRPr="00566102">
        <w:t xml:space="preserve"> he was informed about his son</w:t>
      </w:r>
      <w:r w:rsidRPr="00566102" w:rsidR="00566102">
        <w:t>’</w:t>
      </w:r>
      <w:r w:rsidRPr="00566102">
        <w:t>s transfer to Uzbekistan by the law-enforcement agents on 13 June 2018, who also demanded the costs of the ticket to be covered. The applicant was arrested immediately after his arrival to Uzbekistan and transferred to a pre-trial detention facility.</w:t>
      </w:r>
      <w:r w:rsidRPr="00566102" w:rsidR="004C3A91">
        <w:t xml:space="preserve"> The representatives</w:t>
      </w:r>
      <w:r w:rsidRPr="00566102" w:rsidR="00566102">
        <w:t>’</w:t>
      </w:r>
      <w:r w:rsidRPr="00566102" w:rsidR="004C3A91">
        <w:t xml:space="preserve"> allegations were supported by letters from the applicant, his father, his lawyer in Uzbekistan and the office of the Uzbekistan Airways.</w:t>
      </w:r>
    </w:p>
    <w:p w:rsidRPr="00566102" w:rsidR="003419C8" w:rsidP="00566102" w:rsidRDefault="004C3A91">
      <w:pPr>
        <w:pStyle w:val="ECHRPara"/>
      </w:pPr>
      <w:r w:rsidRPr="00566102">
        <w:fldChar w:fldCharType="begin"/>
      </w:r>
      <w:r w:rsidRPr="00566102">
        <w:instrText xml:space="preserve"> SEQ level0 \*arabic </w:instrText>
      </w:r>
      <w:r w:rsidRPr="00566102">
        <w:fldChar w:fldCharType="separate"/>
      </w:r>
      <w:r w:rsidRPr="00566102" w:rsidR="00566102">
        <w:rPr>
          <w:noProof/>
        </w:rPr>
        <w:t>15</w:t>
      </w:r>
      <w:r w:rsidRPr="00566102">
        <w:fldChar w:fldCharType="end"/>
      </w:r>
      <w:r w:rsidRPr="00566102">
        <w:t>.  </w:t>
      </w:r>
      <w:r w:rsidRPr="00566102" w:rsidR="00EB4678">
        <w:t xml:space="preserve">In </w:t>
      </w:r>
      <w:r w:rsidRPr="00566102">
        <w:t>the representative</w:t>
      </w:r>
      <w:r w:rsidRPr="00566102" w:rsidR="00566102">
        <w:t>’</w:t>
      </w:r>
      <w:r w:rsidRPr="00566102">
        <w:t xml:space="preserve">s </w:t>
      </w:r>
      <w:r w:rsidRPr="00566102" w:rsidR="00EB4678">
        <w:t>opinion the sequence of events and the above facts indicate that the applicant</w:t>
      </w:r>
      <w:r w:rsidRPr="00566102" w:rsidR="00566102">
        <w:t>’</w:t>
      </w:r>
      <w:r w:rsidRPr="00566102" w:rsidR="00EB4678">
        <w:t>s transfer had been facilitated through covert cooperation of the Russian and the Uzbek law-enforcement agencies.</w:t>
      </w:r>
    </w:p>
    <w:p w:rsidRPr="00566102" w:rsidR="00C31C19" w:rsidP="00566102" w:rsidRDefault="00C31C19">
      <w:pPr>
        <w:pStyle w:val="ECHRPara"/>
      </w:pPr>
      <w:r w:rsidRPr="00566102">
        <w:fldChar w:fldCharType="begin"/>
      </w:r>
      <w:r w:rsidRPr="00566102">
        <w:instrText xml:space="preserve"> SEQ level0 \*arabic </w:instrText>
      </w:r>
      <w:r w:rsidRPr="00566102">
        <w:fldChar w:fldCharType="separate"/>
      </w:r>
      <w:r w:rsidRPr="00566102" w:rsidR="00566102">
        <w:rPr>
          <w:noProof/>
        </w:rPr>
        <w:t>16</w:t>
      </w:r>
      <w:r w:rsidRPr="00566102">
        <w:fldChar w:fldCharType="end"/>
      </w:r>
      <w:r w:rsidRPr="00566102">
        <w:t>.  The Government contested th</w:t>
      </w:r>
      <w:r w:rsidRPr="00566102" w:rsidR="008D730E">
        <w:t>e</w:t>
      </w:r>
      <w:r w:rsidRPr="00566102">
        <w:t xml:space="preserve">se allegations and stated that the applicant returned to Uzbekistan on his own </w:t>
      </w:r>
      <w:r w:rsidRPr="00566102" w:rsidR="003A1BD4">
        <w:t xml:space="preserve">following a phone call from his father. </w:t>
      </w:r>
      <w:r w:rsidRPr="00566102">
        <w:t xml:space="preserve">They </w:t>
      </w:r>
      <w:r w:rsidRPr="00566102" w:rsidR="003A1BD4">
        <w:t xml:space="preserve">maintained </w:t>
      </w:r>
      <w:r w:rsidRPr="00566102">
        <w:t xml:space="preserve">that the applicant himself bought the ticket and </w:t>
      </w:r>
      <w:r w:rsidRPr="00566102" w:rsidR="003A1BD4">
        <w:t xml:space="preserve">voluntarily </w:t>
      </w:r>
      <w:r w:rsidRPr="00566102">
        <w:t>flew to Tashkent.</w:t>
      </w:r>
      <w:r w:rsidRPr="00566102" w:rsidR="007E3599">
        <w:t xml:space="preserve"> They provided no documents in support of their position.</w:t>
      </w:r>
    </w:p>
    <w:p w:rsidRPr="00566102" w:rsidR="00460C90" w:rsidP="00566102" w:rsidRDefault="00C31C19">
      <w:pPr>
        <w:pStyle w:val="ECHRHeading2"/>
      </w:pPr>
      <w:r w:rsidRPr="00566102">
        <w:t>C</w:t>
      </w:r>
      <w:r w:rsidRPr="00566102" w:rsidR="00460C90">
        <w:t>.  The applicant</w:t>
      </w:r>
      <w:r w:rsidRPr="00566102" w:rsidR="00566102">
        <w:t>’</w:t>
      </w:r>
      <w:r w:rsidRPr="00566102" w:rsidR="00460C90">
        <w:t>s situation in Uzbekistan</w:t>
      </w:r>
    </w:p>
    <w:p w:rsidRPr="00566102" w:rsidR="00460C90" w:rsidP="00566102" w:rsidRDefault="00460C90">
      <w:pPr>
        <w:pStyle w:val="ECHRPara"/>
      </w:pPr>
      <w:r w:rsidRPr="00566102">
        <w:fldChar w:fldCharType="begin"/>
      </w:r>
      <w:r w:rsidRPr="00566102">
        <w:instrText xml:space="preserve"> SEQ level0 \*arabic </w:instrText>
      </w:r>
      <w:r w:rsidRPr="00566102">
        <w:fldChar w:fldCharType="separate"/>
      </w:r>
      <w:r w:rsidRPr="00566102" w:rsidR="00566102">
        <w:rPr>
          <w:noProof/>
        </w:rPr>
        <w:t>17</w:t>
      </w:r>
      <w:r w:rsidRPr="00566102">
        <w:rPr>
          <w:noProof/>
        </w:rPr>
        <w:fldChar w:fldCharType="end"/>
      </w:r>
      <w:r w:rsidRPr="00566102">
        <w:t>.  Upon his arrival in Uzbekistan on 1</w:t>
      </w:r>
      <w:r w:rsidRPr="00566102" w:rsidR="00BA3151">
        <w:t xml:space="preserve">3 June 2018 </w:t>
      </w:r>
      <w:r w:rsidRPr="00566102">
        <w:t>the appl</w:t>
      </w:r>
      <w:r w:rsidRPr="00566102" w:rsidR="00BA3151">
        <w:t xml:space="preserve">icant was immediately arrested and transported to a pre-trial detention </w:t>
      </w:r>
      <w:r w:rsidRPr="00566102" w:rsidR="00014461">
        <w:t>centre</w:t>
      </w:r>
      <w:r w:rsidRPr="00566102" w:rsidR="00BA3151">
        <w:t xml:space="preserve"> in Fergana.</w:t>
      </w:r>
    </w:p>
    <w:p w:rsidRPr="00566102" w:rsidR="00460C90" w:rsidP="00566102" w:rsidRDefault="00460C90">
      <w:pPr>
        <w:pStyle w:val="ECHRPara"/>
      </w:pPr>
      <w:r w:rsidRPr="00566102">
        <w:fldChar w:fldCharType="begin"/>
      </w:r>
      <w:r w:rsidRPr="00566102">
        <w:instrText xml:space="preserve"> SEQ level0 \*arabic </w:instrText>
      </w:r>
      <w:r w:rsidRPr="00566102">
        <w:fldChar w:fldCharType="separate"/>
      </w:r>
      <w:r w:rsidRPr="00566102" w:rsidR="00566102">
        <w:rPr>
          <w:noProof/>
        </w:rPr>
        <w:t>18</w:t>
      </w:r>
      <w:r w:rsidRPr="00566102">
        <w:rPr>
          <w:noProof/>
        </w:rPr>
        <w:fldChar w:fldCharType="end"/>
      </w:r>
      <w:r w:rsidRPr="00566102">
        <w:t xml:space="preserve">.  On </w:t>
      </w:r>
      <w:r w:rsidRPr="00566102" w:rsidR="00BA3151">
        <w:t xml:space="preserve">27 August 2018 </w:t>
      </w:r>
      <w:r w:rsidRPr="00566102">
        <w:t>the applicant</w:t>
      </w:r>
      <w:r w:rsidRPr="00566102" w:rsidR="00566102">
        <w:t>’</w:t>
      </w:r>
      <w:r w:rsidRPr="00566102">
        <w:t>s representatives</w:t>
      </w:r>
      <w:r w:rsidRPr="00566102" w:rsidR="00BA3151">
        <w:t xml:space="preserve"> informed the Court that they were</w:t>
      </w:r>
      <w:r w:rsidRPr="00566102">
        <w:t xml:space="preserve"> in contact with the applicant through his relatives and the lawyer representing him in Uzbekistan, and that </w:t>
      </w:r>
      <w:r w:rsidRPr="00566102" w:rsidR="00BA3151">
        <w:t xml:space="preserve">the applicant </w:t>
      </w:r>
      <w:r w:rsidRPr="00566102">
        <w:t xml:space="preserve">wished to maintain his application. </w:t>
      </w:r>
      <w:r w:rsidRPr="00566102" w:rsidR="00C13841">
        <w:t xml:space="preserve">They </w:t>
      </w:r>
      <w:r w:rsidRPr="00566102">
        <w:t>provided the following evidence:</w:t>
      </w:r>
    </w:p>
    <w:p w:rsidRPr="00566102" w:rsidR="00460C90" w:rsidP="00566102" w:rsidRDefault="00460C90">
      <w:pPr>
        <w:pStyle w:val="ECHRPara"/>
      </w:pPr>
      <w:r w:rsidRPr="00566102">
        <w:t xml:space="preserve">(a) a handwritten note (in </w:t>
      </w:r>
      <w:r w:rsidRPr="00566102" w:rsidR="00BA3151">
        <w:t>Russian</w:t>
      </w:r>
      <w:r w:rsidRPr="00566102">
        <w:t>) from the applicant</w:t>
      </w:r>
      <w:r w:rsidRPr="00566102" w:rsidR="00566102">
        <w:t>’</w:t>
      </w:r>
      <w:r w:rsidRPr="00566102">
        <w:t xml:space="preserve">s </w:t>
      </w:r>
      <w:r w:rsidRPr="00566102" w:rsidR="00BA3151">
        <w:t xml:space="preserve">father </w:t>
      </w:r>
      <w:r w:rsidRPr="00566102">
        <w:t>dated 8</w:t>
      </w:r>
      <w:r w:rsidRPr="00566102" w:rsidR="00BA3151">
        <w:t xml:space="preserve"> August 2018 </w:t>
      </w:r>
      <w:r w:rsidRPr="00566102">
        <w:t>and addressed to Ms</w:t>
      </w:r>
      <w:r w:rsidRPr="00566102" w:rsidR="00C13841">
        <w:t xml:space="preserve"> </w:t>
      </w:r>
      <w:r w:rsidRPr="00566102">
        <w:t xml:space="preserve">Trenina, which stated that the applicant </w:t>
      </w:r>
      <w:r w:rsidRPr="00566102" w:rsidR="00BA3151">
        <w:t xml:space="preserve">and his relatives </w:t>
      </w:r>
      <w:r w:rsidRPr="00566102">
        <w:t xml:space="preserve">expressed </w:t>
      </w:r>
      <w:r w:rsidRPr="00566102" w:rsidR="00BA3151">
        <w:t xml:space="preserve">the </w:t>
      </w:r>
      <w:r w:rsidRPr="00566102">
        <w:t>wish to maintain the application;</w:t>
      </w:r>
    </w:p>
    <w:p w:rsidRPr="00566102" w:rsidR="005354A3" w:rsidP="00566102" w:rsidRDefault="00460C90">
      <w:pPr>
        <w:pStyle w:val="ECHRPara"/>
      </w:pPr>
      <w:r w:rsidRPr="00566102">
        <w:t xml:space="preserve">(b) a handwritten </w:t>
      </w:r>
      <w:r w:rsidRPr="00566102" w:rsidR="00BA3151">
        <w:t xml:space="preserve">note (in Russian) </w:t>
      </w:r>
      <w:r w:rsidRPr="00566102">
        <w:t xml:space="preserve">from the applicant dated </w:t>
      </w:r>
      <w:r w:rsidRPr="00566102" w:rsidR="005354A3">
        <w:t xml:space="preserve">14 August 2018 </w:t>
      </w:r>
      <w:r w:rsidRPr="00566102">
        <w:t>and addressed to Ms Trenina, which stated that he wished to maintain his application</w:t>
      </w:r>
      <w:r w:rsidRPr="00566102" w:rsidR="005354A3">
        <w:t xml:space="preserve"> and </w:t>
      </w:r>
      <w:r w:rsidRPr="00566102" w:rsidR="00C13841">
        <w:t xml:space="preserve">provided his account of </w:t>
      </w:r>
      <w:r w:rsidRPr="00566102" w:rsidR="005354A3">
        <w:t>removal from Russia;</w:t>
      </w:r>
    </w:p>
    <w:p w:rsidRPr="00566102" w:rsidR="00460C90" w:rsidP="00566102" w:rsidRDefault="005B4D1A">
      <w:pPr>
        <w:pStyle w:val="ECHRPara"/>
      </w:pPr>
      <w:r w:rsidRPr="00566102">
        <w:t>(c</w:t>
      </w:r>
      <w:r w:rsidRPr="00566102" w:rsidR="00460C90">
        <w:t xml:space="preserve">) a </w:t>
      </w:r>
      <w:r w:rsidRPr="00566102">
        <w:t>letter</w:t>
      </w:r>
      <w:r w:rsidRPr="00566102" w:rsidR="00460C90">
        <w:t xml:space="preserve"> from Ms </w:t>
      </w:r>
      <w:r w:rsidRPr="00566102" w:rsidR="005354A3">
        <w:t>Matmusayeva</w:t>
      </w:r>
      <w:r w:rsidRPr="00566102" w:rsidR="00460C90">
        <w:t>, the applicant</w:t>
      </w:r>
      <w:r w:rsidRPr="00566102" w:rsidR="00566102">
        <w:t>’</w:t>
      </w:r>
      <w:r w:rsidRPr="00566102" w:rsidR="005354A3">
        <w:t>s lawyer in Uzbekistan, dated 2</w:t>
      </w:r>
      <w:r w:rsidRPr="00566102" w:rsidR="00460C90">
        <w:t xml:space="preserve">8 </w:t>
      </w:r>
      <w:r w:rsidRPr="00566102" w:rsidR="005354A3">
        <w:t xml:space="preserve">August 2018 </w:t>
      </w:r>
      <w:r w:rsidRPr="00566102" w:rsidR="00460C90">
        <w:t xml:space="preserve">and addressed to Ms Trenina, which stated that during a meeting </w:t>
      </w:r>
      <w:r w:rsidRPr="00566102" w:rsidR="005354A3">
        <w:t xml:space="preserve">with the applicant the latter </w:t>
      </w:r>
      <w:r w:rsidRPr="00566102" w:rsidR="00C13841">
        <w:t xml:space="preserve">claimed to have been subjected </w:t>
      </w:r>
      <w:r w:rsidRPr="00566102" w:rsidR="005354A3">
        <w:t>to ill-treatment by Russian security services</w:t>
      </w:r>
      <w:r w:rsidRPr="00566102">
        <w:t>. She further informed that</w:t>
      </w:r>
      <w:r w:rsidRPr="00566102" w:rsidR="005354A3">
        <w:t xml:space="preserve"> </w:t>
      </w:r>
      <w:r w:rsidRPr="00566102">
        <w:t xml:space="preserve">the applicant refused to </w:t>
      </w:r>
      <w:r w:rsidRPr="00566102" w:rsidR="005354A3">
        <w:t>comment whether he was subject to ill</w:t>
      </w:r>
      <w:r w:rsidRPr="00566102" w:rsidR="005F6F7B">
        <w:noBreakHyphen/>
      </w:r>
      <w:r w:rsidRPr="00566102" w:rsidR="005354A3">
        <w:t>treatment in detention in Uzbekistan</w:t>
      </w:r>
      <w:r w:rsidRPr="00566102" w:rsidR="00460C90">
        <w:t>.</w:t>
      </w:r>
    </w:p>
    <w:p w:rsidRPr="00566102" w:rsidR="00933D94" w:rsidP="00566102" w:rsidRDefault="008D730E">
      <w:pPr>
        <w:pStyle w:val="ECHRPara"/>
      </w:pPr>
      <w:r w:rsidRPr="00566102">
        <w:fldChar w:fldCharType="begin"/>
      </w:r>
      <w:r w:rsidRPr="00566102">
        <w:instrText xml:space="preserve"> SEQ level0 \*arabic </w:instrText>
      </w:r>
      <w:r w:rsidRPr="00566102">
        <w:fldChar w:fldCharType="separate"/>
      </w:r>
      <w:r w:rsidRPr="00566102" w:rsidR="00566102">
        <w:rPr>
          <w:noProof/>
        </w:rPr>
        <w:t>19</w:t>
      </w:r>
      <w:r w:rsidRPr="00566102">
        <w:fldChar w:fldCharType="end"/>
      </w:r>
      <w:r w:rsidRPr="00566102">
        <w:t>.  </w:t>
      </w:r>
      <w:r w:rsidRPr="00566102" w:rsidR="00933D94">
        <w:t xml:space="preserve">On 8 September 2018 the applicant pled guilty. He was sentenced to a suspended term of 2 years and 9 months and released on probation. </w:t>
      </w:r>
      <w:r w:rsidRPr="00566102" w:rsidR="00F81B67">
        <w:t>He currently resides in Poloson, Fergana Region, Uzbekistan</w:t>
      </w:r>
      <w:r w:rsidRPr="00566102" w:rsidR="007824B3">
        <w:t>.</w:t>
      </w:r>
    </w:p>
    <w:p w:rsidRPr="00566102" w:rsidR="00014566" w:rsidP="00566102" w:rsidRDefault="00014566">
      <w:pPr>
        <w:pStyle w:val="ECHRHeading1"/>
      </w:pPr>
      <w:r w:rsidRPr="00566102">
        <w:t>II.  RELEVANT DOMESTIC LAW AND PRACTICE</w:t>
      </w:r>
    </w:p>
    <w:p w:rsidRPr="00566102" w:rsidR="005C3C41" w:rsidP="00566102" w:rsidRDefault="006D0410">
      <w:pPr>
        <w:pStyle w:val="ECHRPara"/>
      </w:pPr>
      <w:r w:rsidRPr="00566102">
        <w:fldChar w:fldCharType="begin"/>
      </w:r>
      <w:r w:rsidRPr="00566102">
        <w:instrText xml:space="preserve"> SEQ level0 \*arabic </w:instrText>
      </w:r>
      <w:r w:rsidRPr="00566102">
        <w:fldChar w:fldCharType="separate"/>
      </w:r>
      <w:r w:rsidRPr="00566102" w:rsidR="00566102">
        <w:rPr>
          <w:noProof/>
        </w:rPr>
        <w:t>20</w:t>
      </w:r>
      <w:r w:rsidRPr="00566102">
        <w:fldChar w:fldCharType="end"/>
      </w:r>
      <w:r w:rsidRPr="00566102">
        <w:t>.  </w:t>
      </w:r>
      <w:r w:rsidRPr="00566102" w:rsidR="00153C0F">
        <w:t xml:space="preserve">A summary of the domestic law and practice concerning extraditions was provided in the case of </w:t>
      </w:r>
      <w:r w:rsidRPr="00566102" w:rsidR="00153C0F">
        <w:rPr>
          <w:i/>
        </w:rPr>
        <w:t>Mukhitdinov v. Russia</w:t>
      </w:r>
      <w:r w:rsidRPr="00566102" w:rsidR="005A1D43">
        <w:t xml:space="preserve"> (no. 20999/14, §§ 29-31, 21 </w:t>
      </w:r>
      <w:r w:rsidRPr="00566102" w:rsidR="00153C0F">
        <w:t>May 2015, with further references).</w:t>
      </w:r>
    </w:p>
    <w:p w:rsidRPr="00566102" w:rsidR="00153C0F" w:rsidP="00566102" w:rsidRDefault="00460C90">
      <w:pPr>
        <w:pStyle w:val="ECHRHeading1"/>
      </w:pPr>
      <w:r w:rsidRPr="00566102">
        <w:t>III.  REPORTS ON UZBEKISTAN</w:t>
      </w:r>
    </w:p>
    <w:p w:rsidRPr="00566102" w:rsidR="00460C90" w:rsidP="00566102" w:rsidRDefault="00153C0F">
      <w:pPr>
        <w:pStyle w:val="ECHRPara"/>
      </w:pPr>
      <w:r w:rsidRPr="00566102">
        <w:fldChar w:fldCharType="begin"/>
      </w:r>
      <w:r w:rsidRPr="00566102">
        <w:instrText xml:space="preserve"> SEQ level0 \*arabic </w:instrText>
      </w:r>
      <w:r w:rsidRPr="00566102">
        <w:fldChar w:fldCharType="separate"/>
      </w:r>
      <w:r w:rsidRPr="00566102" w:rsidR="00566102">
        <w:rPr>
          <w:noProof/>
        </w:rPr>
        <w:t>21</w:t>
      </w:r>
      <w:r w:rsidRPr="00566102">
        <w:fldChar w:fldCharType="end"/>
      </w:r>
      <w:r w:rsidRPr="00566102" w:rsidR="003428B9">
        <w:t>.</w:t>
      </w:r>
      <w:r w:rsidRPr="00566102" w:rsidR="00460C90">
        <w:t xml:space="preserve">  References to relevant reports by UN agencies and international NGOs on the situation in Uzbekistan were cited in the cases of </w:t>
      </w:r>
      <w:r w:rsidRPr="00566102" w:rsidR="00460C90">
        <w:rPr>
          <w:i/>
          <w:iCs/>
        </w:rPr>
        <w:t>Kholmurodov v. Russia</w:t>
      </w:r>
      <w:r w:rsidRPr="00566102" w:rsidR="00460C90">
        <w:t xml:space="preserve"> (no. 58923/14, §§ 46-50, 1 March 2016) and </w:t>
      </w:r>
      <w:r w:rsidRPr="00566102" w:rsidR="00460C90">
        <w:rPr>
          <w:i/>
        </w:rPr>
        <w:t>T.M.</w:t>
      </w:r>
      <w:r w:rsidRPr="00566102" w:rsidR="00621AE0">
        <w:rPr>
          <w:i/>
        </w:rPr>
        <w:t> </w:t>
      </w:r>
      <w:r w:rsidRPr="00566102" w:rsidR="00460C90">
        <w:rPr>
          <w:i/>
        </w:rPr>
        <w:t>and Others v. Russia</w:t>
      </w:r>
      <w:r w:rsidRPr="00566102" w:rsidR="00460C90">
        <w:t xml:space="preserve"> (no. 31189/15, § 28, 7 November 2017).</w:t>
      </w:r>
    </w:p>
    <w:p w:rsidRPr="00566102" w:rsidR="008E2499" w:rsidP="00566102" w:rsidRDefault="008E2499">
      <w:pPr>
        <w:pStyle w:val="ECHRPara"/>
      </w:pPr>
      <w:r w:rsidRPr="00566102">
        <w:fldChar w:fldCharType="begin"/>
      </w:r>
      <w:r w:rsidRPr="00566102">
        <w:instrText xml:space="preserve"> SEQ level0 \*arabic </w:instrText>
      </w:r>
      <w:r w:rsidRPr="00566102">
        <w:fldChar w:fldCharType="separate"/>
      </w:r>
      <w:r w:rsidRPr="00566102" w:rsidR="00566102">
        <w:rPr>
          <w:noProof/>
        </w:rPr>
        <w:t>22</w:t>
      </w:r>
      <w:r w:rsidRPr="00566102">
        <w:fldChar w:fldCharType="end"/>
      </w:r>
      <w:r w:rsidRPr="00566102">
        <w:t xml:space="preserve">.  In respect of Uzbekistan 2019 World Report by Human Rights Watch indicated that there were certain </w:t>
      </w:r>
      <w:r w:rsidRPr="00566102">
        <w:rPr>
          <w:lang w:val="en-US"/>
        </w:rPr>
        <w:t>promising steps to reform the country</w:t>
      </w:r>
      <w:r w:rsidRPr="00566102" w:rsidR="00566102">
        <w:rPr>
          <w:lang w:val="en-US"/>
        </w:rPr>
        <w:t>’</w:t>
      </w:r>
      <w:r w:rsidRPr="00566102">
        <w:rPr>
          <w:lang w:val="en-US"/>
        </w:rPr>
        <w:t xml:space="preserve">s human rights record; however, many reforms are yet to be implemented. It further stated that a limited number of persons imprisoned on politically motivated charges had been released in 2016-2018. Furthermore, isolated incidents of </w:t>
      </w:r>
      <w:r w:rsidRPr="00566102">
        <w:t xml:space="preserve">security agency officers sentenced for torture </w:t>
      </w:r>
      <w:r w:rsidRPr="00566102">
        <w:rPr>
          <w:lang w:val="en-US"/>
        </w:rPr>
        <w:t xml:space="preserve">and death in custody were cited. Amnesty International Report 2017/2018 reflected similar trends, including judicial independence and effectiveness as the </w:t>
      </w:r>
      <w:r w:rsidRPr="00566102">
        <w:t>priorities set by the authorities for the systemic reform</w:t>
      </w:r>
      <w:r w:rsidRPr="00566102">
        <w:rPr>
          <w:lang w:val="en-US"/>
        </w:rPr>
        <w:t>. At the same time the report stressed that t</w:t>
      </w:r>
      <w:r w:rsidRPr="00566102">
        <w:t xml:space="preserve">he authorities continued to secure forcible returns, including through extradition proceedings, of Uzbekistani nationals identified as threats to the “constitutional </w:t>
      </w:r>
      <w:r w:rsidRPr="00566102">
        <w:rPr>
          <w:lang w:val="en-US"/>
        </w:rPr>
        <w:t>order” or national security.</w:t>
      </w:r>
    </w:p>
    <w:p w:rsidRPr="00566102" w:rsidR="00014566" w:rsidP="00566102" w:rsidRDefault="00014566">
      <w:pPr>
        <w:pStyle w:val="ECHRTitle1"/>
      </w:pPr>
      <w:r w:rsidRPr="00566102">
        <w:t>THE LAW</w:t>
      </w:r>
    </w:p>
    <w:p w:rsidRPr="00566102" w:rsidR="00EE1E54" w:rsidP="00566102" w:rsidRDefault="00C00924">
      <w:pPr>
        <w:pStyle w:val="ECHRHeading1"/>
      </w:pPr>
      <w:r w:rsidRPr="00566102">
        <w:t>I</w:t>
      </w:r>
      <w:r w:rsidRPr="00566102" w:rsidR="00EE1E54">
        <w:t>.</w:t>
      </w:r>
      <w:r w:rsidRPr="00566102" w:rsidR="00566102">
        <w:t>  </w:t>
      </w:r>
      <w:r w:rsidRPr="00566102" w:rsidR="00784497">
        <w:t>THE GOVERNMENT</w:t>
      </w:r>
      <w:r w:rsidRPr="00566102" w:rsidR="00566102">
        <w:t>’</w:t>
      </w:r>
      <w:r w:rsidRPr="00566102" w:rsidR="00784497">
        <w:t>S PRELIMINARY OBJECTION</w:t>
      </w:r>
    </w:p>
    <w:p w:rsidRPr="00566102" w:rsidR="005A1D43" w:rsidP="00566102" w:rsidRDefault="006629A7">
      <w:pPr>
        <w:pStyle w:val="ECHRPara"/>
      </w:pPr>
      <w:r w:rsidRPr="00566102">
        <w:fldChar w:fldCharType="begin"/>
      </w:r>
      <w:r w:rsidRPr="00566102">
        <w:instrText xml:space="preserve"> SEQ level0 \*arabic </w:instrText>
      </w:r>
      <w:r w:rsidRPr="00566102">
        <w:fldChar w:fldCharType="separate"/>
      </w:r>
      <w:r w:rsidRPr="00566102" w:rsidR="00566102">
        <w:rPr>
          <w:noProof/>
        </w:rPr>
        <w:t>23</w:t>
      </w:r>
      <w:r w:rsidRPr="00566102">
        <w:fldChar w:fldCharType="end"/>
      </w:r>
      <w:r w:rsidRPr="00566102">
        <w:t>.  </w:t>
      </w:r>
      <w:r w:rsidRPr="00566102" w:rsidR="005A1D43">
        <w:t xml:space="preserve">In their observations </w:t>
      </w:r>
      <w:r w:rsidRPr="00566102" w:rsidR="002B1683">
        <w:t>the Government noted that the representatives had failed to provide properly executed forms of authority at the mo</w:t>
      </w:r>
      <w:r w:rsidRPr="00566102" w:rsidR="00087C49">
        <w:t>ment of lodging the application</w:t>
      </w:r>
      <w:r w:rsidRPr="00566102" w:rsidR="002B1683">
        <w:t xml:space="preserve"> </w:t>
      </w:r>
      <w:r w:rsidRPr="00566102" w:rsidR="00A9642F">
        <w:t xml:space="preserve">with </w:t>
      </w:r>
      <w:r w:rsidRPr="00566102" w:rsidR="002B1683">
        <w:t>the Court</w:t>
      </w:r>
      <w:r w:rsidRPr="00566102" w:rsidR="005F1C8A">
        <w:t xml:space="preserve"> and that</w:t>
      </w:r>
      <w:r w:rsidRPr="00566102" w:rsidR="002B1683">
        <w:t xml:space="preserve"> </w:t>
      </w:r>
      <w:r w:rsidRPr="00566102" w:rsidR="005A1D43">
        <w:t>raised doubts as to the applicant</w:t>
      </w:r>
      <w:r w:rsidRPr="00566102" w:rsidR="00566102">
        <w:t>’</w:t>
      </w:r>
      <w:r w:rsidRPr="00566102" w:rsidR="005A1D43">
        <w:t xml:space="preserve">s awareness of the institution of proceedings on </w:t>
      </w:r>
      <w:r w:rsidRPr="00566102" w:rsidR="00087C49">
        <w:t xml:space="preserve">his </w:t>
      </w:r>
      <w:r w:rsidRPr="00566102" w:rsidR="005A1D43">
        <w:t>behalf.</w:t>
      </w:r>
    </w:p>
    <w:p w:rsidRPr="00566102" w:rsidR="00452329" w:rsidP="00566102" w:rsidRDefault="000D0584">
      <w:pPr>
        <w:pStyle w:val="ECHRPara"/>
      </w:pPr>
      <w:r w:rsidRPr="00566102">
        <w:fldChar w:fldCharType="begin"/>
      </w:r>
      <w:r w:rsidRPr="00566102">
        <w:instrText xml:space="preserve"> SEQ level0 \*arabic </w:instrText>
      </w:r>
      <w:r w:rsidRPr="00566102">
        <w:fldChar w:fldCharType="separate"/>
      </w:r>
      <w:r w:rsidRPr="00566102" w:rsidR="00566102">
        <w:rPr>
          <w:noProof/>
        </w:rPr>
        <w:t>24</w:t>
      </w:r>
      <w:r w:rsidRPr="00566102">
        <w:fldChar w:fldCharType="end"/>
      </w:r>
      <w:r w:rsidRPr="00566102">
        <w:t>.  </w:t>
      </w:r>
      <w:r w:rsidRPr="00566102" w:rsidR="00087C49">
        <w:t>T</w:t>
      </w:r>
      <w:r w:rsidRPr="00566102" w:rsidR="002730B0">
        <w:t>he Government noted t</w:t>
      </w:r>
      <w:r w:rsidRPr="00566102" w:rsidR="00B31A64">
        <w:t xml:space="preserve">hat </w:t>
      </w:r>
      <w:r w:rsidRPr="00566102" w:rsidR="004905F3">
        <w:t xml:space="preserve">one of the </w:t>
      </w:r>
      <w:r w:rsidRPr="00566102" w:rsidR="00CF23E6">
        <w:t xml:space="preserve">two </w:t>
      </w:r>
      <w:r w:rsidRPr="00566102" w:rsidR="008A5D33">
        <w:t xml:space="preserve">authority </w:t>
      </w:r>
      <w:r w:rsidRPr="00566102" w:rsidR="00CF23E6">
        <w:t xml:space="preserve">forms </w:t>
      </w:r>
      <w:r w:rsidRPr="00566102" w:rsidR="008A5D33">
        <w:t xml:space="preserve">submitted to the Court </w:t>
      </w:r>
      <w:r w:rsidRPr="00566102" w:rsidR="00A9642F">
        <w:t xml:space="preserve">along </w:t>
      </w:r>
      <w:r w:rsidRPr="00566102" w:rsidR="008A5D33">
        <w:t xml:space="preserve">with the first letter requesting an interim measure was not signed by </w:t>
      </w:r>
      <w:r w:rsidRPr="00566102" w:rsidR="00A9642F">
        <w:t xml:space="preserve">one of </w:t>
      </w:r>
      <w:r w:rsidRPr="00566102" w:rsidR="008A5D33">
        <w:t>the representative</w:t>
      </w:r>
      <w:r w:rsidRPr="00566102" w:rsidR="00A9642F">
        <w:t>s</w:t>
      </w:r>
      <w:r w:rsidRPr="00566102" w:rsidR="008A5D33">
        <w:t xml:space="preserve">. </w:t>
      </w:r>
      <w:r w:rsidRPr="00566102" w:rsidR="00B31A64">
        <w:t>B</w:t>
      </w:r>
      <w:r w:rsidRPr="00566102" w:rsidR="005A1D43">
        <w:t>esides</w:t>
      </w:r>
      <w:r w:rsidRPr="00566102" w:rsidR="008A5D33">
        <w:t xml:space="preserve">, the Government pointed </w:t>
      </w:r>
      <w:r w:rsidRPr="00566102" w:rsidR="005637A5">
        <w:t xml:space="preserve">out </w:t>
      </w:r>
      <w:r w:rsidRPr="00566102" w:rsidR="008A5D33">
        <w:t xml:space="preserve">the </w:t>
      </w:r>
      <w:r w:rsidRPr="00566102" w:rsidR="005A1D43">
        <w:t xml:space="preserve">significant </w:t>
      </w:r>
      <w:r w:rsidRPr="00566102" w:rsidR="00C01186">
        <w:t xml:space="preserve">time </w:t>
      </w:r>
      <w:r w:rsidRPr="00566102" w:rsidR="00B31A64">
        <w:t xml:space="preserve">lapse </w:t>
      </w:r>
      <w:r w:rsidRPr="00566102" w:rsidR="000F6F33">
        <w:t xml:space="preserve">of </w:t>
      </w:r>
      <w:r w:rsidRPr="00566102" w:rsidR="005637A5">
        <w:t>nine</w:t>
      </w:r>
      <w:r w:rsidRPr="00566102" w:rsidR="000F6F33">
        <w:t xml:space="preserve"> months</w:t>
      </w:r>
      <w:r w:rsidRPr="00566102" w:rsidR="005A1D43">
        <w:t xml:space="preserve"> </w:t>
      </w:r>
      <w:r w:rsidRPr="00566102" w:rsidR="00B31A64">
        <w:t xml:space="preserve">between the dates </w:t>
      </w:r>
      <w:r w:rsidRPr="00566102" w:rsidR="008A5D33">
        <w:t xml:space="preserve">indicated on the </w:t>
      </w:r>
      <w:r w:rsidRPr="00566102" w:rsidR="00CF23E6">
        <w:t xml:space="preserve">authority </w:t>
      </w:r>
      <w:r w:rsidRPr="00566102" w:rsidR="005A1D43">
        <w:t xml:space="preserve">forms </w:t>
      </w:r>
      <w:r w:rsidRPr="00566102" w:rsidR="00187A88">
        <w:t>by the applicant and the representative</w:t>
      </w:r>
      <w:r w:rsidRPr="00566102" w:rsidR="005637A5">
        <w:t>s</w:t>
      </w:r>
      <w:r w:rsidRPr="00566102" w:rsidR="00187A88">
        <w:t>.</w:t>
      </w:r>
    </w:p>
    <w:p w:rsidRPr="00566102" w:rsidR="00EE1E54" w:rsidP="00566102" w:rsidRDefault="00C123E7">
      <w:pPr>
        <w:pStyle w:val="ECHRPara"/>
      </w:pPr>
      <w:r w:rsidRPr="00566102">
        <w:fldChar w:fldCharType="begin"/>
      </w:r>
      <w:r w:rsidRPr="00566102">
        <w:instrText xml:space="preserve"> SEQ level0 \*arabic </w:instrText>
      </w:r>
      <w:r w:rsidRPr="00566102">
        <w:fldChar w:fldCharType="separate"/>
      </w:r>
      <w:r w:rsidRPr="00566102" w:rsidR="00566102">
        <w:rPr>
          <w:noProof/>
        </w:rPr>
        <w:t>25</w:t>
      </w:r>
      <w:r w:rsidRPr="00566102">
        <w:fldChar w:fldCharType="end"/>
      </w:r>
      <w:r w:rsidRPr="00566102">
        <w:t>.  </w:t>
      </w:r>
      <w:r w:rsidRPr="00566102" w:rsidR="00AB3B10">
        <w:t>According to the Rule 45 § 3 of the Rules of Court an applicant</w:t>
      </w:r>
      <w:r w:rsidRPr="00566102" w:rsidR="00566102">
        <w:t>’</w:t>
      </w:r>
      <w:r w:rsidRPr="00566102" w:rsidR="00AB3B10">
        <w:t>s representative should supply a duly completed and signed authority form at the moment of initiating proceedings at the Court. Further, i</w:t>
      </w:r>
      <w:r w:rsidRPr="00566102" w:rsidR="00EE1E54">
        <w:t xml:space="preserve">n a number of cases in which the applicant had not been in contact with the Court directly, the Court has held that it </w:t>
      </w:r>
      <w:r w:rsidRPr="00566102" w:rsidR="00727931">
        <w:t xml:space="preserve">is </w:t>
      </w:r>
      <w:r w:rsidRPr="00566102" w:rsidR="00EE1E54">
        <w:t xml:space="preserve">essential for representatives to demonstrate that they have received specific and explicit instructions from the alleged victims within the meaning of Article 34 of the Convention on whose behalf they purport to act (see </w:t>
      </w:r>
      <w:r w:rsidRPr="00566102" w:rsidR="00C86BF3">
        <w:rPr>
          <w:i/>
        </w:rPr>
        <w:t xml:space="preserve">V.M. and Others v. Belgium </w:t>
      </w:r>
      <w:r w:rsidRPr="00566102" w:rsidR="00C86BF3">
        <w:t>(striking out)</w:t>
      </w:r>
      <w:r w:rsidRPr="00566102" w:rsidR="00C86BF3">
        <w:rPr>
          <w:i/>
        </w:rPr>
        <w:t xml:space="preserve"> </w:t>
      </w:r>
      <w:r w:rsidRPr="00566102" w:rsidR="00943D86">
        <w:t>[GC], no. </w:t>
      </w:r>
      <w:r w:rsidRPr="00566102" w:rsidR="00C86BF3">
        <w:t>6</w:t>
      </w:r>
      <w:r w:rsidRPr="00566102" w:rsidR="00943D86">
        <w:t>0125/11, § 35, 17 November 2016;</w:t>
      </w:r>
      <w:r w:rsidRPr="00566102" w:rsidR="00C86BF3">
        <w:t xml:space="preserve"> </w:t>
      </w:r>
      <w:r w:rsidRPr="00566102" w:rsidR="00EE1E54">
        <w:rPr>
          <w:i/>
        </w:rPr>
        <w:t>Kaur v.</w:t>
      </w:r>
      <w:r w:rsidRPr="00566102" w:rsidR="00942D68">
        <w:rPr>
          <w:i/>
        </w:rPr>
        <w:t> </w:t>
      </w:r>
      <w:r w:rsidRPr="00566102" w:rsidR="00EE1E54">
        <w:rPr>
          <w:i/>
        </w:rPr>
        <w:t>the Netherlands</w:t>
      </w:r>
      <w:r w:rsidRPr="00566102" w:rsidR="00943D86">
        <w:t xml:space="preserve"> (dec.), no. </w:t>
      </w:r>
      <w:r w:rsidRPr="00566102" w:rsidR="00EE1E54">
        <w:t xml:space="preserve">35864/11, § 14, </w:t>
      </w:r>
      <w:r w:rsidRPr="00566102" w:rsidR="00932541">
        <w:t xml:space="preserve">15 May 2012; </w:t>
      </w:r>
      <w:r w:rsidRPr="00566102" w:rsidR="00932541">
        <w:rPr>
          <w:i/>
        </w:rPr>
        <w:t>K.M. and Others v. </w:t>
      </w:r>
      <w:r w:rsidRPr="00566102" w:rsidR="00EE1E54">
        <w:rPr>
          <w:i/>
        </w:rPr>
        <w:t>Russia</w:t>
      </w:r>
      <w:r w:rsidRPr="00566102" w:rsidR="00687F60">
        <w:t xml:space="preserve"> (dec.), no. </w:t>
      </w:r>
      <w:r w:rsidRPr="00566102" w:rsidR="00EE1E54">
        <w:t>46086/07, 29</w:t>
      </w:r>
      <w:r w:rsidRPr="00566102" w:rsidR="00942D68">
        <w:t> </w:t>
      </w:r>
      <w:r w:rsidRPr="00566102" w:rsidR="00EE1E54">
        <w:t>April 2010;</w:t>
      </w:r>
      <w:r w:rsidRPr="00566102" w:rsidR="00A35AD2">
        <w:t xml:space="preserve"> and</w:t>
      </w:r>
      <w:r w:rsidRPr="00566102" w:rsidR="00EE1E54">
        <w:t xml:space="preserve"> </w:t>
      </w:r>
      <w:r w:rsidRPr="00566102" w:rsidR="00EE1E54">
        <w:rPr>
          <w:i/>
        </w:rPr>
        <w:t>Çetin v. Turkey</w:t>
      </w:r>
      <w:r w:rsidRPr="00566102" w:rsidR="00687F60">
        <w:t xml:space="preserve"> (dec.)</w:t>
      </w:r>
      <w:r w:rsidRPr="00566102" w:rsidR="00312E53">
        <w:t>,</w:t>
      </w:r>
      <w:r w:rsidRPr="00566102" w:rsidR="00C86BF3">
        <w:t xml:space="preserve"> </w:t>
      </w:r>
      <w:r w:rsidRPr="00566102" w:rsidR="00EE1E54">
        <w:t>no.</w:t>
      </w:r>
      <w:r w:rsidRPr="00566102" w:rsidR="00932541">
        <w:t> </w:t>
      </w:r>
      <w:r w:rsidRPr="00566102" w:rsidR="00EE1E54">
        <w:t xml:space="preserve">10449/08, </w:t>
      </w:r>
      <w:r w:rsidRPr="00566102" w:rsidR="00942D68">
        <w:t>13 </w:t>
      </w:r>
      <w:r w:rsidRPr="00566102" w:rsidR="00EE1E54">
        <w:t>September 2011).</w:t>
      </w:r>
    </w:p>
    <w:p w:rsidRPr="00566102" w:rsidR="008E2499" w:rsidP="00566102" w:rsidRDefault="008E2499">
      <w:pPr>
        <w:pStyle w:val="ECHRPara"/>
      </w:pPr>
      <w:r w:rsidRPr="00566102">
        <w:fldChar w:fldCharType="begin"/>
      </w:r>
      <w:r w:rsidRPr="00566102">
        <w:instrText xml:space="preserve"> SEQ level0 \*arabic </w:instrText>
      </w:r>
      <w:r w:rsidRPr="00566102">
        <w:fldChar w:fldCharType="separate"/>
      </w:r>
      <w:r w:rsidRPr="00566102" w:rsidR="00566102">
        <w:rPr>
          <w:noProof/>
        </w:rPr>
        <w:t>26</w:t>
      </w:r>
      <w:r w:rsidRPr="00566102">
        <w:fldChar w:fldCharType="end"/>
      </w:r>
      <w:r w:rsidRPr="00566102">
        <w:t>.  The Court notes with attention the arguments presented by the Government in respect of this, however, it does not accept them.</w:t>
      </w:r>
    </w:p>
    <w:p w:rsidRPr="00566102" w:rsidR="000B2CEF" w:rsidP="00566102" w:rsidRDefault="008E2499">
      <w:pPr>
        <w:pStyle w:val="ECHRPara"/>
      </w:pPr>
      <w:r w:rsidRPr="00566102">
        <w:fldChar w:fldCharType="begin"/>
      </w:r>
      <w:r w:rsidRPr="00566102">
        <w:instrText xml:space="preserve"> SEQ level0 \*arabic </w:instrText>
      </w:r>
      <w:r w:rsidRPr="00566102">
        <w:fldChar w:fldCharType="separate"/>
      </w:r>
      <w:r w:rsidRPr="00566102" w:rsidR="00566102">
        <w:rPr>
          <w:noProof/>
        </w:rPr>
        <w:t>27</w:t>
      </w:r>
      <w:r w:rsidRPr="00566102">
        <w:fldChar w:fldCharType="end"/>
      </w:r>
      <w:r w:rsidRPr="00566102">
        <w:t>.  </w:t>
      </w:r>
      <w:r w:rsidRPr="00566102" w:rsidR="00E122C4">
        <w:t>Firstly, o</w:t>
      </w:r>
      <w:r w:rsidRPr="00566102" w:rsidR="00CF23E6">
        <w:t>n 9</w:t>
      </w:r>
      <w:r w:rsidRPr="00566102">
        <w:t> </w:t>
      </w:r>
      <w:r w:rsidRPr="00566102" w:rsidR="00CF23E6">
        <w:t xml:space="preserve">January 2017 when an interim measure was requested under Rule 39 of the Rules of Court </w:t>
      </w:r>
      <w:r w:rsidRPr="00566102">
        <w:t xml:space="preserve">the authority form of Ms Trenina </w:t>
      </w:r>
      <w:r w:rsidRPr="00566102" w:rsidR="00CF23E6">
        <w:t xml:space="preserve">had been </w:t>
      </w:r>
      <w:r w:rsidRPr="00566102" w:rsidR="00D96578">
        <w:t xml:space="preserve">signed </w:t>
      </w:r>
      <w:r w:rsidRPr="00566102">
        <w:t>both by her and the applicant. The authority form of Ms Davidyan had been signed only by the applicant</w:t>
      </w:r>
      <w:r w:rsidRPr="00566102" w:rsidR="00CF23E6">
        <w:t xml:space="preserve"> and thus had not been duly completed </w:t>
      </w:r>
      <w:r w:rsidRPr="00566102" w:rsidR="00D96578">
        <w:t>as required by the Rule 45 </w:t>
      </w:r>
      <w:r w:rsidRPr="00566102" w:rsidR="00AB3B10">
        <w:t>§ 3 of the Rules of Court</w:t>
      </w:r>
      <w:r w:rsidRPr="00566102" w:rsidR="005A6DEC">
        <w:t>.</w:t>
      </w:r>
      <w:r w:rsidRPr="00566102">
        <w:t xml:space="preserve"> However, given that at least one representative out of two had been in possession of a duly completed authority form at the relevant time</w:t>
      </w:r>
      <w:r w:rsidRPr="00566102" w:rsidR="00E122C4">
        <w:t>, the proceedings were duly instituted on 7 January 2017.</w:t>
      </w:r>
    </w:p>
    <w:p w:rsidRPr="00566102" w:rsidR="008E2499" w:rsidP="00566102" w:rsidRDefault="00E122C4">
      <w:pPr>
        <w:pStyle w:val="ECHRPara"/>
      </w:pPr>
      <w:r w:rsidRPr="00566102">
        <w:fldChar w:fldCharType="begin"/>
      </w:r>
      <w:r w:rsidRPr="00566102">
        <w:instrText xml:space="preserve"> SEQ level0 \*arabic </w:instrText>
      </w:r>
      <w:r w:rsidRPr="00566102">
        <w:fldChar w:fldCharType="separate"/>
      </w:r>
      <w:r w:rsidRPr="00566102" w:rsidR="00566102">
        <w:rPr>
          <w:noProof/>
        </w:rPr>
        <w:t>28</w:t>
      </w:r>
      <w:r w:rsidRPr="00566102">
        <w:fldChar w:fldCharType="end"/>
      </w:r>
      <w:r w:rsidRPr="00566102">
        <w:t xml:space="preserve">.  Secondly, indeed there had been a significant time lapse between the dates on which the applicant and Ms Trenina signed the authority form, i.e. 10 March 2016 and 10 December 2016 respectively. </w:t>
      </w:r>
      <w:r w:rsidRPr="00566102" w:rsidR="00DA2235">
        <w:t xml:space="preserve">Patently an </w:t>
      </w:r>
      <w:r w:rsidRPr="00566102" w:rsidR="00320BE6">
        <w:t>interval of nine months is inopportune and highly irregular</w:t>
      </w:r>
      <w:r w:rsidRPr="00566102" w:rsidR="00DA2235">
        <w:t>. The Court is mindful and earnestly concerned by the ambiguity created by that practice</w:t>
      </w:r>
      <w:r w:rsidRPr="00566102" w:rsidR="00B551A2">
        <w:t xml:space="preserve">. However, </w:t>
      </w:r>
      <w:r w:rsidRPr="00566102" w:rsidR="00DA2235">
        <w:t xml:space="preserve">this fact alone cannot </w:t>
      </w:r>
      <w:r w:rsidRPr="00566102" w:rsidR="008E2499">
        <w:t>cast doubt on the authenticity of the form</w:t>
      </w:r>
      <w:r w:rsidRPr="00566102" w:rsidR="00320BE6">
        <w:t xml:space="preserve"> or </w:t>
      </w:r>
      <w:r w:rsidRPr="00566102" w:rsidR="00FB5A8E">
        <w:t>the validity of the applicant</w:t>
      </w:r>
      <w:r w:rsidRPr="00566102" w:rsidR="00566102">
        <w:t>’</w:t>
      </w:r>
      <w:r w:rsidRPr="00566102" w:rsidR="00FB5A8E">
        <w:t>s wish to institute the proceedings with the assistance of Ms</w:t>
      </w:r>
      <w:r w:rsidRPr="00566102" w:rsidR="00791B2D">
        <w:t> </w:t>
      </w:r>
      <w:r w:rsidRPr="00566102" w:rsidR="00FB5A8E">
        <w:t>Trenina</w:t>
      </w:r>
      <w:r w:rsidRPr="00566102" w:rsidR="008E2499">
        <w:t>.</w:t>
      </w:r>
    </w:p>
    <w:p w:rsidRPr="00566102" w:rsidR="006E598A" w:rsidP="00566102" w:rsidRDefault="00D96578">
      <w:pPr>
        <w:pStyle w:val="ECHRPara"/>
      </w:pPr>
      <w:r w:rsidRPr="00566102">
        <w:fldChar w:fldCharType="begin"/>
      </w:r>
      <w:r w:rsidRPr="00566102">
        <w:instrText xml:space="preserve"> SEQ level0 \*arabic </w:instrText>
      </w:r>
      <w:r w:rsidRPr="00566102">
        <w:fldChar w:fldCharType="separate"/>
      </w:r>
      <w:r w:rsidRPr="00566102" w:rsidR="00566102">
        <w:rPr>
          <w:noProof/>
        </w:rPr>
        <w:t>29</w:t>
      </w:r>
      <w:r w:rsidRPr="00566102">
        <w:fldChar w:fldCharType="end"/>
      </w:r>
      <w:r w:rsidRPr="00566102">
        <w:t>.  </w:t>
      </w:r>
      <w:r w:rsidRPr="00566102" w:rsidR="00FB5A8E">
        <w:t xml:space="preserve">Lastly, any possible reservations about the genuine nature of representation by Ms Trenina and Ms Davidyan are removed by </w:t>
      </w:r>
      <w:r w:rsidRPr="00566102" w:rsidR="00CA68C5">
        <w:t>a</w:t>
      </w:r>
      <w:r w:rsidRPr="00566102" w:rsidR="00674A83">
        <w:t xml:space="preserve"> close cooperation </w:t>
      </w:r>
      <w:r w:rsidRPr="00566102" w:rsidR="003C6314">
        <w:t xml:space="preserve">between the representatives and </w:t>
      </w:r>
      <w:r w:rsidRPr="00566102" w:rsidR="009F500E">
        <w:t>the applicant</w:t>
      </w:r>
      <w:r w:rsidRPr="00566102" w:rsidR="00674A83">
        <w:t xml:space="preserve"> in the course of the proceedings</w:t>
      </w:r>
      <w:r w:rsidRPr="00566102" w:rsidR="00CA68C5">
        <w:t>. This fact</w:t>
      </w:r>
      <w:r w:rsidRPr="00566102" w:rsidR="00674A83">
        <w:t xml:space="preserve"> </w:t>
      </w:r>
      <w:r w:rsidRPr="00566102" w:rsidR="00CA68C5">
        <w:t xml:space="preserve">has been </w:t>
      </w:r>
      <w:r w:rsidRPr="00566102" w:rsidR="00674A83">
        <w:t xml:space="preserve">manifested </w:t>
      </w:r>
      <w:r w:rsidRPr="00566102" w:rsidR="00CA68C5">
        <w:t xml:space="preserve">in the manner </w:t>
      </w:r>
      <w:r w:rsidRPr="00566102" w:rsidR="001C2953">
        <w:t xml:space="preserve">the representatives </w:t>
      </w:r>
      <w:r w:rsidRPr="00566102" w:rsidR="00674A83">
        <w:t>provid</w:t>
      </w:r>
      <w:r w:rsidRPr="00566102" w:rsidR="00CA68C5">
        <w:t>ed</w:t>
      </w:r>
      <w:r w:rsidRPr="00566102" w:rsidR="00674A83">
        <w:t xml:space="preserve"> pertinent information</w:t>
      </w:r>
      <w:r w:rsidRPr="00566102" w:rsidR="001C2953">
        <w:t>, updates</w:t>
      </w:r>
      <w:r w:rsidRPr="00566102" w:rsidR="00674A83">
        <w:t xml:space="preserve"> and documents </w:t>
      </w:r>
      <w:r w:rsidRPr="00566102" w:rsidR="00794C84">
        <w:t xml:space="preserve">on behalf of </w:t>
      </w:r>
      <w:r w:rsidRPr="00566102" w:rsidR="009F500E">
        <w:t>the applicant</w:t>
      </w:r>
      <w:r w:rsidRPr="00566102" w:rsidR="00674A83">
        <w:t xml:space="preserve">. </w:t>
      </w:r>
      <w:r w:rsidRPr="00566102" w:rsidR="00FB5A8E">
        <w:t xml:space="preserve">Moreover </w:t>
      </w:r>
      <w:r w:rsidRPr="00566102" w:rsidR="00674A83">
        <w:t xml:space="preserve">the Government have not disputed the </w:t>
      </w:r>
      <w:r w:rsidRPr="00566102" w:rsidR="00AE7FD2">
        <w:t xml:space="preserve">effective </w:t>
      </w:r>
      <w:r w:rsidRPr="00566102" w:rsidR="00674A83">
        <w:t>contact of the rep</w:t>
      </w:r>
      <w:r w:rsidRPr="00566102" w:rsidR="009F500E">
        <w:t>resentatives with the applicant</w:t>
      </w:r>
      <w:r w:rsidRPr="00566102" w:rsidR="00CF23E6">
        <w:t xml:space="preserve"> after the proceedings had been instituted</w:t>
      </w:r>
      <w:r w:rsidRPr="00566102" w:rsidR="00674A83">
        <w:t>.</w:t>
      </w:r>
    </w:p>
    <w:p w:rsidRPr="00566102" w:rsidR="003419C8" w:rsidP="00566102" w:rsidRDefault="006E598A">
      <w:pPr>
        <w:pStyle w:val="ECHRPara"/>
      </w:pPr>
      <w:r w:rsidRPr="00566102">
        <w:fldChar w:fldCharType="begin"/>
      </w:r>
      <w:r w:rsidRPr="00566102">
        <w:instrText xml:space="preserve"> SEQ level0 \*arabic </w:instrText>
      </w:r>
      <w:r w:rsidRPr="00566102">
        <w:fldChar w:fldCharType="separate"/>
      </w:r>
      <w:r w:rsidRPr="00566102" w:rsidR="00566102">
        <w:rPr>
          <w:noProof/>
        </w:rPr>
        <w:t>30</w:t>
      </w:r>
      <w:r w:rsidRPr="00566102">
        <w:fldChar w:fldCharType="end"/>
      </w:r>
      <w:r w:rsidRPr="00566102">
        <w:t>.  </w:t>
      </w:r>
      <w:r w:rsidRPr="00566102" w:rsidR="00AE7FD2">
        <w:t>Under these circumstances t</w:t>
      </w:r>
      <w:r w:rsidRPr="00566102" w:rsidR="00E1287B">
        <w:t>he Court considers that</w:t>
      </w:r>
      <w:r w:rsidRPr="00566102" w:rsidR="00674A83">
        <w:t xml:space="preserve"> the shortcomings at the m</w:t>
      </w:r>
      <w:r w:rsidRPr="00566102" w:rsidR="009F500E">
        <w:t>oment of lodging of the application</w:t>
      </w:r>
      <w:r w:rsidRPr="00566102" w:rsidR="0097216E">
        <w:t xml:space="preserve"> </w:t>
      </w:r>
      <w:r w:rsidRPr="00566102" w:rsidR="00E1287B">
        <w:t>c</w:t>
      </w:r>
      <w:r w:rsidRPr="00566102" w:rsidR="00AE7FD2">
        <w:t>ould</w:t>
      </w:r>
      <w:r w:rsidRPr="00566102" w:rsidR="00E1287B">
        <w:t xml:space="preserve"> be accounted for by the urgency required for r</w:t>
      </w:r>
      <w:r w:rsidRPr="00566102" w:rsidR="00D6683C">
        <w:t>equesting interim measures as stipulated in Rule 47</w:t>
      </w:r>
      <w:r w:rsidRPr="00566102" w:rsidR="00C123E7">
        <w:t> </w:t>
      </w:r>
      <w:r w:rsidRPr="00566102" w:rsidR="00D6683C">
        <w:t>§</w:t>
      </w:r>
      <w:r w:rsidRPr="00566102" w:rsidR="00C123E7">
        <w:t> </w:t>
      </w:r>
      <w:r w:rsidRPr="00566102" w:rsidR="00D6683C">
        <w:t>5.1 (a) and (b) of the Rules of Court.</w:t>
      </w:r>
    </w:p>
    <w:p w:rsidRPr="00566102" w:rsidR="00A41F2B" w:rsidP="00566102" w:rsidRDefault="00B61CCC">
      <w:pPr>
        <w:pStyle w:val="ECHRPara"/>
      </w:pPr>
      <w:r w:rsidRPr="00566102">
        <w:fldChar w:fldCharType="begin"/>
      </w:r>
      <w:r w:rsidRPr="00566102">
        <w:instrText xml:space="preserve"> SEQ level0 \*arabic </w:instrText>
      </w:r>
      <w:r w:rsidRPr="00566102">
        <w:fldChar w:fldCharType="separate"/>
      </w:r>
      <w:r w:rsidRPr="00566102" w:rsidR="00566102">
        <w:rPr>
          <w:noProof/>
        </w:rPr>
        <w:t>31</w:t>
      </w:r>
      <w:r w:rsidRPr="00566102">
        <w:fldChar w:fldCharType="end"/>
      </w:r>
      <w:r w:rsidRPr="00566102">
        <w:t>.  </w:t>
      </w:r>
      <w:r w:rsidRPr="00566102" w:rsidR="00452329">
        <w:fldChar w:fldCharType="begin"/>
      </w:r>
      <w:r w:rsidRPr="00566102" w:rsidR="00452329">
        <w:instrText xml:space="preserve">  </w:instrText>
      </w:r>
      <w:r w:rsidRPr="00566102" w:rsidR="00452329">
        <w:fldChar w:fldCharType="end"/>
      </w:r>
      <w:r w:rsidRPr="00566102" w:rsidR="00794051">
        <w:t>In the light of the above</w:t>
      </w:r>
      <w:r w:rsidRPr="00566102" w:rsidR="00CD7319">
        <w:t>,</w:t>
      </w:r>
      <w:r w:rsidRPr="00566102" w:rsidR="00EE1E54">
        <w:t xml:space="preserve"> </w:t>
      </w:r>
      <w:r w:rsidRPr="00566102" w:rsidR="00794C84">
        <w:t xml:space="preserve">the </w:t>
      </w:r>
      <w:r w:rsidRPr="00566102" w:rsidR="00EE1E54">
        <w:t>Court dismisses the Russian Government</w:t>
      </w:r>
      <w:r w:rsidRPr="00566102" w:rsidR="00566102">
        <w:t>’</w:t>
      </w:r>
      <w:r w:rsidRPr="00566102" w:rsidR="00EE1E54">
        <w:t xml:space="preserve">s </w:t>
      </w:r>
      <w:r w:rsidRPr="00566102" w:rsidR="00452329">
        <w:t xml:space="preserve">preliminary </w:t>
      </w:r>
      <w:r w:rsidRPr="00566102" w:rsidR="00EE1E54">
        <w:t>objection</w:t>
      </w:r>
      <w:r w:rsidRPr="00566102" w:rsidR="00452329">
        <w:t>.</w:t>
      </w:r>
    </w:p>
    <w:p w:rsidRPr="00566102" w:rsidR="00014566" w:rsidP="00566102" w:rsidRDefault="002F3602">
      <w:pPr>
        <w:pStyle w:val="ECHRHeading1"/>
      </w:pPr>
      <w:r w:rsidRPr="00566102">
        <w:t>I</w:t>
      </w:r>
      <w:r w:rsidRPr="00566102" w:rsidR="00C00924">
        <w:t>I</w:t>
      </w:r>
      <w:r w:rsidRPr="00566102" w:rsidR="00014566">
        <w:t xml:space="preserve">.  ALLEGED VIOLATION OF ARTICLE </w:t>
      </w:r>
      <w:r w:rsidRPr="00566102" w:rsidR="00153C0F">
        <w:t>3</w:t>
      </w:r>
      <w:r w:rsidRPr="00566102" w:rsidR="00014566">
        <w:t xml:space="preserve"> OF THE CONVENTION</w:t>
      </w:r>
    </w:p>
    <w:p w:rsidRPr="00566102" w:rsidR="00153C0F" w:rsidP="00566102" w:rsidRDefault="005D4E26">
      <w:pPr>
        <w:pStyle w:val="ECHRPara"/>
      </w:pPr>
      <w:r w:rsidRPr="00566102">
        <w:fldChar w:fldCharType="begin"/>
      </w:r>
      <w:r w:rsidRPr="00566102">
        <w:instrText xml:space="preserve"> SEQ level0 \*arabic </w:instrText>
      </w:r>
      <w:r w:rsidRPr="00566102">
        <w:fldChar w:fldCharType="separate"/>
      </w:r>
      <w:r w:rsidRPr="00566102" w:rsidR="00566102">
        <w:rPr>
          <w:noProof/>
        </w:rPr>
        <w:t>32</w:t>
      </w:r>
      <w:r w:rsidRPr="00566102">
        <w:fldChar w:fldCharType="end"/>
      </w:r>
      <w:r w:rsidRPr="00566102" w:rsidR="00014566">
        <w:t>.  </w:t>
      </w:r>
      <w:r w:rsidRPr="00566102" w:rsidR="007824B3">
        <w:t>T</w:t>
      </w:r>
      <w:r w:rsidRPr="00566102" w:rsidR="00014566">
        <w:t xml:space="preserve">he applicant complained </w:t>
      </w:r>
      <w:r w:rsidRPr="00566102" w:rsidR="00153C0F">
        <w:t xml:space="preserve">under Article 3 of the Convention that </w:t>
      </w:r>
      <w:r w:rsidRPr="00566102" w:rsidR="00272EB2">
        <w:t xml:space="preserve">he </w:t>
      </w:r>
      <w:r w:rsidRPr="00566102" w:rsidR="00153C0F">
        <w:t xml:space="preserve">could be at risk of ill-treatment in the event of </w:t>
      </w:r>
      <w:r w:rsidRPr="00566102" w:rsidR="00272EB2">
        <w:t xml:space="preserve">his </w:t>
      </w:r>
      <w:r w:rsidRPr="00566102" w:rsidR="00153C0F">
        <w:t>removal to Uzbekistan. Article 3 of the Convention reads:</w:t>
      </w:r>
    </w:p>
    <w:p w:rsidRPr="00566102" w:rsidR="00153C0F" w:rsidP="00566102" w:rsidRDefault="00153C0F">
      <w:pPr>
        <w:pStyle w:val="ECHRParaQuote"/>
      </w:pPr>
      <w:r w:rsidRPr="00566102">
        <w:t>“No one shall be subjected to torture or to inhuman or degrading treatment or punishment.”</w:t>
      </w:r>
    </w:p>
    <w:p w:rsidRPr="00566102" w:rsidR="006A2C02" w:rsidP="00566102" w:rsidRDefault="00082B0F">
      <w:pPr>
        <w:pStyle w:val="ECHRPara"/>
      </w:pPr>
      <w:r w:rsidRPr="00566102">
        <w:fldChar w:fldCharType="begin"/>
      </w:r>
      <w:r w:rsidRPr="00566102">
        <w:instrText xml:space="preserve"> SEQ level0 \*arabic </w:instrText>
      </w:r>
      <w:r w:rsidRPr="00566102">
        <w:fldChar w:fldCharType="separate"/>
      </w:r>
      <w:r w:rsidRPr="00566102" w:rsidR="00566102">
        <w:rPr>
          <w:noProof/>
        </w:rPr>
        <w:t>33</w:t>
      </w:r>
      <w:r w:rsidRPr="00566102">
        <w:fldChar w:fldCharType="end"/>
      </w:r>
      <w:r w:rsidRPr="00566102">
        <w:t>.  </w:t>
      </w:r>
      <w:r w:rsidRPr="00566102" w:rsidR="00153C0F">
        <w:t xml:space="preserve">The Government contested </w:t>
      </w:r>
      <w:r w:rsidRPr="00566102" w:rsidR="006A2C02">
        <w:t xml:space="preserve">that </w:t>
      </w:r>
      <w:r w:rsidRPr="00566102" w:rsidR="00014566">
        <w:t>argument</w:t>
      </w:r>
      <w:r w:rsidRPr="00566102" w:rsidR="007169AF">
        <w:t>.</w:t>
      </w:r>
    </w:p>
    <w:p w:rsidRPr="00566102" w:rsidR="00D074C7" w:rsidP="00566102" w:rsidRDefault="006A2C02">
      <w:pPr>
        <w:pStyle w:val="ECHRPara"/>
      </w:pPr>
      <w:r w:rsidRPr="00566102">
        <w:fldChar w:fldCharType="begin"/>
      </w:r>
      <w:r w:rsidRPr="00566102">
        <w:instrText xml:space="preserve"> SEQ level0 \*arabic </w:instrText>
      </w:r>
      <w:r w:rsidRPr="00566102">
        <w:fldChar w:fldCharType="separate"/>
      </w:r>
      <w:r w:rsidRPr="00566102" w:rsidR="00566102">
        <w:rPr>
          <w:noProof/>
        </w:rPr>
        <w:t>34</w:t>
      </w:r>
      <w:r w:rsidRPr="00566102">
        <w:fldChar w:fldCharType="end"/>
      </w:r>
      <w:r w:rsidRPr="00566102">
        <w:t>.  </w:t>
      </w:r>
      <w:r w:rsidRPr="00566102" w:rsidR="007824B3">
        <w:t xml:space="preserve">The Court </w:t>
      </w:r>
      <w:r w:rsidRPr="00566102" w:rsidR="00282111">
        <w:t>observes</w:t>
      </w:r>
      <w:r w:rsidRPr="00566102" w:rsidR="007824B3">
        <w:t xml:space="preserve"> that on 13 June 2018 the applicant was removed to Uzbekistan, immediately arrested by the Uzbek authorities and placed in pre-trial detention. On 8 September 2018 he pled guilty and was subsequently sentenced to a suspended term of 2 years and 9 months and released on probation. He currently resides in Poloson, Fergana Region, Uzbekistan</w:t>
      </w:r>
      <w:r w:rsidRPr="00566102" w:rsidR="007F19F6">
        <w:t xml:space="preserve"> (see paragraph 19 above)</w:t>
      </w:r>
      <w:r w:rsidRPr="00566102" w:rsidR="00282111">
        <w:t>.</w:t>
      </w:r>
    </w:p>
    <w:p w:rsidRPr="00566102" w:rsidR="006E598A" w:rsidP="00566102" w:rsidRDefault="00F32C6C">
      <w:pPr>
        <w:pStyle w:val="ECHRPara"/>
      </w:pPr>
      <w:r w:rsidRPr="00566102">
        <w:fldChar w:fldCharType="begin"/>
      </w:r>
      <w:r w:rsidRPr="00566102">
        <w:instrText xml:space="preserve"> SEQ level0 \*arabic </w:instrText>
      </w:r>
      <w:r w:rsidRPr="00566102">
        <w:fldChar w:fldCharType="separate"/>
      </w:r>
      <w:r w:rsidRPr="00566102" w:rsidR="00566102">
        <w:rPr>
          <w:noProof/>
        </w:rPr>
        <w:t>35</w:t>
      </w:r>
      <w:r w:rsidRPr="00566102">
        <w:fldChar w:fldCharType="end"/>
      </w:r>
      <w:r w:rsidRPr="00566102">
        <w:t>.  </w:t>
      </w:r>
      <w:r w:rsidRPr="00566102" w:rsidR="003E755D">
        <w:t>The above complaint was raised by the applicant in his request for an interim measure of 9 January 2017 and the application form of 7</w:t>
      </w:r>
      <w:r w:rsidRPr="00566102">
        <w:t> </w:t>
      </w:r>
      <w:r w:rsidRPr="00566102" w:rsidR="003E755D">
        <w:t>February</w:t>
      </w:r>
      <w:r w:rsidRPr="00566102">
        <w:t> </w:t>
      </w:r>
      <w:r w:rsidRPr="00566102" w:rsidR="00C11627">
        <w:t>2017.</w:t>
      </w:r>
      <w:r w:rsidRPr="00566102" w:rsidR="003E755D">
        <w:t xml:space="preserve"> </w:t>
      </w:r>
      <w:r w:rsidRPr="00566102">
        <w:t>The Court notes that following his removal to Uzbekistan neither the applicant, nor his lawyers in any of the submissions claimed 1)</w:t>
      </w:r>
      <w:r w:rsidRPr="00566102" w:rsidR="0066407B">
        <w:t> </w:t>
      </w:r>
      <w:r w:rsidRPr="00566102">
        <w:t>that the Russian authorities had exposed him to a risk of ill-treatment by actually r</w:t>
      </w:r>
      <w:r w:rsidRPr="00566102" w:rsidR="0066407B">
        <w:t>emoving him to Uzbekistan or 2) </w:t>
      </w:r>
      <w:r w:rsidRPr="00566102">
        <w:t xml:space="preserve">that he had been actually subjected to </w:t>
      </w:r>
      <w:r w:rsidRPr="00566102" w:rsidR="00B56F06">
        <w:t>any treatment contrary to Article 3 while at the hands of the Uzbek authorities.</w:t>
      </w:r>
    </w:p>
    <w:p w:rsidRPr="00566102" w:rsidR="003E755D" w:rsidP="00566102" w:rsidRDefault="006E598A">
      <w:pPr>
        <w:pStyle w:val="ECHRPara"/>
      </w:pPr>
      <w:r w:rsidRPr="00566102">
        <w:fldChar w:fldCharType="begin"/>
      </w:r>
      <w:r w:rsidRPr="00566102">
        <w:instrText xml:space="preserve"> SEQ level0 \*arabic </w:instrText>
      </w:r>
      <w:r w:rsidRPr="00566102">
        <w:fldChar w:fldCharType="separate"/>
      </w:r>
      <w:r w:rsidRPr="00566102" w:rsidR="00566102">
        <w:rPr>
          <w:noProof/>
        </w:rPr>
        <w:t>36</w:t>
      </w:r>
      <w:r w:rsidRPr="00566102">
        <w:fldChar w:fldCharType="end"/>
      </w:r>
      <w:r w:rsidRPr="00566102">
        <w:t>.  </w:t>
      </w:r>
      <w:r w:rsidRPr="00566102" w:rsidR="00B56F06">
        <w:t>In this regard the Court finds significant that the applicant, his relatives and his lawyers were in direct and apparently unhindered contact with the Court since the date of his arrival to Uzbekistan and that in September 2018 the applicant was released on probation.</w:t>
      </w:r>
      <w:r w:rsidRPr="00566102" w:rsidR="00F07208">
        <w:t xml:space="preserve"> Nothing in the materials or the submission available to the Court indicates that he had been or that he is effectively prevented from raising the relevant complaints or providing an account of ill-treatment if it had taken place.</w:t>
      </w:r>
    </w:p>
    <w:p w:rsidRPr="00566102" w:rsidR="002F5BD2" w:rsidP="00566102" w:rsidRDefault="008F285F">
      <w:pPr>
        <w:pStyle w:val="ECHRPara"/>
      </w:pPr>
      <w:r w:rsidRPr="00566102">
        <w:fldChar w:fldCharType="begin"/>
      </w:r>
      <w:r w:rsidRPr="00566102">
        <w:instrText xml:space="preserve"> SEQ level0 \*arabic </w:instrText>
      </w:r>
      <w:r w:rsidRPr="00566102">
        <w:fldChar w:fldCharType="separate"/>
      </w:r>
      <w:r w:rsidRPr="00566102" w:rsidR="00566102">
        <w:rPr>
          <w:noProof/>
        </w:rPr>
        <w:t>37</w:t>
      </w:r>
      <w:r w:rsidRPr="00566102">
        <w:fldChar w:fldCharType="end"/>
      </w:r>
      <w:r w:rsidRPr="00566102">
        <w:t>.  </w:t>
      </w:r>
      <w:r w:rsidRPr="00566102" w:rsidR="0017732D">
        <w:t xml:space="preserve">In this connection the Court is mindful that Article 37 </w:t>
      </w:r>
      <w:r w:rsidRPr="00566102">
        <w:t xml:space="preserve">§ 1 (c) </w:t>
      </w:r>
      <w:r w:rsidRPr="00566102" w:rsidR="0017732D">
        <w:t xml:space="preserve">of the Convention allows for striking out of an application </w:t>
      </w:r>
      <w:r w:rsidRPr="00566102">
        <w:t>when it is no longer justified to continue the examination of the application.</w:t>
      </w:r>
    </w:p>
    <w:p w:rsidRPr="00566102" w:rsidR="00B26815" w:rsidP="00566102" w:rsidRDefault="00B26815">
      <w:pPr>
        <w:pStyle w:val="ECHRPara"/>
      </w:pPr>
      <w:r w:rsidRPr="00566102">
        <w:fldChar w:fldCharType="begin"/>
      </w:r>
      <w:r w:rsidRPr="00566102">
        <w:instrText xml:space="preserve"> SEQ level0 \*arabic </w:instrText>
      </w:r>
      <w:r w:rsidRPr="00566102">
        <w:fldChar w:fldCharType="separate"/>
      </w:r>
      <w:r w:rsidRPr="00566102" w:rsidR="00566102">
        <w:rPr>
          <w:noProof/>
        </w:rPr>
        <w:t>38</w:t>
      </w:r>
      <w:r w:rsidRPr="00566102">
        <w:fldChar w:fldCharType="end"/>
      </w:r>
      <w:r w:rsidRPr="00566102">
        <w:t>.  In the specific circumstances of the case</w:t>
      </w:r>
      <w:r w:rsidRPr="00566102" w:rsidR="009B1B86">
        <w:t>,</w:t>
      </w:r>
      <w:r w:rsidRPr="00566102">
        <w:t xml:space="preserve"> the Court considers that it is not required to rule in abstract if at a certain period of time the decisions of the Russian authorities could have exposed the applicant to a risk of ill</w:t>
      </w:r>
      <w:r w:rsidRPr="00566102" w:rsidR="002F62E3">
        <w:noBreakHyphen/>
      </w:r>
      <w:r w:rsidRPr="00566102">
        <w:t xml:space="preserve">treatment in Uzbekistan, when nothing </w:t>
      </w:r>
      <w:r w:rsidRPr="00566102" w:rsidR="00D33465">
        <w:t xml:space="preserve">in the material of the case </w:t>
      </w:r>
      <w:r w:rsidRPr="00566102">
        <w:t>indicates that any such risk materialised and the applicant does not raise any claim in this regard. It further considers that nothing in the present case demonstrates that the respect for human rights as defined in the Convention requires further examination of the above complaint.</w:t>
      </w:r>
    </w:p>
    <w:p w:rsidRPr="00566102" w:rsidR="00B26815" w:rsidP="00566102" w:rsidRDefault="00B26815">
      <w:pPr>
        <w:pStyle w:val="ECHRPara"/>
      </w:pPr>
      <w:r w:rsidRPr="00566102">
        <w:fldChar w:fldCharType="begin"/>
      </w:r>
      <w:r w:rsidRPr="00566102">
        <w:instrText xml:space="preserve"> SEQ level0 \*arabic </w:instrText>
      </w:r>
      <w:r w:rsidRPr="00566102">
        <w:fldChar w:fldCharType="separate"/>
      </w:r>
      <w:r w:rsidRPr="00566102" w:rsidR="00566102">
        <w:rPr>
          <w:noProof/>
        </w:rPr>
        <w:t>39</w:t>
      </w:r>
      <w:r w:rsidRPr="00566102">
        <w:fldChar w:fldCharType="end"/>
      </w:r>
      <w:r w:rsidRPr="00566102">
        <w:t>.  Accordingly, the Court decides under Article 37 § 1 (c) of the Convention to strike the application out of list of cases in part concerning the complaint under Article 3 of the Convention.</w:t>
      </w:r>
    </w:p>
    <w:p w:rsidRPr="00566102" w:rsidR="00BA3151" w:rsidP="00566102" w:rsidRDefault="00BA3151">
      <w:pPr>
        <w:pStyle w:val="ECHRHeading1"/>
      </w:pPr>
      <w:r w:rsidRPr="00566102">
        <w:t>III.  ALLEGED VIOLATION OF ARTICLE 5 § 4 OF THE CONVENTION</w:t>
      </w:r>
    </w:p>
    <w:p w:rsidRPr="00566102" w:rsidR="00BA3151" w:rsidP="00566102" w:rsidRDefault="00BA3151">
      <w:pPr>
        <w:pStyle w:val="ECHRPara"/>
        <w:rPr>
          <w:bCs/>
        </w:rPr>
      </w:pPr>
      <w:r w:rsidRPr="00566102">
        <w:fldChar w:fldCharType="begin"/>
      </w:r>
      <w:r w:rsidRPr="00566102">
        <w:instrText xml:space="preserve"> SEQ level0 \*arabic </w:instrText>
      </w:r>
      <w:r w:rsidRPr="00566102">
        <w:fldChar w:fldCharType="separate"/>
      </w:r>
      <w:r w:rsidRPr="00566102" w:rsidR="00566102">
        <w:rPr>
          <w:noProof/>
        </w:rPr>
        <w:t>40</w:t>
      </w:r>
      <w:r w:rsidRPr="00566102">
        <w:fldChar w:fldCharType="end"/>
      </w:r>
      <w:r w:rsidRPr="00566102">
        <w:t xml:space="preserve">.  The applicant further complained under </w:t>
      </w:r>
      <w:r w:rsidRPr="00566102">
        <w:rPr>
          <w:bCs/>
        </w:rPr>
        <w:t xml:space="preserve">Article 5 § 4 of the Convention </w:t>
      </w:r>
      <w:r w:rsidRPr="00566102">
        <w:t xml:space="preserve">that the length of the appeal proceedings in Moscow Regional Court, by which he sought to challenge the lawfulness of his detention ordered by the Domodedovskiy Town Court on 28 July 2016, did not comply with the “speediness” requirement of Article 5 § 4 of the Convention. </w:t>
      </w:r>
      <w:r w:rsidRPr="00566102">
        <w:rPr>
          <w:bCs/>
        </w:rPr>
        <w:t>The relevant provisions of the Convention read as follows:</w:t>
      </w:r>
    </w:p>
    <w:p w:rsidRPr="00566102" w:rsidR="00BA3151" w:rsidP="00566102" w:rsidRDefault="00BA3151">
      <w:pPr>
        <w:pStyle w:val="ECHRParaQuote"/>
      </w:pPr>
      <w:r w:rsidRPr="00566102">
        <w:t>“Everyone who is deprived of his liberty by arrest or detention shall be entitled to take proceedings by which the lawfulness of his detention shall be decided speedily by a court and his release ordered if the detention is not lawful.”</w:t>
      </w:r>
    </w:p>
    <w:p w:rsidRPr="00566102" w:rsidR="00BA3151" w:rsidP="00566102" w:rsidRDefault="00BA3151">
      <w:pPr>
        <w:pStyle w:val="ECHRPara"/>
      </w:pPr>
      <w:r w:rsidRPr="00566102">
        <w:fldChar w:fldCharType="begin"/>
      </w:r>
      <w:r w:rsidRPr="00566102">
        <w:instrText xml:space="preserve"> SEQ level0 \*arabic </w:instrText>
      </w:r>
      <w:r w:rsidRPr="00566102">
        <w:fldChar w:fldCharType="separate"/>
      </w:r>
      <w:r w:rsidRPr="00566102" w:rsidR="00566102">
        <w:rPr>
          <w:noProof/>
        </w:rPr>
        <w:t>41</w:t>
      </w:r>
      <w:r w:rsidRPr="00566102">
        <w:fldChar w:fldCharType="end"/>
      </w:r>
      <w:r w:rsidRPr="00566102">
        <w:t>.  The Government contested the arguments of the applicant and stated that the length of the proceedings was accounted for by the necessity of translations of the procedural documents into the native language of the applicant to ensure the observance of his rights.</w:t>
      </w:r>
    </w:p>
    <w:p w:rsidRPr="00566102" w:rsidR="00BA3151" w:rsidP="00566102" w:rsidRDefault="00BA3151">
      <w:pPr>
        <w:pStyle w:val="ECHRPara"/>
      </w:pPr>
      <w:r w:rsidRPr="00566102">
        <w:fldChar w:fldCharType="begin"/>
      </w:r>
      <w:r w:rsidRPr="00566102">
        <w:instrText xml:space="preserve"> SEQ level0 \*arabic </w:instrText>
      </w:r>
      <w:r w:rsidRPr="00566102">
        <w:fldChar w:fldCharType="separate"/>
      </w:r>
      <w:r w:rsidRPr="00566102" w:rsidR="00566102">
        <w:rPr>
          <w:noProof/>
        </w:rPr>
        <w:t>42</w:t>
      </w:r>
      <w:r w:rsidRPr="00566102">
        <w:fldChar w:fldCharType="end"/>
      </w:r>
      <w:r w:rsidRPr="00566102">
        <w:t>.  The applicant disagreed with the arguments of the Government and referred to the Article 108 § 11 of the Criminal Procedure Code of the Russian Federation which foresees a maximum time-limit of t</w:t>
      </w:r>
      <w:r w:rsidRPr="00566102" w:rsidR="003D6E5B">
        <w:t>h</w:t>
      </w:r>
      <w:r w:rsidRPr="00566102">
        <w:t>ree days for examination of an appeal against an extension of a detention order. In his opinion this period covers all necessary auxiliary procedures</w:t>
      </w:r>
      <w:r w:rsidRPr="00566102" w:rsidR="003D6E5B">
        <w:t>, including</w:t>
      </w:r>
      <w:r w:rsidRPr="00566102">
        <w:t xml:space="preserve"> translation </w:t>
      </w:r>
      <w:r w:rsidRPr="00566102" w:rsidR="003D6E5B">
        <w:t xml:space="preserve">of </w:t>
      </w:r>
      <w:r w:rsidRPr="00566102">
        <w:t xml:space="preserve">the </w:t>
      </w:r>
      <w:r w:rsidRPr="00566102" w:rsidR="003D6E5B">
        <w:t xml:space="preserve">relevant </w:t>
      </w:r>
      <w:r w:rsidRPr="00566102">
        <w:t>documents</w:t>
      </w:r>
      <w:r w:rsidRPr="00566102" w:rsidR="003D6E5B">
        <w:t xml:space="preserve"> and their distribution to the parties</w:t>
      </w:r>
      <w:r w:rsidRPr="00566102">
        <w:t>.</w:t>
      </w:r>
      <w:r w:rsidRPr="00566102" w:rsidR="003D6E5B">
        <w:t xml:space="preserve"> T</w:t>
      </w:r>
      <w:r w:rsidRPr="00566102">
        <w:t xml:space="preserve">he applicant </w:t>
      </w:r>
      <w:r w:rsidRPr="00566102" w:rsidR="003D6E5B">
        <w:t xml:space="preserve">further </w:t>
      </w:r>
      <w:r w:rsidRPr="00566102">
        <w:t>noted that it took the Domodedovskiy City Court two days to send the decision of 28 July 2016 to translation and then it took fourteen days to send the documents to the Moscow Regional Court for examination.</w:t>
      </w:r>
    </w:p>
    <w:p w:rsidRPr="00566102" w:rsidR="00BA3151" w:rsidP="00566102" w:rsidRDefault="00BA3151">
      <w:pPr>
        <w:pStyle w:val="ECHRPara"/>
      </w:pPr>
      <w:r w:rsidRPr="00566102">
        <w:fldChar w:fldCharType="begin"/>
      </w:r>
      <w:r w:rsidRPr="00566102">
        <w:instrText xml:space="preserve"> SEQ level0 \*arabic </w:instrText>
      </w:r>
      <w:r w:rsidRPr="00566102">
        <w:fldChar w:fldCharType="separate"/>
      </w:r>
      <w:r w:rsidRPr="00566102" w:rsidR="00566102">
        <w:rPr>
          <w:noProof/>
        </w:rPr>
        <w:t>43</w:t>
      </w:r>
      <w:r w:rsidRPr="00566102">
        <w:fldChar w:fldCharType="end"/>
      </w:r>
      <w:r w:rsidRPr="00566102">
        <w:t>.  In the present case the decision on the applicant</w:t>
      </w:r>
      <w:r w:rsidRPr="00566102" w:rsidR="00566102">
        <w:t>’</w:t>
      </w:r>
      <w:r w:rsidRPr="00566102">
        <w:t>s appeal of 15 August 2016 was taken on 27 September 2016, almost one and a half months later. The Court is aware that the Russian authorities organising the appeal hearing process were under the obligation to provide the applicant with the translations of the relevant documents, to prepare the case-file for transfer to the appeal court and to take all other requisite procedural steps. These arrangements could provide a reasonable justification for the time taken to consider the applicant</w:t>
      </w:r>
      <w:r w:rsidRPr="00566102" w:rsidR="00566102">
        <w:t>’</w:t>
      </w:r>
      <w:r w:rsidRPr="00566102">
        <w:t>s appeal, unlike the fourteen days</w:t>
      </w:r>
      <w:r w:rsidRPr="00566102" w:rsidR="00566102">
        <w:t>’</w:t>
      </w:r>
      <w:r w:rsidRPr="00566102">
        <w:t xml:space="preserve"> delay in transferring the case-file from the City Court to the Regional Court. Having regard to all circumstances of the present case the Court finds it impossible to reconcile the length of the appeal review of the detention order of 28 July 2016 with the “speediness” requirement under Article 5 § 4 of the Convention.</w:t>
      </w:r>
    </w:p>
    <w:bookmarkStart w:name="Article_5_4_conclusion" w:id="1"/>
    <w:p w:rsidRPr="00566102" w:rsidR="00BA3151" w:rsidP="00566102" w:rsidRDefault="00BA3151">
      <w:pPr>
        <w:pStyle w:val="ECHRPara"/>
      </w:pPr>
      <w:r w:rsidRPr="00566102">
        <w:fldChar w:fldCharType="begin"/>
      </w:r>
      <w:r w:rsidRPr="00566102">
        <w:instrText xml:space="preserve"> SEQ level0 \*arabic </w:instrText>
      </w:r>
      <w:r w:rsidRPr="00566102">
        <w:fldChar w:fldCharType="separate"/>
      </w:r>
      <w:r w:rsidRPr="00566102" w:rsidR="00566102">
        <w:rPr>
          <w:noProof/>
        </w:rPr>
        <w:t>44</w:t>
      </w:r>
      <w:r w:rsidRPr="00566102">
        <w:fldChar w:fldCharType="end"/>
      </w:r>
      <w:bookmarkEnd w:id="1"/>
      <w:r w:rsidRPr="00566102">
        <w:t>.  There has accordingly been a violation of Article 5 § 4 of the Convention.</w:t>
      </w:r>
    </w:p>
    <w:p w:rsidRPr="00566102" w:rsidR="005F3736" w:rsidP="00566102" w:rsidRDefault="005F3736">
      <w:pPr>
        <w:pStyle w:val="ECHRHeading1"/>
      </w:pPr>
      <w:r w:rsidRPr="00566102">
        <w:t>I</w:t>
      </w:r>
      <w:r w:rsidRPr="00566102" w:rsidR="00BA3151">
        <w:t>V</w:t>
      </w:r>
      <w:r w:rsidRPr="00566102">
        <w:t>.  </w:t>
      </w:r>
      <w:bookmarkStart w:name="_Toc393715551" w:id="2"/>
      <w:r w:rsidRPr="00566102">
        <w:t>ALLEGED INTERFERENCE WITH THE RIGHT TO INDIVIDUAL APPLICATION UNDER ARTICLE 34 OF THE CONVENTION</w:t>
      </w:r>
      <w:bookmarkEnd w:id="2"/>
    </w:p>
    <w:p w:rsidRPr="00566102" w:rsidR="005F3736" w:rsidP="00566102" w:rsidRDefault="005F3736">
      <w:pPr>
        <w:pStyle w:val="ECHRPara"/>
      </w:pPr>
      <w:r w:rsidRPr="00566102">
        <w:fldChar w:fldCharType="begin"/>
      </w:r>
      <w:r w:rsidRPr="00566102">
        <w:instrText xml:space="preserve"> SEQ level0 \*arabic </w:instrText>
      </w:r>
      <w:r w:rsidRPr="00566102">
        <w:fldChar w:fldCharType="separate"/>
      </w:r>
      <w:r w:rsidRPr="00566102" w:rsidR="00566102">
        <w:rPr>
          <w:noProof/>
        </w:rPr>
        <w:t>45</w:t>
      </w:r>
      <w:r w:rsidRPr="00566102">
        <w:fldChar w:fldCharType="end"/>
      </w:r>
      <w:r w:rsidRPr="00566102">
        <w:t xml:space="preserve">.  The applicant complained that his </w:t>
      </w:r>
      <w:r w:rsidRPr="00566102" w:rsidR="00613192">
        <w:t xml:space="preserve">removal </w:t>
      </w:r>
      <w:r w:rsidRPr="00566102">
        <w:t>had been in breach of the interim measures indicated by the Court under Rule 39 of the Rules of Court. This claim, substantively focusing on a violation of the right to individual application, falls to be examined under Article 34 of the Convention, which reads as follows:</w:t>
      </w:r>
    </w:p>
    <w:p w:rsidRPr="00566102" w:rsidR="005F3736" w:rsidP="00566102" w:rsidRDefault="005F3736">
      <w:pPr>
        <w:pStyle w:val="ECHRParaQuote"/>
      </w:pPr>
      <w:r w:rsidRPr="00566102">
        <w:t>“The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p w:rsidRPr="00566102" w:rsidR="005F3736" w:rsidP="00566102" w:rsidRDefault="005F3736">
      <w:pPr>
        <w:pStyle w:val="ECHRPara"/>
      </w:pPr>
      <w:r w:rsidRPr="00566102">
        <w:fldChar w:fldCharType="begin"/>
      </w:r>
      <w:r w:rsidRPr="00566102">
        <w:instrText xml:space="preserve"> SEQ level0 \*arabic </w:instrText>
      </w:r>
      <w:r w:rsidRPr="00566102">
        <w:fldChar w:fldCharType="separate"/>
      </w:r>
      <w:r w:rsidRPr="00566102" w:rsidR="00566102">
        <w:rPr>
          <w:noProof/>
        </w:rPr>
        <w:t>46</w:t>
      </w:r>
      <w:r w:rsidRPr="00566102">
        <w:fldChar w:fldCharType="end"/>
      </w:r>
      <w:r w:rsidRPr="00566102">
        <w:t>.  Rule 39 of the Rules of Court provides:</w:t>
      </w:r>
    </w:p>
    <w:p w:rsidRPr="00566102" w:rsidR="003419C8" w:rsidP="00566102" w:rsidRDefault="005F3736">
      <w:pPr>
        <w:pStyle w:val="ECHRParaQuote"/>
      </w:pPr>
      <w:r w:rsidRPr="00566102">
        <w:t>“1. The Chamber or, where appropriate, the President of the Section or a duty judge appointed pursuant to paragraph 4 of this Rule may, at the request of a party or of any other person concerned, or of their own motion, indicate to the parties any interim measure which they consider should be adopted in the interests of the parties or of the proper conduct of the proceedings.</w:t>
      </w:r>
    </w:p>
    <w:p w:rsidRPr="00566102" w:rsidR="003419C8" w:rsidP="00566102" w:rsidRDefault="005F3736">
      <w:pPr>
        <w:pStyle w:val="ECHRParaQuote"/>
      </w:pPr>
      <w:r w:rsidRPr="00566102">
        <w:t>2. Where it is considered appropriate, immediate notice of the measure adopted in a particular case may be given to the Committee of Ministers.</w:t>
      </w:r>
    </w:p>
    <w:p w:rsidRPr="00566102" w:rsidR="005F3736" w:rsidP="00566102" w:rsidRDefault="005F3736">
      <w:pPr>
        <w:pStyle w:val="ECHRParaQuote"/>
      </w:pPr>
      <w:r w:rsidRPr="00566102">
        <w:t>3. The Chamber or, where appropriate, the President of the Section or a duty judge appointed pursuant to paragraph 4 of this Rule may request information from the parties on any matter connected with the implementation o</w:t>
      </w:r>
      <w:r w:rsidRPr="00566102" w:rsidR="00D61B6C">
        <w:t>f any interim measure indicated</w:t>
      </w:r>
      <w:r w:rsidRPr="00566102" w:rsidR="004D24FB">
        <w:t xml:space="preserve"> </w:t>
      </w:r>
      <w:r w:rsidRPr="00566102" w:rsidR="00D61B6C">
        <w:t>...</w:t>
      </w:r>
      <w:r w:rsidRPr="00566102">
        <w:t>”</w:t>
      </w:r>
    </w:p>
    <w:p w:rsidRPr="00566102" w:rsidR="005F3736" w:rsidP="00566102" w:rsidRDefault="005F3736">
      <w:pPr>
        <w:pStyle w:val="ECHRPara"/>
      </w:pPr>
      <w:r w:rsidRPr="00566102">
        <w:fldChar w:fldCharType="begin"/>
      </w:r>
      <w:r w:rsidRPr="00566102">
        <w:instrText xml:space="preserve"> SEQ level0 \*arabic </w:instrText>
      </w:r>
      <w:r w:rsidRPr="00566102">
        <w:fldChar w:fldCharType="separate"/>
      </w:r>
      <w:r w:rsidRPr="00566102" w:rsidR="00566102">
        <w:rPr>
          <w:noProof/>
        </w:rPr>
        <w:t>47</w:t>
      </w:r>
      <w:r w:rsidRPr="00566102">
        <w:rPr>
          <w:noProof/>
        </w:rPr>
        <w:fldChar w:fldCharType="end"/>
      </w:r>
      <w:r w:rsidRPr="00566102">
        <w:t>.  The Court reiterates that, by virtue of Article 34 of the Convention, Contracting States undertake to refrain from any act or omission that may hinder the effective exercise of the right of individual application, and this has been consistently reaffirmed as a cornerstone of the Convention system. According to the Court</w:t>
      </w:r>
      <w:r w:rsidRPr="00566102" w:rsidR="00566102">
        <w:t>’</w:t>
      </w:r>
      <w:r w:rsidRPr="00566102">
        <w:t>s established case-law, a respondent State</w:t>
      </w:r>
      <w:r w:rsidRPr="00566102" w:rsidR="00566102">
        <w:t>’</w:t>
      </w:r>
      <w:r w:rsidRPr="00566102">
        <w:t xml:space="preserve">s failure to comply with an interim measure entails a violation of that right (see </w:t>
      </w:r>
      <w:r w:rsidRPr="00566102">
        <w:rPr>
          <w:i/>
          <w:iCs/>
        </w:rPr>
        <w:t>Mamatkulov and Askarov v. Turkey [GC]</w:t>
      </w:r>
      <w:r w:rsidRPr="00566102">
        <w:rPr>
          <w:iCs/>
        </w:rPr>
        <w:t>, nos. 46827/99 and 46951/99, §§ 102 and 125, ECHR 2005</w:t>
      </w:r>
      <w:r w:rsidRPr="00566102">
        <w:rPr>
          <w:iCs/>
        </w:rPr>
        <w:noBreakHyphen/>
        <w:t>I,</w:t>
      </w:r>
      <w:r w:rsidRPr="00566102">
        <w:t xml:space="preserve"> and, recently, </w:t>
      </w:r>
      <w:r w:rsidRPr="00566102">
        <w:rPr>
          <w:i/>
          <w:iCs/>
        </w:rPr>
        <w:t>M.A. v. France</w:t>
      </w:r>
      <w:r w:rsidRPr="00566102">
        <w:t xml:space="preserve">, no. 9373/15, §§ 78-83, 1 February 2018, and </w:t>
      </w:r>
      <w:r w:rsidRPr="00566102">
        <w:rPr>
          <w:i/>
          <w:iCs/>
        </w:rPr>
        <w:t>A.S. v. France</w:t>
      </w:r>
      <w:r w:rsidRPr="00566102">
        <w:t>, no. 46240/15, §§ 72-75, 19 April 2018). The Court does not find it necessary to elaborate once again on the importance of interim measures in the Convention system and their exceptional nature calling for maximal cooperation of the State, since these principles are distinctly well-established.</w:t>
      </w:r>
    </w:p>
    <w:p w:rsidRPr="00566102" w:rsidR="00613192" w:rsidP="00566102" w:rsidRDefault="00613192">
      <w:pPr>
        <w:pStyle w:val="ECHRPara"/>
        <w:rPr>
          <w:snapToGrid w:val="0"/>
        </w:rPr>
      </w:pPr>
      <w:r w:rsidRPr="00566102">
        <w:fldChar w:fldCharType="begin"/>
      </w:r>
      <w:r w:rsidRPr="00566102">
        <w:instrText xml:space="preserve"> SEQ level0 \*arabic </w:instrText>
      </w:r>
      <w:r w:rsidRPr="00566102">
        <w:fldChar w:fldCharType="separate"/>
      </w:r>
      <w:r w:rsidRPr="00566102" w:rsidR="00566102">
        <w:rPr>
          <w:noProof/>
        </w:rPr>
        <w:t>48</w:t>
      </w:r>
      <w:r w:rsidRPr="00566102">
        <w:fldChar w:fldCharType="end"/>
      </w:r>
      <w:r w:rsidRPr="00566102">
        <w:t>.  The Court had previously ruled on a number of cases where a failure to comply with an interim measure took place in the context of an applicant</w:t>
      </w:r>
      <w:r w:rsidRPr="00566102" w:rsidR="00566102">
        <w:t>’</w:t>
      </w:r>
      <w:r w:rsidRPr="00566102">
        <w:t xml:space="preserve">s disappearance (see </w:t>
      </w:r>
      <w:r w:rsidRPr="00566102">
        <w:rPr>
          <w:i/>
        </w:rPr>
        <w:t>Mamazhonov</w:t>
      </w:r>
      <w:r w:rsidRPr="00566102">
        <w:t>, cited above, §§ 173-209, 214</w:t>
      </w:r>
      <w:r w:rsidRPr="00566102" w:rsidR="002470F0">
        <w:noBreakHyphen/>
      </w:r>
      <w:r w:rsidRPr="00566102">
        <w:t xml:space="preserve">19), an illegal forcible transfer by unidentified persons with the passive or active involvement of State agents (see </w:t>
      </w:r>
      <w:r w:rsidRPr="00566102">
        <w:rPr>
          <w:i/>
        </w:rPr>
        <w:t>Savriddin Dzhurayev v. Russia</w:t>
      </w:r>
      <w:r w:rsidRPr="00566102" w:rsidR="00C54D4F">
        <w:t>, no. 71386/10, §§ 177-85, 197-204, 214-</w:t>
      </w:r>
      <w:r w:rsidRPr="00566102">
        <w:t>19, ECHR 2013 (extracts)), or the actions otherwise outside of the normal functioning of the law-enforcement authorities</w:t>
      </w:r>
      <w:r w:rsidRPr="00566102" w:rsidR="00211530">
        <w:t xml:space="preserve"> (see </w:t>
      </w:r>
      <w:r w:rsidRPr="00566102" w:rsidR="00211530">
        <w:rPr>
          <w:i/>
        </w:rPr>
        <w:t>Ermakov v. Russia</w:t>
      </w:r>
      <w:r w:rsidRPr="00566102" w:rsidR="00211530">
        <w:t>, no. 43165/10</w:t>
      </w:r>
      <w:r w:rsidRPr="00566102" w:rsidR="00793076">
        <w:rPr>
          <w:snapToGrid w:val="0"/>
        </w:rPr>
        <w:t>, §§ 282-</w:t>
      </w:r>
      <w:r w:rsidRPr="00566102" w:rsidR="00211530">
        <w:rPr>
          <w:snapToGrid w:val="0"/>
        </w:rPr>
        <w:t>87, 7 November 2013</w:t>
      </w:r>
      <w:r w:rsidRPr="00566102" w:rsidR="00211530">
        <w:t>)</w:t>
      </w:r>
      <w:r w:rsidRPr="00566102">
        <w:t>.</w:t>
      </w:r>
    </w:p>
    <w:p w:rsidRPr="00566102" w:rsidR="00260C8D" w:rsidP="00566102" w:rsidRDefault="00260C8D">
      <w:pPr>
        <w:pStyle w:val="ECHRPara"/>
      </w:pPr>
      <w:r w:rsidRPr="00566102">
        <w:fldChar w:fldCharType="begin"/>
      </w:r>
      <w:r w:rsidRPr="00566102">
        <w:instrText xml:space="preserve"> SEQ level0 \*arabic </w:instrText>
      </w:r>
      <w:r w:rsidRPr="00566102">
        <w:fldChar w:fldCharType="separate"/>
      </w:r>
      <w:r w:rsidRPr="00566102" w:rsidR="00566102">
        <w:rPr>
          <w:noProof/>
        </w:rPr>
        <w:t>49</w:t>
      </w:r>
      <w:r w:rsidRPr="00566102">
        <w:fldChar w:fldCharType="end"/>
      </w:r>
      <w:r w:rsidRPr="00566102">
        <w:t>.  Turning to the present case</w:t>
      </w:r>
      <w:r w:rsidRPr="00566102" w:rsidR="004756DA">
        <w:t>,</w:t>
      </w:r>
      <w:r w:rsidRPr="00566102">
        <w:t xml:space="preserve"> the Court notes at the outset that no formal decision to remove the applicant had been taken by the Russian authorities.</w:t>
      </w:r>
    </w:p>
    <w:p w:rsidRPr="00566102" w:rsidR="001A1A74" w:rsidP="00566102" w:rsidRDefault="005F3736">
      <w:pPr>
        <w:pStyle w:val="ECHRPara"/>
      </w:pPr>
      <w:r w:rsidRPr="00566102">
        <w:fldChar w:fldCharType="begin"/>
      </w:r>
      <w:r w:rsidRPr="00566102">
        <w:instrText xml:space="preserve"> SEQ level0 \*arabic </w:instrText>
      </w:r>
      <w:r w:rsidRPr="00566102">
        <w:fldChar w:fldCharType="separate"/>
      </w:r>
      <w:r w:rsidRPr="00566102" w:rsidR="00566102">
        <w:rPr>
          <w:noProof/>
        </w:rPr>
        <w:t>50</w:t>
      </w:r>
      <w:r w:rsidRPr="00566102">
        <w:fldChar w:fldCharType="end"/>
      </w:r>
      <w:r w:rsidRPr="00566102">
        <w:t>.  </w:t>
      </w:r>
      <w:r w:rsidRPr="00566102" w:rsidR="007E3599">
        <w:t>According to the applicant</w:t>
      </w:r>
      <w:r w:rsidRPr="00566102" w:rsidR="00566102">
        <w:t>’</w:t>
      </w:r>
      <w:r w:rsidRPr="00566102" w:rsidR="007E3599">
        <w:t>s representative</w:t>
      </w:r>
      <w:r w:rsidRPr="00566102" w:rsidR="00634153">
        <w:t>s</w:t>
      </w:r>
      <w:r w:rsidRPr="00566102" w:rsidR="002D2D0B">
        <w:t>,</w:t>
      </w:r>
      <w:r w:rsidRPr="00566102" w:rsidR="007E3599">
        <w:t xml:space="preserve"> his transfer to Uzbekistan had not been voluntary and that it had been facilitated through covert cooperation of the Russian and the Uzbek law-enforcement agencies. </w:t>
      </w:r>
      <w:r w:rsidRPr="00566102" w:rsidR="00634153">
        <w:t xml:space="preserve">Referring to the judgment in the case </w:t>
      </w:r>
      <w:r w:rsidRPr="00566102" w:rsidR="00634153">
        <w:rPr>
          <w:i/>
        </w:rPr>
        <w:t>Savriddin Dzhurayev</w:t>
      </w:r>
      <w:r w:rsidRPr="00566102" w:rsidR="00634153">
        <w:t xml:space="preserve"> (cited above, §</w:t>
      </w:r>
      <w:r w:rsidRPr="00566102" w:rsidR="00221000">
        <w:t>§</w:t>
      </w:r>
      <w:r w:rsidRPr="00566102" w:rsidR="00634153">
        <w:t xml:space="preserve"> 197-205) they maintained that it had been conducted outside of the normal legal system and deliberately circumvented the due process. </w:t>
      </w:r>
      <w:r w:rsidRPr="00566102" w:rsidR="004C3A91">
        <w:t>Essentially, they relied on the following three main points in support of their position: 1) the applicant</w:t>
      </w:r>
      <w:r w:rsidRPr="00566102" w:rsidR="00566102">
        <w:t>’</w:t>
      </w:r>
      <w:r w:rsidRPr="00566102" w:rsidR="004C3A91">
        <w:t>s ticket was bought in Uzbekistan at the request of the competent authorities; 2) the ticket was bought with an expired passport and the same passport was used for crossing the Russian border, which would have been impossible without involvement of the security agencies; 3) the Uzbek law-enforcement authorities were aware of the applicant</w:t>
      </w:r>
      <w:r w:rsidRPr="00566102" w:rsidR="00566102">
        <w:t>’</w:t>
      </w:r>
      <w:r w:rsidRPr="00566102" w:rsidR="004C3A91">
        <w:t xml:space="preserve">s arrival, immediately arrested him and transferred to a pre-trial detention facility </w:t>
      </w:r>
      <w:r w:rsidRPr="00566102" w:rsidR="00634153">
        <w:t xml:space="preserve">(see </w:t>
      </w:r>
      <w:r w:rsidRPr="00566102" w:rsidR="004C3A91">
        <w:t>paragraph</w:t>
      </w:r>
      <w:r w:rsidRPr="00566102" w:rsidR="003C722B">
        <w:t>s</w:t>
      </w:r>
      <w:r w:rsidRPr="00566102" w:rsidR="004C3A91">
        <w:t xml:space="preserve"> </w:t>
      </w:r>
      <w:r w:rsidRPr="00566102" w:rsidR="00826C9B">
        <w:t xml:space="preserve">13-14 </w:t>
      </w:r>
      <w:r w:rsidRPr="00566102" w:rsidR="004C3A91">
        <w:t>above).</w:t>
      </w:r>
    </w:p>
    <w:p w:rsidRPr="00566102" w:rsidR="002A4DFB" w:rsidP="00566102" w:rsidRDefault="00A50117">
      <w:pPr>
        <w:pStyle w:val="ECHRPara"/>
      </w:pPr>
      <w:r w:rsidRPr="00566102">
        <w:fldChar w:fldCharType="begin"/>
      </w:r>
      <w:r w:rsidRPr="00566102">
        <w:instrText xml:space="preserve"> SEQ level0 \*arabic </w:instrText>
      </w:r>
      <w:r w:rsidRPr="00566102">
        <w:fldChar w:fldCharType="separate"/>
      </w:r>
      <w:r w:rsidRPr="00566102" w:rsidR="00566102">
        <w:rPr>
          <w:noProof/>
        </w:rPr>
        <w:t>51</w:t>
      </w:r>
      <w:r w:rsidRPr="00566102">
        <w:fldChar w:fldCharType="end"/>
      </w:r>
      <w:r w:rsidRPr="00566102">
        <w:t>.  </w:t>
      </w:r>
      <w:r w:rsidRPr="00566102" w:rsidR="001A1A74">
        <w:t>The Government</w:t>
      </w:r>
      <w:r w:rsidRPr="00566102" w:rsidR="00566102">
        <w:t>’</w:t>
      </w:r>
      <w:r w:rsidRPr="00566102" w:rsidR="002A4DFB">
        <w:t xml:space="preserve">s position was </w:t>
      </w:r>
      <w:r w:rsidRPr="00566102" w:rsidR="00A33146">
        <w:t xml:space="preserve">essentially </w:t>
      </w:r>
      <w:r w:rsidRPr="00566102" w:rsidR="002A4DFB">
        <w:t xml:space="preserve">based </w:t>
      </w:r>
      <w:r w:rsidRPr="00566102" w:rsidR="00A33146">
        <w:t>on an unsupported allegation that the applicant himself bought the ticket and voluntarily departed to Uzbekistan</w:t>
      </w:r>
      <w:r w:rsidRPr="00566102" w:rsidR="000E335E">
        <w:t xml:space="preserve"> (see paragraph </w:t>
      </w:r>
      <w:r w:rsidRPr="00566102" w:rsidR="00826C9B">
        <w:t xml:space="preserve">16 </w:t>
      </w:r>
      <w:r w:rsidRPr="00566102" w:rsidR="000E335E">
        <w:t>above)</w:t>
      </w:r>
      <w:r w:rsidRPr="00566102" w:rsidR="00A33146">
        <w:t>.</w:t>
      </w:r>
    </w:p>
    <w:p w:rsidRPr="00566102" w:rsidR="001A1A74" w:rsidP="00566102" w:rsidRDefault="002A4DFB">
      <w:pPr>
        <w:pStyle w:val="ECHRPara"/>
      </w:pPr>
      <w:r w:rsidRPr="00566102">
        <w:fldChar w:fldCharType="begin"/>
      </w:r>
      <w:r w:rsidRPr="00566102">
        <w:instrText xml:space="preserve"> SEQ level0 \*arabic </w:instrText>
      </w:r>
      <w:r w:rsidRPr="00566102">
        <w:fldChar w:fldCharType="separate"/>
      </w:r>
      <w:r w:rsidRPr="00566102" w:rsidR="00566102">
        <w:rPr>
          <w:noProof/>
        </w:rPr>
        <w:t>52</w:t>
      </w:r>
      <w:r w:rsidRPr="00566102">
        <w:fldChar w:fldCharType="end"/>
      </w:r>
      <w:r w:rsidRPr="00566102">
        <w:t>.  </w:t>
      </w:r>
      <w:r w:rsidRPr="00566102" w:rsidR="007F19F6">
        <w:t>The Court notes that</w:t>
      </w:r>
      <w:r w:rsidRPr="00566102" w:rsidR="007F19F6">
        <w:rPr>
          <w:lang w:val="en-US"/>
        </w:rPr>
        <w:t xml:space="preserve"> </w:t>
      </w:r>
      <w:r w:rsidRPr="00566102" w:rsidR="007F19F6">
        <w:t>the applicant</w:t>
      </w:r>
      <w:r w:rsidRPr="00566102" w:rsidR="00566102">
        <w:t>’</w:t>
      </w:r>
      <w:r w:rsidRPr="00566102" w:rsidR="007F19F6">
        <w:t>s account is b</w:t>
      </w:r>
      <w:r w:rsidRPr="00566102" w:rsidR="00117DF2">
        <w:t xml:space="preserve">ased on a number of inferences </w:t>
      </w:r>
      <w:r w:rsidRPr="00566102" w:rsidR="007F19F6">
        <w:t>and does not appear to be unequivocally proven by the submitted evidence. Nevertheless, it is persuasive and supported by proof that strongly indicates the involvement of the Russian authorities in the transfer of the applicant to Uzbekistan. Under such circumstances it is for the Government to dispel these allegations. In the Court</w:t>
      </w:r>
      <w:r w:rsidRPr="00566102" w:rsidR="00566102">
        <w:t>’</w:t>
      </w:r>
      <w:r w:rsidRPr="00566102" w:rsidR="007F19F6">
        <w:t>s view, the Government</w:t>
      </w:r>
      <w:r w:rsidRPr="00566102" w:rsidR="00566102">
        <w:t>’</w:t>
      </w:r>
      <w:r w:rsidRPr="00566102" w:rsidR="007F19F6">
        <w:t>s submissions on the issue in the present case fall short of providing a reasonable alternative account of the events.</w:t>
      </w:r>
    </w:p>
    <w:p w:rsidRPr="00566102" w:rsidR="005F3736" w:rsidP="00566102" w:rsidRDefault="00F810CC">
      <w:pPr>
        <w:pStyle w:val="ECHRPara"/>
      </w:pPr>
      <w:r w:rsidRPr="00566102">
        <w:fldChar w:fldCharType="begin"/>
      </w:r>
      <w:r w:rsidRPr="00566102">
        <w:instrText xml:space="preserve"> SEQ level0 \*arabic </w:instrText>
      </w:r>
      <w:r w:rsidRPr="00566102">
        <w:fldChar w:fldCharType="separate"/>
      </w:r>
      <w:r w:rsidRPr="00566102" w:rsidR="00566102">
        <w:rPr>
          <w:noProof/>
        </w:rPr>
        <w:t>53</w:t>
      </w:r>
      <w:r w:rsidRPr="00566102">
        <w:fldChar w:fldCharType="end"/>
      </w:r>
      <w:r w:rsidRPr="00566102">
        <w:t>.  Accordingly, the Court must conclude that the Russian authorities have breached the interim measure i</w:t>
      </w:r>
      <w:r w:rsidRPr="00566102" w:rsidR="005F3736">
        <w:t>ndicated by the Court under Rule 39 of the Rules of Court and</w:t>
      </w:r>
      <w:r w:rsidRPr="00566102">
        <w:t xml:space="preserve">, </w:t>
      </w:r>
      <w:r w:rsidRPr="00566102" w:rsidR="00391F60">
        <w:t>therefore</w:t>
      </w:r>
      <w:r w:rsidRPr="00566102">
        <w:t>,</w:t>
      </w:r>
      <w:r w:rsidRPr="00566102" w:rsidR="005F3736">
        <w:t xml:space="preserve"> </w:t>
      </w:r>
      <w:r w:rsidRPr="00566102" w:rsidR="007F2B01">
        <w:t>hav</w:t>
      </w:r>
      <w:r w:rsidRPr="00566102">
        <w:t>e</w:t>
      </w:r>
      <w:r w:rsidRPr="00566102" w:rsidR="005F3736">
        <w:t xml:space="preserve"> failed to comply with their obligations under Article 34 of the Convention.</w:t>
      </w:r>
    </w:p>
    <w:p w:rsidRPr="00566102" w:rsidR="001E1869" w:rsidP="00566102" w:rsidRDefault="00952372">
      <w:pPr>
        <w:pStyle w:val="ECHRHeading1"/>
      </w:pPr>
      <w:r w:rsidRPr="00566102">
        <w:t>V</w:t>
      </w:r>
      <w:r w:rsidRPr="00566102" w:rsidR="001E1869">
        <w:t>.  </w:t>
      </w:r>
      <w:r w:rsidRPr="00566102" w:rsidR="00D8721A">
        <w:t xml:space="preserve">OTHER </w:t>
      </w:r>
      <w:r w:rsidRPr="00566102" w:rsidR="001E1869">
        <w:t>ALLEGED VIOLATION</w:t>
      </w:r>
      <w:r w:rsidRPr="00566102" w:rsidR="00D8721A">
        <w:t>S</w:t>
      </w:r>
      <w:r w:rsidRPr="00566102" w:rsidR="001E1869">
        <w:t xml:space="preserve"> OF THE CONVENTION</w:t>
      </w:r>
      <w:r w:rsidRPr="00566102" w:rsidR="00D8721A">
        <w:t xml:space="preserve"> RIGHTS</w:t>
      </w:r>
    </w:p>
    <w:p w:rsidRPr="00566102" w:rsidR="0055611B" w:rsidP="00566102" w:rsidRDefault="00755353">
      <w:pPr>
        <w:pStyle w:val="ECHRPara"/>
      </w:pPr>
      <w:r w:rsidRPr="00566102">
        <w:fldChar w:fldCharType="begin"/>
      </w:r>
      <w:r w:rsidRPr="00566102">
        <w:instrText xml:space="preserve"> SEQ level0 \*arabic </w:instrText>
      </w:r>
      <w:r w:rsidRPr="00566102">
        <w:fldChar w:fldCharType="separate"/>
      </w:r>
      <w:r w:rsidRPr="00566102" w:rsidR="00566102">
        <w:rPr>
          <w:noProof/>
        </w:rPr>
        <w:t>54</w:t>
      </w:r>
      <w:r w:rsidRPr="00566102">
        <w:fldChar w:fldCharType="end"/>
      </w:r>
      <w:r w:rsidRPr="00566102">
        <w:t>.  </w:t>
      </w:r>
      <w:r w:rsidRPr="00566102" w:rsidR="004040F7">
        <w:t>The applicant</w:t>
      </w:r>
      <w:r w:rsidRPr="00566102" w:rsidR="00D8721A">
        <w:t xml:space="preserve"> further complained under Article 13 of the Convention of a lack of effective domestic remedies in Russia in respect of </w:t>
      </w:r>
      <w:r w:rsidRPr="00566102" w:rsidR="00D66B5C">
        <w:t xml:space="preserve">his </w:t>
      </w:r>
      <w:r w:rsidRPr="00566102" w:rsidR="00D8721A">
        <w:t>complaints under Article 3 of the Convention</w:t>
      </w:r>
      <w:r w:rsidRPr="00566102" w:rsidR="004040F7">
        <w:t>.</w:t>
      </w:r>
    </w:p>
    <w:p w:rsidRPr="00566102" w:rsidR="0044554C" w:rsidP="00566102" w:rsidRDefault="00642843">
      <w:pPr>
        <w:pStyle w:val="ECHRPara"/>
      </w:pPr>
      <w:r w:rsidRPr="00566102">
        <w:fldChar w:fldCharType="begin"/>
      </w:r>
      <w:r w:rsidRPr="00566102">
        <w:instrText xml:space="preserve"> SEQ level0 \*arabic </w:instrText>
      </w:r>
      <w:r w:rsidRPr="00566102">
        <w:fldChar w:fldCharType="separate"/>
      </w:r>
      <w:r w:rsidRPr="00566102" w:rsidR="00566102">
        <w:rPr>
          <w:noProof/>
        </w:rPr>
        <w:t>55</w:t>
      </w:r>
      <w:r w:rsidRPr="00566102">
        <w:fldChar w:fldCharType="end"/>
      </w:r>
      <w:r w:rsidRPr="00566102">
        <w:t>.  </w:t>
      </w:r>
      <w:r w:rsidRPr="00566102" w:rsidR="00D8721A">
        <w:t xml:space="preserve"> </w:t>
      </w:r>
      <w:r w:rsidRPr="00566102" w:rsidR="0044554C">
        <w:t>However, having regard to the facts of the case, the submissions of the parties and it</w:t>
      </w:r>
      <w:r w:rsidRPr="00566102" w:rsidR="00975F22">
        <w:t xml:space="preserve">s findings under Articles 3, </w:t>
      </w:r>
      <w:r w:rsidRPr="00566102" w:rsidR="0044554C">
        <w:t>5</w:t>
      </w:r>
      <w:r w:rsidRPr="00566102" w:rsidR="00975F22">
        <w:t xml:space="preserve"> and 34</w:t>
      </w:r>
      <w:r w:rsidRPr="00566102" w:rsidR="0044554C">
        <w:t xml:space="preserve"> of the Convention, the Court considers that it has examined the main legal questions raised in the present application and that there is no need to give a separate ruling on the remaining complaints (see </w:t>
      </w:r>
      <w:r w:rsidRPr="00566102" w:rsidR="0044554C">
        <w:rPr>
          <w:i/>
        </w:rPr>
        <w:t>Centre for Legal Resources on behalf of Valentin Câmpeanu v. Romania</w:t>
      </w:r>
      <w:r w:rsidRPr="00566102" w:rsidR="0044554C">
        <w:t xml:space="preserve"> [GC], no. 47848/08, § 156, ECHR 2014</w:t>
      </w:r>
      <w:r w:rsidRPr="00566102" w:rsidR="004162E3">
        <w:t>,</w:t>
      </w:r>
      <w:r w:rsidRPr="00566102" w:rsidR="00D8721A">
        <w:t xml:space="preserve"> with further references</w:t>
      </w:r>
      <w:r w:rsidRPr="00566102" w:rsidR="0044554C">
        <w:t>).</w:t>
      </w:r>
    </w:p>
    <w:p w:rsidRPr="00566102" w:rsidR="00153C0F" w:rsidP="00566102" w:rsidRDefault="00153C0F">
      <w:pPr>
        <w:pStyle w:val="ECHRHeading1"/>
      </w:pPr>
      <w:r w:rsidRPr="00566102">
        <w:t>V</w:t>
      </w:r>
      <w:r w:rsidRPr="00566102" w:rsidR="00BA3151">
        <w:t>I</w:t>
      </w:r>
      <w:r w:rsidRPr="00566102">
        <w:t>.  APPLICATION OF AN INTERIM MEASURE UNDER RULE 39 OF THE RULES OF COURT</w:t>
      </w:r>
    </w:p>
    <w:p w:rsidRPr="00566102" w:rsidR="00975F22" w:rsidP="00566102" w:rsidRDefault="00975F22">
      <w:pPr>
        <w:pStyle w:val="ECHRPara"/>
      </w:pPr>
      <w:r w:rsidRPr="00566102">
        <w:fldChar w:fldCharType="begin"/>
      </w:r>
      <w:r w:rsidRPr="00566102">
        <w:instrText xml:space="preserve"> SEQ level0 \*arabic </w:instrText>
      </w:r>
      <w:r w:rsidRPr="00566102">
        <w:fldChar w:fldCharType="separate"/>
      </w:r>
      <w:r w:rsidRPr="00566102" w:rsidR="00566102">
        <w:rPr>
          <w:noProof/>
        </w:rPr>
        <w:t>56</w:t>
      </w:r>
      <w:r w:rsidRPr="00566102">
        <w:fldChar w:fldCharType="end"/>
      </w:r>
      <w:r w:rsidRPr="00566102">
        <w:t xml:space="preserve">.  Having regard to the circumstances of the present case, the Court considers </w:t>
      </w:r>
      <w:r w:rsidRPr="00566102" w:rsidR="0071537E">
        <w:t xml:space="preserve">that </w:t>
      </w:r>
      <w:r w:rsidRPr="00566102">
        <w:t xml:space="preserve">the </w:t>
      </w:r>
      <w:r w:rsidRPr="00566102" w:rsidR="0071537E">
        <w:t xml:space="preserve">interim measure </w:t>
      </w:r>
      <w:r w:rsidRPr="00566102">
        <w:t>indicat</w:t>
      </w:r>
      <w:r w:rsidRPr="00566102" w:rsidR="0071537E">
        <w:t>ed</w:t>
      </w:r>
      <w:r w:rsidRPr="00566102">
        <w:t xml:space="preserve"> </w:t>
      </w:r>
      <w:r w:rsidRPr="00566102" w:rsidR="0071537E">
        <w:t>to the Russian Government should come to an end.</w:t>
      </w:r>
    </w:p>
    <w:p w:rsidRPr="00566102" w:rsidR="00153C0F" w:rsidP="00566102" w:rsidRDefault="00153C0F">
      <w:pPr>
        <w:pStyle w:val="ECHRHeading1"/>
      </w:pPr>
      <w:r w:rsidRPr="00566102">
        <w:t>V</w:t>
      </w:r>
      <w:r w:rsidRPr="00566102" w:rsidR="002B1683">
        <w:t>I</w:t>
      </w:r>
      <w:r w:rsidRPr="00566102" w:rsidR="00EE70E7">
        <w:t>I</w:t>
      </w:r>
      <w:r w:rsidRPr="00566102">
        <w:t>.  APPLICATION OF ARTICLE 41 OF THE CONVENTION</w:t>
      </w:r>
    </w:p>
    <w:p w:rsidRPr="00566102" w:rsidR="00153C0F" w:rsidP="00566102" w:rsidRDefault="00153C0F">
      <w:pPr>
        <w:pStyle w:val="ECHRPara"/>
      </w:pPr>
      <w:r w:rsidRPr="00566102">
        <w:fldChar w:fldCharType="begin"/>
      </w:r>
      <w:r w:rsidRPr="00566102">
        <w:instrText xml:space="preserve"> SEQ level0 \*arabic </w:instrText>
      </w:r>
      <w:r w:rsidRPr="00566102">
        <w:fldChar w:fldCharType="separate"/>
      </w:r>
      <w:r w:rsidRPr="00566102" w:rsidR="00566102">
        <w:rPr>
          <w:noProof/>
        </w:rPr>
        <w:t>57</w:t>
      </w:r>
      <w:r w:rsidRPr="00566102">
        <w:fldChar w:fldCharType="end"/>
      </w:r>
      <w:r w:rsidRPr="00566102">
        <w:t>.  Article 41 of the Convention provides:</w:t>
      </w:r>
    </w:p>
    <w:p w:rsidRPr="00566102" w:rsidR="00153C0F" w:rsidP="00566102" w:rsidRDefault="00153C0F">
      <w:pPr>
        <w:pStyle w:val="ECHRParaQuote"/>
        <w:keepNext/>
        <w:keepLines/>
      </w:pPr>
      <w:r w:rsidRPr="00566102">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566102" w:rsidR="00153C0F" w:rsidP="00566102" w:rsidRDefault="00153C0F">
      <w:pPr>
        <w:pStyle w:val="ECHRHeading2"/>
      </w:pPr>
      <w:r w:rsidRPr="00566102">
        <w:t>A.  Damage</w:t>
      </w:r>
    </w:p>
    <w:p w:rsidRPr="00566102" w:rsidR="00153C0F" w:rsidP="00566102" w:rsidRDefault="00153C0F">
      <w:pPr>
        <w:pStyle w:val="ECHRPara"/>
      </w:pPr>
      <w:r w:rsidRPr="00566102">
        <w:fldChar w:fldCharType="begin"/>
      </w:r>
      <w:r w:rsidRPr="00566102">
        <w:instrText xml:space="preserve"> SEQ level0 \*arabic </w:instrText>
      </w:r>
      <w:r w:rsidRPr="00566102">
        <w:fldChar w:fldCharType="separate"/>
      </w:r>
      <w:r w:rsidRPr="00566102" w:rsidR="00566102">
        <w:rPr>
          <w:noProof/>
        </w:rPr>
        <w:t>58</w:t>
      </w:r>
      <w:r w:rsidRPr="00566102">
        <w:fldChar w:fldCharType="end"/>
      </w:r>
      <w:r w:rsidRPr="00566102" w:rsidR="004040F7">
        <w:t>.  The applicant</w:t>
      </w:r>
      <w:r w:rsidRPr="00566102">
        <w:t xml:space="preserve"> claimed </w:t>
      </w:r>
      <w:r w:rsidRPr="00566102" w:rsidR="00952372">
        <w:t xml:space="preserve">5,000 euros (EUR) of </w:t>
      </w:r>
      <w:r w:rsidRPr="00566102">
        <w:t>non-pecuniary damage.</w:t>
      </w:r>
    </w:p>
    <w:p w:rsidRPr="00566102" w:rsidR="00153C0F" w:rsidP="00566102" w:rsidRDefault="00153C0F">
      <w:pPr>
        <w:pStyle w:val="ECHRPara"/>
      </w:pPr>
      <w:r w:rsidRPr="00566102">
        <w:fldChar w:fldCharType="begin"/>
      </w:r>
      <w:r w:rsidRPr="00566102">
        <w:instrText xml:space="preserve"> SEQ level0 \*arabic </w:instrText>
      </w:r>
      <w:r w:rsidRPr="00566102">
        <w:fldChar w:fldCharType="separate"/>
      </w:r>
      <w:r w:rsidRPr="00566102" w:rsidR="00566102">
        <w:rPr>
          <w:noProof/>
        </w:rPr>
        <w:t>59</w:t>
      </w:r>
      <w:r w:rsidRPr="00566102">
        <w:fldChar w:fldCharType="end"/>
      </w:r>
      <w:r w:rsidRPr="00566102">
        <w:t xml:space="preserve">.  The Government </w:t>
      </w:r>
      <w:r w:rsidRPr="00566102" w:rsidR="00AA56B2">
        <w:t>noted that finding a viola</w:t>
      </w:r>
      <w:r w:rsidRPr="00566102" w:rsidR="004040F7">
        <w:t>tion in the present application</w:t>
      </w:r>
      <w:r w:rsidRPr="00566102" w:rsidR="00AA56B2">
        <w:t xml:space="preserve"> would in itself constitute sufficient just satisfaction for any non</w:t>
      </w:r>
      <w:r w:rsidRPr="00566102" w:rsidR="00602A03">
        <w:noBreakHyphen/>
      </w:r>
      <w:r w:rsidRPr="00566102" w:rsidR="00AA56B2">
        <w:t>pecuniary damage alle</w:t>
      </w:r>
      <w:r w:rsidRPr="00566102" w:rsidR="004040F7">
        <w:t>gedly suffered by the applicant</w:t>
      </w:r>
      <w:r w:rsidRPr="00566102" w:rsidR="00AA56B2">
        <w:t>.</w:t>
      </w:r>
    </w:p>
    <w:p w:rsidRPr="00566102" w:rsidR="00153C0F" w:rsidP="00566102" w:rsidRDefault="00CD2157">
      <w:pPr>
        <w:pStyle w:val="ECHRPara"/>
      </w:pPr>
      <w:r w:rsidRPr="00566102">
        <w:fldChar w:fldCharType="begin"/>
      </w:r>
      <w:r w:rsidRPr="00566102">
        <w:instrText xml:space="preserve"> SEQ level0 \*arabic </w:instrText>
      </w:r>
      <w:r w:rsidRPr="00566102">
        <w:fldChar w:fldCharType="separate"/>
      </w:r>
      <w:r w:rsidRPr="00566102" w:rsidR="00566102">
        <w:rPr>
          <w:noProof/>
        </w:rPr>
        <w:t>60</w:t>
      </w:r>
      <w:r w:rsidRPr="00566102">
        <w:rPr>
          <w:noProof/>
        </w:rPr>
        <w:fldChar w:fldCharType="end"/>
      </w:r>
      <w:r w:rsidRPr="00566102" w:rsidR="00153C0F">
        <w:t>.  </w:t>
      </w:r>
      <w:r w:rsidRPr="00566102" w:rsidR="007C694C">
        <w:t>The Court h</w:t>
      </w:r>
      <w:r w:rsidRPr="00566102" w:rsidR="00153C0F">
        <w:t xml:space="preserve">aving regard to its </w:t>
      </w:r>
      <w:r w:rsidRPr="00566102" w:rsidR="007C694C">
        <w:t xml:space="preserve">above </w:t>
      </w:r>
      <w:r w:rsidRPr="00566102" w:rsidR="00153C0F">
        <w:t xml:space="preserve">conclusions </w:t>
      </w:r>
      <w:r w:rsidRPr="00566102" w:rsidR="00153C0F">
        <w:rPr>
          <w:bCs/>
        </w:rPr>
        <w:t xml:space="preserve">and acting on an equitable basis awards </w:t>
      </w:r>
      <w:r w:rsidRPr="00566102" w:rsidR="00203BD2">
        <w:rPr>
          <w:bCs/>
        </w:rPr>
        <w:t xml:space="preserve">the </w:t>
      </w:r>
      <w:r w:rsidRPr="00566102" w:rsidR="00153C0F">
        <w:rPr>
          <w:bCs/>
        </w:rPr>
        <w:t>applicant</w:t>
      </w:r>
      <w:r w:rsidRPr="00566102" w:rsidR="00566102">
        <w:rPr>
          <w:bCs/>
        </w:rPr>
        <w:t>’</w:t>
      </w:r>
      <w:r w:rsidRPr="00566102" w:rsidR="007C694C">
        <w:rPr>
          <w:bCs/>
        </w:rPr>
        <w:t>s claim of non-pecuniary damage in full</w:t>
      </w:r>
      <w:r w:rsidRPr="00566102" w:rsidR="00153C0F">
        <w:t>.</w:t>
      </w:r>
    </w:p>
    <w:p w:rsidRPr="00566102" w:rsidR="00153C0F" w:rsidP="00566102" w:rsidRDefault="00153C0F">
      <w:pPr>
        <w:pStyle w:val="ECHRHeading2"/>
      </w:pPr>
      <w:r w:rsidRPr="00566102">
        <w:t>B.  Costs and expenses</w:t>
      </w:r>
    </w:p>
    <w:p w:rsidRPr="00566102" w:rsidR="00153C0F" w:rsidP="00566102" w:rsidRDefault="00153C0F">
      <w:pPr>
        <w:pStyle w:val="ECHRPara"/>
      </w:pPr>
      <w:r w:rsidRPr="00566102">
        <w:fldChar w:fldCharType="begin"/>
      </w:r>
      <w:r w:rsidRPr="00566102">
        <w:instrText xml:space="preserve"> SEQ level0 \*arabic </w:instrText>
      </w:r>
      <w:r w:rsidRPr="00566102">
        <w:fldChar w:fldCharType="separate"/>
      </w:r>
      <w:r w:rsidRPr="00566102" w:rsidR="00566102">
        <w:rPr>
          <w:noProof/>
        </w:rPr>
        <w:t>61</w:t>
      </w:r>
      <w:r w:rsidRPr="00566102">
        <w:fldChar w:fldCharType="end"/>
      </w:r>
      <w:r w:rsidRPr="00566102" w:rsidR="00AE5207">
        <w:t>.  The applicant</w:t>
      </w:r>
      <w:r w:rsidRPr="00566102">
        <w:t xml:space="preserve"> also claimed </w:t>
      </w:r>
      <w:r w:rsidRPr="00566102" w:rsidR="00140AB8">
        <w:t>EUR </w:t>
      </w:r>
      <w:r w:rsidRPr="00566102" w:rsidR="00952372">
        <w:t>3</w:t>
      </w:r>
      <w:r w:rsidRPr="00566102">
        <w:t>,</w:t>
      </w:r>
      <w:r w:rsidRPr="00566102" w:rsidR="00952372">
        <w:t xml:space="preserve">640 </w:t>
      </w:r>
      <w:r w:rsidRPr="00566102">
        <w:t>for the costs and expenses incurred before the domestic courts and the Court.</w:t>
      </w:r>
    </w:p>
    <w:p w:rsidRPr="00566102" w:rsidR="00153C0F" w:rsidP="00566102" w:rsidRDefault="00153C0F">
      <w:pPr>
        <w:pStyle w:val="ECHRPara"/>
        <w:rPr>
          <w:lang w:val="en-US"/>
        </w:rPr>
      </w:pPr>
      <w:r w:rsidRPr="00566102">
        <w:fldChar w:fldCharType="begin"/>
      </w:r>
      <w:r w:rsidRPr="00566102">
        <w:instrText xml:space="preserve"> SEQ level0 \*arabic </w:instrText>
      </w:r>
      <w:r w:rsidRPr="00566102">
        <w:fldChar w:fldCharType="separate"/>
      </w:r>
      <w:r w:rsidRPr="00566102" w:rsidR="00566102">
        <w:rPr>
          <w:noProof/>
        </w:rPr>
        <w:t>62</w:t>
      </w:r>
      <w:r w:rsidRPr="00566102">
        <w:fldChar w:fldCharType="end"/>
      </w:r>
      <w:r w:rsidRPr="00566102">
        <w:t xml:space="preserve">.  The Government </w:t>
      </w:r>
      <w:r w:rsidRPr="00566102" w:rsidR="00C4364A">
        <w:t xml:space="preserve">stated </w:t>
      </w:r>
      <w:r w:rsidRPr="00566102" w:rsidR="00C124ED">
        <w:t>that no supporting documen</w:t>
      </w:r>
      <w:r w:rsidRPr="00566102" w:rsidR="00AE5207">
        <w:t>ts were provided for the amount</w:t>
      </w:r>
      <w:r w:rsidRPr="00566102" w:rsidR="00C124ED">
        <w:t xml:space="preserve"> claimed </w:t>
      </w:r>
      <w:r w:rsidRPr="00566102" w:rsidR="00D546B4">
        <w:t>for the</w:t>
      </w:r>
      <w:r w:rsidRPr="00566102" w:rsidR="00C124ED">
        <w:t xml:space="preserve"> costs and expenses and suggested the requested amount to be reduced</w:t>
      </w:r>
      <w:r w:rsidRPr="00566102">
        <w:t>.</w:t>
      </w:r>
    </w:p>
    <w:p w:rsidRPr="00566102" w:rsidR="00153C0F" w:rsidP="00566102" w:rsidRDefault="00153C0F">
      <w:pPr>
        <w:pStyle w:val="ECHRPara"/>
      </w:pPr>
      <w:r w:rsidRPr="00566102">
        <w:fldChar w:fldCharType="begin"/>
      </w:r>
      <w:r w:rsidRPr="00566102">
        <w:instrText xml:space="preserve"> SEQ level0 \*arabic </w:instrText>
      </w:r>
      <w:r w:rsidRPr="00566102">
        <w:fldChar w:fldCharType="separate"/>
      </w:r>
      <w:r w:rsidRPr="00566102" w:rsidR="00566102">
        <w:rPr>
          <w:noProof/>
        </w:rPr>
        <w:t>63</w:t>
      </w:r>
      <w:r w:rsidRPr="00566102">
        <w:fldChar w:fldCharType="end"/>
      </w:r>
      <w:r w:rsidRPr="00566102">
        <w:t>.  Regard being had to the documents in its possession and to its case</w:t>
      </w:r>
      <w:r w:rsidRPr="00566102" w:rsidR="001A6245">
        <w:noBreakHyphen/>
      </w:r>
      <w:r w:rsidRPr="00566102">
        <w:t>law</w:t>
      </w:r>
      <w:r w:rsidRPr="00566102" w:rsidR="00A1492B">
        <w:t xml:space="preserve"> on the matter</w:t>
      </w:r>
      <w:r w:rsidRPr="00566102">
        <w:t xml:space="preserve">, the Court considers </w:t>
      </w:r>
      <w:r w:rsidRPr="00566102" w:rsidR="00A1492B">
        <w:t xml:space="preserve">the claim to be </w:t>
      </w:r>
      <w:r w:rsidRPr="00566102">
        <w:t xml:space="preserve">reasonable </w:t>
      </w:r>
      <w:r w:rsidRPr="00566102" w:rsidR="00A1492B">
        <w:t>and awards it in full</w:t>
      </w:r>
      <w:r w:rsidRPr="00566102">
        <w:t>.</w:t>
      </w:r>
    </w:p>
    <w:p w:rsidRPr="00566102" w:rsidR="00153C0F" w:rsidP="00566102" w:rsidRDefault="00153C0F">
      <w:pPr>
        <w:pStyle w:val="ECHRHeading2"/>
      </w:pPr>
      <w:r w:rsidRPr="00566102">
        <w:t>C.  Default interest</w:t>
      </w:r>
    </w:p>
    <w:p w:rsidRPr="00566102" w:rsidR="00153C0F" w:rsidP="00566102" w:rsidRDefault="00153C0F">
      <w:pPr>
        <w:pStyle w:val="ECHRPara"/>
      </w:pPr>
      <w:r w:rsidRPr="00566102">
        <w:fldChar w:fldCharType="begin"/>
      </w:r>
      <w:r w:rsidRPr="00566102">
        <w:instrText xml:space="preserve"> SEQ level0 \*arabic </w:instrText>
      </w:r>
      <w:r w:rsidRPr="00566102">
        <w:fldChar w:fldCharType="separate"/>
      </w:r>
      <w:r w:rsidRPr="00566102" w:rsidR="00566102">
        <w:rPr>
          <w:noProof/>
        </w:rPr>
        <w:t>64</w:t>
      </w:r>
      <w:r w:rsidRPr="00566102">
        <w:fldChar w:fldCharType="end"/>
      </w:r>
      <w:r w:rsidRPr="00566102">
        <w:t>.  The Court considers it appropriate that the default interest rate should be based on the marginal lending rate of the European Central Bank, to which should be added three percentage points.</w:t>
      </w:r>
    </w:p>
    <w:p w:rsidRPr="00566102" w:rsidR="00153C0F" w:rsidP="00566102" w:rsidRDefault="00153C0F">
      <w:pPr>
        <w:pStyle w:val="ECHRTitle1"/>
      </w:pPr>
      <w:r w:rsidRPr="00566102">
        <w:t>FOR THESE REASONS, THE COURT,</w:t>
      </w:r>
      <w:r w:rsidRPr="00566102" w:rsidR="00AF5F90">
        <w:t xml:space="preserve"> UNANIMOUSLY</w:t>
      </w:r>
      <w:r w:rsidRPr="00566102">
        <w:t>,</w:t>
      </w:r>
    </w:p>
    <w:p w:rsidRPr="00566102" w:rsidR="00784497" w:rsidP="00566102" w:rsidRDefault="00AE5207">
      <w:pPr>
        <w:pStyle w:val="JuList"/>
      </w:pPr>
      <w:r w:rsidRPr="00566102">
        <w:t>1</w:t>
      </w:r>
      <w:r w:rsidRPr="00566102" w:rsidR="00784497">
        <w:t>.  </w:t>
      </w:r>
      <w:r w:rsidRPr="00566102" w:rsidR="00784497">
        <w:rPr>
          <w:i/>
        </w:rPr>
        <w:t>Decides</w:t>
      </w:r>
      <w:r w:rsidRPr="00566102" w:rsidR="00784497">
        <w:t xml:space="preserve"> to dismiss the Government</w:t>
      </w:r>
      <w:r w:rsidRPr="00566102" w:rsidR="00566102">
        <w:t>’</w:t>
      </w:r>
      <w:r w:rsidRPr="00566102" w:rsidR="00784497">
        <w:t>s preliminary objection;</w:t>
      </w:r>
    </w:p>
    <w:p w:rsidRPr="00566102" w:rsidR="00BF211D" w:rsidP="00566102" w:rsidRDefault="00BF211D">
      <w:pPr>
        <w:pStyle w:val="JuList"/>
      </w:pPr>
    </w:p>
    <w:p w:rsidRPr="00566102" w:rsidR="00BF211D" w:rsidP="00566102" w:rsidRDefault="00BF211D">
      <w:pPr>
        <w:pStyle w:val="JuList"/>
      </w:pPr>
      <w:r w:rsidRPr="00566102">
        <w:t>2.  </w:t>
      </w:r>
      <w:r w:rsidRPr="00566102">
        <w:rPr>
          <w:i/>
        </w:rPr>
        <w:t>Decides</w:t>
      </w:r>
      <w:r w:rsidRPr="00566102">
        <w:t xml:space="preserve"> to strike the application out of list of cases in part concerning the complaint under Article 3 of the Convention;</w:t>
      </w:r>
    </w:p>
    <w:p w:rsidRPr="00566102" w:rsidR="00784497" w:rsidP="00566102" w:rsidRDefault="00784497">
      <w:pPr>
        <w:pStyle w:val="JuList"/>
      </w:pPr>
    </w:p>
    <w:p w:rsidRPr="00566102" w:rsidR="00153C0F" w:rsidP="00566102" w:rsidRDefault="00BF211D">
      <w:pPr>
        <w:pStyle w:val="JuList"/>
      </w:pPr>
      <w:r w:rsidRPr="00566102">
        <w:t>3</w:t>
      </w:r>
      <w:r w:rsidRPr="00566102" w:rsidR="00153C0F">
        <w:t>.  </w:t>
      </w:r>
      <w:r w:rsidRPr="00566102" w:rsidR="00153C0F">
        <w:rPr>
          <w:i/>
        </w:rPr>
        <w:t>Declares</w:t>
      </w:r>
      <w:r w:rsidRPr="00566102" w:rsidR="00153C0F">
        <w:t xml:space="preserve"> the </w:t>
      </w:r>
      <w:r w:rsidRPr="00566102" w:rsidR="00975F22">
        <w:t>applicant</w:t>
      </w:r>
      <w:r w:rsidRPr="00566102" w:rsidR="00566102">
        <w:t>’</w:t>
      </w:r>
      <w:r w:rsidRPr="00566102" w:rsidR="00975F22">
        <w:t xml:space="preserve">s </w:t>
      </w:r>
      <w:r w:rsidRPr="00566102" w:rsidR="00153C0F">
        <w:t>complaint under Article 5</w:t>
      </w:r>
      <w:r w:rsidRPr="00566102" w:rsidR="006C3DA5">
        <w:t xml:space="preserve"> </w:t>
      </w:r>
      <w:r w:rsidRPr="00566102" w:rsidR="00153C0F">
        <w:t>of the Convention admissible;</w:t>
      </w:r>
    </w:p>
    <w:p w:rsidRPr="00566102" w:rsidR="00153C0F" w:rsidP="00566102" w:rsidRDefault="00153C0F">
      <w:pPr>
        <w:pStyle w:val="JuList"/>
        <w:ind w:left="0" w:firstLine="0"/>
      </w:pPr>
    </w:p>
    <w:p w:rsidRPr="00566102" w:rsidR="00537AB3" w:rsidP="00566102" w:rsidRDefault="00BF211D">
      <w:pPr>
        <w:pStyle w:val="JuList"/>
        <w:rPr>
          <w:bCs/>
        </w:rPr>
      </w:pPr>
      <w:r w:rsidRPr="00566102">
        <w:t>4</w:t>
      </w:r>
      <w:r w:rsidRPr="00566102" w:rsidR="00153C0F">
        <w:t>.  </w:t>
      </w:r>
      <w:r w:rsidRPr="00566102" w:rsidR="00537AB3">
        <w:rPr>
          <w:i/>
        </w:rPr>
        <w:t xml:space="preserve">Holds </w:t>
      </w:r>
      <w:r w:rsidRPr="00566102" w:rsidR="00537AB3">
        <w:t>that there has been a violation of the applicant</w:t>
      </w:r>
      <w:r w:rsidRPr="00566102" w:rsidR="00566102">
        <w:t>’</w:t>
      </w:r>
      <w:r w:rsidRPr="00566102" w:rsidR="00537AB3">
        <w:t>s rights under Article 5 § 4 of the Convention</w:t>
      </w:r>
      <w:r w:rsidRPr="00566102" w:rsidR="00537AB3">
        <w:rPr>
          <w:bCs/>
        </w:rPr>
        <w:t>;</w:t>
      </w:r>
    </w:p>
    <w:p w:rsidRPr="00566102" w:rsidR="00975F22" w:rsidP="00566102" w:rsidRDefault="00975F22">
      <w:pPr>
        <w:pStyle w:val="JuList"/>
        <w:rPr>
          <w:bCs/>
        </w:rPr>
      </w:pPr>
    </w:p>
    <w:p w:rsidRPr="00566102" w:rsidR="00975F22" w:rsidP="00566102" w:rsidRDefault="00BF211D">
      <w:pPr>
        <w:pStyle w:val="JuList"/>
      </w:pPr>
      <w:r w:rsidRPr="00566102">
        <w:rPr>
          <w:iCs/>
        </w:rPr>
        <w:t>5</w:t>
      </w:r>
      <w:r w:rsidRPr="00566102" w:rsidR="00975F22">
        <w:rPr>
          <w:i/>
          <w:iCs/>
        </w:rPr>
        <w:t>.  Holds</w:t>
      </w:r>
      <w:r w:rsidRPr="00566102" w:rsidR="00975F22">
        <w:t xml:space="preserve"> that the respondent State has </w:t>
      </w:r>
      <w:r w:rsidRPr="00566102" w:rsidR="00C44222">
        <w:t xml:space="preserve">breached </w:t>
      </w:r>
      <w:r w:rsidRPr="00566102" w:rsidR="00975F22">
        <w:t>the interim measure indicated by the Court under Rule 39 of the Rules of Court and therefore failed to comply with its obligations under Article 34 of the Convention</w:t>
      </w:r>
      <w:r w:rsidRPr="00566102" w:rsidR="00177851">
        <w:t>;</w:t>
      </w:r>
    </w:p>
    <w:p w:rsidRPr="00566102" w:rsidR="00153C0F" w:rsidP="00566102" w:rsidRDefault="00153C0F">
      <w:pPr>
        <w:pStyle w:val="JuList"/>
      </w:pPr>
    </w:p>
    <w:p w:rsidRPr="00566102" w:rsidR="001A1F1C" w:rsidP="00566102" w:rsidRDefault="00BF211D">
      <w:pPr>
        <w:pStyle w:val="JuList"/>
      </w:pPr>
      <w:r w:rsidRPr="00566102">
        <w:t>6</w:t>
      </w:r>
      <w:r w:rsidRPr="00566102" w:rsidR="001A1F1C">
        <w:t>.  </w:t>
      </w:r>
      <w:r w:rsidRPr="00566102" w:rsidR="001A1F1C">
        <w:rPr>
          <w:i/>
        </w:rPr>
        <w:t>Holds</w:t>
      </w:r>
      <w:r w:rsidRPr="00566102" w:rsidR="001A1F1C">
        <w:t xml:space="preserve"> </w:t>
      </w:r>
      <w:r w:rsidRPr="00566102" w:rsidR="00D8721A">
        <w:t>that it is not necessary to examine the admissibil</w:t>
      </w:r>
      <w:r w:rsidRPr="00566102" w:rsidR="00AE5207">
        <w:t xml:space="preserve">ity and merits of the </w:t>
      </w:r>
      <w:r w:rsidRPr="00566102" w:rsidR="00975F22">
        <w:t>applicant</w:t>
      </w:r>
      <w:r w:rsidRPr="00566102" w:rsidR="00566102">
        <w:t>’</w:t>
      </w:r>
      <w:r w:rsidRPr="00566102" w:rsidR="00975F22">
        <w:t xml:space="preserve">s </w:t>
      </w:r>
      <w:r w:rsidRPr="00566102" w:rsidR="00AE5207">
        <w:t>complaint</w:t>
      </w:r>
      <w:r w:rsidRPr="00566102" w:rsidR="00D8721A">
        <w:t xml:space="preserve"> under Article 13 of the Convention</w:t>
      </w:r>
      <w:r w:rsidRPr="00566102" w:rsidR="001A1F1C">
        <w:t>;</w:t>
      </w:r>
    </w:p>
    <w:p w:rsidRPr="00566102" w:rsidR="001A1F1C" w:rsidP="00566102" w:rsidRDefault="001A1F1C">
      <w:pPr>
        <w:pStyle w:val="JuList"/>
      </w:pPr>
    </w:p>
    <w:p w:rsidRPr="00566102" w:rsidR="00CD2157" w:rsidP="00566102" w:rsidRDefault="00BF211D">
      <w:pPr>
        <w:pStyle w:val="JuList"/>
        <w:rPr>
          <w:i/>
        </w:rPr>
      </w:pPr>
      <w:r w:rsidRPr="00566102">
        <w:t>7</w:t>
      </w:r>
      <w:r w:rsidRPr="00566102" w:rsidR="00153C0F">
        <w:t>.  </w:t>
      </w:r>
      <w:r w:rsidRPr="00566102" w:rsidR="00153C0F">
        <w:rPr>
          <w:i/>
        </w:rPr>
        <w:t>Holds</w:t>
      </w:r>
    </w:p>
    <w:p w:rsidRPr="00566102" w:rsidR="00153C0F" w:rsidP="00566102" w:rsidRDefault="00153C0F">
      <w:pPr>
        <w:pStyle w:val="JuLista"/>
      </w:pPr>
      <w:r w:rsidRPr="00566102">
        <w:t xml:space="preserve">(a)  that the respondent State is to pay </w:t>
      </w:r>
      <w:r w:rsidRPr="00566102" w:rsidR="00AE5207">
        <w:t xml:space="preserve">the </w:t>
      </w:r>
      <w:r w:rsidRPr="00566102">
        <w:t>applicant</w:t>
      </w:r>
      <w:r w:rsidRPr="00566102" w:rsidR="00203BD2">
        <w:t xml:space="preserve"> </w:t>
      </w:r>
      <w:r w:rsidRPr="00566102" w:rsidR="009044F7">
        <w:t>EUR 5,000</w:t>
      </w:r>
      <w:r w:rsidRPr="00566102" w:rsidR="003761DA">
        <w:t xml:space="preserve"> (five thousand</w:t>
      </w:r>
      <w:r w:rsidRPr="00566102" w:rsidR="00A1492B">
        <w:t xml:space="preserve"> euros</w:t>
      </w:r>
      <w:r w:rsidRPr="00566102" w:rsidR="009044F7">
        <w:t>) in respect of non</w:t>
      </w:r>
      <w:r w:rsidRPr="00566102" w:rsidR="00A1492B">
        <w:t>-</w:t>
      </w:r>
      <w:r w:rsidRPr="00566102" w:rsidR="009044F7">
        <w:t xml:space="preserve">pecuniary damage and EUR </w:t>
      </w:r>
      <w:r w:rsidRPr="00566102" w:rsidR="00A1492B">
        <w:t>3</w:t>
      </w:r>
      <w:r w:rsidRPr="00566102" w:rsidR="00975F22">
        <w:t>,</w:t>
      </w:r>
      <w:r w:rsidRPr="00566102" w:rsidR="00A1492B">
        <w:t>64</w:t>
      </w:r>
      <w:r w:rsidRPr="00566102" w:rsidR="009044F7">
        <w:t>0</w:t>
      </w:r>
      <w:r w:rsidRPr="00566102" w:rsidR="00203BD2">
        <w:t xml:space="preserve"> </w:t>
      </w:r>
      <w:r w:rsidRPr="00566102" w:rsidR="003761DA">
        <w:t>(</w:t>
      </w:r>
      <w:r w:rsidRPr="00566102" w:rsidR="00A1492B">
        <w:t xml:space="preserve">three thousand six hundred </w:t>
      </w:r>
      <w:r w:rsidRPr="00566102" w:rsidR="00244767">
        <w:t xml:space="preserve">and </w:t>
      </w:r>
      <w:r w:rsidRPr="00566102" w:rsidR="00A1492B">
        <w:t>forty euros</w:t>
      </w:r>
      <w:r w:rsidRPr="00566102" w:rsidR="003761DA">
        <w:t xml:space="preserve">) </w:t>
      </w:r>
      <w:r w:rsidRPr="00566102" w:rsidR="00203BD2">
        <w:t xml:space="preserve">in respect of costs and expenses </w:t>
      </w:r>
      <w:r w:rsidRPr="00566102">
        <w:t>within three months, to be converted into the currency of the respondent State at the rate applicable at the date of settlement plus any tax that may be chargeable;</w:t>
      </w:r>
    </w:p>
    <w:p w:rsidRPr="00566102" w:rsidR="005B4D2D" w:rsidP="00566102" w:rsidRDefault="005B4D2D">
      <w:pPr>
        <w:pStyle w:val="JuLista"/>
      </w:pPr>
      <w:r w:rsidRPr="00566102">
        <w:t>(b)  that the above award of costs and expenses is payable directly to the applicant</w:t>
      </w:r>
      <w:r w:rsidRPr="00566102" w:rsidR="00566102">
        <w:t>’</w:t>
      </w:r>
      <w:r w:rsidRPr="00566102">
        <w:t>s representatives Ms E. Davidyan and Ms D. Trenina;</w:t>
      </w:r>
    </w:p>
    <w:p w:rsidRPr="00566102" w:rsidR="007C694C" w:rsidP="00566102" w:rsidRDefault="00153C0F">
      <w:pPr>
        <w:pStyle w:val="JuLista"/>
      </w:pPr>
      <w:r w:rsidRPr="00566102">
        <w:t>(</w:t>
      </w:r>
      <w:r w:rsidRPr="00566102" w:rsidR="005B4D2D">
        <w:t>c</w:t>
      </w:r>
      <w:r w:rsidRPr="00566102">
        <w:t>)  that from the expiry of the above-mentioned three months until settlement simple interest shall be payable on the above amounts at a rate equal to the marginal lending rate of the European Central Bank during the default period plus three percentage points</w:t>
      </w:r>
      <w:r w:rsidRPr="00566102" w:rsidR="007C694C">
        <w:t>.</w:t>
      </w:r>
    </w:p>
    <w:p w:rsidRPr="00566102" w:rsidR="00153C0F" w:rsidP="00566102" w:rsidRDefault="00153C0F">
      <w:pPr>
        <w:pStyle w:val="JuList"/>
      </w:pPr>
    </w:p>
    <w:p w:rsidRPr="00566102" w:rsidR="00153C0F" w:rsidP="00566102" w:rsidRDefault="00153C0F">
      <w:pPr>
        <w:pStyle w:val="JuParaLast"/>
      </w:pPr>
      <w:r w:rsidRPr="00566102">
        <w:t xml:space="preserve">Done in English, and notified in writing on </w:t>
      </w:r>
      <w:r w:rsidRPr="00566102" w:rsidR="001176BF">
        <w:t>9 July 2019</w:t>
      </w:r>
      <w:r w:rsidRPr="00566102">
        <w:t>, pursuant to Rule</w:t>
      </w:r>
      <w:r w:rsidRPr="00566102" w:rsidR="001176BF">
        <w:t> </w:t>
      </w:r>
      <w:r w:rsidRPr="00566102">
        <w:t>77 §§ 2 and 3 of the Rules of Court.</w:t>
      </w:r>
    </w:p>
    <w:p w:rsidRPr="00566102" w:rsidR="00153C0F" w:rsidP="00566102" w:rsidRDefault="00153C0F">
      <w:pPr>
        <w:pStyle w:val="JuSigned"/>
      </w:pPr>
      <w:r w:rsidRPr="00566102">
        <w:tab/>
        <w:t>Fatoş Aracı</w:t>
      </w:r>
      <w:r w:rsidRPr="00566102">
        <w:tab/>
      </w:r>
      <w:r w:rsidRPr="00566102" w:rsidR="00DA2F5F">
        <w:rPr>
          <w:szCs w:val="24"/>
        </w:rPr>
        <w:t>Alena Poláčková</w:t>
      </w:r>
      <w:r w:rsidRPr="00566102">
        <w:rPr>
          <w:szCs w:val="24"/>
        </w:rPr>
        <w:br/>
      </w:r>
      <w:r w:rsidRPr="00566102">
        <w:tab/>
        <w:t xml:space="preserve">Deputy </w:t>
      </w:r>
      <w:r w:rsidRPr="00566102">
        <w:rPr>
          <w:iCs/>
        </w:rPr>
        <w:t>Registrar</w:t>
      </w:r>
      <w:r w:rsidRPr="00566102">
        <w:tab/>
        <w:t>President</w:t>
      </w:r>
    </w:p>
    <w:p w:rsidRPr="00566102" w:rsidR="00566102" w:rsidP="00566102" w:rsidRDefault="00566102">
      <w:pPr>
        <w:pStyle w:val="JuParaLast"/>
      </w:pPr>
    </w:p>
    <w:sectPr w:rsidRPr="00566102" w:rsidR="00566102" w:rsidSect="00303A1C">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24" w:rsidRPr="003152BA" w:rsidRDefault="006C1F24" w:rsidP="00014566">
      <w:r w:rsidRPr="003152BA">
        <w:separator/>
      </w:r>
    </w:p>
  </w:endnote>
  <w:endnote w:type="continuationSeparator" w:id="0">
    <w:p w:rsidR="006C1F24" w:rsidRPr="003152BA" w:rsidRDefault="006C1F24" w:rsidP="00014566">
      <w:r w:rsidRPr="003152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6FB" w:rsidRDefault="00250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6FB" w:rsidRDefault="00250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B4" w:rsidRPr="00150BFA" w:rsidRDefault="00EF58B4" w:rsidP="0020718E">
    <w:pPr>
      <w:jc w:val="center"/>
    </w:pPr>
    <w:r>
      <w:rPr>
        <w:noProof/>
        <w:lang w:val="en-US" w:eastAsia="ja-JP"/>
      </w:rPr>
      <w:drawing>
        <wp:inline distT="0" distB="0" distL="0" distR="0" wp14:anchorId="25B681FC" wp14:editId="65A55C43">
          <wp:extent cx="771525" cy="619125"/>
          <wp:effectExtent l="0" t="0" r="9525" b="9525"/>
          <wp:docPr id="10" name="Picture 1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F58B4" w:rsidRDefault="00EF5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24" w:rsidRPr="003152BA" w:rsidRDefault="006C1F24" w:rsidP="00014566">
      <w:r w:rsidRPr="003152BA">
        <w:separator/>
      </w:r>
    </w:p>
  </w:footnote>
  <w:footnote w:type="continuationSeparator" w:id="0">
    <w:p w:rsidR="006C1F24" w:rsidRPr="003152BA" w:rsidRDefault="006C1F24" w:rsidP="00014566">
      <w:r w:rsidRPr="003152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6FB" w:rsidRDefault="00250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B4" w:rsidRPr="00EF58B4" w:rsidRDefault="00EF58B4" w:rsidP="00EF58B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B4" w:rsidRPr="00A45145" w:rsidRDefault="00EF58B4" w:rsidP="00A45145">
    <w:pPr>
      <w:jc w:val="center"/>
    </w:pPr>
    <w:r>
      <w:rPr>
        <w:noProof/>
        <w:lang w:val="en-US" w:eastAsia="ja-JP"/>
      </w:rPr>
      <w:drawing>
        <wp:inline distT="0" distB="0" distL="0" distR="0" wp14:anchorId="308D2D28" wp14:editId="330A1AE5">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F58B4" w:rsidRDefault="00EF58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B4" w:rsidRPr="003152BA" w:rsidRDefault="00EF58B4" w:rsidP="000C45CE">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566102">
      <w:rPr>
        <w:rStyle w:val="PageNumber"/>
        <w:noProof/>
        <w:szCs w:val="18"/>
      </w:rPr>
      <w:t>12</w:t>
    </w:r>
    <w:r>
      <w:rPr>
        <w:rStyle w:val="PageNumber"/>
        <w:szCs w:val="18"/>
      </w:rPr>
      <w:fldChar w:fldCharType="end"/>
    </w:r>
    <w:r w:rsidRPr="003152BA">
      <w:tab/>
    </w:r>
    <w:r>
      <w:t>R.A. v. RUSSIA</w:t>
    </w:r>
    <w:r w:rsidR="002506FB">
      <w:t xml:space="preserve"> </w:t>
    </w:r>
    <w:r>
      <w:t>JUDGMENT</w:t>
    </w:r>
    <w:r>
      <w:rPr>
        <w:noProof/>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B4" w:rsidRDefault="00EF58B4" w:rsidP="000C45CE">
    <w:pPr>
      <w:pStyle w:val="ECHRHeader"/>
    </w:pPr>
    <w:r>
      <w:tab/>
      <w:t>R.A. v. RUSSIA</w:t>
    </w:r>
    <w:r w:rsidR="002506FB">
      <w:t xml:space="preserve"> </w:t>
    </w:r>
    <w:r>
      <w:t>JUDGMENT</w:t>
    </w:r>
    <w:r>
      <w:rPr>
        <w:noProof/>
      </w:rPr>
      <w:tab/>
    </w:r>
    <w:r w:rsidRPr="00FE09DA">
      <w:rPr>
        <w:noProof/>
        <w:lang w:val="fr-FR"/>
      </w:rPr>
      <w:fldChar w:fldCharType="begin"/>
    </w:r>
    <w:r w:rsidRPr="00F921AB">
      <w:rPr>
        <w:noProof/>
      </w:rPr>
      <w:instrText xml:space="preserve"> PAGE </w:instrText>
    </w:r>
    <w:r w:rsidRPr="00FE09DA">
      <w:rPr>
        <w:noProof/>
        <w:lang w:val="fr-FR"/>
      </w:rPr>
      <w:fldChar w:fldCharType="separate"/>
    </w:r>
    <w:r w:rsidR="00566102">
      <w:rPr>
        <w:noProof/>
      </w:rPr>
      <w:t>11</w:t>
    </w:r>
    <w:r w:rsidRPr="00FE09DA">
      <w:rPr>
        <w:noProof/>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0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5D4E26"/>
    <w:rsid w:val="00000067"/>
    <w:rsid w:val="000010ED"/>
    <w:rsid w:val="000041F8"/>
    <w:rsid w:val="000042A8"/>
    <w:rsid w:val="00004308"/>
    <w:rsid w:val="00005BF0"/>
    <w:rsid w:val="00007154"/>
    <w:rsid w:val="000103AE"/>
    <w:rsid w:val="00011D69"/>
    <w:rsid w:val="00012AD3"/>
    <w:rsid w:val="00014461"/>
    <w:rsid w:val="00014566"/>
    <w:rsid w:val="00015C2D"/>
    <w:rsid w:val="00015F00"/>
    <w:rsid w:val="0001693F"/>
    <w:rsid w:val="00020526"/>
    <w:rsid w:val="00022C1D"/>
    <w:rsid w:val="00023A25"/>
    <w:rsid w:val="00027ACF"/>
    <w:rsid w:val="00031242"/>
    <w:rsid w:val="00034987"/>
    <w:rsid w:val="000350E3"/>
    <w:rsid w:val="0004000D"/>
    <w:rsid w:val="0004125A"/>
    <w:rsid w:val="00046D21"/>
    <w:rsid w:val="00054FEE"/>
    <w:rsid w:val="000602DF"/>
    <w:rsid w:val="00061B05"/>
    <w:rsid w:val="00062973"/>
    <w:rsid w:val="0006299A"/>
    <w:rsid w:val="00062D5D"/>
    <w:rsid w:val="000632D5"/>
    <w:rsid w:val="000644EE"/>
    <w:rsid w:val="00066F84"/>
    <w:rsid w:val="00071ABC"/>
    <w:rsid w:val="00082B0F"/>
    <w:rsid w:val="000856D7"/>
    <w:rsid w:val="00087C49"/>
    <w:rsid w:val="000902AD"/>
    <w:rsid w:val="000925AD"/>
    <w:rsid w:val="000A24EB"/>
    <w:rsid w:val="000A34E6"/>
    <w:rsid w:val="000B2CEF"/>
    <w:rsid w:val="000B6923"/>
    <w:rsid w:val="000C033C"/>
    <w:rsid w:val="000C0A2B"/>
    <w:rsid w:val="000C1B12"/>
    <w:rsid w:val="000C45CE"/>
    <w:rsid w:val="000C59CC"/>
    <w:rsid w:val="000C5BCD"/>
    <w:rsid w:val="000C5F3C"/>
    <w:rsid w:val="000C6DCC"/>
    <w:rsid w:val="000C7702"/>
    <w:rsid w:val="000D0584"/>
    <w:rsid w:val="000D47AA"/>
    <w:rsid w:val="000D5258"/>
    <w:rsid w:val="000D6660"/>
    <w:rsid w:val="000D721F"/>
    <w:rsid w:val="000D72C3"/>
    <w:rsid w:val="000E069B"/>
    <w:rsid w:val="000E0E82"/>
    <w:rsid w:val="000E1DC5"/>
    <w:rsid w:val="000E223F"/>
    <w:rsid w:val="000E335E"/>
    <w:rsid w:val="000E35AC"/>
    <w:rsid w:val="000E56F9"/>
    <w:rsid w:val="000E7371"/>
    <w:rsid w:val="000E7D45"/>
    <w:rsid w:val="000E7D74"/>
    <w:rsid w:val="000E7F8B"/>
    <w:rsid w:val="000F338C"/>
    <w:rsid w:val="000F6C9A"/>
    <w:rsid w:val="000F6F33"/>
    <w:rsid w:val="000F7851"/>
    <w:rsid w:val="0010065B"/>
    <w:rsid w:val="00104E23"/>
    <w:rsid w:val="00111B0C"/>
    <w:rsid w:val="00111C33"/>
    <w:rsid w:val="00115690"/>
    <w:rsid w:val="001176BF"/>
    <w:rsid w:val="00117DF2"/>
    <w:rsid w:val="00120D6C"/>
    <w:rsid w:val="00123B64"/>
    <w:rsid w:val="001257EC"/>
    <w:rsid w:val="00126A7F"/>
    <w:rsid w:val="00132C6A"/>
    <w:rsid w:val="0013340C"/>
    <w:rsid w:val="00133D33"/>
    <w:rsid w:val="00134D64"/>
    <w:rsid w:val="00135A30"/>
    <w:rsid w:val="0013612C"/>
    <w:rsid w:val="00137FF6"/>
    <w:rsid w:val="00140AB8"/>
    <w:rsid w:val="00141650"/>
    <w:rsid w:val="001451FB"/>
    <w:rsid w:val="001457D8"/>
    <w:rsid w:val="00150582"/>
    <w:rsid w:val="00153C0F"/>
    <w:rsid w:val="00162A12"/>
    <w:rsid w:val="0016324B"/>
    <w:rsid w:val="0016643F"/>
    <w:rsid w:val="00166530"/>
    <w:rsid w:val="00167F00"/>
    <w:rsid w:val="001748AB"/>
    <w:rsid w:val="0017732D"/>
    <w:rsid w:val="00177851"/>
    <w:rsid w:val="001832BD"/>
    <w:rsid w:val="0018536E"/>
    <w:rsid w:val="00185A01"/>
    <w:rsid w:val="00187A88"/>
    <w:rsid w:val="001935A1"/>
    <w:rsid w:val="001943B5"/>
    <w:rsid w:val="00194899"/>
    <w:rsid w:val="00195134"/>
    <w:rsid w:val="001A145B"/>
    <w:rsid w:val="001A1A74"/>
    <w:rsid w:val="001A1F1C"/>
    <w:rsid w:val="001A556B"/>
    <w:rsid w:val="001A6245"/>
    <w:rsid w:val="001A674C"/>
    <w:rsid w:val="001B38D4"/>
    <w:rsid w:val="001B39D0"/>
    <w:rsid w:val="001B3B24"/>
    <w:rsid w:val="001B3DD0"/>
    <w:rsid w:val="001B4CF1"/>
    <w:rsid w:val="001B683B"/>
    <w:rsid w:val="001B69E0"/>
    <w:rsid w:val="001B7688"/>
    <w:rsid w:val="001C0453"/>
    <w:rsid w:val="001C0F98"/>
    <w:rsid w:val="001C2953"/>
    <w:rsid w:val="001C2A42"/>
    <w:rsid w:val="001C6E38"/>
    <w:rsid w:val="001D318F"/>
    <w:rsid w:val="001D63ED"/>
    <w:rsid w:val="001D7348"/>
    <w:rsid w:val="001E035B"/>
    <w:rsid w:val="001E0961"/>
    <w:rsid w:val="001E1869"/>
    <w:rsid w:val="001E3EAE"/>
    <w:rsid w:val="001E5348"/>
    <w:rsid w:val="001E6F32"/>
    <w:rsid w:val="001F19DF"/>
    <w:rsid w:val="001F1F19"/>
    <w:rsid w:val="001F2145"/>
    <w:rsid w:val="001F6262"/>
    <w:rsid w:val="001F67B0"/>
    <w:rsid w:val="001F7B3D"/>
    <w:rsid w:val="002016BD"/>
    <w:rsid w:val="00203BD2"/>
    <w:rsid w:val="00205F9F"/>
    <w:rsid w:val="00210338"/>
    <w:rsid w:val="00211530"/>
    <w:rsid w:val="002115FC"/>
    <w:rsid w:val="002133F8"/>
    <w:rsid w:val="0021423C"/>
    <w:rsid w:val="00221000"/>
    <w:rsid w:val="00224445"/>
    <w:rsid w:val="00225048"/>
    <w:rsid w:val="00226C6F"/>
    <w:rsid w:val="00230B6A"/>
    <w:rsid w:val="00230D00"/>
    <w:rsid w:val="00231DF7"/>
    <w:rsid w:val="00231FD1"/>
    <w:rsid w:val="002339E0"/>
    <w:rsid w:val="00233CF8"/>
    <w:rsid w:val="0023575D"/>
    <w:rsid w:val="00237148"/>
    <w:rsid w:val="00237201"/>
    <w:rsid w:val="0024222D"/>
    <w:rsid w:val="00243C05"/>
    <w:rsid w:val="00244767"/>
    <w:rsid w:val="00244B0E"/>
    <w:rsid w:val="00244F6C"/>
    <w:rsid w:val="002470F0"/>
    <w:rsid w:val="00247622"/>
    <w:rsid w:val="002506FB"/>
    <w:rsid w:val="00250F5C"/>
    <w:rsid w:val="00251F4E"/>
    <w:rsid w:val="00252DF4"/>
    <w:rsid w:val="00253041"/>
    <w:rsid w:val="002532C5"/>
    <w:rsid w:val="002565BD"/>
    <w:rsid w:val="00260C03"/>
    <w:rsid w:val="00260C8D"/>
    <w:rsid w:val="00262620"/>
    <w:rsid w:val="002637A9"/>
    <w:rsid w:val="002638EB"/>
    <w:rsid w:val="00264324"/>
    <w:rsid w:val="002653A6"/>
    <w:rsid w:val="0026540E"/>
    <w:rsid w:val="00271D3F"/>
    <w:rsid w:val="0027225C"/>
    <w:rsid w:val="00272EB2"/>
    <w:rsid w:val="002730B0"/>
    <w:rsid w:val="00275123"/>
    <w:rsid w:val="0027532A"/>
    <w:rsid w:val="002812AA"/>
    <w:rsid w:val="00282111"/>
    <w:rsid w:val="00282240"/>
    <w:rsid w:val="0028572A"/>
    <w:rsid w:val="00294591"/>
    <w:rsid w:val="002948AD"/>
    <w:rsid w:val="00294C05"/>
    <w:rsid w:val="00294C92"/>
    <w:rsid w:val="002A01CC"/>
    <w:rsid w:val="002A4DFB"/>
    <w:rsid w:val="002A61B1"/>
    <w:rsid w:val="002A663C"/>
    <w:rsid w:val="002B1683"/>
    <w:rsid w:val="002B1E6C"/>
    <w:rsid w:val="002B40DB"/>
    <w:rsid w:val="002B444B"/>
    <w:rsid w:val="002B5887"/>
    <w:rsid w:val="002C0692"/>
    <w:rsid w:val="002C0E27"/>
    <w:rsid w:val="002C3040"/>
    <w:rsid w:val="002D022D"/>
    <w:rsid w:val="002D24BB"/>
    <w:rsid w:val="002D2D0B"/>
    <w:rsid w:val="002D34F9"/>
    <w:rsid w:val="002E005D"/>
    <w:rsid w:val="002E00A1"/>
    <w:rsid w:val="002E0C34"/>
    <w:rsid w:val="002E15D4"/>
    <w:rsid w:val="002E29F8"/>
    <w:rsid w:val="002F171B"/>
    <w:rsid w:val="002F2AF7"/>
    <w:rsid w:val="002F3602"/>
    <w:rsid w:val="002F4E4A"/>
    <w:rsid w:val="002F5BD2"/>
    <w:rsid w:val="002F62E3"/>
    <w:rsid w:val="002F7E1C"/>
    <w:rsid w:val="00301A75"/>
    <w:rsid w:val="00302F70"/>
    <w:rsid w:val="0030336F"/>
    <w:rsid w:val="0030375E"/>
    <w:rsid w:val="00303A1C"/>
    <w:rsid w:val="0031102C"/>
    <w:rsid w:val="00312A30"/>
    <w:rsid w:val="00312E53"/>
    <w:rsid w:val="00313525"/>
    <w:rsid w:val="003152BA"/>
    <w:rsid w:val="00320BE6"/>
    <w:rsid w:val="00320F72"/>
    <w:rsid w:val="003214A6"/>
    <w:rsid w:val="0032463E"/>
    <w:rsid w:val="00326224"/>
    <w:rsid w:val="0032676F"/>
    <w:rsid w:val="00331EAC"/>
    <w:rsid w:val="00334ECD"/>
    <w:rsid w:val="00337EE4"/>
    <w:rsid w:val="00340FFD"/>
    <w:rsid w:val="003419C8"/>
    <w:rsid w:val="003428B9"/>
    <w:rsid w:val="003506B1"/>
    <w:rsid w:val="00356AC7"/>
    <w:rsid w:val="003609FA"/>
    <w:rsid w:val="003675D1"/>
    <w:rsid w:val="003710C8"/>
    <w:rsid w:val="003750BE"/>
    <w:rsid w:val="003761DA"/>
    <w:rsid w:val="003804DC"/>
    <w:rsid w:val="00382EDE"/>
    <w:rsid w:val="00385A47"/>
    <w:rsid w:val="00385AF6"/>
    <w:rsid w:val="00385D52"/>
    <w:rsid w:val="00387B9D"/>
    <w:rsid w:val="00390A77"/>
    <w:rsid w:val="00391F60"/>
    <w:rsid w:val="0039364F"/>
    <w:rsid w:val="00396686"/>
    <w:rsid w:val="0039778E"/>
    <w:rsid w:val="003A1BD4"/>
    <w:rsid w:val="003A441D"/>
    <w:rsid w:val="003B3CB5"/>
    <w:rsid w:val="003B4941"/>
    <w:rsid w:val="003B4949"/>
    <w:rsid w:val="003B7D2C"/>
    <w:rsid w:val="003C34C4"/>
    <w:rsid w:val="003C5714"/>
    <w:rsid w:val="003C6314"/>
    <w:rsid w:val="003C6B9F"/>
    <w:rsid w:val="003C6E2A"/>
    <w:rsid w:val="003C722B"/>
    <w:rsid w:val="003C7FB6"/>
    <w:rsid w:val="003D0299"/>
    <w:rsid w:val="003D0AE9"/>
    <w:rsid w:val="003D6E5B"/>
    <w:rsid w:val="003E4C65"/>
    <w:rsid w:val="003E6D80"/>
    <w:rsid w:val="003E755D"/>
    <w:rsid w:val="003F05FA"/>
    <w:rsid w:val="003F244A"/>
    <w:rsid w:val="003F30B8"/>
    <w:rsid w:val="003F30E6"/>
    <w:rsid w:val="003F4C45"/>
    <w:rsid w:val="003F4F01"/>
    <w:rsid w:val="003F5949"/>
    <w:rsid w:val="003F5F7B"/>
    <w:rsid w:val="003F7D64"/>
    <w:rsid w:val="004040F7"/>
    <w:rsid w:val="00407A2A"/>
    <w:rsid w:val="00410994"/>
    <w:rsid w:val="0041150E"/>
    <w:rsid w:val="00413084"/>
    <w:rsid w:val="00414300"/>
    <w:rsid w:val="004162E3"/>
    <w:rsid w:val="0042329B"/>
    <w:rsid w:val="00425962"/>
    <w:rsid w:val="00425C67"/>
    <w:rsid w:val="00426A63"/>
    <w:rsid w:val="00427E7A"/>
    <w:rsid w:val="00436307"/>
    <w:rsid w:val="00436C49"/>
    <w:rsid w:val="00445366"/>
    <w:rsid w:val="0044554C"/>
    <w:rsid w:val="00447F5B"/>
    <w:rsid w:val="00452329"/>
    <w:rsid w:val="00460C90"/>
    <w:rsid w:val="00461DB0"/>
    <w:rsid w:val="00463926"/>
    <w:rsid w:val="00464097"/>
    <w:rsid w:val="004646E0"/>
    <w:rsid w:val="00464C9A"/>
    <w:rsid w:val="00466C16"/>
    <w:rsid w:val="00470EBC"/>
    <w:rsid w:val="00474F3D"/>
    <w:rsid w:val="004756DA"/>
    <w:rsid w:val="00477E3A"/>
    <w:rsid w:val="00483E5F"/>
    <w:rsid w:val="00485FF9"/>
    <w:rsid w:val="004905F3"/>
    <w:rsid w:val="004907F0"/>
    <w:rsid w:val="0049140B"/>
    <w:rsid w:val="004923A5"/>
    <w:rsid w:val="00496BFB"/>
    <w:rsid w:val="004A0C43"/>
    <w:rsid w:val="004A15C7"/>
    <w:rsid w:val="004A1D31"/>
    <w:rsid w:val="004A1E7E"/>
    <w:rsid w:val="004A557C"/>
    <w:rsid w:val="004A6B64"/>
    <w:rsid w:val="004B013B"/>
    <w:rsid w:val="004B112B"/>
    <w:rsid w:val="004C01E4"/>
    <w:rsid w:val="004C086C"/>
    <w:rsid w:val="004C1F56"/>
    <w:rsid w:val="004C27BC"/>
    <w:rsid w:val="004C3A91"/>
    <w:rsid w:val="004C4195"/>
    <w:rsid w:val="004C7941"/>
    <w:rsid w:val="004D021D"/>
    <w:rsid w:val="004D15F3"/>
    <w:rsid w:val="004D24FB"/>
    <w:rsid w:val="004D347F"/>
    <w:rsid w:val="004D5311"/>
    <w:rsid w:val="004D5DCC"/>
    <w:rsid w:val="004E3342"/>
    <w:rsid w:val="004E4DCE"/>
    <w:rsid w:val="004E78EA"/>
    <w:rsid w:val="004F10AF"/>
    <w:rsid w:val="004F11A4"/>
    <w:rsid w:val="004F2389"/>
    <w:rsid w:val="004F304D"/>
    <w:rsid w:val="004F454F"/>
    <w:rsid w:val="004F61BE"/>
    <w:rsid w:val="004F66B1"/>
    <w:rsid w:val="00502A0D"/>
    <w:rsid w:val="005106D9"/>
    <w:rsid w:val="00511C07"/>
    <w:rsid w:val="00512D5D"/>
    <w:rsid w:val="005173A6"/>
    <w:rsid w:val="00520BAA"/>
    <w:rsid w:val="00525208"/>
    <w:rsid w:val="005257A5"/>
    <w:rsid w:val="005264C0"/>
    <w:rsid w:val="00526A8A"/>
    <w:rsid w:val="00530586"/>
    <w:rsid w:val="00531DF2"/>
    <w:rsid w:val="00533CF7"/>
    <w:rsid w:val="005354A3"/>
    <w:rsid w:val="00535BB8"/>
    <w:rsid w:val="00535DF6"/>
    <w:rsid w:val="00536FA1"/>
    <w:rsid w:val="00537AB3"/>
    <w:rsid w:val="005442EE"/>
    <w:rsid w:val="00547353"/>
    <w:rsid w:val="005474E7"/>
    <w:rsid w:val="00547CFB"/>
    <w:rsid w:val="00550E8D"/>
    <w:rsid w:val="005512A3"/>
    <w:rsid w:val="0055548B"/>
    <w:rsid w:val="0055611B"/>
    <w:rsid w:val="00556C2C"/>
    <w:rsid w:val="005578CE"/>
    <w:rsid w:val="00562781"/>
    <w:rsid w:val="005633FA"/>
    <w:rsid w:val="005637A5"/>
    <w:rsid w:val="00563E83"/>
    <w:rsid w:val="00566102"/>
    <w:rsid w:val="0056662F"/>
    <w:rsid w:val="005671DC"/>
    <w:rsid w:val="005673E0"/>
    <w:rsid w:val="00571330"/>
    <w:rsid w:val="0057271C"/>
    <w:rsid w:val="00572845"/>
    <w:rsid w:val="005746AD"/>
    <w:rsid w:val="00575024"/>
    <w:rsid w:val="00583E5E"/>
    <w:rsid w:val="00584399"/>
    <w:rsid w:val="00592772"/>
    <w:rsid w:val="00594AE2"/>
    <w:rsid w:val="0059574A"/>
    <w:rsid w:val="005958BF"/>
    <w:rsid w:val="005A141C"/>
    <w:rsid w:val="005A1B9B"/>
    <w:rsid w:val="005A1D43"/>
    <w:rsid w:val="005A6751"/>
    <w:rsid w:val="005A6DEC"/>
    <w:rsid w:val="005B092E"/>
    <w:rsid w:val="005B152C"/>
    <w:rsid w:val="005B1EE0"/>
    <w:rsid w:val="005B2B24"/>
    <w:rsid w:val="005B31DF"/>
    <w:rsid w:val="005B4425"/>
    <w:rsid w:val="005B4B94"/>
    <w:rsid w:val="005B4D1A"/>
    <w:rsid w:val="005B4D2D"/>
    <w:rsid w:val="005B7DDA"/>
    <w:rsid w:val="005C3C41"/>
    <w:rsid w:val="005C3EE8"/>
    <w:rsid w:val="005D2B3D"/>
    <w:rsid w:val="005D34F9"/>
    <w:rsid w:val="005D36FC"/>
    <w:rsid w:val="005D4190"/>
    <w:rsid w:val="005D4E26"/>
    <w:rsid w:val="005D67A3"/>
    <w:rsid w:val="005D7E22"/>
    <w:rsid w:val="005E2988"/>
    <w:rsid w:val="005E2A43"/>
    <w:rsid w:val="005E3085"/>
    <w:rsid w:val="005E438A"/>
    <w:rsid w:val="005F0115"/>
    <w:rsid w:val="005F11AF"/>
    <w:rsid w:val="005F1C8A"/>
    <w:rsid w:val="005F3736"/>
    <w:rsid w:val="005F4E30"/>
    <w:rsid w:val="005F51E1"/>
    <w:rsid w:val="005F6F7B"/>
    <w:rsid w:val="00602A03"/>
    <w:rsid w:val="0060777D"/>
    <w:rsid w:val="00611665"/>
    <w:rsid w:val="00611C80"/>
    <w:rsid w:val="00612A68"/>
    <w:rsid w:val="00613192"/>
    <w:rsid w:val="006135AF"/>
    <w:rsid w:val="00616121"/>
    <w:rsid w:val="0061675B"/>
    <w:rsid w:val="00617F7F"/>
    <w:rsid w:val="00620692"/>
    <w:rsid w:val="00621AE0"/>
    <w:rsid w:val="006242CA"/>
    <w:rsid w:val="00627507"/>
    <w:rsid w:val="00633717"/>
    <w:rsid w:val="00633E63"/>
    <w:rsid w:val="00634153"/>
    <w:rsid w:val="006344E1"/>
    <w:rsid w:val="00636589"/>
    <w:rsid w:val="006371F0"/>
    <w:rsid w:val="0063774C"/>
    <w:rsid w:val="00642339"/>
    <w:rsid w:val="006427BB"/>
    <w:rsid w:val="00642843"/>
    <w:rsid w:val="00645AF3"/>
    <w:rsid w:val="006545C4"/>
    <w:rsid w:val="006577CE"/>
    <w:rsid w:val="00661971"/>
    <w:rsid w:val="00661CE8"/>
    <w:rsid w:val="006623D9"/>
    <w:rsid w:val="006629A7"/>
    <w:rsid w:val="0066407B"/>
    <w:rsid w:val="0066550C"/>
    <w:rsid w:val="006716F2"/>
    <w:rsid w:val="0067442B"/>
    <w:rsid w:val="00674A83"/>
    <w:rsid w:val="00682BF2"/>
    <w:rsid w:val="006859CE"/>
    <w:rsid w:val="00687F60"/>
    <w:rsid w:val="00691270"/>
    <w:rsid w:val="00693242"/>
    <w:rsid w:val="00694BA8"/>
    <w:rsid w:val="006A037C"/>
    <w:rsid w:val="006A2C02"/>
    <w:rsid w:val="006A36F4"/>
    <w:rsid w:val="006A406F"/>
    <w:rsid w:val="006A5D3A"/>
    <w:rsid w:val="006A6A37"/>
    <w:rsid w:val="006B7931"/>
    <w:rsid w:val="006C1F24"/>
    <w:rsid w:val="006C23D4"/>
    <w:rsid w:val="006C3DA5"/>
    <w:rsid w:val="006C47B5"/>
    <w:rsid w:val="006C4A74"/>
    <w:rsid w:val="006C7BB0"/>
    <w:rsid w:val="006C7C1E"/>
    <w:rsid w:val="006D0410"/>
    <w:rsid w:val="006D3237"/>
    <w:rsid w:val="006D6595"/>
    <w:rsid w:val="006E0A2A"/>
    <w:rsid w:val="006E2E37"/>
    <w:rsid w:val="006E3CF1"/>
    <w:rsid w:val="006E598A"/>
    <w:rsid w:val="006E7E80"/>
    <w:rsid w:val="006F1DF9"/>
    <w:rsid w:val="006F24DB"/>
    <w:rsid w:val="006F48CA"/>
    <w:rsid w:val="006F5659"/>
    <w:rsid w:val="006F64DD"/>
    <w:rsid w:val="007000A7"/>
    <w:rsid w:val="007006A3"/>
    <w:rsid w:val="00704C08"/>
    <w:rsid w:val="00714051"/>
    <w:rsid w:val="00715127"/>
    <w:rsid w:val="0071537E"/>
    <w:rsid w:val="007155A4"/>
    <w:rsid w:val="00715E8E"/>
    <w:rsid w:val="007169AF"/>
    <w:rsid w:val="00716E8D"/>
    <w:rsid w:val="00723580"/>
    <w:rsid w:val="00723755"/>
    <w:rsid w:val="00727931"/>
    <w:rsid w:val="0073136C"/>
    <w:rsid w:val="00731F0F"/>
    <w:rsid w:val="00732AF9"/>
    <w:rsid w:val="00733250"/>
    <w:rsid w:val="00734721"/>
    <w:rsid w:val="00737B81"/>
    <w:rsid w:val="00741404"/>
    <w:rsid w:val="00741A13"/>
    <w:rsid w:val="007449E5"/>
    <w:rsid w:val="00746C5A"/>
    <w:rsid w:val="00747FF0"/>
    <w:rsid w:val="007509D5"/>
    <w:rsid w:val="007519C0"/>
    <w:rsid w:val="00755353"/>
    <w:rsid w:val="00764D4E"/>
    <w:rsid w:val="00765A1F"/>
    <w:rsid w:val="0077056B"/>
    <w:rsid w:val="00774A6E"/>
    <w:rsid w:val="0077522A"/>
    <w:rsid w:val="00775B6D"/>
    <w:rsid w:val="00776D68"/>
    <w:rsid w:val="00782318"/>
    <w:rsid w:val="007824B3"/>
    <w:rsid w:val="00784497"/>
    <w:rsid w:val="007850EE"/>
    <w:rsid w:val="00785B95"/>
    <w:rsid w:val="00790E96"/>
    <w:rsid w:val="00791396"/>
    <w:rsid w:val="00791B2D"/>
    <w:rsid w:val="007925AE"/>
    <w:rsid w:val="00793076"/>
    <w:rsid w:val="00793366"/>
    <w:rsid w:val="00794051"/>
    <w:rsid w:val="00794C84"/>
    <w:rsid w:val="00795BB5"/>
    <w:rsid w:val="00795BDE"/>
    <w:rsid w:val="007971B6"/>
    <w:rsid w:val="007A346F"/>
    <w:rsid w:val="007A6A9C"/>
    <w:rsid w:val="007A716F"/>
    <w:rsid w:val="007A7780"/>
    <w:rsid w:val="007B1993"/>
    <w:rsid w:val="007B270A"/>
    <w:rsid w:val="007B4E25"/>
    <w:rsid w:val="007C0695"/>
    <w:rsid w:val="007C0A17"/>
    <w:rsid w:val="007C419A"/>
    <w:rsid w:val="007C4CC8"/>
    <w:rsid w:val="007C4E7B"/>
    <w:rsid w:val="007C5426"/>
    <w:rsid w:val="007C5798"/>
    <w:rsid w:val="007C694C"/>
    <w:rsid w:val="007D3F34"/>
    <w:rsid w:val="007D4832"/>
    <w:rsid w:val="007E21B2"/>
    <w:rsid w:val="007E2C4E"/>
    <w:rsid w:val="007E3599"/>
    <w:rsid w:val="007F1905"/>
    <w:rsid w:val="007F19F6"/>
    <w:rsid w:val="007F2B01"/>
    <w:rsid w:val="0080048F"/>
    <w:rsid w:val="00800D46"/>
    <w:rsid w:val="00801300"/>
    <w:rsid w:val="00802C64"/>
    <w:rsid w:val="00805E52"/>
    <w:rsid w:val="008061D0"/>
    <w:rsid w:val="00810B38"/>
    <w:rsid w:val="00816E42"/>
    <w:rsid w:val="008204C7"/>
    <w:rsid w:val="00820992"/>
    <w:rsid w:val="00823602"/>
    <w:rsid w:val="008255F5"/>
    <w:rsid w:val="00826C9B"/>
    <w:rsid w:val="0083014E"/>
    <w:rsid w:val="0083214A"/>
    <w:rsid w:val="00834220"/>
    <w:rsid w:val="00845723"/>
    <w:rsid w:val="008462B5"/>
    <w:rsid w:val="00851EF9"/>
    <w:rsid w:val="008577FD"/>
    <w:rsid w:val="00860B03"/>
    <w:rsid w:val="00861827"/>
    <w:rsid w:val="00861C57"/>
    <w:rsid w:val="0086497A"/>
    <w:rsid w:val="0086661D"/>
    <w:rsid w:val="008713A1"/>
    <w:rsid w:val="008754AB"/>
    <w:rsid w:val="00875FC4"/>
    <w:rsid w:val="0088060C"/>
    <w:rsid w:val="00880B07"/>
    <w:rsid w:val="00885BE7"/>
    <w:rsid w:val="00893576"/>
    <w:rsid w:val="00893E73"/>
    <w:rsid w:val="008A06FB"/>
    <w:rsid w:val="008A09DE"/>
    <w:rsid w:val="008A2F1F"/>
    <w:rsid w:val="008A43C4"/>
    <w:rsid w:val="008A501C"/>
    <w:rsid w:val="008A51CA"/>
    <w:rsid w:val="008A5D33"/>
    <w:rsid w:val="008B02DC"/>
    <w:rsid w:val="008B260E"/>
    <w:rsid w:val="008B57CE"/>
    <w:rsid w:val="008B659F"/>
    <w:rsid w:val="008C2571"/>
    <w:rsid w:val="008C26DE"/>
    <w:rsid w:val="008C657E"/>
    <w:rsid w:val="008D18CD"/>
    <w:rsid w:val="008D2225"/>
    <w:rsid w:val="008D383F"/>
    <w:rsid w:val="008D4752"/>
    <w:rsid w:val="008D552A"/>
    <w:rsid w:val="008D730E"/>
    <w:rsid w:val="008E2499"/>
    <w:rsid w:val="008E271C"/>
    <w:rsid w:val="008E272A"/>
    <w:rsid w:val="008E418E"/>
    <w:rsid w:val="008E4C79"/>
    <w:rsid w:val="008E5BC6"/>
    <w:rsid w:val="008E6A25"/>
    <w:rsid w:val="008F0622"/>
    <w:rsid w:val="008F285F"/>
    <w:rsid w:val="008F5193"/>
    <w:rsid w:val="009013A7"/>
    <w:rsid w:val="009017FB"/>
    <w:rsid w:val="009017FC"/>
    <w:rsid w:val="00903B43"/>
    <w:rsid w:val="009044F7"/>
    <w:rsid w:val="0090506B"/>
    <w:rsid w:val="009050C9"/>
    <w:rsid w:val="009066FC"/>
    <w:rsid w:val="00907DFD"/>
    <w:rsid w:val="009137EB"/>
    <w:rsid w:val="009140A3"/>
    <w:rsid w:val="009144A2"/>
    <w:rsid w:val="0091510C"/>
    <w:rsid w:val="00921467"/>
    <w:rsid w:val="009259AC"/>
    <w:rsid w:val="00926F38"/>
    <w:rsid w:val="00932541"/>
    <w:rsid w:val="00933D94"/>
    <w:rsid w:val="00934301"/>
    <w:rsid w:val="00936CD1"/>
    <w:rsid w:val="0094037E"/>
    <w:rsid w:val="00941747"/>
    <w:rsid w:val="00941EFB"/>
    <w:rsid w:val="00942D68"/>
    <w:rsid w:val="00943D86"/>
    <w:rsid w:val="00947AFB"/>
    <w:rsid w:val="00951B44"/>
    <w:rsid w:val="00951D7D"/>
    <w:rsid w:val="00952372"/>
    <w:rsid w:val="00952C12"/>
    <w:rsid w:val="0095489A"/>
    <w:rsid w:val="00957F23"/>
    <w:rsid w:val="0096078B"/>
    <w:rsid w:val="009630C7"/>
    <w:rsid w:val="0097216E"/>
    <w:rsid w:val="00972B55"/>
    <w:rsid w:val="009743B7"/>
    <w:rsid w:val="00975F22"/>
    <w:rsid w:val="0098228B"/>
    <w:rsid w:val="009828DA"/>
    <w:rsid w:val="009833A6"/>
    <w:rsid w:val="00985BAB"/>
    <w:rsid w:val="00997F03"/>
    <w:rsid w:val="009A2472"/>
    <w:rsid w:val="009A46DF"/>
    <w:rsid w:val="009A6248"/>
    <w:rsid w:val="009B1B5F"/>
    <w:rsid w:val="009B1B86"/>
    <w:rsid w:val="009B2EC2"/>
    <w:rsid w:val="009B32F2"/>
    <w:rsid w:val="009B640C"/>
    <w:rsid w:val="009B6673"/>
    <w:rsid w:val="009C0BC4"/>
    <w:rsid w:val="009C191B"/>
    <w:rsid w:val="009C2BD6"/>
    <w:rsid w:val="009C35B7"/>
    <w:rsid w:val="009D25D5"/>
    <w:rsid w:val="009D4434"/>
    <w:rsid w:val="009E1F32"/>
    <w:rsid w:val="009E5829"/>
    <w:rsid w:val="009E70A4"/>
    <w:rsid w:val="009E776C"/>
    <w:rsid w:val="009F500E"/>
    <w:rsid w:val="009F6BD9"/>
    <w:rsid w:val="00A00D35"/>
    <w:rsid w:val="00A0307B"/>
    <w:rsid w:val="00A034C9"/>
    <w:rsid w:val="00A06ED5"/>
    <w:rsid w:val="00A130B4"/>
    <w:rsid w:val="00A1492B"/>
    <w:rsid w:val="00A1726E"/>
    <w:rsid w:val="00A204CF"/>
    <w:rsid w:val="00A22FCD"/>
    <w:rsid w:val="00A23D49"/>
    <w:rsid w:val="00A262C7"/>
    <w:rsid w:val="00A26DBD"/>
    <w:rsid w:val="00A27004"/>
    <w:rsid w:val="00A3092B"/>
    <w:rsid w:val="00A30C29"/>
    <w:rsid w:val="00A3139E"/>
    <w:rsid w:val="00A33146"/>
    <w:rsid w:val="00A33D3D"/>
    <w:rsid w:val="00A34DD6"/>
    <w:rsid w:val="00A35AD2"/>
    <w:rsid w:val="00A36819"/>
    <w:rsid w:val="00A36989"/>
    <w:rsid w:val="00A37F86"/>
    <w:rsid w:val="00A41F2B"/>
    <w:rsid w:val="00A43628"/>
    <w:rsid w:val="00A46C03"/>
    <w:rsid w:val="00A4752E"/>
    <w:rsid w:val="00A50117"/>
    <w:rsid w:val="00A54192"/>
    <w:rsid w:val="00A5422B"/>
    <w:rsid w:val="00A6035E"/>
    <w:rsid w:val="00A6144C"/>
    <w:rsid w:val="00A64CB4"/>
    <w:rsid w:val="00A66617"/>
    <w:rsid w:val="00A671F8"/>
    <w:rsid w:val="00A673A4"/>
    <w:rsid w:val="00A724AE"/>
    <w:rsid w:val="00A72500"/>
    <w:rsid w:val="00A73329"/>
    <w:rsid w:val="00A74BE9"/>
    <w:rsid w:val="00A80BFF"/>
    <w:rsid w:val="00A82359"/>
    <w:rsid w:val="00A83506"/>
    <w:rsid w:val="00A865D2"/>
    <w:rsid w:val="00A92B85"/>
    <w:rsid w:val="00A94C20"/>
    <w:rsid w:val="00A9642F"/>
    <w:rsid w:val="00A96ED6"/>
    <w:rsid w:val="00AA227F"/>
    <w:rsid w:val="00AA3BC7"/>
    <w:rsid w:val="00AA4C06"/>
    <w:rsid w:val="00AA56B2"/>
    <w:rsid w:val="00AA59B7"/>
    <w:rsid w:val="00AA754A"/>
    <w:rsid w:val="00AB099E"/>
    <w:rsid w:val="00AB11FA"/>
    <w:rsid w:val="00AB3730"/>
    <w:rsid w:val="00AB3B10"/>
    <w:rsid w:val="00AB40F2"/>
    <w:rsid w:val="00AB4328"/>
    <w:rsid w:val="00AB57ED"/>
    <w:rsid w:val="00AB5FA0"/>
    <w:rsid w:val="00AC127B"/>
    <w:rsid w:val="00AC4842"/>
    <w:rsid w:val="00AD28EA"/>
    <w:rsid w:val="00AD57A1"/>
    <w:rsid w:val="00AE0A2E"/>
    <w:rsid w:val="00AE2AA9"/>
    <w:rsid w:val="00AE354C"/>
    <w:rsid w:val="00AE3C5D"/>
    <w:rsid w:val="00AE4542"/>
    <w:rsid w:val="00AE5207"/>
    <w:rsid w:val="00AE67B3"/>
    <w:rsid w:val="00AE7D3A"/>
    <w:rsid w:val="00AE7FD2"/>
    <w:rsid w:val="00AF4B07"/>
    <w:rsid w:val="00AF5F90"/>
    <w:rsid w:val="00AF6186"/>
    <w:rsid w:val="00AF7A3A"/>
    <w:rsid w:val="00B036F3"/>
    <w:rsid w:val="00B10C23"/>
    <w:rsid w:val="00B10CB7"/>
    <w:rsid w:val="00B160DB"/>
    <w:rsid w:val="00B17A64"/>
    <w:rsid w:val="00B20836"/>
    <w:rsid w:val="00B235BB"/>
    <w:rsid w:val="00B26815"/>
    <w:rsid w:val="00B27A44"/>
    <w:rsid w:val="00B27E49"/>
    <w:rsid w:val="00B30BBF"/>
    <w:rsid w:val="00B30D84"/>
    <w:rsid w:val="00B3137E"/>
    <w:rsid w:val="00B31A64"/>
    <w:rsid w:val="00B33C03"/>
    <w:rsid w:val="00B44E56"/>
    <w:rsid w:val="00B46501"/>
    <w:rsid w:val="00B46543"/>
    <w:rsid w:val="00B47D33"/>
    <w:rsid w:val="00B52BE0"/>
    <w:rsid w:val="00B54133"/>
    <w:rsid w:val="00B5428B"/>
    <w:rsid w:val="00B551A2"/>
    <w:rsid w:val="00B56F06"/>
    <w:rsid w:val="00B61CCC"/>
    <w:rsid w:val="00B637B9"/>
    <w:rsid w:val="00B66CBC"/>
    <w:rsid w:val="00B701ED"/>
    <w:rsid w:val="00B70F01"/>
    <w:rsid w:val="00B75052"/>
    <w:rsid w:val="00B8086C"/>
    <w:rsid w:val="00B861B4"/>
    <w:rsid w:val="00B86DFE"/>
    <w:rsid w:val="00B90990"/>
    <w:rsid w:val="00B922FF"/>
    <w:rsid w:val="00B92491"/>
    <w:rsid w:val="00B9281E"/>
    <w:rsid w:val="00B93925"/>
    <w:rsid w:val="00B95187"/>
    <w:rsid w:val="00B9728B"/>
    <w:rsid w:val="00BA2D55"/>
    <w:rsid w:val="00BA3151"/>
    <w:rsid w:val="00BA36AE"/>
    <w:rsid w:val="00BA71B1"/>
    <w:rsid w:val="00BB0637"/>
    <w:rsid w:val="00BB345F"/>
    <w:rsid w:val="00BB5883"/>
    <w:rsid w:val="00BB68EA"/>
    <w:rsid w:val="00BC1B10"/>
    <w:rsid w:val="00BC1C27"/>
    <w:rsid w:val="00BC5423"/>
    <w:rsid w:val="00BC5F69"/>
    <w:rsid w:val="00BC6BBF"/>
    <w:rsid w:val="00BD1572"/>
    <w:rsid w:val="00BD6191"/>
    <w:rsid w:val="00BE02BA"/>
    <w:rsid w:val="00BE14E3"/>
    <w:rsid w:val="00BE3564"/>
    <w:rsid w:val="00BE3774"/>
    <w:rsid w:val="00BE41E5"/>
    <w:rsid w:val="00BF0BBB"/>
    <w:rsid w:val="00BF211D"/>
    <w:rsid w:val="00BF4109"/>
    <w:rsid w:val="00BF4CC3"/>
    <w:rsid w:val="00C00924"/>
    <w:rsid w:val="00C01186"/>
    <w:rsid w:val="00C054C7"/>
    <w:rsid w:val="00C057B5"/>
    <w:rsid w:val="00C10B45"/>
    <w:rsid w:val="00C11097"/>
    <w:rsid w:val="00C11627"/>
    <w:rsid w:val="00C123E7"/>
    <w:rsid w:val="00C124ED"/>
    <w:rsid w:val="00C12515"/>
    <w:rsid w:val="00C13841"/>
    <w:rsid w:val="00C13B07"/>
    <w:rsid w:val="00C22687"/>
    <w:rsid w:val="00C23180"/>
    <w:rsid w:val="00C24D4A"/>
    <w:rsid w:val="00C30601"/>
    <w:rsid w:val="00C31C19"/>
    <w:rsid w:val="00C32E4D"/>
    <w:rsid w:val="00C333A0"/>
    <w:rsid w:val="00C35A8D"/>
    <w:rsid w:val="00C36A81"/>
    <w:rsid w:val="00C41974"/>
    <w:rsid w:val="00C4364A"/>
    <w:rsid w:val="00C44222"/>
    <w:rsid w:val="00C447AD"/>
    <w:rsid w:val="00C45150"/>
    <w:rsid w:val="00C53F4A"/>
    <w:rsid w:val="00C54125"/>
    <w:rsid w:val="00C54D4F"/>
    <w:rsid w:val="00C55B54"/>
    <w:rsid w:val="00C6098E"/>
    <w:rsid w:val="00C61257"/>
    <w:rsid w:val="00C6152C"/>
    <w:rsid w:val="00C621C2"/>
    <w:rsid w:val="00C65517"/>
    <w:rsid w:val="00C7349E"/>
    <w:rsid w:val="00C73DF1"/>
    <w:rsid w:val="00C74810"/>
    <w:rsid w:val="00C7489F"/>
    <w:rsid w:val="00C7515A"/>
    <w:rsid w:val="00C753D1"/>
    <w:rsid w:val="00C7744A"/>
    <w:rsid w:val="00C82EFA"/>
    <w:rsid w:val="00C83511"/>
    <w:rsid w:val="00C86BA7"/>
    <w:rsid w:val="00C86BF3"/>
    <w:rsid w:val="00C90D68"/>
    <w:rsid w:val="00C915FB"/>
    <w:rsid w:val="00C939FE"/>
    <w:rsid w:val="00C940FB"/>
    <w:rsid w:val="00CA2048"/>
    <w:rsid w:val="00CA4BDA"/>
    <w:rsid w:val="00CA68C5"/>
    <w:rsid w:val="00CB1F66"/>
    <w:rsid w:val="00CB2951"/>
    <w:rsid w:val="00CB5274"/>
    <w:rsid w:val="00CB77A7"/>
    <w:rsid w:val="00CB7A81"/>
    <w:rsid w:val="00CD2157"/>
    <w:rsid w:val="00CD282B"/>
    <w:rsid w:val="00CD397F"/>
    <w:rsid w:val="00CD4C35"/>
    <w:rsid w:val="00CD7319"/>
    <w:rsid w:val="00CD7369"/>
    <w:rsid w:val="00CE0B0E"/>
    <w:rsid w:val="00CE2F1E"/>
    <w:rsid w:val="00CE3831"/>
    <w:rsid w:val="00CE4D64"/>
    <w:rsid w:val="00CF23E6"/>
    <w:rsid w:val="00CF6D75"/>
    <w:rsid w:val="00D003E8"/>
    <w:rsid w:val="00D00ABB"/>
    <w:rsid w:val="00D02236"/>
    <w:rsid w:val="00D02EEC"/>
    <w:rsid w:val="00D03551"/>
    <w:rsid w:val="00D06A63"/>
    <w:rsid w:val="00D074C7"/>
    <w:rsid w:val="00D07E0E"/>
    <w:rsid w:val="00D11478"/>
    <w:rsid w:val="00D124DD"/>
    <w:rsid w:val="00D147D8"/>
    <w:rsid w:val="00D15ED0"/>
    <w:rsid w:val="00D21B3E"/>
    <w:rsid w:val="00D21FED"/>
    <w:rsid w:val="00D236B8"/>
    <w:rsid w:val="00D24251"/>
    <w:rsid w:val="00D24F38"/>
    <w:rsid w:val="00D26B50"/>
    <w:rsid w:val="00D33465"/>
    <w:rsid w:val="00D343E2"/>
    <w:rsid w:val="00D361A2"/>
    <w:rsid w:val="00D403BC"/>
    <w:rsid w:val="00D43641"/>
    <w:rsid w:val="00D44C2E"/>
    <w:rsid w:val="00D44C47"/>
    <w:rsid w:val="00D45414"/>
    <w:rsid w:val="00D5128D"/>
    <w:rsid w:val="00D52144"/>
    <w:rsid w:val="00D53C0F"/>
    <w:rsid w:val="00D54245"/>
    <w:rsid w:val="00D546B4"/>
    <w:rsid w:val="00D55F2A"/>
    <w:rsid w:val="00D566BD"/>
    <w:rsid w:val="00D57A4D"/>
    <w:rsid w:val="00D600D3"/>
    <w:rsid w:val="00D60376"/>
    <w:rsid w:val="00D60AA7"/>
    <w:rsid w:val="00D60D87"/>
    <w:rsid w:val="00D61B6C"/>
    <w:rsid w:val="00D6435F"/>
    <w:rsid w:val="00D6671B"/>
    <w:rsid w:val="00D6683C"/>
    <w:rsid w:val="00D66B5C"/>
    <w:rsid w:val="00D756E0"/>
    <w:rsid w:val="00D75E28"/>
    <w:rsid w:val="00D772C2"/>
    <w:rsid w:val="00D8008E"/>
    <w:rsid w:val="00D82C45"/>
    <w:rsid w:val="00D835EA"/>
    <w:rsid w:val="00D86434"/>
    <w:rsid w:val="00D8721A"/>
    <w:rsid w:val="00D9010E"/>
    <w:rsid w:val="00D908A8"/>
    <w:rsid w:val="00D94561"/>
    <w:rsid w:val="00D96578"/>
    <w:rsid w:val="00D977B6"/>
    <w:rsid w:val="00D97CB5"/>
    <w:rsid w:val="00DA2235"/>
    <w:rsid w:val="00DA2544"/>
    <w:rsid w:val="00DA2F5F"/>
    <w:rsid w:val="00DA306B"/>
    <w:rsid w:val="00DA37A8"/>
    <w:rsid w:val="00DA4A31"/>
    <w:rsid w:val="00DA5BB0"/>
    <w:rsid w:val="00DA61F2"/>
    <w:rsid w:val="00DA7B04"/>
    <w:rsid w:val="00DB36C2"/>
    <w:rsid w:val="00DB4105"/>
    <w:rsid w:val="00DB5A51"/>
    <w:rsid w:val="00DB7196"/>
    <w:rsid w:val="00DC01F3"/>
    <w:rsid w:val="00DC169B"/>
    <w:rsid w:val="00DC2AB9"/>
    <w:rsid w:val="00DC63F0"/>
    <w:rsid w:val="00DD46C4"/>
    <w:rsid w:val="00DD6EE5"/>
    <w:rsid w:val="00DE1B8E"/>
    <w:rsid w:val="00DE386C"/>
    <w:rsid w:val="00DE3C05"/>
    <w:rsid w:val="00DE3F6A"/>
    <w:rsid w:val="00DE4D35"/>
    <w:rsid w:val="00DF0549"/>
    <w:rsid w:val="00DF098B"/>
    <w:rsid w:val="00DF11C4"/>
    <w:rsid w:val="00DF210C"/>
    <w:rsid w:val="00DF2A27"/>
    <w:rsid w:val="00DF4B6A"/>
    <w:rsid w:val="00DF5529"/>
    <w:rsid w:val="00E02B4B"/>
    <w:rsid w:val="00E02C09"/>
    <w:rsid w:val="00E04D59"/>
    <w:rsid w:val="00E0579D"/>
    <w:rsid w:val="00E07DA1"/>
    <w:rsid w:val="00E122C4"/>
    <w:rsid w:val="00E123CB"/>
    <w:rsid w:val="00E1287B"/>
    <w:rsid w:val="00E1557C"/>
    <w:rsid w:val="00E16A60"/>
    <w:rsid w:val="00E20E13"/>
    <w:rsid w:val="00E21DBC"/>
    <w:rsid w:val="00E275D7"/>
    <w:rsid w:val="00E27DBE"/>
    <w:rsid w:val="00E32763"/>
    <w:rsid w:val="00E32AB1"/>
    <w:rsid w:val="00E32D20"/>
    <w:rsid w:val="00E33CBA"/>
    <w:rsid w:val="00E36C71"/>
    <w:rsid w:val="00E40404"/>
    <w:rsid w:val="00E4133A"/>
    <w:rsid w:val="00E459C6"/>
    <w:rsid w:val="00E46AD0"/>
    <w:rsid w:val="00E47589"/>
    <w:rsid w:val="00E50DA6"/>
    <w:rsid w:val="00E61590"/>
    <w:rsid w:val="00E61B90"/>
    <w:rsid w:val="00E62A33"/>
    <w:rsid w:val="00E64915"/>
    <w:rsid w:val="00E65696"/>
    <w:rsid w:val="00E661D4"/>
    <w:rsid w:val="00E70091"/>
    <w:rsid w:val="00E720F5"/>
    <w:rsid w:val="00E76D47"/>
    <w:rsid w:val="00E849F7"/>
    <w:rsid w:val="00E86FFC"/>
    <w:rsid w:val="00E90302"/>
    <w:rsid w:val="00E905A0"/>
    <w:rsid w:val="00E9597F"/>
    <w:rsid w:val="00E9678C"/>
    <w:rsid w:val="00E97396"/>
    <w:rsid w:val="00EA185E"/>
    <w:rsid w:val="00EA592A"/>
    <w:rsid w:val="00EA5F0E"/>
    <w:rsid w:val="00EA737F"/>
    <w:rsid w:val="00EB0694"/>
    <w:rsid w:val="00EB14E4"/>
    <w:rsid w:val="00EB1C6E"/>
    <w:rsid w:val="00EB32A5"/>
    <w:rsid w:val="00EB32FC"/>
    <w:rsid w:val="00EB34ED"/>
    <w:rsid w:val="00EB4678"/>
    <w:rsid w:val="00EB4C7F"/>
    <w:rsid w:val="00EB689F"/>
    <w:rsid w:val="00EB7BE0"/>
    <w:rsid w:val="00EC109A"/>
    <w:rsid w:val="00EC1FEA"/>
    <w:rsid w:val="00EC315E"/>
    <w:rsid w:val="00EC472B"/>
    <w:rsid w:val="00ED077C"/>
    <w:rsid w:val="00ED0EDC"/>
    <w:rsid w:val="00ED1190"/>
    <w:rsid w:val="00ED6544"/>
    <w:rsid w:val="00EE0277"/>
    <w:rsid w:val="00EE1DA9"/>
    <w:rsid w:val="00EE1E54"/>
    <w:rsid w:val="00EE3E00"/>
    <w:rsid w:val="00EE5DD2"/>
    <w:rsid w:val="00EE65F0"/>
    <w:rsid w:val="00EE70E7"/>
    <w:rsid w:val="00EF0073"/>
    <w:rsid w:val="00EF41F1"/>
    <w:rsid w:val="00EF429C"/>
    <w:rsid w:val="00EF4F08"/>
    <w:rsid w:val="00EF573B"/>
    <w:rsid w:val="00EF58B4"/>
    <w:rsid w:val="00F00A79"/>
    <w:rsid w:val="00F00E86"/>
    <w:rsid w:val="00F00F8B"/>
    <w:rsid w:val="00F0429B"/>
    <w:rsid w:val="00F07208"/>
    <w:rsid w:val="00F07C1E"/>
    <w:rsid w:val="00F105DB"/>
    <w:rsid w:val="00F11E54"/>
    <w:rsid w:val="00F132BC"/>
    <w:rsid w:val="00F13A30"/>
    <w:rsid w:val="00F13D80"/>
    <w:rsid w:val="00F16AAA"/>
    <w:rsid w:val="00F21161"/>
    <w:rsid w:val="00F218EF"/>
    <w:rsid w:val="00F21BC7"/>
    <w:rsid w:val="00F23843"/>
    <w:rsid w:val="00F260D4"/>
    <w:rsid w:val="00F266A2"/>
    <w:rsid w:val="00F32269"/>
    <w:rsid w:val="00F32C6C"/>
    <w:rsid w:val="00F34274"/>
    <w:rsid w:val="00F368FC"/>
    <w:rsid w:val="00F36CD9"/>
    <w:rsid w:val="00F3788C"/>
    <w:rsid w:val="00F4421F"/>
    <w:rsid w:val="00F4457E"/>
    <w:rsid w:val="00F46C0F"/>
    <w:rsid w:val="00F56A6F"/>
    <w:rsid w:val="00F5709C"/>
    <w:rsid w:val="00F6457C"/>
    <w:rsid w:val="00F64EF1"/>
    <w:rsid w:val="00F65B28"/>
    <w:rsid w:val="00F740E1"/>
    <w:rsid w:val="00F74574"/>
    <w:rsid w:val="00F810CC"/>
    <w:rsid w:val="00F81B67"/>
    <w:rsid w:val="00F84526"/>
    <w:rsid w:val="00F8765F"/>
    <w:rsid w:val="00F90767"/>
    <w:rsid w:val="00F961B5"/>
    <w:rsid w:val="00F9629D"/>
    <w:rsid w:val="00FA652D"/>
    <w:rsid w:val="00FA656A"/>
    <w:rsid w:val="00FA685B"/>
    <w:rsid w:val="00FB0C01"/>
    <w:rsid w:val="00FB0C74"/>
    <w:rsid w:val="00FB5A8E"/>
    <w:rsid w:val="00FC18F2"/>
    <w:rsid w:val="00FC39E5"/>
    <w:rsid w:val="00FC3A78"/>
    <w:rsid w:val="00FC48E4"/>
    <w:rsid w:val="00FC5FFE"/>
    <w:rsid w:val="00FC75E9"/>
    <w:rsid w:val="00FD1005"/>
    <w:rsid w:val="00FD16C1"/>
    <w:rsid w:val="00FD3180"/>
    <w:rsid w:val="00FD6548"/>
    <w:rsid w:val="00FD6C75"/>
    <w:rsid w:val="00FE09DA"/>
    <w:rsid w:val="00FE3658"/>
    <w:rsid w:val="00FE6B8A"/>
    <w:rsid w:val="00FE71B3"/>
    <w:rsid w:val="00FF2AC9"/>
    <w:rsid w:val="00FF42C5"/>
    <w:rsid w:val="00FF54EF"/>
    <w:rsid w:val="00FF621B"/>
    <w:rsid w:val="00FF70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7515A"/>
    <w:pPr>
      <w:jc w:val="both"/>
    </w:pPr>
    <w:rPr>
      <w:rFonts w:eastAsiaTheme="minorEastAsia"/>
      <w:sz w:val="24"/>
      <w:lang w:val="en-GB"/>
    </w:rPr>
  </w:style>
  <w:style w:type="paragraph" w:styleId="Heading1">
    <w:name w:val="heading 1"/>
    <w:basedOn w:val="Normal"/>
    <w:next w:val="Normal"/>
    <w:link w:val="Heading1Char"/>
    <w:uiPriority w:val="99"/>
    <w:semiHidden/>
    <w:rsid w:val="00C7515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C7515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C7515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C7515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A00D35"/>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C751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A00D35"/>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A00D35"/>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A00D35"/>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515A"/>
    <w:rPr>
      <w:rFonts w:ascii="Tahoma" w:hAnsi="Tahoma" w:cs="Tahoma"/>
      <w:sz w:val="16"/>
      <w:szCs w:val="16"/>
    </w:rPr>
  </w:style>
  <w:style w:type="character" w:customStyle="1" w:styleId="BalloonTextChar">
    <w:name w:val="Balloon Text Char"/>
    <w:basedOn w:val="DefaultParagraphFont"/>
    <w:link w:val="BalloonText"/>
    <w:uiPriority w:val="99"/>
    <w:semiHidden/>
    <w:rsid w:val="00C7515A"/>
    <w:rPr>
      <w:rFonts w:ascii="Tahoma" w:eastAsiaTheme="minorEastAsia" w:hAnsi="Tahoma" w:cs="Tahoma"/>
      <w:sz w:val="16"/>
      <w:szCs w:val="16"/>
      <w:lang w:val="en-GB"/>
    </w:rPr>
  </w:style>
  <w:style w:type="character" w:styleId="BookTitle">
    <w:name w:val="Book Title"/>
    <w:uiPriority w:val="99"/>
    <w:semiHidden/>
    <w:qFormat/>
    <w:rsid w:val="00A00D35"/>
    <w:rPr>
      <w:i/>
      <w:iCs/>
      <w:smallCaps/>
      <w:spacing w:val="5"/>
    </w:rPr>
  </w:style>
  <w:style w:type="paragraph" w:customStyle="1" w:styleId="ECHRHeader">
    <w:name w:val="ECHR_Header"/>
    <w:aliases w:val="Ju_Header"/>
    <w:basedOn w:val="Header"/>
    <w:uiPriority w:val="4"/>
    <w:qFormat/>
    <w:rsid w:val="00A00D35"/>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C7515A"/>
    <w:pPr>
      <w:jc w:val="left"/>
    </w:pPr>
    <w:rPr>
      <w:sz w:val="8"/>
    </w:rPr>
  </w:style>
  <w:style w:type="character" w:styleId="Strong">
    <w:name w:val="Strong"/>
    <w:uiPriority w:val="99"/>
    <w:semiHidden/>
    <w:qFormat/>
    <w:rsid w:val="00A00D35"/>
    <w:rPr>
      <w:b/>
      <w:bCs/>
    </w:rPr>
  </w:style>
  <w:style w:type="paragraph" w:styleId="NoSpacing">
    <w:name w:val="No Spacing"/>
    <w:basedOn w:val="Normal"/>
    <w:link w:val="NoSpacingChar"/>
    <w:semiHidden/>
    <w:qFormat/>
    <w:rsid w:val="00A00D35"/>
    <w:rPr>
      <w:sz w:val="22"/>
      <w:lang w:val="en-US"/>
    </w:rPr>
  </w:style>
  <w:style w:type="character" w:customStyle="1" w:styleId="NoSpacingChar">
    <w:name w:val="No Spacing Char"/>
    <w:basedOn w:val="DefaultParagraphFont"/>
    <w:link w:val="NoSpacing"/>
    <w:semiHidden/>
    <w:rsid w:val="00A00D35"/>
    <w:rPr>
      <w:rFonts w:eastAsiaTheme="minorEastAsia"/>
    </w:rPr>
  </w:style>
  <w:style w:type="paragraph" w:customStyle="1" w:styleId="ECHRFooterLine">
    <w:name w:val="ECHR_Footer_Line"/>
    <w:aliases w:val="Footer_Line"/>
    <w:basedOn w:val="Normal"/>
    <w:next w:val="ECHRFooter"/>
    <w:uiPriority w:val="57"/>
    <w:semiHidden/>
    <w:rsid w:val="00C7515A"/>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qFormat/>
    <w:rsid w:val="00A00D35"/>
    <w:pPr>
      <w:numPr>
        <w:numId w:val="26"/>
      </w:numPr>
      <w:jc w:val="left"/>
    </w:pPr>
    <w:rPr>
      <w:b/>
    </w:rPr>
  </w:style>
  <w:style w:type="paragraph" w:customStyle="1" w:styleId="OpiPara">
    <w:name w:val="Opi_Para"/>
    <w:basedOn w:val="ECHRPara"/>
    <w:uiPriority w:val="46"/>
    <w:qFormat/>
    <w:rsid w:val="00A00D35"/>
  </w:style>
  <w:style w:type="paragraph" w:customStyle="1" w:styleId="JuParaSub">
    <w:name w:val="Ju_Para_Sub"/>
    <w:basedOn w:val="ECHRPara"/>
    <w:uiPriority w:val="13"/>
    <w:qFormat/>
    <w:rsid w:val="00A00D35"/>
    <w:pPr>
      <w:ind w:left="284"/>
    </w:pPr>
  </w:style>
  <w:style w:type="paragraph" w:customStyle="1" w:styleId="ECHRTitleCentre3">
    <w:name w:val="ECHR_Title_Centre_3"/>
    <w:aliases w:val="Ju_H_Article"/>
    <w:basedOn w:val="Normal"/>
    <w:next w:val="ECHRParaQuote"/>
    <w:uiPriority w:val="27"/>
    <w:qFormat/>
    <w:rsid w:val="00A00D3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A00D35"/>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A00D35"/>
  </w:style>
  <w:style w:type="paragraph" w:customStyle="1" w:styleId="OpiQuot">
    <w:name w:val="Opi_Quot"/>
    <w:basedOn w:val="ECHRParaQuote"/>
    <w:uiPriority w:val="48"/>
    <w:qFormat/>
    <w:rsid w:val="00A00D35"/>
  </w:style>
  <w:style w:type="paragraph" w:customStyle="1" w:styleId="JuHeaderLandscape">
    <w:name w:val="Ju_Header_Landscape"/>
    <w:basedOn w:val="ECHRHeader"/>
    <w:uiPriority w:val="4"/>
    <w:qFormat/>
    <w:rsid w:val="00A00D35"/>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A00D35"/>
    <w:pPr>
      <w:spacing w:after="240"/>
      <w:jc w:val="center"/>
      <w:outlineLvl w:val="0"/>
    </w:pPr>
    <w:rPr>
      <w:rFonts w:asciiTheme="majorHAnsi" w:hAnsiTheme="majorHAnsi"/>
    </w:rPr>
  </w:style>
  <w:style w:type="paragraph" w:customStyle="1" w:styleId="OpiQuotSub">
    <w:name w:val="Opi_Quot_Sub"/>
    <w:basedOn w:val="JuQuotSub"/>
    <w:uiPriority w:val="49"/>
    <w:qFormat/>
    <w:rsid w:val="00A00D35"/>
  </w:style>
  <w:style w:type="paragraph" w:styleId="Title">
    <w:name w:val="Title"/>
    <w:basedOn w:val="Normal"/>
    <w:next w:val="Normal"/>
    <w:link w:val="TitleChar"/>
    <w:uiPriority w:val="99"/>
    <w:semiHidden/>
    <w:qFormat/>
    <w:rsid w:val="00A00D35"/>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A00D35"/>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A00D35"/>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A00D3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A00D35"/>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A00D35"/>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A00D35"/>
    <w:pPr>
      <w:keepNext/>
      <w:keepLines/>
      <w:spacing w:before="240" w:after="120"/>
      <w:ind w:left="1236"/>
    </w:pPr>
    <w:rPr>
      <w:sz w:val="20"/>
      <w:lang w:val="en-GB"/>
    </w:rPr>
  </w:style>
  <w:style w:type="paragraph" w:customStyle="1" w:styleId="JuTitle">
    <w:name w:val="Ju_Title"/>
    <w:basedOn w:val="Normal"/>
    <w:next w:val="ECHRPara"/>
    <w:uiPriority w:val="3"/>
    <w:semiHidden/>
    <w:qFormat/>
    <w:rsid w:val="00A00D35"/>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A00D35"/>
    <w:pPr>
      <w:ind w:left="567"/>
    </w:pPr>
  </w:style>
  <w:style w:type="paragraph" w:customStyle="1" w:styleId="JuInitialled">
    <w:name w:val="Ju_Initialled"/>
    <w:basedOn w:val="Normal"/>
    <w:uiPriority w:val="31"/>
    <w:qFormat/>
    <w:rsid w:val="00A00D35"/>
    <w:pPr>
      <w:tabs>
        <w:tab w:val="center" w:pos="6407"/>
      </w:tabs>
      <w:spacing w:before="720"/>
      <w:jc w:val="right"/>
    </w:pPr>
  </w:style>
  <w:style w:type="paragraph" w:styleId="Header">
    <w:name w:val="header"/>
    <w:basedOn w:val="Normal"/>
    <w:link w:val="HeaderChar"/>
    <w:uiPriority w:val="48"/>
    <w:rsid w:val="00C7515A"/>
    <w:pPr>
      <w:tabs>
        <w:tab w:val="center" w:pos="4536"/>
        <w:tab w:val="right" w:pos="9072"/>
      </w:tabs>
    </w:pPr>
    <w:rPr>
      <w:rFonts w:eastAsiaTheme="minorHAnsi"/>
    </w:rPr>
  </w:style>
  <w:style w:type="character" w:customStyle="1" w:styleId="HeaderChar">
    <w:name w:val="Header Char"/>
    <w:basedOn w:val="DefaultParagraphFont"/>
    <w:link w:val="Header"/>
    <w:uiPriority w:val="48"/>
    <w:rsid w:val="00C7515A"/>
    <w:rPr>
      <w:sz w:val="24"/>
      <w:lang w:val="en-GB"/>
    </w:rPr>
  </w:style>
  <w:style w:type="character" w:customStyle="1" w:styleId="Heading1Char">
    <w:name w:val="Heading 1 Char"/>
    <w:basedOn w:val="DefaultParagraphFont"/>
    <w:link w:val="Heading1"/>
    <w:uiPriority w:val="99"/>
    <w:semiHidden/>
    <w:rsid w:val="00C7515A"/>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A00D3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A00D35"/>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C7515A"/>
    <w:rPr>
      <w:rFonts w:asciiTheme="majorHAnsi" w:eastAsiaTheme="majorEastAsia" w:hAnsiTheme="majorHAnsi" w:cstheme="majorBidi"/>
      <w:b/>
      <w:bCs/>
      <w:color w:val="4D4D4D"/>
      <w:sz w:val="26"/>
      <w:szCs w:val="26"/>
      <w:lang w:val="en-GB"/>
    </w:rPr>
  </w:style>
  <w:style w:type="paragraph" w:customStyle="1" w:styleId="OpiHA">
    <w:name w:val="Opi_H_A"/>
    <w:basedOn w:val="ECHRHeading1"/>
    <w:next w:val="OpiPara"/>
    <w:uiPriority w:val="41"/>
    <w:qFormat/>
    <w:rsid w:val="00A00D35"/>
    <w:pPr>
      <w:tabs>
        <w:tab w:val="clear" w:pos="357"/>
      </w:tabs>
      <w:outlineLvl w:val="1"/>
    </w:pPr>
    <w:rPr>
      <w:b/>
    </w:rPr>
  </w:style>
  <w:style w:type="paragraph" w:customStyle="1" w:styleId="JuCase">
    <w:name w:val="Ju_Case"/>
    <w:basedOn w:val="Normal"/>
    <w:next w:val="ECHRPara"/>
    <w:uiPriority w:val="10"/>
    <w:rsid w:val="00C7515A"/>
    <w:pPr>
      <w:ind w:firstLine="284"/>
    </w:pPr>
    <w:rPr>
      <w:b/>
    </w:rPr>
  </w:style>
  <w:style w:type="character" w:customStyle="1" w:styleId="Heading3Char">
    <w:name w:val="Heading 3 Char"/>
    <w:basedOn w:val="DefaultParagraphFont"/>
    <w:link w:val="Heading3"/>
    <w:uiPriority w:val="99"/>
    <w:semiHidden/>
    <w:rsid w:val="00C7515A"/>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C7515A"/>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A00D35"/>
    <w:rPr>
      <w:rFonts w:asciiTheme="majorHAnsi" w:eastAsiaTheme="majorEastAsia" w:hAnsiTheme="majorHAnsi" w:cstheme="majorBidi"/>
      <w:b/>
      <w:bCs/>
      <w:color w:val="808080"/>
    </w:rPr>
  </w:style>
  <w:style w:type="character" w:styleId="SubtleEmphasis">
    <w:name w:val="Subtle Emphasis"/>
    <w:uiPriority w:val="99"/>
    <w:semiHidden/>
    <w:qFormat/>
    <w:rsid w:val="00A00D35"/>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A00D35"/>
    <w:pPr>
      <w:keepNext/>
      <w:keepLines/>
      <w:spacing w:before="720" w:after="240"/>
      <w:outlineLvl w:val="0"/>
    </w:pPr>
    <w:rPr>
      <w:rFonts w:asciiTheme="majorHAnsi" w:hAnsiTheme="majorHAnsi"/>
      <w:sz w:val="28"/>
    </w:rPr>
  </w:style>
  <w:style w:type="character" w:styleId="Emphasis">
    <w:name w:val="Emphasis"/>
    <w:uiPriority w:val="99"/>
    <w:semiHidden/>
    <w:qFormat/>
    <w:rsid w:val="00A00D35"/>
    <w:rPr>
      <w:b/>
      <w:bCs/>
      <w:i/>
      <w:iCs/>
      <w:spacing w:val="10"/>
      <w:bdr w:val="none" w:sz="0" w:space="0" w:color="auto"/>
      <w:shd w:val="clear" w:color="auto" w:fill="auto"/>
    </w:rPr>
  </w:style>
  <w:style w:type="paragraph" w:styleId="Footer">
    <w:name w:val="footer"/>
    <w:basedOn w:val="Normal"/>
    <w:link w:val="FooterChar"/>
    <w:uiPriority w:val="57"/>
    <w:semiHidden/>
    <w:rsid w:val="00C7515A"/>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C7515A"/>
    <w:rPr>
      <w:sz w:val="24"/>
      <w:lang w:val="en-GB"/>
    </w:rPr>
  </w:style>
  <w:style w:type="character" w:styleId="FootnoteReference">
    <w:name w:val="footnote reference"/>
    <w:basedOn w:val="DefaultParagraphFont"/>
    <w:uiPriority w:val="99"/>
    <w:semiHidden/>
    <w:rsid w:val="00C7515A"/>
    <w:rPr>
      <w:vertAlign w:val="superscript"/>
    </w:rPr>
  </w:style>
  <w:style w:type="paragraph" w:styleId="FootnoteText">
    <w:name w:val="footnote text"/>
    <w:basedOn w:val="Normal"/>
    <w:link w:val="FootnoteTextChar"/>
    <w:uiPriority w:val="99"/>
    <w:semiHidden/>
    <w:rsid w:val="00C7515A"/>
    <w:rPr>
      <w:sz w:val="20"/>
      <w:szCs w:val="20"/>
    </w:rPr>
  </w:style>
  <w:style w:type="character" w:customStyle="1" w:styleId="FootnoteTextChar">
    <w:name w:val="Footnote Text Char"/>
    <w:basedOn w:val="DefaultParagraphFont"/>
    <w:link w:val="FootnoteText"/>
    <w:uiPriority w:val="99"/>
    <w:semiHidden/>
    <w:rsid w:val="00C7515A"/>
    <w:rPr>
      <w:rFonts w:eastAsiaTheme="minorEastAsia"/>
      <w:sz w:val="20"/>
      <w:szCs w:val="20"/>
      <w:lang w:val="en-GB"/>
    </w:rPr>
  </w:style>
  <w:style w:type="character" w:customStyle="1" w:styleId="Heading6Char">
    <w:name w:val="Heading 6 Char"/>
    <w:basedOn w:val="DefaultParagraphFont"/>
    <w:link w:val="Heading6"/>
    <w:uiPriority w:val="99"/>
    <w:semiHidden/>
    <w:rsid w:val="00C7515A"/>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A00D3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00D3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00D35"/>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C7515A"/>
    <w:rPr>
      <w:color w:val="0072BC" w:themeColor="hyperlink"/>
      <w:u w:val="single"/>
    </w:rPr>
  </w:style>
  <w:style w:type="character" w:styleId="IntenseEmphasis">
    <w:name w:val="Intense Emphasis"/>
    <w:uiPriority w:val="99"/>
    <w:semiHidden/>
    <w:qFormat/>
    <w:rsid w:val="00A00D35"/>
    <w:rPr>
      <w:b/>
      <w:bCs/>
    </w:rPr>
  </w:style>
  <w:style w:type="paragraph" w:styleId="IntenseQuote">
    <w:name w:val="Intense Quote"/>
    <w:basedOn w:val="Normal"/>
    <w:next w:val="Normal"/>
    <w:link w:val="IntenseQuoteChar"/>
    <w:uiPriority w:val="99"/>
    <w:semiHidden/>
    <w:qFormat/>
    <w:rsid w:val="00A00D35"/>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A00D35"/>
    <w:rPr>
      <w:rFonts w:eastAsiaTheme="minorEastAsia"/>
      <w:b/>
      <w:bCs/>
      <w:i/>
      <w:iCs/>
      <w:lang w:bidi="en-US"/>
    </w:rPr>
  </w:style>
  <w:style w:type="character" w:styleId="IntenseReference">
    <w:name w:val="Intense Reference"/>
    <w:uiPriority w:val="99"/>
    <w:semiHidden/>
    <w:qFormat/>
    <w:rsid w:val="00A00D35"/>
    <w:rPr>
      <w:smallCaps/>
      <w:spacing w:val="5"/>
      <w:u w:val="single"/>
    </w:rPr>
  </w:style>
  <w:style w:type="paragraph" w:styleId="ListParagraph">
    <w:name w:val="List Paragraph"/>
    <w:basedOn w:val="Normal"/>
    <w:uiPriority w:val="99"/>
    <w:semiHidden/>
    <w:qFormat/>
    <w:rsid w:val="00A00D35"/>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A00D35"/>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A00D35"/>
    <w:rPr>
      <w:rFonts w:eastAsiaTheme="minorEastAsia"/>
      <w:i/>
      <w:iCs/>
      <w:lang w:bidi="en-US"/>
    </w:rPr>
  </w:style>
  <w:style w:type="character" w:styleId="SubtleReference">
    <w:name w:val="Subtle Reference"/>
    <w:uiPriority w:val="99"/>
    <w:semiHidden/>
    <w:qFormat/>
    <w:rsid w:val="00A00D35"/>
    <w:rPr>
      <w:smallCaps/>
    </w:rPr>
  </w:style>
  <w:style w:type="table" w:styleId="TableGrid">
    <w:name w:val="Table Grid"/>
    <w:basedOn w:val="TableNormal"/>
    <w:uiPriority w:val="59"/>
    <w:semiHidden/>
    <w:rsid w:val="00C751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C7515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C7515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C7515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C7515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C7515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A00D35"/>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751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A00D35"/>
    <w:pPr>
      <w:spacing w:before="120" w:after="120"/>
      <w:ind w:left="425" w:firstLine="142"/>
    </w:pPr>
    <w:rPr>
      <w:sz w:val="20"/>
    </w:rPr>
  </w:style>
  <w:style w:type="paragraph" w:customStyle="1" w:styleId="ECHRPara">
    <w:name w:val="ECHR_Para"/>
    <w:aliases w:val="Ju_Para"/>
    <w:basedOn w:val="Normal"/>
    <w:link w:val="ECHRParaChar"/>
    <w:uiPriority w:val="12"/>
    <w:qFormat/>
    <w:rsid w:val="00A00D35"/>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C7515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A00D35"/>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A00D35"/>
    <w:pPr>
      <w:ind w:left="340" w:hanging="340"/>
    </w:pPr>
  </w:style>
  <w:style w:type="paragraph" w:customStyle="1" w:styleId="JuSigned">
    <w:name w:val="Ju_Signed"/>
    <w:basedOn w:val="Normal"/>
    <w:next w:val="JuParaLast"/>
    <w:uiPriority w:val="32"/>
    <w:qFormat/>
    <w:rsid w:val="00A00D35"/>
    <w:pPr>
      <w:tabs>
        <w:tab w:val="center" w:pos="851"/>
        <w:tab w:val="center" w:pos="6407"/>
      </w:tabs>
      <w:spacing w:before="720"/>
      <w:jc w:val="left"/>
    </w:pPr>
  </w:style>
  <w:style w:type="paragraph" w:customStyle="1" w:styleId="JuParaLast">
    <w:name w:val="Ju_Para_Last"/>
    <w:basedOn w:val="Normal"/>
    <w:next w:val="ECHRPara"/>
    <w:uiPriority w:val="30"/>
    <w:qFormat/>
    <w:rsid w:val="00A00D35"/>
    <w:pPr>
      <w:keepNext/>
      <w:keepLines/>
      <w:spacing w:before="240"/>
      <w:ind w:firstLine="284"/>
    </w:pPr>
  </w:style>
  <w:style w:type="character" w:customStyle="1" w:styleId="JUNAMES">
    <w:name w:val="JU_NAMES"/>
    <w:uiPriority w:val="17"/>
    <w:qFormat/>
    <w:rsid w:val="00A00D35"/>
    <w:rPr>
      <w:caps w:val="0"/>
      <w:smallCap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A00D35"/>
    <w:pPr>
      <w:ind w:left="346" w:firstLine="0"/>
    </w:pPr>
  </w:style>
  <w:style w:type="paragraph" w:customStyle="1" w:styleId="OpiTranslation">
    <w:name w:val="Opi_Translation"/>
    <w:basedOn w:val="Normal"/>
    <w:next w:val="OpiPara"/>
    <w:uiPriority w:val="40"/>
    <w:qFormat/>
    <w:rsid w:val="00A00D35"/>
    <w:pPr>
      <w:jc w:val="center"/>
      <w:outlineLvl w:val="0"/>
    </w:pPr>
    <w:rPr>
      <w:i/>
    </w:r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C7515A"/>
    <w:rPr>
      <w:vertAlign w:val="superscript"/>
    </w:rPr>
  </w:style>
  <w:style w:type="paragraph" w:styleId="EndnoteText">
    <w:name w:val="endnote text"/>
    <w:basedOn w:val="Normal"/>
    <w:link w:val="EndnoteTextChar"/>
    <w:uiPriority w:val="99"/>
    <w:semiHidden/>
    <w:rsid w:val="00C7515A"/>
    <w:rPr>
      <w:sz w:val="20"/>
      <w:szCs w:val="20"/>
    </w:rPr>
  </w:style>
  <w:style w:type="character" w:customStyle="1" w:styleId="EndnoteTextChar">
    <w:name w:val="Endnote Text Char"/>
    <w:basedOn w:val="DefaultParagraphFont"/>
    <w:link w:val="EndnoteText"/>
    <w:uiPriority w:val="99"/>
    <w:semiHidden/>
    <w:rsid w:val="00C7515A"/>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DecHTitle">
    <w:name w:val="Dec_H_Title"/>
    <w:basedOn w:val="ECHRTitleCentre1"/>
    <w:uiPriority w:val="7"/>
    <w:semiHidden/>
    <w:qFormat/>
    <w:rsid w:val="00A00D35"/>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A00D35"/>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A00D35"/>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A00D35"/>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C7515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C7515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C7515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A00D35"/>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semiHidden/>
    <w:qFormat/>
    <w:rsid w:val="00A00D35"/>
    <w:pPr>
      <w:spacing w:before="240"/>
      <w:ind w:left="284"/>
    </w:pPr>
  </w:style>
  <w:style w:type="paragraph" w:customStyle="1" w:styleId="JuListi">
    <w:name w:val="Ju_List_i"/>
    <w:basedOn w:val="Normal"/>
    <w:next w:val="JuLista"/>
    <w:uiPriority w:val="28"/>
    <w:qFormat/>
    <w:rsid w:val="00A00D35"/>
    <w:pPr>
      <w:ind w:left="794"/>
    </w:pPr>
  </w:style>
  <w:style w:type="paragraph" w:customStyle="1" w:styleId="OpiH1">
    <w:name w:val="Opi_H_1"/>
    <w:basedOn w:val="ECHRHeading2"/>
    <w:uiPriority w:val="42"/>
    <w:qFormat/>
    <w:rsid w:val="00A00D35"/>
    <w:pPr>
      <w:ind w:left="635" w:hanging="357"/>
      <w:outlineLvl w:val="2"/>
    </w:pPr>
  </w:style>
  <w:style w:type="paragraph" w:customStyle="1" w:styleId="OpiHa0">
    <w:name w:val="Opi_H_a"/>
    <w:basedOn w:val="ECHRHeading3"/>
    <w:uiPriority w:val="43"/>
    <w:qFormat/>
    <w:rsid w:val="00A00D35"/>
    <w:pPr>
      <w:ind w:left="833" w:hanging="357"/>
      <w:outlineLvl w:val="3"/>
    </w:pPr>
    <w:rPr>
      <w:b/>
      <w:i w:val="0"/>
      <w:sz w:val="20"/>
    </w:rPr>
  </w:style>
  <w:style w:type="paragraph" w:customStyle="1" w:styleId="OpiHi">
    <w:name w:val="Opi_H_i"/>
    <w:basedOn w:val="ECHRHeading4"/>
    <w:uiPriority w:val="44"/>
    <w:qFormat/>
    <w:rsid w:val="00A00D35"/>
    <w:pPr>
      <w:ind w:left="1037" w:hanging="357"/>
      <w:outlineLvl w:val="4"/>
    </w:pPr>
    <w:rPr>
      <w:b w:val="0"/>
      <w:i/>
    </w:rPr>
  </w:style>
  <w:style w:type="paragraph" w:customStyle="1" w:styleId="DummyStyle">
    <w:name w:val="Dummy_Style"/>
    <w:basedOn w:val="Normal"/>
    <w:semiHidden/>
    <w:qFormat/>
    <w:rsid w:val="00A00D35"/>
    <w:rPr>
      <w:color w:val="00B050"/>
    </w:rPr>
  </w:style>
  <w:style w:type="character" w:customStyle="1" w:styleId="ECHRParaChar">
    <w:name w:val="ECHR_Para Char"/>
    <w:aliases w:val="Ju_Para Char"/>
    <w:link w:val="ECHRPara"/>
    <w:uiPriority w:val="12"/>
    <w:rsid w:val="00153C0F"/>
    <w:rPr>
      <w:rFonts w:eastAsiaTheme="minorEastAsia"/>
      <w:sz w:val="24"/>
      <w:lang w:val="en-GB"/>
    </w:rPr>
  </w:style>
  <w:style w:type="paragraph" w:styleId="Revision">
    <w:name w:val="Revision"/>
    <w:hidden/>
    <w:uiPriority w:val="99"/>
    <w:semiHidden/>
    <w:rsid w:val="00020526"/>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4734">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932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DF6D5-BF4E-4F11-8CD3-ADF524940954}"/>
</file>

<file path=customXml/itemProps2.xml><?xml version="1.0" encoding="utf-8"?>
<ds:datastoreItem xmlns:ds="http://schemas.openxmlformats.org/officeDocument/2006/customXml" ds:itemID="{A9CE14A3-4A40-47F4-A857-0DB1669E4CEB}"/>
</file>

<file path=customXml/itemProps3.xml><?xml version="1.0" encoding="utf-8"?>
<ds:datastoreItem xmlns:ds="http://schemas.openxmlformats.org/officeDocument/2006/customXml" ds:itemID="{9C1594C5-91EB-46EA-8C26-1D82DB51AA32}"/>
</file>

<file path=customXml/itemProps4.xml><?xml version="1.0" encoding="utf-8"?>
<ds:datastoreItem xmlns:ds="http://schemas.openxmlformats.org/officeDocument/2006/customXml" ds:itemID="{A8A73EBE-900D-41C6-BE98-C9532FB7FFB5}"/>
</file>

<file path=docProps/app.xml><?xml version="1.0" encoding="utf-8"?>
<Properties xmlns="http://schemas.openxmlformats.org/officeDocument/2006/extended-properties" xmlns:vt="http://schemas.openxmlformats.org/officeDocument/2006/docPropsVTypes">
  <Template>Normal.dotm</Template>
  <TotalTime>0</TotalTime>
  <Pages>1</Pages>
  <Words>4310</Words>
  <Characters>24571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2019-07-09T07:50:00Z</dcterms:created>
  <dcterms:modified xsi:type="dcterms:W3CDTF">2019-07-09T07:50:00Z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12018/16</vt:lpwstr>
  </property>
  <property fmtid="{D5CDD505-2E9C-101B-9397-08002B2CF9AE}" pid="4" name="CASEID">
    <vt:lpwstr>1185516</vt:lpwstr>
  </property>
  <property fmtid="{D5CDD505-2E9C-101B-9397-08002B2CF9AE}" pid="5" name="ContentTypeId">
    <vt:lpwstr>0x010100558EB02BDB9E204AB350EDD385B68E10</vt:lpwstr>
  </property>
</Properties>
</file>