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8.xml" ContentType="application/vnd.openxmlformats-officedocument.wordprocessingml.header+xml"/>
  <Override PartName="/word/footer1.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7.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2A3213" w:rsidR="00D420F3" w:rsidP="002A3213" w:rsidRDefault="00D420F3">
      <w:pPr>
        <w:jc w:val="center"/>
      </w:pPr>
      <w:bookmarkStart w:name="_GoBack" w:id="0"/>
      <w:bookmarkEnd w:id="0"/>
    </w:p>
    <w:p w:rsidRPr="002A3213" w:rsidR="00D60D6A" w:rsidP="002A3213" w:rsidRDefault="00D60D6A">
      <w:pPr>
        <w:jc w:val="center"/>
      </w:pPr>
    </w:p>
    <w:p w:rsidRPr="002A3213" w:rsidR="00D60D6A" w:rsidP="002A3213" w:rsidRDefault="00D60D6A">
      <w:pPr>
        <w:jc w:val="center"/>
      </w:pPr>
    </w:p>
    <w:p w:rsidRPr="002A3213" w:rsidR="00D420F3" w:rsidP="002A3213" w:rsidRDefault="002A479E">
      <w:pPr>
        <w:jc w:val="center"/>
      </w:pPr>
      <w:r w:rsidRPr="002A3213">
        <w:t xml:space="preserve">FORMER </w:t>
      </w:r>
      <w:r w:rsidRPr="002A3213" w:rsidR="00961FF4">
        <w:t>THIRD SECTION</w:t>
      </w:r>
    </w:p>
    <w:p w:rsidRPr="002A3213" w:rsidR="00D420F3" w:rsidP="002A3213" w:rsidRDefault="00D420F3">
      <w:pPr>
        <w:jc w:val="center"/>
      </w:pPr>
    </w:p>
    <w:p w:rsidRPr="002A3213" w:rsidR="00D60D6A" w:rsidP="002A3213" w:rsidRDefault="00D60D6A">
      <w:pPr>
        <w:jc w:val="center"/>
      </w:pPr>
    </w:p>
    <w:p w:rsidRPr="002A3213" w:rsidR="00D60D6A" w:rsidP="002A3213" w:rsidRDefault="00D60D6A">
      <w:pPr>
        <w:jc w:val="center"/>
      </w:pPr>
    </w:p>
    <w:p w:rsidRPr="002A3213" w:rsidR="005B7A4B" w:rsidP="002A3213" w:rsidRDefault="005B7A4B">
      <w:pPr>
        <w:jc w:val="center"/>
      </w:pPr>
    </w:p>
    <w:p w:rsidRPr="002A3213" w:rsidR="00D60D6A" w:rsidP="002A3213" w:rsidRDefault="00D60D6A">
      <w:pPr>
        <w:jc w:val="center"/>
      </w:pPr>
    </w:p>
    <w:p w:rsidRPr="002A3213" w:rsidR="00D60D6A" w:rsidP="002A3213" w:rsidRDefault="00D60D6A">
      <w:pPr>
        <w:jc w:val="center"/>
      </w:pPr>
    </w:p>
    <w:p w:rsidRPr="002A3213" w:rsidR="00D60D6A" w:rsidP="002A3213" w:rsidRDefault="00D60D6A">
      <w:pPr>
        <w:jc w:val="center"/>
      </w:pPr>
    </w:p>
    <w:p w:rsidRPr="002A3213" w:rsidR="00D420F3" w:rsidP="002A3213" w:rsidRDefault="0077175D">
      <w:pPr>
        <w:jc w:val="center"/>
        <w:rPr>
          <w:b/>
        </w:rPr>
      </w:pPr>
      <w:bookmarkStart w:name="To" w:id="1"/>
      <w:r w:rsidRPr="002A3213">
        <w:rPr>
          <w:b/>
        </w:rPr>
        <w:t xml:space="preserve">CASE OF </w:t>
      </w:r>
      <w:bookmarkEnd w:id="1"/>
      <w:r w:rsidRPr="002A3213" w:rsidR="00961FF4">
        <w:rPr>
          <w:b/>
        </w:rPr>
        <w:t xml:space="preserve">ZHDANOV AND </w:t>
      </w:r>
      <w:r w:rsidRPr="002A3213" w:rsidR="0053281B">
        <w:rPr>
          <w:b/>
        </w:rPr>
        <w:t>OTHERS</w:t>
      </w:r>
      <w:r w:rsidRPr="002A3213" w:rsidR="00961FF4">
        <w:rPr>
          <w:b/>
        </w:rPr>
        <w:t xml:space="preserve"> v. RUSSIA</w:t>
      </w:r>
    </w:p>
    <w:p w:rsidRPr="002A3213" w:rsidR="00D420F3" w:rsidP="002A3213" w:rsidRDefault="00D420F3">
      <w:pPr>
        <w:jc w:val="center"/>
      </w:pPr>
    </w:p>
    <w:p w:rsidRPr="002A3213" w:rsidR="00D420F3" w:rsidP="002A3213" w:rsidRDefault="0077175D">
      <w:pPr>
        <w:jc w:val="center"/>
        <w:rPr>
          <w:i/>
        </w:rPr>
      </w:pPr>
      <w:r w:rsidRPr="002A3213">
        <w:rPr>
          <w:i/>
        </w:rPr>
        <w:t>(</w:t>
      </w:r>
      <w:r w:rsidRPr="002A3213" w:rsidR="00961FF4">
        <w:rPr>
          <w:i/>
        </w:rPr>
        <w:t>Applications nos. 12200/08</w:t>
      </w:r>
      <w:r w:rsidRPr="002A3213" w:rsidR="00F122A5">
        <w:rPr>
          <w:i/>
        </w:rPr>
        <w:t xml:space="preserve"> and 2 others – see appended list</w:t>
      </w:r>
      <w:r w:rsidRPr="002A3213">
        <w:rPr>
          <w:i/>
        </w:rPr>
        <w:t>)</w:t>
      </w:r>
    </w:p>
    <w:p w:rsidRPr="002A3213" w:rsidR="00D420F3" w:rsidP="002A3213" w:rsidRDefault="00D420F3">
      <w:pPr>
        <w:jc w:val="center"/>
      </w:pPr>
    </w:p>
    <w:p w:rsidRPr="002A3213" w:rsidR="00D420F3" w:rsidP="002A3213" w:rsidRDefault="00D420F3">
      <w:pPr>
        <w:jc w:val="center"/>
      </w:pPr>
    </w:p>
    <w:p w:rsidRPr="002A3213" w:rsidR="005121A1" w:rsidP="002A3213" w:rsidRDefault="005121A1">
      <w:pPr>
        <w:jc w:val="center"/>
      </w:pPr>
    </w:p>
    <w:p w:rsidRPr="002A3213" w:rsidR="00D420F3" w:rsidP="002A3213" w:rsidRDefault="00D420F3">
      <w:pPr>
        <w:jc w:val="center"/>
      </w:pPr>
    </w:p>
    <w:p w:rsidRPr="002A3213" w:rsidR="005121A1" w:rsidP="002A3213" w:rsidRDefault="005121A1">
      <w:pPr>
        <w:jc w:val="center"/>
      </w:pPr>
    </w:p>
    <w:p w:rsidRPr="002A3213" w:rsidR="005121A1" w:rsidP="002A3213" w:rsidRDefault="005121A1">
      <w:pPr>
        <w:jc w:val="center"/>
      </w:pPr>
    </w:p>
    <w:p w:rsidRPr="002A3213" w:rsidR="005121A1" w:rsidP="002A3213" w:rsidRDefault="005121A1">
      <w:pPr>
        <w:jc w:val="center"/>
      </w:pPr>
    </w:p>
    <w:p w:rsidRPr="002A3213" w:rsidR="00D420F3" w:rsidP="002A3213" w:rsidRDefault="00D420F3">
      <w:pPr>
        <w:jc w:val="center"/>
      </w:pPr>
    </w:p>
    <w:p w:rsidRPr="002A3213" w:rsidR="00107FB0" w:rsidP="002A3213" w:rsidRDefault="00D60D6A">
      <w:pPr>
        <w:pStyle w:val="JuCase"/>
        <w:ind w:firstLine="0"/>
        <w:jc w:val="center"/>
        <w:rPr>
          <w:b w:val="0"/>
        </w:rPr>
      </w:pPr>
      <w:r w:rsidRPr="002A3213">
        <w:rPr>
          <w:b w:val="0"/>
        </w:rPr>
        <w:t>JUDGMENT</w:t>
      </w:r>
    </w:p>
    <w:p w:rsidRPr="002A3213" w:rsidR="00464ED6" w:rsidP="002A3213" w:rsidRDefault="00464ED6">
      <w:pPr>
        <w:jc w:val="center"/>
      </w:pPr>
    </w:p>
    <w:p w:rsidRPr="002A3213" w:rsidR="00D420F3" w:rsidP="002A3213" w:rsidRDefault="00D420F3">
      <w:pPr>
        <w:jc w:val="center"/>
      </w:pPr>
    </w:p>
    <w:p w:rsidRPr="002A3213" w:rsidR="00D60D6A" w:rsidP="002A3213" w:rsidRDefault="00D60D6A">
      <w:pPr>
        <w:pStyle w:val="JuCase"/>
        <w:ind w:firstLine="0"/>
        <w:jc w:val="center"/>
        <w:rPr>
          <w:b w:val="0"/>
        </w:rPr>
      </w:pPr>
      <w:r w:rsidRPr="002A3213">
        <w:rPr>
          <w:b w:val="0"/>
        </w:rPr>
        <w:t>STRASBOURG</w:t>
      </w:r>
    </w:p>
    <w:p w:rsidRPr="002A3213" w:rsidR="00D60D6A" w:rsidP="002A3213" w:rsidRDefault="00D60D6A">
      <w:pPr>
        <w:pStyle w:val="JuCase"/>
        <w:ind w:firstLine="0"/>
        <w:jc w:val="center"/>
        <w:rPr>
          <w:b w:val="0"/>
        </w:rPr>
      </w:pPr>
    </w:p>
    <w:p w:rsidRPr="002A3213" w:rsidR="00D60D6A" w:rsidP="002A3213" w:rsidRDefault="00D60D6A">
      <w:pPr>
        <w:pStyle w:val="JuCase"/>
        <w:ind w:firstLine="0"/>
        <w:jc w:val="center"/>
        <w:rPr>
          <w:b w:val="0"/>
        </w:rPr>
      </w:pPr>
      <w:r w:rsidRPr="002A3213">
        <w:rPr>
          <w:b w:val="0"/>
        </w:rPr>
        <w:t>16 July 2019</w:t>
      </w:r>
    </w:p>
    <w:p w:rsidRPr="002A3213" w:rsidR="00D60D6A" w:rsidP="002A3213" w:rsidRDefault="00D60D6A">
      <w:pPr>
        <w:pStyle w:val="JuCase"/>
        <w:ind w:firstLine="0"/>
        <w:jc w:val="center"/>
        <w:rPr>
          <w:b w:val="0"/>
        </w:rPr>
      </w:pPr>
    </w:p>
    <w:p w:rsidRPr="002A3213" w:rsidR="00F872EB" w:rsidP="002A3213" w:rsidRDefault="00F872EB">
      <w:pPr>
        <w:jc w:val="center"/>
      </w:pPr>
    </w:p>
    <w:p w:rsidRPr="002A3213" w:rsidR="00F872EB" w:rsidP="002A3213" w:rsidRDefault="00F872EB">
      <w:pPr>
        <w:jc w:val="center"/>
      </w:pPr>
    </w:p>
    <w:p w:rsidRPr="002A3213" w:rsidR="00F872EB" w:rsidP="002A3213" w:rsidRDefault="00F872EB">
      <w:pPr>
        <w:jc w:val="center"/>
      </w:pPr>
    </w:p>
    <w:p w:rsidRPr="002A3213" w:rsidR="00F872EB" w:rsidP="002A3213" w:rsidRDefault="00F872EB">
      <w:pPr>
        <w:jc w:val="center"/>
      </w:pPr>
    </w:p>
    <w:p w:rsidRPr="002A3213" w:rsidR="00D60D6A" w:rsidP="002A3213" w:rsidRDefault="00D60D6A">
      <w:pPr>
        <w:pStyle w:val="JuCase"/>
        <w:ind w:firstLine="0"/>
        <w:jc w:val="center"/>
        <w:rPr>
          <w:b w:val="0"/>
        </w:rPr>
      </w:pPr>
    </w:p>
    <w:p w:rsidRPr="002A3213" w:rsidR="00D60D6A" w:rsidP="002A3213" w:rsidRDefault="00D60D6A">
      <w:pPr>
        <w:pStyle w:val="JuCase"/>
        <w:ind w:firstLine="0"/>
        <w:jc w:val="left"/>
        <w:rPr>
          <w:b w:val="0"/>
          <w:i/>
          <w:sz w:val="22"/>
        </w:rPr>
      </w:pPr>
      <w:r w:rsidRPr="002A3213">
        <w:rPr>
          <w:b w:val="0"/>
          <w:i/>
          <w:sz w:val="22"/>
        </w:rPr>
        <w:t>This judgment will become final in the circums</w:t>
      </w:r>
      <w:r w:rsidRPr="002A3213" w:rsidR="00F872EB">
        <w:rPr>
          <w:b w:val="0"/>
          <w:i/>
          <w:sz w:val="22"/>
        </w:rPr>
        <w:t xml:space="preserve">tances set out in Article 44 § </w:t>
      </w:r>
      <w:r w:rsidRPr="002A3213">
        <w:rPr>
          <w:b w:val="0"/>
          <w:i/>
          <w:sz w:val="22"/>
        </w:rPr>
        <w:t>2 of the Convention. It may be subject to editorial revision.</w:t>
      </w:r>
    </w:p>
    <w:p w:rsidRPr="002A3213" w:rsidR="005121A1" w:rsidP="002A3213" w:rsidRDefault="005121A1">
      <w:pPr>
        <w:pStyle w:val="ECHRPara"/>
      </w:pPr>
    </w:p>
    <w:p w:rsidRPr="002A3213" w:rsidR="005121A1" w:rsidP="002A3213" w:rsidRDefault="005121A1">
      <w:pPr>
        <w:pStyle w:val="ECHRPara"/>
        <w:sectPr w:rsidRPr="002A3213" w:rsidR="005121A1" w:rsidSect="00D60D6A">
          <w:headerReference w:type="default" r:id="rId8"/>
          <w:headerReference w:type="first" r:id="rId9"/>
          <w:footerReference w:type="first" r:id="rId10"/>
          <w:footnotePr>
            <w:numRestart w:val="eachSect"/>
          </w:footnotePr>
          <w:pgSz w:w="11906" w:h="16838" w:code="9"/>
          <w:pgMar w:top="2274" w:right="2274" w:bottom="2274" w:left="2274" w:header="1701" w:footer="720" w:gutter="0"/>
          <w:cols w:space="720"/>
          <w:titlePg/>
          <w:docGrid w:linePitch="326"/>
        </w:sectPr>
      </w:pPr>
    </w:p>
    <w:p w:rsidRPr="002A3213" w:rsidR="00D420F3" w:rsidP="002A3213" w:rsidRDefault="0077175D">
      <w:pPr>
        <w:pStyle w:val="JuCase"/>
        <w:rPr>
          <w:bCs/>
        </w:rPr>
      </w:pPr>
      <w:r w:rsidRPr="002A3213">
        <w:t xml:space="preserve">In the case of </w:t>
      </w:r>
      <w:r w:rsidRPr="002A3213" w:rsidR="00961FF4">
        <w:t xml:space="preserve">Zhdanov and </w:t>
      </w:r>
      <w:r w:rsidRPr="002A3213" w:rsidR="0053281B">
        <w:t>Others</w:t>
      </w:r>
      <w:r w:rsidRPr="002A3213" w:rsidR="00961FF4">
        <w:t xml:space="preserve"> v. Russia</w:t>
      </w:r>
      <w:r w:rsidRPr="002A3213">
        <w:t>,</w:t>
      </w:r>
    </w:p>
    <w:p w:rsidRPr="002A3213" w:rsidR="00D420F3" w:rsidP="002A3213" w:rsidRDefault="0077175D">
      <w:pPr>
        <w:pStyle w:val="ECHRPara"/>
      </w:pPr>
      <w:r w:rsidRPr="002A3213">
        <w:t>The European Court of Human Rights (</w:t>
      </w:r>
      <w:r w:rsidRPr="002A3213" w:rsidR="000F3DE6">
        <w:t xml:space="preserve">Former </w:t>
      </w:r>
      <w:r w:rsidRPr="002A3213" w:rsidR="00961FF4">
        <w:t>Third Section</w:t>
      </w:r>
      <w:r w:rsidRPr="002A3213">
        <w:t xml:space="preserve">), sitting as a </w:t>
      </w:r>
      <w:r w:rsidRPr="002A3213" w:rsidR="00961FF4">
        <w:t>Chamber</w:t>
      </w:r>
      <w:r w:rsidRPr="002A3213">
        <w:t xml:space="preserve"> composed of:</w:t>
      </w:r>
    </w:p>
    <w:p w:rsidRPr="002A3213" w:rsidR="00EF762A" w:rsidP="002A3213" w:rsidRDefault="00D60D6A">
      <w:pPr>
        <w:pStyle w:val="ECHRDecisionBody"/>
      </w:pPr>
      <w:r w:rsidRPr="002A3213">
        <w:tab/>
        <w:t>Georgios A. Serghides,</w:t>
      </w:r>
      <w:r w:rsidRPr="002A3213">
        <w:rPr>
          <w:i/>
        </w:rPr>
        <w:t xml:space="preserve"> President,</w:t>
      </w:r>
      <w:r w:rsidRPr="002A3213">
        <w:rPr>
          <w:i/>
        </w:rPr>
        <w:br/>
      </w:r>
      <w:r w:rsidRPr="002A3213" w:rsidR="00EF762A">
        <w:tab/>
        <w:t>Branko Lubarda,</w:t>
      </w:r>
      <w:r w:rsidRPr="002A3213" w:rsidR="00EF762A">
        <w:rPr>
          <w:i/>
        </w:rPr>
        <w:br/>
      </w:r>
      <w:r w:rsidRPr="002A3213">
        <w:tab/>
        <w:t>Helen Keller,</w:t>
      </w:r>
      <w:r w:rsidRPr="002A3213">
        <w:rPr>
          <w:i/>
        </w:rPr>
        <w:br/>
      </w:r>
      <w:r w:rsidRPr="002A3213">
        <w:tab/>
        <w:t>Dmitry Dedov,</w:t>
      </w:r>
    </w:p>
    <w:p w:rsidRPr="002A3213" w:rsidR="00D420F3" w:rsidP="002A3213" w:rsidRDefault="00D60D6A">
      <w:pPr>
        <w:pStyle w:val="ECHRDecisionBody"/>
      </w:pPr>
      <w:r w:rsidRPr="002A3213">
        <w:tab/>
        <w:t>Pere Pastor Vilanova,</w:t>
      </w:r>
      <w:r w:rsidRPr="002A3213">
        <w:rPr>
          <w:i/>
        </w:rPr>
        <w:br/>
      </w:r>
      <w:r w:rsidRPr="002A3213">
        <w:tab/>
        <w:t>Alena Poláčková,</w:t>
      </w:r>
      <w:r w:rsidRPr="002A3213">
        <w:rPr>
          <w:i/>
        </w:rPr>
        <w:br/>
      </w:r>
      <w:r w:rsidRPr="002A3213">
        <w:tab/>
        <w:t>María Elósegui,</w:t>
      </w:r>
      <w:r w:rsidRPr="002A3213">
        <w:rPr>
          <w:i/>
        </w:rPr>
        <w:t xml:space="preserve"> judges,</w:t>
      </w:r>
      <w:r w:rsidRPr="002A3213" w:rsidR="0077175D">
        <w:rPr>
          <w:szCs w:val="24"/>
        </w:rPr>
        <w:br/>
      </w:r>
      <w:r w:rsidRPr="002A3213" w:rsidR="0077175D">
        <w:t xml:space="preserve">and </w:t>
      </w:r>
      <w:r w:rsidRPr="002A3213" w:rsidR="00385241">
        <w:t>Fatoş Aracı</w:t>
      </w:r>
      <w:r w:rsidRPr="002A3213" w:rsidR="0077175D">
        <w:t xml:space="preserve">, </w:t>
      </w:r>
      <w:r w:rsidRPr="002A3213" w:rsidR="00385241">
        <w:rPr>
          <w:i/>
        </w:rPr>
        <w:t xml:space="preserve">Deputy </w:t>
      </w:r>
      <w:r w:rsidRPr="002A3213" w:rsidR="00961FF4">
        <w:rPr>
          <w:i/>
        </w:rPr>
        <w:t xml:space="preserve">Section </w:t>
      </w:r>
      <w:r w:rsidRPr="002A3213" w:rsidR="00961FF4">
        <w:rPr>
          <w:i/>
          <w:iCs/>
        </w:rPr>
        <w:t>Registrar</w:t>
      </w:r>
      <w:r w:rsidRPr="002A3213" w:rsidR="0077175D">
        <w:rPr>
          <w:i/>
        </w:rPr>
        <w:t>,</w:t>
      </w:r>
    </w:p>
    <w:p w:rsidRPr="002A3213" w:rsidR="00D420F3" w:rsidP="002A3213" w:rsidRDefault="0077175D">
      <w:pPr>
        <w:pStyle w:val="ECHRPara"/>
      </w:pPr>
      <w:r w:rsidRPr="002A3213">
        <w:t xml:space="preserve">Having deliberated in private on </w:t>
      </w:r>
      <w:r w:rsidRPr="002A3213" w:rsidR="00D60D6A">
        <w:t>25 June 2019</w:t>
      </w:r>
      <w:r w:rsidRPr="002A3213">
        <w:t>,</w:t>
      </w:r>
    </w:p>
    <w:p w:rsidRPr="002A3213" w:rsidR="00D420F3" w:rsidP="002A3213" w:rsidRDefault="0077175D">
      <w:pPr>
        <w:pStyle w:val="ECHRPara"/>
      </w:pPr>
      <w:r w:rsidRPr="002A3213">
        <w:t>Delivers the following judgment, which was adopted on that date:</w:t>
      </w:r>
    </w:p>
    <w:p w:rsidRPr="002A3213" w:rsidR="00D420F3" w:rsidP="002A3213" w:rsidRDefault="0077175D">
      <w:pPr>
        <w:pStyle w:val="ECHRTitle1"/>
      </w:pPr>
      <w:r w:rsidRPr="002A3213">
        <w:t>PROCEDURE</w:t>
      </w:r>
    </w:p>
    <w:p w:rsidRPr="002A3213" w:rsidR="00961FF4" w:rsidP="002A3213" w:rsidRDefault="00961FF4">
      <w:pPr>
        <w:pStyle w:val="ECHRPara"/>
      </w:pPr>
      <w:r w:rsidRPr="002A3213">
        <w:fldChar w:fldCharType="begin"/>
      </w:r>
      <w:r w:rsidRPr="002A3213">
        <w:instrText xml:space="preserve"> SEQ level0 \*arabic </w:instrText>
      </w:r>
      <w:r w:rsidRPr="002A3213">
        <w:fldChar w:fldCharType="separate"/>
      </w:r>
      <w:r w:rsidRPr="002A3213" w:rsidR="002A3213">
        <w:rPr>
          <w:noProof/>
        </w:rPr>
        <w:t>1</w:t>
      </w:r>
      <w:r w:rsidRPr="002A3213">
        <w:fldChar w:fldCharType="end"/>
      </w:r>
      <w:r w:rsidRPr="002A3213" w:rsidR="0077175D">
        <w:t xml:space="preserve">.  The case originated in </w:t>
      </w:r>
      <w:r w:rsidRPr="002A3213" w:rsidR="00AB79CF">
        <w:t>three</w:t>
      </w:r>
      <w:r w:rsidRPr="002A3213">
        <w:t xml:space="preserve"> applications (nos. 12200/08</w:t>
      </w:r>
      <w:r w:rsidRPr="002A3213" w:rsidR="00AB79CF">
        <w:t>, 35949/11</w:t>
      </w:r>
      <w:r w:rsidRPr="002A3213">
        <w:t xml:space="preserve"> and </w:t>
      </w:r>
      <w:r w:rsidRPr="002A3213" w:rsidR="00AB79CF">
        <w:t>58282/12</w:t>
      </w:r>
      <w:r w:rsidRPr="002A3213">
        <w:t>)</w:t>
      </w:r>
      <w:r w:rsidRPr="002A3213" w:rsidR="0077175D">
        <w:t xml:space="preserve"> against </w:t>
      </w:r>
      <w:r w:rsidRPr="002A3213">
        <w:t>the Russian Federation</w:t>
      </w:r>
      <w:r w:rsidRPr="002A3213" w:rsidR="0077175D">
        <w:t xml:space="preserve"> lodged with the </w:t>
      </w:r>
      <w:r w:rsidRPr="002A3213">
        <w:t>Court under Article 34</w:t>
      </w:r>
      <w:r w:rsidRPr="002A3213" w:rsidR="0077175D">
        <w:t xml:space="preserve"> of the Convention for the Protection of Human Rights and Fundamental Freedoms (“the Convention”) by</w:t>
      </w:r>
      <w:r w:rsidRPr="002A3213" w:rsidR="00AB79CF">
        <w:t xml:space="preserve"> four Russian nationals</w:t>
      </w:r>
      <w:r w:rsidRPr="002A3213" w:rsidR="004A10F7">
        <w:t xml:space="preserve"> and three</w:t>
      </w:r>
      <w:r w:rsidRPr="002A3213" w:rsidR="00AB79CF">
        <w:t xml:space="preserve"> Russian non-profit organisations</w:t>
      </w:r>
      <w:r w:rsidRPr="002A3213" w:rsidR="008D2D27">
        <w:t xml:space="preserve"> whose names</w:t>
      </w:r>
      <w:r w:rsidRPr="002A3213" w:rsidR="00AB79CF">
        <w:t xml:space="preserve"> </w:t>
      </w:r>
      <w:r w:rsidRPr="002A3213" w:rsidR="00BC7E5D">
        <w:t xml:space="preserve">are </w:t>
      </w:r>
      <w:r w:rsidRPr="002A3213" w:rsidR="00AB79CF">
        <w:t>listed in the Appendix</w:t>
      </w:r>
      <w:r w:rsidRPr="002A3213" w:rsidR="008D2D27">
        <w:t xml:space="preserve"> (“the applicants”)</w:t>
      </w:r>
      <w:r w:rsidRPr="002A3213">
        <w:t>, on 3 March 2008</w:t>
      </w:r>
      <w:r w:rsidRPr="002A3213" w:rsidR="00143C89">
        <w:t>,</w:t>
      </w:r>
      <w:r w:rsidRPr="002A3213">
        <w:t xml:space="preserve"> </w:t>
      </w:r>
      <w:r w:rsidRPr="002A3213" w:rsidR="00AB79CF">
        <w:t xml:space="preserve">20 May 2011 </w:t>
      </w:r>
      <w:r w:rsidRPr="002A3213">
        <w:t xml:space="preserve">and </w:t>
      </w:r>
      <w:r w:rsidRPr="002A3213" w:rsidR="00AB79CF">
        <w:t>20 August 2012</w:t>
      </w:r>
      <w:r w:rsidRPr="002A3213">
        <w:t xml:space="preserve"> respectively</w:t>
      </w:r>
      <w:r w:rsidRPr="002A3213" w:rsidR="0077175D">
        <w:t>.</w:t>
      </w:r>
    </w:p>
    <w:p w:rsidRPr="002A3213" w:rsidR="005D59EB" w:rsidP="002A3213" w:rsidRDefault="00961FF4">
      <w:pPr>
        <w:pStyle w:val="ECHRPara"/>
      </w:pPr>
      <w:r w:rsidRPr="002A3213">
        <w:fldChar w:fldCharType="begin"/>
      </w:r>
      <w:r w:rsidRPr="002A3213">
        <w:instrText xml:space="preserve"> SEQ level0 \*arabic </w:instrText>
      </w:r>
      <w:r w:rsidRPr="002A3213">
        <w:fldChar w:fldCharType="separate"/>
      </w:r>
      <w:r w:rsidRPr="002A3213" w:rsidR="002A3213">
        <w:rPr>
          <w:noProof/>
        </w:rPr>
        <w:t>2</w:t>
      </w:r>
      <w:r w:rsidRPr="002A3213">
        <w:fldChar w:fldCharType="end"/>
      </w:r>
      <w:r w:rsidRPr="002A3213" w:rsidR="0077175D">
        <w:t>.  </w:t>
      </w:r>
      <w:r w:rsidRPr="002A3213" w:rsidR="00550F7D">
        <w:t>The applicants</w:t>
      </w:r>
      <w:r w:rsidRPr="002A3213">
        <w:t xml:space="preserve"> </w:t>
      </w:r>
      <w:r w:rsidRPr="002A3213" w:rsidR="00891727">
        <w:t xml:space="preserve">were represented by lawyers whose names are listed in the Appendix. The Russian Government (“the Government”) were represented </w:t>
      </w:r>
      <w:r w:rsidRPr="002A3213" w:rsidR="006C6242">
        <w:t>initially by Mr G. Matyushkin, the Representative of the Russian Federation to the European Court of Human Rights, and then by his successor in that office, Mr M. Galperin.</w:t>
      </w:r>
    </w:p>
    <w:p w:rsidRPr="002A3213" w:rsidR="005D59EB" w:rsidP="002A3213" w:rsidRDefault="00961FF4">
      <w:pPr>
        <w:pStyle w:val="ECHRPara"/>
      </w:pPr>
      <w:r w:rsidRPr="002A3213">
        <w:fldChar w:fldCharType="begin"/>
      </w:r>
      <w:r w:rsidRPr="002A3213">
        <w:instrText xml:space="preserve"> SEQ level0 \*arabic </w:instrText>
      </w:r>
      <w:r w:rsidRPr="002A3213">
        <w:fldChar w:fldCharType="separate"/>
      </w:r>
      <w:r w:rsidRPr="002A3213" w:rsidR="002A3213">
        <w:rPr>
          <w:noProof/>
        </w:rPr>
        <w:t>3</w:t>
      </w:r>
      <w:r w:rsidRPr="002A3213">
        <w:fldChar w:fldCharType="end"/>
      </w:r>
      <w:r w:rsidRPr="002A3213" w:rsidR="00E567E4">
        <w:t>.  The applicants alleged</w:t>
      </w:r>
      <w:r w:rsidRPr="002A3213">
        <w:t>, in particular,</w:t>
      </w:r>
      <w:r w:rsidRPr="002A3213" w:rsidR="00E567E4">
        <w:t xml:space="preserve"> that the refusal to register association</w:t>
      </w:r>
      <w:r w:rsidRPr="002A3213" w:rsidR="00592439">
        <w:t>s</w:t>
      </w:r>
      <w:r w:rsidRPr="002A3213" w:rsidR="00E567E4">
        <w:t xml:space="preserve"> </w:t>
      </w:r>
      <w:r w:rsidRPr="002A3213" w:rsidR="003E4029">
        <w:t>set up to promote and protect the rights of lesbian, gay, bisexual and transgender (LGBT) people in Russia</w:t>
      </w:r>
      <w:r w:rsidRPr="002A3213" w:rsidR="00DE64A0">
        <w:t xml:space="preserve"> </w:t>
      </w:r>
      <w:r w:rsidRPr="002A3213" w:rsidR="00E567E4">
        <w:t xml:space="preserve">had violated their right to freedom of association and had amounted to discrimination on grounds of sexual orientation. </w:t>
      </w:r>
      <w:r w:rsidRPr="002A3213" w:rsidR="006D1F7D">
        <w:t>The applicants in application no. 58282/12 also alleged a violation of their right of access to a court.</w:t>
      </w:r>
    </w:p>
    <w:p w:rsidRPr="002A3213" w:rsidR="005D59EB" w:rsidP="002A3213" w:rsidRDefault="00961FF4">
      <w:pPr>
        <w:pStyle w:val="ECHRPara"/>
      </w:pPr>
      <w:r w:rsidRPr="002A3213">
        <w:fldChar w:fldCharType="begin"/>
      </w:r>
      <w:r w:rsidRPr="002A3213">
        <w:instrText xml:space="preserve"> SEQ level0 \*arabic </w:instrText>
      </w:r>
      <w:r w:rsidRPr="002A3213">
        <w:fldChar w:fldCharType="separate"/>
      </w:r>
      <w:r w:rsidRPr="002A3213" w:rsidR="002A3213">
        <w:rPr>
          <w:noProof/>
        </w:rPr>
        <w:t>4</w:t>
      </w:r>
      <w:r w:rsidRPr="002A3213">
        <w:fldChar w:fldCharType="end"/>
      </w:r>
      <w:r w:rsidRPr="002A3213" w:rsidR="0077175D">
        <w:t>.  </w:t>
      </w:r>
      <w:r w:rsidRPr="002A3213">
        <w:t xml:space="preserve">On </w:t>
      </w:r>
      <w:r w:rsidRPr="002A3213" w:rsidR="006078CC">
        <w:t>11 March 2011</w:t>
      </w:r>
      <w:r w:rsidRPr="002A3213">
        <w:t xml:space="preserve"> and </w:t>
      </w:r>
      <w:r w:rsidRPr="002A3213" w:rsidR="006078CC">
        <w:t>22 March 2016</w:t>
      </w:r>
      <w:r w:rsidRPr="002A3213" w:rsidR="0077175D">
        <w:t xml:space="preserve"> </w:t>
      </w:r>
      <w:r w:rsidRPr="002A3213" w:rsidR="0024625C">
        <w:t>the Government were given noti</w:t>
      </w:r>
      <w:r w:rsidRPr="002A3213" w:rsidR="001164B5">
        <w:t>ce</w:t>
      </w:r>
      <w:r w:rsidRPr="002A3213" w:rsidR="0024625C">
        <w:t xml:space="preserve"> of the above complaints</w:t>
      </w:r>
      <w:r w:rsidRPr="002A3213" w:rsidR="006078CC">
        <w:t>.</w:t>
      </w:r>
    </w:p>
    <w:p w:rsidRPr="002A3213" w:rsidR="003E4029" w:rsidP="002A3213" w:rsidRDefault="00197A14">
      <w:pPr>
        <w:pStyle w:val="ECHRPara"/>
      </w:pPr>
      <w:r w:rsidRPr="002A3213">
        <w:fldChar w:fldCharType="begin"/>
      </w:r>
      <w:r w:rsidRPr="002A3213">
        <w:instrText xml:space="preserve"> SEQ level0 \*arabic </w:instrText>
      </w:r>
      <w:r w:rsidRPr="002A3213">
        <w:fldChar w:fldCharType="separate"/>
      </w:r>
      <w:r w:rsidRPr="002A3213" w:rsidR="002A3213">
        <w:rPr>
          <w:noProof/>
        </w:rPr>
        <w:t>5</w:t>
      </w:r>
      <w:r w:rsidRPr="002A3213">
        <w:fldChar w:fldCharType="end"/>
      </w:r>
      <w:r w:rsidRPr="002A3213">
        <w:t>.  </w:t>
      </w:r>
      <w:r w:rsidRPr="002A3213" w:rsidR="003E4029">
        <w:t xml:space="preserve">In addition to written observations by the Government and the applicants, third-party comments were received from </w:t>
      </w:r>
      <w:r w:rsidRPr="002A3213">
        <w:t>the Human Rights Centre of Ghent University and jointly from the European Human Rights Advocacy Centre</w:t>
      </w:r>
      <w:r w:rsidRPr="002A3213" w:rsidR="006974B5">
        <w:t xml:space="preserve"> (EHRAC)</w:t>
      </w:r>
      <w:r w:rsidRPr="002A3213">
        <w:t>, the European Region of the International Lesbian, Gay, Bisexual, Trans and Intersex Association (ILGA-Europe) and the International Commission of Jurists</w:t>
      </w:r>
      <w:r w:rsidRPr="002A3213" w:rsidR="006974B5">
        <w:t xml:space="preserve"> (ICJ)</w:t>
      </w:r>
      <w:r w:rsidRPr="002A3213" w:rsidR="003E4029">
        <w:t>, wh</w:t>
      </w:r>
      <w:r w:rsidRPr="002A3213" w:rsidR="001164B5">
        <w:t>ich</w:t>
      </w:r>
      <w:r w:rsidRPr="002A3213" w:rsidR="003E4029">
        <w:t xml:space="preserve"> the President had authorised to intervene in the written procedure (Article 36 § 2 of the Convention and Rule 44 § 3 of the Rules of Court).</w:t>
      </w:r>
    </w:p>
    <w:p w:rsidRPr="002A3213" w:rsidR="00D420F3" w:rsidP="002A3213" w:rsidRDefault="0077175D">
      <w:pPr>
        <w:pStyle w:val="ECHRTitle1"/>
      </w:pPr>
      <w:r w:rsidRPr="002A3213">
        <w:t>THE FACTS</w:t>
      </w:r>
    </w:p>
    <w:p w:rsidRPr="002A3213" w:rsidR="00D420F3" w:rsidP="002A3213" w:rsidRDefault="0077175D">
      <w:pPr>
        <w:pStyle w:val="ECHRHeading1"/>
      </w:pPr>
      <w:r w:rsidRPr="002A3213">
        <w:t>I.  THE CIRCUMSTANCES OF THE CASE</w:t>
      </w:r>
    </w:p>
    <w:p w:rsidRPr="002A3213" w:rsidR="00EA4AF3" w:rsidP="002A3213" w:rsidRDefault="00B067AD">
      <w:pPr>
        <w:pStyle w:val="ECHRHeading2"/>
      </w:pPr>
      <w:r w:rsidRPr="002A3213">
        <w:t>A.  </w:t>
      </w:r>
      <w:r w:rsidRPr="002A3213" w:rsidR="00EA4AF3">
        <w:t>Application no. 12200/0</w:t>
      </w:r>
      <w:r w:rsidRPr="002A3213" w:rsidR="00033C79">
        <w:t>8 (</w:t>
      </w:r>
      <w:r w:rsidRPr="002A3213" w:rsidR="00033C79">
        <w:rPr>
          <w:i/>
        </w:rPr>
        <w:t>Zhdanov and Rainbow House v. </w:t>
      </w:r>
      <w:r w:rsidRPr="002A3213" w:rsidR="00EA4AF3">
        <w:rPr>
          <w:i/>
        </w:rPr>
        <w:t>Russia</w:t>
      </w:r>
      <w:r w:rsidRPr="002A3213" w:rsidR="00EA4AF3">
        <w:t>)</w:t>
      </w:r>
    </w:p>
    <w:p w:rsidRPr="002A3213" w:rsidR="005D59EB" w:rsidP="002A3213" w:rsidRDefault="00961FF4">
      <w:pPr>
        <w:pStyle w:val="ECHRPara"/>
        <w:rPr>
          <w:rFonts w:ascii="Times New Roman" w:hAnsi="Times New Roman" w:eastAsia="Times New Roman" w:cs="Times New Roman"/>
          <w:szCs w:val="20"/>
          <w:lang w:eastAsia="fr-FR"/>
        </w:rPr>
      </w:pPr>
      <w:r w:rsidRPr="002A3213">
        <w:fldChar w:fldCharType="begin"/>
      </w:r>
      <w:r w:rsidRPr="002A3213">
        <w:instrText xml:space="preserve"> SEQ level0 \*arabic </w:instrText>
      </w:r>
      <w:r w:rsidRPr="002A3213">
        <w:fldChar w:fldCharType="separate"/>
      </w:r>
      <w:r w:rsidRPr="002A3213" w:rsidR="002A3213">
        <w:rPr>
          <w:noProof/>
        </w:rPr>
        <w:t>6</w:t>
      </w:r>
      <w:r w:rsidRPr="002A3213">
        <w:fldChar w:fldCharType="end"/>
      </w:r>
      <w:r w:rsidRPr="002A3213" w:rsidR="0077175D">
        <w:t>.  </w:t>
      </w:r>
      <w:r w:rsidRPr="002A3213" w:rsidR="00EA4AF3">
        <w:rPr>
          <w:rFonts w:ascii="Times New Roman" w:hAnsi="Times New Roman" w:eastAsia="Times New Roman" w:cs="Times New Roman"/>
          <w:szCs w:val="20"/>
          <w:lang w:eastAsia="fr-FR"/>
        </w:rPr>
        <w:t xml:space="preserve">The first applicant is the </w:t>
      </w:r>
      <w:r w:rsidRPr="002A3213" w:rsidR="00851ABB">
        <w:rPr>
          <w:rFonts w:ascii="Times New Roman" w:hAnsi="Times New Roman" w:eastAsia="Times New Roman" w:cs="Times New Roman"/>
          <w:szCs w:val="20"/>
          <w:lang w:eastAsia="fr-FR"/>
        </w:rPr>
        <w:t>p</w:t>
      </w:r>
      <w:r w:rsidRPr="002A3213" w:rsidR="00EA4AF3">
        <w:rPr>
          <w:rFonts w:ascii="Times New Roman" w:hAnsi="Times New Roman" w:eastAsia="Times New Roman" w:cs="Times New Roman"/>
          <w:szCs w:val="20"/>
          <w:lang w:eastAsia="fr-FR"/>
        </w:rPr>
        <w:t>resident of the second applicant, a regional public association for the protection of citizens</w:t>
      </w:r>
      <w:r w:rsidRPr="002A3213" w:rsidR="002A3213">
        <w:rPr>
          <w:rFonts w:ascii="Times New Roman" w:hAnsi="Times New Roman" w:eastAsia="Times New Roman" w:cs="Times New Roman"/>
          <w:szCs w:val="20"/>
          <w:lang w:eastAsia="fr-FR"/>
        </w:rPr>
        <w:t>’</w:t>
      </w:r>
      <w:r w:rsidRPr="002A3213" w:rsidR="00EA4AF3">
        <w:rPr>
          <w:rFonts w:ascii="Times New Roman" w:hAnsi="Times New Roman" w:eastAsia="Times New Roman" w:cs="Times New Roman"/>
          <w:szCs w:val="20"/>
          <w:lang w:eastAsia="fr-FR"/>
        </w:rPr>
        <w:t xml:space="preserve"> sexual rights.</w:t>
      </w:r>
    </w:p>
    <w:p w:rsidRPr="002A3213" w:rsidR="00EA4AF3" w:rsidP="002A3213" w:rsidRDefault="00EA4AF3">
      <w:pPr>
        <w:pStyle w:val="ECHRHeading3"/>
        <w:rPr>
          <w:rFonts w:eastAsia="Times New Roman"/>
          <w:lang w:eastAsia="fr-FR"/>
        </w:rPr>
      </w:pPr>
      <w:r w:rsidRPr="002A3213">
        <w:rPr>
          <w:rFonts w:eastAsia="Times New Roman"/>
          <w:lang w:eastAsia="fr-FR"/>
        </w:rPr>
        <w:t>1.  Background information</w:t>
      </w:r>
    </w:p>
    <w:p w:rsidRPr="002A3213" w:rsidR="005D59EB" w:rsidP="002A3213" w:rsidRDefault="003D5472">
      <w:pPr>
        <w:pStyle w:val="ECHRPara"/>
        <w:rPr>
          <w:rFonts w:ascii="Times New Roman" w:hAnsi="Times New Roman" w:eastAsia="Times New Roman" w:cs="Times New Roman"/>
          <w:szCs w:val="20"/>
          <w:lang w:eastAsia="fr-FR"/>
        </w:rPr>
      </w:pPr>
      <w:r w:rsidRPr="002A3213">
        <w:rPr>
          <w:rFonts w:ascii="Times New Roman" w:hAnsi="Times New Roman" w:eastAsia="Times New Roman" w:cs="Times New Roman"/>
          <w:szCs w:val="20"/>
          <w:lang w:eastAsia="fr-FR"/>
        </w:rPr>
        <w:fldChar w:fldCharType="begin"/>
      </w:r>
      <w:r w:rsidRPr="002A3213">
        <w:rPr>
          <w:rFonts w:ascii="Times New Roman" w:hAnsi="Times New Roman" w:eastAsia="Times New Roman" w:cs="Times New Roman"/>
          <w:szCs w:val="20"/>
          <w:lang w:eastAsia="fr-FR"/>
        </w:rPr>
        <w:instrText xml:space="preserve"> SEQ level0 \*arabic </w:instrText>
      </w:r>
      <w:r w:rsidRPr="002A3213">
        <w:rPr>
          <w:rFonts w:ascii="Times New Roman" w:hAnsi="Times New Roman" w:eastAsia="Times New Roman" w:cs="Times New Roman"/>
          <w:szCs w:val="20"/>
          <w:lang w:eastAsia="fr-FR"/>
        </w:rPr>
        <w:fldChar w:fldCharType="separate"/>
      </w:r>
      <w:r w:rsidRPr="002A3213" w:rsidR="002A3213">
        <w:rPr>
          <w:rFonts w:ascii="Times New Roman" w:hAnsi="Times New Roman" w:eastAsia="Times New Roman" w:cs="Times New Roman"/>
          <w:noProof/>
          <w:szCs w:val="20"/>
          <w:lang w:eastAsia="fr-FR"/>
        </w:rPr>
        <w:t>7</w:t>
      </w:r>
      <w:r w:rsidRPr="002A3213">
        <w:rPr>
          <w:rFonts w:ascii="Times New Roman" w:hAnsi="Times New Roman" w:eastAsia="Times New Roman" w:cs="Times New Roman"/>
          <w:szCs w:val="20"/>
          <w:lang w:eastAsia="fr-FR"/>
        </w:rPr>
        <w:fldChar w:fldCharType="end"/>
      </w:r>
      <w:r w:rsidRPr="002A3213">
        <w:rPr>
          <w:rFonts w:ascii="Times New Roman" w:hAnsi="Times New Roman" w:eastAsia="Times New Roman" w:cs="Times New Roman"/>
          <w:szCs w:val="20"/>
          <w:lang w:eastAsia="fr-FR"/>
        </w:rPr>
        <w:t>.  </w:t>
      </w:r>
      <w:r w:rsidRPr="002A3213" w:rsidR="00EA4AF3">
        <w:rPr>
          <w:rFonts w:ascii="Times New Roman" w:hAnsi="Times New Roman" w:eastAsia="Times New Roman" w:cs="Times New Roman"/>
          <w:szCs w:val="20"/>
          <w:lang w:eastAsia="fr-FR"/>
        </w:rPr>
        <w:t>In April 2005 the first applicant opened a gay nightclub which started to organise weekly gay parties.</w:t>
      </w:r>
    </w:p>
    <w:p w:rsidRPr="002A3213" w:rsidR="00EA4AF3" w:rsidP="002A3213" w:rsidRDefault="003D5472">
      <w:pPr>
        <w:pStyle w:val="ECHRPara"/>
        <w:rPr>
          <w:rFonts w:ascii="Times New Roman" w:hAnsi="Times New Roman" w:eastAsia="Times New Roman" w:cs="Times New Roman"/>
          <w:szCs w:val="20"/>
          <w:lang w:eastAsia="fr-FR"/>
        </w:rPr>
      </w:pPr>
      <w:r w:rsidRPr="002A3213">
        <w:rPr>
          <w:rFonts w:ascii="Times New Roman" w:hAnsi="Times New Roman" w:eastAsia="Times New Roman" w:cs="Times New Roman"/>
          <w:szCs w:val="20"/>
          <w:lang w:eastAsia="fr-FR"/>
        </w:rPr>
        <w:fldChar w:fldCharType="begin"/>
      </w:r>
      <w:r w:rsidRPr="002A3213">
        <w:rPr>
          <w:rFonts w:ascii="Times New Roman" w:hAnsi="Times New Roman" w:eastAsia="Times New Roman" w:cs="Times New Roman"/>
          <w:szCs w:val="20"/>
          <w:lang w:eastAsia="fr-FR"/>
        </w:rPr>
        <w:instrText xml:space="preserve"> SEQ level0 \*arabic </w:instrText>
      </w:r>
      <w:r w:rsidRPr="002A3213">
        <w:rPr>
          <w:rFonts w:ascii="Times New Roman" w:hAnsi="Times New Roman" w:eastAsia="Times New Roman" w:cs="Times New Roman"/>
          <w:szCs w:val="20"/>
          <w:lang w:eastAsia="fr-FR"/>
        </w:rPr>
        <w:fldChar w:fldCharType="separate"/>
      </w:r>
      <w:r w:rsidRPr="002A3213" w:rsidR="002A3213">
        <w:rPr>
          <w:rFonts w:ascii="Times New Roman" w:hAnsi="Times New Roman" w:eastAsia="Times New Roman" w:cs="Times New Roman"/>
          <w:noProof/>
          <w:szCs w:val="20"/>
          <w:lang w:eastAsia="fr-FR"/>
        </w:rPr>
        <w:t>8</w:t>
      </w:r>
      <w:r w:rsidRPr="002A3213">
        <w:rPr>
          <w:rFonts w:ascii="Times New Roman" w:hAnsi="Times New Roman" w:eastAsia="Times New Roman" w:cs="Times New Roman"/>
          <w:szCs w:val="20"/>
          <w:lang w:eastAsia="fr-FR"/>
        </w:rPr>
        <w:fldChar w:fldCharType="end"/>
      </w:r>
      <w:r w:rsidRPr="002A3213">
        <w:rPr>
          <w:rFonts w:ascii="Times New Roman" w:hAnsi="Times New Roman" w:eastAsia="Times New Roman" w:cs="Times New Roman"/>
          <w:szCs w:val="20"/>
          <w:lang w:eastAsia="fr-FR"/>
        </w:rPr>
        <w:t>.  </w:t>
      </w:r>
      <w:r w:rsidRPr="002A3213" w:rsidR="00EA4AF3">
        <w:rPr>
          <w:rFonts w:ascii="Times New Roman" w:hAnsi="Times New Roman" w:eastAsia="Times New Roman" w:cs="Times New Roman"/>
          <w:szCs w:val="20"/>
          <w:lang w:eastAsia="fr-FR"/>
        </w:rPr>
        <w:t xml:space="preserve">On an unspecified day the police, masked and armed, stormed into the club, ordered that everyone should lie down on the floor and dragged the club visitors into </w:t>
      </w:r>
      <w:r w:rsidRPr="002A3213" w:rsidR="005438EE">
        <w:rPr>
          <w:rFonts w:ascii="Times New Roman" w:hAnsi="Times New Roman" w:eastAsia="Times New Roman" w:cs="Times New Roman"/>
          <w:szCs w:val="20"/>
          <w:lang w:eastAsia="fr-FR"/>
        </w:rPr>
        <w:t xml:space="preserve">a </w:t>
      </w:r>
      <w:r w:rsidRPr="002A3213" w:rsidR="00EA4AF3">
        <w:rPr>
          <w:rFonts w:ascii="Times New Roman" w:hAnsi="Times New Roman" w:eastAsia="Times New Roman" w:cs="Times New Roman"/>
          <w:szCs w:val="20"/>
          <w:lang w:eastAsia="fr-FR"/>
        </w:rPr>
        <w:t xml:space="preserve">police bus. Several days later the lease for the premises of the nightclub was suddenly </w:t>
      </w:r>
      <w:r w:rsidRPr="002A3213" w:rsidR="0057581C">
        <w:rPr>
          <w:rFonts w:ascii="Times New Roman" w:hAnsi="Times New Roman" w:eastAsia="Times New Roman" w:cs="Times New Roman"/>
          <w:szCs w:val="20"/>
          <w:lang w:eastAsia="fr-FR"/>
        </w:rPr>
        <w:t xml:space="preserve">terminated </w:t>
      </w:r>
      <w:r w:rsidRPr="002A3213" w:rsidR="00EA4AF3">
        <w:rPr>
          <w:rFonts w:ascii="Times New Roman" w:hAnsi="Times New Roman" w:eastAsia="Times New Roman" w:cs="Times New Roman"/>
          <w:szCs w:val="20"/>
          <w:lang w:eastAsia="fr-FR"/>
        </w:rPr>
        <w:t xml:space="preserve">without any </w:t>
      </w:r>
      <w:r w:rsidRPr="002A3213" w:rsidR="00AA7097">
        <w:rPr>
          <w:rFonts w:ascii="Times New Roman" w:hAnsi="Times New Roman" w:eastAsia="Times New Roman" w:cs="Times New Roman"/>
          <w:szCs w:val="20"/>
          <w:lang w:eastAsia="fr-FR"/>
        </w:rPr>
        <w:t>explanation</w:t>
      </w:r>
      <w:r w:rsidRPr="002A3213" w:rsidR="00B067AD">
        <w:rPr>
          <w:rFonts w:ascii="Times New Roman" w:hAnsi="Times New Roman" w:eastAsia="Times New Roman" w:cs="Times New Roman"/>
          <w:szCs w:val="20"/>
          <w:lang w:eastAsia="fr-FR"/>
        </w:rPr>
        <w:t>.</w:t>
      </w:r>
    </w:p>
    <w:p w:rsidRPr="002A3213" w:rsidR="00EA4AF3" w:rsidP="002A3213" w:rsidRDefault="003D5472">
      <w:pPr>
        <w:pStyle w:val="ECHRPara"/>
        <w:rPr>
          <w:rFonts w:ascii="Times New Roman" w:hAnsi="Times New Roman" w:eastAsia="Times New Roman" w:cs="Times New Roman"/>
          <w:szCs w:val="20"/>
          <w:lang w:eastAsia="fr-FR"/>
        </w:rPr>
      </w:pPr>
      <w:r w:rsidRPr="002A3213">
        <w:rPr>
          <w:rFonts w:ascii="Times New Roman" w:hAnsi="Times New Roman" w:eastAsia="Times New Roman" w:cs="Times New Roman"/>
          <w:szCs w:val="20"/>
          <w:lang w:eastAsia="fr-FR"/>
        </w:rPr>
        <w:fldChar w:fldCharType="begin"/>
      </w:r>
      <w:r w:rsidRPr="002A3213">
        <w:rPr>
          <w:rFonts w:ascii="Times New Roman" w:hAnsi="Times New Roman" w:eastAsia="Times New Roman" w:cs="Times New Roman"/>
          <w:szCs w:val="20"/>
          <w:lang w:eastAsia="fr-FR"/>
        </w:rPr>
        <w:instrText xml:space="preserve"> SEQ level0 \*arabic </w:instrText>
      </w:r>
      <w:r w:rsidRPr="002A3213">
        <w:rPr>
          <w:rFonts w:ascii="Times New Roman" w:hAnsi="Times New Roman" w:eastAsia="Times New Roman" w:cs="Times New Roman"/>
          <w:szCs w:val="20"/>
          <w:lang w:eastAsia="fr-FR"/>
        </w:rPr>
        <w:fldChar w:fldCharType="separate"/>
      </w:r>
      <w:r w:rsidRPr="002A3213" w:rsidR="002A3213">
        <w:rPr>
          <w:rFonts w:ascii="Times New Roman" w:hAnsi="Times New Roman" w:eastAsia="Times New Roman" w:cs="Times New Roman"/>
          <w:noProof/>
          <w:szCs w:val="20"/>
          <w:lang w:eastAsia="fr-FR"/>
        </w:rPr>
        <w:t>9</w:t>
      </w:r>
      <w:r w:rsidRPr="002A3213">
        <w:rPr>
          <w:rFonts w:ascii="Times New Roman" w:hAnsi="Times New Roman" w:eastAsia="Times New Roman" w:cs="Times New Roman"/>
          <w:szCs w:val="20"/>
          <w:lang w:eastAsia="fr-FR"/>
        </w:rPr>
        <w:fldChar w:fldCharType="end"/>
      </w:r>
      <w:r w:rsidRPr="002A3213">
        <w:rPr>
          <w:rFonts w:ascii="Times New Roman" w:hAnsi="Times New Roman" w:eastAsia="Times New Roman" w:cs="Times New Roman"/>
          <w:szCs w:val="20"/>
          <w:lang w:eastAsia="fr-FR"/>
        </w:rPr>
        <w:t>.  </w:t>
      </w:r>
      <w:r w:rsidRPr="002A3213" w:rsidR="00EA4AF3">
        <w:rPr>
          <w:rFonts w:ascii="Times New Roman" w:hAnsi="Times New Roman" w:eastAsia="Times New Roman" w:cs="Times New Roman"/>
          <w:szCs w:val="20"/>
          <w:lang w:eastAsia="fr-FR"/>
        </w:rPr>
        <w:t>In August 2005 a group of gay activists notified the Tyumen Administration of their intention to hold a gay march on 5 September 2005. At the press conference of 17 August 2005 the head of the Interior Department of the Tyumen Region said that he had been extremely astonished when he had learnt that a gay march was being planned in Tyumen. He continued: “In my personal opinion, Tyumen is neither</w:t>
      </w:r>
      <w:r w:rsidRPr="002A3213" w:rsidR="00520C5B">
        <w:rPr>
          <w:rFonts w:ascii="Times New Roman" w:hAnsi="Times New Roman" w:eastAsia="Times New Roman" w:cs="Times New Roman"/>
          <w:szCs w:val="20"/>
          <w:lang w:eastAsia="fr-FR"/>
        </w:rPr>
        <w:t xml:space="preserve"> the Netherlands, nor Amsterdam. O</w:t>
      </w:r>
      <w:r w:rsidRPr="002A3213" w:rsidR="00EA4AF3">
        <w:rPr>
          <w:rFonts w:ascii="Times New Roman" w:hAnsi="Times New Roman" w:eastAsia="Times New Roman" w:cs="Times New Roman"/>
          <w:szCs w:val="20"/>
          <w:lang w:eastAsia="fr-FR"/>
        </w:rPr>
        <w:t>ne cannot hold a gay march in our town</w:t>
      </w:r>
      <w:r w:rsidRPr="002A3213" w:rsidR="0069115B">
        <w:rPr>
          <w:rFonts w:ascii="Times New Roman" w:hAnsi="Times New Roman" w:eastAsia="Times New Roman" w:cs="Times New Roman"/>
          <w:szCs w:val="20"/>
          <w:lang w:eastAsia="fr-FR"/>
        </w:rPr>
        <w:t>.</w:t>
      </w:r>
      <w:r w:rsidRPr="002A3213" w:rsidR="00EA4AF3">
        <w:rPr>
          <w:rFonts w:ascii="Times New Roman" w:hAnsi="Times New Roman" w:eastAsia="Times New Roman" w:cs="Times New Roman"/>
          <w:szCs w:val="20"/>
          <w:lang w:eastAsia="fr-FR"/>
        </w:rPr>
        <w:t xml:space="preserve">” </w:t>
      </w:r>
      <w:r w:rsidRPr="002A3213" w:rsidR="0069115B">
        <w:rPr>
          <w:rFonts w:ascii="Times New Roman" w:hAnsi="Times New Roman" w:eastAsia="Times New Roman" w:cs="Times New Roman"/>
          <w:szCs w:val="20"/>
          <w:lang w:eastAsia="fr-FR"/>
        </w:rPr>
        <w:t>R</w:t>
      </w:r>
      <w:r w:rsidRPr="002A3213" w:rsidR="00EA4AF3">
        <w:rPr>
          <w:rFonts w:ascii="Times New Roman" w:hAnsi="Times New Roman" w:eastAsia="Times New Roman" w:cs="Times New Roman"/>
          <w:szCs w:val="20"/>
          <w:lang w:eastAsia="fr-FR"/>
        </w:rPr>
        <w:t>epresentatives of the Orthodox Church also spoke publicly against the march. The Tyumen Administration refused permission to hold a gay march.</w:t>
      </w:r>
    </w:p>
    <w:p w:rsidRPr="002A3213" w:rsidR="005D59EB" w:rsidP="002A3213" w:rsidRDefault="003D5472">
      <w:pPr>
        <w:pStyle w:val="ECHRPara"/>
        <w:rPr>
          <w:rFonts w:ascii="Times New Roman" w:hAnsi="Times New Roman" w:eastAsia="Times New Roman" w:cs="Times New Roman"/>
          <w:szCs w:val="20"/>
          <w:lang w:eastAsia="fr-FR"/>
        </w:rPr>
      </w:pPr>
      <w:r w:rsidRPr="002A3213">
        <w:rPr>
          <w:rFonts w:ascii="Times New Roman" w:hAnsi="Times New Roman" w:eastAsia="Times New Roman" w:cs="Times New Roman"/>
          <w:szCs w:val="20"/>
          <w:lang w:eastAsia="fr-FR"/>
        </w:rPr>
        <w:fldChar w:fldCharType="begin"/>
      </w:r>
      <w:r w:rsidRPr="002A3213">
        <w:rPr>
          <w:rFonts w:ascii="Times New Roman" w:hAnsi="Times New Roman" w:eastAsia="Times New Roman" w:cs="Times New Roman"/>
          <w:szCs w:val="20"/>
          <w:lang w:eastAsia="fr-FR"/>
        </w:rPr>
        <w:instrText xml:space="preserve"> SEQ level0 \*arabic </w:instrText>
      </w:r>
      <w:r w:rsidRPr="002A3213">
        <w:rPr>
          <w:rFonts w:ascii="Times New Roman" w:hAnsi="Times New Roman" w:eastAsia="Times New Roman" w:cs="Times New Roman"/>
          <w:szCs w:val="20"/>
          <w:lang w:eastAsia="fr-FR"/>
        </w:rPr>
        <w:fldChar w:fldCharType="separate"/>
      </w:r>
      <w:r w:rsidRPr="002A3213" w:rsidR="002A3213">
        <w:rPr>
          <w:rFonts w:ascii="Times New Roman" w:hAnsi="Times New Roman" w:eastAsia="Times New Roman" w:cs="Times New Roman"/>
          <w:noProof/>
          <w:szCs w:val="20"/>
          <w:lang w:eastAsia="fr-FR"/>
        </w:rPr>
        <w:t>10</w:t>
      </w:r>
      <w:r w:rsidRPr="002A3213">
        <w:rPr>
          <w:rFonts w:ascii="Times New Roman" w:hAnsi="Times New Roman" w:eastAsia="Times New Roman" w:cs="Times New Roman"/>
          <w:szCs w:val="20"/>
          <w:lang w:eastAsia="fr-FR"/>
        </w:rPr>
        <w:fldChar w:fldCharType="end"/>
      </w:r>
      <w:r w:rsidRPr="002A3213">
        <w:rPr>
          <w:rFonts w:ascii="Times New Roman" w:hAnsi="Times New Roman" w:eastAsia="Times New Roman" w:cs="Times New Roman"/>
          <w:szCs w:val="20"/>
          <w:lang w:eastAsia="fr-FR"/>
        </w:rPr>
        <w:t>.  </w:t>
      </w:r>
      <w:r w:rsidRPr="002A3213" w:rsidR="00EA4AF3">
        <w:rPr>
          <w:rFonts w:ascii="Times New Roman" w:hAnsi="Times New Roman" w:eastAsia="Times New Roman" w:cs="Times New Roman"/>
          <w:szCs w:val="20"/>
          <w:lang w:eastAsia="fr-FR"/>
        </w:rPr>
        <w:t>On 20 August 2005 it was publicly announced that a regional public association</w:t>
      </w:r>
      <w:r w:rsidRPr="002A3213" w:rsidR="001164B5">
        <w:rPr>
          <w:rFonts w:ascii="Times New Roman" w:hAnsi="Times New Roman" w:eastAsia="Times New Roman" w:cs="Times New Roman"/>
          <w:szCs w:val="20"/>
          <w:lang w:eastAsia="fr-FR"/>
        </w:rPr>
        <w:t xml:space="preserve"> named</w:t>
      </w:r>
      <w:r w:rsidRPr="002A3213" w:rsidR="00EA4AF3">
        <w:rPr>
          <w:rFonts w:ascii="Times New Roman" w:hAnsi="Times New Roman" w:eastAsia="Times New Roman" w:cs="Times New Roman"/>
          <w:szCs w:val="20"/>
          <w:lang w:eastAsia="fr-FR"/>
        </w:rPr>
        <w:t xml:space="preserve"> “Rainbow House” (the second applicant) </w:t>
      </w:r>
      <w:r w:rsidRPr="002A3213" w:rsidR="001164B5">
        <w:rPr>
          <w:rFonts w:ascii="Times New Roman" w:hAnsi="Times New Roman" w:eastAsia="Times New Roman" w:cs="Times New Roman"/>
          <w:szCs w:val="20"/>
          <w:lang w:eastAsia="fr-FR"/>
        </w:rPr>
        <w:t xml:space="preserve">had been </w:t>
      </w:r>
      <w:r w:rsidRPr="002A3213" w:rsidR="00EA4AF3">
        <w:rPr>
          <w:rFonts w:ascii="Times New Roman" w:hAnsi="Times New Roman" w:eastAsia="Times New Roman" w:cs="Times New Roman"/>
          <w:szCs w:val="20"/>
          <w:lang w:eastAsia="fr-FR"/>
        </w:rPr>
        <w:t xml:space="preserve">created with the aim of defending the rights of </w:t>
      </w:r>
      <w:r w:rsidRPr="002A3213" w:rsidR="00A7533F">
        <w:rPr>
          <w:rFonts w:ascii="Times New Roman" w:hAnsi="Times New Roman" w:eastAsia="Times New Roman" w:cs="Times New Roman"/>
          <w:szCs w:val="20"/>
          <w:lang w:eastAsia="fr-FR"/>
        </w:rPr>
        <w:t>LGBT people</w:t>
      </w:r>
      <w:r w:rsidRPr="002A3213" w:rsidR="00EA4AF3">
        <w:rPr>
          <w:rFonts w:ascii="Times New Roman" w:hAnsi="Times New Roman" w:eastAsia="Times New Roman" w:cs="Times New Roman"/>
          <w:szCs w:val="20"/>
          <w:lang w:eastAsia="fr-FR"/>
        </w:rPr>
        <w:t>.</w:t>
      </w:r>
    </w:p>
    <w:p w:rsidRPr="002A3213" w:rsidR="00EA4AF3" w:rsidP="002A3213" w:rsidRDefault="00EA4AF3">
      <w:pPr>
        <w:pStyle w:val="ECHRHeading3"/>
        <w:rPr>
          <w:rFonts w:eastAsia="Times New Roman"/>
          <w:lang w:eastAsia="fr-FR"/>
        </w:rPr>
      </w:pPr>
      <w:r w:rsidRPr="002A3213">
        <w:rPr>
          <w:rFonts w:eastAsia="Times New Roman"/>
          <w:lang w:eastAsia="fr-FR"/>
        </w:rPr>
        <w:t>2.  The first refusal of registration</w:t>
      </w:r>
    </w:p>
    <w:p w:rsidRPr="002A3213" w:rsidR="005D59EB" w:rsidP="002A3213" w:rsidRDefault="003D5472">
      <w:pPr>
        <w:pStyle w:val="ECHRPara"/>
        <w:rPr>
          <w:rFonts w:ascii="Times New Roman" w:hAnsi="Times New Roman" w:eastAsia="Times New Roman" w:cs="Times New Roman"/>
          <w:szCs w:val="20"/>
          <w:lang w:eastAsia="fr-FR"/>
        </w:rPr>
      </w:pPr>
      <w:r w:rsidRPr="002A3213">
        <w:rPr>
          <w:rFonts w:ascii="Times New Roman" w:hAnsi="Times New Roman" w:eastAsia="Times New Roman" w:cs="Times New Roman"/>
          <w:szCs w:val="20"/>
          <w:lang w:eastAsia="fr-FR"/>
        </w:rPr>
        <w:fldChar w:fldCharType="begin"/>
      </w:r>
      <w:r w:rsidRPr="002A3213">
        <w:rPr>
          <w:rFonts w:ascii="Times New Roman" w:hAnsi="Times New Roman" w:eastAsia="Times New Roman" w:cs="Times New Roman"/>
          <w:szCs w:val="20"/>
          <w:lang w:eastAsia="fr-FR"/>
        </w:rPr>
        <w:instrText xml:space="preserve"> SEQ level0 \*arabic </w:instrText>
      </w:r>
      <w:r w:rsidRPr="002A3213">
        <w:rPr>
          <w:rFonts w:ascii="Times New Roman" w:hAnsi="Times New Roman" w:eastAsia="Times New Roman" w:cs="Times New Roman"/>
          <w:szCs w:val="20"/>
          <w:lang w:eastAsia="fr-FR"/>
        </w:rPr>
        <w:fldChar w:fldCharType="separate"/>
      </w:r>
      <w:r w:rsidRPr="002A3213" w:rsidR="002A3213">
        <w:rPr>
          <w:rFonts w:ascii="Times New Roman" w:hAnsi="Times New Roman" w:eastAsia="Times New Roman" w:cs="Times New Roman"/>
          <w:noProof/>
          <w:szCs w:val="20"/>
          <w:lang w:eastAsia="fr-FR"/>
        </w:rPr>
        <w:t>11</w:t>
      </w:r>
      <w:r w:rsidRPr="002A3213">
        <w:rPr>
          <w:rFonts w:ascii="Times New Roman" w:hAnsi="Times New Roman" w:eastAsia="Times New Roman" w:cs="Times New Roman"/>
          <w:szCs w:val="20"/>
          <w:lang w:eastAsia="fr-FR"/>
        </w:rPr>
        <w:fldChar w:fldCharType="end"/>
      </w:r>
      <w:r w:rsidRPr="002A3213">
        <w:rPr>
          <w:rFonts w:ascii="Times New Roman" w:hAnsi="Times New Roman" w:eastAsia="Times New Roman" w:cs="Times New Roman"/>
          <w:szCs w:val="20"/>
          <w:lang w:eastAsia="fr-FR"/>
        </w:rPr>
        <w:t>.  </w:t>
      </w:r>
      <w:r w:rsidRPr="002A3213" w:rsidR="00EA4AF3">
        <w:rPr>
          <w:rFonts w:ascii="Times New Roman" w:hAnsi="Times New Roman" w:eastAsia="Times New Roman" w:cs="Times New Roman"/>
          <w:szCs w:val="20"/>
          <w:lang w:eastAsia="fr-FR"/>
        </w:rPr>
        <w:t xml:space="preserve">In June 2006 the first applicant submitted an application for registration of the second applicant with the local department of the Federal Registration Service of the Ministry of Justice (hereafter “the </w:t>
      </w:r>
      <w:r w:rsidRPr="002A3213" w:rsidR="00917BF2">
        <w:rPr>
          <w:rFonts w:ascii="Times New Roman" w:hAnsi="Times New Roman" w:eastAsia="Times New Roman" w:cs="Times New Roman"/>
          <w:szCs w:val="20"/>
          <w:lang w:eastAsia="fr-FR"/>
        </w:rPr>
        <w:t xml:space="preserve">Tyumen </w:t>
      </w:r>
      <w:r w:rsidRPr="002A3213" w:rsidR="00EA4AF3">
        <w:rPr>
          <w:rFonts w:ascii="Times New Roman" w:hAnsi="Times New Roman" w:eastAsia="Times New Roman" w:cs="Times New Roman"/>
          <w:szCs w:val="20"/>
          <w:lang w:eastAsia="fr-FR"/>
        </w:rPr>
        <w:t>registration authority”).</w:t>
      </w:r>
    </w:p>
    <w:p w:rsidRPr="002A3213" w:rsidR="00EA4AF3" w:rsidP="002A3213" w:rsidRDefault="003D5472">
      <w:pPr>
        <w:pStyle w:val="ECHRPara"/>
        <w:rPr>
          <w:rFonts w:ascii="Times New Roman" w:hAnsi="Times New Roman" w:eastAsia="Times New Roman" w:cs="Times New Roman"/>
          <w:szCs w:val="20"/>
          <w:lang w:eastAsia="fr-FR"/>
        </w:rPr>
      </w:pPr>
      <w:r w:rsidRPr="002A3213">
        <w:rPr>
          <w:rFonts w:ascii="Times New Roman" w:hAnsi="Times New Roman" w:eastAsia="Times New Roman" w:cs="Times New Roman"/>
          <w:szCs w:val="20"/>
          <w:lang w:eastAsia="fr-FR"/>
        </w:rPr>
        <w:fldChar w:fldCharType="begin"/>
      </w:r>
      <w:r w:rsidRPr="002A3213">
        <w:rPr>
          <w:rFonts w:ascii="Times New Roman" w:hAnsi="Times New Roman" w:eastAsia="Times New Roman" w:cs="Times New Roman"/>
          <w:szCs w:val="20"/>
          <w:lang w:eastAsia="fr-FR"/>
        </w:rPr>
        <w:instrText xml:space="preserve"> SEQ level0 \*arabic </w:instrText>
      </w:r>
      <w:r w:rsidRPr="002A3213">
        <w:rPr>
          <w:rFonts w:ascii="Times New Roman" w:hAnsi="Times New Roman" w:eastAsia="Times New Roman" w:cs="Times New Roman"/>
          <w:szCs w:val="20"/>
          <w:lang w:eastAsia="fr-FR"/>
        </w:rPr>
        <w:fldChar w:fldCharType="separate"/>
      </w:r>
      <w:r w:rsidRPr="002A3213" w:rsidR="002A3213">
        <w:rPr>
          <w:rFonts w:ascii="Times New Roman" w:hAnsi="Times New Roman" w:eastAsia="Times New Roman" w:cs="Times New Roman"/>
          <w:noProof/>
          <w:szCs w:val="20"/>
          <w:lang w:eastAsia="fr-FR"/>
        </w:rPr>
        <w:t>12</w:t>
      </w:r>
      <w:r w:rsidRPr="002A3213">
        <w:rPr>
          <w:rFonts w:ascii="Times New Roman" w:hAnsi="Times New Roman" w:eastAsia="Times New Roman" w:cs="Times New Roman"/>
          <w:szCs w:val="20"/>
          <w:lang w:eastAsia="fr-FR"/>
        </w:rPr>
        <w:fldChar w:fldCharType="end"/>
      </w:r>
      <w:r w:rsidRPr="002A3213">
        <w:rPr>
          <w:rFonts w:ascii="Times New Roman" w:hAnsi="Times New Roman" w:eastAsia="Times New Roman" w:cs="Times New Roman"/>
          <w:szCs w:val="20"/>
          <w:lang w:eastAsia="fr-FR"/>
        </w:rPr>
        <w:t>.  </w:t>
      </w:r>
      <w:r w:rsidRPr="002A3213" w:rsidR="00917BF2">
        <w:rPr>
          <w:rFonts w:ascii="Times New Roman" w:hAnsi="Times New Roman" w:eastAsia="Times New Roman" w:cs="Times New Roman"/>
          <w:szCs w:val="20"/>
          <w:lang w:eastAsia="fr-FR"/>
        </w:rPr>
        <w:t>The Tyumen</w:t>
      </w:r>
      <w:r w:rsidRPr="002A3213" w:rsidR="00EA4AF3">
        <w:rPr>
          <w:rFonts w:ascii="Times New Roman" w:hAnsi="Times New Roman" w:eastAsia="Times New Roman" w:cs="Times New Roman"/>
          <w:szCs w:val="20"/>
          <w:lang w:eastAsia="fr-FR"/>
        </w:rPr>
        <w:t xml:space="preserve"> registration authority commissioned an expert opinion from the Tyumen Institute of Legal Studies of the Interior Ministry of Russia. The Institute studied the second applicant</w:t>
      </w:r>
      <w:r w:rsidRPr="002A3213" w:rsidR="002A3213">
        <w:rPr>
          <w:rFonts w:ascii="Times New Roman" w:hAnsi="Times New Roman" w:eastAsia="Times New Roman" w:cs="Times New Roman"/>
          <w:szCs w:val="20"/>
          <w:lang w:eastAsia="fr-FR"/>
        </w:rPr>
        <w:t>’</w:t>
      </w:r>
      <w:r w:rsidRPr="002A3213" w:rsidR="00EA4AF3">
        <w:rPr>
          <w:rFonts w:ascii="Times New Roman" w:hAnsi="Times New Roman" w:eastAsia="Times New Roman" w:cs="Times New Roman"/>
          <w:szCs w:val="20"/>
          <w:lang w:eastAsia="fr-FR"/>
        </w:rPr>
        <w:t>s articles of association and on 31 July 2006 prepared an expert opinion</w:t>
      </w:r>
      <w:r w:rsidRPr="002A3213" w:rsidR="001164B5">
        <w:rPr>
          <w:rFonts w:ascii="Times New Roman" w:hAnsi="Times New Roman" w:eastAsia="Times New Roman" w:cs="Times New Roman"/>
          <w:szCs w:val="20"/>
          <w:lang w:eastAsia="fr-FR"/>
        </w:rPr>
        <w:t>,</w:t>
      </w:r>
      <w:r w:rsidRPr="002A3213" w:rsidR="00EA4AF3">
        <w:rPr>
          <w:rFonts w:ascii="Times New Roman" w:hAnsi="Times New Roman" w:eastAsia="Times New Roman" w:cs="Times New Roman"/>
          <w:szCs w:val="20"/>
          <w:lang w:eastAsia="fr-FR"/>
        </w:rPr>
        <w:t xml:space="preserve"> which read as follows:</w:t>
      </w:r>
    </w:p>
    <w:p w:rsidRPr="002A3213" w:rsidR="00EA4AF3" w:rsidP="002A3213" w:rsidRDefault="00EA4AF3">
      <w:pPr>
        <w:pStyle w:val="ECHRParaQuote"/>
        <w:rPr>
          <w:rFonts w:eastAsia="Times New Roman"/>
          <w:lang w:eastAsia="fr-FR"/>
        </w:rPr>
      </w:pPr>
      <w:r w:rsidRPr="002A3213">
        <w:rPr>
          <w:rFonts w:eastAsia="Times New Roman"/>
          <w:lang w:eastAsia="fr-FR"/>
        </w:rPr>
        <w:t xml:space="preserve">“The rights and legitimate interests of citizens </w:t>
      </w:r>
      <w:r w:rsidRPr="002A3213" w:rsidR="001164B5">
        <w:rPr>
          <w:rFonts w:eastAsia="Times New Roman"/>
          <w:lang w:eastAsia="fr-FR"/>
        </w:rPr>
        <w:t xml:space="preserve">of </w:t>
      </w:r>
      <w:r w:rsidRPr="002A3213">
        <w:rPr>
          <w:rFonts w:eastAsia="Times New Roman"/>
          <w:lang w:eastAsia="fr-FR"/>
        </w:rPr>
        <w:t>traditional sexual orientation, of society [as a whole] and of the State may be breached by activities related to the following stated aims of [the second applicant]:</w:t>
      </w:r>
    </w:p>
    <w:p w:rsidRPr="002A3213" w:rsidR="00EA4AF3" w:rsidP="002A3213" w:rsidRDefault="00EA4AF3">
      <w:pPr>
        <w:pStyle w:val="ECHRParaQuote"/>
        <w:rPr>
          <w:rFonts w:eastAsia="Times New Roman"/>
          <w:lang w:eastAsia="fr-FR"/>
        </w:rPr>
      </w:pPr>
      <w:r w:rsidRPr="002A3213">
        <w:rPr>
          <w:rFonts w:eastAsia="Times New Roman"/>
          <w:lang w:eastAsia="fr-FR"/>
        </w:rPr>
        <w:t xml:space="preserve">Publication and distribution of mass media, print, film and video products and communication </w:t>
      </w:r>
      <w:r w:rsidRPr="002A3213" w:rsidR="001164B5">
        <w:rPr>
          <w:rFonts w:eastAsia="Times New Roman"/>
          <w:lang w:eastAsia="fr-FR"/>
        </w:rPr>
        <w:t xml:space="preserve">via the </w:t>
      </w:r>
      <w:r w:rsidRPr="002A3213">
        <w:rPr>
          <w:rFonts w:eastAsia="Times New Roman"/>
          <w:lang w:eastAsia="fr-FR"/>
        </w:rPr>
        <w:t>Internet of information about [the second applicant];</w:t>
      </w:r>
    </w:p>
    <w:p w:rsidRPr="002A3213" w:rsidR="00EA4AF3" w:rsidP="002A3213" w:rsidRDefault="00EA4AF3">
      <w:pPr>
        <w:pStyle w:val="ECHRParaQuote"/>
        <w:rPr>
          <w:rFonts w:eastAsia="Times New Roman"/>
          <w:lang w:eastAsia="fr-FR"/>
        </w:rPr>
      </w:pPr>
      <w:r w:rsidRPr="002A3213">
        <w:rPr>
          <w:rFonts w:eastAsia="Times New Roman"/>
          <w:lang w:eastAsia="fr-FR"/>
        </w:rPr>
        <w:t xml:space="preserve">Participation in the drafting of laws aimed at improving protection of persons </w:t>
      </w:r>
      <w:r w:rsidRPr="002A3213" w:rsidR="001164B5">
        <w:rPr>
          <w:rFonts w:eastAsia="Times New Roman"/>
          <w:lang w:eastAsia="fr-FR"/>
        </w:rPr>
        <w:t xml:space="preserve">of </w:t>
      </w:r>
      <w:r w:rsidRPr="002A3213">
        <w:rPr>
          <w:rFonts w:eastAsia="Times New Roman"/>
          <w:lang w:eastAsia="fr-FR"/>
        </w:rPr>
        <w:t>non-traditional sexual orientation.</w:t>
      </w:r>
    </w:p>
    <w:p w:rsidRPr="002A3213" w:rsidR="00EA4AF3" w:rsidP="002A3213" w:rsidRDefault="00EA4AF3">
      <w:pPr>
        <w:pStyle w:val="ECHRParaQuote"/>
        <w:rPr>
          <w:rFonts w:eastAsia="Times New Roman"/>
          <w:lang w:eastAsia="fr-FR"/>
        </w:rPr>
      </w:pPr>
      <w:r w:rsidRPr="002A3213">
        <w:rPr>
          <w:rFonts w:eastAsia="Times New Roman"/>
          <w:lang w:eastAsia="fr-FR"/>
        </w:rPr>
        <w:t xml:space="preserve">The above </w:t>
      </w:r>
      <w:r w:rsidRPr="002A3213" w:rsidR="00155264">
        <w:rPr>
          <w:rFonts w:eastAsia="Times New Roman"/>
          <w:lang w:eastAsia="fr-FR"/>
        </w:rPr>
        <w:t>finding</w:t>
      </w:r>
      <w:r w:rsidRPr="002A3213">
        <w:rPr>
          <w:rFonts w:eastAsia="Times New Roman"/>
          <w:lang w:eastAsia="fr-FR"/>
        </w:rPr>
        <w:t xml:space="preserve"> is based on the following consideration: realisation of these aims involves propaganda of non-traditional sexual orientation.</w:t>
      </w:r>
    </w:p>
    <w:p w:rsidRPr="002A3213" w:rsidR="00EA4AF3" w:rsidP="002A3213" w:rsidRDefault="00B067AD">
      <w:pPr>
        <w:pStyle w:val="ECHRParaQuote"/>
        <w:rPr>
          <w:rFonts w:eastAsia="Times New Roman"/>
          <w:lang w:eastAsia="fr-FR"/>
        </w:rPr>
      </w:pPr>
      <w:r w:rsidRPr="002A3213">
        <w:rPr>
          <w:rFonts w:eastAsia="Times New Roman"/>
          <w:lang w:eastAsia="fr-FR"/>
        </w:rPr>
        <w:t>...</w:t>
      </w:r>
    </w:p>
    <w:p w:rsidRPr="002A3213" w:rsidR="00EA4AF3" w:rsidP="002A3213" w:rsidRDefault="00EA4AF3">
      <w:pPr>
        <w:pStyle w:val="ECHRParaQuote"/>
        <w:rPr>
          <w:rFonts w:eastAsia="Times New Roman"/>
          <w:lang w:eastAsia="fr-FR"/>
        </w:rPr>
      </w:pPr>
      <w:r w:rsidRPr="002A3213">
        <w:rPr>
          <w:rFonts w:eastAsia="Times New Roman"/>
          <w:lang w:eastAsia="fr-FR"/>
        </w:rPr>
        <w:t>[The second applicant</w:t>
      </w:r>
      <w:r w:rsidRPr="002A3213" w:rsidR="002A3213">
        <w:rPr>
          <w:rFonts w:eastAsia="Times New Roman"/>
          <w:lang w:eastAsia="fr-FR"/>
        </w:rPr>
        <w:t>’</w:t>
      </w:r>
      <w:r w:rsidRPr="002A3213">
        <w:rPr>
          <w:rFonts w:eastAsia="Times New Roman"/>
          <w:lang w:eastAsia="fr-FR"/>
        </w:rPr>
        <w:t>s] activities relat</w:t>
      </w:r>
      <w:r w:rsidRPr="002A3213" w:rsidR="001164B5">
        <w:rPr>
          <w:rFonts w:eastAsia="Times New Roman"/>
          <w:lang w:eastAsia="fr-FR"/>
        </w:rPr>
        <w:t xml:space="preserve">ing </w:t>
      </w:r>
      <w:r w:rsidRPr="002A3213">
        <w:rPr>
          <w:rFonts w:eastAsia="Times New Roman"/>
          <w:lang w:eastAsia="fr-FR"/>
        </w:rPr>
        <w:t>to propaganda of non-traditional sexual orientation may endanger the security of Russian society and</w:t>
      </w:r>
      <w:r w:rsidRPr="002A3213" w:rsidR="001164B5">
        <w:rPr>
          <w:rFonts w:eastAsia="Times New Roman"/>
          <w:lang w:eastAsia="fr-FR"/>
        </w:rPr>
        <w:t xml:space="preserve"> the</w:t>
      </w:r>
      <w:r w:rsidRPr="002A3213">
        <w:rPr>
          <w:rFonts w:eastAsia="Times New Roman"/>
          <w:lang w:eastAsia="fr-FR"/>
        </w:rPr>
        <w:t xml:space="preserve"> State for the following reasons:</w:t>
      </w:r>
    </w:p>
    <w:p w:rsidRPr="002A3213" w:rsidR="00EA4AF3" w:rsidP="002A3213" w:rsidRDefault="00893DF9">
      <w:pPr>
        <w:pStyle w:val="ECHRParaQuote"/>
        <w:rPr>
          <w:rFonts w:eastAsia="Times New Roman"/>
          <w:lang w:eastAsia="fr-FR"/>
        </w:rPr>
      </w:pPr>
      <w:r w:rsidRPr="002A3213">
        <w:rPr>
          <w:rFonts w:eastAsia="Times New Roman"/>
          <w:lang w:eastAsia="fr-FR"/>
        </w:rPr>
        <w:t>–  </w:t>
      </w:r>
      <w:r w:rsidRPr="002A3213" w:rsidR="00EA4AF3">
        <w:rPr>
          <w:rFonts w:eastAsia="Times New Roman"/>
          <w:lang w:eastAsia="fr-FR"/>
        </w:rPr>
        <w:t>It will destroy the moral values of society;</w:t>
      </w:r>
    </w:p>
    <w:p w:rsidRPr="002A3213" w:rsidR="00EA4AF3" w:rsidP="002A3213" w:rsidRDefault="00893DF9">
      <w:pPr>
        <w:pStyle w:val="ECHRParaQuote"/>
        <w:rPr>
          <w:rFonts w:eastAsia="Times New Roman"/>
          <w:lang w:eastAsia="fr-FR"/>
        </w:rPr>
      </w:pPr>
      <w:r w:rsidRPr="002A3213">
        <w:rPr>
          <w:rFonts w:eastAsia="Times New Roman"/>
          <w:lang w:eastAsia="fr-FR"/>
        </w:rPr>
        <w:t>–  </w:t>
      </w:r>
      <w:r w:rsidRPr="002A3213" w:rsidR="00EA4AF3">
        <w:rPr>
          <w:rFonts w:eastAsia="Times New Roman"/>
          <w:lang w:eastAsia="fr-FR"/>
        </w:rPr>
        <w:t>It will undermine the sovereignty and territorial integrity of the Russian Federation by decreasing its population.</w:t>
      </w:r>
    </w:p>
    <w:p w:rsidRPr="002A3213" w:rsidR="005D59EB" w:rsidP="002A3213" w:rsidRDefault="00EA4AF3">
      <w:pPr>
        <w:pStyle w:val="ECHRParaQuote"/>
        <w:rPr>
          <w:rFonts w:eastAsia="Times New Roman"/>
          <w:lang w:eastAsia="fr-FR"/>
        </w:rPr>
      </w:pPr>
      <w:r w:rsidRPr="002A3213">
        <w:rPr>
          <w:rFonts w:eastAsia="Times New Roman"/>
          <w:lang w:eastAsia="fr-FR"/>
        </w:rPr>
        <w:t xml:space="preserve">It follows from the above that propaganda of non-traditional sexual orientation by [the second applicant] may be </w:t>
      </w:r>
      <w:r w:rsidRPr="002A3213" w:rsidR="001164B5">
        <w:rPr>
          <w:rFonts w:eastAsia="Times New Roman"/>
          <w:lang w:eastAsia="fr-FR"/>
        </w:rPr>
        <w:t xml:space="preserve">classified </w:t>
      </w:r>
      <w:r w:rsidRPr="002A3213">
        <w:rPr>
          <w:rFonts w:eastAsia="Times New Roman"/>
          <w:lang w:eastAsia="fr-FR"/>
        </w:rPr>
        <w:t xml:space="preserve">as extremist activities because the </w:t>
      </w:r>
      <w:r w:rsidRPr="002A3213" w:rsidR="003D10D9">
        <w:rPr>
          <w:rFonts w:eastAsia="Times New Roman"/>
          <w:lang w:eastAsia="fr-FR"/>
        </w:rPr>
        <w:t>pursuit</w:t>
      </w:r>
      <w:r w:rsidRPr="002A3213">
        <w:rPr>
          <w:rFonts w:eastAsia="Times New Roman"/>
          <w:lang w:eastAsia="fr-FR"/>
        </w:rPr>
        <w:t xml:space="preserve"> of the aims mentioned above involves not only </w:t>
      </w:r>
      <w:r w:rsidRPr="002A3213" w:rsidR="001164B5">
        <w:rPr>
          <w:rFonts w:eastAsia="Times New Roman"/>
          <w:lang w:eastAsia="fr-FR"/>
        </w:rPr>
        <w:t xml:space="preserve">the </w:t>
      </w:r>
      <w:r w:rsidRPr="002A3213">
        <w:rPr>
          <w:rFonts w:eastAsia="Times New Roman"/>
          <w:lang w:eastAsia="fr-FR"/>
        </w:rPr>
        <w:t xml:space="preserve">protection of </w:t>
      </w:r>
      <w:r w:rsidRPr="002A3213" w:rsidR="001164B5">
        <w:rPr>
          <w:rFonts w:eastAsia="Times New Roman"/>
          <w:lang w:eastAsia="fr-FR"/>
        </w:rPr>
        <w:t xml:space="preserve">the </w:t>
      </w:r>
      <w:r w:rsidRPr="002A3213">
        <w:rPr>
          <w:rFonts w:eastAsia="Times New Roman"/>
          <w:lang w:eastAsia="fr-FR"/>
        </w:rPr>
        <w:t xml:space="preserve">rights and legitimate interests of citizens </w:t>
      </w:r>
      <w:r w:rsidRPr="002A3213" w:rsidR="001164B5">
        <w:rPr>
          <w:rFonts w:eastAsia="Times New Roman"/>
          <w:lang w:eastAsia="fr-FR"/>
        </w:rPr>
        <w:t xml:space="preserve">of </w:t>
      </w:r>
      <w:r w:rsidRPr="002A3213">
        <w:rPr>
          <w:rFonts w:eastAsia="Times New Roman"/>
          <w:lang w:eastAsia="fr-FR"/>
        </w:rPr>
        <w:t xml:space="preserve">non-traditional sexual orientation, but also attempts </w:t>
      </w:r>
      <w:r w:rsidRPr="002A3213" w:rsidR="001164B5">
        <w:rPr>
          <w:rFonts w:eastAsia="Times New Roman"/>
          <w:lang w:eastAsia="fr-FR"/>
        </w:rPr>
        <w:t xml:space="preserve">to </w:t>
      </w:r>
      <w:r w:rsidRPr="002A3213" w:rsidR="003D10D9">
        <w:rPr>
          <w:rFonts w:eastAsia="Times New Roman"/>
          <w:lang w:eastAsia="fr-FR"/>
        </w:rPr>
        <w:t>increas</w:t>
      </w:r>
      <w:r w:rsidRPr="002A3213" w:rsidR="004F2F4F">
        <w:rPr>
          <w:rFonts w:eastAsia="Times New Roman"/>
          <w:lang w:eastAsia="fr-FR"/>
        </w:rPr>
        <w:t>e</w:t>
      </w:r>
      <w:r w:rsidRPr="002A3213">
        <w:rPr>
          <w:rFonts w:eastAsia="Times New Roman"/>
          <w:lang w:eastAsia="fr-FR"/>
        </w:rPr>
        <w:t xml:space="preserve"> the number of such citizens by converting those who, without such propaganda, would have retained a traditional sexual orientation.</w:t>
      </w:r>
    </w:p>
    <w:p w:rsidRPr="002A3213" w:rsidR="00EA4AF3" w:rsidP="002A3213" w:rsidRDefault="00EA4AF3">
      <w:pPr>
        <w:pStyle w:val="ECHRParaQuote"/>
        <w:rPr>
          <w:rFonts w:eastAsia="Times New Roman"/>
          <w:lang w:eastAsia="fr-FR"/>
        </w:rPr>
      </w:pPr>
      <w:r w:rsidRPr="002A3213">
        <w:rPr>
          <w:rFonts w:eastAsia="Times New Roman"/>
          <w:lang w:eastAsia="fr-FR"/>
        </w:rPr>
        <w:t xml:space="preserve">However, to confirm the above finding, it is necessary </w:t>
      </w:r>
      <w:r w:rsidRPr="002A3213" w:rsidR="00B067AD">
        <w:rPr>
          <w:rFonts w:eastAsia="Times New Roman"/>
          <w:lang w:eastAsia="fr-FR"/>
        </w:rPr>
        <w:t>to perform a sociological study ...</w:t>
      </w:r>
      <w:r w:rsidRPr="002A3213">
        <w:rPr>
          <w:rFonts w:eastAsia="Times New Roman"/>
          <w:lang w:eastAsia="fr-FR"/>
        </w:rPr>
        <w:t>”</w:t>
      </w:r>
    </w:p>
    <w:p w:rsidRPr="002A3213" w:rsidR="005D59EB" w:rsidP="002A3213" w:rsidRDefault="003D5472">
      <w:pPr>
        <w:pStyle w:val="ECHRPara"/>
        <w:rPr>
          <w:rFonts w:ascii="Times New Roman" w:hAnsi="Times New Roman" w:eastAsia="Times New Roman" w:cs="Times New Roman"/>
          <w:szCs w:val="20"/>
          <w:lang w:eastAsia="fr-FR"/>
        </w:rPr>
      </w:pPr>
      <w:r w:rsidRPr="002A3213">
        <w:rPr>
          <w:rFonts w:ascii="Times New Roman" w:hAnsi="Times New Roman" w:eastAsia="Times New Roman" w:cs="Times New Roman"/>
          <w:szCs w:val="20"/>
          <w:lang w:eastAsia="fr-FR"/>
        </w:rPr>
        <w:fldChar w:fldCharType="begin"/>
      </w:r>
      <w:r w:rsidRPr="002A3213">
        <w:rPr>
          <w:rFonts w:ascii="Times New Roman" w:hAnsi="Times New Roman" w:eastAsia="Times New Roman" w:cs="Times New Roman"/>
          <w:szCs w:val="20"/>
          <w:lang w:eastAsia="fr-FR"/>
        </w:rPr>
        <w:instrText xml:space="preserve"> SEQ level0 \*arabic </w:instrText>
      </w:r>
      <w:r w:rsidRPr="002A3213">
        <w:rPr>
          <w:rFonts w:ascii="Times New Roman" w:hAnsi="Times New Roman" w:eastAsia="Times New Roman" w:cs="Times New Roman"/>
          <w:szCs w:val="20"/>
          <w:lang w:eastAsia="fr-FR"/>
        </w:rPr>
        <w:fldChar w:fldCharType="separate"/>
      </w:r>
      <w:r w:rsidRPr="002A3213" w:rsidR="002A3213">
        <w:rPr>
          <w:rFonts w:ascii="Times New Roman" w:hAnsi="Times New Roman" w:eastAsia="Times New Roman" w:cs="Times New Roman"/>
          <w:noProof/>
          <w:szCs w:val="20"/>
          <w:lang w:eastAsia="fr-FR"/>
        </w:rPr>
        <w:t>13</w:t>
      </w:r>
      <w:r w:rsidRPr="002A3213">
        <w:rPr>
          <w:rFonts w:ascii="Times New Roman" w:hAnsi="Times New Roman" w:eastAsia="Times New Roman" w:cs="Times New Roman"/>
          <w:szCs w:val="20"/>
          <w:lang w:eastAsia="fr-FR"/>
        </w:rPr>
        <w:fldChar w:fldCharType="end"/>
      </w:r>
      <w:r w:rsidRPr="002A3213">
        <w:rPr>
          <w:rFonts w:ascii="Times New Roman" w:hAnsi="Times New Roman" w:eastAsia="Times New Roman" w:cs="Times New Roman"/>
          <w:szCs w:val="20"/>
          <w:lang w:eastAsia="fr-FR"/>
        </w:rPr>
        <w:t>.  </w:t>
      </w:r>
      <w:r w:rsidRPr="002A3213" w:rsidR="00EA4AF3">
        <w:rPr>
          <w:rFonts w:ascii="Times New Roman" w:hAnsi="Times New Roman" w:eastAsia="Times New Roman" w:cs="Times New Roman"/>
          <w:szCs w:val="20"/>
          <w:lang w:eastAsia="fr-FR"/>
        </w:rPr>
        <w:t>The first applicant received a copy of that expert opinion in October 2007.</w:t>
      </w:r>
    </w:p>
    <w:p w:rsidRPr="002A3213" w:rsidR="00EA4AF3" w:rsidP="002A3213" w:rsidRDefault="003D5472">
      <w:pPr>
        <w:pStyle w:val="ECHRPara"/>
        <w:rPr>
          <w:rFonts w:ascii="Times New Roman" w:hAnsi="Times New Roman" w:eastAsia="Times New Roman" w:cs="Times New Roman"/>
          <w:szCs w:val="20"/>
          <w:lang w:eastAsia="fr-FR"/>
        </w:rPr>
      </w:pPr>
      <w:r w:rsidRPr="002A3213">
        <w:rPr>
          <w:rFonts w:ascii="Times New Roman" w:hAnsi="Times New Roman" w:eastAsia="Times New Roman" w:cs="Times New Roman"/>
          <w:szCs w:val="20"/>
          <w:lang w:eastAsia="fr-FR"/>
        </w:rPr>
        <w:fldChar w:fldCharType="begin"/>
      </w:r>
      <w:r w:rsidRPr="002A3213">
        <w:rPr>
          <w:rFonts w:ascii="Times New Roman" w:hAnsi="Times New Roman" w:eastAsia="Times New Roman" w:cs="Times New Roman"/>
          <w:szCs w:val="20"/>
          <w:lang w:eastAsia="fr-FR"/>
        </w:rPr>
        <w:instrText xml:space="preserve"> SEQ level0 \*arabic </w:instrText>
      </w:r>
      <w:r w:rsidRPr="002A3213">
        <w:rPr>
          <w:rFonts w:ascii="Times New Roman" w:hAnsi="Times New Roman" w:eastAsia="Times New Roman" w:cs="Times New Roman"/>
          <w:szCs w:val="20"/>
          <w:lang w:eastAsia="fr-FR"/>
        </w:rPr>
        <w:fldChar w:fldCharType="separate"/>
      </w:r>
      <w:r w:rsidRPr="002A3213" w:rsidR="002A3213">
        <w:rPr>
          <w:rFonts w:ascii="Times New Roman" w:hAnsi="Times New Roman" w:eastAsia="Times New Roman" w:cs="Times New Roman"/>
          <w:noProof/>
          <w:szCs w:val="20"/>
          <w:lang w:eastAsia="fr-FR"/>
        </w:rPr>
        <w:t>14</w:t>
      </w:r>
      <w:r w:rsidRPr="002A3213">
        <w:rPr>
          <w:rFonts w:ascii="Times New Roman" w:hAnsi="Times New Roman" w:eastAsia="Times New Roman" w:cs="Times New Roman"/>
          <w:szCs w:val="20"/>
          <w:lang w:eastAsia="fr-FR"/>
        </w:rPr>
        <w:fldChar w:fldCharType="end"/>
      </w:r>
      <w:r w:rsidRPr="002A3213">
        <w:rPr>
          <w:rFonts w:ascii="Times New Roman" w:hAnsi="Times New Roman" w:eastAsia="Times New Roman" w:cs="Times New Roman"/>
          <w:szCs w:val="20"/>
          <w:lang w:eastAsia="fr-FR"/>
        </w:rPr>
        <w:t>.  </w:t>
      </w:r>
      <w:r w:rsidRPr="002A3213" w:rsidR="00FB7A36">
        <w:rPr>
          <w:rFonts w:ascii="Times New Roman" w:hAnsi="Times New Roman" w:eastAsia="Times New Roman" w:cs="Times New Roman"/>
          <w:szCs w:val="20"/>
          <w:lang w:eastAsia="fr-FR"/>
        </w:rPr>
        <w:t>On 29 December 2006 the Tyumen</w:t>
      </w:r>
      <w:r w:rsidRPr="002A3213" w:rsidR="00EA4AF3">
        <w:rPr>
          <w:rFonts w:ascii="Times New Roman" w:hAnsi="Times New Roman" w:eastAsia="Times New Roman" w:cs="Times New Roman"/>
          <w:szCs w:val="20"/>
          <w:lang w:eastAsia="fr-FR"/>
        </w:rPr>
        <w:t xml:space="preserve"> registration authority refused registration of the second applicant, finding that it </w:t>
      </w:r>
      <w:r w:rsidRPr="002A3213" w:rsidR="004F2F4F">
        <w:rPr>
          <w:rFonts w:ascii="Times New Roman" w:hAnsi="Times New Roman" w:eastAsia="Times New Roman" w:cs="Times New Roman"/>
          <w:szCs w:val="20"/>
          <w:lang w:eastAsia="fr-FR"/>
        </w:rPr>
        <w:t>re</w:t>
      </w:r>
      <w:r w:rsidRPr="002A3213" w:rsidR="00EA4AF3">
        <w:rPr>
          <w:rFonts w:ascii="Times New Roman" w:hAnsi="Times New Roman" w:eastAsia="Times New Roman" w:cs="Times New Roman"/>
          <w:szCs w:val="20"/>
          <w:lang w:eastAsia="fr-FR"/>
        </w:rPr>
        <w:t>presented</w:t>
      </w:r>
      <w:r w:rsidRPr="002A3213" w:rsidR="004F2F4F">
        <w:rPr>
          <w:rFonts w:ascii="Times New Roman" w:hAnsi="Times New Roman" w:eastAsia="Times New Roman" w:cs="Times New Roman"/>
          <w:szCs w:val="20"/>
          <w:lang w:eastAsia="fr-FR"/>
        </w:rPr>
        <w:t xml:space="preserve"> a</w:t>
      </w:r>
      <w:r w:rsidRPr="002A3213" w:rsidR="00EA4AF3">
        <w:rPr>
          <w:rFonts w:ascii="Times New Roman" w:hAnsi="Times New Roman" w:eastAsia="Times New Roman" w:cs="Times New Roman"/>
          <w:szCs w:val="20"/>
          <w:lang w:eastAsia="fr-FR"/>
        </w:rPr>
        <w:t xml:space="preserve"> danger to Russia</w:t>
      </w:r>
      <w:r w:rsidRPr="002A3213" w:rsidR="002A3213">
        <w:rPr>
          <w:rFonts w:ascii="Times New Roman" w:hAnsi="Times New Roman" w:eastAsia="Times New Roman" w:cs="Times New Roman"/>
          <w:szCs w:val="20"/>
          <w:lang w:eastAsia="fr-FR"/>
        </w:rPr>
        <w:t>’</w:t>
      </w:r>
      <w:r w:rsidRPr="002A3213" w:rsidR="00EA4AF3">
        <w:rPr>
          <w:rFonts w:ascii="Times New Roman" w:hAnsi="Times New Roman" w:eastAsia="Times New Roman" w:cs="Times New Roman"/>
          <w:szCs w:val="20"/>
          <w:lang w:eastAsia="fr-FR"/>
        </w:rPr>
        <w:t xml:space="preserve">s national security. In particular, it considered that propaganda of non-traditional sexual orientation was capable of “destroying </w:t>
      </w:r>
      <w:r w:rsidRPr="002A3213" w:rsidR="004F2F4F">
        <w:rPr>
          <w:rFonts w:ascii="Times New Roman" w:hAnsi="Times New Roman" w:eastAsia="Times New Roman" w:cs="Times New Roman"/>
          <w:szCs w:val="20"/>
          <w:lang w:eastAsia="fr-FR"/>
        </w:rPr>
        <w:t xml:space="preserve">the </w:t>
      </w:r>
      <w:r w:rsidRPr="002A3213" w:rsidR="00EA4AF3">
        <w:rPr>
          <w:rFonts w:ascii="Times New Roman" w:hAnsi="Times New Roman" w:eastAsia="Times New Roman" w:cs="Times New Roman"/>
          <w:szCs w:val="20"/>
          <w:lang w:eastAsia="fr-FR"/>
        </w:rPr>
        <w:t>moral values of society and undermining the sovereignty and territorial integrity of the Russian Federation by decreasing its population”. It further considered that the second applicant</w:t>
      </w:r>
      <w:r w:rsidRPr="002A3213" w:rsidR="002A3213">
        <w:rPr>
          <w:rFonts w:ascii="Times New Roman" w:hAnsi="Times New Roman" w:eastAsia="Times New Roman" w:cs="Times New Roman"/>
          <w:szCs w:val="20"/>
          <w:lang w:eastAsia="fr-FR"/>
        </w:rPr>
        <w:t>’</w:t>
      </w:r>
      <w:r w:rsidRPr="002A3213" w:rsidR="00EA4AF3">
        <w:rPr>
          <w:rFonts w:ascii="Times New Roman" w:hAnsi="Times New Roman" w:eastAsia="Times New Roman" w:cs="Times New Roman"/>
          <w:szCs w:val="20"/>
          <w:lang w:eastAsia="fr-FR"/>
        </w:rPr>
        <w:t>s activities might infringe the rights and freedoms of others, jeopardise the constitutionally protected institutions of family and marriage and encourage social and religious hatred and enmity. It concluded that the second applicant was an extremist organisation.</w:t>
      </w:r>
    </w:p>
    <w:p w:rsidRPr="002A3213" w:rsidR="005D59EB" w:rsidP="002A3213" w:rsidRDefault="00EA4AF3">
      <w:pPr>
        <w:pStyle w:val="ECHRPara"/>
        <w:rPr>
          <w:rFonts w:ascii="Times New Roman" w:hAnsi="Times New Roman" w:eastAsia="Times New Roman" w:cs="Times New Roman"/>
          <w:szCs w:val="20"/>
          <w:lang w:eastAsia="fr-FR"/>
        </w:rPr>
      </w:pPr>
      <w:r w:rsidRPr="002A3213">
        <w:rPr>
          <w:rFonts w:ascii="Times New Roman" w:hAnsi="Times New Roman" w:eastAsia="Times New Roman" w:cs="Times New Roman"/>
          <w:szCs w:val="20"/>
          <w:lang w:eastAsia="fr-FR"/>
        </w:rPr>
        <w:t xml:space="preserve">The </w:t>
      </w:r>
      <w:r w:rsidRPr="002A3213" w:rsidR="00FB7A36">
        <w:rPr>
          <w:rFonts w:ascii="Times New Roman" w:hAnsi="Times New Roman" w:eastAsia="Times New Roman" w:cs="Times New Roman"/>
          <w:szCs w:val="20"/>
          <w:lang w:eastAsia="fr-FR"/>
        </w:rPr>
        <w:t>Tyumen</w:t>
      </w:r>
      <w:r w:rsidRPr="002A3213">
        <w:rPr>
          <w:rFonts w:ascii="Times New Roman" w:hAnsi="Times New Roman" w:eastAsia="Times New Roman" w:cs="Times New Roman"/>
          <w:szCs w:val="20"/>
          <w:lang w:eastAsia="fr-FR"/>
        </w:rPr>
        <w:t xml:space="preserve"> registration authority also noted irregularities in the document confirming the lease for the second applicant</w:t>
      </w:r>
      <w:r w:rsidRPr="002A3213" w:rsidR="002A3213">
        <w:rPr>
          <w:rFonts w:ascii="Times New Roman" w:hAnsi="Times New Roman" w:eastAsia="Times New Roman" w:cs="Times New Roman"/>
          <w:szCs w:val="20"/>
          <w:lang w:eastAsia="fr-FR"/>
        </w:rPr>
        <w:t>’</w:t>
      </w:r>
      <w:r w:rsidRPr="002A3213">
        <w:rPr>
          <w:rFonts w:ascii="Times New Roman" w:hAnsi="Times New Roman" w:eastAsia="Times New Roman" w:cs="Times New Roman"/>
          <w:szCs w:val="20"/>
          <w:lang w:eastAsia="fr-FR"/>
        </w:rPr>
        <w:t>s office and reproached the first applicant for paying the registration fee several days before the second applicant had been founded.</w:t>
      </w:r>
    </w:p>
    <w:p w:rsidRPr="002A3213" w:rsidR="005D59EB" w:rsidP="002A3213" w:rsidRDefault="004A10F7">
      <w:pPr>
        <w:pStyle w:val="ECHRPara"/>
        <w:rPr>
          <w:rFonts w:ascii="Times New Roman" w:hAnsi="Times New Roman" w:eastAsia="Times New Roman" w:cs="Times New Roman"/>
          <w:szCs w:val="20"/>
          <w:lang w:eastAsia="fr-FR"/>
        </w:rPr>
      </w:pPr>
      <w:r w:rsidRPr="002A3213">
        <w:rPr>
          <w:rFonts w:ascii="Times New Roman" w:hAnsi="Times New Roman" w:eastAsia="Times New Roman" w:cs="Times New Roman"/>
          <w:szCs w:val="20"/>
          <w:lang w:eastAsia="fr-FR"/>
        </w:rPr>
        <w:fldChar w:fldCharType="begin"/>
      </w:r>
      <w:r w:rsidRPr="002A3213">
        <w:rPr>
          <w:rFonts w:ascii="Times New Roman" w:hAnsi="Times New Roman" w:eastAsia="Times New Roman" w:cs="Times New Roman"/>
          <w:szCs w:val="20"/>
          <w:lang w:eastAsia="fr-FR"/>
        </w:rPr>
        <w:instrText xml:space="preserve"> SEQ level0 \*arabic </w:instrText>
      </w:r>
      <w:r w:rsidRPr="002A3213">
        <w:rPr>
          <w:rFonts w:ascii="Times New Roman" w:hAnsi="Times New Roman" w:eastAsia="Times New Roman" w:cs="Times New Roman"/>
          <w:szCs w:val="20"/>
          <w:lang w:eastAsia="fr-FR"/>
        </w:rPr>
        <w:fldChar w:fldCharType="separate"/>
      </w:r>
      <w:r w:rsidRPr="002A3213" w:rsidR="002A3213">
        <w:rPr>
          <w:rFonts w:ascii="Times New Roman" w:hAnsi="Times New Roman" w:eastAsia="Times New Roman" w:cs="Times New Roman"/>
          <w:noProof/>
          <w:szCs w:val="20"/>
          <w:lang w:eastAsia="fr-FR"/>
        </w:rPr>
        <w:t>15</w:t>
      </w:r>
      <w:r w:rsidRPr="002A3213">
        <w:rPr>
          <w:rFonts w:ascii="Times New Roman" w:hAnsi="Times New Roman" w:eastAsia="Times New Roman" w:cs="Times New Roman"/>
          <w:szCs w:val="20"/>
          <w:lang w:eastAsia="fr-FR"/>
        </w:rPr>
        <w:fldChar w:fldCharType="end"/>
      </w:r>
      <w:r w:rsidRPr="002A3213">
        <w:rPr>
          <w:rFonts w:ascii="Times New Roman" w:hAnsi="Times New Roman" w:eastAsia="Times New Roman" w:cs="Times New Roman"/>
          <w:szCs w:val="20"/>
          <w:lang w:eastAsia="fr-FR"/>
        </w:rPr>
        <w:t>.  </w:t>
      </w:r>
      <w:r w:rsidRPr="002A3213" w:rsidR="00EA4AF3">
        <w:rPr>
          <w:rFonts w:ascii="Times New Roman" w:hAnsi="Times New Roman" w:eastAsia="Times New Roman" w:cs="Times New Roman"/>
          <w:szCs w:val="20"/>
          <w:lang w:eastAsia="fr-FR"/>
        </w:rPr>
        <w:t>The first applicant commissioned an expert opinion from a public association</w:t>
      </w:r>
      <w:r w:rsidRPr="002A3213" w:rsidR="004F2F4F">
        <w:rPr>
          <w:rFonts w:ascii="Times New Roman" w:hAnsi="Times New Roman" w:eastAsia="Times New Roman" w:cs="Times New Roman"/>
          <w:szCs w:val="20"/>
          <w:lang w:eastAsia="fr-FR"/>
        </w:rPr>
        <w:t>, the</w:t>
      </w:r>
      <w:r w:rsidRPr="002A3213" w:rsidR="00EA4AF3">
        <w:rPr>
          <w:rFonts w:ascii="Times New Roman" w:hAnsi="Times New Roman" w:eastAsia="Times New Roman" w:cs="Times New Roman"/>
          <w:szCs w:val="20"/>
          <w:lang w:eastAsia="fr-FR"/>
        </w:rPr>
        <w:t xml:space="preserve"> Independent Legal Expert Council. </w:t>
      </w:r>
      <w:r w:rsidRPr="002A3213" w:rsidR="004F2F4F">
        <w:rPr>
          <w:rFonts w:ascii="Times New Roman" w:hAnsi="Times New Roman" w:eastAsia="Times New Roman" w:cs="Times New Roman"/>
          <w:szCs w:val="20"/>
          <w:lang w:eastAsia="fr-FR"/>
        </w:rPr>
        <w:t>T</w:t>
      </w:r>
      <w:r w:rsidRPr="002A3213" w:rsidR="00EA4AF3">
        <w:rPr>
          <w:rFonts w:ascii="Times New Roman" w:hAnsi="Times New Roman" w:eastAsia="Times New Roman" w:cs="Times New Roman"/>
          <w:szCs w:val="20"/>
          <w:lang w:eastAsia="fr-FR"/>
        </w:rPr>
        <w:t>he expert opinion</w:t>
      </w:r>
      <w:r w:rsidRPr="002A3213" w:rsidR="004F2F4F">
        <w:rPr>
          <w:rFonts w:ascii="Times New Roman" w:hAnsi="Times New Roman" w:eastAsia="Times New Roman" w:cs="Times New Roman"/>
          <w:szCs w:val="20"/>
          <w:lang w:eastAsia="fr-FR"/>
        </w:rPr>
        <w:t>,</w:t>
      </w:r>
      <w:r w:rsidRPr="002A3213" w:rsidR="00EA4AF3">
        <w:rPr>
          <w:rFonts w:ascii="Times New Roman" w:hAnsi="Times New Roman" w:eastAsia="Times New Roman" w:cs="Times New Roman"/>
          <w:szCs w:val="20"/>
          <w:lang w:eastAsia="fr-FR"/>
        </w:rPr>
        <w:t xml:space="preserve"> dated 7 February 2007</w:t>
      </w:r>
      <w:r w:rsidRPr="002A3213" w:rsidR="004F2F4F">
        <w:rPr>
          <w:rFonts w:ascii="Times New Roman" w:hAnsi="Times New Roman" w:eastAsia="Times New Roman" w:cs="Times New Roman"/>
          <w:szCs w:val="20"/>
          <w:lang w:eastAsia="fr-FR"/>
        </w:rPr>
        <w:t>,</w:t>
      </w:r>
      <w:r w:rsidRPr="002A3213" w:rsidR="00EA4AF3">
        <w:rPr>
          <w:rFonts w:ascii="Times New Roman" w:hAnsi="Times New Roman" w:eastAsia="Times New Roman" w:cs="Times New Roman"/>
          <w:szCs w:val="20"/>
          <w:lang w:eastAsia="fr-FR"/>
        </w:rPr>
        <w:t xml:space="preserve"> </w:t>
      </w:r>
      <w:r w:rsidRPr="002A3213" w:rsidR="004F2F4F">
        <w:rPr>
          <w:rFonts w:ascii="Times New Roman" w:hAnsi="Times New Roman" w:eastAsia="Times New Roman" w:cs="Times New Roman"/>
          <w:szCs w:val="20"/>
          <w:lang w:eastAsia="fr-FR"/>
        </w:rPr>
        <w:t xml:space="preserve">indicates </w:t>
      </w:r>
      <w:r w:rsidRPr="002A3213" w:rsidR="00EA4AF3">
        <w:rPr>
          <w:rFonts w:ascii="Times New Roman" w:hAnsi="Times New Roman" w:eastAsia="Times New Roman" w:cs="Times New Roman"/>
          <w:szCs w:val="20"/>
          <w:lang w:eastAsia="fr-FR"/>
        </w:rPr>
        <w:t>that the second applicant was not an extremist organisation. Its articles of association did not contain any indication that it would resort to propaganda of homosexuality, would encourage social or religious hatred or enmity or would endanger national security.</w:t>
      </w:r>
    </w:p>
    <w:p w:rsidRPr="002A3213" w:rsidR="00EA4AF3" w:rsidP="002A3213" w:rsidRDefault="003D5472">
      <w:pPr>
        <w:pStyle w:val="ECHRPara"/>
        <w:rPr>
          <w:rFonts w:ascii="Times New Roman" w:hAnsi="Times New Roman" w:eastAsia="Times New Roman" w:cs="Times New Roman"/>
          <w:szCs w:val="20"/>
          <w:lang w:eastAsia="fr-FR"/>
        </w:rPr>
      </w:pPr>
      <w:r w:rsidRPr="002A3213">
        <w:rPr>
          <w:rFonts w:ascii="Times New Roman" w:hAnsi="Times New Roman" w:eastAsia="Times New Roman" w:cs="Times New Roman"/>
          <w:szCs w:val="20"/>
          <w:lang w:eastAsia="fr-FR"/>
        </w:rPr>
        <w:fldChar w:fldCharType="begin"/>
      </w:r>
      <w:r w:rsidRPr="002A3213">
        <w:rPr>
          <w:rFonts w:ascii="Times New Roman" w:hAnsi="Times New Roman" w:eastAsia="Times New Roman" w:cs="Times New Roman"/>
          <w:szCs w:val="20"/>
          <w:lang w:eastAsia="fr-FR"/>
        </w:rPr>
        <w:instrText xml:space="preserve"> SEQ level0 \*arabic </w:instrText>
      </w:r>
      <w:r w:rsidRPr="002A3213">
        <w:rPr>
          <w:rFonts w:ascii="Times New Roman" w:hAnsi="Times New Roman" w:eastAsia="Times New Roman" w:cs="Times New Roman"/>
          <w:szCs w:val="20"/>
          <w:lang w:eastAsia="fr-FR"/>
        </w:rPr>
        <w:fldChar w:fldCharType="separate"/>
      </w:r>
      <w:r w:rsidRPr="002A3213" w:rsidR="002A3213">
        <w:rPr>
          <w:rFonts w:ascii="Times New Roman" w:hAnsi="Times New Roman" w:eastAsia="Times New Roman" w:cs="Times New Roman"/>
          <w:noProof/>
          <w:szCs w:val="20"/>
          <w:lang w:eastAsia="fr-FR"/>
        </w:rPr>
        <w:t>16</w:t>
      </w:r>
      <w:r w:rsidRPr="002A3213">
        <w:rPr>
          <w:rFonts w:ascii="Times New Roman" w:hAnsi="Times New Roman" w:eastAsia="Times New Roman" w:cs="Times New Roman"/>
          <w:szCs w:val="20"/>
          <w:lang w:eastAsia="fr-FR"/>
        </w:rPr>
        <w:fldChar w:fldCharType="end"/>
      </w:r>
      <w:r w:rsidRPr="002A3213">
        <w:rPr>
          <w:rFonts w:ascii="Times New Roman" w:hAnsi="Times New Roman" w:eastAsia="Times New Roman" w:cs="Times New Roman"/>
          <w:szCs w:val="20"/>
          <w:lang w:eastAsia="fr-FR"/>
        </w:rPr>
        <w:t>.  </w:t>
      </w:r>
      <w:r w:rsidRPr="002A3213" w:rsidR="00EA4AF3">
        <w:rPr>
          <w:rFonts w:ascii="Times New Roman" w:hAnsi="Times New Roman" w:eastAsia="Times New Roman" w:cs="Times New Roman"/>
          <w:szCs w:val="20"/>
          <w:lang w:eastAsia="fr-FR"/>
        </w:rPr>
        <w:t>On 10 March 2007 the first applicant challenged the decision of 29 December 2006 before the Federal Registration Service of the Ministry of Justice (hereafter “the federal registration authority”). He submitted, in particular, that under Russian law</w:t>
      </w:r>
      <w:r w:rsidRPr="002A3213" w:rsidR="00EB7E21">
        <w:rPr>
          <w:rFonts w:ascii="Times New Roman" w:hAnsi="Times New Roman" w:eastAsia="Times New Roman" w:cs="Times New Roman"/>
          <w:szCs w:val="20"/>
          <w:lang w:eastAsia="fr-FR"/>
        </w:rPr>
        <w:t>,</w:t>
      </w:r>
      <w:r w:rsidRPr="002A3213" w:rsidR="00EA4AF3">
        <w:rPr>
          <w:rFonts w:ascii="Times New Roman" w:hAnsi="Times New Roman" w:eastAsia="Times New Roman" w:cs="Times New Roman"/>
          <w:szCs w:val="20"/>
          <w:lang w:eastAsia="fr-FR"/>
        </w:rPr>
        <w:t xml:space="preserve"> an association could be declared extremist by a judicial decision only. He further disputed the findings of the </w:t>
      </w:r>
      <w:r w:rsidRPr="002A3213" w:rsidR="00B72D84">
        <w:rPr>
          <w:rFonts w:ascii="Times New Roman" w:hAnsi="Times New Roman" w:eastAsia="Times New Roman" w:cs="Times New Roman"/>
          <w:szCs w:val="20"/>
          <w:lang w:eastAsia="fr-FR"/>
        </w:rPr>
        <w:t xml:space="preserve">Tyumen </w:t>
      </w:r>
      <w:r w:rsidRPr="002A3213" w:rsidR="00EA4AF3">
        <w:rPr>
          <w:rFonts w:ascii="Times New Roman" w:hAnsi="Times New Roman" w:eastAsia="Times New Roman" w:cs="Times New Roman"/>
          <w:szCs w:val="20"/>
          <w:lang w:eastAsia="fr-FR"/>
        </w:rPr>
        <w:t>registration authority, affirming that the second applicant had no intention to promote homosexuality or gay marriage. Its aims were to defend the rights of homosexuals and to promote tolerance o</w:t>
      </w:r>
      <w:r w:rsidRPr="002A3213" w:rsidR="00B067AD">
        <w:rPr>
          <w:rFonts w:ascii="Times New Roman" w:hAnsi="Times New Roman" w:eastAsia="Times New Roman" w:cs="Times New Roman"/>
          <w:szCs w:val="20"/>
          <w:lang w:eastAsia="fr-FR"/>
        </w:rPr>
        <w:t xml:space="preserve">f diversity </w:t>
      </w:r>
      <w:r w:rsidRPr="002A3213" w:rsidR="004F2F4F">
        <w:rPr>
          <w:rFonts w:ascii="Times New Roman" w:hAnsi="Times New Roman" w:eastAsia="Times New Roman" w:cs="Times New Roman"/>
          <w:szCs w:val="20"/>
          <w:lang w:eastAsia="fr-FR"/>
        </w:rPr>
        <w:t xml:space="preserve">among </w:t>
      </w:r>
      <w:r w:rsidRPr="002A3213" w:rsidR="00B067AD">
        <w:rPr>
          <w:rFonts w:ascii="Times New Roman" w:hAnsi="Times New Roman" w:eastAsia="Times New Roman" w:cs="Times New Roman"/>
          <w:szCs w:val="20"/>
          <w:lang w:eastAsia="fr-FR"/>
        </w:rPr>
        <w:t xml:space="preserve">the population. </w:t>
      </w:r>
      <w:r w:rsidRPr="002A3213" w:rsidR="004F2F4F">
        <w:rPr>
          <w:rFonts w:ascii="Times New Roman" w:hAnsi="Times New Roman" w:eastAsia="Times New Roman" w:cs="Times New Roman"/>
          <w:szCs w:val="20"/>
          <w:lang w:eastAsia="fr-FR"/>
        </w:rPr>
        <w:t>Lastly</w:t>
      </w:r>
      <w:r w:rsidRPr="002A3213" w:rsidR="00EA4AF3">
        <w:rPr>
          <w:rFonts w:ascii="Times New Roman" w:hAnsi="Times New Roman" w:eastAsia="Times New Roman" w:cs="Times New Roman"/>
          <w:szCs w:val="20"/>
          <w:lang w:eastAsia="fr-FR"/>
        </w:rPr>
        <w:t>, he complained of discrimination on account of sexual orientation.</w:t>
      </w:r>
    </w:p>
    <w:p w:rsidRPr="002A3213" w:rsidR="00EA4AF3" w:rsidP="002A3213" w:rsidRDefault="003D5472">
      <w:pPr>
        <w:pStyle w:val="ECHRPara"/>
        <w:rPr>
          <w:rFonts w:ascii="Times New Roman" w:hAnsi="Times New Roman" w:eastAsia="Times New Roman" w:cs="Times New Roman"/>
          <w:szCs w:val="20"/>
          <w:lang w:eastAsia="fr-FR"/>
        </w:rPr>
      </w:pPr>
      <w:r w:rsidRPr="002A3213">
        <w:rPr>
          <w:rFonts w:ascii="Times New Roman" w:hAnsi="Times New Roman" w:eastAsia="Times New Roman" w:cs="Times New Roman"/>
          <w:szCs w:val="20"/>
          <w:lang w:eastAsia="fr-FR"/>
        </w:rPr>
        <w:fldChar w:fldCharType="begin"/>
      </w:r>
      <w:r w:rsidRPr="002A3213">
        <w:rPr>
          <w:rFonts w:ascii="Times New Roman" w:hAnsi="Times New Roman" w:eastAsia="Times New Roman" w:cs="Times New Roman"/>
          <w:szCs w:val="20"/>
          <w:lang w:eastAsia="fr-FR"/>
        </w:rPr>
        <w:instrText xml:space="preserve"> SEQ level0 \*arabic </w:instrText>
      </w:r>
      <w:r w:rsidRPr="002A3213">
        <w:rPr>
          <w:rFonts w:ascii="Times New Roman" w:hAnsi="Times New Roman" w:eastAsia="Times New Roman" w:cs="Times New Roman"/>
          <w:szCs w:val="20"/>
          <w:lang w:eastAsia="fr-FR"/>
        </w:rPr>
        <w:fldChar w:fldCharType="separate"/>
      </w:r>
      <w:r w:rsidRPr="002A3213" w:rsidR="002A3213">
        <w:rPr>
          <w:rFonts w:ascii="Times New Roman" w:hAnsi="Times New Roman" w:eastAsia="Times New Roman" w:cs="Times New Roman"/>
          <w:noProof/>
          <w:szCs w:val="20"/>
          <w:lang w:eastAsia="fr-FR"/>
        </w:rPr>
        <w:t>17</w:t>
      </w:r>
      <w:r w:rsidRPr="002A3213">
        <w:rPr>
          <w:rFonts w:ascii="Times New Roman" w:hAnsi="Times New Roman" w:eastAsia="Times New Roman" w:cs="Times New Roman"/>
          <w:szCs w:val="20"/>
          <w:lang w:eastAsia="fr-FR"/>
        </w:rPr>
        <w:fldChar w:fldCharType="end"/>
      </w:r>
      <w:r w:rsidRPr="002A3213">
        <w:rPr>
          <w:rFonts w:ascii="Times New Roman" w:hAnsi="Times New Roman" w:eastAsia="Times New Roman" w:cs="Times New Roman"/>
          <w:szCs w:val="20"/>
          <w:lang w:eastAsia="fr-FR"/>
        </w:rPr>
        <w:t>.  </w:t>
      </w:r>
      <w:r w:rsidRPr="002A3213" w:rsidR="00EA4AF3">
        <w:rPr>
          <w:rFonts w:ascii="Times New Roman" w:hAnsi="Times New Roman" w:eastAsia="Times New Roman" w:cs="Times New Roman"/>
          <w:szCs w:val="20"/>
          <w:lang w:eastAsia="fr-FR"/>
        </w:rPr>
        <w:t>On 18 April 2007 the federal registration service found that the decision of 29 December 2006 had been lawful.</w:t>
      </w:r>
    </w:p>
    <w:p w:rsidRPr="002A3213" w:rsidR="00EA4AF3" w:rsidP="002A3213" w:rsidRDefault="003D5472">
      <w:pPr>
        <w:pStyle w:val="ECHRPara"/>
        <w:rPr>
          <w:rFonts w:ascii="Times New Roman" w:hAnsi="Times New Roman" w:eastAsia="Times New Roman" w:cs="Times New Roman"/>
          <w:szCs w:val="20"/>
          <w:lang w:eastAsia="fr-FR"/>
        </w:rPr>
      </w:pPr>
      <w:r w:rsidRPr="002A3213">
        <w:rPr>
          <w:rFonts w:ascii="Times New Roman" w:hAnsi="Times New Roman" w:eastAsia="Times New Roman" w:cs="Times New Roman"/>
          <w:szCs w:val="20"/>
          <w:lang w:eastAsia="fr-FR"/>
        </w:rPr>
        <w:fldChar w:fldCharType="begin"/>
      </w:r>
      <w:r w:rsidRPr="002A3213">
        <w:rPr>
          <w:rFonts w:ascii="Times New Roman" w:hAnsi="Times New Roman" w:eastAsia="Times New Roman" w:cs="Times New Roman"/>
          <w:szCs w:val="20"/>
          <w:lang w:eastAsia="fr-FR"/>
        </w:rPr>
        <w:instrText xml:space="preserve"> SEQ level0 \*arabic </w:instrText>
      </w:r>
      <w:r w:rsidRPr="002A3213">
        <w:rPr>
          <w:rFonts w:ascii="Times New Roman" w:hAnsi="Times New Roman" w:eastAsia="Times New Roman" w:cs="Times New Roman"/>
          <w:szCs w:val="20"/>
          <w:lang w:eastAsia="fr-FR"/>
        </w:rPr>
        <w:fldChar w:fldCharType="separate"/>
      </w:r>
      <w:r w:rsidRPr="002A3213" w:rsidR="002A3213">
        <w:rPr>
          <w:rFonts w:ascii="Times New Roman" w:hAnsi="Times New Roman" w:eastAsia="Times New Roman" w:cs="Times New Roman"/>
          <w:noProof/>
          <w:szCs w:val="20"/>
          <w:lang w:eastAsia="fr-FR"/>
        </w:rPr>
        <w:t>18</w:t>
      </w:r>
      <w:r w:rsidRPr="002A3213">
        <w:rPr>
          <w:rFonts w:ascii="Times New Roman" w:hAnsi="Times New Roman" w:eastAsia="Times New Roman" w:cs="Times New Roman"/>
          <w:szCs w:val="20"/>
          <w:lang w:eastAsia="fr-FR"/>
        </w:rPr>
        <w:fldChar w:fldCharType="end"/>
      </w:r>
      <w:r w:rsidRPr="002A3213">
        <w:rPr>
          <w:rFonts w:ascii="Times New Roman" w:hAnsi="Times New Roman" w:eastAsia="Times New Roman" w:cs="Times New Roman"/>
          <w:szCs w:val="20"/>
          <w:lang w:eastAsia="fr-FR"/>
        </w:rPr>
        <w:t>.  </w:t>
      </w:r>
      <w:r w:rsidRPr="002A3213" w:rsidR="00EA4AF3">
        <w:rPr>
          <w:rFonts w:ascii="Times New Roman" w:hAnsi="Times New Roman" w:eastAsia="Times New Roman" w:cs="Times New Roman"/>
          <w:szCs w:val="20"/>
          <w:lang w:eastAsia="fr-FR"/>
        </w:rPr>
        <w:t>On 15 August 2007 the first applicant appealed against the refusal of registration to the Taganskiy District Court of Moscow. He repeated the arguments set out in his complaint of 10 March 2007</w:t>
      </w:r>
      <w:r w:rsidRPr="002A3213" w:rsidR="00D43E96">
        <w:rPr>
          <w:rFonts w:ascii="Times New Roman" w:hAnsi="Times New Roman" w:eastAsia="Times New Roman" w:cs="Times New Roman"/>
          <w:szCs w:val="20"/>
          <w:lang w:eastAsia="fr-FR"/>
        </w:rPr>
        <w:t xml:space="preserve"> and asked that the refusal </w:t>
      </w:r>
      <w:r w:rsidRPr="002A3213" w:rsidR="00FA772D">
        <w:rPr>
          <w:rFonts w:ascii="Times New Roman" w:hAnsi="Times New Roman" w:eastAsia="Times New Roman" w:cs="Times New Roman"/>
          <w:szCs w:val="20"/>
          <w:lang w:eastAsia="fr-FR"/>
        </w:rPr>
        <w:t>to register the second applicant</w:t>
      </w:r>
      <w:r w:rsidRPr="002A3213" w:rsidR="00D43E96">
        <w:rPr>
          <w:rFonts w:ascii="Times New Roman" w:hAnsi="Times New Roman" w:eastAsia="Times New Roman" w:cs="Times New Roman"/>
          <w:szCs w:val="20"/>
          <w:lang w:eastAsia="fr-FR"/>
        </w:rPr>
        <w:t xml:space="preserve"> be declared unlawful and unfounded</w:t>
      </w:r>
      <w:r w:rsidRPr="002A3213" w:rsidR="00B72D84">
        <w:rPr>
          <w:rFonts w:ascii="Times New Roman" w:hAnsi="Times New Roman" w:eastAsia="Times New Roman" w:cs="Times New Roman"/>
          <w:szCs w:val="20"/>
          <w:lang w:eastAsia="fr-FR"/>
        </w:rPr>
        <w:t xml:space="preserve"> and that the Tyumen</w:t>
      </w:r>
      <w:r w:rsidRPr="002A3213" w:rsidR="00E044E2">
        <w:rPr>
          <w:rFonts w:ascii="Times New Roman" w:hAnsi="Times New Roman" w:eastAsia="Times New Roman" w:cs="Times New Roman"/>
          <w:szCs w:val="20"/>
          <w:lang w:eastAsia="fr-FR"/>
        </w:rPr>
        <w:t xml:space="preserve"> registration </w:t>
      </w:r>
      <w:r w:rsidRPr="002A3213" w:rsidR="00FA772D">
        <w:rPr>
          <w:rFonts w:ascii="Times New Roman" w:hAnsi="Times New Roman" w:eastAsia="Times New Roman" w:cs="Times New Roman"/>
          <w:szCs w:val="20"/>
          <w:lang w:eastAsia="fr-FR"/>
        </w:rPr>
        <w:t>authority</w:t>
      </w:r>
      <w:r w:rsidRPr="002A3213" w:rsidR="00E044E2">
        <w:rPr>
          <w:rFonts w:ascii="Times New Roman" w:hAnsi="Times New Roman" w:eastAsia="Times New Roman" w:cs="Times New Roman"/>
          <w:szCs w:val="20"/>
          <w:lang w:eastAsia="fr-FR"/>
        </w:rPr>
        <w:t xml:space="preserve"> be required to remedy the breach of rights</w:t>
      </w:r>
      <w:r w:rsidRPr="002A3213" w:rsidR="00EA4AF3">
        <w:rPr>
          <w:rFonts w:ascii="Times New Roman" w:hAnsi="Times New Roman" w:eastAsia="Times New Roman" w:cs="Times New Roman"/>
          <w:szCs w:val="20"/>
          <w:lang w:eastAsia="fr-FR"/>
        </w:rPr>
        <w:t>.</w:t>
      </w:r>
    </w:p>
    <w:p w:rsidRPr="002A3213" w:rsidR="005D59EB" w:rsidP="002A3213" w:rsidRDefault="003D5472">
      <w:pPr>
        <w:pStyle w:val="ECHRPara"/>
        <w:rPr>
          <w:rFonts w:ascii="Times New Roman" w:hAnsi="Times New Roman" w:eastAsia="Times New Roman" w:cs="Times New Roman"/>
          <w:szCs w:val="20"/>
          <w:lang w:eastAsia="fr-FR"/>
        </w:rPr>
      </w:pPr>
      <w:r w:rsidRPr="002A3213">
        <w:rPr>
          <w:rFonts w:ascii="Times New Roman" w:hAnsi="Times New Roman" w:eastAsia="Times New Roman" w:cs="Times New Roman"/>
          <w:szCs w:val="20"/>
          <w:lang w:eastAsia="fr-FR"/>
        </w:rPr>
        <w:fldChar w:fldCharType="begin"/>
      </w:r>
      <w:r w:rsidRPr="002A3213">
        <w:rPr>
          <w:rFonts w:ascii="Times New Roman" w:hAnsi="Times New Roman" w:eastAsia="Times New Roman" w:cs="Times New Roman"/>
          <w:szCs w:val="20"/>
          <w:lang w:eastAsia="fr-FR"/>
        </w:rPr>
        <w:instrText xml:space="preserve"> SEQ level0 \*arabic </w:instrText>
      </w:r>
      <w:r w:rsidRPr="002A3213">
        <w:rPr>
          <w:rFonts w:ascii="Times New Roman" w:hAnsi="Times New Roman" w:eastAsia="Times New Roman" w:cs="Times New Roman"/>
          <w:szCs w:val="20"/>
          <w:lang w:eastAsia="fr-FR"/>
        </w:rPr>
        <w:fldChar w:fldCharType="separate"/>
      </w:r>
      <w:r w:rsidRPr="002A3213" w:rsidR="002A3213">
        <w:rPr>
          <w:rFonts w:ascii="Times New Roman" w:hAnsi="Times New Roman" w:eastAsia="Times New Roman" w:cs="Times New Roman"/>
          <w:noProof/>
          <w:szCs w:val="20"/>
          <w:lang w:eastAsia="fr-FR"/>
        </w:rPr>
        <w:t>19</w:t>
      </w:r>
      <w:r w:rsidRPr="002A3213">
        <w:rPr>
          <w:rFonts w:ascii="Times New Roman" w:hAnsi="Times New Roman" w:eastAsia="Times New Roman" w:cs="Times New Roman"/>
          <w:szCs w:val="20"/>
          <w:lang w:eastAsia="fr-FR"/>
        </w:rPr>
        <w:fldChar w:fldCharType="end"/>
      </w:r>
      <w:r w:rsidRPr="002A3213">
        <w:rPr>
          <w:rFonts w:ascii="Times New Roman" w:hAnsi="Times New Roman" w:eastAsia="Times New Roman" w:cs="Times New Roman"/>
          <w:szCs w:val="20"/>
          <w:lang w:eastAsia="fr-FR"/>
        </w:rPr>
        <w:t>.  </w:t>
      </w:r>
      <w:r w:rsidRPr="002A3213" w:rsidR="00EA4AF3">
        <w:rPr>
          <w:rFonts w:ascii="Times New Roman" w:hAnsi="Times New Roman" w:eastAsia="Times New Roman" w:cs="Times New Roman"/>
          <w:szCs w:val="20"/>
          <w:lang w:eastAsia="fr-FR"/>
        </w:rPr>
        <w:t>On 26 October 2007 the Taganskiy District Court dismissed the first applicant</w:t>
      </w:r>
      <w:r w:rsidRPr="002A3213" w:rsidR="002A3213">
        <w:rPr>
          <w:rFonts w:ascii="Times New Roman" w:hAnsi="Times New Roman" w:eastAsia="Times New Roman" w:cs="Times New Roman"/>
          <w:szCs w:val="20"/>
          <w:lang w:eastAsia="fr-FR"/>
        </w:rPr>
        <w:t>’</w:t>
      </w:r>
      <w:r w:rsidRPr="002A3213" w:rsidR="00EA4AF3">
        <w:rPr>
          <w:rFonts w:ascii="Times New Roman" w:hAnsi="Times New Roman" w:eastAsia="Times New Roman" w:cs="Times New Roman"/>
          <w:szCs w:val="20"/>
          <w:lang w:eastAsia="fr-FR"/>
        </w:rPr>
        <w:t xml:space="preserve">s complaint. It referred to the expert opinion of 31 July 2006, repeated verbatim the </w:t>
      </w:r>
      <w:r w:rsidRPr="002A3213" w:rsidR="00B72D84">
        <w:rPr>
          <w:rFonts w:ascii="Times New Roman" w:hAnsi="Times New Roman" w:eastAsia="Times New Roman" w:cs="Times New Roman"/>
          <w:szCs w:val="20"/>
          <w:lang w:eastAsia="fr-FR"/>
        </w:rPr>
        <w:t>Tyumen</w:t>
      </w:r>
      <w:r w:rsidRPr="002A3213" w:rsidR="00EA4AF3">
        <w:rPr>
          <w:rFonts w:ascii="Times New Roman" w:hAnsi="Times New Roman" w:eastAsia="Times New Roman" w:cs="Times New Roman"/>
          <w:szCs w:val="20"/>
          <w:lang w:eastAsia="fr-FR"/>
        </w:rPr>
        <w:t xml:space="preserve"> registration authority</w:t>
      </w:r>
      <w:r w:rsidRPr="002A3213" w:rsidR="002A3213">
        <w:rPr>
          <w:rFonts w:ascii="Times New Roman" w:hAnsi="Times New Roman" w:eastAsia="Times New Roman" w:cs="Times New Roman"/>
          <w:szCs w:val="20"/>
          <w:lang w:eastAsia="fr-FR"/>
        </w:rPr>
        <w:t>’</w:t>
      </w:r>
      <w:r w:rsidRPr="002A3213" w:rsidR="00EA4AF3">
        <w:rPr>
          <w:rFonts w:ascii="Times New Roman" w:hAnsi="Times New Roman" w:eastAsia="Times New Roman" w:cs="Times New Roman"/>
          <w:szCs w:val="20"/>
          <w:lang w:eastAsia="fr-FR"/>
        </w:rPr>
        <w:t>s decision of 29 December 2006 and found that it was lawful, well reasoned and justified. It rejected the applicant</w:t>
      </w:r>
      <w:r w:rsidRPr="002A3213" w:rsidR="002A3213">
        <w:rPr>
          <w:rFonts w:ascii="Times New Roman" w:hAnsi="Times New Roman" w:eastAsia="Times New Roman" w:cs="Times New Roman"/>
          <w:szCs w:val="20"/>
          <w:lang w:eastAsia="fr-FR"/>
        </w:rPr>
        <w:t>’</w:t>
      </w:r>
      <w:r w:rsidRPr="002A3213" w:rsidR="00EA4AF3">
        <w:rPr>
          <w:rFonts w:ascii="Times New Roman" w:hAnsi="Times New Roman" w:eastAsia="Times New Roman" w:cs="Times New Roman"/>
          <w:szCs w:val="20"/>
          <w:lang w:eastAsia="fr-FR"/>
        </w:rPr>
        <w:t>s argum</w:t>
      </w:r>
      <w:r w:rsidRPr="002A3213" w:rsidR="00B059B3">
        <w:rPr>
          <w:rFonts w:ascii="Times New Roman" w:hAnsi="Times New Roman" w:eastAsia="Times New Roman" w:cs="Times New Roman"/>
          <w:szCs w:val="20"/>
          <w:lang w:eastAsia="fr-FR"/>
        </w:rPr>
        <w:t>ent that an association could be</w:t>
      </w:r>
      <w:r w:rsidRPr="002A3213" w:rsidR="00EA4AF3">
        <w:rPr>
          <w:rFonts w:ascii="Times New Roman" w:hAnsi="Times New Roman" w:eastAsia="Times New Roman" w:cs="Times New Roman"/>
          <w:szCs w:val="20"/>
          <w:lang w:eastAsia="fr-FR"/>
        </w:rPr>
        <w:t xml:space="preserve"> declared extremist by a judicial decision</w:t>
      </w:r>
      <w:r w:rsidRPr="002A3213" w:rsidR="00B059B3">
        <w:rPr>
          <w:rFonts w:ascii="Times New Roman" w:hAnsi="Times New Roman" w:eastAsia="Times New Roman" w:cs="Times New Roman"/>
          <w:szCs w:val="20"/>
          <w:lang w:eastAsia="fr-FR"/>
        </w:rPr>
        <w:t xml:space="preserve"> only</w:t>
      </w:r>
      <w:r w:rsidRPr="002A3213" w:rsidR="00EA4AF3">
        <w:rPr>
          <w:rFonts w:ascii="Times New Roman" w:hAnsi="Times New Roman" w:eastAsia="Times New Roman" w:cs="Times New Roman"/>
          <w:szCs w:val="20"/>
          <w:lang w:eastAsia="fr-FR"/>
        </w:rPr>
        <w:t xml:space="preserve">, finding that that rule applied only to registered associations, </w:t>
      </w:r>
      <w:r w:rsidRPr="002A3213" w:rsidR="004F2F4F">
        <w:rPr>
          <w:rFonts w:ascii="Times New Roman" w:hAnsi="Times New Roman" w:eastAsia="Times New Roman" w:cs="Times New Roman"/>
          <w:szCs w:val="20"/>
          <w:lang w:eastAsia="fr-FR"/>
        </w:rPr>
        <w:t xml:space="preserve">whereas </w:t>
      </w:r>
      <w:r w:rsidRPr="002A3213" w:rsidR="00EA4AF3">
        <w:rPr>
          <w:rFonts w:ascii="Times New Roman" w:hAnsi="Times New Roman" w:eastAsia="Times New Roman" w:cs="Times New Roman"/>
          <w:szCs w:val="20"/>
          <w:lang w:eastAsia="fr-FR"/>
        </w:rPr>
        <w:t xml:space="preserve">the second applicant had never been registered. The court refused to take into account the expert opinion of 7 February 2007 because it had not been submitted to the </w:t>
      </w:r>
      <w:r w:rsidRPr="002A3213" w:rsidR="00B72D84">
        <w:rPr>
          <w:rFonts w:ascii="Times New Roman" w:hAnsi="Times New Roman" w:eastAsia="Times New Roman" w:cs="Times New Roman"/>
          <w:szCs w:val="20"/>
          <w:lang w:eastAsia="fr-FR"/>
        </w:rPr>
        <w:t xml:space="preserve">Tyumen </w:t>
      </w:r>
      <w:r w:rsidRPr="002A3213" w:rsidR="00EA4AF3">
        <w:rPr>
          <w:rFonts w:ascii="Times New Roman" w:hAnsi="Times New Roman" w:eastAsia="Times New Roman" w:cs="Times New Roman"/>
          <w:szCs w:val="20"/>
          <w:lang w:eastAsia="fr-FR"/>
        </w:rPr>
        <w:t>registration authority together with the application for registration.</w:t>
      </w:r>
    </w:p>
    <w:p w:rsidRPr="002A3213" w:rsidR="005D59EB" w:rsidP="002A3213" w:rsidRDefault="003D5472">
      <w:pPr>
        <w:pStyle w:val="ECHRPara"/>
        <w:rPr>
          <w:rFonts w:ascii="Times New Roman" w:hAnsi="Times New Roman" w:eastAsia="Times New Roman" w:cs="Times New Roman"/>
          <w:szCs w:val="20"/>
          <w:lang w:eastAsia="fr-FR"/>
        </w:rPr>
      </w:pPr>
      <w:r w:rsidRPr="002A3213">
        <w:rPr>
          <w:rFonts w:ascii="Times New Roman" w:hAnsi="Times New Roman" w:eastAsia="Times New Roman" w:cs="Times New Roman"/>
          <w:szCs w:val="20"/>
          <w:lang w:eastAsia="fr-FR"/>
        </w:rPr>
        <w:fldChar w:fldCharType="begin"/>
      </w:r>
      <w:r w:rsidRPr="002A3213">
        <w:rPr>
          <w:rFonts w:ascii="Times New Roman" w:hAnsi="Times New Roman" w:eastAsia="Times New Roman" w:cs="Times New Roman"/>
          <w:szCs w:val="20"/>
          <w:lang w:eastAsia="fr-FR"/>
        </w:rPr>
        <w:instrText xml:space="preserve"> SEQ level0 \*arabic </w:instrText>
      </w:r>
      <w:r w:rsidRPr="002A3213">
        <w:rPr>
          <w:rFonts w:ascii="Times New Roman" w:hAnsi="Times New Roman" w:eastAsia="Times New Roman" w:cs="Times New Roman"/>
          <w:szCs w:val="20"/>
          <w:lang w:eastAsia="fr-FR"/>
        </w:rPr>
        <w:fldChar w:fldCharType="separate"/>
      </w:r>
      <w:r w:rsidRPr="002A3213" w:rsidR="002A3213">
        <w:rPr>
          <w:rFonts w:ascii="Times New Roman" w:hAnsi="Times New Roman" w:eastAsia="Times New Roman" w:cs="Times New Roman"/>
          <w:noProof/>
          <w:szCs w:val="20"/>
          <w:lang w:eastAsia="fr-FR"/>
        </w:rPr>
        <w:t>20</w:t>
      </w:r>
      <w:r w:rsidRPr="002A3213">
        <w:rPr>
          <w:rFonts w:ascii="Times New Roman" w:hAnsi="Times New Roman" w:eastAsia="Times New Roman" w:cs="Times New Roman"/>
          <w:szCs w:val="20"/>
          <w:lang w:eastAsia="fr-FR"/>
        </w:rPr>
        <w:fldChar w:fldCharType="end"/>
      </w:r>
      <w:r w:rsidRPr="002A3213">
        <w:rPr>
          <w:rFonts w:ascii="Times New Roman" w:hAnsi="Times New Roman" w:eastAsia="Times New Roman" w:cs="Times New Roman"/>
          <w:szCs w:val="20"/>
          <w:lang w:eastAsia="fr-FR"/>
        </w:rPr>
        <w:t>.  </w:t>
      </w:r>
      <w:r w:rsidRPr="002A3213" w:rsidR="00EA4AF3">
        <w:rPr>
          <w:rFonts w:ascii="Times New Roman" w:hAnsi="Times New Roman" w:eastAsia="Times New Roman" w:cs="Times New Roman"/>
          <w:szCs w:val="20"/>
          <w:lang w:eastAsia="fr-FR"/>
        </w:rPr>
        <w:t xml:space="preserve">On 11 December 2007 the Moscow City Court upheld the judgment </w:t>
      </w:r>
      <w:r w:rsidRPr="002A3213" w:rsidR="00197F33">
        <w:rPr>
          <w:rFonts w:ascii="Times New Roman" w:hAnsi="Times New Roman" w:eastAsia="Times New Roman" w:cs="Times New Roman"/>
          <w:szCs w:val="20"/>
          <w:lang w:eastAsia="fr-FR"/>
        </w:rPr>
        <w:t>of 26 October 2007 on appeal, finding that it had been lawful, well reasoned and justified.</w:t>
      </w:r>
    </w:p>
    <w:p w:rsidRPr="002A3213" w:rsidR="0068522E" w:rsidP="002A3213" w:rsidRDefault="0068522E">
      <w:pPr>
        <w:pStyle w:val="ECHRHeading3"/>
        <w:rPr>
          <w:rFonts w:eastAsia="Times New Roman"/>
          <w:lang w:eastAsia="fr-FR"/>
        </w:rPr>
      </w:pPr>
      <w:r w:rsidRPr="002A3213">
        <w:rPr>
          <w:rFonts w:eastAsia="Times New Roman"/>
          <w:lang w:eastAsia="fr-FR"/>
        </w:rPr>
        <w:t>3.  The second refusal of registration</w:t>
      </w:r>
    </w:p>
    <w:p w:rsidRPr="002A3213" w:rsidR="0068522E" w:rsidP="002A3213" w:rsidRDefault="003D5472">
      <w:pPr>
        <w:pStyle w:val="ECHRPara"/>
        <w:rPr>
          <w:rFonts w:ascii="Times New Roman" w:hAnsi="Times New Roman" w:eastAsia="Times New Roman" w:cs="Times New Roman"/>
          <w:szCs w:val="20"/>
          <w:lang w:eastAsia="fr-FR"/>
        </w:rPr>
      </w:pPr>
      <w:r w:rsidRPr="002A3213">
        <w:rPr>
          <w:rFonts w:ascii="Times New Roman" w:hAnsi="Times New Roman" w:eastAsia="Times New Roman" w:cs="Times New Roman"/>
          <w:szCs w:val="20"/>
          <w:lang w:eastAsia="fr-FR"/>
        </w:rPr>
        <w:fldChar w:fldCharType="begin"/>
      </w:r>
      <w:r w:rsidRPr="002A3213">
        <w:rPr>
          <w:rFonts w:ascii="Times New Roman" w:hAnsi="Times New Roman" w:eastAsia="Times New Roman" w:cs="Times New Roman"/>
          <w:szCs w:val="20"/>
          <w:lang w:eastAsia="fr-FR"/>
        </w:rPr>
        <w:instrText xml:space="preserve"> SEQ level0 \*arabic </w:instrText>
      </w:r>
      <w:r w:rsidRPr="002A3213">
        <w:rPr>
          <w:rFonts w:ascii="Times New Roman" w:hAnsi="Times New Roman" w:eastAsia="Times New Roman" w:cs="Times New Roman"/>
          <w:szCs w:val="20"/>
          <w:lang w:eastAsia="fr-FR"/>
        </w:rPr>
        <w:fldChar w:fldCharType="separate"/>
      </w:r>
      <w:r w:rsidRPr="002A3213" w:rsidR="002A3213">
        <w:rPr>
          <w:rFonts w:ascii="Times New Roman" w:hAnsi="Times New Roman" w:eastAsia="Times New Roman" w:cs="Times New Roman"/>
          <w:noProof/>
          <w:szCs w:val="20"/>
          <w:lang w:eastAsia="fr-FR"/>
        </w:rPr>
        <w:t>21</w:t>
      </w:r>
      <w:r w:rsidRPr="002A3213">
        <w:rPr>
          <w:rFonts w:ascii="Times New Roman" w:hAnsi="Times New Roman" w:eastAsia="Times New Roman" w:cs="Times New Roman"/>
          <w:szCs w:val="20"/>
          <w:lang w:eastAsia="fr-FR"/>
        </w:rPr>
        <w:fldChar w:fldCharType="end"/>
      </w:r>
      <w:r w:rsidRPr="002A3213">
        <w:rPr>
          <w:rFonts w:ascii="Times New Roman" w:hAnsi="Times New Roman" w:eastAsia="Times New Roman" w:cs="Times New Roman"/>
          <w:szCs w:val="20"/>
          <w:lang w:eastAsia="fr-FR"/>
        </w:rPr>
        <w:t>.  </w:t>
      </w:r>
      <w:r w:rsidRPr="002A3213" w:rsidR="0068522E">
        <w:rPr>
          <w:rFonts w:ascii="Times New Roman" w:hAnsi="Times New Roman" w:eastAsia="Times New Roman" w:cs="Times New Roman"/>
          <w:szCs w:val="20"/>
          <w:lang w:eastAsia="fr-FR"/>
        </w:rPr>
        <w:t xml:space="preserve">On 2 May 2007 the first applicant resubmitted an application for registration of the second applicant with the </w:t>
      </w:r>
      <w:r w:rsidRPr="002A3213" w:rsidR="00B72D84">
        <w:rPr>
          <w:rFonts w:ascii="Times New Roman" w:hAnsi="Times New Roman" w:eastAsia="Times New Roman" w:cs="Times New Roman"/>
          <w:szCs w:val="20"/>
          <w:lang w:eastAsia="fr-FR"/>
        </w:rPr>
        <w:t>Tyumen</w:t>
      </w:r>
      <w:r w:rsidRPr="002A3213" w:rsidR="0068522E">
        <w:rPr>
          <w:rFonts w:ascii="Times New Roman" w:hAnsi="Times New Roman" w:eastAsia="Times New Roman" w:cs="Times New Roman"/>
          <w:szCs w:val="20"/>
          <w:lang w:eastAsia="fr-FR"/>
        </w:rPr>
        <w:t xml:space="preserve"> registration authority.</w:t>
      </w:r>
    </w:p>
    <w:p w:rsidRPr="002A3213" w:rsidR="005D59EB" w:rsidP="002A3213" w:rsidRDefault="003D5472">
      <w:pPr>
        <w:pStyle w:val="ECHRPara"/>
        <w:rPr>
          <w:rFonts w:ascii="Times New Roman" w:hAnsi="Times New Roman" w:eastAsia="Times New Roman" w:cs="Times New Roman"/>
          <w:szCs w:val="20"/>
          <w:lang w:eastAsia="fr-FR"/>
        </w:rPr>
      </w:pPr>
      <w:r w:rsidRPr="002A3213">
        <w:rPr>
          <w:rFonts w:ascii="Times New Roman" w:hAnsi="Times New Roman" w:eastAsia="Times New Roman" w:cs="Times New Roman"/>
          <w:szCs w:val="20"/>
          <w:lang w:eastAsia="fr-FR"/>
        </w:rPr>
        <w:fldChar w:fldCharType="begin"/>
      </w:r>
      <w:r w:rsidRPr="002A3213">
        <w:rPr>
          <w:rFonts w:ascii="Times New Roman" w:hAnsi="Times New Roman" w:eastAsia="Times New Roman" w:cs="Times New Roman"/>
          <w:szCs w:val="20"/>
          <w:lang w:eastAsia="fr-FR"/>
        </w:rPr>
        <w:instrText xml:space="preserve"> SEQ level0 \*arabic </w:instrText>
      </w:r>
      <w:r w:rsidRPr="002A3213">
        <w:rPr>
          <w:rFonts w:ascii="Times New Roman" w:hAnsi="Times New Roman" w:eastAsia="Times New Roman" w:cs="Times New Roman"/>
          <w:szCs w:val="20"/>
          <w:lang w:eastAsia="fr-FR"/>
        </w:rPr>
        <w:fldChar w:fldCharType="separate"/>
      </w:r>
      <w:r w:rsidRPr="002A3213" w:rsidR="002A3213">
        <w:rPr>
          <w:rFonts w:ascii="Times New Roman" w:hAnsi="Times New Roman" w:eastAsia="Times New Roman" w:cs="Times New Roman"/>
          <w:noProof/>
          <w:szCs w:val="20"/>
          <w:lang w:eastAsia="fr-FR"/>
        </w:rPr>
        <w:t>22</w:t>
      </w:r>
      <w:r w:rsidRPr="002A3213">
        <w:rPr>
          <w:rFonts w:ascii="Times New Roman" w:hAnsi="Times New Roman" w:eastAsia="Times New Roman" w:cs="Times New Roman"/>
          <w:szCs w:val="20"/>
          <w:lang w:eastAsia="fr-FR"/>
        </w:rPr>
        <w:fldChar w:fldCharType="end"/>
      </w:r>
      <w:r w:rsidRPr="002A3213">
        <w:rPr>
          <w:rFonts w:ascii="Times New Roman" w:hAnsi="Times New Roman" w:eastAsia="Times New Roman" w:cs="Times New Roman"/>
          <w:szCs w:val="20"/>
          <w:lang w:eastAsia="fr-FR"/>
        </w:rPr>
        <w:t>.  </w:t>
      </w:r>
      <w:r w:rsidRPr="002A3213" w:rsidR="00B72D84">
        <w:rPr>
          <w:rFonts w:ascii="Times New Roman" w:hAnsi="Times New Roman" w:eastAsia="Times New Roman" w:cs="Times New Roman"/>
          <w:szCs w:val="20"/>
          <w:lang w:eastAsia="fr-FR"/>
        </w:rPr>
        <w:t>On 1 June 2007 the Tyumen</w:t>
      </w:r>
      <w:r w:rsidRPr="002A3213" w:rsidR="0068522E">
        <w:rPr>
          <w:rFonts w:ascii="Times New Roman" w:hAnsi="Times New Roman" w:eastAsia="Times New Roman" w:cs="Times New Roman"/>
          <w:szCs w:val="20"/>
          <w:lang w:eastAsia="fr-FR"/>
        </w:rPr>
        <w:t xml:space="preserve"> registration authority for a second time refused registration, repeating verbatim its previous reasoning </w:t>
      </w:r>
      <w:r w:rsidRPr="002A3213" w:rsidR="00FA7700">
        <w:rPr>
          <w:rFonts w:ascii="Times New Roman" w:hAnsi="Times New Roman" w:eastAsia="Times New Roman" w:cs="Times New Roman"/>
          <w:szCs w:val="20"/>
          <w:lang w:eastAsia="fr-FR"/>
        </w:rPr>
        <w:t xml:space="preserve">of 29 December 2006 </w:t>
      </w:r>
      <w:r w:rsidRPr="002A3213" w:rsidR="0068522E">
        <w:rPr>
          <w:rFonts w:ascii="Times New Roman" w:hAnsi="Times New Roman" w:eastAsia="Times New Roman" w:cs="Times New Roman"/>
          <w:szCs w:val="20"/>
          <w:lang w:eastAsia="fr-FR"/>
        </w:rPr>
        <w:t>relating to the extremist nature of the second applicant</w:t>
      </w:r>
      <w:r w:rsidRPr="002A3213" w:rsidR="002A3213">
        <w:rPr>
          <w:rFonts w:ascii="Times New Roman" w:hAnsi="Times New Roman" w:eastAsia="Times New Roman" w:cs="Times New Roman"/>
          <w:szCs w:val="20"/>
          <w:lang w:eastAsia="fr-FR"/>
        </w:rPr>
        <w:t>’</w:t>
      </w:r>
      <w:r w:rsidRPr="002A3213" w:rsidR="0068522E">
        <w:rPr>
          <w:rFonts w:ascii="Times New Roman" w:hAnsi="Times New Roman" w:eastAsia="Times New Roman" w:cs="Times New Roman"/>
          <w:szCs w:val="20"/>
          <w:lang w:eastAsia="fr-FR"/>
        </w:rPr>
        <w:t>s activities. It also noted minor irregularities in the application for registration and accompanying documents, such as the failure to staple the application form or a typing error in the name of the department that had issued the first applicant</w:t>
      </w:r>
      <w:r w:rsidRPr="002A3213" w:rsidR="002A3213">
        <w:rPr>
          <w:rFonts w:ascii="Times New Roman" w:hAnsi="Times New Roman" w:eastAsia="Times New Roman" w:cs="Times New Roman"/>
          <w:szCs w:val="20"/>
          <w:lang w:eastAsia="fr-FR"/>
        </w:rPr>
        <w:t>’</w:t>
      </w:r>
      <w:r w:rsidRPr="002A3213" w:rsidR="0068522E">
        <w:rPr>
          <w:rFonts w:ascii="Times New Roman" w:hAnsi="Times New Roman" w:eastAsia="Times New Roman" w:cs="Times New Roman"/>
          <w:szCs w:val="20"/>
          <w:lang w:eastAsia="fr-FR"/>
        </w:rPr>
        <w:t>s passport. It also refused to accept the lease agreement for the second applicant</w:t>
      </w:r>
      <w:r w:rsidRPr="002A3213" w:rsidR="002A3213">
        <w:rPr>
          <w:rFonts w:ascii="Times New Roman" w:hAnsi="Times New Roman" w:eastAsia="Times New Roman" w:cs="Times New Roman"/>
          <w:szCs w:val="20"/>
          <w:lang w:eastAsia="fr-FR"/>
        </w:rPr>
        <w:t>’</w:t>
      </w:r>
      <w:r w:rsidRPr="002A3213" w:rsidR="0068522E">
        <w:rPr>
          <w:rFonts w:ascii="Times New Roman" w:hAnsi="Times New Roman" w:eastAsia="Times New Roman" w:cs="Times New Roman"/>
          <w:szCs w:val="20"/>
          <w:lang w:eastAsia="fr-FR"/>
        </w:rPr>
        <w:t xml:space="preserve">s office, finding that it had been drawn up incorrectly. Finally, the </w:t>
      </w:r>
      <w:r w:rsidRPr="002A3213" w:rsidR="00B72D84">
        <w:rPr>
          <w:rFonts w:ascii="Times New Roman" w:hAnsi="Times New Roman" w:eastAsia="Times New Roman" w:cs="Times New Roman"/>
          <w:szCs w:val="20"/>
          <w:lang w:eastAsia="fr-FR"/>
        </w:rPr>
        <w:t>Tyumen</w:t>
      </w:r>
      <w:r w:rsidRPr="002A3213" w:rsidR="0068522E">
        <w:rPr>
          <w:rFonts w:ascii="Times New Roman" w:hAnsi="Times New Roman" w:eastAsia="Times New Roman" w:cs="Times New Roman"/>
          <w:szCs w:val="20"/>
          <w:lang w:eastAsia="fr-FR"/>
        </w:rPr>
        <w:t xml:space="preserve"> registration authority held that the second applicant</w:t>
      </w:r>
      <w:r w:rsidRPr="002A3213" w:rsidR="002A3213">
        <w:rPr>
          <w:rFonts w:ascii="Times New Roman" w:hAnsi="Times New Roman" w:eastAsia="Times New Roman" w:cs="Times New Roman"/>
          <w:szCs w:val="20"/>
          <w:lang w:eastAsia="fr-FR"/>
        </w:rPr>
        <w:t>’</w:t>
      </w:r>
      <w:r w:rsidRPr="002A3213" w:rsidR="0068522E">
        <w:rPr>
          <w:rFonts w:ascii="Times New Roman" w:hAnsi="Times New Roman" w:eastAsia="Times New Roman" w:cs="Times New Roman"/>
          <w:szCs w:val="20"/>
          <w:lang w:eastAsia="fr-FR"/>
        </w:rPr>
        <w:t>s articles of association unlawfully vested the right to dispose of its property in the president, and that the competence and the procedure for appointment of one of the governing bodies were not clearly defined.</w:t>
      </w:r>
    </w:p>
    <w:bookmarkStart w:name="judicialreview" w:id="2"/>
    <w:p w:rsidRPr="002A3213" w:rsidR="005D59EB" w:rsidP="002A3213" w:rsidRDefault="003D5472">
      <w:pPr>
        <w:pStyle w:val="ECHRPara"/>
        <w:rPr>
          <w:rFonts w:ascii="Times New Roman" w:hAnsi="Times New Roman" w:eastAsia="Times New Roman" w:cs="Times New Roman"/>
          <w:szCs w:val="20"/>
          <w:lang w:eastAsia="fr-FR"/>
        </w:rPr>
      </w:pPr>
      <w:r w:rsidRPr="002A3213">
        <w:rPr>
          <w:rFonts w:ascii="Times New Roman" w:hAnsi="Times New Roman" w:eastAsia="Times New Roman" w:cs="Times New Roman"/>
          <w:szCs w:val="20"/>
          <w:lang w:eastAsia="fr-FR"/>
        </w:rPr>
        <w:fldChar w:fldCharType="begin"/>
      </w:r>
      <w:r w:rsidRPr="002A3213">
        <w:rPr>
          <w:rFonts w:ascii="Times New Roman" w:hAnsi="Times New Roman" w:eastAsia="Times New Roman" w:cs="Times New Roman"/>
          <w:szCs w:val="20"/>
          <w:lang w:eastAsia="fr-FR"/>
        </w:rPr>
        <w:instrText xml:space="preserve"> SEQ level0 \*arabic </w:instrText>
      </w:r>
      <w:r w:rsidRPr="002A3213">
        <w:rPr>
          <w:rFonts w:ascii="Times New Roman" w:hAnsi="Times New Roman" w:eastAsia="Times New Roman" w:cs="Times New Roman"/>
          <w:szCs w:val="20"/>
          <w:lang w:eastAsia="fr-FR"/>
        </w:rPr>
        <w:fldChar w:fldCharType="separate"/>
      </w:r>
      <w:r w:rsidRPr="002A3213" w:rsidR="002A3213">
        <w:rPr>
          <w:rFonts w:ascii="Times New Roman" w:hAnsi="Times New Roman" w:eastAsia="Times New Roman" w:cs="Times New Roman"/>
          <w:noProof/>
          <w:szCs w:val="20"/>
          <w:lang w:eastAsia="fr-FR"/>
        </w:rPr>
        <w:t>23</w:t>
      </w:r>
      <w:r w:rsidRPr="002A3213">
        <w:rPr>
          <w:rFonts w:ascii="Times New Roman" w:hAnsi="Times New Roman" w:eastAsia="Times New Roman" w:cs="Times New Roman"/>
          <w:szCs w:val="20"/>
          <w:lang w:eastAsia="fr-FR"/>
        </w:rPr>
        <w:fldChar w:fldCharType="end"/>
      </w:r>
      <w:bookmarkEnd w:id="2"/>
      <w:r w:rsidRPr="002A3213">
        <w:rPr>
          <w:rFonts w:ascii="Times New Roman" w:hAnsi="Times New Roman" w:eastAsia="Times New Roman" w:cs="Times New Roman"/>
          <w:szCs w:val="20"/>
          <w:lang w:eastAsia="fr-FR"/>
        </w:rPr>
        <w:t>.  </w:t>
      </w:r>
      <w:r w:rsidRPr="002A3213" w:rsidR="0068522E">
        <w:rPr>
          <w:rFonts w:ascii="Times New Roman" w:hAnsi="Times New Roman" w:eastAsia="Times New Roman" w:cs="Times New Roman"/>
          <w:szCs w:val="20"/>
          <w:lang w:eastAsia="fr-FR"/>
        </w:rPr>
        <w:t>On 25 August 2007 the first applicant challenged t</w:t>
      </w:r>
      <w:r w:rsidRPr="002A3213" w:rsidR="00B067AD">
        <w:rPr>
          <w:rFonts w:ascii="Times New Roman" w:hAnsi="Times New Roman" w:eastAsia="Times New Roman" w:cs="Times New Roman"/>
          <w:szCs w:val="20"/>
          <w:lang w:eastAsia="fr-FR"/>
        </w:rPr>
        <w:t>he refusal before the Tsentralny</w:t>
      </w:r>
      <w:r w:rsidRPr="002A3213" w:rsidR="0068522E">
        <w:rPr>
          <w:rFonts w:ascii="Times New Roman" w:hAnsi="Times New Roman" w:eastAsia="Times New Roman" w:cs="Times New Roman"/>
          <w:szCs w:val="20"/>
          <w:lang w:eastAsia="fr-FR"/>
        </w:rPr>
        <w:t>y District Court of Tyumen</w:t>
      </w:r>
      <w:r w:rsidRPr="002A3213" w:rsidR="00E044E2">
        <w:rPr>
          <w:rFonts w:ascii="Times New Roman" w:hAnsi="Times New Roman" w:eastAsia="Times New Roman" w:cs="Times New Roman"/>
          <w:szCs w:val="20"/>
          <w:lang w:eastAsia="fr-FR"/>
        </w:rPr>
        <w:t xml:space="preserve">, asking that it be declared unlawful </w:t>
      </w:r>
      <w:r w:rsidRPr="002A3213" w:rsidR="00480CDA">
        <w:rPr>
          <w:rFonts w:ascii="Times New Roman" w:hAnsi="Times New Roman" w:eastAsia="Times New Roman" w:cs="Times New Roman"/>
          <w:szCs w:val="20"/>
          <w:lang w:eastAsia="fr-FR"/>
        </w:rPr>
        <w:t xml:space="preserve">and </w:t>
      </w:r>
      <w:r w:rsidRPr="002A3213" w:rsidR="00E044E2">
        <w:rPr>
          <w:rFonts w:ascii="Times New Roman" w:hAnsi="Times New Roman" w:eastAsia="Times New Roman" w:cs="Times New Roman"/>
          <w:szCs w:val="20"/>
          <w:lang w:eastAsia="fr-FR"/>
        </w:rPr>
        <w:t xml:space="preserve">that the </w:t>
      </w:r>
      <w:r w:rsidRPr="002A3213" w:rsidR="00B72D84">
        <w:rPr>
          <w:rFonts w:ascii="Times New Roman" w:hAnsi="Times New Roman" w:eastAsia="Times New Roman" w:cs="Times New Roman"/>
          <w:szCs w:val="20"/>
          <w:lang w:eastAsia="fr-FR"/>
        </w:rPr>
        <w:t>Tyumen</w:t>
      </w:r>
      <w:r w:rsidRPr="002A3213" w:rsidR="00E044E2">
        <w:rPr>
          <w:rFonts w:ascii="Times New Roman" w:hAnsi="Times New Roman" w:eastAsia="Times New Roman" w:cs="Times New Roman"/>
          <w:szCs w:val="20"/>
          <w:lang w:eastAsia="fr-FR"/>
        </w:rPr>
        <w:t xml:space="preserve"> registration authority be required to remedy the breach of law by registering the second applicant</w:t>
      </w:r>
      <w:r w:rsidRPr="002A3213" w:rsidR="0068522E">
        <w:rPr>
          <w:rFonts w:ascii="Times New Roman" w:hAnsi="Times New Roman" w:eastAsia="Times New Roman" w:cs="Times New Roman"/>
          <w:szCs w:val="20"/>
          <w:lang w:eastAsia="fr-FR"/>
        </w:rPr>
        <w:t>.</w:t>
      </w:r>
      <w:r w:rsidRPr="002A3213" w:rsidR="00E044E2">
        <w:rPr>
          <w:rFonts w:ascii="Times New Roman" w:hAnsi="Times New Roman" w:eastAsia="Times New Roman" w:cs="Times New Roman"/>
          <w:szCs w:val="20"/>
          <w:lang w:eastAsia="fr-FR"/>
        </w:rPr>
        <w:t xml:space="preserve"> </w:t>
      </w:r>
      <w:r w:rsidRPr="002A3213" w:rsidR="0068522E">
        <w:rPr>
          <w:rFonts w:ascii="Times New Roman" w:hAnsi="Times New Roman" w:eastAsia="Times New Roman" w:cs="Times New Roman"/>
          <w:szCs w:val="20"/>
          <w:lang w:eastAsia="fr-FR"/>
        </w:rPr>
        <w:t>He repeated the arguments set out in his complaint of 10 March 2007. He also submitted that the second applicant was an existing public association functioning without State registration as permitted under Russian law. Such existing associations could only be declared extremist by a judicial decision following a prosecutor</w:t>
      </w:r>
      <w:r w:rsidRPr="002A3213" w:rsidR="002A3213">
        <w:rPr>
          <w:rFonts w:ascii="Times New Roman" w:hAnsi="Times New Roman" w:eastAsia="Times New Roman" w:cs="Times New Roman"/>
          <w:szCs w:val="20"/>
          <w:lang w:eastAsia="fr-FR"/>
        </w:rPr>
        <w:t>’</w:t>
      </w:r>
      <w:r w:rsidRPr="002A3213" w:rsidR="0068522E">
        <w:rPr>
          <w:rFonts w:ascii="Times New Roman" w:hAnsi="Times New Roman" w:eastAsia="Times New Roman" w:cs="Times New Roman"/>
          <w:szCs w:val="20"/>
          <w:lang w:eastAsia="fr-FR"/>
        </w:rPr>
        <w:t xml:space="preserve">s warning. No such warnings had been </w:t>
      </w:r>
      <w:r w:rsidRPr="002A3213" w:rsidR="004F2F4F">
        <w:rPr>
          <w:rFonts w:ascii="Times New Roman" w:hAnsi="Times New Roman" w:eastAsia="Times New Roman" w:cs="Times New Roman"/>
          <w:szCs w:val="20"/>
          <w:lang w:eastAsia="fr-FR"/>
        </w:rPr>
        <w:t xml:space="preserve">issued </w:t>
      </w:r>
      <w:r w:rsidRPr="002A3213" w:rsidR="0068522E">
        <w:rPr>
          <w:rFonts w:ascii="Times New Roman" w:hAnsi="Times New Roman" w:eastAsia="Times New Roman" w:cs="Times New Roman"/>
          <w:szCs w:val="20"/>
          <w:lang w:eastAsia="fr-FR"/>
        </w:rPr>
        <w:t xml:space="preserve">in respect of the second applicant and its activities had never been </w:t>
      </w:r>
      <w:r w:rsidRPr="002A3213" w:rsidR="004F2F4F">
        <w:rPr>
          <w:rFonts w:ascii="Times New Roman" w:hAnsi="Times New Roman" w:eastAsia="Times New Roman" w:cs="Times New Roman"/>
          <w:szCs w:val="20"/>
          <w:lang w:eastAsia="fr-FR"/>
        </w:rPr>
        <w:t>class</w:t>
      </w:r>
      <w:r w:rsidRPr="002A3213" w:rsidR="0068522E">
        <w:rPr>
          <w:rFonts w:ascii="Times New Roman" w:hAnsi="Times New Roman" w:eastAsia="Times New Roman" w:cs="Times New Roman"/>
          <w:szCs w:val="20"/>
          <w:lang w:eastAsia="fr-FR"/>
        </w:rPr>
        <w:t xml:space="preserve">ified as extremist </w:t>
      </w:r>
      <w:r w:rsidRPr="002A3213" w:rsidR="00157246">
        <w:rPr>
          <w:rFonts w:ascii="Times New Roman" w:hAnsi="Times New Roman" w:eastAsia="Times New Roman" w:cs="Times New Roman"/>
          <w:szCs w:val="20"/>
          <w:lang w:eastAsia="fr-FR"/>
        </w:rPr>
        <w:t>by the competent authorities. Lastly, the first applicant submitted that the minor irregularities in the registration documents, such as a typing error in the name of the department that had issued the first applicant</w:t>
      </w:r>
      <w:r w:rsidRPr="002A3213" w:rsidR="002A3213">
        <w:rPr>
          <w:rFonts w:ascii="Times New Roman" w:hAnsi="Times New Roman" w:eastAsia="Times New Roman" w:cs="Times New Roman"/>
          <w:szCs w:val="20"/>
          <w:lang w:eastAsia="fr-FR"/>
        </w:rPr>
        <w:t>’</w:t>
      </w:r>
      <w:r w:rsidRPr="002A3213" w:rsidR="00157246">
        <w:rPr>
          <w:rFonts w:ascii="Times New Roman" w:hAnsi="Times New Roman" w:eastAsia="Times New Roman" w:cs="Times New Roman"/>
          <w:szCs w:val="20"/>
          <w:lang w:eastAsia="fr-FR"/>
        </w:rPr>
        <w:t xml:space="preserve">s passport, could be easily corrected through a special procedure provided </w:t>
      </w:r>
      <w:r w:rsidRPr="002A3213" w:rsidR="004F2F4F">
        <w:rPr>
          <w:rFonts w:ascii="Times New Roman" w:hAnsi="Times New Roman" w:eastAsia="Times New Roman" w:cs="Times New Roman"/>
          <w:szCs w:val="20"/>
          <w:lang w:eastAsia="fr-FR"/>
        </w:rPr>
        <w:t xml:space="preserve">for </w:t>
      </w:r>
      <w:r w:rsidRPr="002A3213" w:rsidR="00157246">
        <w:rPr>
          <w:rFonts w:ascii="Times New Roman" w:hAnsi="Times New Roman" w:eastAsia="Times New Roman" w:cs="Times New Roman"/>
          <w:szCs w:val="20"/>
          <w:lang w:eastAsia="fr-FR"/>
        </w:rPr>
        <w:t>by law.</w:t>
      </w:r>
    </w:p>
    <w:p w:rsidRPr="002A3213" w:rsidR="005D59EB" w:rsidP="002A3213" w:rsidRDefault="003D5472">
      <w:pPr>
        <w:pStyle w:val="ECHRPara"/>
        <w:rPr>
          <w:rFonts w:ascii="Times New Roman" w:hAnsi="Times New Roman" w:eastAsia="Times New Roman" w:cs="Times New Roman"/>
          <w:szCs w:val="20"/>
          <w:lang w:eastAsia="fr-FR"/>
        </w:rPr>
      </w:pPr>
      <w:r w:rsidRPr="002A3213">
        <w:rPr>
          <w:rFonts w:ascii="Times New Roman" w:hAnsi="Times New Roman" w:eastAsia="Times New Roman" w:cs="Times New Roman"/>
          <w:szCs w:val="20"/>
          <w:lang w:eastAsia="fr-FR"/>
        </w:rPr>
        <w:fldChar w:fldCharType="begin"/>
      </w:r>
      <w:r w:rsidRPr="002A3213">
        <w:rPr>
          <w:rFonts w:ascii="Times New Roman" w:hAnsi="Times New Roman" w:eastAsia="Times New Roman" w:cs="Times New Roman"/>
          <w:szCs w:val="20"/>
          <w:lang w:eastAsia="fr-FR"/>
        </w:rPr>
        <w:instrText xml:space="preserve"> SEQ level0 \*arabic </w:instrText>
      </w:r>
      <w:r w:rsidRPr="002A3213">
        <w:rPr>
          <w:rFonts w:ascii="Times New Roman" w:hAnsi="Times New Roman" w:eastAsia="Times New Roman" w:cs="Times New Roman"/>
          <w:szCs w:val="20"/>
          <w:lang w:eastAsia="fr-FR"/>
        </w:rPr>
        <w:fldChar w:fldCharType="separate"/>
      </w:r>
      <w:r w:rsidRPr="002A3213" w:rsidR="002A3213">
        <w:rPr>
          <w:rFonts w:ascii="Times New Roman" w:hAnsi="Times New Roman" w:eastAsia="Times New Roman" w:cs="Times New Roman"/>
          <w:noProof/>
          <w:szCs w:val="20"/>
          <w:lang w:eastAsia="fr-FR"/>
        </w:rPr>
        <w:t>24</w:t>
      </w:r>
      <w:r w:rsidRPr="002A3213">
        <w:rPr>
          <w:rFonts w:ascii="Times New Roman" w:hAnsi="Times New Roman" w:eastAsia="Times New Roman" w:cs="Times New Roman"/>
          <w:szCs w:val="20"/>
          <w:lang w:eastAsia="fr-FR"/>
        </w:rPr>
        <w:fldChar w:fldCharType="end"/>
      </w:r>
      <w:r w:rsidRPr="002A3213">
        <w:rPr>
          <w:rFonts w:ascii="Times New Roman" w:hAnsi="Times New Roman" w:eastAsia="Times New Roman" w:cs="Times New Roman"/>
          <w:szCs w:val="20"/>
          <w:lang w:eastAsia="fr-FR"/>
        </w:rPr>
        <w:t>.  </w:t>
      </w:r>
      <w:r w:rsidRPr="002A3213" w:rsidR="00D771F5">
        <w:rPr>
          <w:rFonts w:ascii="Times New Roman" w:hAnsi="Times New Roman" w:eastAsia="Times New Roman" w:cs="Times New Roman"/>
          <w:szCs w:val="20"/>
          <w:lang w:eastAsia="fr-FR"/>
        </w:rPr>
        <w:t>On an unspecified date t</w:t>
      </w:r>
      <w:r w:rsidRPr="002A3213" w:rsidR="0068522E">
        <w:rPr>
          <w:rFonts w:ascii="Times New Roman" w:hAnsi="Times New Roman" w:eastAsia="Times New Roman" w:cs="Times New Roman"/>
          <w:szCs w:val="20"/>
          <w:lang w:eastAsia="fr-FR"/>
        </w:rPr>
        <w:t xml:space="preserve">he </w:t>
      </w:r>
      <w:r w:rsidRPr="002A3213" w:rsidR="00B72D84">
        <w:rPr>
          <w:rFonts w:ascii="Times New Roman" w:hAnsi="Times New Roman" w:eastAsia="Times New Roman" w:cs="Times New Roman"/>
          <w:szCs w:val="20"/>
          <w:lang w:eastAsia="fr-FR"/>
        </w:rPr>
        <w:t>Tyumen</w:t>
      </w:r>
      <w:r w:rsidRPr="002A3213" w:rsidR="0068522E">
        <w:rPr>
          <w:rFonts w:ascii="Times New Roman" w:hAnsi="Times New Roman" w:eastAsia="Times New Roman" w:cs="Times New Roman"/>
          <w:szCs w:val="20"/>
          <w:lang w:eastAsia="fr-FR"/>
        </w:rPr>
        <w:t xml:space="preserve"> registration authority commissioned expert opinions from the Tyumen Institute of Legal Studies of the Interior Ministry of Russia and from the Institute of Governmental and Legal Studies of the Tyumen State University.</w:t>
      </w:r>
    </w:p>
    <w:p w:rsidRPr="002A3213" w:rsidR="0068522E" w:rsidP="002A3213" w:rsidRDefault="003D5472">
      <w:pPr>
        <w:pStyle w:val="ECHRPara"/>
        <w:rPr>
          <w:rFonts w:ascii="Times New Roman" w:hAnsi="Times New Roman" w:eastAsia="Times New Roman" w:cs="Times New Roman"/>
          <w:szCs w:val="20"/>
          <w:lang w:eastAsia="fr-FR"/>
        </w:rPr>
      </w:pPr>
      <w:r w:rsidRPr="002A3213">
        <w:rPr>
          <w:rFonts w:ascii="Times New Roman" w:hAnsi="Times New Roman" w:eastAsia="Times New Roman" w:cs="Times New Roman"/>
          <w:szCs w:val="20"/>
          <w:lang w:eastAsia="fr-FR"/>
        </w:rPr>
        <w:fldChar w:fldCharType="begin"/>
      </w:r>
      <w:r w:rsidRPr="002A3213">
        <w:rPr>
          <w:rFonts w:ascii="Times New Roman" w:hAnsi="Times New Roman" w:eastAsia="Times New Roman" w:cs="Times New Roman"/>
          <w:szCs w:val="20"/>
          <w:lang w:eastAsia="fr-FR"/>
        </w:rPr>
        <w:instrText xml:space="preserve"> SEQ level0 \*arabic </w:instrText>
      </w:r>
      <w:r w:rsidRPr="002A3213">
        <w:rPr>
          <w:rFonts w:ascii="Times New Roman" w:hAnsi="Times New Roman" w:eastAsia="Times New Roman" w:cs="Times New Roman"/>
          <w:szCs w:val="20"/>
          <w:lang w:eastAsia="fr-FR"/>
        </w:rPr>
        <w:fldChar w:fldCharType="separate"/>
      </w:r>
      <w:r w:rsidRPr="002A3213" w:rsidR="002A3213">
        <w:rPr>
          <w:rFonts w:ascii="Times New Roman" w:hAnsi="Times New Roman" w:eastAsia="Times New Roman" w:cs="Times New Roman"/>
          <w:noProof/>
          <w:szCs w:val="20"/>
          <w:lang w:eastAsia="fr-FR"/>
        </w:rPr>
        <w:t>25</w:t>
      </w:r>
      <w:r w:rsidRPr="002A3213">
        <w:rPr>
          <w:rFonts w:ascii="Times New Roman" w:hAnsi="Times New Roman" w:eastAsia="Times New Roman" w:cs="Times New Roman"/>
          <w:szCs w:val="20"/>
          <w:lang w:eastAsia="fr-FR"/>
        </w:rPr>
        <w:fldChar w:fldCharType="end"/>
      </w:r>
      <w:r w:rsidRPr="002A3213">
        <w:rPr>
          <w:rFonts w:ascii="Times New Roman" w:hAnsi="Times New Roman" w:eastAsia="Times New Roman" w:cs="Times New Roman"/>
          <w:szCs w:val="20"/>
          <w:lang w:eastAsia="fr-FR"/>
        </w:rPr>
        <w:t>.  </w:t>
      </w:r>
      <w:r w:rsidRPr="002A3213" w:rsidR="0068522E">
        <w:rPr>
          <w:rFonts w:ascii="Times New Roman" w:hAnsi="Times New Roman" w:eastAsia="Times New Roman" w:cs="Times New Roman"/>
          <w:szCs w:val="20"/>
          <w:lang w:eastAsia="fr-FR"/>
        </w:rPr>
        <w:t>On 17 October 2007 the Tyumen Institute of Legal Studies of the Interior Ministry of Russia found that the second applicant</w:t>
      </w:r>
      <w:r w:rsidRPr="002A3213" w:rsidR="002A3213">
        <w:rPr>
          <w:rFonts w:ascii="Times New Roman" w:hAnsi="Times New Roman" w:eastAsia="Times New Roman" w:cs="Times New Roman"/>
          <w:szCs w:val="20"/>
          <w:lang w:eastAsia="fr-FR"/>
        </w:rPr>
        <w:t>’</w:t>
      </w:r>
      <w:r w:rsidRPr="002A3213" w:rsidR="0068522E">
        <w:rPr>
          <w:rFonts w:ascii="Times New Roman" w:hAnsi="Times New Roman" w:eastAsia="Times New Roman" w:cs="Times New Roman"/>
          <w:szCs w:val="20"/>
          <w:lang w:eastAsia="fr-FR"/>
        </w:rPr>
        <w:t xml:space="preserve">s activities might be extremist. The rights and legitimate interests of heterosexual citizens, of society as a whole and of the State might be breached if the second applicant created an </w:t>
      </w:r>
      <w:r w:rsidRPr="002A3213" w:rsidR="002A118F">
        <w:rPr>
          <w:rFonts w:ascii="Times New Roman" w:hAnsi="Times New Roman" w:eastAsia="Times New Roman" w:cs="Times New Roman"/>
          <w:szCs w:val="20"/>
          <w:lang w:eastAsia="fr-FR"/>
        </w:rPr>
        <w:t>i</w:t>
      </w:r>
      <w:r w:rsidRPr="002A3213" w:rsidR="0068522E">
        <w:rPr>
          <w:rFonts w:ascii="Times New Roman" w:hAnsi="Times New Roman" w:eastAsia="Times New Roman" w:cs="Times New Roman"/>
          <w:szCs w:val="20"/>
          <w:lang w:eastAsia="fr-FR"/>
        </w:rPr>
        <w:t>nformation centre, issued and distributed printed, video and other material,</w:t>
      </w:r>
      <w:r w:rsidRPr="002A3213" w:rsidR="002A118F">
        <w:rPr>
          <w:rFonts w:ascii="Times New Roman" w:hAnsi="Times New Roman" w:eastAsia="Times New Roman" w:cs="Times New Roman"/>
          <w:szCs w:val="20"/>
          <w:lang w:eastAsia="fr-FR"/>
        </w:rPr>
        <w:t xml:space="preserve"> or</w:t>
      </w:r>
      <w:r w:rsidRPr="002A3213" w:rsidR="0068522E">
        <w:rPr>
          <w:rFonts w:ascii="Times New Roman" w:hAnsi="Times New Roman" w:eastAsia="Times New Roman" w:cs="Times New Roman"/>
          <w:szCs w:val="20"/>
          <w:lang w:eastAsia="fr-FR"/>
        </w:rPr>
        <w:t xml:space="preserve"> organised ex</w:t>
      </w:r>
      <w:r w:rsidRPr="002A3213" w:rsidR="002A118F">
        <w:rPr>
          <w:rFonts w:ascii="Times New Roman" w:hAnsi="Times New Roman" w:eastAsia="Times New Roman" w:cs="Times New Roman"/>
          <w:szCs w:val="20"/>
          <w:lang w:eastAsia="fr-FR"/>
        </w:rPr>
        <w:t>hib</w:t>
      </w:r>
      <w:r w:rsidRPr="002A3213" w:rsidR="0068522E">
        <w:rPr>
          <w:rFonts w:ascii="Times New Roman" w:hAnsi="Times New Roman" w:eastAsia="Times New Roman" w:cs="Times New Roman"/>
          <w:szCs w:val="20"/>
          <w:lang w:eastAsia="fr-FR"/>
        </w:rPr>
        <w:t xml:space="preserve">itions, conferences, meetings, assemblies, marches or pickets. All those activities might involve propaganda of homosexuality and therefore might promote social </w:t>
      </w:r>
      <w:r w:rsidRPr="002A3213" w:rsidR="00495B96">
        <w:rPr>
          <w:rFonts w:ascii="Times New Roman" w:hAnsi="Times New Roman" w:eastAsia="Times New Roman" w:cs="Times New Roman"/>
          <w:szCs w:val="20"/>
          <w:lang w:eastAsia="fr-FR"/>
        </w:rPr>
        <w:t>discord</w:t>
      </w:r>
      <w:r w:rsidRPr="002A3213" w:rsidR="0068522E">
        <w:rPr>
          <w:rFonts w:ascii="Times New Roman" w:hAnsi="Times New Roman" w:eastAsia="Times New Roman" w:cs="Times New Roman"/>
          <w:szCs w:val="20"/>
          <w:lang w:eastAsia="fr-FR"/>
        </w:rPr>
        <w:t>. They might also destroy the moral values of society and undermine the national security and territorial integrity of the Russian Federation by decreasing its population. The second applicant</w:t>
      </w:r>
      <w:r w:rsidRPr="002A3213" w:rsidR="002A3213">
        <w:rPr>
          <w:rFonts w:ascii="Times New Roman" w:hAnsi="Times New Roman" w:eastAsia="Times New Roman" w:cs="Times New Roman"/>
          <w:szCs w:val="20"/>
          <w:lang w:eastAsia="fr-FR"/>
        </w:rPr>
        <w:t>’</w:t>
      </w:r>
      <w:r w:rsidRPr="002A3213" w:rsidR="0068522E">
        <w:rPr>
          <w:rFonts w:ascii="Times New Roman" w:hAnsi="Times New Roman" w:eastAsia="Times New Roman" w:cs="Times New Roman"/>
          <w:szCs w:val="20"/>
          <w:lang w:eastAsia="fr-FR"/>
        </w:rPr>
        <w:t xml:space="preserve">s activities might </w:t>
      </w:r>
      <w:r w:rsidRPr="002A3213" w:rsidR="002A118F">
        <w:rPr>
          <w:rFonts w:ascii="Times New Roman" w:hAnsi="Times New Roman" w:eastAsia="Times New Roman" w:cs="Times New Roman"/>
          <w:szCs w:val="20"/>
          <w:lang w:eastAsia="fr-FR"/>
        </w:rPr>
        <w:t xml:space="preserve">be </w:t>
      </w:r>
      <w:r w:rsidRPr="002A3213" w:rsidR="0068522E">
        <w:rPr>
          <w:rFonts w:ascii="Times New Roman" w:hAnsi="Times New Roman" w:eastAsia="Times New Roman" w:cs="Times New Roman"/>
          <w:szCs w:val="20"/>
          <w:lang w:eastAsia="fr-FR"/>
        </w:rPr>
        <w:t>aim</w:t>
      </w:r>
      <w:r w:rsidRPr="002A3213" w:rsidR="002A118F">
        <w:rPr>
          <w:rFonts w:ascii="Times New Roman" w:hAnsi="Times New Roman" w:eastAsia="Times New Roman" w:cs="Times New Roman"/>
          <w:szCs w:val="20"/>
          <w:lang w:eastAsia="fr-FR"/>
        </w:rPr>
        <w:t>ed</w:t>
      </w:r>
      <w:r w:rsidRPr="002A3213" w:rsidR="0068522E">
        <w:rPr>
          <w:rFonts w:ascii="Times New Roman" w:hAnsi="Times New Roman" w:eastAsia="Times New Roman" w:cs="Times New Roman"/>
          <w:szCs w:val="20"/>
          <w:lang w:eastAsia="fr-FR"/>
        </w:rPr>
        <w:t xml:space="preserve"> not only at protecting the rights and legitimate interests of homosexual citizens, but also at increasing the number of such citizens by converting those who, without the second applicant</w:t>
      </w:r>
      <w:r w:rsidRPr="002A3213" w:rsidR="002A3213">
        <w:rPr>
          <w:rFonts w:ascii="Times New Roman" w:hAnsi="Times New Roman" w:eastAsia="Times New Roman" w:cs="Times New Roman"/>
          <w:szCs w:val="20"/>
          <w:lang w:eastAsia="fr-FR"/>
        </w:rPr>
        <w:t>’</w:t>
      </w:r>
      <w:r w:rsidRPr="002A3213" w:rsidR="0068522E">
        <w:rPr>
          <w:rFonts w:ascii="Times New Roman" w:hAnsi="Times New Roman" w:eastAsia="Times New Roman" w:cs="Times New Roman"/>
          <w:szCs w:val="20"/>
          <w:lang w:eastAsia="fr-FR"/>
        </w:rPr>
        <w:t>s propaganda, would have retained a “traditional sexual orientation”.</w:t>
      </w:r>
    </w:p>
    <w:p w:rsidRPr="002A3213" w:rsidR="005D59EB" w:rsidP="002A3213" w:rsidRDefault="003D5472">
      <w:pPr>
        <w:pStyle w:val="ECHRPara"/>
        <w:rPr>
          <w:rFonts w:ascii="Times New Roman" w:hAnsi="Times New Roman" w:eastAsia="Times New Roman" w:cs="Times New Roman"/>
          <w:szCs w:val="20"/>
          <w:lang w:eastAsia="fr-FR"/>
        </w:rPr>
      </w:pPr>
      <w:r w:rsidRPr="002A3213">
        <w:rPr>
          <w:rFonts w:ascii="Times New Roman" w:hAnsi="Times New Roman" w:eastAsia="Times New Roman" w:cs="Times New Roman"/>
          <w:szCs w:val="20"/>
          <w:lang w:eastAsia="fr-FR"/>
        </w:rPr>
        <w:fldChar w:fldCharType="begin"/>
      </w:r>
      <w:r w:rsidRPr="002A3213">
        <w:rPr>
          <w:rFonts w:ascii="Times New Roman" w:hAnsi="Times New Roman" w:eastAsia="Times New Roman" w:cs="Times New Roman"/>
          <w:szCs w:val="20"/>
          <w:lang w:eastAsia="fr-FR"/>
        </w:rPr>
        <w:instrText xml:space="preserve"> SEQ level0 \*arabic </w:instrText>
      </w:r>
      <w:r w:rsidRPr="002A3213">
        <w:rPr>
          <w:rFonts w:ascii="Times New Roman" w:hAnsi="Times New Roman" w:eastAsia="Times New Roman" w:cs="Times New Roman"/>
          <w:szCs w:val="20"/>
          <w:lang w:eastAsia="fr-FR"/>
        </w:rPr>
        <w:fldChar w:fldCharType="separate"/>
      </w:r>
      <w:r w:rsidRPr="002A3213" w:rsidR="002A3213">
        <w:rPr>
          <w:rFonts w:ascii="Times New Roman" w:hAnsi="Times New Roman" w:eastAsia="Times New Roman" w:cs="Times New Roman"/>
          <w:noProof/>
          <w:szCs w:val="20"/>
          <w:lang w:eastAsia="fr-FR"/>
        </w:rPr>
        <w:t>26</w:t>
      </w:r>
      <w:r w:rsidRPr="002A3213">
        <w:rPr>
          <w:rFonts w:ascii="Times New Roman" w:hAnsi="Times New Roman" w:eastAsia="Times New Roman" w:cs="Times New Roman"/>
          <w:szCs w:val="20"/>
          <w:lang w:eastAsia="fr-FR"/>
        </w:rPr>
        <w:fldChar w:fldCharType="end"/>
      </w:r>
      <w:r w:rsidRPr="002A3213">
        <w:rPr>
          <w:rFonts w:ascii="Times New Roman" w:hAnsi="Times New Roman" w:eastAsia="Times New Roman" w:cs="Times New Roman"/>
          <w:szCs w:val="20"/>
          <w:lang w:eastAsia="fr-FR"/>
        </w:rPr>
        <w:t>.  </w:t>
      </w:r>
      <w:r w:rsidRPr="002A3213" w:rsidR="0068522E">
        <w:rPr>
          <w:rFonts w:ascii="Times New Roman" w:hAnsi="Times New Roman" w:eastAsia="Times New Roman" w:cs="Times New Roman"/>
          <w:szCs w:val="20"/>
          <w:lang w:eastAsia="fr-FR"/>
        </w:rPr>
        <w:t>On the same day the Institute of Governmental and Legal Studies of the Tyumen State University also found that the second applicant was an extremist organisation. Firstly, the expression “the protection of citizens</w:t>
      </w:r>
      <w:r w:rsidRPr="002A3213" w:rsidR="002A3213">
        <w:rPr>
          <w:rFonts w:ascii="Times New Roman" w:hAnsi="Times New Roman" w:eastAsia="Times New Roman" w:cs="Times New Roman"/>
          <w:szCs w:val="20"/>
          <w:lang w:eastAsia="fr-FR"/>
        </w:rPr>
        <w:t>’</w:t>
      </w:r>
      <w:r w:rsidRPr="002A3213" w:rsidR="0068522E">
        <w:rPr>
          <w:rFonts w:ascii="Times New Roman" w:hAnsi="Times New Roman" w:eastAsia="Times New Roman" w:cs="Times New Roman"/>
          <w:szCs w:val="20"/>
          <w:lang w:eastAsia="fr-FR"/>
        </w:rPr>
        <w:t xml:space="preserve"> sexual rights” in the second applicant</w:t>
      </w:r>
      <w:r w:rsidRPr="002A3213" w:rsidR="002A3213">
        <w:rPr>
          <w:rFonts w:ascii="Times New Roman" w:hAnsi="Times New Roman" w:eastAsia="Times New Roman" w:cs="Times New Roman"/>
          <w:szCs w:val="20"/>
          <w:lang w:eastAsia="fr-FR"/>
        </w:rPr>
        <w:t>’</w:t>
      </w:r>
      <w:r w:rsidRPr="002A3213" w:rsidR="0068522E">
        <w:rPr>
          <w:rFonts w:ascii="Times New Roman" w:hAnsi="Times New Roman" w:eastAsia="Times New Roman" w:cs="Times New Roman"/>
          <w:szCs w:val="20"/>
          <w:lang w:eastAsia="fr-FR"/>
        </w:rPr>
        <w:t>s name was insulting to the moral, national and religious feelings of citizens. The Constitution guaranteed the right to respect for private life, which covered sexual relations. Any interference in the sphere of private life, including for its protection, was contrary to the Constitution and breached citizens</w:t>
      </w:r>
      <w:r w:rsidRPr="002A3213" w:rsidR="002A3213">
        <w:rPr>
          <w:rFonts w:ascii="Times New Roman" w:hAnsi="Times New Roman" w:eastAsia="Times New Roman" w:cs="Times New Roman"/>
          <w:szCs w:val="20"/>
          <w:lang w:eastAsia="fr-FR"/>
        </w:rPr>
        <w:t>’</w:t>
      </w:r>
      <w:r w:rsidRPr="002A3213" w:rsidR="0068522E">
        <w:rPr>
          <w:rFonts w:ascii="Times New Roman" w:hAnsi="Times New Roman" w:eastAsia="Times New Roman" w:cs="Times New Roman"/>
          <w:szCs w:val="20"/>
          <w:lang w:eastAsia="fr-FR"/>
        </w:rPr>
        <w:t xml:space="preserve"> rights. It followed that the sole purpose of the founders of the second applicant was to insult the morality and the religious feelings of others. Secondly, the distribution of printed, video and other material by the second applicant might incite religious </w:t>
      </w:r>
      <w:r w:rsidRPr="002A3213" w:rsidR="00AB34A2">
        <w:rPr>
          <w:rFonts w:ascii="Times New Roman" w:hAnsi="Times New Roman" w:eastAsia="Times New Roman" w:cs="Times New Roman"/>
          <w:szCs w:val="20"/>
          <w:lang w:eastAsia="fr-FR"/>
        </w:rPr>
        <w:t>discord</w:t>
      </w:r>
      <w:r w:rsidRPr="002A3213" w:rsidR="0068522E">
        <w:rPr>
          <w:rFonts w:ascii="Times New Roman" w:hAnsi="Times New Roman" w:eastAsia="Times New Roman" w:cs="Times New Roman"/>
          <w:szCs w:val="20"/>
          <w:lang w:eastAsia="fr-FR"/>
        </w:rPr>
        <w:t xml:space="preserve"> because a majority of the traditional confessions in Russia viewed homosexuality negatively. </w:t>
      </w:r>
      <w:r w:rsidRPr="002A3213" w:rsidR="002A118F">
        <w:rPr>
          <w:rFonts w:ascii="Times New Roman" w:hAnsi="Times New Roman" w:eastAsia="Times New Roman" w:cs="Times New Roman"/>
          <w:szCs w:val="20"/>
          <w:lang w:eastAsia="fr-FR"/>
        </w:rPr>
        <w:t>O</w:t>
      </w:r>
      <w:r w:rsidRPr="002A3213" w:rsidR="0068522E">
        <w:rPr>
          <w:rFonts w:ascii="Times New Roman" w:hAnsi="Times New Roman" w:eastAsia="Times New Roman" w:cs="Times New Roman"/>
          <w:szCs w:val="20"/>
          <w:lang w:eastAsia="fr-FR"/>
        </w:rPr>
        <w:t xml:space="preserve">pen propaganda of homosexuality would cause social tension and might provoke </w:t>
      </w:r>
      <w:r w:rsidRPr="002A3213" w:rsidR="002A118F">
        <w:rPr>
          <w:rFonts w:ascii="Times New Roman" w:hAnsi="Times New Roman" w:eastAsia="Times New Roman" w:cs="Times New Roman"/>
          <w:szCs w:val="20"/>
          <w:lang w:eastAsia="fr-FR"/>
        </w:rPr>
        <w:t xml:space="preserve">a </w:t>
      </w:r>
      <w:r w:rsidRPr="002A3213" w:rsidR="0068522E">
        <w:rPr>
          <w:rFonts w:ascii="Times New Roman" w:hAnsi="Times New Roman" w:eastAsia="Times New Roman" w:cs="Times New Roman"/>
          <w:szCs w:val="20"/>
          <w:lang w:eastAsia="fr-FR"/>
        </w:rPr>
        <w:t xml:space="preserve">violent response. Thirdly, “non-traditional sexual orientation” was a broad term that </w:t>
      </w:r>
      <w:r w:rsidRPr="002A3213" w:rsidR="002A118F">
        <w:rPr>
          <w:rFonts w:ascii="Times New Roman" w:hAnsi="Times New Roman" w:eastAsia="Times New Roman" w:cs="Times New Roman"/>
          <w:szCs w:val="20"/>
          <w:lang w:eastAsia="fr-FR"/>
        </w:rPr>
        <w:t xml:space="preserve">could </w:t>
      </w:r>
      <w:r w:rsidRPr="002A3213" w:rsidR="0068522E">
        <w:rPr>
          <w:rFonts w:ascii="Times New Roman" w:hAnsi="Times New Roman" w:eastAsia="Times New Roman" w:cs="Times New Roman"/>
          <w:szCs w:val="20"/>
          <w:lang w:eastAsia="fr-FR"/>
        </w:rPr>
        <w:t>include paedophilia</w:t>
      </w:r>
      <w:r w:rsidRPr="002A3213" w:rsidR="002A118F">
        <w:rPr>
          <w:rFonts w:ascii="Times New Roman" w:hAnsi="Times New Roman" w:eastAsia="Times New Roman" w:cs="Times New Roman"/>
          <w:szCs w:val="20"/>
          <w:lang w:eastAsia="fr-FR"/>
        </w:rPr>
        <w:t>,</w:t>
      </w:r>
      <w:r w:rsidRPr="002A3213" w:rsidR="0068522E">
        <w:rPr>
          <w:rFonts w:ascii="Times New Roman" w:hAnsi="Times New Roman" w:eastAsia="Times New Roman" w:cs="Times New Roman"/>
          <w:szCs w:val="20"/>
          <w:lang w:eastAsia="fr-FR"/>
        </w:rPr>
        <w:t xml:space="preserve"> which was a criminal offence in Russia. Therefore, the second applicant</w:t>
      </w:r>
      <w:r w:rsidRPr="002A3213" w:rsidR="002A3213">
        <w:rPr>
          <w:rFonts w:ascii="Times New Roman" w:hAnsi="Times New Roman" w:eastAsia="Times New Roman" w:cs="Times New Roman"/>
          <w:szCs w:val="20"/>
          <w:lang w:eastAsia="fr-FR"/>
        </w:rPr>
        <w:t>’</w:t>
      </w:r>
      <w:r w:rsidRPr="002A3213" w:rsidR="0068522E">
        <w:rPr>
          <w:rFonts w:ascii="Times New Roman" w:hAnsi="Times New Roman" w:eastAsia="Times New Roman" w:cs="Times New Roman"/>
          <w:szCs w:val="20"/>
          <w:lang w:eastAsia="fr-FR"/>
        </w:rPr>
        <w:t xml:space="preserve">s activities might threaten public order. Finally, the support of persons suffering from HIV/AIDS, proclaimed as one of the aims of the second applicant, might violate the rights of those persons to confidentiality and respect for private life. It was impossible for a public association intending to advertise its activities to ensure </w:t>
      </w:r>
      <w:r w:rsidRPr="002A3213" w:rsidR="002A118F">
        <w:rPr>
          <w:rFonts w:ascii="Times New Roman" w:hAnsi="Times New Roman" w:eastAsia="Times New Roman" w:cs="Times New Roman"/>
          <w:szCs w:val="20"/>
          <w:lang w:eastAsia="fr-FR"/>
        </w:rPr>
        <w:t xml:space="preserve">the </w:t>
      </w:r>
      <w:r w:rsidRPr="002A3213" w:rsidR="0068522E">
        <w:rPr>
          <w:rFonts w:ascii="Times New Roman" w:hAnsi="Times New Roman" w:eastAsia="Times New Roman" w:cs="Times New Roman"/>
          <w:szCs w:val="20"/>
          <w:lang w:eastAsia="fr-FR"/>
        </w:rPr>
        <w:t>confidentiality and inviolability of private life.</w:t>
      </w:r>
    </w:p>
    <w:p w:rsidRPr="002A3213" w:rsidR="005D59EB" w:rsidP="002A3213" w:rsidRDefault="003D5472">
      <w:pPr>
        <w:pStyle w:val="ECHRPara"/>
        <w:rPr>
          <w:rFonts w:ascii="Times New Roman" w:hAnsi="Times New Roman" w:eastAsia="Times New Roman" w:cs="Times New Roman"/>
          <w:szCs w:val="20"/>
          <w:lang w:eastAsia="fr-FR"/>
        </w:rPr>
      </w:pPr>
      <w:r w:rsidRPr="002A3213">
        <w:rPr>
          <w:rFonts w:ascii="Times New Roman" w:hAnsi="Times New Roman" w:eastAsia="Times New Roman" w:cs="Times New Roman"/>
          <w:szCs w:val="20"/>
          <w:lang w:eastAsia="fr-FR"/>
        </w:rPr>
        <w:fldChar w:fldCharType="begin"/>
      </w:r>
      <w:r w:rsidRPr="002A3213">
        <w:rPr>
          <w:rFonts w:ascii="Times New Roman" w:hAnsi="Times New Roman" w:eastAsia="Times New Roman" w:cs="Times New Roman"/>
          <w:szCs w:val="20"/>
          <w:lang w:eastAsia="fr-FR"/>
        </w:rPr>
        <w:instrText xml:space="preserve"> SEQ level0 \*arabic </w:instrText>
      </w:r>
      <w:r w:rsidRPr="002A3213">
        <w:rPr>
          <w:rFonts w:ascii="Times New Roman" w:hAnsi="Times New Roman" w:eastAsia="Times New Roman" w:cs="Times New Roman"/>
          <w:szCs w:val="20"/>
          <w:lang w:eastAsia="fr-FR"/>
        </w:rPr>
        <w:fldChar w:fldCharType="separate"/>
      </w:r>
      <w:r w:rsidRPr="002A3213" w:rsidR="002A3213">
        <w:rPr>
          <w:rFonts w:ascii="Times New Roman" w:hAnsi="Times New Roman" w:eastAsia="Times New Roman" w:cs="Times New Roman"/>
          <w:noProof/>
          <w:szCs w:val="20"/>
          <w:lang w:eastAsia="fr-FR"/>
        </w:rPr>
        <w:t>27</w:t>
      </w:r>
      <w:r w:rsidRPr="002A3213">
        <w:rPr>
          <w:rFonts w:ascii="Times New Roman" w:hAnsi="Times New Roman" w:eastAsia="Times New Roman" w:cs="Times New Roman"/>
          <w:szCs w:val="20"/>
          <w:lang w:eastAsia="fr-FR"/>
        </w:rPr>
        <w:fldChar w:fldCharType="end"/>
      </w:r>
      <w:r w:rsidRPr="002A3213">
        <w:rPr>
          <w:rFonts w:ascii="Times New Roman" w:hAnsi="Times New Roman" w:eastAsia="Times New Roman" w:cs="Times New Roman"/>
          <w:szCs w:val="20"/>
          <w:lang w:eastAsia="fr-FR"/>
        </w:rPr>
        <w:t>.  </w:t>
      </w:r>
      <w:r w:rsidRPr="002A3213" w:rsidR="0068522E">
        <w:rPr>
          <w:rFonts w:ascii="Times New Roman" w:hAnsi="Times New Roman" w:eastAsia="Times New Roman" w:cs="Times New Roman"/>
          <w:szCs w:val="20"/>
          <w:lang w:eastAsia="fr-FR"/>
        </w:rPr>
        <w:t>O</w:t>
      </w:r>
      <w:r w:rsidRPr="002A3213" w:rsidR="00B067AD">
        <w:rPr>
          <w:rFonts w:ascii="Times New Roman" w:hAnsi="Times New Roman" w:eastAsia="Times New Roman" w:cs="Times New Roman"/>
          <w:szCs w:val="20"/>
          <w:lang w:eastAsia="fr-FR"/>
        </w:rPr>
        <w:t>n 7 November 2007 the Tsentralny</w:t>
      </w:r>
      <w:r w:rsidRPr="002A3213" w:rsidR="0068522E">
        <w:rPr>
          <w:rFonts w:ascii="Times New Roman" w:hAnsi="Times New Roman" w:eastAsia="Times New Roman" w:cs="Times New Roman"/>
          <w:szCs w:val="20"/>
          <w:lang w:eastAsia="fr-FR"/>
        </w:rPr>
        <w:t>y District Court of Tyumen found that the decision of 1 June 2007 to refuse registration had been lawful and justified. It held that the refusal of registration did not breach the applicants</w:t>
      </w:r>
      <w:r w:rsidRPr="002A3213" w:rsidR="002A3213">
        <w:rPr>
          <w:rFonts w:ascii="Times New Roman" w:hAnsi="Times New Roman" w:eastAsia="Times New Roman" w:cs="Times New Roman"/>
          <w:szCs w:val="20"/>
          <w:lang w:eastAsia="fr-FR"/>
        </w:rPr>
        <w:t>’</w:t>
      </w:r>
      <w:r w:rsidRPr="002A3213" w:rsidR="0068522E">
        <w:rPr>
          <w:rFonts w:ascii="Times New Roman" w:hAnsi="Times New Roman" w:eastAsia="Times New Roman" w:cs="Times New Roman"/>
          <w:szCs w:val="20"/>
          <w:lang w:eastAsia="fr-FR"/>
        </w:rPr>
        <w:t xml:space="preserve"> right of association because the second applicant could continue to function without State registration. The decision of 1 June 2007 had not declared the second applicant an extremist organisation. It had </w:t>
      </w:r>
      <w:r w:rsidRPr="002A3213" w:rsidR="002A118F">
        <w:rPr>
          <w:rFonts w:ascii="Times New Roman" w:hAnsi="Times New Roman" w:eastAsia="Times New Roman" w:cs="Times New Roman"/>
          <w:szCs w:val="20"/>
          <w:lang w:eastAsia="fr-FR"/>
        </w:rPr>
        <w:t xml:space="preserve">instead </w:t>
      </w:r>
      <w:r w:rsidRPr="002A3213" w:rsidR="0068522E">
        <w:rPr>
          <w:rFonts w:ascii="Times New Roman" w:hAnsi="Times New Roman" w:eastAsia="Times New Roman" w:cs="Times New Roman"/>
          <w:szCs w:val="20"/>
          <w:lang w:eastAsia="fr-FR"/>
        </w:rPr>
        <w:t>found that there were indications of extremism in its articles of association and that it did not therefore comply with the requirements of domestic law.</w:t>
      </w:r>
    </w:p>
    <w:p w:rsidRPr="002A3213" w:rsidR="0068522E" w:rsidP="002A3213" w:rsidRDefault="003D5472">
      <w:pPr>
        <w:pStyle w:val="ECHRPara"/>
        <w:rPr>
          <w:rFonts w:ascii="Times New Roman" w:hAnsi="Times New Roman" w:eastAsia="Times New Roman" w:cs="Times New Roman"/>
          <w:szCs w:val="20"/>
          <w:lang w:eastAsia="fr-FR"/>
        </w:rPr>
      </w:pPr>
      <w:r w:rsidRPr="002A3213">
        <w:rPr>
          <w:rFonts w:ascii="Times New Roman" w:hAnsi="Times New Roman" w:eastAsia="Times New Roman" w:cs="Times New Roman"/>
          <w:szCs w:val="20"/>
          <w:lang w:eastAsia="fr-FR"/>
        </w:rPr>
        <w:fldChar w:fldCharType="begin"/>
      </w:r>
      <w:r w:rsidRPr="002A3213">
        <w:rPr>
          <w:rFonts w:ascii="Times New Roman" w:hAnsi="Times New Roman" w:eastAsia="Times New Roman" w:cs="Times New Roman"/>
          <w:szCs w:val="20"/>
          <w:lang w:eastAsia="fr-FR"/>
        </w:rPr>
        <w:instrText xml:space="preserve"> SEQ level0 \*arabic </w:instrText>
      </w:r>
      <w:r w:rsidRPr="002A3213">
        <w:rPr>
          <w:rFonts w:ascii="Times New Roman" w:hAnsi="Times New Roman" w:eastAsia="Times New Roman" w:cs="Times New Roman"/>
          <w:szCs w:val="20"/>
          <w:lang w:eastAsia="fr-FR"/>
        </w:rPr>
        <w:fldChar w:fldCharType="separate"/>
      </w:r>
      <w:r w:rsidRPr="002A3213" w:rsidR="002A3213">
        <w:rPr>
          <w:rFonts w:ascii="Times New Roman" w:hAnsi="Times New Roman" w:eastAsia="Times New Roman" w:cs="Times New Roman"/>
          <w:noProof/>
          <w:szCs w:val="20"/>
          <w:lang w:eastAsia="fr-FR"/>
        </w:rPr>
        <w:t>28</w:t>
      </w:r>
      <w:r w:rsidRPr="002A3213">
        <w:rPr>
          <w:rFonts w:ascii="Times New Roman" w:hAnsi="Times New Roman" w:eastAsia="Times New Roman" w:cs="Times New Roman"/>
          <w:szCs w:val="20"/>
          <w:lang w:eastAsia="fr-FR"/>
        </w:rPr>
        <w:fldChar w:fldCharType="end"/>
      </w:r>
      <w:r w:rsidRPr="002A3213">
        <w:rPr>
          <w:rFonts w:ascii="Times New Roman" w:hAnsi="Times New Roman" w:eastAsia="Times New Roman" w:cs="Times New Roman"/>
          <w:szCs w:val="20"/>
          <w:lang w:eastAsia="fr-FR"/>
        </w:rPr>
        <w:t>.  </w:t>
      </w:r>
      <w:r w:rsidRPr="002A3213" w:rsidR="0068522E">
        <w:rPr>
          <w:rFonts w:ascii="Times New Roman" w:hAnsi="Times New Roman" w:eastAsia="Times New Roman" w:cs="Times New Roman"/>
          <w:szCs w:val="20"/>
          <w:lang w:eastAsia="fr-FR"/>
        </w:rPr>
        <w:t>The first applicant appealed.</w:t>
      </w:r>
    </w:p>
    <w:p w:rsidRPr="002A3213" w:rsidR="005D59EB" w:rsidP="002A3213" w:rsidRDefault="003D5472">
      <w:pPr>
        <w:pStyle w:val="ECHRPara"/>
        <w:rPr>
          <w:rFonts w:ascii="Times New Roman" w:hAnsi="Times New Roman" w:eastAsia="Times New Roman" w:cs="Times New Roman"/>
          <w:szCs w:val="20"/>
          <w:lang w:eastAsia="fr-FR"/>
        </w:rPr>
      </w:pPr>
      <w:r w:rsidRPr="002A3213">
        <w:rPr>
          <w:rFonts w:ascii="Times New Roman" w:hAnsi="Times New Roman" w:eastAsia="Times New Roman" w:cs="Times New Roman"/>
          <w:szCs w:val="20"/>
          <w:lang w:eastAsia="fr-FR"/>
        </w:rPr>
        <w:fldChar w:fldCharType="begin"/>
      </w:r>
      <w:r w:rsidRPr="002A3213">
        <w:rPr>
          <w:rFonts w:ascii="Times New Roman" w:hAnsi="Times New Roman" w:eastAsia="Times New Roman" w:cs="Times New Roman"/>
          <w:szCs w:val="20"/>
          <w:lang w:eastAsia="fr-FR"/>
        </w:rPr>
        <w:instrText xml:space="preserve"> SEQ level0 \*arabic </w:instrText>
      </w:r>
      <w:r w:rsidRPr="002A3213">
        <w:rPr>
          <w:rFonts w:ascii="Times New Roman" w:hAnsi="Times New Roman" w:eastAsia="Times New Roman" w:cs="Times New Roman"/>
          <w:szCs w:val="20"/>
          <w:lang w:eastAsia="fr-FR"/>
        </w:rPr>
        <w:fldChar w:fldCharType="separate"/>
      </w:r>
      <w:r w:rsidRPr="002A3213" w:rsidR="002A3213">
        <w:rPr>
          <w:rFonts w:ascii="Times New Roman" w:hAnsi="Times New Roman" w:eastAsia="Times New Roman" w:cs="Times New Roman"/>
          <w:noProof/>
          <w:szCs w:val="20"/>
          <w:lang w:eastAsia="fr-FR"/>
        </w:rPr>
        <w:t>29</w:t>
      </w:r>
      <w:r w:rsidRPr="002A3213">
        <w:rPr>
          <w:rFonts w:ascii="Times New Roman" w:hAnsi="Times New Roman" w:eastAsia="Times New Roman" w:cs="Times New Roman"/>
          <w:szCs w:val="20"/>
          <w:lang w:eastAsia="fr-FR"/>
        </w:rPr>
        <w:fldChar w:fldCharType="end"/>
      </w:r>
      <w:r w:rsidRPr="002A3213">
        <w:rPr>
          <w:rFonts w:ascii="Times New Roman" w:hAnsi="Times New Roman" w:eastAsia="Times New Roman" w:cs="Times New Roman"/>
          <w:szCs w:val="20"/>
          <w:lang w:eastAsia="fr-FR"/>
        </w:rPr>
        <w:t>.  </w:t>
      </w:r>
      <w:r w:rsidRPr="002A3213" w:rsidR="0068522E">
        <w:rPr>
          <w:rFonts w:ascii="Times New Roman" w:hAnsi="Times New Roman" w:eastAsia="Times New Roman" w:cs="Times New Roman"/>
          <w:szCs w:val="20"/>
          <w:lang w:eastAsia="fr-FR"/>
        </w:rPr>
        <w:t>On 17 December 2007 the Tyumen Regional Court upheld the judgment of 7 November 2007 on appeal, findin</w:t>
      </w:r>
      <w:r w:rsidRPr="002A3213" w:rsidR="007B7027">
        <w:rPr>
          <w:rFonts w:ascii="Times New Roman" w:hAnsi="Times New Roman" w:eastAsia="Times New Roman" w:cs="Times New Roman"/>
          <w:szCs w:val="20"/>
          <w:lang w:eastAsia="fr-FR"/>
        </w:rPr>
        <w:t xml:space="preserve">g that it had been lawful, well </w:t>
      </w:r>
      <w:r w:rsidRPr="002A3213" w:rsidR="0068522E">
        <w:rPr>
          <w:rFonts w:ascii="Times New Roman" w:hAnsi="Times New Roman" w:eastAsia="Times New Roman" w:cs="Times New Roman"/>
          <w:szCs w:val="20"/>
          <w:lang w:eastAsia="fr-FR"/>
        </w:rPr>
        <w:t xml:space="preserve">reasoned and justified. </w:t>
      </w:r>
      <w:r w:rsidRPr="002A3213" w:rsidR="003C3DFE">
        <w:rPr>
          <w:rFonts w:ascii="Times New Roman" w:hAnsi="Times New Roman" w:eastAsia="Times New Roman" w:cs="Times New Roman"/>
          <w:szCs w:val="20"/>
          <w:lang w:eastAsia="fr-FR"/>
        </w:rPr>
        <w:t>It held:</w:t>
      </w:r>
    </w:p>
    <w:p w:rsidRPr="002A3213" w:rsidR="005D59EB" w:rsidP="002A3213" w:rsidRDefault="003C3DFE">
      <w:pPr>
        <w:pStyle w:val="ECHRParaQuote"/>
        <w:rPr>
          <w:rFonts w:eastAsia="Times New Roman"/>
          <w:lang w:eastAsia="fr-FR"/>
        </w:rPr>
      </w:pPr>
      <w:r w:rsidRPr="002A3213">
        <w:rPr>
          <w:rFonts w:eastAsia="Times New Roman"/>
          <w:lang w:eastAsia="fr-FR"/>
        </w:rPr>
        <w:t>“</w:t>
      </w:r>
      <w:r w:rsidRPr="002A3213" w:rsidR="00A5271C">
        <w:rPr>
          <w:rFonts w:eastAsia="Times New Roman"/>
          <w:lang w:eastAsia="fr-FR"/>
        </w:rPr>
        <w:t>The first</w:t>
      </w:r>
      <w:r w:rsidRPr="002A3213" w:rsidR="002A118F">
        <w:rPr>
          <w:rFonts w:eastAsia="Times New Roman"/>
          <w:lang w:eastAsia="fr-FR"/>
        </w:rPr>
        <w:t>-</w:t>
      </w:r>
      <w:r w:rsidRPr="002A3213" w:rsidR="00A5271C">
        <w:rPr>
          <w:rFonts w:eastAsia="Times New Roman"/>
          <w:lang w:eastAsia="fr-FR"/>
        </w:rPr>
        <w:t>instance court correctly rejected the plaintiff</w:t>
      </w:r>
      <w:r w:rsidRPr="002A3213" w:rsidR="002A3213">
        <w:rPr>
          <w:rFonts w:eastAsia="Times New Roman"/>
          <w:lang w:eastAsia="fr-FR"/>
        </w:rPr>
        <w:t>’</w:t>
      </w:r>
      <w:r w:rsidRPr="002A3213" w:rsidR="00A5271C">
        <w:rPr>
          <w:rFonts w:eastAsia="Times New Roman"/>
          <w:lang w:eastAsia="fr-FR"/>
        </w:rPr>
        <w:t xml:space="preserve">s </w:t>
      </w:r>
      <w:r w:rsidRPr="002A3213" w:rsidR="001D132A">
        <w:rPr>
          <w:rFonts w:eastAsia="Times New Roman"/>
          <w:lang w:eastAsia="fr-FR"/>
        </w:rPr>
        <w:t xml:space="preserve">complaint, finding that [the </w:t>
      </w:r>
      <w:r w:rsidRPr="002A3213" w:rsidR="00B72D84">
        <w:rPr>
          <w:rFonts w:eastAsia="Times New Roman"/>
          <w:lang w:eastAsia="fr-FR"/>
        </w:rPr>
        <w:t>Tyumen</w:t>
      </w:r>
      <w:r w:rsidRPr="002A3213" w:rsidR="00C84296">
        <w:rPr>
          <w:rFonts w:eastAsia="Times New Roman"/>
          <w:lang w:eastAsia="fr-FR"/>
        </w:rPr>
        <w:t xml:space="preserve"> </w:t>
      </w:r>
      <w:r w:rsidRPr="002A3213" w:rsidR="001D132A">
        <w:rPr>
          <w:rFonts w:eastAsia="Times New Roman"/>
          <w:lang w:eastAsia="fr-FR"/>
        </w:rPr>
        <w:t>registration authority</w:t>
      </w:r>
      <w:r w:rsidRPr="002A3213" w:rsidR="002A3213">
        <w:rPr>
          <w:rFonts w:eastAsia="Times New Roman"/>
          <w:lang w:eastAsia="fr-FR"/>
        </w:rPr>
        <w:t>’</w:t>
      </w:r>
      <w:r w:rsidRPr="002A3213" w:rsidR="001D132A">
        <w:rPr>
          <w:rFonts w:eastAsia="Times New Roman"/>
          <w:lang w:eastAsia="fr-FR"/>
        </w:rPr>
        <w:t xml:space="preserve">s] decision to refuse </w:t>
      </w:r>
      <w:r w:rsidRPr="002A3213" w:rsidR="009F5088">
        <w:rPr>
          <w:rFonts w:eastAsia="Times New Roman"/>
          <w:lang w:eastAsia="fr-FR"/>
        </w:rPr>
        <w:t>legal-entity status</w:t>
      </w:r>
      <w:r w:rsidRPr="002A3213" w:rsidR="001D132A">
        <w:rPr>
          <w:rFonts w:eastAsia="Times New Roman"/>
          <w:lang w:eastAsia="fr-FR"/>
        </w:rPr>
        <w:t xml:space="preserve"> to [Rainbow House] </w:t>
      </w:r>
      <w:r w:rsidRPr="002A3213" w:rsidR="009F5088">
        <w:rPr>
          <w:rFonts w:eastAsia="Times New Roman"/>
          <w:lang w:eastAsia="fr-FR"/>
        </w:rPr>
        <w:t>had been lawful and had not breached the plaintiff</w:t>
      </w:r>
      <w:r w:rsidRPr="002A3213" w:rsidR="002A3213">
        <w:rPr>
          <w:rFonts w:eastAsia="Times New Roman"/>
          <w:lang w:eastAsia="fr-FR"/>
        </w:rPr>
        <w:t>’</w:t>
      </w:r>
      <w:r w:rsidRPr="002A3213" w:rsidR="009F5088">
        <w:rPr>
          <w:rFonts w:eastAsia="Times New Roman"/>
          <w:lang w:eastAsia="fr-FR"/>
        </w:rPr>
        <w:t>s rights and legitimate interests. A legal analysis of that public association</w:t>
      </w:r>
      <w:r w:rsidRPr="002A3213" w:rsidR="002A3213">
        <w:rPr>
          <w:rFonts w:eastAsia="Times New Roman"/>
          <w:lang w:eastAsia="fr-FR"/>
        </w:rPr>
        <w:t>’</w:t>
      </w:r>
      <w:r w:rsidRPr="002A3213" w:rsidR="009F5088">
        <w:rPr>
          <w:rFonts w:eastAsia="Times New Roman"/>
          <w:lang w:eastAsia="fr-FR"/>
        </w:rPr>
        <w:t>s articles of association submitted for registration by the plaintiff revealed that its stat</w:t>
      </w:r>
      <w:r w:rsidRPr="002A3213" w:rsidR="0083151B">
        <w:rPr>
          <w:rFonts w:eastAsia="Times New Roman"/>
          <w:lang w:eastAsia="fr-FR"/>
        </w:rPr>
        <w:t>ed</w:t>
      </w:r>
      <w:r w:rsidRPr="002A3213" w:rsidR="009F5088">
        <w:rPr>
          <w:rFonts w:eastAsia="Times New Roman"/>
          <w:lang w:eastAsia="fr-FR"/>
        </w:rPr>
        <w:t xml:space="preserve"> aims and objectives </w:t>
      </w:r>
      <w:r w:rsidRPr="002A3213" w:rsidR="00B676C6">
        <w:rPr>
          <w:rFonts w:eastAsia="Times New Roman"/>
          <w:lang w:eastAsia="fr-FR"/>
        </w:rPr>
        <w:t>were</w:t>
      </w:r>
      <w:r w:rsidRPr="002A3213" w:rsidR="009F5088">
        <w:rPr>
          <w:rFonts w:eastAsia="Times New Roman"/>
          <w:lang w:eastAsia="fr-FR"/>
        </w:rPr>
        <w:t xml:space="preserve"> contrary to the applicable laws, and in particular to the Russian Constitution.</w:t>
      </w:r>
    </w:p>
    <w:p w:rsidRPr="002A3213" w:rsidR="005D59EB" w:rsidP="002A3213" w:rsidRDefault="00073071">
      <w:pPr>
        <w:pStyle w:val="ECHRParaQuote"/>
        <w:rPr>
          <w:rFonts w:eastAsia="Times New Roman"/>
          <w:lang w:eastAsia="fr-FR"/>
        </w:rPr>
      </w:pPr>
      <w:r w:rsidRPr="002A3213">
        <w:rPr>
          <w:rFonts w:eastAsia="Times New Roman"/>
          <w:lang w:eastAsia="fr-FR"/>
        </w:rPr>
        <w:t>This</w:t>
      </w:r>
      <w:r w:rsidRPr="002A3213" w:rsidR="000416D0">
        <w:rPr>
          <w:rFonts w:eastAsia="Times New Roman"/>
          <w:lang w:eastAsia="fr-FR"/>
        </w:rPr>
        <w:t xml:space="preserve"> finding of the court is correct as it is based on the circumstances of the case </w:t>
      </w:r>
      <w:r w:rsidRPr="002A3213" w:rsidR="002A118F">
        <w:rPr>
          <w:rFonts w:eastAsia="Times New Roman"/>
          <w:lang w:eastAsia="fr-FR"/>
        </w:rPr>
        <w:t xml:space="preserve">as </w:t>
      </w:r>
      <w:r w:rsidRPr="002A3213" w:rsidR="000416D0">
        <w:rPr>
          <w:rFonts w:eastAsia="Times New Roman"/>
          <w:lang w:eastAsia="fr-FR"/>
        </w:rPr>
        <w:t>correctly established on the basis of the evidence in the case file, and on the applicable legal provisions.</w:t>
      </w:r>
    </w:p>
    <w:p w:rsidRPr="002A3213" w:rsidR="005D59EB" w:rsidP="002A3213" w:rsidRDefault="001D0A20">
      <w:pPr>
        <w:pStyle w:val="ECHRParaQuote"/>
        <w:rPr>
          <w:rFonts w:eastAsia="Times New Roman"/>
          <w:lang w:eastAsia="fr-FR"/>
        </w:rPr>
      </w:pPr>
      <w:r w:rsidRPr="002A3213">
        <w:rPr>
          <w:rFonts w:eastAsia="Times New Roman"/>
          <w:lang w:eastAsia="fr-FR"/>
        </w:rPr>
        <w:t xml:space="preserve">In particular, the first-instance court correctly noted </w:t>
      </w:r>
      <w:r w:rsidRPr="002A3213" w:rsidR="00F5636B">
        <w:rPr>
          <w:rFonts w:eastAsia="Times New Roman"/>
          <w:lang w:eastAsia="fr-FR"/>
        </w:rPr>
        <w:t xml:space="preserve">in its </w:t>
      </w:r>
      <w:r w:rsidRPr="002A3213" w:rsidR="00FF6021">
        <w:rPr>
          <w:rFonts w:eastAsia="Times New Roman"/>
          <w:lang w:eastAsia="fr-FR"/>
        </w:rPr>
        <w:t>judgment</w:t>
      </w:r>
      <w:r w:rsidRPr="002A3213" w:rsidR="00F5636B">
        <w:rPr>
          <w:rFonts w:eastAsia="Times New Roman"/>
          <w:lang w:eastAsia="fr-FR"/>
        </w:rPr>
        <w:t xml:space="preserve"> </w:t>
      </w:r>
      <w:r w:rsidRPr="002A3213">
        <w:rPr>
          <w:rFonts w:eastAsia="Times New Roman"/>
          <w:lang w:eastAsia="fr-FR"/>
        </w:rPr>
        <w:t xml:space="preserve">that </w:t>
      </w:r>
      <w:r w:rsidRPr="002A3213" w:rsidR="00F5636B">
        <w:rPr>
          <w:rFonts w:eastAsia="Times New Roman"/>
          <w:lang w:eastAsia="fr-FR"/>
        </w:rPr>
        <w:t xml:space="preserve">the registration authority had not </w:t>
      </w:r>
      <w:r w:rsidRPr="002A3213" w:rsidR="00FF6021">
        <w:rPr>
          <w:rFonts w:eastAsia="Times New Roman"/>
          <w:lang w:eastAsia="fr-FR"/>
        </w:rPr>
        <w:t>declared</w:t>
      </w:r>
      <w:r w:rsidRPr="002A3213" w:rsidR="00F5636B">
        <w:rPr>
          <w:rFonts w:eastAsia="Times New Roman"/>
          <w:lang w:eastAsia="fr-FR"/>
        </w:rPr>
        <w:t xml:space="preserve"> [Rainbow House] </w:t>
      </w:r>
      <w:r w:rsidRPr="002A3213" w:rsidR="00FF6021">
        <w:rPr>
          <w:rFonts w:eastAsia="Times New Roman"/>
          <w:lang w:eastAsia="fr-FR"/>
        </w:rPr>
        <w:t>an extremist organisation. It only found that some provisions of its articles of association contain</w:t>
      </w:r>
      <w:r w:rsidRPr="002A3213" w:rsidR="00383B4B">
        <w:rPr>
          <w:rFonts w:eastAsia="Times New Roman"/>
          <w:lang w:eastAsia="fr-FR"/>
        </w:rPr>
        <w:t>ed</w:t>
      </w:r>
      <w:r w:rsidRPr="002A3213" w:rsidR="00FF6021">
        <w:rPr>
          <w:rFonts w:eastAsia="Times New Roman"/>
          <w:lang w:eastAsia="fr-FR"/>
        </w:rPr>
        <w:t xml:space="preserve"> indications of extremism. That finding served as a lawful basis for the refusal of legal-entity status in</w:t>
      </w:r>
      <w:r w:rsidRPr="002A3213" w:rsidR="008F6552">
        <w:rPr>
          <w:rFonts w:eastAsia="Times New Roman"/>
          <w:lang w:eastAsia="fr-FR"/>
        </w:rPr>
        <w:t xml:space="preserve"> accordance with section 23(1)</w:t>
      </w:r>
      <w:r w:rsidRPr="002A3213" w:rsidR="00FF6021">
        <w:rPr>
          <w:rFonts w:eastAsia="Times New Roman"/>
          <w:lang w:eastAsia="fr-FR"/>
        </w:rPr>
        <w:t xml:space="preserve">(1) and (2) of the </w:t>
      </w:r>
      <w:r w:rsidRPr="002A3213" w:rsidR="009C681D">
        <w:rPr>
          <w:rFonts w:eastAsia="Times New Roman"/>
          <w:lang w:eastAsia="fr-FR"/>
        </w:rPr>
        <w:t>Public Associations Act.</w:t>
      </w:r>
    </w:p>
    <w:p w:rsidRPr="002A3213" w:rsidR="005D59EB" w:rsidP="002A3213" w:rsidRDefault="009C681D">
      <w:pPr>
        <w:pStyle w:val="ECHRParaQuote"/>
        <w:rPr>
          <w:rFonts w:eastAsia="Times New Roman"/>
          <w:lang w:eastAsia="fr-FR"/>
        </w:rPr>
      </w:pPr>
      <w:r w:rsidRPr="002A3213">
        <w:rPr>
          <w:rFonts w:eastAsia="Times New Roman"/>
          <w:lang w:eastAsia="fr-FR"/>
        </w:rPr>
        <w:t xml:space="preserve">The judgment lists these indications of extremism: propaganda of non-traditional sexual </w:t>
      </w:r>
      <w:r w:rsidRPr="002A3213" w:rsidR="007826F6">
        <w:rPr>
          <w:rFonts w:eastAsia="Times New Roman"/>
          <w:lang w:eastAsia="fr-FR"/>
        </w:rPr>
        <w:t xml:space="preserve">orientation which might [undermine] the security of the State and of society, create conditions for inciting social or religious hatred or enmity, </w:t>
      </w:r>
      <w:r w:rsidRPr="002A3213" w:rsidR="00454641">
        <w:rPr>
          <w:rFonts w:eastAsia="Times New Roman"/>
          <w:lang w:eastAsia="fr-FR"/>
        </w:rPr>
        <w:t xml:space="preserve">or </w:t>
      </w:r>
      <w:r w:rsidRPr="002A3213" w:rsidR="007826F6">
        <w:rPr>
          <w:rFonts w:eastAsia="Times New Roman"/>
          <w:lang w:eastAsia="fr-FR"/>
        </w:rPr>
        <w:t>undermine the foundations of the family and marriage, contrary to Articles 29 and 38 of the Constitut</w:t>
      </w:r>
      <w:r w:rsidRPr="002A3213" w:rsidR="00903B81">
        <w:rPr>
          <w:rFonts w:eastAsia="Times New Roman"/>
          <w:lang w:eastAsia="fr-FR"/>
        </w:rPr>
        <w:t>ion of the Russian Federation, A</w:t>
      </w:r>
      <w:r w:rsidRPr="002A3213" w:rsidR="007826F6">
        <w:rPr>
          <w:rFonts w:eastAsia="Times New Roman"/>
          <w:lang w:eastAsia="fr-FR"/>
        </w:rPr>
        <w:t>rticles 1 and 12 of the Family Code and section 16 of the Public Associations Act.</w:t>
      </w:r>
    </w:p>
    <w:p w:rsidRPr="002A3213" w:rsidR="005D59EB" w:rsidP="002A3213" w:rsidRDefault="003134A3">
      <w:pPr>
        <w:pStyle w:val="ECHRParaQuote"/>
        <w:rPr>
          <w:rFonts w:eastAsia="Times New Roman"/>
          <w:lang w:eastAsia="fr-FR"/>
        </w:rPr>
      </w:pPr>
      <w:r w:rsidRPr="002A3213">
        <w:rPr>
          <w:rFonts w:eastAsia="Times New Roman"/>
          <w:lang w:eastAsia="fr-FR"/>
        </w:rPr>
        <w:t xml:space="preserve">The arguments in the appeal submissions are based on </w:t>
      </w:r>
      <w:r w:rsidRPr="002A3213" w:rsidR="002A118F">
        <w:rPr>
          <w:rFonts w:eastAsia="Times New Roman"/>
          <w:lang w:eastAsia="fr-FR"/>
        </w:rPr>
        <w:t xml:space="preserve">an </w:t>
      </w:r>
      <w:r w:rsidRPr="002A3213">
        <w:rPr>
          <w:rFonts w:eastAsia="Times New Roman"/>
          <w:lang w:eastAsia="fr-FR"/>
        </w:rPr>
        <w:t xml:space="preserve">incorrect interpretation of the applicable legal provisions and </w:t>
      </w:r>
      <w:r w:rsidRPr="002A3213" w:rsidR="002A118F">
        <w:rPr>
          <w:rFonts w:eastAsia="Times New Roman"/>
          <w:lang w:eastAsia="fr-FR"/>
        </w:rPr>
        <w:t xml:space="preserve">an </w:t>
      </w:r>
      <w:r w:rsidRPr="002A3213">
        <w:rPr>
          <w:rFonts w:eastAsia="Times New Roman"/>
          <w:lang w:eastAsia="fr-FR"/>
        </w:rPr>
        <w:t xml:space="preserve">incorrect assessment of </w:t>
      </w:r>
      <w:r w:rsidRPr="002A3213" w:rsidR="002A118F">
        <w:rPr>
          <w:rFonts w:eastAsia="Times New Roman"/>
          <w:lang w:eastAsia="fr-FR"/>
        </w:rPr>
        <w:t xml:space="preserve">the </w:t>
      </w:r>
      <w:r w:rsidRPr="002A3213">
        <w:rPr>
          <w:rFonts w:eastAsia="Times New Roman"/>
          <w:lang w:eastAsia="fr-FR"/>
        </w:rPr>
        <w:t xml:space="preserve">relevant circumstances. They </w:t>
      </w:r>
      <w:r w:rsidRPr="002A3213" w:rsidR="002A118F">
        <w:rPr>
          <w:rFonts w:eastAsia="Times New Roman"/>
          <w:lang w:eastAsia="fr-FR"/>
        </w:rPr>
        <w:t>can</w:t>
      </w:r>
      <w:r w:rsidRPr="002A3213">
        <w:rPr>
          <w:rFonts w:eastAsia="Times New Roman"/>
          <w:lang w:eastAsia="fr-FR"/>
        </w:rPr>
        <w:t xml:space="preserve">not therefore </w:t>
      </w:r>
      <w:r w:rsidRPr="002A3213" w:rsidR="002A118F">
        <w:rPr>
          <w:rFonts w:eastAsia="Times New Roman"/>
          <w:lang w:eastAsia="fr-FR"/>
        </w:rPr>
        <w:t xml:space="preserve">be </w:t>
      </w:r>
      <w:r w:rsidRPr="002A3213">
        <w:rPr>
          <w:rFonts w:eastAsia="Times New Roman"/>
          <w:lang w:eastAsia="fr-FR"/>
        </w:rPr>
        <w:t>taken into account.</w:t>
      </w:r>
    </w:p>
    <w:p w:rsidRPr="002A3213" w:rsidR="003134A3" w:rsidP="002A3213" w:rsidRDefault="003134A3">
      <w:pPr>
        <w:pStyle w:val="ECHRParaQuote"/>
        <w:rPr>
          <w:rFonts w:eastAsia="Times New Roman"/>
          <w:lang w:eastAsia="fr-FR"/>
        </w:rPr>
      </w:pPr>
      <w:r w:rsidRPr="002A3213">
        <w:rPr>
          <w:rFonts w:eastAsia="Times New Roman"/>
          <w:lang w:eastAsia="fr-FR"/>
        </w:rPr>
        <w:t>The plaintiff</w:t>
      </w:r>
      <w:r w:rsidRPr="002A3213" w:rsidR="002A3213">
        <w:rPr>
          <w:rFonts w:eastAsia="Times New Roman"/>
          <w:lang w:eastAsia="fr-FR"/>
        </w:rPr>
        <w:t>’</w:t>
      </w:r>
      <w:r w:rsidRPr="002A3213">
        <w:rPr>
          <w:rFonts w:eastAsia="Times New Roman"/>
          <w:lang w:eastAsia="fr-FR"/>
        </w:rPr>
        <w:t>s argument that [the registration authority</w:t>
      </w:r>
      <w:r w:rsidRPr="002A3213" w:rsidR="002A3213">
        <w:rPr>
          <w:rFonts w:eastAsia="Times New Roman"/>
          <w:lang w:eastAsia="fr-FR"/>
        </w:rPr>
        <w:t>’</w:t>
      </w:r>
      <w:r w:rsidRPr="002A3213">
        <w:rPr>
          <w:rFonts w:eastAsia="Times New Roman"/>
          <w:lang w:eastAsia="fr-FR"/>
        </w:rPr>
        <w:t xml:space="preserve">s] decision had breached his rights </w:t>
      </w:r>
      <w:r w:rsidRPr="002A3213" w:rsidR="002A118F">
        <w:rPr>
          <w:rFonts w:eastAsia="Times New Roman"/>
          <w:lang w:eastAsia="fr-FR"/>
        </w:rPr>
        <w:t xml:space="preserve">as </w:t>
      </w:r>
      <w:r w:rsidRPr="002A3213">
        <w:rPr>
          <w:rFonts w:eastAsia="Times New Roman"/>
          <w:lang w:eastAsia="fr-FR"/>
        </w:rPr>
        <w:t>a member of a public association is unfoun</w:t>
      </w:r>
      <w:r w:rsidRPr="002A3213" w:rsidR="00B067AD">
        <w:rPr>
          <w:rFonts w:eastAsia="Times New Roman"/>
          <w:lang w:eastAsia="fr-FR"/>
        </w:rPr>
        <w:t>ded. After correcting the above</w:t>
      </w:r>
      <w:r w:rsidRPr="002A3213" w:rsidR="00B067AD">
        <w:rPr>
          <w:rFonts w:eastAsia="Times New Roman"/>
          <w:lang w:eastAsia="fr-FR"/>
        </w:rPr>
        <w:noBreakHyphen/>
      </w:r>
      <w:r w:rsidRPr="002A3213">
        <w:rPr>
          <w:rFonts w:eastAsia="Times New Roman"/>
          <w:lang w:eastAsia="fr-FR"/>
        </w:rPr>
        <w:t>mentioned defects in the articles of association, he may reapply for registration of legal-entity status.”</w:t>
      </w:r>
    </w:p>
    <w:bookmarkStart w:name="newrefusals" w:id="3"/>
    <w:p w:rsidRPr="002A3213" w:rsidR="005D59EB" w:rsidP="002A3213" w:rsidRDefault="00B96131">
      <w:pPr>
        <w:pStyle w:val="ECHRPara"/>
        <w:rPr>
          <w:rFonts w:ascii="Times New Roman" w:hAnsi="Times New Roman" w:eastAsia="Times New Roman" w:cs="Times New Roman"/>
          <w:szCs w:val="20"/>
          <w:lang w:eastAsia="fr-FR"/>
        </w:rPr>
      </w:pPr>
      <w:r w:rsidRPr="002A3213">
        <w:rPr>
          <w:rFonts w:ascii="Times New Roman" w:hAnsi="Times New Roman" w:eastAsia="Times New Roman" w:cs="Times New Roman"/>
          <w:szCs w:val="20"/>
          <w:lang w:eastAsia="fr-FR"/>
        </w:rPr>
        <w:fldChar w:fldCharType="begin"/>
      </w:r>
      <w:r w:rsidRPr="002A3213">
        <w:rPr>
          <w:rFonts w:ascii="Times New Roman" w:hAnsi="Times New Roman" w:eastAsia="Times New Roman" w:cs="Times New Roman"/>
          <w:szCs w:val="20"/>
          <w:lang w:eastAsia="fr-FR"/>
        </w:rPr>
        <w:instrText xml:space="preserve"> SEQ level0 \*arabic </w:instrText>
      </w:r>
      <w:r w:rsidRPr="002A3213">
        <w:rPr>
          <w:rFonts w:ascii="Times New Roman" w:hAnsi="Times New Roman" w:eastAsia="Times New Roman" w:cs="Times New Roman"/>
          <w:szCs w:val="20"/>
          <w:lang w:eastAsia="fr-FR"/>
        </w:rPr>
        <w:fldChar w:fldCharType="separate"/>
      </w:r>
      <w:r w:rsidRPr="002A3213" w:rsidR="002A3213">
        <w:rPr>
          <w:rFonts w:ascii="Times New Roman" w:hAnsi="Times New Roman" w:eastAsia="Times New Roman" w:cs="Times New Roman"/>
          <w:noProof/>
          <w:szCs w:val="20"/>
          <w:lang w:eastAsia="fr-FR"/>
        </w:rPr>
        <w:t>30</w:t>
      </w:r>
      <w:r w:rsidRPr="002A3213">
        <w:rPr>
          <w:rFonts w:ascii="Times New Roman" w:hAnsi="Times New Roman" w:eastAsia="Times New Roman" w:cs="Times New Roman"/>
          <w:szCs w:val="20"/>
          <w:lang w:eastAsia="fr-FR"/>
        </w:rPr>
        <w:fldChar w:fldCharType="end"/>
      </w:r>
      <w:bookmarkEnd w:id="3"/>
      <w:r w:rsidRPr="002A3213">
        <w:rPr>
          <w:rFonts w:ascii="Times New Roman" w:hAnsi="Times New Roman" w:eastAsia="Times New Roman" w:cs="Times New Roman"/>
          <w:szCs w:val="20"/>
          <w:lang w:eastAsia="fr-FR"/>
        </w:rPr>
        <w:t>.  </w:t>
      </w:r>
      <w:r w:rsidRPr="002A3213" w:rsidR="002A118F">
        <w:rPr>
          <w:rFonts w:ascii="Times New Roman" w:hAnsi="Times New Roman" w:eastAsia="Times New Roman" w:cs="Times New Roman"/>
          <w:szCs w:val="20"/>
          <w:lang w:eastAsia="fr-FR"/>
        </w:rPr>
        <w:t xml:space="preserve">Further </w:t>
      </w:r>
      <w:r w:rsidRPr="002A3213" w:rsidR="00C125E4">
        <w:rPr>
          <w:rFonts w:ascii="Times New Roman" w:hAnsi="Times New Roman" w:eastAsia="Times New Roman" w:cs="Times New Roman"/>
          <w:szCs w:val="20"/>
          <w:lang w:eastAsia="fr-FR"/>
        </w:rPr>
        <w:t>applications for registration were refused in May and November 2010 for the same reasons as before.</w:t>
      </w:r>
    </w:p>
    <w:p w:rsidRPr="002A3213" w:rsidR="003D5472" w:rsidP="002A3213" w:rsidRDefault="00B067AD">
      <w:pPr>
        <w:pStyle w:val="ECHRHeading2"/>
        <w:rPr>
          <w:rFonts w:eastAsia="Times New Roman"/>
          <w:lang w:eastAsia="fr-FR"/>
        </w:rPr>
      </w:pPr>
      <w:r w:rsidRPr="002A3213">
        <w:rPr>
          <w:rFonts w:eastAsia="Times New Roman"/>
          <w:lang w:eastAsia="fr-FR"/>
        </w:rPr>
        <w:t>B.  </w:t>
      </w:r>
      <w:r w:rsidRPr="002A3213" w:rsidR="00B532DC">
        <w:rPr>
          <w:rFonts w:eastAsia="Times New Roman"/>
          <w:lang w:eastAsia="fr-FR"/>
        </w:rPr>
        <w:t>Application no. 35949/11 (</w:t>
      </w:r>
      <w:r w:rsidRPr="002A3213" w:rsidR="00B532DC">
        <w:rPr>
          <w:rFonts w:eastAsia="Times New Roman"/>
          <w:i/>
          <w:lang w:eastAsia="fr-FR"/>
        </w:rPr>
        <w:t>Alekseyev and Movement for Marriage Equality v. Russia</w:t>
      </w:r>
      <w:r w:rsidRPr="002A3213" w:rsidR="00B532DC">
        <w:rPr>
          <w:rFonts w:eastAsia="Times New Roman"/>
          <w:lang w:eastAsia="fr-FR"/>
        </w:rPr>
        <w:t>)</w:t>
      </w:r>
    </w:p>
    <w:p w:rsidRPr="002A3213" w:rsidR="00B06393" w:rsidP="002A3213" w:rsidRDefault="00CA468F">
      <w:pPr>
        <w:pStyle w:val="ECHRPara"/>
        <w:rPr>
          <w:lang w:eastAsia="fr-FR"/>
        </w:rPr>
      </w:pPr>
      <w:r w:rsidRPr="002A3213">
        <w:rPr>
          <w:lang w:eastAsia="fr-FR"/>
        </w:rPr>
        <w:fldChar w:fldCharType="begin"/>
      </w:r>
      <w:r w:rsidRPr="002A3213">
        <w:rPr>
          <w:lang w:eastAsia="fr-FR"/>
        </w:rPr>
        <w:instrText xml:space="preserve"> SEQ level0 \*arabic </w:instrText>
      </w:r>
      <w:r w:rsidRPr="002A3213">
        <w:rPr>
          <w:lang w:eastAsia="fr-FR"/>
        </w:rPr>
        <w:fldChar w:fldCharType="separate"/>
      </w:r>
      <w:r w:rsidRPr="002A3213" w:rsidR="002A3213">
        <w:rPr>
          <w:noProof/>
          <w:lang w:eastAsia="fr-FR"/>
        </w:rPr>
        <w:t>31</w:t>
      </w:r>
      <w:r w:rsidRPr="002A3213">
        <w:rPr>
          <w:lang w:eastAsia="fr-FR"/>
        </w:rPr>
        <w:fldChar w:fldCharType="end"/>
      </w:r>
      <w:r w:rsidRPr="002A3213">
        <w:rPr>
          <w:lang w:eastAsia="fr-FR"/>
        </w:rPr>
        <w:t>.  </w:t>
      </w:r>
      <w:r w:rsidRPr="002A3213" w:rsidR="003E2FF4">
        <w:rPr>
          <w:lang w:eastAsia="fr-FR"/>
        </w:rPr>
        <w:t>The first applicant is the founder and the executive director of the second applicant, an autonomous non</w:t>
      </w:r>
      <w:r w:rsidRPr="002A3213" w:rsidR="001962D8">
        <w:rPr>
          <w:lang w:eastAsia="fr-FR"/>
        </w:rPr>
        <w:t>-</w:t>
      </w:r>
      <w:r w:rsidRPr="002A3213" w:rsidR="003E2FF4">
        <w:rPr>
          <w:lang w:eastAsia="fr-FR"/>
        </w:rPr>
        <w:t>profit organisation.</w:t>
      </w:r>
    </w:p>
    <w:p w:rsidRPr="002A3213" w:rsidR="007B4EFA" w:rsidP="002A3213" w:rsidRDefault="007906F4">
      <w:pPr>
        <w:pStyle w:val="ECHRPara"/>
        <w:rPr>
          <w:lang w:eastAsia="fr-FR"/>
        </w:rPr>
      </w:pPr>
      <w:r w:rsidRPr="002A3213">
        <w:rPr>
          <w:lang w:eastAsia="fr-FR"/>
        </w:rPr>
        <w:fldChar w:fldCharType="begin"/>
      </w:r>
      <w:r w:rsidRPr="002A3213">
        <w:rPr>
          <w:lang w:eastAsia="fr-FR"/>
        </w:rPr>
        <w:instrText xml:space="preserve"> SEQ level0 \*arabic </w:instrText>
      </w:r>
      <w:r w:rsidRPr="002A3213">
        <w:rPr>
          <w:lang w:eastAsia="fr-FR"/>
        </w:rPr>
        <w:fldChar w:fldCharType="separate"/>
      </w:r>
      <w:r w:rsidRPr="002A3213" w:rsidR="002A3213">
        <w:rPr>
          <w:noProof/>
          <w:lang w:eastAsia="fr-FR"/>
        </w:rPr>
        <w:t>32</w:t>
      </w:r>
      <w:r w:rsidRPr="002A3213">
        <w:rPr>
          <w:lang w:eastAsia="fr-FR"/>
        </w:rPr>
        <w:fldChar w:fldCharType="end"/>
      </w:r>
      <w:r w:rsidRPr="002A3213">
        <w:rPr>
          <w:lang w:eastAsia="fr-FR"/>
        </w:rPr>
        <w:t>.  </w:t>
      </w:r>
      <w:r w:rsidRPr="002A3213" w:rsidR="007B4EFA">
        <w:rPr>
          <w:lang w:eastAsia="fr-FR"/>
        </w:rPr>
        <w:t>In November 2009 the first applicant decided to create an autonomous non</w:t>
      </w:r>
      <w:r w:rsidRPr="002A3213" w:rsidR="001962D8">
        <w:rPr>
          <w:lang w:eastAsia="fr-FR"/>
        </w:rPr>
        <w:t>-</w:t>
      </w:r>
      <w:r w:rsidRPr="002A3213" w:rsidR="007B4EFA">
        <w:rPr>
          <w:lang w:eastAsia="fr-FR"/>
        </w:rPr>
        <w:t xml:space="preserve">profit organisation called Movement for Marriage Equality with the aims of defending human rights in the sphere of marriage relations, combating discrimination on the grounds of sexual orientation and gender identity and promoting equality for </w:t>
      </w:r>
      <w:r w:rsidRPr="002A3213" w:rsidR="00A7533F">
        <w:rPr>
          <w:lang w:eastAsia="fr-FR"/>
        </w:rPr>
        <w:t>LGBT people</w:t>
      </w:r>
      <w:r w:rsidRPr="002A3213" w:rsidR="007B4EFA">
        <w:rPr>
          <w:lang w:eastAsia="fr-FR"/>
        </w:rPr>
        <w:t xml:space="preserve">, in particular through </w:t>
      </w:r>
      <w:r w:rsidRPr="002A3213" w:rsidR="001962D8">
        <w:rPr>
          <w:lang w:eastAsia="fr-FR"/>
        </w:rPr>
        <w:t xml:space="preserve">the </w:t>
      </w:r>
      <w:r w:rsidRPr="002A3213" w:rsidR="007B4EFA">
        <w:rPr>
          <w:lang w:eastAsia="fr-FR"/>
        </w:rPr>
        <w:t xml:space="preserve">legalisation </w:t>
      </w:r>
      <w:r w:rsidRPr="002A3213" w:rsidR="001962D8">
        <w:rPr>
          <w:lang w:eastAsia="fr-FR"/>
        </w:rPr>
        <w:t xml:space="preserve">of </w:t>
      </w:r>
      <w:r w:rsidRPr="002A3213" w:rsidR="007B4EFA">
        <w:rPr>
          <w:lang w:eastAsia="fr-FR"/>
        </w:rPr>
        <w:t>same-sex marriage.</w:t>
      </w:r>
    </w:p>
    <w:p w:rsidRPr="002A3213" w:rsidR="007B4EFA" w:rsidP="002A3213" w:rsidRDefault="007906F4">
      <w:pPr>
        <w:pStyle w:val="ECHRPara"/>
        <w:rPr>
          <w:lang w:eastAsia="fr-FR"/>
        </w:rPr>
      </w:pPr>
      <w:r w:rsidRPr="002A3213">
        <w:rPr>
          <w:lang w:eastAsia="fr-FR"/>
        </w:rPr>
        <w:fldChar w:fldCharType="begin"/>
      </w:r>
      <w:r w:rsidRPr="002A3213">
        <w:rPr>
          <w:lang w:eastAsia="fr-FR"/>
        </w:rPr>
        <w:instrText xml:space="preserve"> SEQ level0 \*arabic </w:instrText>
      </w:r>
      <w:r w:rsidRPr="002A3213">
        <w:rPr>
          <w:lang w:eastAsia="fr-FR"/>
        </w:rPr>
        <w:fldChar w:fldCharType="separate"/>
      </w:r>
      <w:r w:rsidRPr="002A3213" w:rsidR="002A3213">
        <w:rPr>
          <w:noProof/>
          <w:lang w:eastAsia="fr-FR"/>
        </w:rPr>
        <w:t>33</w:t>
      </w:r>
      <w:r w:rsidRPr="002A3213">
        <w:rPr>
          <w:lang w:eastAsia="fr-FR"/>
        </w:rPr>
        <w:fldChar w:fldCharType="end"/>
      </w:r>
      <w:r w:rsidRPr="002A3213">
        <w:rPr>
          <w:lang w:eastAsia="fr-FR"/>
        </w:rPr>
        <w:t>.  </w:t>
      </w:r>
      <w:r w:rsidRPr="002A3213" w:rsidR="007B4EFA">
        <w:rPr>
          <w:lang w:eastAsia="fr-FR"/>
        </w:rPr>
        <w:t>On 14 December 2009 the first applicant submitted an application to register the second applicant with the Moscow department of the Federal Registration Service of the Ministry of Justice (hereafter “the Moscow registration authority”).</w:t>
      </w:r>
    </w:p>
    <w:p w:rsidRPr="002A3213" w:rsidR="007B4EFA" w:rsidP="002A3213" w:rsidRDefault="007906F4">
      <w:pPr>
        <w:pStyle w:val="ECHRPara"/>
        <w:rPr>
          <w:lang w:eastAsia="fr-FR"/>
        </w:rPr>
      </w:pPr>
      <w:r w:rsidRPr="002A3213">
        <w:rPr>
          <w:lang w:eastAsia="fr-FR"/>
        </w:rPr>
        <w:fldChar w:fldCharType="begin"/>
      </w:r>
      <w:r w:rsidRPr="002A3213">
        <w:rPr>
          <w:lang w:eastAsia="fr-FR"/>
        </w:rPr>
        <w:instrText xml:space="preserve"> SEQ level0 \*arabic </w:instrText>
      </w:r>
      <w:r w:rsidRPr="002A3213">
        <w:rPr>
          <w:lang w:eastAsia="fr-FR"/>
        </w:rPr>
        <w:fldChar w:fldCharType="separate"/>
      </w:r>
      <w:r w:rsidRPr="002A3213" w:rsidR="002A3213">
        <w:rPr>
          <w:noProof/>
          <w:lang w:eastAsia="fr-FR"/>
        </w:rPr>
        <w:t>34</w:t>
      </w:r>
      <w:r w:rsidRPr="002A3213">
        <w:rPr>
          <w:lang w:eastAsia="fr-FR"/>
        </w:rPr>
        <w:fldChar w:fldCharType="end"/>
      </w:r>
      <w:r w:rsidRPr="002A3213">
        <w:rPr>
          <w:lang w:eastAsia="fr-FR"/>
        </w:rPr>
        <w:t>.  </w:t>
      </w:r>
      <w:r w:rsidRPr="002A3213" w:rsidR="007B4EFA">
        <w:rPr>
          <w:lang w:eastAsia="fr-FR"/>
        </w:rPr>
        <w:t>On 12 January 2010 the Moscow registration authority refused to register the second applicant, finding that its articles of association were incompatible with Russian law. In particular, the second applicant</w:t>
      </w:r>
      <w:r w:rsidRPr="002A3213" w:rsidR="002A3213">
        <w:rPr>
          <w:lang w:eastAsia="fr-FR"/>
        </w:rPr>
        <w:t>’</w:t>
      </w:r>
      <w:r w:rsidRPr="002A3213" w:rsidR="007B4EFA">
        <w:rPr>
          <w:lang w:eastAsia="fr-FR"/>
        </w:rPr>
        <w:t xml:space="preserve">s aims </w:t>
      </w:r>
      <w:r w:rsidRPr="002A3213" w:rsidR="002C7827">
        <w:rPr>
          <w:lang w:eastAsia="fr-FR"/>
        </w:rPr>
        <w:t xml:space="preserve">as </w:t>
      </w:r>
      <w:r w:rsidRPr="002A3213" w:rsidR="007B4EFA">
        <w:rPr>
          <w:lang w:eastAsia="fr-FR"/>
        </w:rPr>
        <w:t>described in paragraph 3.1 of the articles of association wer</w:t>
      </w:r>
      <w:r w:rsidRPr="002A3213" w:rsidR="008F6552">
        <w:rPr>
          <w:lang w:eastAsia="fr-FR"/>
        </w:rPr>
        <w:t>e incompatible with section 2(</w:t>
      </w:r>
      <w:r w:rsidRPr="002A3213" w:rsidR="007B4EFA">
        <w:rPr>
          <w:lang w:eastAsia="fr-FR"/>
        </w:rPr>
        <w:t>2</w:t>
      </w:r>
      <w:r w:rsidRPr="002A3213" w:rsidR="008F6552">
        <w:rPr>
          <w:lang w:eastAsia="fr-FR"/>
        </w:rPr>
        <w:t>)</w:t>
      </w:r>
      <w:r w:rsidRPr="002A3213" w:rsidR="007B4EFA">
        <w:rPr>
          <w:lang w:eastAsia="fr-FR"/>
        </w:rPr>
        <w:t xml:space="preserve"> of the Non</w:t>
      </w:r>
      <w:r w:rsidRPr="002A3213" w:rsidR="001962D8">
        <w:rPr>
          <w:lang w:eastAsia="fr-FR"/>
        </w:rPr>
        <w:t>-</w:t>
      </w:r>
      <w:r w:rsidRPr="002A3213" w:rsidR="007B4EFA">
        <w:rPr>
          <w:lang w:eastAsia="fr-FR"/>
        </w:rPr>
        <w:t>profit Organisations Act and Article 12 of the Family Code (see</w:t>
      </w:r>
      <w:r w:rsidRPr="002A3213" w:rsidR="00157246">
        <w:rPr>
          <w:lang w:eastAsia="fr-FR"/>
        </w:rPr>
        <w:t xml:space="preserve"> paragraphs </w:t>
      </w:r>
      <w:r w:rsidRPr="002A3213" w:rsidR="00157246">
        <w:rPr>
          <w:lang w:eastAsia="fr-FR"/>
        </w:rPr>
        <w:fldChar w:fldCharType="begin"/>
      </w:r>
      <w:r w:rsidRPr="002A3213" w:rsidR="00157246">
        <w:rPr>
          <w:lang w:eastAsia="fr-FR"/>
        </w:rPr>
        <w:instrText xml:space="preserve"> REF statutoryaims \h </w:instrText>
      </w:r>
      <w:r w:rsidRPr="002A3213" w:rsidR="00157246">
        <w:rPr>
          <w:lang w:eastAsia="fr-FR"/>
        </w:rPr>
      </w:r>
      <w:r w:rsidRPr="002A3213" w:rsidR="00157246">
        <w:rPr>
          <w:lang w:eastAsia="fr-FR"/>
        </w:rPr>
        <w:fldChar w:fldCharType="separate"/>
      </w:r>
      <w:r w:rsidRPr="002A3213" w:rsidR="002A3213">
        <w:rPr>
          <w:noProof/>
        </w:rPr>
        <w:t>56</w:t>
      </w:r>
      <w:r w:rsidRPr="002A3213" w:rsidR="00157246">
        <w:rPr>
          <w:lang w:eastAsia="fr-FR"/>
        </w:rPr>
        <w:fldChar w:fldCharType="end"/>
      </w:r>
      <w:r w:rsidRPr="002A3213" w:rsidR="00157246">
        <w:rPr>
          <w:lang w:eastAsia="fr-FR"/>
        </w:rPr>
        <w:t xml:space="preserve"> and </w:t>
      </w:r>
      <w:r w:rsidRPr="002A3213" w:rsidR="00157246">
        <w:rPr>
          <w:lang w:eastAsia="fr-FR"/>
        </w:rPr>
        <w:fldChar w:fldCharType="begin"/>
      </w:r>
      <w:r w:rsidRPr="002A3213" w:rsidR="00157246">
        <w:rPr>
          <w:lang w:eastAsia="fr-FR"/>
        </w:rPr>
        <w:instrText xml:space="preserve"> REF familyode \h </w:instrText>
      </w:r>
      <w:r w:rsidRPr="002A3213" w:rsidR="00157246">
        <w:rPr>
          <w:lang w:eastAsia="fr-FR"/>
        </w:rPr>
      </w:r>
      <w:r w:rsidRPr="002A3213" w:rsidR="00157246">
        <w:rPr>
          <w:lang w:eastAsia="fr-FR"/>
        </w:rPr>
        <w:fldChar w:fldCharType="separate"/>
      </w:r>
      <w:r w:rsidRPr="002A3213" w:rsidR="002A3213">
        <w:rPr>
          <w:noProof/>
        </w:rPr>
        <w:t>69</w:t>
      </w:r>
      <w:r w:rsidRPr="002A3213" w:rsidR="00157246">
        <w:rPr>
          <w:lang w:eastAsia="fr-FR"/>
        </w:rPr>
        <w:fldChar w:fldCharType="end"/>
      </w:r>
      <w:r w:rsidRPr="002A3213" w:rsidR="007B4EFA">
        <w:rPr>
          <w:lang w:eastAsia="fr-FR"/>
        </w:rPr>
        <w:t xml:space="preserve"> below). Moreover, the second applicant</w:t>
      </w:r>
      <w:r w:rsidRPr="002A3213" w:rsidR="002A3213">
        <w:rPr>
          <w:lang w:eastAsia="fr-FR"/>
        </w:rPr>
        <w:t>’</w:t>
      </w:r>
      <w:r w:rsidRPr="002A3213" w:rsidR="007B4EFA">
        <w:rPr>
          <w:lang w:eastAsia="fr-FR"/>
        </w:rPr>
        <w:t xml:space="preserve">s rights </w:t>
      </w:r>
      <w:r w:rsidRPr="002A3213" w:rsidR="001962D8">
        <w:rPr>
          <w:lang w:eastAsia="fr-FR"/>
        </w:rPr>
        <w:t xml:space="preserve">as </w:t>
      </w:r>
      <w:r w:rsidRPr="002A3213" w:rsidR="007B4EFA">
        <w:rPr>
          <w:lang w:eastAsia="fr-FR"/>
        </w:rPr>
        <w:t>set out in paragraph 5.1 of its articles of association were those belonging to public associations. Paragraph 11.1</w:t>
      </w:r>
      <w:r w:rsidRPr="002A3213" w:rsidR="001962D8">
        <w:rPr>
          <w:lang w:eastAsia="fr-FR"/>
        </w:rPr>
        <w:t>,</w:t>
      </w:r>
      <w:r w:rsidRPr="002A3213" w:rsidR="007B4EFA">
        <w:rPr>
          <w:lang w:eastAsia="fr-FR"/>
        </w:rPr>
        <w:t xml:space="preserve"> stating that the organisation could cease its activities in </w:t>
      </w:r>
      <w:r w:rsidRPr="002A3213" w:rsidR="001962D8">
        <w:rPr>
          <w:lang w:eastAsia="fr-FR"/>
        </w:rPr>
        <w:t>the event that</w:t>
      </w:r>
      <w:r w:rsidRPr="002A3213" w:rsidR="007B4EFA">
        <w:rPr>
          <w:lang w:eastAsia="fr-FR"/>
        </w:rPr>
        <w:t xml:space="preserve"> it was to be reorganised</w:t>
      </w:r>
      <w:r w:rsidRPr="002A3213" w:rsidR="001962D8">
        <w:rPr>
          <w:lang w:eastAsia="fr-FR"/>
        </w:rPr>
        <w:t>,</w:t>
      </w:r>
      <w:r w:rsidRPr="002A3213" w:rsidR="007B4EFA">
        <w:rPr>
          <w:lang w:eastAsia="fr-FR"/>
        </w:rPr>
        <w:t xml:space="preserve"> was incompatible with the Civil Code, which provided that a reorganisation did not always result in cess</w:t>
      </w:r>
      <w:r w:rsidRPr="002A3213" w:rsidR="00B067AD">
        <w:rPr>
          <w:lang w:eastAsia="fr-FR"/>
        </w:rPr>
        <w:t>ation of activities. Paragraphs </w:t>
      </w:r>
      <w:r w:rsidRPr="002A3213" w:rsidR="007B4EFA">
        <w:rPr>
          <w:lang w:eastAsia="fr-FR"/>
        </w:rPr>
        <w:t>12.1 to 12.3 provided that changes could be made to the second applicant</w:t>
      </w:r>
      <w:r w:rsidRPr="002A3213" w:rsidR="002A3213">
        <w:rPr>
          <w:lang w:eastAsia="fr-FR"/>
        </w:rPr>
        <w:t>’</w:t>
      </w:r>
      <w:r w:rsidRPr="002A3213" w:rsidR="007B4EFA">
        <w:rPr>
          <w:lang w:eastAsia="fr-FR"/>
        </w:rPr>
        <w:t>s articles of association instead of to its constitutional documents. Some clauses contained in paragraph 7.1 describing the second applicant</w:t>
      </w:r>
      <w:r w:rsidRPr="002A3213" w:rsidR="002A3213">
        <w:rPr>
          <w:lang w:eastAsia="fr-FR"/>
        </w:rPr>
        <w:t>’</w:t>
      </w:r>
      <w:r w:rsidRPr="002A3213" w:rsidR="007B4EFA">
        <w:rPr>
          <w:lang w:eastAsia="fr-FR"/>
        </w:rPr>
        <w:t xml:space="preserve">s sources of income were also incompatible with the law. The application for registration mentioned only one founder of the second applicant, while its articles of association mentioned that it had been founded by citizens. There was </w:t>
      </w:r>
      <w:r w:rsidRPr="002A3213" w:rsidR="001962D8">
        <w:rPr>
          <w:lang w:eastAsia="fr-FR"/>
        </w:rPr>
        <w:t xml:space="preserve">also </w:t>
      </w:r>
      <w:r w:rsidRPr="002A3213" w:rsidR="007B4EFA">
        <w:rPr>
          <w:lang w:eastAsia="fr-FR"/>
        </w:rPr>
        <w:t>a mistake in the address indicated in the application for registration.</w:t>
      </w:r>
    </w:p>
    <w:p w:rsidRPr="002A3213" w:rsidR="007B4EFA" w:rsidP="002A3213" w:rsidRDefault="007906F4">
      <w:pPr>
        <w:pStyle w:val="ECHRPara"/>
        <w:rPr>
          <w:lang w:eastAsia="fr-FR"/>
        </w:rPr>
      </w:pPr>
      <w:r w:rsidRPr="002A3213">
        <w:rPr>
          <w:lang w:eastAsia="fr-FR"/>
        </w:rPr>
        <w:fldChar w:fldCharType="begin"/>
      </w:r>
      <w:r w:rsidRPr="002A3213">
        <w:rPr>
          <w:lang w:eastAsia="fr-FR"/>
        </w:rPr>
        <w:instrText xml:space="preserve"> SEQ level0 \*arabic </w:instrText>
      </w:r>
      <w:r w:rsidRPr="002A3213">
        <w:rPr>
          <w:lang w:eastAsia="fr-FR"/>
        </w:rPr>
        <w:fldChar w:fldCharType="separate"/>
      </w:r>
      <w:r w:rsidRPr="002A3213" w:rsidR="002A3213">
        <w:rPr>
          <w:noProof/>
          <w:lang w:eastAsia="fr-FR"/>
        </w:rPr>
        <w:t>35</w:t>
      </w:r>
      <w:r w:rsidRPr="002A3213">
        <w:rPr>
          <w:lang w:eastAsia="fr-FR"/>
        </w:rPr>
        <w:fldChar w:fldCharType="end"/>
      </w:r>
      <w:r w:rsidRPr="002A3213">
        <w:rPr>
          <w:lang w:eastAsia="fr-FR"/>
        </w:rPr>
        <w:t>.  </w:t>
      </w:r>
      <w:r w:rsidRPr="002A3213" w:rsidR="007B4EFA">
        <w:rPr>
          <w:lang w:eastAsia="fr-FR"/>
        </w:rPr>
        <w:t xml:space="preserve">On 5 April 2010 the first applicant challenged the refusal before the Gagarinskiy District Court of Moscow. He submitted, in particular, that the refusal to register the second applicant violated his freedom of association </w:t>
      </w:r>
      <w:r w:rsidRPr="002A3213" w:rsidR="001962D8">
        <w:rPr>
          <w:lang w:eastAsia="fr-FR"/>
        </w:rPr>
        <w:t xml:space="preserve">as </w:t>
      </w:r>
      <w:r w:rsidRPr="002A3213" w:rsidR="007B4EFA">
        <w:rPr>
          <w:lang w:eastAsia="fr-FR"/>
        </w:rPr>
        <w:t>guaranteed by Article 30 of the Russian Constitution and Article 11 of the Convention. He argued that the second applicant</w:t>
      </w:r>
      <w:r w:rsidRPr="002A3213" w:rsidR="002A3213">
        <w:rPr>
          <w:lang w:eastAsia="fr-FR"/>
        </w:rPr>
        <w:t>’</w:t>
      </w:r>
      <w:r w:rsidRPr="002A3213" w:rsidR="007B4EFA">
        <w:rPr>
          <w:lang w:eastAsia="fr-FR"/>
        </w:rPr>
        <w:t>s aims w</w:t>
      </w:r>
      <w:r w:rsidRPr="002A3213" w:rsidR="008F6552">
        <w:rPr>
          <w:lang w:eastAsia="fr-FR"/>
        </w:rPr>
        <w:t>ere compatible with section 2(</w:t>
      </w:r>
      <w:r w:rsidRPr="002A3213" w:rsidR="007B4EFA">
        <w:rPr>
          <w:lang w:eastAsia="fr-FR"/>
        </w:rPr>
        <w:t>2</w:t>
      </w:r>
      <w:r w:rsidRPr="002A3213" w:rsidR="008F6552">
        <w:rPr>
          <w:lang w:eastAsia="fr-FR"/>
        </w:rPr>
        <w:t>)</w:t>
      </w:r>
      <w:r w:rsidRPr="002A3213" w:rsidR="007B4EFA">
        <w:rPr>
          <w:lang w:eastAsia="fr-FR"/>
        </w:rPr>
        <w:t xml:space="preserve"> of the Non</w:t>
      </w:r>
      <w:r w:rsidRPr="002A3213" w:rsidR="001962D8">
        <w:rPr>
          <w:lang w:eastAsia="fr-FR"/>
        </w:rPr>
        <w:t>-</w:t>
      </w:r>
      <w:r w:rsidRPr="002A3213" w:rsidR="007B4EFA">
        <w:rPr>
          <w:lang w:eastAsia="fr-FR"/>
        </w:rPr>
        <w:t xml:space="preserve">profit Organisations Act. It pursued the social aim of promoting equality and combating discrimination, and the aim of defending human rights, specifically the right to marry for </w:t>
      </w:r>
      <w:r w:rsidRPr="002A3213" w:rsidR="00A7533F">
        <w:rPr>
          <w:lang w:eastAsia="fr-FR"/>
        </w:rPr>
        <w:t>LGBT people</w:t>
      </w:r>
      <w:r w:rsidRPr="002A3213" w:rsidR="007B4EFA">
        <w:rPr>
          <w:lang w:eastAsia="fr-FR"/>
        </w:rPr>
        <w:t xml:space="preserve">. As regards the alleged incompatibility with Article 12 of the Family Code, the fact that the second applicant intended to promote an amendment to that Article to legalise same-sex marriage could not serve as grounds for refusing its registration. </w:t>
      </w:r>
      <w:r w:rsidRPr="002A3213" w:rsidR="001962D8">
        <w:rPr>
          <w:lang w:eastAsia="fr-FR"/>
        </w:rPr>
        <w:t xml:space="preserve">The first applicant </w:t>
      </w:r>
      <w:r w:rsidRPr="002A3213" w:rsidR="007B4EFA">
        <w:rPr>
          <w:lang w:eastAsia="fr-FR"/>
        </w:rPr>
        <w:t xml:space="preserve">also argued that the remaining grounds for the refusal of registration had not had any basis in law. Paragraph 5.1 of the articles of association did not mention any activities that were prohibited by law </w:t>
      </w:r>
      <w:r w:rsidRPr="002A3213" w:rsidR="001962D8">
        <w:rPr>
          <w:lang w:eastAsia="fr-FR"/>
        </w:rPr>
        <w:t xml:space="preserve">for </w:t>
      </w:r>
      <w:r w:rsidRPr="002A3213" w:rsidR="007B4EFA">
        <w:rPr>
          <w:lang w:eastAsia="fr-FR"/>
        </w:rPr>
        <w:t>non</w:t>
      </w:r>
      <w:r w:rsidRPr="002A3213" w:rsidR="001962D8">
        <w:rPr>
          <w:lang w:eastAsia="fr-FR"/>
        </w:rPr>
        <w:t>-</w:t>
      </w:r>
      <w:r w:rsidRPr="002A3213" w:rsidR="007B4EFA">
        <w:rPr>
          <w:lang w:eastAsia="fr-FR"/>
        </w:rPr>
        <w:t xml:space="preserve">profit organisations. Paragraph 11.1 only mentioned the possibility of ceasing activities in the </w:t>
      </w:r>
      <w:r w:rsidRPr="002A3213" w:rsidR="001962D8">
        <w:rPr>
          <w:lang w:eastAsia="fr-FR"/>
        </w:rPr>
        <w:t xml:space="preserve">event </w:t>
      </w:r>
      <w:r w:rsidRPr="002A3213" w:rsidR="007B4EFA">
        <w:rPr>
          <w:lang w:eastAsia="fr-FR"/>
        </w:rPr>
        <w:t>of a reorganisation in accordance with Russian law</w:t>
      </w:r>
      <w:r w:rsidRPr="002A3213" w:rsidR="001962D8">
        <w:rPr>
          <w:lang w:eastAsia="fr-FR"/>
        </w:rPr>
        <w:t>;</w:t>
      </w:r>
      <w:r w:rsidRPr="002A3213" w:rsidR="007B4EFA">
        <w:rPr>
          <w:lang w:eastAsia="fr-FR"/>
        </w:rPr>
        <w:t xml:space="preserve"> it did not provide for </w:t>
      </w:r>
      <w:r w:rsidRPr="002A3213" w:rsidR="001962D8">
        <w:rPr>
          <w:lang w:eastAsia="fr-FR"/>
        </w:rPr>
        <w:t xml:space="preserve">the </w:t>
      </w:r>
      <w:r w:rsidRPr="002A3213" w:rsidR="007B4EFA">
        <w:rPr>
          <w:lang w:eastAsia="fr-FR"/>
        </w:rPr>
        <w:t>automatic cessation of activities. Paragraphs 12.1 to 12.3 provided that changes could be made to the second applicant</w:t>
      </w:r>
      <w:r w:rsidRPr="002A3213" w:rsidR="002A3213">
        <w:rPr>
          <w:lang w:eastAsia="fr-FR"/>
        </w:rPr>
        <w:t>’</w:t>
      </w:r>
      <w:r w:rsidRPr="002A3213" w:rsidR="007B4EFA">
        <w:rPr>
          <w:lang w:eastAsia="fr-FR"/>
        </w:rPr>
        <w:t>s articles of association</w:t>
      </w:r>
      <w:r w:rsidRPr="002A3213" w:rsidR="001962D8">
        <w:rPr>
          <w:lang w:eastAsia="fr-FR"/>
        </w:rPr>
        <w:t>,</w:t>
      </w:r>
      <w:r w:rsidRPr="002A3213" w:rsidR="007B4EFA">
        <w:rPr>
          <w:lang w:eastAsia="fr-FR"/>
        </w:rPr>
        <w:t xml:space="preserve"> which was its only constitutional document. Paragraph 7.1 did not mention any sources of income prohibited by law. Furthermore, although the first applicant admitted that there had indeed been a discrepancy between the application for registration</w:t>
      </w:r>
      <w:r w:rsidRPr="002A3213" w:rsidR="001962D8">
        <w:rPr>
          <w:lang w:eastAsia="fr-FR"/>
        </w:rPr>
        <w:t>,</w:t>
      </w:r>
      <w:r w:rsidRPr="002A3213" w:rsidR="007B4EFA">
        <w:rPr>
          <w:lang w:eastAsia="fr-FR"/>
        </w:rPr>
        <w:t xml:space="preserve"> </w:t>
      </w:r>
      <w:r w:rsidRPr="002A3213" w:rsidR="001962D8">
        <w:rPr>
          <w:lang w:eastAsia="fr-FR"/>
        </w:rPr>
        <w:t xml:space="preserve">which </w:t>
      </w:r>
      <w:r w:rsidRPr="002A3213" w:rsidR="007B4EFA">
        <w:rPr>
          <w:lang w:eastAsia="fr-FR"/>
        </w:rPr>
        <w:t>mention</w:t>
      </w:r>
      <w:r w:rsidRPr="002A3213" w:rsidR="001962D8">
        <w:rPr>
          <w:lang w:eastAsia="fr-FR"/>
        </w:rPr>
        <w:t>ed</w:t>
      </w:r>
      <w:r w:rsidRPr="002A3213" w:rsidR="007B4EFA">
        <w:rPr>
          <w:lang w:eastAsia="fr-FR"/>
        </w:rPr>
        <w:t xml:space="preserve"> one founder</w:t>
      </w:r>
      <w:r w:rsidRPr="002A3213" w:rsidR="001962D8">
        <w:rPr>
          <w:lang w:eastAsia="fr-FR"/>
        </w:rPr>
        <w:t>,</w:t>
      </w:r>
      <w:r w:rsidRPr="002A3213" w:rsidR="007B4EFA">
        <w:rPr>
          <w:lang w:eastAsia="fr-FR"/>
        </w:rPr>
        <w:t xml:space="preserve"> and the articles of association</w:t>
      </w:r>
      <w:r w:rsidRPr="002A3213" w:rsidR="001962D8">
        <w:rPr>
          <w:lang w:eastAsia="fr-FR"/>
        </w:rPr>
        <w:t>,</w:t>
      </w:r>
      <w:r w:rsidRPr="002A3213" w:rsidR="007B4EFA">
        <w:rPr>
          <w:lang w:eastAsia="fr-FR"/>
        </w:rPr>
        <w:t xml:space="preserve"> mention</w:t>
      </w:r>
      <w:r w:rsidRPr="002A3213" w:rsidR="001962D8">
        <w:rPr>
          <w:lang w:eastAsia="fr-FR"/>
        </w:rPr>
        <w:t>ed</w:t>
      </w:r>
      <w:r w:rsidRPr="002A3213" w:rsidR="007B4EFA">
        <w:rPr>
          <w:lang w:eastAsia="fr-FR"/>
        </w:rPr>
        <w:t xml:space="preserve"> “founders” in the plural, that had been a technical error that could be easily corrected through a special procedure provided for by law. Lastly, he argued that the address indicated in the application had been correct.</w:t>
      </w:r>
    </w:p>
    <w:p w:rsidRPr="002A3213" w:rsidR="007B4EFA" w:rsidP="002A3213" w:rsidRDefault="007906F4">
      <w:pPr>
        <w:pStyle w:val="ECHRPara"/>
        <w:rPr>
          <w:lang w:eastAsia="fr-FR"/>
        </w:rPr>
      </w:pPr>
      <w:r w:rsidRPr="002A3213">
        <w:rPr>
          <w:lang w:eastAsia="fr-FR"/>
        </w:rPr>
        <w:fldChar w:fldCharType="begin"/>
      </w:r>
      <w:r w:rsidRPr="002A3213">
        <w:rPr>
          <w:lang w:eastAsia="fr-FR"/>
        </w:rPr>
        <w:instrText xml:space="preserve"> SEQ level0 \*arabic </w:instrText>
      </w:r>
      <w:r w:rsidRPr="002A3213">
        <w:rPr>
          <w:lang w:eastAsia="fr-FR"/>
        </w:rPr>
        <w:fldChar w:fldCharType="separate"/>
      </w:r>
      <w:r w:rsidRPr="002A3213" w:rsidR="002A3213">
        <w:rPr>
          <w:noProof/>
          <w:lang w:eastAsia="fr-FR"/>
        </w:rPr>
        <w:t>36</w:t>
      </w:r>
      <w:r w:rsidRPr="002A3213">
        <w:rPr>
          <w:lang w:eastAsia="fr-FR"/>
        </w:rPr>
        <w:fldChar w:fldCharType="end"/>
      </w:r>
      <w:r w:rsidRPr="002A3213">
        <w:rPr>
          <w:lang w:eastAsia="fr-FR"/>
        </w:rPr>
        <w:t>.  </w:t>
      </w:r>
      <w:r w:rsidRPr="002A3213" w:rsidR="007B4EFA">
        <w:rPr>
          <w:lang w:eastAsia="fr-FR"/>
        </w:rPr>
        <w:t>On 20 July 2010 the Gagarinskiy District Court dismissed the first applicant</w:t>
      </w:r>
      <w:r w:rsidRPr="002A3213" w:rsidR="002A3213">
        <w:rPr>
          <w:lang w:eastAsia="fr-FR"/>
        </w:rPr>
        <w:t>’</w:t>
      </w:r>
      <w:r w:rsidRPr="002A3213" w:rsidR="007B4EFA">
        <w:rPr>
          <w:lang w:eastAsia="fr-FR"/>
        </w:rPr>
        <w:t>s comp</w:t>
      </w:r>
      <w:r w:rsidRPr="002A3213" w:rsidR="007709F4">
        <w:rPr>
          <w:lang w:eastAsia="fr-FR"/>
        </w:rPr>
        <w:t>laint. It held that section 2(</w:t>
      </w:r>
      <w:r w:rsidRPr="002A3213" w:rsidR="007B4EFA">
        <w:rPr>
          <w:lang w:eastAsia="fr-FR"/>
        </w:rPr>
        <w:t>2</w:t>
      </w:r>
      <w:r w:rsidRPr="002A3213" w:rsidR="007709F4">
        <w:rPr>
          <w:lang w:eastAsia="fr-FR"/>
        </w:rPr>
        <w:t>)</w:t>
      </w:r>
      <w:r w:rsidRPr="002A3213" w:rsidR="007B4EFA">
        <w:rPr>
          <w:lang w:eastAsia="fr-FR"/>
        </w:rPr>
        <w:t xml:space="preserve"> of the Non</w:t>
      </w:r>
      <w:r w:rsidRPr="002A3213" w:rsidR="001962D8">
        <w:rPr>
          <w:lang w:eastAsia="fr-FR"/>
        </w:rPr>
        <w:t>-</w:t>
      </w:r>
      <w:r w:rsidRPr="002A3213" w:rsidR="007B4EFA">
        <w:rPr>
          <w:lang w:eastAsia="fr-FR"/>
        </w:rPr>
        <w:t>profit Organisations Act</w:t>
      </w:r>
      <w:r w:rsidRPr="002A3213" w:rsidR="001962D8">
        <w:rPr>
          <w:lang w:eastAsia="fr-FR"/>
        </w:rPr>
        <w:t>,</w:t>
      </w:r>
      <w:r w:rsidRPr="002A3213" w:rsidR="007B4EFA">
        <w:rPr>
          <w:lang w:eastAsia="fr-FR"/>
        </w:rPr>
        <w:t xml:space="preserve"> enumerating permissible aims for non</w:t>
      </w:r>
      <w:r w:rsidRPr="002A3213" w:rsidR="001962D8">
        <w:rPr>
          <w:lang w:eastAsia="fr-FR"/>
        </w:rPr>
        <w:t>-</w:t>
      </w:r>
      <w:r w:rsidRPr="002A3213" w:rsidR="007B4EFA">
        <w:rPr>
          <w:lang w:eastAsia="fr-FR"/>
        </w:rPr>
        <w:t>profit organisations</w:t>
      </w:r>
      <w:r w:rsidRPr="002A3213" w:rsidR="001962D8">
        <w:rPr>
          <w:lang w:eastAsia="fr-FR"/>
        </w:rPr>
        <w:t>,</w:t>
      </w:r>
      <w:r w:rsidRPr="002A3213" w:rsidR="007B4EFA">
        <w:rPr>
          <w:lang w:eastAsia="fr-FR"/>
        </w:rPr>
        <w:t xml:space="preserve"> was open-ended. It followed that a non</w:t>
      </w:r>
      <w:r w:rsidRPr="002A3213" w:rsidR="001962D8">
        <w:rPr>
          <w:lang w:eastAsia="fr-FR"/>
        </w:rPr>
        <w:t>-</w:t>
      </w:r>
      <w:r w:rsidRPr="002A3213" w:rsidR="007B4EFA">
        <w:rPr>
          <w:lang w:eastAsia="fr-FR"/>
        </w:rPr>
        <w:t>profit organisation could pursue any aims except for making profit</w:t>
      </w:r>
      <w:r w:rsidRPr="002A3213" w:rsidR="001962D8">
        <w:rPr>
          <w:lang w:eastAsia="fr-FR"/>
        </w:rPr>
        <w:t>,</w:t>
      </w:r>
      <w:r w:rsidRPr="002A3213" w:rsidR="007B4EFA">
        <w:rPr>
          <w:lang w:eastAsia="fr-FR"/>
        </w:rPr>
        <w:t xml:space="preserve"> provided they were compatible with public order and morality. The court further held as follows:</w:t>
      </w:r>
    </w:p>
    <w:p w:rsidRPr="002A3213" w:rsidR="007B4EFA" w:rsidP="002A3213" w:rsidRDefault="007B4EFA">
      <w:pPr>
        <w:pStyle w:val="ECHRParaQuote"/>
        <w:rPr>
          <w:lang w:eastAsia="fr-FR"/>
        </w:rPr>
      </w:pPr>
      <w:r w:rsidRPr="002A3213">
        <w:rPr>
          <w:lang w:eastAsia="fr-FR"/>
        </w:rPr>
        <w:t>“[The second applicant pursues aims] incompatible with basic morality as it aims to promote legalisation of same-sex marriage and to increase the number of citizens belonging to sexual minorities, thereby undermining the conceptions of good and evil, of sin and virtue established in society. If these aims are attained it may trigger a public reaction and result in a decrease in the birth rate.”</w:t>
      </w:r>
    </w:p>
    <w:p w:rsidRPr="002A3213" w:rsidR="007B4EFA" w:rsidP="002A3213" w:rsidRDefault="007B4EFA">
      <w:pPr>
        <w:pStyle w:val="ECHRPara"/>
        <w:rPr>
          <w:lang w:eastAsia="fr-FR"/>
        </w:rPr>
      </w:pPr>
      <w:r w:rsidRPr="002A3213">
        <w:rPr>
          <w:lang w:eastAsia="fr-FR"/>
        </w:rPr>
        <w:t xml:space="preserve">The District Court further held that in accordance with national tradition, reflected in Article 12 of the Family Code, marriage was </w:t>
      </w:r>
      <w:r w:rsidRPr="002A3213" w:rsidR="001962D8">
        <w:rPr>
          <w:lang w:eastAsia="fr-FR"/>
        </w:rPr>
        <w:t>the</w:t>
      </w:r>
      <w:r w:rsidRPr="002A3213">
        <w:rPr>
          <w:lang w:eastAsia="fr-FR"/>
        </w:rPr>
        <w:t xml:space="preserve"> union of a man and a woman with the aim of giving birth to and raising children. The second applicant</w:t>
      </w:r>
      <w:r w:rsidRPr="002A3213" w:rsidR="002A3213">
        <w:rPr>
          <w:lang w:eastAsia="fr-FR"/>
        </w:rPr>
        <w:t>’</w:t>
      </w:r>
      <w:r w:rsidRPr="002A3213">
        <w:rPr>
          <w:lang w:eastAsia="fr-FR"/>
        </w:rPr>
        <w:t>s aim of promoting legalisation of same-sex marriage was therefore incompatible with established morality, with the State policy of protecting the family, motherhood and childhood and with national law. The District Court noted that that finding did not breach Russia</w:t>
      </w:r>
      <w:r w:rsidRPr="002A3213" w:rsidR="002A3213">
        <w:rPr>
          <w:lang w:eastAsia="fr-FR"/>
        </w:rPr>
        <w:t>’</w:t>
      </w:r>
      <w:r w:rsidRPr="002A3213">
        <w:rPr>
          <w:lang w:eastAsia="fr-FR"/>
        </w:rPr>
        <w:t>s international obligations because, in particular, Article 12 of the Convention provided that the right to marry was to be exercised in accordance with national laws.</w:t>
      </w:r>
    </w:p>
    <w:p w:rsidRPr="002A3213" w:rsidR="007B4EFA" w:rsidP="002A3213" w:rsidRDefault="007B4EFA">
      <w:pPr>
        <w:pStyle w:val="ECHRPara"/>
        <w:rPr>
          <w:lang w:eastAsia="fr-FR"/>
        </w:rPr>
      </w:pPr>
      <w:r w:rsidRPr="002A3213">
        <w:rPr>
          <w:lang w:eastAsia="fr-FR"/>
        </w:rPr>
        <w:t>The District Court also found that the other grounds for the refusal of registration advanced by the Moscow registration authority had been lawful and justified.</w:t>
      </w:r>
    </w:p>
    <w:p w:rsidRPr="002A3213" w:rsidR="007B4EFA" w:rsidP="002A3213" w:rsidRDefault="007906F4">
      <w:pPr>
        <w:pStyle w:val="ECHRPara"/>
        <w:rPr>
          <w:lang w:eastAsia="fr-FR"/>
        </w:rPr>
      </w:pPr>
      <w:r w:rsidRPr="002A3213">
        <w:rPr>
          <w:lang w:eastAsia="fr-FR"/>
        </w:rPr>
        <w:fldChar w:fldCharType="begin"/>
      </w:r>
      <w:r w:rsidRPr="002A3213">
        <w:rPr>
          <w:lang w:eastAsia="fr-FR"/>
        </w:rPr>
        <w:instrText xml:space="preserve"> SEQ level0 \*arabic </w:instrText>
      </w:r>
      <w:r w:rsidRPr="002A3213">
        <w:rPr>
          <w:lang w:eastAsia="fr-FR"/>
        </w:rPr>
        <w:fldChar w:fldCharType="separate"/>
      </w:r>
      <w:r w:rsidRPr="002A3213" w:rsidR="002A3213">
        <w:rPr>
          <w:noProof/>
          <w:lang w:eastAsia="fr-FR"/>
        </w:rPr>
        <w:t>37</w:t>
      </w:r>
      <w:r w:rsidRPr="002A3213">
        <w:rPr>
          <w:lang w:eastAsia="fr-FR"/>
        </w:rPr>
        <w:fldChar w:fldCharType="end"/>
      </w:r>
      <w:r w:rsidRPr="002A3213">
        <w:rPr>
          <w:lang w:eastAsia="fr-FR"/>
        </w:rPr>
        <w:t>.  </w:t>
      </w:r>
      <w:r w:rsidRPr="002A3213" w:rsidR="007B4EFA">
        <w:rPr>
          <w:lang w:eastAsia="fr-FR"/>
        </w:rPr>
        <w:t>On 20 December 2010, following an appeal by the applicants, the Moscow City Court upheld that judgment.</w:t>
      </w:r>
    </w:p>
    <w:p w:rsidRPr="002A3213" w:rsidR="00CA468F" w:rsidP="002A3213" w:rsidRDefault="00B067AD">
      <w:pPr>
        <w:pStyle w:val="ECHRHeading2"/>
        <w:rPr>
          <w:lang w:eastAsia="fr-FR"/>
        </w:rPr>
      </w:pPr>
      <w:r w:rsidRPr="002A3213">
        <w:rPr>
          <w:lang w:eastAsia="fr-FR"/>
        </w:rPr>
        <w:t>C.  </w:t>
      </w:r>
      <w:r w:rsidRPr="002A3213" w:rsidR="004A10F7">
        <w:rPr>
          <w:lang w:eastAsia="fr-FR"/>
        </w:rPr>
        <w:t>Application no. 58282/12 (</w:t>
      </w:r>
      <w:r w:rsidRPr="002A3213" w:rsidR="004A10F7">
        <w:rPr>
          <w:i/>
          <w:lang w:eastAsia="fr-FR"/>
        </w:rPr>
        <w:t>Alekseyev and Others v. Russia</w:t>
      </w:r>
      <w:r w:rsidRPr="002A3213" w:rsidR="004A10F7">
        <w:rPr>
          <w:lang w:eastAsia="fr-FR"/>
        </w:rPr>
        <w:t>)</w:t>
      </w:r>
    </w:p>
    <w:p w:rsidRPr="002A3213" w:rsidR="005D59EB" w:rsidP="002A3213" w:rsidRDefault="004A10F7">
      <w:pPr>
        <w:pStyle w:val="ECHRPara"/>
        <w:rPr>
          <w:rFonts w:ascii="Times New Roman" w:hAnsi="Times New Roman" w:eastAsia="Times New Roman" w:cs="Times New Roman"/>
          <w:szCs w:val="20"/>
          <w:lang w:eastAsia="fr-FR"/>
        </w:rPr>
      </w:pPr>
      <w:r w:rsidRPr="002A3213">
        <w:rPr>
          <w:lang w:eastAsia="fr-FR"/>
        </w:rPr>
        <w:fldChar w:fldCharType="begin"/>
      </w:r>
      <w:r w:rsidRPr="002A3213">
        <w:rPr>
          <w:lang w:eastAsia="fr-FR"/>
        </w:rPr>
        <w:instrText xml:space="preserve"> SEQ level0 \*arabic </w:instrText>
      </w:r>
      <w:r w:rsidRPr="002A3213">
        <w:rPr>
          <w:lang w:eastAsia="fr-FR"/>
        </w:rPr>
        <w:fldChar w:fldCharType="separate"/>
      </w:r>
      <w:r w:rsidRPr="002A3213" w:rsidR="002A3213">
        <w:rPr>
          <w:noProof/>
          <w:lang w:eastAsia="fr-FR"/>
        </w:rPr>
        <w:t>38</w:t>
      </w:r>
      <w:r w:rsidRPr="002A3213">
        <w:rPr>
          <w:lang w:eastAsia="fr-FR"/>
        </w:rPr>
        <w:fldChar w:fldCharType="end"/>
      </w:r>
      <w:r w:rsidRPr="002A3213">
        <w:rPr>
          <w:lang w:eastAsia="fr-FR"/>
        </w:rPr>
        <w:t>.  </w:t>
      </w:r>
      <w:r w:rsidRPr="002A3213" w:rsidR="00AF0C57">
        <w:rPr>
          <w:rFonts w:ascii="Times New Roman" w:hAnsi="Times New Roman" w:eastAsia="Times New Roman" w:cs="Times New Roman"/>
          <w:szCs w:val="20"/>
          <w:lang w:eastAsia="fr-FR"/>
        </w:rPr>
        <w:t>The first, second and third applicants are the founders of the fourth applicant, a public movement.</w:t>
      </w:r>
      <w:r w:rsidRPr="002A3213" w:rsidR="00851ABB">
        <w:rPr>
          <w:rFonts w:ascii="Times New Roman" w:hAnsi="Times New Roman" w:eastAsia="Times New Roman" w:cs="Times New Roman"/>
          <w:szCs w:val="20"/>
          <w:lang w:eastAsia="fr-FR"/>
        </w:rPr>
        <w:t xml:space="preserve"> The first applicant is the president of the board of directors of the fourth applicant.</w:t>
      </w:r>
    </w:p>
    <w:p w:rsidRPr="002A3213" w:rsidR="00B96AF7" w:rsidP="002A3213" w:rsidRDefault="000242E7">
      <w:pPr>
        <w:pStyle w:val="ECHRPara"/>
        <w:rPr>
          <w:rFonts w:ascii="Times New Roman" w:hAnsi="Times New Roman" w:eastAsia="Times New Roman" w:cs="Times New Roman"/>
          <w:szCs w:val="20"/>
          <w:lang w:eastAsia="fr-FR"/>
        </w:rPr>
      </w:pPr>
      <w:r w:rsidRPr="002A3213">
        <w:rPr>
          <w:rFonts w:ascii="Times New Roman" w:hAnsi="Times New Roman" w:eastAsia="Times New Roman" w:cs="Times New Roman"/>
          <w:szCs w:val="20"/>
          <w:lang w:eastAsia="fr-FR"/>
        </w:rPr>
        <w:fldChar w:fldCharType="begin"/>
      </w:r>
      <w:r w:rsidRPr="002A3213">
        <w:rPr>
          <w:rFonts w:ascii="Times New Roman" w:hAnsi="Times New Roman" w:eastAsia="Times New Roman" w:cs="Times New Roman"/>
          <w:szCs w:val="20"/>
          <w:lang w:eastAsia="fr-FR"/>
        </w:rPr>
        <w:instrText xml:space="preserve"> SEQ level0 \*arabic </w:instrText>
      </w:r>
      <w:r w:rsidRPr="002A3213">
        <w:rPr>
          <w:rFonts w:ascii="Times New Roman" w:hAnsi="Times New Roman" w:eastAsia="Times New Roman" w:cs="Times New Roman"/>
          <w:szCs w:val="20"/>
          <w:lang w:eastAsia="fr-FR"/>
        </w:rPr>
        <w:fldChar w:fldCharType="separate"/>
      </w:r>
      <w:r w:rsidRPr="002A3213" w:rsidR="002A3213">
        <w:rPr>
          <w:rFonts w:ascii="Times New Roman" w:hAnsi="Times New Roman" w:eastAsia="Times New Roman" w:cs="Times New Roman"/>
          <w:noProof/>
          <w:szCs w:val="20"/>
          <w:lang w:eastAsia="fr-FR"/>
        </w:rPr>
        <w:t>39</w:t>
      </w:r>
      <w:r w:rsidRPr="002A3213">
        <w:rPr>
          <w:rFonts w:ascii="Times New Roman" w:hAnsi="Times New Roman" w:eastAsia="Times New Roman" w:cs="Times New Roman"/>
          <w:szCs w:val="20"/>
          <w:lang w:eastAsia="fr-FR"/>
        </w:rPr>
        <w:fldChar w:fldCharType="end"/>
      </w:r>
      <w:r w:rsidRPr="002A3213">
        <w:rPr>
          <w:rFonts w:ascii="Times New Roman" w:hAnsi="Times New Roman" w:eastAsia="Times New Roman" w:cs="Times New Roman"/>
          <w:szCs w:val="20"/>
          <w:lang w:eastAsia="fr-FR"/>
        </w:rPr>
        <w:t>.  </w:t>
      </w:r>
      <w:r w:rsidRPr="002A3213" w:rsidR="00B96AF7">
        <w:rPr>
          <w:rFonts w:ascii="Times New Roman" w:hAnsi="Times New Roman" w:eastAsia="Times New Roman" w:cs="Times New Roman"/>
          <w:szCs w:val="20"/>
          <w:lang w:eastAsia="fr-FR"/>
        </w:rPr>
        <w:t>In October 2011 the first, second and third applicants decided to create Sochi Pride House with the aims of developing sport</w:t>
      </w:r>
      <w:r w:rsidRPr="002A3213" w:rsidR="001962D8">
        <w:rPr>
          <w:rFonts w:ascii="Times New Roman" w:hAnsi="Times New Roman" w:eastAsia="Times New Roman" w:cs="Times New Roman"/>
          <w:szCs w:val="20"/>
          <w:lang w:eastAsia="fr-FR"/>
        </w:rPr>
        <w:t>s</w:t>
      </w:r>
      <w:r w:rsidRPr="002A3213" w:rsidR="00B96AF7">
        <w:rPr>
          <w:rFonts w:ascii="Times New Roman" w:hAnsi="Times New Roman" w:eastAsia="Times New Roman" w:cs="Times New Roman"/>
          <w:szCs w:val="20"/>
          <w:lang w:eastAsia="fr-FR"/>
        </w:rPr>
        <w:t xml:space="preserve"> activities for </w:t>
      </w:r>
      <w:r w:rsidRPr="002A3213" w:rsidR="00D95434">
        <w:rPr>
          <w:rFonts w:ascii="Times New Roman" w:hAnsi="Times New Roman" w:eastAsia="Times New Roman" w:cs="Times New Roman"/>
          <w:szCs w:val="20"/>
          <w:lang w:eastAsia="fr-FR"/>
        </w:rPr>
        <w:t>LGBT people</w:t>
      </w:r>
      <w:r w:rsidRPr="002A3213" w:rsidR="00B96AF7">
        <w:rPr>
          <w:rFonts w:ascii="Times New Roman" w:hAnsi="Times New Roman" w:eastAsia="Times New Roman" w:cs="Times New Roman"/>
          <w:szCs w:val="20"/>
          <w:lang w:eastAsia="fr-FR"/>
        </w:rPr>
        <w:t>, combating homophobia in professional sport, creating positive attitudes towards LGBT sportspeople, and providing a forum for the latter during the Sochi Olympic Games.</w:t>
      </w:r>
    </w:p>
    <w:p w:rsidRPr="002A3213" w:rsidR="00B96AF7" w:rsidP="002A3213" w:rsidRDefault="000242E7">
      <w:pPr>
        <w:pStyle w:val="ECHRPara"/>
        <w:rPr>
          <w:rFonts w:ascii="Times New Roman" w:hAnsi="Times New Roman" w:eastAsia="Times New Roman" w:cs="Times New Roman"/>
          <w:szCs w:val="20"/>
          <w:lang w:eastAsia="fr-FR"/>
        </w:rPr>
      </w:pPr>
      <w:r w:rsidRPr="002A3213">
        <w:rPr>
          <w:rFonts w:ascii="Times New Roman" w:hAnsi="Times New Roman" w:eastAsia="Times New Roman" w:cs="Times New Roman"/>
          <w:szCs w:val="20"/>
          <w:lang w:eastAsia="fr-FR"/>
        </w:rPr>
        <w:fldChar w:fldCharType="begin"/>
      </w:r>
      <w:r w:rsidRPr="002A3213">
        <w:rPr>
          <w:rFonts w:ascii="Times New Roman" w:hAnsi="Times New Roman" w:eastAsia="Times New Roman" w:cs="Times New Roman"/>
          <w:szCs w:val="20"/>
          <w:lang w:eastAsia="fr-FR"/>
        </w:rPr>
        <w:instrText xml:space="preserve"> SEQ level0 \*arabic </w:instrText>
      </w:r>
      <w:r w:rsidRPr="002A3213">
        <w:rPr>
          <w:rFonts w:ascii="Times New Roman" w:hAnsi="Times New Roman" w:eastAsia="Times New Roman" w:cs="Times New Roman"/>
          <w:szCs w:val="20"/>
          <w:lang w:eastAsia="fr-FR"/>
        </w:rPr>
        <w:fldChar w:fldCharType="separate"/>
      </w:r>
      <w:r w:rsidRPr="002A3213" w:rsidR="002A3213">
        <w:rPr>
          <w:rFonts w:ascii="Times New Roman" w:hAnsi="Times New Roman" w:eastAsia="Times New Roman" w:cs="Times New Roman"/>
          <w:noProof/>
          <w:szCs w:val="20"/>
          <w:lang w:eastAsia="fr-FR"/>
        </w:rPr>
        <w:t>40</w:t>
      </w:r>
      <w:r w:rsidRPr="002A3213">
        <w:rPr>
          <w:rFonts w:ascii="Times New Roman" w:hAnsi="Times New Roman" w:eastAsia="Times New Roman" w:cs="Times New Roman"/>
          <w:szCs w:val="20"/>
          <w:lang w:eastAsia="fr-FR"/>
        </w:rPr>
        <w:fldChar w:fldCharType="end"/>
      </w:r>
      <w:r w:rsidRPr="002A3213">
        <w:rPr>
          <w:rFonts w:ascii="Times New Roman" w:hAnsi="Times New Roman" w:eastAsia="Times New Roman" w:cs="Times New Roman"/>
          <w:szCs w:val="20"/>
          <w:lang w:eastAsia="fr-FR"/>
        </w:rPr>
        <w:t>.  </w:t>
      </w:r>
      <w:r w:rsidRPr="002A3213" w:rsidR="00B96AF7">
        <w:rPr>
          <w:rFonts w:ascii="Times New Roman" w:hAnsi="Times New Roman" w:eastAsia="Times New Roman" w:cs="Times New Roman"/>
          <w:szCs w:val="20"/>
          <w:lang w:eastAsia="fr-FR"/>
        </w:rPr>
        <w:t>On 19 October 2011 they submitted an application for registration of the fourth applicant with the Krasnodar department of the Federal Registration Service of the Ministry of Justice (hereinafter “the Krasnodar registration authority”).</w:t>
      </w:r>
    </w:p>
    <w:p w:rsidRPr="002A3213" w:rsidR="00B96AF7" w:rsidP="002A3213" w:rsidRDefault="000242E7">
      <w:pPr>
        <w:pStyle w:val="ECHRPara"/>
        <w:rPr>
          <w:rFonts w:ascii="Times New Roman" w:hAnsi="Times New Roman" w:eastAsia="Times New Roman" w:cs="Times New Roman"/>
          <w:szCs w:val="20"/>
          <w:lang w:eastAsia="fr-FR"/>
        </w:rPr>
      </w:pPr>
      <w:r w:rsidRPr="002A3213">
        <w:rPr>
          <w:rFonts w:ascii="Times New Roman" w:hAnsi="Times New Roman" w:eastAsia="Times New Roman" w:cs="Times New Roman"/>
          <w:szCs w:val="20"/>
          <w:lang w:eastAsia="fr-FR"/>
        </w:rPr>
        <w:fldChar w:fldCharType="begin"/>
      </w:r>
      <w:r w:rsidRPr="002A3213">
        <w:rPr>
          <w:rFonts w:ascii="Times New Roman" w:hAnsi="Times New Roman" w:eastAsia="Times New Roman" w:cs="Times New Roman"/>
          <w:szCs w:val="20"/>
          <w:lang w:eastAsia="fr-FR"/>
        </w:rPr>
        <w:instrText xml:space="preserve"> SEQ level0 \*arabic </w:instrText>
      </w:r>
      <w:r w:rsidRPr="002A3213">
        <w:rPr>
          <w:rFonts w:ascii="Times New Roman" w:hAnsi="Times New Roman" w:eastAsia="Times New Roman" w:cs="Times New Roman"/>
          <w:szCs w:val="20"/>
          <w:lang w:eastAsia="fr-FR"/>
        </w:rPr>
        <w:fldChar w:fldCharType="separate"/>
      </w:r>
      <w:r w:rsidRPr="002A3213" w:rsidR="002A3213">
        <w:rPr>
          <w:rFonts w:ascii="Times New Roman" w:hAnsi="Times New Roman" w:eastAsia="Times New Roman" w:cs="Times New Roman"/>
          <w:noProof/>
          <w:szCs w:val="20"/>
          <w:lang w:eastAsia="fr-FR"/>
        </w:rPr>
        <w:t>41</w:t>
      </w:r>
      <w:r w:rsidRPr="002A3213">
        <w:rPr>
          <w:rFonts w:ascii="Times New Roman" w:hAnsi="Times New Roman" w:eastAsia="Times New Roman" w:cs="Times New Roman"/>
          <w:szCs w:val="20"/>
          <w:lang w:eastAsia="fr-FR"/>
        </w:rPr>
        <w:fldChar w:fldCharType="end"/>
      </w:r>
      <w:r w:rsidRPr="002A3213">
        <w:rPr>
          <w:rFonts w:ascii="Times New Roman" w:hAnsi="Times New Roman" w:eastAsia="Times New Roman" w:cs="Times New Roman"/>
          <w:szCs w:val="20"/>
          <w:lang w:eastAsia="fr-FR"/>
        </w:rPr>
        <w:t>.  </w:t>
      </w:r>
      <w:r w:rsidRPr="002A3213" w:rsidR="00B96AF7">
        <w:rPr>
          <w:rFonts w:ascii="Times New Roman" w:hAnsi="Times New Roman" w:eastAsia="Times New Roman" w:cs="Times New Roman"/>
          <w:szCs w:val="20"/>
          <w:lang w:eastAsia="fr-FR"/>
        </w:rPr>
        <w:t>On 16 November 2011 the Krasnodar registration authority refused to register the fourth applicant, finding that its articles of association were incompatible with Russian law. In particular, the name of the fourth applicant contained words that did not exist in the Russian lan</w:t>
      </w:r>
      <w:r w:rsidRPr="002A3213" w:rsidR="007709F4">
        <w:rPr>
          <w:rFonts w:ascii="Times New Roman" w:hAnsi="Times New Roman" w:eastAsia="Times New Roman" w:cs="Times New Roman"/>
          <w:szCs w:val="20"/>
          <w:lang w:eastAsia="fr-FR"/>
        </w:rPr>
        <w:t>guage, in breach of section 1(</w:t>
      </w:r>
      <w:r w:rsidRPr="002A3213" w:rsidR="00B96AF7">
        <w:rPr>
          <w:rFonts w:ascii="Times New Roman" w:hAnsi="Times New Roman" w:eastAsia="Times New Roman" w:cs="Times New Roman"/>
          <w:szCs w:val="20"/>
          <w:lang w:eastAsia="fr-FR"/>
        </w:rPr>
        <w:t>6</w:t>
      </w:r>
      <w:r w:rsidRPr="002A3213" w:rsidR="007709F4">
        <w:rPr>
          <w:rFonts w:ascii="Times New Roman" w:hAnsi="Times New Roman" w:eastAsia="Times New Roman" w:cs="Times New Roman"/>
          <w:szCs w:val="20"/>
          <w:lang w:eastAsia="fr-FR"/>
        </w:rPr>
        <w:t>)</w:t>
      </w:r>
      <w:r w:rsidRPr="002A3213" w:rsidR="00B96AF7">
        <w:rPr>
          <w:rFonts w:ascii="Times New Roman" w:hAnsi="Times New Roman" w:eastAsia="Times New Roman" w:cs="Times New Roman"/>
          <w:szCs w:val="20"/>
          <w:lang w:eastAsia="fr-FR"/>
        </w:rPr>
        <w:t xml:space="preserve"> of the State Language Act (see </w:t>
      </w:r>
      <w:r w:rsidRPr="002A3213" w:rsidR="008077CB">
        <w:rPr>
          <w:rFonts w:ascii="Times New Roman" w:hAnsi="Times New Roman" w:eastAsia="Times New Roman" w:cs="Times New Roman"/>
          <w:szCs w:val="20"/>
          <w:lang w:eastAsia="fr-FR"/>
        </w:rPr>
        <w:t xml:space="preserve">paragraph </w:t>
      </w:r>
      <w:r w:rsidRPr="002A3213" w:rsidR="008077CB">
        <w:rPr>
          <w:rFonts w:ascii="Times New Roman" w:hAnsi="Times New Roman" w:eastAsia="Times New Roman" w:cs="Times New Roman"/>
          <w:szCs w:val="20"/>
          <w:lang w:eastAsia="fr-FR"/>
        </w:rPr>
        <w:fldChar w:fldCharType="begin"/>
      </w:r>
      <w:r w:rsidRPr="002A3213" w:rsidR="008077CB">
        <w:rPr>
          <w:rFonts w:ascii="Times New Roman" w:hAnsi="Times New Roman" w:eastAsia="Times New Roman" w:cs="Times New Roman"/>
          <w:szCs w:val="20"/>
          <w:lang w:eastAsia="fr-FR"/>
        </w:rPr>
        <w:instrText xml:space="preserve"> REF lannguageact \h </w:instrText>
      </w:r>
      <w:r w:rsidRPr="002A3213" w:rsidR="008077CB">
        <w:rPr>
          <w:rFonts w:ascii="Times New Roman" w:hAnsi="Times New Roman" w:eastAsia="Times New Roman" w:cs="Times New Roman"/>
          <w:szCs w:val="20"/>
          <w:lang w:eastAsia="fr-FR"/>
        </w:rPr>
      </w:r>
      <w:r w:rsidRPr="002A3213" w:rsidR="008077CB">
        <w:rPr>
          <w:rFonts w:ascii="Times New Roman" w:hAnsi="Times New Roman" w:eastAsia="Times New Roman" w:cs="Times New Roman"/>
          <w:szCs w:val="20"/>
          <w:lang w:eastAsia="fr-FR"/>
        </w:rPr>
        <w:fldChar w:fldCharType="separate"/>
      </w:r>
      <w:r w:rsidRPr="002A3213" w:rsidR="002A3213">
        <w:rPr>
          <w:noProof/>
        </w:rPr>
        <w:t>70</w:t>
      </w:r>
      <w:r w:rsidRPr="002A3213" w:rsidR="008077CB">
        <w:rPr>
          <w:rFonts w:ascii="Times New Roman" w:hAnsi="Times New Roman" w:eastAsia="Times New Roman" w:cs="Times New Roman"/>
          <w:szCs w:val="20"/>
          <w:lang w:eastAsia="fr-FR"/>
        </w:rPr>
        <w:fldChar w:fldCharType="end"/>
      </w:r>
      <w:r w:rsidRPr="002A3213" w:rsidR="008077CB">
        <w:rPr>
          <w:rFonts w:ascii="Times New Roman" w:hAnsi="Times New Roman" w:eastAsia="Times New Roman" w:cs="Times New Roman"/>
          <w:szCs w:val="20"/>
          <w:lang w:eastAsia="fr-FR"/>
        </w:rPr>
        <w:t xml:space="preserve"> </w:t>
      </w:r>
      <w:r w:rsidRPr="002A3213" w:rsidR="00B96AF7">
        <w:rPr>
          <w:rFonts w:ascii="Times New Roman" w:hAnsi="Times New Roman" w:eastAsia="Times New Roman" w:cs="Times New Roman"/>
          <w:szCs w:val="20"/>
          <w:lang w:eastAsia="fr-FR"/>
        </w:rPr>
        <w:t xml:space="preserve">below). The articles of association did not indicate which type of </w:t>
      </w:r>
      <w:r w:rsidRPr="002A3213" w:rsidR="007A6746">
        <w:rPr>
          <w:rFonts w:ascii="Times New Roman" w:hAnsi="Times New Roman" w:eastAsia="Times New Roman" w:cs="Times New Roman"/>
          <w:szCs w:val="20"/>
          <w:lang w:eastAsia="fr-FR"/>
        </w:rPr>
        <w:t>association</w:t>
      </w:r>
      <w:r w:rsidRPr="002A3213" w:rsidR="00B96AF7">
        <w:rPr>
          <w:rFonts w:ascii="Times New Roman" w:hAnsi="Times New Roman" w:eastAsia="Times New Roman" w:cs="Times New Roman"/>
          <w:szCs w:val="20"/>
          <w:lang w:eastAsia="fr-FR"/>
        </w:rPr>
        <w:t xml:space="preserve"> the fourth applicant was. Paragraph 4.2 mentioned, in breach of the domestic law, that legally incapacitated persons could not be members. The application for registration </w:t>
      </w:r>
      <w:r w:rsidRPr="002A3213" w:rsidR="001962D8">
        <w:rPr>
          <w:rFonts w:ascii="Times New Roman" w:hAnsi="Times New Roman" w:eastAsia="Times New Roman" w:cs="Times New Roman"/>
          <w:szCs w:val="20"/>
          <w:lang w:eastAsia="fr-FR"/>
        </w:rPr>
        <w:t xml:space="preserve">also </w:t>
      </w:r>
      <w:r w:rsidRPr="002A3213" w:rsidR="00B96AF7">
        <w:rPr>
          <w:rFonts w:ascii="Times New Roman" w:hAnsi="Times New Roman" w:eastAsia="Times New Roman" w:cs="Times New Roman"/>
          <w:szCs w:val="20"/>
          <w:lang w:eastAsia="fr-FR"/>
        </w:rPr>
        <w:t>contained several mistakes.</w:t>
      </w:r>
    </w:p>
    <w:p w:rsidRPr="002A3213" w:rsidR="00B96AF7" w:rsidP="002A3213" w:rsidRDefault="000242E7">
      <w:pPr>
        <w:pStyle w:val="ECHRPara"/>
        <w:rPr>
          <w:rFonts w:ascii="Times New Roman" w:hAnsi="Times New Roman" w:eastAsia="Times New Roman" w:cs="Times New Roman"/>
          <w:szCs w:val="20"/>
          <w:lang w:eastAsia="fr-FR"/>
        </w:rPr>
      </w:pPr>
      <w:r w:rsidRPr="002A3213">
        <w:rPr>
          <w:rFonts w:ascii="Times New Roman" w:hAnsi="Times New Roman" w:eastAsia="Times New Roman" w:cs="Times New Roman"/>
          <w:szCs w:val="20"/>
          <w:lang w:eastAsia="fr-FR"/>
        </w:rPr>
        <w:fldChar w:fldCharType="begin"/>
      </w:r>
      <w:r w:rsidRPr="002A3213">
        <w:rPr>
          <w:rFonts w:ascii="Times New Roman" w:hAnsi="Times New Roman" w:eastAsia="Times New Roman" w:cs="Times New Roman"/>
          <w:szCs w:val="20"/>
          <w:lang w:eastAsia="fr-FR"/>
        </w:rPr>
        <w:instrText xml:space="preserve"> SEQ level0 \*arabic </w:instrText>
      </w:r>
      <w:r w:rsidRPr="002A3213">
        <w:rPr>
          <w:rFonts w:ascii="Times New Roman" w:hAnsi="Times New Roman" w:eastAsia="Times New Roman" w:cs="Times New Roman"/>
          <w:szCs w:val="20"/>
          <w:lang w:eastAsia="fr-FR"/>
        </w:rPr>
        <w:fldChar w:fldCharType="separate"/>
      </w:r>
      <w:r w:rsidRPr="002A3213" w:rsidR="002A3213">
        <w:rPr>
          <w:rFonts w:ascii="Times New Roman" w:hAnsi="Times New Roman" w:eastAsia="Times New Roman" w:cs="Times New Roman"/>
          <w:noProof/>
          <w:szCs w:val="20"/>
          <w:lang w:eastAsia="fr-FR"/>
        </w:rPr>
        <w:t>42</w:t>
      </w:r>
      <w:r w:rsidRPr="002A3213">
        <w:rPr>
          <w:rFonts w:ascii="Times New Roman" w:hAnsi="Times New Roman" w:eastAsia="Times New Roman" w:cs="Times New Roman"/>
          <w:szCs w:val="20"/>
          <w:lang w:eastAsia="fr-FR"/>
        </w:rPr>
        <w:fldChar w:fldCharType="end"/>
      </w:r>
      <w:r w:rsidRPr="002A3213">
        <w:rPr>
          <w:rFonts w:ascii="Times New Roman" w:hAnsi="Times New Roman" w:eastAsia="Times New Roman" w:cs="Times New Roman"/>
          <w:szCs w:val="20"/>
          <w:lang w:eastAsia="fr-FR"/>
        </w:rPr>
        <w:t>.  </w:t>
      </w:r>
      <w:r w:rsidRPr="002A3213" w:rsidR="00B96AF7">
        <w:rPr>
          <w:rFonts w:ascii="Times New Roman" w:hAnsi="Times New Roman" w:eastAsia="Times New Roman" w:cs="Times New Roman"/>
          <w:szCs w:val="20"/>
          <w:lang w:eastAsia="fr-FR"/>
        </w:rPr>
        <w:t xml:space="preserve">On 6 December 2011 the applicants challenged the refusal before the Pervomayskiy District Court of Krasnodar. They argued, firstly, that it was </w:t>
      </w:r>
      <w:r w:rsidRPr="002A3213" w:rsidR="001962D8">
        <w:rPr>
          <w:rFonts w:ascii="Times New Roman" w:hAnsi="Times New Roman" w:eastAsia="Times New Roman" w:cs="Times New Roman"/>
          <w:szCs w:val="20"/>
          <w:lang w:eastAsia="fr-FR"/>
        </w:rPr>
        <w:t>common</w:t>
      </w:r>
      <w:r w:rsidRPr="002A3213" w:rsidR="00B96AF7">
        <w:rPr>
          <w:rFonts w:ascii="Times New Roman" w:hAnsi="Times New Roman" w:eastAsia="Times New Roman" w:cs="Times New Roman"/>
          <w:szCs w:val="20"/>
          <w:lang w:eastAsia="fr-FR"/>
        </w:rPr>
        <w:t xml:space="preserve"> practice to give public associations original names containing words in a foreign language. In particular, according to official data, there were eleven registered associations whose names contained the word “pride” and more than forty associations with the word “house” as part of their names. Moreover, the expression “pride house” did not have an adequate equivalent in Russian. Secondly, paragraph 1.1 of the articles of association indicated the fourth applicant</w:t>
      </w:r>
      <w:r w:rsidRPr="002A3213" w:rsidR="002A3213">
        <w:rPr>
          <w:rFonts w:ascii="Times New Roman" w:hAnsi="Times New Roman" w:eastAsia="Times New Roman" w:cs="Times New Roman"/>
          <w:szCs w:val="20"/>
          <w:lang w:eastAsia="fr-FR"/>
        </w:rPr>
        <w:t>’</w:t>
      </w:r>
      <w:r w:rsidRPr="002A3213" w:rsidR="00B96AF7">
        <w:rPr>
          <w:rFonts w:ascii="Times New Roman" w:hAnsi="Times New Roman" w:eastAsia="Times New Roman" w:cs="Times New Roman"/>
          <w:szCs w:val="20"/>
          <w:lang w:eastAsia="fr-FR"/>
        </w:rPr>
        <w:t>s organisational type: a public movement. The remaining mistakes were minor and should not serve as a ground for refusing registration.</w:t>
      </w:r>
    </w:p>
    <w:p w:rsidRPr="002A3213" w:rsidR="00B96AF7" w:rsidP="002A3213" w:rsidRDefault="000242E7">
      <w:pPr>
        <w:pStyle w:val="ECHRPara"/>
        <w:rPr>
          <w:rFonts w:ascii="Times New Roman" w:hAnsi="Times New Roman" w:eastAsia="Times New Roman" w:cs="Times New Roman"/>
          <w:szCs w:val="20"/>
          <w:lang w:eastAsia="fr-FR"/>
        </w:rPr>
      </w:pPr>
      <w:r w:rsidRPr="002A3213">
        <w:rPr>
          <w:rFonts w:ascii="Times New Roman" w:hAnsi="Times New Roman" w:eastAsia="Times New Roman" w:cs="Times New Roman"/>
          <w:szCs w:val="20"/>
          <w:lang w:eastAsia="fr-FR"/>
        </w:rPr>
        <w:fldChar w:fldCharType="begin"/>
      </w:r>
      <w:r w:rsidRPr="002A3213">
        <w:rPr>
          <w:rFonts w:ascii="Times New Roman" w:hAnsi="Times New Roman" w:eastAsia="Times New Roman" w:cs="Times New Roman"/>
          <w:szCs w:val="20"/>
          <w:lang w:eastAsia="fr-FR"/>
        </w:rPr>
        <w:instrText xml:space="preserve"> SEQ level0 \*arabic </w:instrText>
      </w:r>
      <w:r w:rsidRPr="002A3213">
        <w:rPr>
          <w:rFonts w:ascii="Times New Roman" w:hAnsi="Times New Roman" w:eastAsia="Times New Roman" w:cs="Times New Roman"/>
          <w:szCs w:val="20"/>
          <w:lang w:eastAsia="fr-FR"/>
        </w:rPr>
        <w:fldChar w:fldCharType="separate"/>
      </w:r>
      <w:r w:rsidRPr="002A3213" w:rsidR="002A3213">
        <w:rPr>
          <w:rFonts w:ascii="Times New Roman" w:hAnsi="Times New Roman" w:eastAsia="Times New Roman" w:cs="Times New Roman"/>
          <w:noProof/>
          <w:szCs w:val="20"/>
          <w:lang w:eastAsia="fr-FR"/>
        </w:rPr>
        <w:t>43</w:t>
      </w:r>
      <w:r w:rsidRPr="002A3213">
        <w:rPr>
          <w:rFonts w:ascii="Times New Roman" w:hAnsi="Times New Roman" w:eastAsia="Times New Roman" w:cs="Times New Roman"/>
          <w:szCs w:val="20"/>
          <w:lang w:eastAsia="fr-FR"/>
        </w:rPr>
        <w:fldChar w:fldCharType="end"/>
      </w:r>
      <w:r w:rsidRPr="002A3213">
        <w:rPr>
          <w:rFonts w:ascii="Times New Roman" w:hAnsi="Times New Roman" w:eastAsia="Times New Roman" w:cs="Times New Roman"/>
          <w:szCs w:val="20"/>
          <w:lang w:eastAsia="fr-FR"/>
        </w:rPr>
        <w:t>.  </w:t>
      </w:r>
      <w:r w:rsidRPr="002A3213" w:rsidR="00B96AF7">
        <w:rPr>
          <w:rFonts w:ascii="Times New Roman" w:hAnsi="Times New Roman" w:eastAsia="Times New Roman" w:cs="Times New Roman"/>
          <w:szCs w:val="20"/>
          <w:lang w:eastAsia="fr-FR"/>
        </w:rPr>
        <w:t>On 20 February 2012 the Pervomayskiy District Court dismissed the applicants</w:t>
      </w:r>
      <w:r w:rsidRPr="002A3213" w:rsidR="002A3213">
        <w:rPr>
          <w:rFonts w:ascii="Times New Roman" w:hAnsi="Times New Roman" w:eastAsia="Times New Roman" w:cs="Times New Roman"/>
          <w:szCs w:val="20"/>
          <w:lang w:eastAsia="fr-FR"/>
        </w:rPr>
        <w:t>’</w:t>
      </w:r>
      <w:r w:rsidRPr="002A3213" w:rsidR="00B96AF7">
        <w:rPr>
          <w:rFonts w:ascii="Times New Roman" w:hAnsi="Times New Roman" w:eastAsia="Times New Roman" w:cs="Times New Roman"/>
          <w:szCs w:val="20"/>
          <w:lang w:eastAsia="fr-FR"/>
        </w:rPr>
        <w:t xml:space="preserve"> complaint. It upheld the grounds for the refusal of registration cited by the Krasnodar registration authority, finding that they had been lawful and justified. The court also held as follows:</w:t>
      </w:r>
    </w:p>
    <w:p w:rsidRPr="002A3213" w:rsidR="00B96AF7" w:rsidP="002A3213" w:rsidRDefault="00B96AF7">
      <w:pPr>
        <w:pStyle w:val="ECHRParaQuote"/>
        <w:rPr>
          <w:rFonts w:eastAsia="Times New Roman"/>
          <w:lang w:eastAsia="fr-FR"/>
        </w:rPr>
      </w:pPr>
      <w:r w:rsidRPr="002A3213">
        <w:rPr>
          <w:rFonts w:eastAsia="Times New Roman"/>
          <w:lang w:eastAsia="fr-FR"/>
        </w:rPr>
        <w:t>“The aims of combating homophobia and creating positive attitudes towards LGBT sportspeople are incompatible with basic morality as they may lead to increasing the number of citizens belonging to sexual minorities, thereby undermining the conceptions of good and evil, of sin and virtue est</w:t>
      </w:r>
      <w:r w:rsidRPr="002A3213" w:rsidR="00B067AD">
        <w:rPr>
          <w:rFonts w:eastAsia="Times New Roman"/>
          <w:lang w:eastAsia="fr-FR"/>
        </w:rPr>
        <w:t>ablished in society ...</w:t>
      </w:r>
    </w:p>
    <w:p w:rsidRPr="002A3213" w:rsidR="00B96AF7" w:rsidP="002A3213" w:rsidRDefault="00B96AF7">
      <w:pPr>
        <w:pStyle w:val="ECHRParaQuote"/>
        <w:rPr>
          <w:rFonts w:eastAsia="Times New Roman"/>
          <w:lang w:eastAsia="fr-FR"/>
        </w:rPr>
      </w:pPr>
      <w:r w:rsidRPr="002A3213">
        <w:rPr>
          <w:rFonts w:eastAsia="Times New Roman"/>
          <w:lang w:eastAsia="fr-FR"/>
        </w:rPr>
        <w:t>The court does not see any reason to order that the respondent register [the fourth applicant] because its constitutional documents do not comply with the requirements of Russian law and its aims are incompatible with basic morality and the State policy of protecting the family, motherhood and childhood. Its activities amount to propaganda of non-traditional sexual orientation, which may undermine national security, cause social and religious hatred and enmity and undermine the sovereignty and territorial integrity of the Russian Federation by decreasing its population. They are therefore extremist in nature.”</w:t>
      </w:r>
    </w:p>
    <w:p w:rsidRPr="002A3213" w:rsidR="005D59EB" w:rsidP="002A3213" w:rsidRDefault="000242E7">
      <w:pPr>
        <w:pStyle w:val="ECHRPara"/>
        <w:rPr>
          <w:rFonts w:ascii="Times New Roman" w:hAnsi="Times New Roman" w:eastAsia="Times New Roman" w:cs="Times New Roman"/>
          <w:szCs w:val="20"/>
          <w:lang w:eastAsia="fr-FR"/>
        </w:rPr>
      </w:pPr>
      <w:r w:rsidRPr="002A3213">
        <w:rPr>
          <w:rFonts w:ascii="Times New Roman" w:hAnsi="Times New Roman" w:eastAsia="Times New Roman" w:cs="Times New Roman"/>
          <w:szCs w:val="20"/>
          <w:lang w:eastAsia="fr-FR"/>
        </w:rPr>
        <w:fldChar w:fldCharType="begin"/>
      </w:r>
      <w:r w:rsidRPr="002A3213">
        <w:rPr>
          <w:rFonts w:ascii="Times New Roman" w:hAnsi="Times New Roman" w:eastAsia="Times New Roman" w:cs="Times New Roman"/>
          <w:szCs w:val="20"/>
          <w:lang w:eastAsia="fr-FR"/>
        </w:rPr>
        <w:instrText xml:space="preserve"> SEQ level0 \*arabic </w:instrText>
      </w:r>
      <w:r w:rsidRPr="002A3213">
        <w:rPr>
          <w:rFonts w:ascii="Times New Roman" w:hAnsi="Times New Roman" w:eastAsia="Times New Roman" w:cs="Times New Roman"/>
          <w:szCs w:val="20"/>
          <w:lang w:eastAsia="fr-FR"/>
        </w:rPr>
        <w:fldChar w:fldCharType="separate"/>
      </w:r>
      <w:r w:rsidRPr="002A3213" w:rsidR="002A3213">
        <w:rPr>
          <w:rFonts w:ascii="Times New Roman" w:hAnsi="Times New Roman" w:eastAsia="Times New Roman" w:cs="Times New Roman"/>
          <w:noProof/>
          <w:szCs w:val="20"/>
          <w:lang w:eastAsia="fr-FR"/>
        </w:rPr>
        <w:t>44</w:t>
      </w:r>
      <w:r w:rsidRPr="002A3213">
        <w:rPr>
          <w:rFonts w:ascii="Times New Roman" w:hAnsi="Times New Roman" w:eastAsia="Times New Roman" w:cs="Times New Roman"/>
          <w:szCs w:val="20"/>
          <w:lang w:eastAsia="fr-FR"/>
        </w:rPr>
        <w:fldChar w:fldCharType="end"/>
      </w:r>
      <w:r w:rsidRPr="002A3213">
        <w:rPr>
          <w:rFonts w:ascii="Times New Roman" w:hAnsi="Times New Roman" w:eastAsia="Times New Roman" w:cs="Times New Roman"/>
          <w:szCs w:val="20"/>
          <w:lang w:eastAsia="fr-FR"/>
        </w:rPr>
        <w:t>.  </w:t>
      </w:r>
      <w:r w:rsidRPr="002A3213" w:rsidR="00B96AF7">
        <w:rPr>
          <w:rFonts w:ascii="Times New Roman" w:hAnsi="Times New Roman" w:eastAsia="Times New Roman" w:cs="Times New Roman"/>
          <w:szCs w:val="20"/>
          <w:lang w:eastAsia="fr-FR"/>
        </w:rPr>
        <w:t>The applicants did not attend the pronouncement of the judgment.</w:t>
      </w:r>
      <w:r w:rsidRPr="002A3213" w:rsidR="00891204">
        <w:rPr>
          <w:rFonts w:ascii="Times New Roman" w:hAnsi="Times New Roman" w:eastAsia="Times New Roman" w:cs="Times New Roman"/>
          <w:szCs w:val="20"/>
          <w:lang w:eastAsia="fr-FR"/>
        </w:rPr>
        <w:t xml:space="preserve"> The minutes of 20 February 2012 mentioned that the judgment </w:t>
      </w:r>
      <w:r w:rsidRPr="002A3213" w:rsidR="00F1796E">
        <w:rPr>
          <w:rFonts w:ascii="Times New Roman" w:hAnsi="Times New Roman" w:eastAsia="Times New Roman" w:cs="Times New Roman"/>
          <w:szCs w:val="20"/>
          <w:lang w:eastAsia="fr-FR"/>
        </w:rPr>
        <w:t xml:space="preserve">had been </w:t>
      </w:r>
      <w:r w:rsidRPr="002A3213" w:rsidR="00891204">
        <w:rPr>
          <w:rFonts w:ascii="Times New Roman" w:hAnsi="Times New Roman" w:eastAsia="Times New Roman" w:cs="Times New Roman"/>
          <w:szCs w:val="20"/>
          <w:lang w:eastAsia="fr-FR"/>
        </w:rPr>
        <w:t>pronounced on that date</w:t>
      </w:r>
      <w:r w:rsidRPr="002A3213" w:rsidR="00F1796E">
        <w:rPr>
          <w:rFonts w:ascii="Times New Roman" w:hAnsi="Times New Roman" w:eastAsia="Times New Roman" w:cs="Times New Roman"/>
          <w:szCs w:val="20"/>
          <w:lang w:eastAsia="fr-FR"/>
        </w:rPr>
        <w:t>,</w:t>
      </w:r>
      <w:r w:rsidRPr="002A3213" w:rsidR="00891204">
        <w:rPr>
          <w:rFonts w:ascii="Times New Roman" w:hAnsi="Times New Roman" w:eastAsia="Times New Roman" w:cs="Times New Roman"/>
          <w:szCs w:val="20"/>
          <w:lang w:eastAsia="fr-FR"/>
        </w:rPr>
        <w:t xml:space="preserve"> without specifying whether it was the entire judgment or the operative part only that </w:t>
      </w:r>
      <w:r w:rsidRPr="002A3213" w:rsidR="00F1796E">
        <w:rPr>
          <w:rFonts w:ascii="Times New Roman" w:hAnsi="Times New Roman" w:eastAsia="Times New Roman" w:cs="Times New Roman"/>
          <w:szCs w:val="20"/>
          <w:lang w:eastAsia="fr-FR"/>
        </w:rPr>
        <w:t xml:space="preserve">had been </w:t>
      </w:r>
      <w:r w:rsidRPr="002A3213" w:rsidR="00891204">
        <w:rPr>
          <w:rFonts w:ascii="Times New Roman" w:hAnsi="Times New Roman" w:eastAsia="Times New Roman" w:cs="Times New Roman"/>
          <w:szCs w:val="20"/>
          <w:lang w:eastAsia="fr-FR"/>
        </w:rPr>
        <w:t>pronounced.</w:t>
      </w:r>
      <w:r w:rsidRPr="002A3213" w:rsidR="005D59EB">
        <w:rPr>
          <w:rFonts w:ascii="Times New Roman" w:hAnsi="Times New Roman" w:eastAsia="Times New Roman" w:cs="Times New Roman"/>
          <w:szCs w:val="20"/>
          <w:lang w:eastAsia="fr-FR"/>
        </w:rPr>
        <w:t xml:space="preserve"> </w:t>
      </w:r>
      <w:r w:rsidRPr="002A3213" w:rsidR="00B96AF7">
        <w:rPr>
          <w:rFonts w:ascii="Times New Roman" w:hAnsi="Times New Roman" w:eastAsia="Times New Roman" w:cs="Times New Roman"/>
          <w:szCs w:val="20"/>
          <w:lang w:eastAsia="fr-FR"/>
        </w:rPr>
        <w:t>The written text of the judgment was</w:t>
      </w:r>
      <w:r w:rsidRPr="002A3213" w:rsidR="00915677">
        <w:rPr>
          <w:rFonts w:ascii="Times New Roman" w:hAnsi="Times New Roman" w:eastAsia="Times New Roman" w:cs="Times New Roman"/>
          <w:szCs w:val="20"/>
          <w:lang w:eastAsia="fr-FR"/>
        </w:rPr>
        <w:t xml:space="preserve"> sent to the applicants by post on 27 March 2012. </w:t>
      </w:r>
      <w:r w:rsidRPr="002A3213" w:rsidR="00891204">
        <w:rPr>
          <w:rFonts w:ascii="Times New Roman" w:hAnsi="Times New Roman" w:eastAsia="Times New Roman" w:cs="Times New Roman"/>
          <w:szCs w:val="20"/>
          <w:lang w:eastAsia="fr-FR"/>
        </w:rPr>
        <w:t>It did not mention the date on which it had been delivered in finalised form or the date when the time-limit for appeal started to run or ended.</w:t>
      </w:r>
    </w:p>
    <w:p w:rsidRPr="002A3213" w:rsidR="005D59EB" w:rsidP="002A3213" w:rsidRDefault="00252748">
      <w:pPr>
        <w:pStyle w:val="ECHRPara"/>
        <w:rPr>
          <w:rFonts w:ascii="Times New Roman" w:hAnsi="Times New Roman" w:eastAsia="Times New Roman" w:cs="Times New Roman"/>
          <w:szCs w:val="20"/>
          <w:lang w:eastAsia="fr-FR"/>
        </w:rPr>
      </w:pPr>
      <w:r w:rsidRPr="002A3213">
        <w:rPr>
          <w:rFonts w:ascii="Times New Roman" w:hAnsi="Times New Roman" w:eastAsia="Times New Roman" w:cs="Times New Roman"/>
          <w:szCs w:val="20"/>
          <w:lang w:eastAsia="fr-FR"/>
        </w:rPr>
        <w:fldChar w:fldCharType="begin"/>
      </w:r>
      <w:r w:rsidRPr="002A3213">
        <w:rPr>
          <w:rFonts w:ascii="Times New Roman" w:hAnsi="Times New Roman" w:eastAsia="Times New Roman" w:cs="Times New Roman"/>
          <w:szCs w:val="20"/>
          <w:lang w:eastAsia="fr-FR"/>
        </w:rPr>
        <w:instrText xml:space="preserve"> SEQ level0 \*arabic </w:instrText>
      </w:r>
      <w:r w:rsidRPr="002A3213">
        <w:rPr>
          <w:rFonts w:ascii="Times New Roman" w:hAnsi="Times New Roman" w:eastAsia="Times New Roman" w:cs="Times New Roman"/>
          <w:szCs w:val="20"/>
          <w:lang w:eastAsia="fr-FR"/>
        </w:rPr>
        <w:fldChar w:fldCharType="separate"/>
      </w:r>
      <w:r w:rsidRPr="002A3213" w:rsidR="002A3213">
        <w:rPr>
          <w:rFonts w:ascii="Times New Roman" w:hAnsi="Times New Roman" w:eastAsia="Times New Roman" w:cs="Times New Roman"/>
          <w:noProof/>
          <w:szCs w:val="20"/>
          <w:lang w:eastAsia="fr-FR"/>
        </w:rPr>
        <w:t>45</w:t>
      </w:r>
      <w:r w:rsidRPr="002A3213">
        <w:rPr>
          <w:rFonts w:ascii="Times New Roman" w:hAnsi="Times New Roman" w:eastAsia="Times New Roman" w:cs="Times New Roman"/>
          <w:szCs w:val="20"/>
          <w:lang w:eastAsia="fr-FR"/>
        </w:rPr>
        <w:fldChar w:fldCharType="end"/>
      </w:r>
      <w:r w:rsidRPr="002A3213">
        <w:rPr>
          <w:rFonts w:ascii="Times New Roman" w:hAnsi="Times New Roman" w:eastAsia="Times New Roman" w:cs="Times New Roman"/>
          <w:szCs w:val="20"/>
          <w:lang w:eastAsia="fr-FR"/>
        </w:rPr>
        <w:t>.  On 5 March 2012 the case file was deposited with the District Court</w:t>
      </w:r>
      <w:r w:rsidRPr="002A3213" w:rsidR="002A3213">
        <w:rPr>
          <w:rFonts w:ascii="Times New Roman" w:hAnsi="Times New Roman" w:eastAsia="Times New Roman" w:cs="Times New Roman"/>
          <w:szCs w:val="20"/>
          <w:lang w:eastAsia="fr-FR"/>
        </w:rPr>
        <w:t>’</w:t>
      </w:r>
      <w:r w:rsidRPr="002A3213">
        <w:rPr>
          <w:rFonts w:ascii="Times New Roman" w:hAnsi="Times New Roman" w:eastAsia="Times New Roman" w:cs="Times New Roman"/>
          <w:szCs w:val="20"/>
          <w:lang w:eastAsia="fr-FR"/>
        </w:rPr>
        <w:t>s registry.</w:t>
      </w:r>
    </w:p>
    <w:p w:rsidRPr="002A3213" w:rsidR="005D59EB" w:rsidP="002A3213" w:rsidRDefault="000242E7">
      <w:pPr>
        <w:pStyle w:val="ECHRPara"/>
        <w:rPr>
          <w:rFonts w:ascii="Times New Roman" w:hAnsi="Times New Roman" w:eastAsia="Times New Roman" w:cs="Times New Roman"/>
          <w:szCs w:val="20"/>
          <w:lang w:eastAsia="fr-FR"/>
        </w:rPr>
      </w:pPr>
      <w:r w:rsidRPr="002A3213">
        <w:rPr>
          <w:rFonts w:ascii="Times New Roman" w:hAnsi="Times New Roman" w:eastAsia="Times New Roman" w:cs="Times New Roman"/>
          <w:szCs w:val="20"/>
          <w:lang w:eastAsia="fr-FR"/>
        </w:rPr>
        <w:fldChar w:fldCharType="begin"/>
      </w:r>
      <w:r w:rsidRPr="002A3213">
        <w:rPr>
          <w:rFonts w:ascii="Times New Roman" w:hAnsi="Times New Roman" w:eastAsia="Times New Roman" w:cs="Times New Roman"/>
          <w:szCs w:val="20"/>
          <w:lang w:eastAsia="fr-FR"/>
        </w:rPr>
        <w:instrText xml:space="preserve"> SEQ level0 \*arabic </w:instrText>
      </w:r>
      <w:r w:rsidRPr="002A3213">
        <w:rPr>
          <w:rFonts w:ascii="Times New Roman" w:hAnsi="Times New Roman" w:eastAsia="Times New Roman" w:cs="Times New Roman"/>
          <w:szCs w:val="20"/>
          <w:lang w:eastAsia="fr-FR"/>
        </w:rPr>
        <w:fldChar w:fldCharType="separate"/>
      </w:r>
      <w:r w:rsidRPr="002A3213" w:rsidR="002A3213">
        <w:rPr>
          <w:rFonts w:ascii="Times New Roman" w:hAnsi="Times New Roman" w:eastAsia="Times New Roman" w:cs="Times New Roman"/>
          <w:noProof/>
          <w:szCs w:val="20"/>
          <w:lang w:eastAsia="fr-FR"/>
        </w:rPr>
        <w:t>46</w:t>
      </w:r>
      <w:r w:rsidRPr="002A3213">
        <w:rPr>
          <w:rFonts w:ascii="Times New Roman" w:hAnsi="Times New Roman" w:eastAsia="Times New Roman" w:cs="Times New Roman"/>
          <w:szCs w:val="20"/>
          <w:lang w:eastAsia="fr-FR"/>
        </w:rPr>
        <w:fldChar w:fldCharType="end"/>
      </w:r>
      <w:r w:rsidRPr="002A3213">
        <w:rPr>
          <w:rFonts w:ascii="Times New Roman" w:hAnsi="Times New Roman" w:eastAsia="Times New Roman" w:cs="Times New Roman"/>
          <w:szCs w:val="20"/>
          <w:lang w:eastAsia="fr-FR"/>
        </w:rPr>
        <w:t>.  </w:t>
      </w:r>
      <w:r w:rsidRPr="002A3213" w:rsidR="00B96AF7">
        <w:rPr>
          <w:rFonts w:ascii="Times New Roman" w:hAnsi="Times New Roman" w:eastAsia="Times New Roman" w:cs="Times New Roman"/>
          <w:szCs w:val="20"/>
          <w:lang w:eastAsia="fr-FR"/>
        </w:rPr>
        <w:t>On 19 March 2012 the applicants dispatched by post a short version of their appeal submissions against the judgment of 20 February 2012.</w:t>
      </w:r>
      <w:r w:rsidRPr="002A3213" w:rsidR="00915677">
        <w:rPr>
          <w:rFonts w:ascii="Times New Roman" w:hAnsi="Times New Roman" w:eastAsia="Times New Roman" w:cs="Times New Roman"/>
          <w:szCs w:val="20"/>
          <w:lang w:eastAsia="fr-FR"/>
        </w:rPr>
        <w:t xml:space="preserve"> </w:t>
      </w:r>
      <w:r w:rsidRPr="002A3213" w:rsidR="00CA7CAA">
        <w:rPr>
          <w:rFonts w:ascii="Times New Roman" w:hAnsi="Times New Roman" w:eastAsia="Times New Roman" w:cs="Times New Roman"/>
          <w:szCs w:val="20"/>
          <w:lang w:eastAsia="fr-FR"/>
        </w:rPr>
        <w:t>The applicants submitted a post</w:t>
      </w:r>
      <w:r w:rsidRPr="002A3213" w:rsidR="008B5947">
        <w:rPr>
          <w:rFonts w:ascii="Times New Roman" w:hAnsi="Times New Roman" w:eastAsia="Times New Roman" w:cs="Times New Roman"/>
          <w:szCs w:val="20"/>
          <w:lang w:eastAsia="fr-FR"/>
        </w:rPr>
        <w:t>al receipt</w:t>
      </w:r>
      <w:r w:rsidRPr="002A3213" w:rsidR="00CA7CAA">
        <w:rPr>
          <w:rFonts w:ascii="Times New Roman" w:hAnsi="Times New Roman" w:eastAsia="Times New Roman" w:cs="Times New Roman"/>
          <w:szCs w:val="20"/>
          <w:lang w:eastAsia="fr-FR"/>
        </w:rPr>
        <w:t xml:space="preserve"> showing that they </w:t>
      </w:r>
      <w:r w:rsidRPr="002A3213" w:rsidR="003F5A4D">
        <w:rPr>
          <w:rFonts w:ascii="Times New Roman" w:hAnsi="Times New Roman" w:eastAsia="Times New Roman" w:cs="Times New Roman"/>
          <w:szCs w:val="20"/>
          <w:lang w:eastAsia="fr-FR"/>
        </w:rPr>
        <w:t>had sent a letter to the</w:t>
      </w:r>
      <w:r w:rsidRPr="002A3213" w:rsidR="00CA7CAA">
        <w:rPr>
          <w:rFonts w:ascii="Times New Roman" w:hAnsi="Times New Roman" w:eastAsia="Times New Roman" w:cs="Times New Roman"/>
          <w:szCs w:val="20"/>
          <w:lang w:eastAsia="fr-FR"/>
        </w:rPr>
        <w:t xml:space="preserve"> Pervomayskiy District Court on 19 March 2012. A short version of the appeal submissions</w:t>
      </w:r>
      <w:r w:rsidRPr="002A3213" w:rsidR="002E4E08">
        <w:rPr>
          <w:rFonts w:ascii="Times New Roman" w:hAnsi="Times New Roman" w:eastAsia="Times New Roman" w:cs="Times New Roman"/>
          <w:szCs w:val="20"/>
          <w:lang w:eastAsia="fr-FR"/>
        </w:rPr>
        <w:t xml:space="preserve"> was received by the District C</w:t>
      </w:r>
      <w:r w:rsidRPr="002A3213" w:rsidR="00915677">
        <w:rPr>
          <w:rFonts w:ascii="Times New Roman" w:hAnsi="Times New Roman" w:eastAsia="Times New Roman" w:cs="Times New Roman"/>
          <w:szCs w:val="20"/>
          <w:lang w:eastAsia="fr-FR"/>
        </w:rPr>
        <w:t>ourt on 26 March 2012.</w:t>
      </w:r>
    </w:p>
    <w:p w:rsidRPr="002A3213" w:rsidR="00C00B52" w:rsidP="002A3213" w:rsidRDefault="00C00B52">
      <w:pPr>
        <w:pStyle w:val="ECHRPara"/>
        <w:rPr>
          <w:rFonts w:ascii="Times New Roman" w:hAnsi="Times New Roman" w:eastAsia="Times New Roman" w:cs="Times New Roman"/>
          <w:szCs w:val="20"/>
          <w:lang w:eastAsia="fr-FR"/>
        </w:rPr>
      </w:pPr>
      <w:r w:rsidRPr="002A3213">
        <w:rPr>
          <w:rFonts w:ascii="Times New Roman" w:hAnsi="Times New Roman" w:eastAsia="Times New Roman" w:cs="Times New Roman"/>
          <w:szCs w:val="20"/>
          <w:lang w:eastAsia="fr-FR"/>
        </w:rPr>
        <w:fldChar w:fldCharType="begin"/>
      </w:r>
      <w:r w:rsidRPr="002A3213">
        <w:rPr>
          <w:rFonts w:ascii="Times New Roman" w:hAnsi="Times New Roman" w:eastAsia="Times New Roman" w:cs="Times New Roman"/>
          <w:szCs w:val="20"/>
          <w:lang w:eastAsia="fr-FR"/>
        </w:rPr>
        <w:instrText xml:space="preserve"> SEQ level0 \*arabic </w:instrText>
      </w:r>
      <w:r w:rsidRPr="002A3213">
        <w:rPr>
          <w:rFonts w:ascii="Times New Roman" w:hAnsi="Times New Roman" w:eastAsia="Times New Roman" w:cs="Times New Roman"/>
          <w:szCs w:val="20"/>
          <w:lang w:eastAsia="fr-FR"/>
        </w:rPr>
        <w:fldChar w:fldCharType="separate"/>
      </w:r>
      <w:r w:rsidRPr="002A3213" w:rsidR="002A3213">
        <w:rPr>
          <w:rFonts w:ascii="Times New Roman" w:hAnsi="Times New Roman" w:eastAsia="Times New Roman" w:cs="Times New Roman"/>
          <w:noProof/>
          <w:szCs w:val="20"/>
          <w:lang w:eastAsia="fr-FR"/>
        </w:rPr>
        <w:t>47</w:t>
      </w:r>
      <w:r w:rsidRPr="002A3213">
        <w:rPr>
          <w:rFonts w:ascii="Times New Roman" w:hAnsi="Times New Roman" w:eastAsia="Times New Roman" w:cs="Times New Roman"/>
          <w:szCs w:val="20"/>
          <w:lang w:eastAsia="fr-FR"/>
        </w:rPr>
        <w:fldChar w:fldCharType="end"/>
      </w:r>
      <w:r w:rsidRPr="002A3213" w:rsidR="004F4FD8">
        <w:rPr>
          <w:rFonts w:ascii="Times New Roman" w:hAnsi="Times New Roman" w:eastAsia="Times New Roman" w:cs="Times New Roman"/>
          <w:szCs w:val="20"/>
          <w:lang w:eastAsia="fr-FR"/>
        </w:rPr>
        <w:t>.  </w:t>
      </w:r>
      <w:r w:rsidRPr="002A3213">
        <w:rPr>
          <w:rFonts w:ascii="Times New Roman" w:hAnsi="Times New Roman" w:eastAsia="Times New Roman" w:cs="Times New Roman"/>
          <w:szCs w:val="20"/>
          <w:lang w:eastAsia="fr-FR"/>
        </w:rPr>
        <w:t>On 25 March 2012 the applica</w:t>
      </w:r>
      <w:r w:rsidRPr="002A3213" w:rsidR="00B067AD">
        <w:rPr>
          <w:rFonts w:ascii="Times New Roman" w:hAnsi="Times New Roman" w:eastAsia="Times New Roman" w:cs="Times New Roman"/>
          <w:szCs w:val="20"/>
          <w:lang w:eastAsia="fr-FR"/>
        </w:rPr>
        <w:t>nts paid the appeal court fee.</w:t>
      </w:r>
    </w:p>
    <w:p w:rsidRPr="002A3213" w:rsidR="005D59EB" w:rsidP="002A3213" w:rsidRDefault="000242E7">
      <w:pPr>
        <w:pStyle w:val="ECHRPara"/>
        <w:rPr>
          <w:rFonts w:ascii="Times New Roman" w:hAnsi="Times New Roman" w:eastAsia="Times New Roman" w:cs="Times New Roman"/>
          <w:szCs w:val="20"/>
          <w:lang w:eastAsia="fr-FR"/>
        </w:rPr>
      </w:pPr>
      <w:r w:rsidRPr="002A3213">
        <w:rPr>
          <w:rFonts w:ascii="Times New Roman" w:hAnsi="Times New Roman" w:eastAsia="Times New Roman" w:cs="Times New Roman"/>
          <w:szCs w:val="20"/>
          <w:lang w:eastAsia="fr-FR"/>
        </w:rPr>
        <w:fldChar w:fldCharType="begin"/>
      </w:r>
      <w:r w:rsidRPr="002A3213">
        <w:rPr>
          <w:rFonts w:ascii="Times New Roman" w:hAnsi="Times New Roman" w:eastAsia="Times New Roman" w:cs="Times New Roman"/>
          <w:szCs w:val="20"/>
          <w:lang w:eastAsia="fr-FR"/>
        </w:rPr>
        <w:instrText xml:space="preserve"> SEQ level0 \*arabic </w:instrText>
      </w:r>
      <w:r w:rsidRPr="002A3213">
        <w:rPr>
          <w:rFonts w:ascii="Times New Roman" w:hAnsi="Times New Roman" w:eastAsia="Times New Roman" w:cs="Times New Roman"/>
          <w:szCs w:val="20"/>
          <w:lang w:eastAsia="fr-FR"/>
        </w:rPr>
        <w:fldChar w:fldCharType="separate"/>
      </w:r>
      <w:r w:rsidRPr="002A3213" w:rsidR="002A3213">
        <w:rPr>
          <w:rFonts w:ascii="Times New Roman" w:hAnsi="Times New Roman" w:eastAsia="Times New Roman" w:cs="Times New Roman"/>
          <w:noProof/>
          <w:szCs w:val="20"/>
          <w:lang w:eastAsia="fr-FR"/>
        </w:rPr>
        <w:t>48</w:t>
      </w:r>
      <w:r w:rsidRPr="002A3213">
        <w:rPr>
          <w:rFonts w:ascii="Times New Roman" w:hAnsi="Times New Roman" w:eastAsia="Times New Roman" w:cs="Times New Roman"/>
          <w:szCs w:val="20"/>
          <w:lang w:eastAsia="fr-FR"/>
        </w:rPr>
        <w:fldChar w:fldCharType="end"/>
      </w:r>
      <w:r w:rsidRPr="002A3213">
        <w:rPr>
          <w:rFonts w:ascii="Times New Roman" w:hAnsi="Times New Roman" w:eastAsia="Times New Roman" w:cs="Times New Roman"/>
          <w:szCs w:val="20"/>
          <w:lang w:eastAsia="fr-FR"/>
        </w:rPr>
        <w:t>.  </w:t>
      </w:r>
      <w:r w:rsidRPr="002A3213" w:rsidR="00B96AF7">
        <w:rPr>
          <w:rFonts w:ascii="Times New Roman" w:hAnsi="Times New Roman" w:eastAsia="Times New Roman" w:cs="Times New Roman"/>
          <w:szCs w:val="20"/>
          <w:lang w:eastAsia="fr-FR"/>
        </w:rPr>
        <w:t>On 2</w:t>
      </w:r>
      <w:r w:rsidRPr="002A3213" w:rsidR="00915677">
        <w:rPr>
          <w:rFonts w:ascii="Times New Roman" w:hAnsi="Times New Roman" w:eastAsia="Times New Roman" w:cs="Times New Roman"/>
          <w:szCs w:val="20"/>
          <w:lang w:eastAsia="fr-FR"/>
        </w:rPr>
        <w:t>6</w:t>
      </w:r>
      <w:r w:rsidRPr="002A3213" w:rsidR="00B96AF7">
        <w:rPr>
          <w:rFonts w:ascii="Times New Roman" w:hAnsi="Times New Roman" w:eastAsia="Times New Roman" w:cs="Times New Roman"/>
          <w:szCs w:val="20"/>
          <w:lang w:eastAsia="fr-FR"/>
        </w:rPr>
        <w:t xml:space="preserve"> March 2012 they dispatched by post a complete version of their appeal submissions.</w:t>
      </w:r>
      <w:r w:rsidRPr="002A3213" w:rsidR="00915677">
        <w:rPr>
          <w:rFonts w:ascii="Times New Roman" w:hAnsi="Times New Roman" w:eastAsia="Times New Roman" w:cs="Times New Roman"/>
          <w:szCs w:val="20"/>
          <w:lang w:eastAsia="fr-FR"/>
        </w:rPr>
        <w:t xml:space="preserve"> </w:t>
      </w:r>
      <w:r w:rsidRPr="002A3213" w:rsidR="002E4E08">
        <w:rPr>
          <w:rFonts w:ascii="Times New Roman" w:hAnsi="Times New Roman" w:eastAsia="Times New Roman" w:cs="Times New Roman"/>
          <w:szCs w:val="20"/>
          <w:lang w:eastAsia="fr-FR"/>
        </w:rPr>
        <w:t xml:space="preserve">It was received by the District Court </w:t>
      </w:r>
      <w:r w:rsidRPr="002A3213" w:rsidR="007D3C59">
        <w:rPr>
          <w:rFonts w:ascii="Times New Roman" w:hAnsi="Times New Roman" w:eastAsia="Times New Roman" w:cs="Times New Roman"/>
          <w:szCs w:val="20"/>
          <w:lang w:eastAsia="fr-FR"/>
        </w:rPr>
        <w:t xml:space="preserve">on 3 April 2012. </w:t>
      </w:r>
      <w:r w:rsidRPr="002A3213" w:rsidR="002F6479">
        <w:rPr>
          <w:rFonts w:ascii="Times New Roman" w:hAnsi="Times New Roman" w:eastAsia="Times New Roman" w:cs="Times New Roman"/>
          <w:szCs w:val="20"/>
          <w:lang w:eastAsia="fr-FR"/>
        </w:rPr>
        <w:t>The applicants submitted, in particular,</w:t>
      </w:r>
      <w:r w:rsidRPr="002A3213" w:rsidR="003B10E4">
        <w:rPr>
          <w:rFonts w:ascii="Times New Roman" w:hAnsi="Times New Roman" w:eastAsia="Times New Roman" w:cs="Times New Roman"/>
          <w:szCs w:val="20"/>
          <w:lang w:eastAsia="fr-FR"/>
        </w:rPr>
        <w:t xml:space="preserve"> that </w:t>
      </w:r>
      <w:r w:rsidRPr="002A3213" w:rsidR="001A7446">
        <w:rPr>
          <w:rFonts w:ascii="Times New Roman" w:hAnsi="Times New Roman" w:eastAsia="Times New Roman" w:cs="Times New Roman"/>
          <w:szCs w:val="20"/>
          <w:lang w:eastAsia="fr-FR"/>
        </w:rPr>
        <w:t xml:space="preserve">the aim of Sochi Pride House was to combat discrimination against LGBT sportspeople. It did not intend to perform any unlawful or extremist activities. Nor could homosexuality be considered to be immoral. Russian law did not prohibit </w:t>
      </w:r>
      <w:r w:rsidRPr="002A3213" w:rsidR="00F1796E">
        <w:rPr>
          <w:rFonts w:ascii="Times New Roman" w:hAnsi="Times New Roman" w:eastAsia="Times New Roman" w:cs="Times New Roman"/>
          <w:szCs w:val="20"/>
          <w:lang w:eastAsia="fr-FR"/>
        </w:rPr>
        <w:t xml:space="preserve">the </w:t>
      </w:r>
      <w:r w:rsidRPr="002A3213" w:rsidR="001A7446">
        <w:rPr>
          <w:rFonts w:ascii="Times New Roman" w:hAnsi="Times New Roman" w:eastAsia="Times New Roman" w:cs="Times New Roman"/>
          <w:szCs w:val="20"/>
          <w:lang w:eastAsia="fr-FR"/>
        </w:rPr>
        <w:t>creati</w:t>
      </w:r>
      <w:r w:rsidRPr="002A3213" w:rsidR="00F1796E">
        <w:rPr>
          <w:rFonts w:ascii="Times New Roman" w:hAnsi="Times New Roman" w:eastAsia="Times New Roman" w:cs="Times New Roman"/>
          <w:szCs w:val="20"/>
          <w:lang w:eastAsia="fr-FR"/>
        </w:rPr>
        <w:t>on of an</w:t>
      </w:r>
      <w:r w:rsidRPr="002A3213" w:rsidR="001A7446">
        <w:rPr>
          <w:rFonts w:ascii="Times New Roman" w:hAnsi="Times New Roman" w:eastAsia="Times New Roman" w:cs="Times New Roman"/>
          <w:szCs w:val="20"/>
          <w:lang w:eastAsia="fr-FR"/>
        </w:rPr>
        <w:t xml:space="preserve"> association to defend LGBT rights. </w:t>
      </w:r>
      <w:r w:rsidRPr="002A3213" w:rsidR="006B03C1">
        <w:rPr>
          <w:rFonts w:ascii="Times New Roman" w:hAnsi="Times New Roman" w:eastAsia="Times New Roman" w:cs="Times New Roman"/>
          <w:szCs w:val="20"/>
          <w:lang w:eastAsia="fr-FR"/>
        </w:rPr>
        <w:t xml:space="preserve">They also argued that sexual orientation was not </w:t>
      </w:r>
      <w:r w:rsidRPr="002A3213" w:rsidR="00F1796E">
        <w:rPr>
          <w:rFonts w:ascii="Times New Roman" w:hAnsi="Times New Roman" w:eastAsia="Times New Roman" w:cs="Times New Roman"/>
          <w:szCs w:val="20"/>
          <w:lang w:eastAsia="fr-FR"/>
        </w:rPr>
        <w:t xml:space="preserve">a </w:t>
      </w:r>
      <w:r w:rsidRPr="002A3213" w:rsidR="006B03C1">
        <w:rPr>
          <w:rFonts w:ascii="Times New Roman" w:hAnsi="Times New Roman" w:eastAsia="Times New Roman" w:cs="Times New Roman"/>
          <w:szCs w:val="20"/>
          <w:lang w:eastAsia="fr-FR"/>
        </w:rPr>
        <w:t xml:space="preserve">matter of choice and that its activities could not therefore increase the number of LGBT people. In any event, Sochi Pride House did not intend to resort to any propaganda of homosexuality. </w:t>
      </w:r>
      <w:r w:rsidRPr="002A3213" w:rsidR="00470D03">
        <w:rPr>
          <w:rFonts w:ascii="Times New Roman" w:hAnsi="Times New Roman" w:eastAsia="Times New Roman" w:cs="Times New Roman"/>
          <w:szCs w:val="20"/>
          <w:lang w:eastAsia="fr-FR"/>
        </w:rPr>
        <w:t>The refusal of registration had therefore amounted to discrimination on grounds of sexual orientation.</w:t>
      </w:r>
      <w:r w:rsidRPr="002A3213" w:rsidR="005D59EB">
        <w:rPr>
          <w:rFonts w:ascii="Times New Roman" w:hAnsi="Times New Roman" w:eastAsia="Times New Roman" w:cs="Times New Roman"/>
          <w:szCs w:val="20"/>
          <w:lang w:eastAsia="fr-FR"/>
        </w:rPr>
        <w:t xml:space="preserve"> </w:t>
      </w:r>
      <w:r w:rsidRPr="002A3213" w:rsidR="009012BC">
        <w:rPr>
          <w:rFonts w:ascii="Times New Roman" w:hAnsi="Times New Roman" w:eastAsia="Times New Roman" w:cs="Times New Roman"/>
          <w:szCs w:val="20"/>
          <w:lang w:eastAsia="fr-FR"/>
        </w:rPr>
        <w:t>Lastly, the applicants submitted that the District Court had relied on grounds that had not been cited by the</w:t>
      </w:r>
      <w:r w:rsidRPr="002A3213" w:rsidR="00EE4BA0">
        <w:rPr>
          <w:rFonts w:ascii="Times New Roman" w:hAnsi="Times New Roman" w:eastAsia="Times New Roman" w:cs="Times New Roman"/>
          <w:szCs w:val="20"/>
          <w:lang w:eastAsia="fr-FR"/>
        </w:rPr>
        <w:t xml:space="preserve"> Krasnodar</w:t>
      </w:r>
      <w:r w:rsidRPr="002A3213" w:rsidR="009012BC">
        <w:rPr>
          <w:rFonts w:ascii="Times New Roman" w:hAnsi="Times New Roman" w:eastAsia="Times New Roman" w:cs="Times New Roman"/>
          <w:szCs w:val="20"/>
          <w:lang w:eastAsia="fr-FR"/>
        </w:rPr>
        <w:t xml:space="preserve"> registration authority in its refusal of registration of 16 November 2011. As those new grounds related to Sochi Pride House</w:t>
      </w:r>
      <w:r w:rsidRPr="002A3213" w:rsidR="002A3213">
        <w:rPr>
          <w:rFonts w:ascii="Times New Roman" w:hAnsi="Times New Roman" w:eastAsia="Times New Roman" w:cs="Times New Roman"/>
          <w:szCs w:val="20"/>
          <w:lang w:eastAsia="fr-FR"/>
        </w:rPr>
        <w:t>’</w:t>
      </w:r>
      <w:r w:rsidRPr="002A3213" w:rsidR="009012BC">
        <w:rPr>
          <w:rFonts w:ascii="Times New Roman" w:hAnsi="Times New Roman" w:eastAsia="Times New Roman" w:cs="Times New Roman"/>
          <w:szCs w:val="20"/>
          <w:lang w:eastAsia="fr-FR"/>
        </w:rPr>
        <w:t xml:space="preserve">s aims, it was clear that registration would be refused even if the applicants corrected the purely formal defects mentioned by the </w:t>
      </w:r>
      <w:r w:rsidRPr="002A3213" w:rsidR="00EE4BA0">
        <w:rPr>
          <w:rFonts w:ascii="Times New Roman" w:hAnsi="Times New Roman" w:eastAsia="Times New Roman" w:cs="Times New Roman"/>
          <w:szCs w:val="20"/>
          <w:lang w:eastAsia="fr-FR"/>
        </w:rPr>
        <w:t>Krasnodar</w:t>
      </w:r>
      <w:r w:rsidRPr="002A3213" w:rsidR="009012BC">
        <w:rPr>
          <w:rFonts w:ascii="Times New Roman" w:hAnsi="Times New Roman" w:eastAsia="Times New Roman" w:cs="Times New Roman"/>
          <w:szCs w:val="20"/>
          <w:lang w:eastAsia="fr-FR"/>
        </w:rPr>
        <w:t xml:space="preserve"> registration authority. </w:t>
      </w:r>
      <w:r w:rsidRPr="002A3213" w:rsidR="00916BCE">
        <w:rPr>
          <w:rFonts w:ascii="Times New Roman" w:hAnsi="Times New Roman" w:eastAsia="Times New Roman" w:cs="Times New Roman"/>
          <w:szCs w:val="20"/>
          <w:lang w:eastAsia="fr-FR"/>
        </w:rPr>
        <w:t xml:space="preserve">The applicants then repeated the arguments </w:t>
      </w:r>
      <w:r w:rsidRPr="002A3213" w:rsidR="00F1796E">
        <w:rPr>
          <w:rFonts w:ascii="Times New Roman" w:hAnsi="Times New Roman" w:eastAsia="Times New Roman" w:cs="Times New Roman"/>
          <w:szCs w:val="20"/>
          <w:lang w:eastAsia="fr-FR"/>
        </w:rPr>
        <w:t xml:space="preserve">they had </w:t>
      </w:r>
      <w:r w:rsidRPr="002A3213" w:rsidR="00916BCE">
        <w:rPr>
          <w:rFonts w:ascii="Times New Roman" w:hAnsi="Times New Roman" w:eastAsia="Times New Roman" w:cs="Times New Roman"/>
          <w:szCs w:val="20"/>
          <w:lang w:eastAsia="fr-FR"/>
        </w:rPr>
        <w:t>a</w:t>
      </w:r>
      <w:r w:rsidRPr="002A3213" w:rsidR="00B067AD">
        <w:rPr>
          <w:rFonts w:ascii="Times New Roman" w:hAnsi="Times New Roman" w:eastAsia="Times New Roman" w:cs="Times New Roman"/>
          <w:szCs w:val="20"/>
          <w:lang w:eastAsia="fr-FR"/>
        </w:rPr>
        <w:t>dvanced in their complaint of 6 </w:t>
      </w:r>
      <w:r w:rsidRPr="002A3213" w:rsidR="00916BCE">
        <w:rPr>
          <w:rFonts w:ascii="Times New Roman" w:hAnsi="Times New Roman" w:eastAsia="Times New Roman" w:cs="Times New Roman"/>
          <w:szCs w:val="20"/>
          <w:lang w:eastAsia="fr-FR"/>
        </w:rPr>
        <w:t>December 2011.</w:t>
      </w:r>
    </w:p>
    <w:p w:rsidRPr="002A3213" w:rsidR="005D59EB" w:rsidP="002A3213" w:rsidRDefault="000242E7">
      <w:pPr>
        <w:pStyle w:val="ECHRPara"/>
        <w:rPr>
          <w:rFonts w:ascii="Times New Roman" w:hAnsi="Times New Roman" w:eastAsia="Times New Roman" w:cs="Times New Roman"/>
          <w:szCs w:val="20"/>
          <w:lang w:eastAsia="fr-FR"/>
        </w:rPr>
      </w:pPr>
      <w:r w:rsidRPr="002A3213">
        <w:rPr>
          <w:rFonts w:ascii="Times New Roman" w:hAnsi="Times New Roman" w:eastAsia="Times New Roman" w:cs="Times New Roman"/>
          <w:szCs w:val="20"/>
          <w:lang w:eastAsia="fr-FR"/>
        </w:rPr>
        <w:fldChar w:fldCharType="begin"/>
      </w:r>
      <w:r w:rsidRPr="002A3213">
        <w:rPr>
          <w:rFonts w:ascii="Times New Roman" w:hAnsi="Times New Roman" w:eastAsia="Times New Roman" w:cs="Times New Roman"/>
          <w:szCs w:val="20"/>
          <w:lang w:eastAsia="fr-FR"/>
        </w:rPr>
        <w:instrText xml:space="preserve"> SEQ level0 \*arabic </w:instrText>
      </w:r>
      <w:r w:rsidRPr="002A3213">
        <w:rPr>
          <w:rFonts w:ascii="Times New Roman" w:hAnsi="Times New Roman" w:eastAsia="Times New Roman" w:cs="Times New Roman"/>
          <w:szCs w:val="20"/>
          <w:lang w:eastAsia="fr-FR"/>
        </w:rPr>
        <w:fldChar w:fldCharType="separate"/>
      </w:r>
      <w:r w:rsidRPr="002A3213" w:rsidR="002A3213">
        <w:rPr>
          <w:rFonts w:ascii="Times New Roman" w:hAnsi="Times New Roman" w:eastAsia="Times New Roman" w:cs="Times New Roman"/>
          <w:noProof/>
          <w:szCs w:val="20"/>
          <w:lang w:eastAsia="fr-FR"/>
        </w:rPr>
        <w:t>49</w:t>
      </w:r>
      <w:r w:rsidRPr="002A3213">
        <w:rPr>
          <w:rFonts w:ascii="Times New Roman" w:hAnsi="Times New Roman" w:eastAsia="Times New Roman" w:cs="Times New Roman"/>
          <w:szCs w:val="20"/>
          <w:lang w:eastAsia="fr-FR"/>
        </w:rPr>
        <w:fldChar w:fldCharType="end"/>
      </w:r>
      <w:r w:rsidRPr="002A3213">
        <w:rPr>
          <w:rFonts w:ascii="Times New Roman" w:hAnsi="Times New Roman" w:eastAsia="Times New Roman" w:cs="Times New Roman"/>
          <w:szCs w:val="20"/>
          <w:lang w:eastAsia="fr-FR"/>
        </w:rPr>
        <w:t>.  </w:t>
      </w:r>
      <w:r w:rsidRPr="002A3213" w:rsidR="00B96AF7">
        <w:rPr>
          <w:rFonts w:ascii="Times New Roman" w:hAnsi="Times New Roman" w:eastAsia="Times New Roman" w:cs="Times New Roman"/>
          <w:szCs w:val="20"/>
          <w:lang w:eastAsia="fr-FR"/>
        </w:rPr>
        <w:t>On 28 March 2012 the Pervomayskiy District Court returned the short version of the appeal submissions to the applicants, finding that the appeal had been lodged on 26 March 2012,</w:t>
      </w:r>
      <w:r w:rsidRPr="002A3213" w:rsidR="00B067AD">
        <w:rPr>
          <w:rFonts w:ascii="Times New Roman" w:hAnsi="Times New Roman" w:eastAsia="Times New Roman" w:cs="Times New Roman"/>
          <w:szCs w:val="20"/>
          <w:lang w:eastAsia="fr-FR"/>
        </w:rPr>
        <w:t xml:space="preserve"> that is</w:t>
      </w:r>
      <w:r w:rsidRPr="002A3213" w:rsidR="00F1796E">
        <w:rPr>
          <w:rFonts w:ascii="Times New Roman" w:hAnsi="Times New Roman" w:eastAsia="Times New Roman" w:cs="Times New Roman"/>
          <w:szCs w:val="20"/>
          <w:lang w:eastAsia="fr-FR"/>
        </w:rPr>
        <w:t>,</w:t>
      </w:r>
      <w:r w:rsidRPr="002A3213" w:rsidR="00B067AD">
        <w:rPr>
          <w:rFonts w:ascii="Times New Roman" w:hAnsi="Times New Roman" w:eastAsia="Times New Roman" w:cs="Times New Roman"/>
          <w:szCs w:val="20"/>
          <w:lang w:eastAsia="fr-FR"/>
        </w:rPr>
        <w:t xml:space="preserve"> to say outside the one</w:t>
      </w:r>
      <w:r w:rsidRPr="002A3213" w:rsidR="00B067AD">
        <w:rPr>
          <w:rFonts w:ascii="Times New Roman" w:hAnsi="Times New Roman" w:eastAsia="Times New Roman" w:cs="Times New Roman"/>
          <w:szCs w:val="20"/>
          <w:lang w:eastAsia="fr-FR"/>
        </w:rPr>
        <w:noBreakHyphen/>
      </w:r>
      <w:r w:rsidRPr="002A3213" w:rsidR="00B96AF7">
        <w:rPr>
          <w:rFonts w:ascii="Times New Roman" w:hAnsi="Times New Roman" w:eastAsia="Times New Roman" w:cs="Times New Roman"/>
          <w:szCs w:val="20"/>
          <w:lang w:eastAsia="fr-FR"/>
        </w:rPr>
        <w:t xml:space="preserve">month time-limit established by law. </w:t>
      </w:r>
      <w:r w:rsidRPr="002A3213" w:rsidR="007152C9">
        <w:rPr>
          <w:rFonts w:ascii="Times New Roman" w:hAnsi="Times New Roman" w:eastAsia="Times New Roman" w:cs="Times New Roman"/>
          <w:szCs w:val="20"/>
          <w:lang w:eastAsia="fr-FR"/>
        </w:rPr>
        <w:t xml:space="preserve">The </w:t>
      </w:r>
      <w:r w:rsidRPr="002A3213" w:rsidR="003B4233">
        <w:rPr>
          <w:rFonts w:ascii="Times New Roman" w:hAnsi="Times New Roman" w:eastAsia="Times New Roman" w:cs="Times New Roman"/>
          <w:szCs w:val="20"/>
          <w:lang w:eastAsia="fr-FR"/>
        </w:rPr>
        <w:t>applicants</w:t>
      </w:r>
      <w:r w:rsidRPr="002A3213" w:rsidR="007152C9">
        <w:rPr>
          <w:rFonts w:ascii="Times New Roman" w:hAnsi="Times New Roman" w:eastAsia="Times New Roman" w:cs="Times New Roman"/>
          <w:szCs w:val="20"/>
          <w:lang w:eastAsia="fr-FR"/>
        </w:rPr>
        <w:t xml:space="preserve"> had not asked for an extension of the time-limit. Nor had they submitted the stamped envelope showing the date on which they </w:t>
      </w:r>
      <w:r w:rsidRPr="002A3213" w:rsidR="00B067AD">
        <w:rPr>
          <w:rFonts w:ascii="Times New Roman" w:hAnsi="Times New Roman" w:eastAsia="Times New Roman" w:cs="Times New Roman"/>
          <w:szCs w:val="20"/>
          <w:lang w:eastAsia="fr-FR"/>
        </w:rPr>
        <w:t>had received the judgment of 20 </w:t>
      </w:r>
      <w:r w:rsidRPr="002A3213" w:rsidR="007152C9">
        <w:rPr>
          <w:rFonts w:ascii="Times New Roman" w:hAnsi="Times New Roman" w:eastAsia="Times New Roman" w:cs="Times New Roman"/>
          <w:szCs w:val="20"/>
          <w:lang w:eastAsia="fr-FR"/>
        </w:rPr>
        <w:t>February 2012.</w:t>
      </w:r>
    </w:p>
    <w:p w:rsidRPr="002A3213" w:rsidR="005D59EB" w:rsidP="002A3213" w:rsidRDefault="000242E7">
      <w:pPr>
        <w:pStyle w:val="ECHRPara"/>
        <w:rPr>
          <w:rFonts w:ascii="Times New Roman" w:hAnsi="Times New Roman" w:eastAsia="Times New Roman" w:cs="Times New Roman"/>
          <w:szCs w:val="20"/>
          <w:lang w:eastAsia="fr-FR"/>
        </w:rPr>
      </w:pPr>
      <w:r w:rsidRPr="002A3213">
        <w:rPr>
          <w:rFonts w:ascii="Times New Roman" w:hAnsi="Times New Roman" w:eastAsia="Times New Roman" w:cs="Times New Roman"/>
          <w:szCs w:val="20"/>
          <w:lang w:eastAsia="fr-FR"/>
        </w:rPr>
        <w:fldChar w:fldCharType="begin"/>
      </w:r>
      <w:r w:rsidRPr="002A3213">
        <w:rPr>
          <w:rFonts w:ascii="Times New Roman" w:hAnsi="Times New Roman" w:eastAsia="Times New Roman" w:cs="Times New Roman"/>
          <w:szCs w:val="20"/>
          <w:lang w:eastAsia="fr-FR"/>
        </w:rPr>
        <w:instrText xml:space="preserve"> SEQ level0 \*arabic </w:instrText>
      </w:r>
      <w:r w:rsidRPr="002A3213">
        <w:rPr>
          <w:rFonts w:ascii="Times New Roman" w:hAnsi="Times New Roman" w:eastAsia="Times New Roman" w:cs="Times New Roman"/>
          <w:szCs w:val="20"/>
          <w:lang w:eastAsia="fr-FR"/>
        </w:rPr>
        <w:fldChar w:fldCharType="separate"/>
      </w:r>
      <w:r w:rsidRPr="002A3213" w:rsidR="002A3213">
        <w:rPr>
          <w:rFonts w:ascii="Times New Roman" w:hAnsi="Times New Roman" w:eastAsia="Times New Roman" w:cs="Times New Roman"/>
          <w:noProof/>
          <w:szCs w:val="20"/>
          <w:lang w:eastAsia="fr-FR"/>
        </w:rPr>
        <w:t>50</w:t>
      </w:r>
      <w:r w:rsidRPr="002A3213">
        <w:rPr>
          <w:rFonts w:ascii="Times New Roman" w:hAnsi="Times New Roman" w:eastAsia="Times New Roman" w:cs="Times New Roman"/>
          <w:szCs w:val="20"/>
          <w:lang w:eastAsia="fr-FR"/>
        </w:rPr>
        <w:fldChar w:fldCharType="end"/>
      </w:r>
      <w:r w:rsidRPr="002A3213">
        <w:rPr>
          <w:rFonts w:ascii="Times New Roman" w:hAnsi="Times New Roman" w:eastAsia="Times New Roman" w:cs="Times New Roman"/>
          <w:szCs w:val="20"/>
          <w:lang w:eastAsia="fr-FR"/>
        </w:rPr>
        <w:t>.  </w:t>
      </w:r>
      <w:r w:rsidRPr="002A3213" w:rsidR="00B96AF7">
        <w:rPr>
          <w:rFonts w:ascii="Times New Roman" w:hAnsi="Times New Roman" w:eastAsia="Times New Roman" w:cs="Times New Roman"/>
          <w:szCs w:val="20"/>
          <w:lang w:eastAsia="fr-FR"/>
        </w:rPr>
        <w:t xml:space="preserve">On 4 April 2012 the Pervomayskiy District Court returned the complete version of the appeal submissions, finding that </w:t>
      </w:r>
      <w:r w:rsidRPr="002A3213" w:rsidR="00657533">
        <w:rPr>
          <w:rFonts w:ascii="Times New Roman" w:hAnsi="Times New Roman" w:eastAsia="Times New Roman" w:cs="Times New Roman"/>
          <w:szCs w:val="20"/>
          <w:lang w:eastAsia="fr-FR"/>
        </w:rPr>
        <w:t xml:space="preserve">it had been received by the District Court on 3 April 2012, outside the time-limit established by law. </w:t>
      </w:r>
      <w:r w:rsidRPr="002A3213" w:rsidR="00246FFC">
        <w:rPr>
          <w:rFonts w:ascii="Times New Roman" w:hAnsi="Times New Roman" w:eastAsia="Times New Roman" w:cs="Times New Roman"/>
          <w:szCs w:val="20"/>
          <w:lang w:eastAsia="fr-FR"/>
        </w:rPr>
        <w:t>The applicants had not asked for an extension of the time-limit. Nor had they submitted the stamped envelope showing the date on which they had received the judgment of 20 February 2012.</w:t>
      </w:r>
    </w:p>
    <w:bookmarkStart w:name="timelimit1" w:id="4"/>
    <w:p w:rsidRPr="002A3213" w:rsidR="00B96AF7" w:rsidP="002A3213" w:rsidRDefault="000242E7">
      <w:pPr>
        <w:pStyle w:val="ECHRPara"/>
        <w:rPr>
          <w:rFonts w:ascii="Times New Roman" w:hAnsi="Times New Roman" w:eastAsia="Times New Roman" w:cs="Times New Roman"/>
          <w:szCs w:val="20"/>
          <w:lang w:eastAsia="fr-FR"/>
        </w:rPr>
      </w:pPr>
      <w:r w:rsidRPr="002A3213">
        <w:rPr>
          <w:rFonts w:ascii="Times New Roman" w:hAnsi="Times New Roman" w:eastAsia="Times New Roman" w:cs="Times New Roman"/>
          <w:szCs w:val="20"/>
          <w:lang w:eastAsia="fr-FR"/>
        </w:rPr>
        <w:fldChar w:fldCharType="begin"/>
      </w:r>
      <w:r w:rsidRPr="002A3213">
        <w:rPr>
          <w:rFonts w:ascii="Times New Roman" w:hAnsi="Times New Roman" w:eastAsia="Times New Roman" w:cs="Times New Roman"/>
          <w:szCs w:val="20"/>
          <w:lang w:eastAsia="fr-FR"/>
        </w:rPr>
        <w:instrText xml:space="preserve"> SEQ level0 \*arabic </w:instrText>
      </w:r>
      <w:r w:rsidRPr="002A3213">
        <w:rPr>
          <w:rFonts w:ascii="Times New Roman" w:hAnsi="Times New Roman" w:eastAsia="Times New Roman" w:cs="Times New Roman"/>
          <w:szCs w:val="20"/>
          <w:lang w:eastAsia="fr-FR"/>
        </w:rPr>
        <w:fldChar w:fldCharType="separate"/>
      </w:r>
      <w:r w:rsidRPr="002A3213" w:rsidR="002A3213">
        <w:rPr>
          <w:rFonts w:ascii="Times New Roman" w:hAnsi="Times New Roman" w:eastAsia="Times New Roman" w:cs="Times New Roman"/>
          <w:noProof/>
          <w:szCs w:val="20"/>
          <w:lang w:eastAsia="fr-FR"/>
        </w:rPr>
        <w:t>51</w:t>
      </w:r>
      <w:r w:rsidRPr="002A3213">
        <w:rPr>
          <w:rFonts w:ascii="Times New Roman" w:hAnsi="Times New Roman" w:eastAsia="Times New Roman" w:cs="Times New Roman"/>
          <w:szCs w:val="20"/>
          <w:lang w:eastAsia="fr-FR"/>
        </w:rPr>
        <w:fldChar w:fldCharType="end"/>
      </w:r>
      <w:bookmarkEnd w:id="4"/>
      <w:r w:rsidRPr="002A3213">
        <w:rPr>
          <w:rFonts w:ascii="Times New Roman" w:hAnsi="Times New Roman" w:eastAsia="Times New Roman" w:cs="Times New Roman"/>
          <w:szCs w:val="20"/>
          <w:lang w:eastAsia="fr-FR"/>
        </w:rPr>
        <w:t>.  </w:t>
      </w:r>
      <w:r w:rsidRPr="002A3213" w:rsidR="00B96AF7">
        <w:rPr>
          <w:rFonts w:ascii="Times New Roman" w:hAnsi="Times New Roman" w:eastAsia="Times New Roman" w:cs="Times New Roman"/>
          <w:szCs w:val="20"/>
          <w:lang w:eastAsia="fr-FR"/>
        </w:rPr>
        <w:t xml:space="preserve">The applicants appealed against </w:t>
      </w:r>
      <w:r w:rsidRPr="002A3213" w:rsidR="00915677">
        <w:rPr>
          <w:rFonts w:ascii="Times New Roman" w:hAnsi="Times New Roman" w:eastAsia="Times New Roman" w:cs="Times New Roman"/>
          <w:szCs w:val="20"/>
          <w:lang w:eastAsia="fr-FR"/>
        </w:rPr>
        <w:t>the decisions of 28 March and 4 </w:t>
      </w:r>
      <w:r w:rsidRPr="002A3213" w:rsidR="00B96AF7">
        <w:rPr>
          <w:rFonts w:ascii="Times New Roman" w:hAnsi="Times New Roman" w:eastAsia="Times New Roman" w:cs="Times New Roman"/>
          <w:szCs w:val="20"/>
          <w:lang w:eastAsia="fr-FR"/>
        </w:rPr>
        <w:t>April 2012. They submitted that under Article 321 § 2 of the Code of Civil Procedure</w:t>
      </w:r>
      <w:r w:rsidRPr="002A3213" w:rsidR="00F1796E">
        <w:rPr>
          <w:rFonts w:ascii="Times New Roman" w:hAnsi="Times New Roman" w:eastAsia="Times New Roman" w:cs="Times New Roman"/>
          <w:szCs w:val="20"/>
          <w:lang w:eastAsia="fr-FR"/>
        </w:rPr>
        <w:t>,</w:t>
      </w:r>
      <w:r w:rsidRPr="002A3213" w:rsidR="00B96AF7">
        <w:rPr>
          <w:rFonts w:ascii="Times New Roman" w:hAnsi="Times New Roman" w:eastAsia="Times New Roman" w:cs="Times New Roman"/>
          <w:szCs w:val="20"/>
          <w:lang w:eastAsia="fr-FR"/>
        </w:rPr>
        <w:t xml:space="preserve"> the one-month time-limit for lodging an appeal had started to run on the day when a written copy of the first-instance judgment </w:t>
      </w:r>
      <w:r w:rsidRPr="002A3213" w:rsidR="00971319">
        <w:rPr>
          <w:rFonts w:ascii="Times New Roman" w:hAnsi="Times New Roman" w:eastAsia="Times New Roman" w:cs="Times New Roman"/>
          <w:szCs w:val="20"/>
          <w:lang w:eastAsia="fr-FR"/>
        </w:rPr>
        <w:t xml:space="preserve">had been </w:t>
      </w:r>
      <w:r w:rsidRPr="002A3213" w:rsidR="00B96AF7">
        <w:rPr>
          <w:rFonts w:ascii="Times New Roman" w:hAnsi="Times New Roman" w:eastAsia="Times New Roman" w:cs="Times New Roman"/>
          <w:szCs w:val="20"/>
          <w:lang w:eastAsia="fr-FR"/>
        </w:rPr>
        <w:t>made available to the parties</w:t>
      </w:r>
      <w:r w:rsidRPr="002A3213" w:rsidR="008077CB">
        <w:rPr>
          <w:rFonts w:ascii="Times New Roman" w:hAnsi="Times New Roman" w:eastAsia="Times New Roman" w:cs="Times New Roman"/>
          <w:szCs w:val="20"/>
          <w:lang w:eastAsia="fr-FR"/>
        </w:rPr>
        <w:t xml:space="preserve"> (see paragraph </w:t>
      </w:r>
      <w:r w:rsidRPr="002A3213" w:rsidR="008077CB">
        <w:rPr>
          <w:rFonts w:ascii="Times New Roman" w:hAnsi="Times New Roman" w:eastAsia="Times New Roman" w:cs="Times New Roman"/>
          <w:szCs w:val="20"/>
          <w:lang w:eastAsia="fr-FR"/>
        </w:rPr>
        <w:fldChar w:fldCharType="begin"/>
      </w:r>
      <w:r w:rsidRPr="002A3213" w:rsidR="008077CB">
        <w:rPr>
          <w:rFonts w:ascii="Times New Roman" w:hAnsi="Times New Roman" w:eastAsia="Times New Roman" w:cs="Times New Roman"/>
          <w:szCs w:val="20"/>
          <w:lang w:eastAsia="fr-FR"/>
        </w:rPr>
        <w:instrText xml:space="preserve"> REF timelimit \h </w:instrText>
      </w:r>
      <w:r w:rsidRPr="002A3213" w:rsidR="008077CB">
        <w:rPr>
          <w:rFonts w:ascii="Times New Roman" w:hAnsi="Times New Roman" w:eastAsia="Times New Roman" w:cs="Times New Roman"/>
          <w:szCs w:val="20"/>
          <w:lang w:eastAsia="fr-FR"/>
        </w:rPr>
      </w:r>
      <w:r w:rsidRPr="002A3213" w:rsidR="008077CB">
        <w:rPr>
          <w:rFonts w:ascii="Times New Roman" w:hAnsi="Times New Roman" w:eastAsia="Times New Roman" w:cs="Times New Roman"/>
          <w:szCs w:val="20"/>
          <w:lang w:eastAsia="fr-FR"/>
        </w:rPr>
        <w:fldChar w:fldCharType="separate"/>
      </w:r>
      <w:r w:rsidRPr="002A3213" w:rsidR="002A3213">
        <w:rPr>
          <w:noProof/>
        </w:rPr>
        <w:t>72</w:t>
      </w:r>
      <w:r w:rsidRPr="002A3213" w:rsidR="008077CB">
        <w:rPr>
          <w:rFonts w:ascii="Times New Roman" w:hAnsi="Times New Roman" w:eastAsia="Times New Roman" w:cs="Times New Roman"/>
          <w:szCs w:val="20"/>
          <w:lang w:eastAsia="fr-FR"/>
        </w:rPr>
        <w:fldChar w:fldCharType="end"/>
      </w:r>
      <w:r w:rsidRPr="002A3213" w:rsidR="008077CB">
        <w:rPr>
          <w:rFonts w:ascii="Times New Roman" w:hAnsi="Times New Roman" w:eastAsia="Times New Roman" w:cs="Times New Roman"/>
          <w:szCs w:val="20"/>
          <w:lang w:eastAsia="fr-FR"/>
        </w:rPr>
        <w:t xml:space="preserve"> below)</w:t>
      </w:r>
      <w:r w:rsidRPr="002A3213" w:rsidR="00B96AF7">
        <w:rPr>
          <w:rFonts w:ascii="Times New Roman" w:hAnsi="Times New Roman" w:eastAsia="Times New Roman" w:cs="Times New Roman"/>
          <w:szCs w:val="20"/>
          <w:lang w:eastAsia="fr-FR"/>
        </w:rPr>
        <w:t>. A written copy of the judgment of 20 February 2012 had been deposited with the court</w:t>
      </w:r>
      <w:r w:rsidRPr="002A3213" w:rsidR="002A3213">
        <w:rPr>
          <w:rFonts w:ascii="Times New Roman" w:hAnsi="Times New Roman" w:eastAsia="Times New Roman" w:cs="Times New Roman"/>
          <w:szCs w:val="20"/>
          <w:lang w:eastAsia="fr-FR"/>
        </w:rPr>
        <w:t>’</w:t>
      </w:r>
      <w:r w:rsidRPr="002A3213" w:rsidR="00B96AF7">
        <w:rPr>
          <w:rFonts w:ascii="Times New Roman" w:hAnsi="Times New Roman" w:eastAsia="Times New Roman" w:cs="Times New Roman"/>
          <w:szCs w:val="20"/>
          <w:lang w:eastAsia="fr-FR"/>
        </w:rPr>
        <w:t>s registry on 5 March 2012. Therefore</w:t>
      </w:r>
      <w:r w:rsidRPr="002A3213" w:rsidR="004311B7">
        <w:rPr>
          <w:rFonts w:ascii="Times New Roman" w:hAnsi="Times New Roman" w:eastAsia="Times New Roman" w:cs="Times New Roman"/>
          <w:szCs w:val="20"/>
          <w:lang w:eastAsia="fr-FR"/>
        </w:rPr>
        <w:t>,</w:t>
      </w:r>
      <w:r w:rsidRPr="002A3213" w:rsidR="00B96AF7">
        <w:rPr>
          <w:rFonts w:ascii="Times New Roman" w:hAnsi="Times New Roman" w:eastAsia="Times New Roman" w:cs="Times New Roman"/>
          <w:szCs w:val="20"/>
          <w:lang w:eastAsia="fr-FR"/>
        </w:rPr>
        <w:t xml:space="preserve"> the time-limit for lodging an appeal had expired on 5 April 2012. In any event, even if the time-limit had started to run on the date the judgment had been pronounced, they had still complied with the time-limit as they had dispatched the appeal submissions by post on 19 March 2012, that is to say</w:t>
      </w:r>
      <w:r w:rsidRPr="002A3213" w:rsidR="00F1796E">
        <w:rPr>
          <w:rFonts w:ascii="Times New Roman" w:hAnsi="Times New Roman" w:eastAsia="Times New Roman" w:cs="Times New Roman"/>
          <w:szCs w:val="20"/>
          <w:lang w:eastAsia="fr-FR"/>
        </w:rPr>
        <w:t>,</w:t>
      </w:r>
      <w:r w:rsidRPr="002A3213" w:rsidR="00B96AF7">
        <w:rPr>
          <w:rFonts w:ascii="Times New Roman" w:hAnsi="Times New Roman" w:eastAsia="Times New Roman" w:cs="Times New Roman"/>
          <w:szCs w:val="20"/>
          <w:lang w:eastAsia="fr-FR"/>
        </w:rPr>
        <w:t xml:space="preserve"> less than a month after the pronouncement of the judgment of 20 February 2012. They submitted a copy of the </w:t>
      </w:r>
      <w:r w:rsidRPr="002A3213" w:rsidR="008F331D">
        <w:rPr>
          <w:rFonts w:ascii="Times New Roman" w:hAnsi="Times New Roman" w:eastAsia="Times New Roman" w:cs="Times New Roman"/>
          <w:szCs w:val="20"/>
          <w:lang w:eastAsia="fr-FR"/>
        </w:rPr>
        <w:t>post</w:t>
      </w:r>
      <w:r w:rsidRPr="002A3213" w:rsidR="008B5947">
        <w:rPr>
          <w:rFonts w:ascii="Times New Roman" w:hAnsi="Times New Roman" w:eastAsia="Times New Roman" w:cs="Times New Roman"/>
          <w:szCs w:val="20"/>
          <w:lang w:eastAsia="fr-FR"/>
        </w:rPr>
        <w:t>al receipt</w:t>
      </w:r>
      <w:r w:rsidRPr="002A3213" w:rsidR="008F331D">
        <w:rPr>
          <w:rFonts w:ascii="Times New Roman" w:hAnsi="Times New Roman" w:eastAsia="Times New Roman" w:cs="Times New Roman"/>
          <w:szCs w:val="20"/>
          <w:lang w:eastAsia="fr-FR"/>
        </w:rPr>
        <w:t xml:space="preserve"> </w:t>
      </w:r>
      <w:r w:rsidRPr="002A3213" w:rsidR="008A45C1">
        <w:rPr>
          <w:rFonts w:ascii="Times New Roman" w:hAnsi="Times New Roman" w:eastAsia="Times New Roman" w:cs="Times New Roman"/>
          <w:szCs w:val="20"/>
          <w:lang w:eastAsia="fr-FR"/>
        </w:rPr>
        <w:t>confirming the dispatch date; t</w:t>
      </w:r>
      <w:r w:rsidRPr="002A3213" w:rsidR="008844BC">
        <w:rPr>
          <w:rFonts w:ascii="Times New Roman" w:hAnsi="Times New Roman" w:eastAsia="Times New Roman" w:cs="Times New Roman"/>
          <w:szCs w:val="20"/>
          <w:lang w:eastAsia="fr-FR"/>
        </w:rPr>
        <w:t xml:space="preserve">hey also argued that the date of dispatch could be found on the stamp on the envelope. </w:t>
      </w:r>
      <w:r w:rsidRPr="002A3213" w:rsidR="008A45C1">
        <w:rPr>
          <w:rFonts w:ascii="Times New Roman" w:hAnsi="Times New Roman" w:eastAsia="Times New Roman" w:cs="Times New Roman"/>
          <w:szCs w:val="20"/>
          <w:lang w:eastAsia="fr-FR"/>
        </w:rPr>
        <w:t>They also enclosed a copy of the stamped envelope confirming the date of receipt of the judgment of 20 February 2012.</w:t>
      </w:r>
    </w:p>
    <w:bookmarkStart w:name="timelimit2" w:id="5"/>
    <w:p w:rsidRPr="002A3213" w:rsidR="005D59EB" w:rsidP="002A3213" w:rsidRDefault="000242E7">
      <w:pPr>
        <w:pStyle w:val="ECHRPara"/>
        <w:rPr>
          <w:rFonts w:ascii="Times New Roman" w:hAnsi="Times New Roman" w:eastAsia="Times New Roman" w:cs="Times New Roman"/>
          <w:szCs w:val="20"/>
          <w:lang w:eastAsia="fr-FR"/>
        </w:rPr>
      </w:pPr>
      <w:r w:rsidRPr="002A3213">
        <w:rPr>
          <w:rFonts w:ascii="Times New Roman" w:hAnsi="Times New Roman" w:eastAsia="Times New Roman" w:cs="Times New Roman"/>
          <w:szCs w:val="20"/>
          <w:lang w:eastAsia="fr-FR"/>
        </w:rPr>
        <w:fldChar w:fldCharType="begin"/>
      </w:r>
      <w:r w:rsidRPr="002A3213">
        <w:rPr>
          <w:rFonts w:ascii="Times New Roman" w:hAnsi="Times New Roman" w:eastAsia="Times New Roman" w:cs="Times New Roman"/>
          <w:szCs w:val="20"/>
          <w:lang w:eastAsia="fr-FR"/>
        </w:rPr>
        <w:instrText xml:space="preserve"> SEQ level0 \*arabic </w:instrText>
      </w:r>
      <w:r w:rsidRPr="002A3213">
        <w:rPr>
          <w:rFonts w:ascii="Times New Roman" w:hAnsi="Times New Roman" w:eastAsia="Times New Roman" w:cs="Times New Roman"/>
          <w:szCs w:val="20"/>
          <w:lang w:eastAsia="fr-FR"/>
        </w:rPr>
        <w:fldChar w:fldCharType="separate"/>
      </w:r>
      <w:r w:rsidRPr="002A3213" w:rsidR="002A3213">
        <w:rPr>
          <w:rFonts w:ascii="Times New Roman" w:hAnsi="Times New Roman" w:eastAsia="Times New Roman" w:cs="Times New Roman"/>
          <w:noProof/>
          <w:szCs w:val="20"/>
          <w:lang w:eastAsia="fr-FR"/>
        </w:rPr>
        <w:t>52</w:t>
      </w:r>
      <w:r w:rsidRPr="002A3213">
        <w:rPr>
          <w:rFonts w:ascii="Times New Roman" w:hAnsi="Times New Roman" w:eastAsia="Times New Roman" w:cs="Times New Roman"/>
          <w:szCs w:val="20"/>
          <w:lang w:eastAsia="fr-FR"/>
        </w:rPr>
        <w:fldChar w:fldCharType="end"/>
      </w:r>
      <w:bookmarkEnd w:id="5"/>
      <w:r w:rsidRPr="002A3213">
        <w:rPr>
          <w:rFonts w:ascii="Times New Roman" w:hAnsi="Times New Roman" w:eastAsia="Times New Roman" w:cs="Times New Roman"/>
          <w:szCs w:val="20"/>
          <w:lang w:eastAsia="fr-FR"/>
        </w:rPr>
        <w:t>.  </w:t>
      </w:r>
      <w:r w:rsidRPr="002A3213" w:rsidR="00CC439E">
        <w:rPr>
          <w:rFonts w:ascii="Times New Roman" w:hAnsi="Times New Roman" w:eastAsia="Times New Roman" w:cs="Times New Roman"/>
          <w:szCs w:val="20"/>
          <w:lang w:eastAsia="fr-FR"/>
        </w:rPr>
        <w:t xml:space="preserve">On 24 July 2012 </w:t>
      </w:r>
      <w:r w:rsidRPr="002A3213" w:rsidR="00B96AF7">
        <w:rPr>
          <w:rFonts w:ascii="Times New Roman" w:hAnsi="Times New Roman" w:eastAsia="Times New Roman" w:cs="Times New Roman"/>
          <w:szCs w:val="20"/>
          <w:lang w:eastAsia="fr-FR"/>
        </w:rPr>
        <w:t>the Krasnodar Regional Court upheld the decision of 28 March 2012</w:t>
      </w:r>
      <w:r w:rsidRPr="002A3213" w:rsidR="00CC439E">
        <w:rPr>
          <w:rFonts w:ascii="Times New Roman" w:hAnsi="Times New Roman" w:eastAsia="Times New Roman" w:cs="Times New Roman"/>
          <w:szCs w:val="20"/>
          <w:lang w:eastAsia="fr-FR"/>
        </w:rPr>
        <w:t xml:space="preserve"> on appeal</w:t>
      </w:r>
      <w:r w:rsidRPr="002A3213" w:rsidR="00B96AF7">
        <w:rPr>
          <w:rFonts w:ascii="Times New Roman" w:hAnsi="Times New Roman" w:eastAsia="Times New Roman" w:cs="Times New Roman"/>
          <w:szCs w:val="20"/>
          <w:lang w:eastAsia="fr-FR"/>
        </w:rPr>
        <w:t xml:space="preserve">, </w:t>
      </w:r>
      <w:r w:rsidRPr="002A3213" w:rsidR="00367FB9">
        <w:rPr>
          <w:rFonts w:ascii="Times New Roman" w:hAnsi="Times New Roman" w:eastAsia="Times New Roman" w:cs="Times New Roman"/>
          <w:szCs w:val="20"/>
          <w:lang w:eastAsia="fr-FR"/>
        </w:rPr>
        <w:t xml:space="preserve">repeating the reasons set out in that decision and </w:t>
      </w:r>
      <w:r w:rsidRPr="002A3213" w:rsidR="00B96AF7">
        <w:rPr>
          <w:rFonts w:ascii="Times New Roman" w:hAnsi="Times New Roman" w:eastAsia="Times New Roman" w:cs="Times New Roman"/>
          <w:szCs w:val="20"/>
          <w:lang w:eastAsia="fr-FR"/>
        </w:rPr>
        <w:t>findin</w:t>
      </w:r>
      <w:r w:rsidRPr="002A3213" w:rsidR="00746107">
        <w:rPr>
          <w:rFonts w:ascii="Times New Roman" w:hAnsi="Times New Roman" w:eastAsia="Times New Roman" w:cs="Times New Roman"/>
          <w:szCs w:val="20"/>
          <w:lang w:eastAsia="fr-FR"/>
        </w:rPr>
        <w:t xml:space="preserve">g that it had been lawful, well </w:t>
      </w:r>
      <w:r w:rsidRPr="002A3213" w:rsidR="00B96AF7">
        <w:rPr>
          <w:rFonts w:ascii="Times New Roman" w:hAnsi="Times New Roman" w:eastAsia="Times New Roman" w:cs="Times New Roman"/>
          <w:szCs w:val="20"/>
          <w:lang w:eastAsia="fr-FR"/>
        </w:rPr>
        <w:t>reasoned and justified.</w:t>
      </w:r>
      <w:r w:rsidRPr="002A3213" w:rsidR="00CC439E">
        <w:rPr>
          <w:rFonts w:ascii="Times New Roman" w:hAnsi="Times New Roman" w:eastAsia="Times New Roman" w:cs="Times New Roman"/>
          <w:szCs w:val="20"/>
          <w:lang w:eastAsia="fr-FR"/>
        </w:rPr>
        <w:t xml:space="preserve"> </w:t>
      </w:r>
      <w:r w:rsidRPr="002A3213" w:rsidR="00367FB9">
        <w:rPr>
          <w:rFonts w:ascii="Times New Roman" w:hAnsi="Times New Roman" w:eastAsia="Times New Roman" w:cs="Times New Roman"/>
          <w:szCs w:val="20"/>
          <w:lang w:eastAsia="fr-FR"/>
        </w:rPr>
        <w:t>It did not reply to the applicants</w:t>
      </w:r>
      <w:r w:rsidRPr="002A3213" w:rsidR="002A3213">
        <w:rPr>
          <w:rFonts w:ascii="Times New Roman" w:hAnsi="Times New Roman" w:eastAsia="Times New Roman" w:cs="Times New Roman"/>
          <w:szCs w:val="20"/>
          <w:lang w:eastAsia="fr-FR"/>
        </w:rPr>
        <w:t>’</w:t>
      </w:r>
      <w:r w:rsidRPr="002A3213" w:rsidR="00367FB9">
        <w:rPr>
          <w:rFonts w:ascii="Times New Roman" w:hAnsi="Times New Roman" w:eastAsia="Times New Roman" w:cs="Times New Roman"/>
          <w:szCs w:val="20"/>
          <w:lang w:eastAsia="fr-FR"/>
        </w:rPr>
        <w:t xml:space="preserve"> argument that they </w:t>
      </w:r>
      <w:r w:rsidRPr="002A3213" w:rsidR="00761F5A">
        <w:rPr>
          <w:rFonts w:ascii="Times New Roman" w:hAnsi="Times New Roman" w:eastAsia="Times New Roman" w:cs="Times New Roman"/>
          <w:szCs w:val="20"/>
          <w:lang w:eastAsia="fr-FR"/>
        </w:rPr>
        <w:t>had dispatched the appeal on 19 </w:t>
      </w:r>
      <w:r w:rsidRPr="002A3213" w:rsidR="00367FB9">
        <w:rPr>
          <w:rFonts w:ascii="Times New Roman" w:hAnsi="Times New Roman" w:eastAsia="Times New Roman" w:cs="Times New Roman"/>
          <w:szCs w:val="20"/>
          <w:lang w:eastAsia="fr-FR"/>
        </w:rPr>
        <w:t>March 2012</w:t>
      </w:r>
      <w:r w:rsidRPr="002A3213" w:rsidR="004D427E">
        <w:rPr>
          <w:rFonts w:ascii="Times New Roman" w:hAnsi="Times New Roman" w:eastAsia="Times New Roman" w:cs="Times New Roman"/>
          <w:szCs w:val="20"/>
          <w:lang w:eastAsia="fr-FR"/>
        </w:rPr>
        <w:t>.</w:t>
      </w:r>
    </w:p>
    <w:p w:rsidRPr="002A3213" w:rsidR="00EA4AF3" w:rsidP="002A3213" w:rsidRDefault="000242E7">
      <w:pPr>
        <w:pStyle w:val="ECHRPara"/>
        <w:rPr>
          <w:rFonts w:ascii="Times New Roman" w:hAnsi="Times New Roman" w:eastAsia="Times New Roman" w:cs="Times New Roman"/>
          <w:szCs w:val="20"/>
          <w:lang w:eastAsia="fr-FR"/>
        </w:rPr>
      </w:pPr>
      <w:r w:rsidRPr="002A3213">
        <w:rPr>
          <w:rFonts w:ascii="Times New Roman" w:hAnsi="Times New Roman" w:eastAsia="Times New Roman" w:cs="Times New Roman"/>
          <w:szCs w:val="20"/>
          <w:lang w:eastAsia="fr-FR"/>
        </w:rPr>
        <w:fldChar w:fldCharType="begin"/>
      </w:r>
      <w:r w:rsidRPr="002A3213">
        <w:rPr>
          <w:rFonts w:ascii="Times New Roman" w:hAnsi="Times New Roman" w:eastAsia="Times New Roman" w:cs="Times New Roman"/>
          <w:szCs w:val="20"/>
          <w:lang w:eastAsia="fr-FR"/>
        </w:rPr>
        <w:instrText xml:space="preserve"> SEQ level0 \*arabic </w:instrText>
      </w:r>
      <w:r w:rsidRPr="002A3213">
        <w:rPr>
          <w:rFonts w:ascii="Times New Roman" w:hAnsi="Times New Roman" w:eastAsia="Times New Roman" w:cs="Times New Roman"/>
          <w:szCs w:val="20"/>
          <w:lang w:eastAsia="fr-FR"/>
        </w:rPr>
        <w:fldChar w:fldCharType="separate"/>
      </w:r>
      <w:r w:rsidRPr="002A3213" w:rsidR="002A3213">
        <w:rPr>
          <w:rFonts w:ascii="Times New Roman" w:hAnsi="Times New Roman" w:eastAsia="Times New Roman" w:cs="Times New Roman"/>
          <w:noProof/>
          <w:szCs w:val="20"/>
          <w:lang w:eastAsia="fr-FR"/>
        </w:rPr>
        <w:t>53</w:t>
      </w:r>
      <w:r w:rsidRPr="002A3213">
        <w:rPr>
          <w:rFonts w:ascii="Times New Roman" w:hAnsi="Times New Roman" w:eastAsia="Times New Roman" w:cs="Times New Roman"/>
          <w:szCs w:val="20"/>
          <w:lang w:eastAsia="fr-FR"/>
        </w:rPr>
        <w:fldChar w:fldCharType="end"/>
      </w:r>
      <w:r w:rsidRPr="002A3213">
        <w:rPr>
          <w:rFonts w:ascii="Times New Roman" w:hAnsi="Times New Roman" w:eastAsia="Times New Roman" w:cs="Times New Roman"/>
          <w:szCs w:val="20"/>
          <w:lang w:eastAsia="fr-FR"/>
        </w:rPr>
        <w:t>.  </w:t>
      </w:r>
      <w:r w:rsidRPr="002A3213" w:rsidR="00B96AF7">
        <w:rPr>
          <w:rFonts w:ascii="Times New Roman" w:hAnsi="Times New Roman" w:eastAsia="Times New Roman" w:cs="Times New Roman"/>
          <w:szCs w:val="20"/>
          <w:lang w:eastAsia="fr-FR"/>
        </w:rPr>
        <w:t xml:space="preserve">It appears that </w:t>
      </w:r>
      <w:r w:rsidRPr="002A3213" w:rsidR="00CC439E">
        <w:rPr>
          <w:rFonts w:ascii="Times New Roman" w:hAnsi="Times New Roman" w:eastAsia="Times New Roman" w:cs="Times New Roman"/>
          <w:szCs w:val="20"/>
          <w:lang w:eastAsia="fr-FR"/>
        </w:rPr>
        <w:t>the</w:t>
      </w:r>
      <w:r w:rsidRPr="002A3213" w:rsidR="00B96AF7">
        <w:rPr>
          <w:rFonts w:ascii="Times New Roman" w:hAnsi="Times New Roman" w:eastAsia="Times New Roman" w:cs="Times New Roman"/>
          <w:szCs w:val="20"/>
          <w:lang w:eastAsia="fr-FR"/>
        </w:rPr>
        <w:t xml:space="preserve"> appeal against </w:t>
      </w:r>
      <w:r w:rsidRPr="002A3213" w:rsidR="00367FB9">
        <w:rPr>
          <w:rFonts w:ascii="Times New Roman" w:hAnsi="Times New Roman" w:eastAsia="Times New Roman" w:cs="Times New Roman"/>
          <w:szCs w:val="20"/>
          <w:lang w:eastAsia="fr-FR"/>
        </w:rPr>
        <w:t>the decision of 4 April 2012 has</w:t>
      </w:r>
      <w:r w:rsidRPr="002A3213" w:rsidR="00B96AF7">
        <w:rPr>
          <w:rFonts w:ascii="Times New Roman" w:hAnsi="Times New Roman" w:eastAsia="Times New Roman" w:cs="Times New Roman"/>
          <w:szCs w:val="20"/>
          <w:lang w:eastAsia="fr-FR"/>
        </w:rPr>
        <w:t xml:space="preserve"> never been examined.</w:t>
      </w:r>
    </w:p>
    <w:p w:rsidRPr="002A3213" w:rsidR="005D59EB" w:rsidP="002A3213" w:rsidRDefault="0077175D">
      <w:pPr>
        <w:pStyle w:val="ECHRHeading1"/>
      </w:pPr>
      <w:r w:rsidRPr="002A3213">
        <w:t>II.  RELEVANT DOMESTIC LAW</w:t>
      </w:r>
    </w:p>
    <w:p w:rsidRPr="002A3213" w:rsidR="0068522E" w:rsidP="002A3213" w:rsidRDefault="00B067AD">
      <w:pPr>
        <w:pStyle w:val="ECHRHeading2"/>
      </w:pPr>
      <w:r w:rsidRPr="002A3213">
        <w:t>A.  </w:t>
      </w:r>
      <w:r w:rsidRPr="002A3213" w:rsidR="000266AC">
        <w:t>Constitution of the Russian Federation</w:t>
      </w:r>
    </w:p>
    <w:p w:rsidRPr="002A3213" w:rsidR="002B0BBE" w:rsidP="002A3213" w:rsidRDefault="000266AC">
      <w:pPr>
        <w:pStyle w:val="ECHRPara"/>
      </w:pPr>
      <w:r w:rsidRPr="002A3213">
        <w:fldChar w:fldCharType="begin"/>
      </w:r>
      <w:r w:rsidRPr="002A3213">
        <w:instrText xml:space="preserve"> SEQ level0 \*arabic </w:instrText>
      </w:r>
      <w:r w:rsidRPr="002A3213">
        <w:fldChar w:fldCharType="separate"/>
      </w:r>
      <w:r w:rsidRPr="002A3213" w:rsidR="002A3213">
        <w:rPr>
          <w:noProof/>
        </w:rPr>
        <w:t>54</w:t>
      </w:r>
      <w:r w:rsidRPr="002A3213">
        <w:fldChar w:fldCharType="end"/>
      </w:r>
      <w:r w:rsidRPr="002A3213">
        <w:t>.  </w:t>
      </w:r>
      <w:r w:rsidRPr="002A3213" w:rsidR="002B0BBE">
        <w:t xml:space="preserve">Article 30 § 1 provides that everyone </w:t>
      </w:r>
      <w:r w:rsidRPr="002A3213" w:rsidR="00F1796E">
        <w:t>has</w:t>
      </w:r>
      <w:r w:rsidRPr="002A3213" w:rsidR="002B0BBE">
        <w:t xml:space="preserve"> the right to freedom of association, including the right to establish trade unions to protect his</w:t>
      </w:r>
      <w:r w:rsidRPr="002A3213" w:rsidR="004311B7">
        <w:t xml:space="preserve"> or her</w:t>
      </w:r>
      <w:r w:rsidRPr="002A3213" w:rsidR="002B0BBE">
        <w:t xml:space="preserve"> interests. </w:t>
      </w:r>
      <w:r w:rsidRPr="002A3213" w:rsidR="00F1796E">
        <w:t>The f</w:t>
      </w:r>
      <w:r w:rsidRPr="002A3213" w:rsidR="002B0BBE">
        <w:t xml:space="preserve">ree activity of public associations </w:t>
      </w:r>
      <w:r w:rsidRPr="002A3213" w:rsidR="00F1796E">
        <w:t>is</w:t>
      </w:r>
      <w:r w:rsidRPr="002A3213" w:rsidR="002B0BBE">
        <w:t xml:space="preserve"> guaranteed</w:t>
      </w:r>
      <w:r w:rsidRPr="002A3213" w:rsidR="00B067AD">
        <w:t>.</w:t>
      </w:r>
    </w:p>
    <w:bookmarkStart w:name="constitution" w:id="6"/>
    <w:p w:rsidRPr="002A3213" w:rsidR="004B2E5B" w:rsidP="002A3213" w:rsidRDefault="002B0BBE">
      <w:pPr>
        <w:pStyle w:val="ECHRPara"/>
      </w:pPr>
      <w:r w:rsidRPr="002A3213">
        <w:fldChar w:fldCharType="begin"/>
      </w:r>
      <w:r w:rsidRPr="002A3213">
        <w:instrText xml:space="preserve"> SEQ level0 \*arabic </w:instrText>
      </w:r>
      <w:r w:rsidRPr="002A3213">
        <w:fldChar w:fldCharType="separate"/>
      </w:r>
      <w:r w:rsidRPr="002A3213" w:rsidR="002A3213">
        <w:rPr>
          <w:noProof/>
        </w:rPr>
        <w:t>55</w:t>
      </w:r>
      <w:r w:rsidRPr="002A3213">
        <w:fldChar w:fldCharType="end"/>
      </w:r>
      <w:bookmarkEnd w:id="6"/>
      <w:r w:rsidRPr="002A3213">
        <w:t xml:space="preserve">.  Article 13 § 4 provides that all public associations </w:t>
      </w:r>
      <w:r w:rsidRPr="002A3213" w:rsidR="00F1796E">
        <w:t>are</w:t>
      </w:r>
      <w:r w:rsidRPr="002A3213">
        <w:t xml:space="preserve"> equal before the law. Artic</w:t>
      </w:r>
      <w:r w:rsidRPr="002A3213" w:rsidR="00D77D43">
        <w:t>le 13 § 5 provides that</w:t>
      </w:r>
      <w:r w:rsidRPr="002A3213" w:rsidR="004B2E5B">
        <w:t xml:space="preserve"> </w:t>
      </w:r>
      <w:r w:rsidRPr="002A3213" w:rsidR="00D77D43">
        <w:t>it is prohibited to cr</w:t>
      </w:r>
      <w:r w:rsidRPr="002A3213" w:rsidR="000A1D33">
        <w:t>e</w:t>
      </w:r>
      <w:r w:rsidRPr="002A3213" w:rsidR="00D77D43">
        <w:t xml:space="preserve">ate and operate public associations </w:t>
      </w:r>
      <w:r w:rsidRPr="002A3213" w:rsidR="004B2E5B">
        <w:t xml:space="preserve">which aim, or act with the aim, to make </w:t>
      </w:r>
      <w:r w:rsidRPr="002A3213" w:rsidR="0021002C">
        <w:t xml:space="preserve">a forcible change </w:t>
      </w:r>
      <w:r w:rsidRPr="002A3213" w:rsidR="00041B36">
        <w:t xml:space="preserve">to </w:t>
      </w:r>
      <w:r w:rsidRPr="002A3213" w:rsidR="0021002C">
        <w:t>the foundatio</w:t>
      </w:r>
      <w:r w:rsidRPr="002A3213" w:rsidR="00D77D43">
        <w:t xml:space="preserve">ns of the constitutional system of the Russian Federation, </w:t>
      </w:r>
      <w:r w:rsidRPr="002A3213" w:rsidR="004B2E5B">
        <w:t xml:space="preserve">to undermine its territorial integrity or national security, to create paramilitary formations, or to </w:t>
      </w:r>
      <w:r w:rsidRPr="002A3213" w:rsidR="00D77D43">
        <w:t>incite social, racial, ethnic or religious discord</w:t>
      </w:r>
      <w:r w:rsidRPr="002A3213" w:rsidR="004B2E5B">
        <w:t>.</w:t>
      </w:r>
    </w:p>
    <w:p w:rsidRPr="002A3213" w:rsidR="00D87BE6" w:rsidP="002A3213" w:rsidRDefault="00D87BE6">
      <w:pPr>
        <w:pStyle w:val="ECHRHeading2"/>
        <w:rPr>
          <w:lang w:val="fr-FR"/>
        </w:rPr>
      </w:pPr>
      <w:r w:rsidRPr="002A3213">
        <w:rPr>
          <w:lang w:val="fr-FR"/>
        </w:rPr>
        <w:t>B</w:t>
      </w:r>
      <w:r w:rsidRPr="002A3213" w:rsidR="00B067AD">
        <w:rPr>
          <w:lang w:val="fr-FR"/>
        </w:rPr>
        <w:t>. </w:t>
      </w:r>
      <w:r w:rsidRPr="002A3213">
        <w:rPr>
          <w:lang w:val="fr-FR"/>
        </w:rPr>
        <w:t> Non</w:t>
      </w:r>
      <w:r w:rsidRPr="002A3213" w:rsidR="00F1796E">
        <w:rPr>
          <w:lang w:val="fr-FR"/>
        </w:rPr>
        <w:t>-</w:t>
      </w:r>
      <w:r w:rsidRPr="002A3213">
        <w:rPr>
          <w:lang w:val="fr-FR"/>
        </w:rPr>
        <w:t>profit Organisations Act</w:t>
      </w:r>
    </w:p>
    <w:bookmarkStart w:name="statutoryaims" w:id="7"/>
    <w:p w:rsidRPr="002A3213" w:rsidR="00D87BE6" w:rsidP="002A3213" w:rsidRDefault="009505BB">
      <w:pPr>
        <w:pStyle w:val="ECHRPara"/>
      </w:pPr>
      <w:r w:rsidRPr="002A3213">
        <w:fldChar w:fldCharType="begin"/>
      </w:r>
      <w:r w:rsidRPr="002A3213">
        <w:instrText xml:space="preserve"> SEQ level0 \*arabic </w:instrText>
      </w:r>
      <w:r w:rsidRPr="002A3213">
        <w:fldChar w:fldCharType="separate"/>
      </w:r>
      <w:r w:rsidRPr="002A3213" w:rsidR="002A3213">
        <w:rPr>
          <w:noProof/>
        </w:rPr>
        <w:t>56</w:t>
      </w:r>
      <w:r w:rsidRPr="002A3213">
        <w:fldChar w:fldCharType="end"/>
      </w:r>
      <w:bookmarkEnd w:id="7"/>
      <w:r w:rsidRPr="002A3213">
        <w:t>.  </w:t>
      </w:r>
      <w:r w:rsidRPr="002A3213" w:rsidR="00D87BE6">
        <w:t>The Non</w:t>
      </w:r>
      <w:r w:rsidRPr="002A3213" w:rsidR="00F1796E">
        <w:t>-</w:t>
      </w:r>
      <w:r w:rsidRPr="002A3213" w:rsidR="00D87BE6">
        <w:t>profit Organisations Act (Federal Law no. 7-FZ of 12 January 1996) provides that non</w:t>
      </w:r>
      <w:r w:rsidRPr="002A3213" w:rsidR="00F1796E">
        <w:t>-</w:t>
      </w:r>
      <w:r w:rsidRPr="002A3213" w:rsidR="00D87BE6">
        <w:t xml:space="preserve">profit organisations can be created to pursue social, charitable, cultural, educational, scientific or managerial aims, aims of protecting public health, developing sports activities, answering spiritual and other non-material needs, defending rights and legitimate interests of citizens and organisations, resolving disputes and conflicts, providing legal services and any other aims relating to the furthering </w:t>
      </w:r>
      <w:r w:rsidRPr="002A3213" w:rsidR="00B06896">
        <w:t>of the common good (section 2(</w:t>
      </w:r>
      <w:r w:rsidRPr="002A3213" w:rsidR="00D87BE6">
        <w:t>2)</w:t>
      </w:r>
      <w:r w:rsidRPr="002A3213" w:rsidR="00B06896">
        <w:t>)</w:t>
      </w:r>
      <w:r w:rsidRPr="002A3213" w:rsidR="00D87BE6">
        <w:t>.</w:t>
      </w:r>
    </w:p>
    <w:bookmarkStart w:name="nonprofit" w:id="8"/>
    <w:p w:rsidRPr="002A3213" w:rsidR="00D87BE6" w:rsidP="002A3213" w:rsidRDefault="009505BB">
      <w:pPr>
        <w:pStyle w:val="ECHRPara"/>
      </w:pPr>
      <w:r w:rsidRPr="002A3213">
        <w:fldChar w:fldCharType="begin"/>
      </w:r>
      <w:r w:rsidRPr="002A3213">
        <w:instrText xml:space="preserve"> SEQ level0 \*arabic </w:instrText>
      </w:r>
      <w:r w:rsidRPr="002A3213">
        <w:fldChar w:fldCharType="separate"/>
      </w:r>
      <w:r w:rsidRPr="002A3213" w:rsidR="002A3213">
        <w:rPr>
          <w:noProof/>
        </w:rPr>
        <w:t>57</w:t>
      </w:r>
      <w:r w:rsidRPr="002A3213">
        <w:fldChar w:fldCharType="end"/>
      </w:r>
      <w:bookmarkEnd w:id="8"/>
      <w:r w:rsidRPr="002A3213">
        <w:t>.  </w:t>
      </w:r>
      <w:r w:rsidRPr="002A3213" w:rsidR="00D87BE6">
        <w:t>A non</w:t>
      </w:r>
      <w:r w:rsidRPr="002A3213" w:rsidR="00F1796E">
        <w:t>-</w:t>
      </w:r>
      <w:r w:rsidRPr="002A3213" w:rsidR="00D87BE6">
        <w:t>profit organisation must be registered in accordance with the procedure prescribed by law. It acquires legal</w:t>
      </w:r>
      <w:r w:rsidRPr="002A3213" w:rsidR="00C475CD">
        <w:t>-</w:t>
      </w:r>
      <w:r w:rsidRPr="002A3213" w:rsidR="00D87BE6">
        <w:t>entity status</w:t>
      </w:r>
      <w:r w:rsidRPr="002A3213" w:rsidR="001760B3">
        <w:t xml:space="preserve"> – including the right to own property, to open bank accounts, to acquire and exercise pecuniary and non-pecuniary rights and obligations and to act as a party in judicial proceedings –</w:t>
      </w:r>
      <w:r w:rsidRPr="002A3213" w:rsidR="00D87BE6">
        <w:t xml:space="preserve"> from the moment it is regist</w:t>
      </w:r>
      <w:r w:rsidRPr="002A3213" w:rsidR="00B06896">
        <w:t>ered with the State (sections 3(</w:t>
      </w:r>
      <w:r w:rsidRPr="002A3213" w:rsidR="00D87BE6">
        <w:t>1</w:t>
      </w:r>
      <w:r w:rsidRPr="002A3213" w:rsidR="00B06896">
        <w:t>)</w:t>
      </w:r>
      <w:r w:rsidRPr="002A3213" w:rsidR="001760B3">
        <w:t xml:space="preserve"> and </w:t>
      </w:r>
      <w:r w:rsidRPr="002A3213" w:rsidR="00B06896">
        <w:t>(</w:t>
      </w:r>
      <w:r w:rsidRPr="002A3213" w:rsidR="001760B3">
        <w:t>3</w:t>
      </w:r>
      <w:r w:rsidRPr="002A3213" w:rsidR="00B06896">
        <w:t>)</w:t>
      </w:r>
      <w:r w:rsidRPr="002A3213" w:rsidR="00D87BE6">
        <w:t xml:space="preserve"> and 13.1).</w:t>
      </w:r>
    </w:p>
    <w:p w:rsidRPr="002A3213" w:rsidR="00D87BE6" w:rsidP="002A3213" w:rsidRDefault="001760B3">
      <w:pPr>
        <w:pStyle w:val="ECHRPara"/>
      </w:pPr>
      <w:r w:rsidRPr="002A3213">
        <w:fldChar w:fldCharType="begin"/>
      </w:r>
      <w:r w:rsidRPr="002A3213">
        <w:instrText xml:space="preserve"> SEQ level0 \*arabic </w:instrText>
      </w:r>
      <w:r w:rsidRPr="002A3213">
        <w:fldChar w:fldCharType="separate"/>
      </w:r>
      <w:r w:rsidRPr="002A3213" w:rsidR="002A3213">
        <w:rPr>
          <w:noProof/>
        </w:rPr>
        <w:t>58</w:t>
      </w:r>
      <w:r w:rsidRPr="002A3213">
        <w:fldChar w:fldCharType="end"/>
      </w:r>
      <w:r w:rsidRPr="002A3213">
        <w:t>.  </w:t>
      </w:r>
      <w:r w:rsidRPr="002A3213" w:rsidR="00D87BE6">
        <w:t>State registration of a non</w:t>
      </w:r>
      <w:r w:rsidRPr="002A3213" w:rsidR="00F1796E">
        <w:t>-</w:t>
      </w:r>
      <w:r w:rsidRPr="002A3213" w:rsidR="00D87BE6">
        <w:t xml:space="preserve">profit organisation may be refused in, </w:t>
      </w:r>
      <w:r w:rsidRPr="002A3213" w:rsidR="00D87BE6">
        <w:rPr>
          <w:i/>
        </w:rPr>
        <w:t>inter alia</w:t>
      </w:r>
      <w:r w:rsidRPr="002A3213" w:rsidR="00D87BE6">
        <w:t>, the following cases: (a) its articles of association do not comply with the requirements of Russian law; (b) the documents required for registration are incomplete or defective; or (c) the association</w:t>
      </w:r>
      <w:r w:rsidRPr="002A3213" w:rsidR="002A3213">
        <w:t>’</w:t>
      </w:r>
      <w:r w:rsidRPr="002A3213" w:rsidR="00D87BE6">
        <w:t>s name is insulting to the moral, national or religious feelings o</w:t>
      </w:r>
      <w:r w:rsidRPr="002A3213" w:rsidR="00B06896">
        <w:t>f citizen</w:t>
      </w:r>
      <w:r w:rsidRPr="002A3213" w:rsidR="00F23F06">
        <w:t>s</w:t>
      </w:r>
      <w:r w:rsidRPr="002A3213" w:rsidR="00B06896">
        <w:t xml:space="preserve"> (section 23.1(</w:t>
      </w:r>
      <w:r w:rsidRPr="002A3213" w:rsidR="00D87BE6">
        <w:t>1)</w:t>
      </w:r>
      <w:r w:rsidRPr="002A3213" w:rsidR="00B06896">
        <w:t>)</w:t>
      </w:r>
      <w:r w:rsidRPr="002A3213" w:rsidR="00D87BE6">
        <w:t>. If the documents required for registration are incomplete or defective, the registration authority may suspend the regist</w:t>
      </w:r>
      <w:r w:rsidRPr="002A3213" w:rsidR="00B067AD">
        <w:t>ration procedure and set a time</w:t>
      </w:r>
      <w:r w:rsidRPr="002A3213" w:rsidR="00B067AD">
        <w:noBreakHyphen/>
      </w:r>
      <w:r w:rsidRPr="002A3213" w:rsidR="00D87BE6">
        <w:t>limit for correct</w:t>
      </w:r>
      <w:r w:rsidRPr="002A3213" w:rsidR="00B06896">
        <w:t>ing the defects (section 23.1(</w:t>
      </w:r>
      <w:r w:rsidRPr="002A3213" w:rsidR="00D87BE6">
        <w:t>1.1</w:t>
      </w:r>
      <w:r w:rsidRPr="002A3213" w:rsidR="00B06896">
        <w:t>)</w:t>
      </w:r>
      <w:r w:rsidRPr="002A3213" w:rsidR="00B067AD">
        <w:t xml:space="preserve"> as in force since 1 </w:t>
      </w:r>
      <w:r w:rsidRPr="002A3213">
        <w:t>August 2009</w:t>
      </w:r>
      <w:r w:rsidRPr="002A3213" w:rsidR="00D87BE6">
        <w:t>).</w:t>
      </w:r>
    </w:p>
    <w:p w:rsidRPr="002A3213" w:rsidR="00D87BE6" w:rsidP="002A3213" w:rsidRDefault="001760B3">
      <w:pPr>
        <w:pStyle w:val="ECHRPara"/>
      </w:pPr>
      <w:r w:rsidRPr="002A3213">
        <w:fldChar w:fldCharType="begin"/>
      </w:r>
      <w:r w:rsidRPr="002A3213">
        <w:instrText xml:space="preserve"> SEQ level0 \*arabic </w:instrText>
      </w:r>
      <w:r w:rsidRPr="002A3213">
        <w:fldChar w:fldCharType="separate"/>
      </w:r>
      <w:r w:rsidRPr="002A3213" w:rsidR="002A3213">
        <w:rPr>
          <w:noProof/>
        </w:rPr>
        <w:t>59</w:t>
      </w:r>
      <w:r w:rsidRPr="002A3213">
        <w:fldChar w:fldCharType="end"/>
      </w:r>
      <w:r w:rsidRPr="002A3213">
        <w:t>.  </w:t>
      </w:r>
      <w:r w:rsidRPr="002A3213" w:rsidR="00D87BE6">
        <w:t xml:space="preserve">The refusal of registration may be appealed against to a higher </w:t>
      </w:r>
      <w:r w:rsidRPr="002A3213">
        <w:t xml:space="preserve">registration </w:t>
      </w:r>
      <w:r w:rsidRPr="002A3213" w:rsidR="00D87BE6">
        <w:t>authority or a court. Such a refusal does not prevent a new application for registration, provided that the defects identified have</w:t>
      </w:r>
      <w:r w:rsidRPr="002A3213" w:rsidR="00B06896">
        <w:t xml:space="preserve"> been remedied (section 23.1(</w:t>
      </w:r>
      <w:r w:rsidRPr="002A3213" w:rsidR="00D87BE6">
        <w:t>5</w:t>
      </w:r>
      <w:r w:rsidRPr="002A3213" w:rsidR="00B06896">
        <w:t>)</w:t>
      </w:r>
      <w:r w:rsidRPr="002A3213" w:rsidR="00D87BE6">
        <w:t xml:space="preserve"> and </w:t>
      </w:r>
      <w:r w:rsidRPr="002A3213" w:rsidR="00B06896">
        <w:t>(</w:t>
      </w:r>
      <w:r w:rsidRPr="002A3213" w:rsidR="00D87BE6">
        <w:t>6)</w:t>
      </w:r>
      <w:r w:rsidRPr="002A3213" w:rsidR="00B06896">
        <w:t>)</w:t>
      </w:r>
      <w:r w:rsidRPr="002A3213" w:rsidR="00D87BE6">
        <w:t>.</w:t>
      </w:r>
    </w:p>
    <w:p w:rsidRPr="002A3213" w:rsidR="00D87BE6" w:rsidP="002A3213" w:rsidRDefault="001760B3">
      <w:pPr>
        <w:pStyle w:val="ECHRPara"/>
      </w:pPr>
      <w:r w:rsidRPr="002A3213">
        <w:fldChar w:fldCharType="begin"/>
      </w:r>
      <w:r w:rsidRPr="002A3213">
        <w:instrText xml:space="preserve"> SEQ level0 \*arabic </w:instrText>
      </w:r>
      <w:r w:rsidRPr="002A3213">
        <w:fldChar w:fldCharType="separate"/>
      </w:r>
      <w:r w:rsidRPr="002A3213" w:rsidR="002A3213">
        <w:rPr>
          <w:noProof/>
        </w:rPr>
        <w:t>60</w:t>
      </w:r>
      <w:r w:rsidRPr="002A3213">
        <w:fldChar w:fldCharType="end"/>
      </w:r>
      <w:r w:rsidRPr="002A3213">
        <w:t>.  </w:t>
      </w:r>
      <w:r w:rsidRPr="002A3213" w:rsidR="00D87BE6">
        <w:t>A non</w:t>
      </w:r>
      <w:r w:rsidRPr="002A3213" w:rsidR="00F1796E">
        <w:t>-</w:t>
      </w:r>
      <w:r w:rsidRPr="002A3213" w:rsidR="00D87BE6">
        <w:t>profit organisation may take one of the following organisational forms: a public association, an autonomous non</w:t>
      </w:r>
      <w:r w:rsidRPr="002A3213" w:rsidR="00F1796E">
        <w:t>-</w:t>
      </w:r>
      <w:r w:rsidRPr="002A3213" w:rsidR="00D87BE6">
        <w:t>profit organisat</w:t>
      </w:r>
      <w:r w:rsidRPr="002A3213" w:rsidR="00B06896">
        <w:t xml:space="preserve">ion </w:t>
      </w:r>
      <w:r w:rsidRPr="002A3213" w:rsidR="00B548CD">
        <w:t xml:space="preserve">or </w:t>
      </w:r>
      <w:r w:rsidRPr="002A3213" w:rsidR="00B06896">
        <w:t>other</w:t>
      </w:r>
      <w:r w:rsidRPr="002A3213" w:rsidR="00B548CD">
        <w:t xml:space="preserve"> form</w:t>
      </w:r>
      <w:r w:rsidRPr="002A3213" w:rsidR="00B06896">
        <w:t>s (section 2(</w:t>
      </w:r>
      <w:r w:rsidRPr="002A3213">
        <w:t>3)</w:t>
      </w:r>
      <w:r w:rsidRPr="002A3213" w:rsidR="00B06896">
        <w:t>)</w:t>
      </w:r>
      <w:r w:rsidRPr="002A3213">
        <w:t>.</w:t>
      </w:r>
    </w:p>
    <w:p w:rsidRPr="002A3213" w:rsidR="0068522E" w:rsidP="002A3213" w:rsidRDefault="001760B3">
      <w:pPr>
        <w:pStyle w:val="ECHRHeading2"/>
      </w:pPr>
      <w:r w:rsidRPr="002A3213">
        <w:t>C</w:t>
      </w:r>
      <w:r w:rsidRPr="002A3213" w:rsidR="0068522E">
        <w:t>.  Public Associations Act</w:t>
      </w:r>
    </w:p>
    <w:p w:rsidRPr="002A3213" w:rsidR="002F4366" w:rsidP="002A3213" w:rsidRDefault="001760B3">
      <w:pPr>
        <w:pStyle w:val="ECHRPara"/>
      </w:pPr>
      <w:r w:rsidRPr="002A3213">
        <w:fldChar w:fldCharType="begin"/>
      </w:r>
      <w:r w:rsidRPr="002A3213">
        <w:instrText xml:space="preserve"> SEQ level0 \*arabic </w:instrText>
      </w:r>
      <w:r w:rsidRPr="002A3213">
        <w:fldChar w:fldCharType="separate"/>
      </w:r>
      <w:r w:rsidRPr="002A3213" w:rsidR="002A3213">
        <w:rPr>
          <w:noProof/>
        </w:rPr>
        <w:t>61</w:t>
      </w:r>
      <w:r w:rsidRPr="002A3213">
        <w:fldChar w:fldCharType="end"/>
      </w:r>
      <w:r w:rsidRPr="002A3213">
        <w:t>.  </w:t>
      </w:r>
      <w:r w:rsidRPr="002A3213" w:rsidR="0068522E">
        <w:t>The Public Association</w:t>
      </w:r>
      <w:r w:rsidRPr="002A3213" w:rsidR="00F23F06">
        <w:t>s</w:t>
      </w:r>
      <w:r w:rsidRPr="002A3213" w:rsidR="0068522E">
        <w:t xml:space="preserve"> Act (Federal Law no. 82-FZ of 19 May 1995) provides that a public association may obtain legal</w:t>
      </w:r>
      <w:r w:rsidRPr="002A3213" w:rsidR="00C475CD">
        <w:t>-</w:t>
      </w:r>
      <w:r w:rsidRPr="002A3213" w:rsidR="0068522E">
        <w:t>entity status through State registration or carry on its activities without State registration and without l</w:t>
      </w:r>
      <w:r w:rsidRPr="002A3213" w:rsidR="00B06896">
        <w:t>egal</w:t>
      </w:r>
      <w:r w:rsidRPr="002A3213" w:rsidR="00C475CD">
        <w:t>-</w:t>
      </w:r>
      <w:r w:rsidRPr="002A3213" w:rsidR="00B06896">
        <w:t>entity status (section 3(</w:t>
      </w:r>
      <w:r w:rsidRPr="002A3213" w:rsidR="0068522E">
        <w:t>4)</w:t>
      </w:r>
      <w:r w:rsidRPr="002A3213" w:rsidR="00B06896">
        <w:t>)</w:t>
      </w:r>
      <w:r w:rsidRPr="002A3213" w:rsidR="0068522E">
        <w:t>.</w:t>
      </w:r>
    </w:p>
    <w:p w:rsidRPr="002A3213" w:rsidR="002F4366" w:rsidP="002A3213" w:rsidRDefault="002F4366">
      <w:pPr>
        <w:pStyle w:val="ECHRPara"/>
      </w:pPr>
      <w:r w:rsidRPr="002A3213">
        <w:fldChar w:fldCharType="begin"/>
      </w:r>
      <w:r w:rsidRPr="002A3213">
        <w:instrText xml:space="preserve"> SEQ level0 \*arabic </w:instrText>
      </w:r>
      <w:r w:rsidRPr="002A3213">
        <w:fldChar w:fldCharType="separate"/>
      </w:r>
      <w:r w:rsidRPr="002A3213" w:rsidR="002A3213">
        <w:rPr>
          <w:noProof/>
        </w:rPr>
        <w:t>62</w:t>
      </w:r>
      <w:r w:rsidRPr="002A3213">
        <w:fldChar w:fldCharType="end"/>
      </w:r>
      <w:r w:rsidRPr="002A3213">
        <w:t>.  A public association may take one of the following organisational forms: a public movement, a public foundation, a political party, and so forth (section 7).</w:t>
      </w:r>
    </w:p>
    <w:p w:rsidRPr="002A3213" w:rsidR="005D59EB" w:rsidP="002A3213" w:rsidRDefault="001760B3">
      <w:pPr>
        <w:pStyle w:val="ECHRPara"/>
      </w:pPr>
      <w:r w:rsidRPr="002A3213">
        <w:fldChar w:fldCharType="begin"/>
      </w:r>
      <w:r w:rsidRPr="002A3213">
        <w:instrText xml:space="preserve"> SEQ level0 \*arabic </w:instrText>
      </w:r>
      <w:r w:rsidRPr="002A3213">
        <w:fldChar w:fldCharType="separate"/>
      </w:r>
      <w:r w:rsidRPr="002A3213" w:rsidR="002A3213">
        <w:rPr>
          <w:noProof/>
        </w:rPr>
        <w:t>63</w:t>
      </w:r>
      <w:r w:rsidRPr="002A3213">
        <w:fldChar w:fldCharType="end"/>
      </w:r>
      <w:r w:rsidRPr="002A3213">
        <w:t>.  </w:t>
      </w:r>
      <w:r w:rsidRPr="002A3213" w:rsidR="00931EC2">
        <w:t>The e</w:t>
      </w:r>
      <w:r w:rsidRPr="002A3213" w:rsidR="0068522E">
        <w:t>stablishment and functioning of public associations whose aims or activities are extremist is prohibited (section</w:t>
      </w:r>
      <w:r w:rsidRPr="002A3213" w:rsidR="00B06896">
        <w:t xml:space="preserve"> 16(</w:t>
      </w:r>
      <w:r w:rsidRPr="002A3213" w:rsidR="0068522E">
        <w:t>1)</w:t>
      </w:r>
      <w:r w:rsidRPr="002A3213" w:rsidR="00B06896">
        <w:t>)</w:t>
      </w:r>
      <w:r w:rsidRPr="002A3213" w:rsidR="0068522E">
        <w:t>.</w:t>
      </w:r>
    </w:p>
    <w:p w:rsidRPr="002A3213" w:rsidR="005D59EB" w:rsidP="002A3213" w:rsidRDefault="001760B3">
      <w:pPr>
        <w:pStyle w:val="ECHRPara"/>
      </w:pPr>
      <w:r w:rsidRPr="002A3213">
        <w:fldChar w:fldCharType="begin"/>
      </w:r>
      <w:r w:rsidRPr="002A3213">
        <w:instrText xml:space="preserve"> SEQ level0 \*arabic </w:instrText>
      </w:r>
      <w:r w:rsidRPr="002A3213">
        <w:fldChar w:fldCharType="separate"/>
      </w:r>
      <w:r w:rsidRPr="002A3213" w:rsidR="002A3213">
        <w:rPr>
          <w:noProof/>
        </w:rPr>
        <w:t>64</w:t>
      </w:r>
      <w:r w:rsidRPr="002A3213">
        <w:fldChar w:fldCharType="end"/>
      </w:r>
      <w:r w:rsidRPr="002A3213">
        <w:t>.  </w:t>
      </w:r>
      <w:r w:rsidRPr="002A3213" w:rsidR="0068522E">
        <w:t>A public association is established at a general conference</w:t>
      </w:r>
      <w:r w:rsidRPr="002A3213" w:rsidR="00931EC2">
        <w:t>,</w:t>
      </w:r>
      <w:r w:rsidRPr="002A3213" w:rsidR="0068522E">
        <w:t xml:space="preserve"> during which its articles of association are adopted and managing bodies are elected. From that moment on the public association acquires all rights and obligations under this Act, except the rights of a legal entity which are acquired at the moment of St</w:t>
      </w:r>
      <w:r w:rsidRPr="002A3213" w:rsidR="00B06896">
        <w:t>ate registration (section 18(</w:t>
      </w:r>
      <w:r w:rsidRPr="002A3213" w:rsidR="0068522E">
        <w:t>3</w:t>
      </w:r>
      <w:r w:rsidRPr="002A3213" w:rsidR="00B06896">
        <w:t>)</w:t>
      </w:r>
      <w:r w:rsidRPr="002A3213" w:rsidR="0068522E">
        <w:t xml:space="preserve"> and </w:t>
      </w:r>
      <w:r w:rsidRPr="002A3213" w:rsidR="00B06896">
        <w:t>(</w:t>
      </w:r>
      <w:r w:rsidRPr="002A3213" w:rsidR="0068522E">
        <w:t>4)</w:t>
      </w:r>
      <w:r w:rsidRPr="002A3213" w:rsidR="00B06896">
        <w:t>)</w:t>
      </w:r>
      <w:r w:rsidRPr="002A3213" w:rsidR="0068522E">
        <w:t>.</w:t>
      </w:r>
    </w:p>
    <w:p w:rsidRPr="002A3213" w:rsidR="005D59EB" w:rsidP="002A3213" w:rsidRDefault="001760B3">
      <w:pPr>
        <w:pStyle w:val="ECHRPara"/>
      </w:pPr>
      <w:r w:rsidRPr="002A3213">
        <w:fldChar w:fldCharType="begin"/>
      </w:r>
      <w:r w:rsidRPr="002A3213">
        <w:instrText xml:space="preserve"> SEQ level0 \*arabic </w:instrText>
      </w:r>
      <w:r w:rsidRPr="002A3213">
        <w:fldChar w:fldCharType="separate"/>
      </w:r>
      <w:r w:rsidRPr="002A3213" w:rsidR="002A3213">
        <w:rPr>
          <w:noProof/>
        </w:rPr>
        <w:t>65</w:t>
      </w:r>
      <w:r w:rsidRPr="002A3213">
        <w:fldChar w:fldCharType="end"/>
      </w:r>
      <w:r w:rsidRPr="002A3213">
        <w:t>.  </w:t>
      </w:r>
      <w:r w:rsidRPr="002A3213" w:rsidR="0068522E">
        <w:t xml:space="preserve">State registration of a public association may be refused, </w:t>
      </w:r>
      <w:r w:rsidRPr="002A3213" w:rsidR="0068522E">
        <w:rPr>
          <w:i/>
        </w:rPr>
        <w:t>inter alia</w:t>
      </w:r>
      <w:r w:rsidRPr="002A3213" w:rsidR="0068522E">
        <w:t xml:space="preserve">, in the following cases: (a) its articles of association do not comply with the requirements </w:t>
      </w:r>
      <w:r w:rsidRPr="002A3213" w:rsidR="00931EC2">
        <w:t xml:space="preserve">of </w:t>
      </w:r>
      <w:r w:rsidRPr="002A3213" w:rsidR="0068522E">
        <w:t>Russian law; (b) the documents required for registration are incomplete or defective; or (c) the association</w:t>
      </w:r>
      <w:r w:rsidRPr="002A3213" w:rsidR="002A3213">
        <w:t>’</w:t>
      </w:r>
      <w:r w:rsidRPr="002A3213" w:rsidR="0068522E">
        <w:t xml:space="preserve">s name is insulting to the moral, national or religious feelings of citizens. The refusal of registration may be appealed against to a higher authority or a court. Such </w:t>
      </w:r>
      <w:r w:rsidRPr="002A3213" w:rsidR="00931EC2">
        <w:t xml:space="preserve">a </w:t>
      </w:r>
      <w:r w:rsidRPr="002A3213" w:rsidR="0068522E">
        <w:t>refusal does not prevent a new application for registration, provided that the defects identified have been remedied (section 23).</w:t>
      </w:r>
    </w:p>
    <w:bookmarkStart w:name="section27" w:id="9"/>
    <w:bookmarkStart w:name="publicassociation" w:id="10"/>
    <w:p w:rsidRPr="002A3213" w:rsidR="005D59EB" w:rsidP="002A3213" w:rsidRDefault="008365FA">
      <w:pPr>
        <w:pStyle w:val="ECHRPara"/>
      </w:pPr>
      <w:r w:rsidRPr="002A3213">
        <w:fldChar w:fldCharType="begin"/>
      </w:r>
      <w:r w:rsidRPr="002A3213">
        <w:instrText xml:space="preserve"> SEQ level0 \*arabic </w:instrText>
      </w:r>
      <w:r w:rsidRPr="002A3213">
        <w:fldChar w:fldCharType="separate"/>
      </w:r>
      <w:r w:rsidRPr="002A3213" w:rsidR="002A3213">
        <w:rPr>
          <w:noProof/>
        </w:rPr>
        <w:t>66</w:t>
      </w:r>
      <w:r w:rsidRPr="002A3213">
        <w:fldChar w:fldCharType="end"/>
      </w:r>
      <w:bookmarkEnd w:id="9"/>
      <w:bookmarkEnd w:id="10"/>
      <w:r w:rsidRPr="002A3213">
        <w:t xml:space="preserve">.  All public associations may disseminate information about their activities; hold public events; defend their rights and the rights of their members </w:t>
      </w:r>
      <w:r w:rsidRPr="002A3213" w:rsidR="00CA34F0">
        <w:t xml:space="preserve">before the </w:t>
      </w:r>
      <w:r w:rsidRPr="002A3213" w:rsidR="00931EC2">
        <w:t>S</w:t>
      </w:r>
      <w:r w:rsidRPr="002A3213" w:rsidR="00CA34F0">
        <w:t xml:space="preserve">tate and municipal authorities; make proposals and </w:t>
      </w:r>
      <w:r w:rsidRPr="002A3213" w:rsidR="00931EC2">
        <w:t xml:space="preserve">put forward </w:t>
      </w:r>
      <w:r w:rsidRPr="002A3213" w:rsidR="00CA34F0">
        <w:t xml:space="preserve">initiatives to the </w:t>
      </w:r>
      <w:r w:rsidRPr="002A3213" w:rsidR="00931EC2">
        <w:t>S</w:t>
      </w:r>
      <w:r w:rsidRPr="002A3213" w:rsidR="00CA34F0">
        <w:t>tate and municipal authorities concerning issues relating to their stat</w:t>
      </w:r>
      <w:r w:rsidRPr="002A3213" w:rsidR="0083151B">
        <w:t>ed</w:t>
      </w:r>
      <w:r w:rsidRPr="002A3213" w:rsidR="00CA34F0">
        <w:t xml:space="preserve"> aims; and perform ot</w:t>
      </w:r>
      <w:r w:rsidRPr="002A3213" w:rsidR="00B067AD">
        <w:t xml:space="preserve">her activities allowed by law. </w:t>
      </w:r>
      <w:r w:rsidRPr="002A3213" w:rsidR="00CA34F0">
        <w:t xml:space="preserve">In addition to the above activities, public association </w:t>
      </w:r>
      <w:r w:rsidRPr="002A3213" w:rsidR="00C475CD">
        <w:t xml:space="preserve">with </w:t>
      </w:r>
      <w:r w:rsidRPr="002A3213" w:rsidR="00CA34F0">
        <w:t>legal</w:t>
      </w:r>
      <w:r w:rsidRPr="002A3213" w:rsidR="00C475CD">
        <w:t>-</w:t>
      </w:r>
      <w:r w:rsidRPr="002A3213" w:rsidR="00CA34F0">
        <w:t xml:space="preserve">entity status may participate in the decision-making process of the </w:t>
      </w:r>
      <w:r w:rsidRPr="002A3213" w:rsidR="00931EC2">
        <w:t>S</w:t>
      </w:r>
      <w:r w:rsidRPr="002A3213" w:rsidR="00CA34F0">
        <w:t>tate and municipal authorities; found mass</w:t>
      </w:r>
      <w:r w:rsidRPr="002A3213" w:rsidR="00931EC2">
        <w:t>-</w:t>
      </w:r>
      <w:r w:rsidRPr="002A3213" w:rsidR="00CA34F0">
        <w:t>media outlets and carry out publishing activities; defend any person</w:t>
      </w:r>
      <w:r w:rsidRPr="002A3213" w:rsidR="002A3213">
        <w:t>’</w:t>
      </w:r>
      <w:r w:rsidRPr="002A3213" w:rsidR="00CA34F0">
        <w:t xml:space="preserve">s interest before the </w:t>
      </w:r>
      <w:r w:rsidRPr="002A3213" w:rsidR="00931EC2">
        <w:t>S</w:t>
      </w:r>
      <w:r w:rsidRPr="002A3213" w:rsidR="00CA34F0">
        <w:t xml:space="preserve">tate and municipal authorities; make proposals and </w:t>
      </w:r>
      <w:r w:rsidRPr="002A3213" w:rsidR="00931EC2">
        <w:t xml:space="preserve">put forward </w:t>
      </w:r>
      <w:r w:rsidRPr="002A3213" w:rsidR="00CA34F0">
        <w:t xml:space="preserve">initiatives to the </w:t>
      </w:r>
      <w:r w:rsidRPr="002A3213" w:rsidR="00931EC2">
        <w:t>S</w:t>
      </w:r>
      <w:r w:rsidRPr="002A3213" w:rsidR="00CA34F0">
        <w:t>tate and municipal authorities concerning any issues; and participate in elections and referenda (section 27). Public association</w:t>
      </w:r>
      <w:r w:rsidRPr="002A3213" w:rsidR="00931EC2">
        <w:t>s</w:t>
      </w:r>
      <w:r w:rsidRPr="002A3213" w:rsidR="00CA34F0">
        <w:t xml:space="preserve"> </w:t>
      </w:r>
      <w:r w:rsidRPr="002A3213" w:rsidR="00C475CD">
        <w:t>with</w:t>
      </w:r>
      <w:r w:rsidRPr="002A3213" w:rsidR="00CA34F0">
        <w:t xml:space="preserve"> legal</w:t>
      </w:r>
      <w:r w:rsidRPr="002A3213" w:rsidR="00C475CD">
        <w:t>-</w:t>
      </w:r>
      <w:r w:rsidRPr="002A3213" w:rsidR="00CA34F0">
        <w:t>entity status may</w:t>
      </w:r>
      <w:r w:rsidRPr="002A3213" w:rsidR="002F4366">
        <w:t xml:space="preserve"> also own property (section 30).</w:t>
      </w:r>
    </w:p>
    <w:p w:rsidRPr="002A3213" w:rsidR="0068522E" w:rsidP="002A3213" w:rsidRDefault="002F4366">
      <w:pPr>
        <w:pStyle w:val="ECHRHeading2"/>
      </w:pPr>
      <w:r w:rsidRPr="002A3213">
        <w:t>D</w:t>
      </w:r>
      <w:r w:rsidRPr="002A3213" w:rsidR="0068522E">
        <w:t>.  Suppression of Extremism Act</w:t>
      </w:r>
    </w:p>
    <w:p w:rsidRPr="002A3213" w:rsidR="002F4366" w:rsidP="002A3213" w:rsidRDefault="002F4366">
      <w:pPr>
        <w:pStyle w:val="ECHRPara"/>
      </w:pPr>
      <w:r w:rsidRPr="002A3213">
        <w:fldChar w:fldCharType="begin"/>
      </w:r>
      <w:r w:rsidRPr="002A3213">
        <w:instrText xml:space="preserve"> SEQ level0 \*arabic </w:instrText>
      </w:r>
      <w:r w:rsidRPr="002A3213">
        <w:fldChar w:fldCharType="separate"/>
      </w:r>
      <w:r w:rsidRPr="002A3213" w:rsidR="002A3213">
        <w:rPr>
          <w:noProof/>
        </w:rPr>
        <w:t>67</w:t>
      </w:r>
      <w:r w:rsidRPr="002A3213">
        <w:fldChar w:fldCharType="end"/>
      </w:r>
      <w:r w:rsidRPr="002A3213">
        <w:t>.  </w:t>
      </w:r>
      <w:r w:rsidRPr="002A3213" w:rsidR="0068522E">
        <w:t xml:space="preserve">The Suppression of </w:t>
      </w:r>
      <w:bookmarkStart w:name="HIT4" w:id="11"/>
      <w:bookmarkEnd w:id="11"/>
      <w:r w:rsidRPr="002A3213" w:rsidR="0068522E">
        <w:rPr>
          <w:bCs/>
        </w:rPr>
        <w:t>Extremism</w:t>
      </w:r>
      <w:r w:rsidRPr="002A3213" w:rsidR="0068522E">
        <w:t xml:space="preserve"> Act (Federal Law no. 114-FZ of 25 July 2002) defines </w:t>
      </w:r>
      <w:r w:rsidRPr="002A3213" w:rsidR="006B4338">
        <w:t xml:space="preserve">“extremist activities” as, among others: (i) </w:t>
      </w:r>
      <w:r w:rsidRPr="002A3213">
        <w:t xml:space="preserve">forcible change </w:t>
      </w:r>
      <w:r w:rsidRPr="002A3213" w:rsidR="00A733C7">
        <w:t xml:space="preserve">to </w:t>
      </w:r>
      <w:r w:rsidRPr="002A3213">
        <w:t>the foundations of the constitutional system and violation of the integrity of the Russian Federation</w:t>
      </w:r>
      <w:r w:rsidRPr="002A3213" w:rsidR="006B4338">
        <w:t xml:space="preserve">; and (ii) </w:t>
      </w:r>
      <w:r w:rsidRPr="002A3213">
        <w:t>incitement of social, raci</w:t>
      </w:r>
      <w:r w:rsidRPr="002A3213" w:rsidR="006B4338">
        <w:t>al, ethnic or religious discord. It further defines an “extremist organisation” as a public or religious association or other organisation in respect of which</w:t>
      </w:r>
      <w:r w:rsidRPr="002A3213" w:rsidR="00414A07">
        <w:t>,</w:t>
      </w:r>
      <w:r w:rsidRPr="002A3213" w:rsidR="006B4338">
        <w:t xml:space="preserve"> and on grounds provided for in the Act, a court has made a ruling </w:t>
      </w:r>
      <w:r w:rsidRPr="002A3213" w:rsidR="00931EC2">
        <w:t xml:space="preserve">that has </w:t>
      </w:r>
      <w:r w:rsidRPr="002A3213" w:rsidR="006B4338">
        <w:t xml:space="preserve">entered into legal force </w:t>
      </w:r>
      <w:r w:rsidRPr="002A3213" w:rsidR="00931EC2">
        <w:t>for its dissolution or for the prohibition of its activities on account of</w:t>
      </w:r>
      <w:r w:rsidRPr="002A3213" w:rsidR="006B4338">
        <w:t xml:space="preserve"> the carrying out of extremist </w:t>
      </w:r>
      <w:r w:rsidRPr="002A3213" w:rsidR="00D454CF">
        <w:t>activity (section 1).</w:t>
      </w:r>
    </w:p>
    <w:p w:rsidRPr="002A3213" w:rsidR="0068522E" w:rsidP="002A3213" w:rsidRDefault="00B067AD">
      <w:pPr>
        <w:pStyle w:val="ECHRPara"/>
      </w:pPr>
      <w:r w:rsidRPr="002A3213">
        <w:fldChar w:fldCharType="begin"/>
      </w:r>
      <w:r w:rsidRPr="002A3213">
        <w:instrText xml:space="preserve"> SEQ level0 \*arabic </w:instrText>
      </w:r>
      <w:r w:rsidRPr="002A3213">
        <w:fldChar w:fldCharType="separate"/>
      </w:r>
      <w:r w:rsidRPr="002A3213" w:rsidR="002A3213">
        <w:rPr>
          <w:noProof/>
        </w:rPr>
        <w:t>68</w:t>
      </w:r>
      <w:r w:rsidRPr="002A3213">
        <w:fldChar w:fldCharType="end"/>
      </w:r>
      <w:r w:rsidRPr="002A3213" w:rsidR="00FF32B7">
        <w:t>.  The creation and functioning of public or religious associations or other organisations whose objectives or activities are aimed at carrying out extremist activity is prohibited</w:t>
      </w:r>
      <w:r w:rsidRPr="002A3213" w:rsidR="0068522E">
        <w:t>. If the authorities disclose indications of extremism in the activities of a public association, they must issue a warning to the association</w:t>
      </w:r>
      <w:r w:rsidRPr="002A3213" w:rsidR="002A3213">
        <w:t>’</w:t>
      </w:r>
      <w:r w:rsidRPr="002A3213" w:rsidR="0068522E">
        <w:t xml:space="preserve">s president. The authorities may set a time-limit for correction of the established defects. A warning may be appealed against to a court. If the warning </w:t>
      </w:r>
      <w:r w:rsidRPr="002A3213" w:rsidR="00931EC2">
        <w:t xml:space="preserve">is </w:t>
      </w:r>
      <w:r w:rsidRPr="002A3213" w:rsidR="0068522E">
        <w:t xml:space="preserve">not appealed against, if it </w:t>
      </w:r>
      <w:r w:rsidRPr="002A3213" w:rsidR="00931EC2">
        <w:t xml:space="preserve">is </w:t>
      </w:r>
      <w:r w:rsidRPr="002A3213" w:rsidR="0068522E">
        <w:t xml:space="preserve">upheld by the court, if the defects </w:t>
      </w:r>
      <w:r w:rsidRPr="002A3213" w:rsidR="00931EC2">
        <w:t xml:space="preserve">are </w:t>
      </w:r>
      <w:r w:rsidRPr="002A3213" w:rsidR="0068522E">
        <w:t xml:space="preserve">not corrected within the established time-limit, or if within twelve months of the first </w:t>
      </w:r>
      <w:r w:rsidRPr="002A3213" w:rsidR="00184E1E">
        <w:t>warning indications of extremism</w:t>
      </w:r>
      <w:r w:rsidRPr="002A3213" w:rsidR="0068522E">
        <w:t xml:space="preserve"> are</w:t>
      </w:r>
      <w:r w:rsidRPr="002A3213" w:rsidR="00931EC2">
        <w:t xml:space="preserve"> found</w:t>
      </w:r>
      <w:r w:rsidRPr="002A3213" w:rsidR="0068522E">
        <w:t xml:space="preserve"> for a second time in the association</w:t>
      </w:r>
      <w:r w:rsidRPr="002A3213" w:rsidR="002A3213">
        <w:t>’</w:t>
      </w:r>
      <w:r w:rsidRPr="002A3213" w:rsidR="0068522E">
        <w:t xml:space="preserve">s activities, a court may issue a dissolution order or, if the association </w:t>
      </w:r>
      <w:r w:rsidRPr="002A3213" w:rsidR="00931EC2">
        <w:t>does not have</w:t>
      </w:r>
      <w:r w:rsidRPr="002A3213" w:rsidR="0068522E">
        <w:t xml:space="preserve"> legal</w:t>
      </w:r>
      <w:r w:rsidRPr="002A3213" w:rsidR="00C475CD">
        <w:t>-</w:t>
      </w:r>
      <w:r w:rsidRPr="002A3213" w:rsidR="0068522E">
        <w:t xml:space="preserve">entity status, ban its activities. A public association may also be dissolved or banned by a judicial decision if it carries out extremist activities which have resulted in a breach of </w:t>
      </w:r>
      <w:r w:rsidRPr="002A3213" w:rsidR="00931EC2">
        <w:t xml:space="preserve">the </w:t>
      </w:r>
      <w:r w:rsidRPr="002A3213" w:rsidR="0068522E">
        <w:t>rights and freedoms of citizens</w:t>
      </w:r>
      <w:r w:rsidRPr="002A3213" w:rsidR="00931EC2">
        <w:t xml:space="preserve"> or</w:t>
      </w:r>
      <w:r w:rsidRPr="002A3213" w:rsidR="0068522E">
        <w:t xml:space="preserve"> damage</w:t>
      </w:r>
      <w:r w:rsidRPr="002A3213" w:rsidR="00931EC2">
        <w:t xml:space="preserve"> to the</w:t>
      </w:r>
      <w:r w:rsidRPr="002A3213" w:rsidR="0068522E">
        <w:t xml:space="preserve"> physical integrity or health of citizens, </w:t>
      </w:r>
      <w:r w:rsidRPr="002A3213" w:rsidR="00931EC2">
        <w:t xml:space="preserve">the </w:t>
      </w:r>
      <w:r w:rsidRPr="002A3213" w:rsidR="0068522E">
        <w:t xml:space="preserve">environment, public order, public safety, property, </w:t>
      </w:r>
      <w:r w:rsidRPr="002A3213" w:rsidR="00931EC2">
        <w:t xml:space="preserve">the </w:t>
      </w:r>
      <w:r w:rsidRPr="002A3213" w:rsidR="0068522E">
        <w:t>legitimate economic interests of natural or legal persons, the i</w:t>
      </w:r>
      <w:r w:rsidRPr="002A3213" w:rsidR="00E44F0D">
        <w:t>nterests of society or the S</w:t>
      </w:r>
      <w:r w:rsidRPr="002A3213" w:rsidR="0068522E">
        <w:t>tate</w:t>
      </w:r>
      <w:r w:rsidRPr="002A3213" w:rsidR="00931EC2">
        <w:t>,</w:t>
      </w:r>
      <w:r w:rsidRPr="002A3213" w:rsidR="0068522E">
        <w:t xml:space="preserve"> or </w:t>
      </w:r>
      <w:r w:rsidRPr="002A3213" w:rsidR="00931EC2">
        <w:t xml:space="preserve">which </w:t>
      </w:r>
      <w:r w:rsidRPr="002A3213" w:rsidR="0068522E">
        <w:t>have created a real risk of s</w:t>
      </w:r>
      <w:r w:rsidRPr="002A3213" w:rsidR="00D454CF">
        <w:t>uch damage (sections 7 and 9).</w:t>
      </w:r>
    </w:p>
    <w:p w:rsidRPr="002A3213" w:rsidR="00E74C10" w:rsidP="002A3213" w:rsidRDefault="008071C9">
      <w:pPr>
        <w:pStyle w:val="ECHRHeading2"/>
      </w:pPr>
      <w:r w:rsidRPr="002A3213">
        <w:t>E</w:t>
      </w:r>
      <w:r w:rsidRPr="002A3213" w:rsidR="00E74C10">
        <w:t>.  Family Code</w:t>
      </w:r>
    </w:p>
    <w:bookmarkStart w:name="familyode" w:id="12"/>
    <w:p w:rsidRPr="002A3213" w:rsidR="00E74C10" w:rsidP="002A3213" w:rsidRDefault="008071C9">
      <w:pPr>
        <w:pStyle w:val="ECHRPara"/>
      </w:pPr>
      <w:r w:rsidRPr="002A3213">
        <w:fldChar w:fldCharType="begin"/>
      </w:r>
      <w:r w:rsidRPr="002A3213">
        <w:instrText xml:space="preserve"> SEQ level0 \*arabic </w:instrText>
      </w:r>
      <w:r w:rsidRPr="002A3213">
        <w:fldChar w:fldCharType="separate"/>
      </w:r>
      <w:r w:rsidRPr="002A3213" w:rsidR="002A3213">
        <w:rPr>
          <w:noProof/>
        </w:rPr>
        <w:t>69</w:t>
      </w:r>
      <w:r w:rsidRPr="002A3213">
        <w:fldChar w:fldCharType="end"/>
      </w:r>
      <w:bookmarkEnd w:id="12"/>
      <w:r w:rsidRPr="002A3213">
        <w:t>.  </w:t>
      </w:r>
      <w:r w:rsidRPr="002A3213" w:rsidR="00E74C10">
        <w:t>The Family Code provides that in order to conclude a marriage it is necessary for a man and a woman of marriageable age to express their</w:t>
      </w:r>
      <w:r w:rsidRPr="002A3213">
        <w:t xml:space="preserve"> free consent to the marriage (</w:t>
      </w:r>
      <w:r w:rsidRPr="002A3213" w:rsidR="00B06896">
        <w:t>A</w:t>
      </w:r>
      <w:r w:rsidRPr="002A3213" w:rsidR="00E74C10">
        <w:t>rticle 12).</w:t>
      </w:r>
    </w:p>
    <w:p w:rsidRPr="002A3213" w:rsidR="00E74C10" w:rsidP="002A3213" w:rsidRDefault="008071C9">
      <w:pPr>
        <w:pStyle w:val="ECHRHeading2"/>
      </w:pPr>
      <w:r w:rsidRPr="002A3213">
        <w:t>F.  </w:t>
      </w:r>
      <w:r w:rsidRPr="002A3213" w:rsidR="00E74C10">
        <w:t>State Language Act</w:t>
      </w:r>
    </w:p>
    <w:bookmarkStart w:name="lannguageact" w:id="13"/>
    <w:p w:rsidRPr="002A3213" w:rsidR="00E74C10" w:rsidP="002A3213" w:rsidRDefault="008071C9">
      <w:pPr>
        <w:pStyle w:val="ECHRPara"/>
      </w:pPr>
      <w:r w:rsidRPr="002A3213">
        <w:fldChar w:fldCharType="begin"/>
      </w:r>
      <w:r w:rsidRPr="002A3213">
        <w:instrText xml:space="preserve"> SEQ level0 \*arabic </w:instrText>
      </w:r>
      <w:r w:rsidRPr="002A3213">
        <w:fldChar w:fldCharType="separate"/>
      </w:r>
      <w:r w:rsidRPr="002A3213" w:rsidR="002A3213">
        <w:rPr>
          <w:noProof/>
        </w:rPr>
        <w:t>70</w:t>
      </w:r>
      <w:r w:rsidRPr="002A3213">
        <w:fldChar w:fldCharType="end"/>
      </w:r>
      <w:bookmarkEnd w:id="13"/>
      <w:r w:rsidRPr="002A3213">
        <w:t>.  </w:t>
      </w:r>
      <w:r w:rsidRPr="002A3213" w:rsidR="00E74C10">
        <w:t>The State Language Act (Federal Law no. 53-FZ of 01 June 2005) provides that when the Russian language is used as the State language it is not permissible to use words or expressions which are incompatible with the modern academic norms of the language, except when it is necessary to use foreign words that have no adequate equ</w:t>
      </w:r>
      <w:r w:rsidRPr="002A3213" w:rsidR="00B06896">
        <w:t>ivalent in Russian (section 1(</w:t>
      </w:r>
      <w:r w:rsidRPr="002A3213" w:rsidR="00E74C10">
        <w:t>6)</w:t>
      </w:r>
      <w:r w:rsidRPr="002A3213" w:rsidR="00B06896">
        <w:t>)</w:t>
      </w:r>
      <w:r w:rsidRPr="002A3213" w:rsidR="00E74C10">
        <w:t>.</w:t>
      </w:r>
    </w:p>
    <w:p w:rsidRPr="002A3213" w:rsidR="00E74C10" w:rsidP="002A3213" w:rsidRDefault="008071C9">
      <w:pPr>
        <w:pStyle w:val="ECHRHeading2"/>
      </w:pPr>
      <w:r w:rsidRPr="002A3213">
        <w:t>G</w:t>
      </w:r>
      <w:r w:rsidRPr="002A3213" w:rsidR="00E74C10">
        <w:t>.  Code of Civil Procedure</w:t>
      </w:r>
    </w:p>
    <w:bookmarkStart w:name="calculate" w:id="14"/>
    <w:p w:rsidRPr="002A3213" w:rsidR="00C02C43" w:rsidP="002A3213" w:rsidRDefault="008071C9">
      <w:pPr>
        <w:pStyle w:val="ECHRPara"/>
      </w:pPr>
      <w:r w:rsidRPr="002A3213">
        <w:fldChar w:fldCharType="begin"/>
      </w:r>
      <w:r w:rsidRPr="002A3213">
        <w:instrText xml:space="preserve"> SEQ level0 \*arabic </w:instrText>
      </w:r>
      <w:r w:rsidRPr="002A3213">
        <w:fldChar w:fldCharType="separate"/>
      </w:r>
      <w:r w:rsidRPr="002A3213" w:rsidR="002A3213">
        <w:rPr>
          <w:noProof/>
        </w:rPr>
        <w:t>71</w:t>
      </w:r>
      <w:r w:rsidRPr="002A3213">
        <w:fldChar w:fldCharType="end"/>
      </w:r>
      <w:bookmarkEnd w:id="14"/>
      <w:r w:rsidRPr="002A3213">
        <w:t>.  </w:t>
      </w:r>
      <w:r w:rsidRPr="002A3213" w:rsidR="00C02C43">
        <w:t xml:space="preserve">The 2002 Code of Civil Procedure provides that </w:t>
      </w:r>
      <w:r w:rsidRPr="002A3213" w:rsidR="00902280">
        <w:t>a</w:t>
      </w:r>
      <w:r w:rsidRPr="002A3213" w:rsidR="00C02C43">
        <w:t xml:space="preserve"> procedural action for which a time-limit has been set may be performed before midnight </w:t>
      </w:r>
      <w:r w:rsidRPr="002A3213" w:rsidR="008B5947">
        <w:t xml:space="preserve">on </w:t>
      </w:r>
      <w:r w:rsidRPr="002A3213" w:rsidR="00C02C43">
        <w:t xml:space="preserve">the last day of the </w:t>
      </w:r>
      <w:r w:rsidRPr="002A3213" w:rsidR="008B5947">
        <w:t>specified period</w:t>
      </w:r>
      <w:r w:rsidRPr="002A3213" w:rsidR="00C02C43">
        <w:t>. The time-limit is complied with if the complaint, document or money</w:t>
      </w:r>
      <w:r w:rsidRPr="002A3213" w:rsidR="008B5947">
        <w:t xml:space="preserve"> concerned</w:t>
      </w:r>
      <w:r w:rsidRPr="002A3213" w:rsidR="00C02C43">
        <w:t xml:space="preserve"> has been dispatched by post before midnight </w:t>
      </w:r>
      <w:r w:rsidRPr="002A3213" w:rsidR="008B5947">
        <w:t xml:space="preserve">on </w:t>
      </w:r>
      <w:r w:rsidRPr="002A3213" w:rsidR="00C02C43">
        <w:t xml:space="preserve">the last day of the </w:t>
      </w:r>
      <w:r w:rsidRPr="002A3213" w:rsidR="008B5947">
        <w:t>period in question</w:t>
      </w:r>
      <w:r w:rsidRPr="002A3213" w:rsidR="00C02C43">
        <w:t xml:space="preserve"> </w:t>
      </w:r>
      <w:r w:rsidRPr="002A3213" w:rsidR="00E50877">
        <w:t>(A</w:t>
      </w:r>
      <w:r w:rsidRPr="002A3213" w:rsidR="00C02C43">
        <w:t>rticle 108 § 3)</w:t>
      </w:r>
      <w:r w:rsidRPr="002A3213" w:rsidR="00902280">
        <w:t>.</w:t>
      </w:r>
    </w:p>
    <w:bookmarkStart w:name="timelimit" w:id="15"/>
    <w:p w:rsidRPr="002A3213" w:rsidR="005D59EB" w:rsidP="002A3213" w:rsidRDefault="00F04F56">
      <w:pPr>
        <w:pStyle w:val="ECHRPara"/>
      </w:pPr>
      <w:r w:rsidRPr="002A3213">
        <w:fldChar w:fldCharType="begin"/>
      </w:r>
      <w:r w:rsidRPr="002A3213">
        <w:instrText xml:space="preserve"> SEQ level0 \*arabic </w:instrText>
      </w:r>
      <w:r w:rsidRPr="002A3213">
        <w:fldChar w:fldCharType="separate"/>
      </w:r>
      <w:r w:rsidRPr="002A3213" w:rsidR="002A3213">
        <w:rPr>
          <w:noProof/>
        </w:rPr>
        <w:t>72</w:t>
      </w:r>
      <w:r w:rsidRPr="002A3213">
        <w:fldChar w:fldCharType="end"/>
      </w:r>
      <w:bookmarkEnd w:id="15"/>
      <w:r w:rsidRPr="002A3213" w:rsidR="00902280">
        <w:t>.  An appeal may be lodged within a m</w:t>
      </w:r>
      <w:r w:rsidRPr="002A3213" w:rsidR="00D454CF">
        <w:t>onth of the date when the first</w:t>
      </w:r>
      <w:r w:rsidRPr="002A3213" w:rsidR="00D454CF">
        <w:noBreakHyphen/>
      </w:r>
      <w:r w:rsidRPr="002A3213" w:rsidR="00902280">
        <w:t>instance judgment has been delivered in its finalised form (</w:t>
      </w:r>
      <w:r w:rsidRPr="002A3213" w:rsidR="00E50877">
        <w:t>A</w:t>
      </w:r>
      <w:r w:rsidRPr="002A3213" w:rsidR="00902280">
        <w:t>rticle 321 § 2).</w:t>
      </w:r>
    </w:p>
    <w:bookmarkStart w:name="sc" w:id="16"/>
    <w:p w:rsidRPr="002A3213" w:rsidR="00922E7B" w:rsidP="002A3213" w:rsidRDefault="00C02C43">
      <w:pPr>
        <w:pStyle w:val="ECHRPara"/>
      </w:pPr>
      <w:r w:rsidRPr="002A3213">
        <w:fldChar w:fldCharType="begin"/>
      </w:r>
      <w:r w:rsidRPr="002A3213">
        <w:instrText xml:space="preserve"> SEQ level0 \*arabic </w:instrText>
      </w:r>
      <w:r w:rsidRPr="002A3213">
        <w:fldChar w:fldCharType="separate"/>
      </w:r>
      <w:r w:rsidRPr="002A3213" w:rsidR="002A3213">
        <w:rPr>
          <w:noProof/>
        </w:rPr>
        <w:t>73</w:t>
      </w:r>
      <w:r w:rsidRPr="002A3213">
        <w:fldChar w:fldCharType="end"/>
      </w:r>
      <w:bookmarkEnd w:id="16"/>
      <w:r w:rsidRPr="002A3213">
        <w:t>.  </w:t>
      </w:r>
      <w:r w:rsidRPr="002A3213" w:rsidR="00E74C10">
        <w:t xml:space="preserve">Ruling no. 13 of the Presidium of the Supreme Court of 19 June 2012 explains that the one-month time-limit </w:t>
      </w:r>
      <w:r w:rsidRPr="002A3213">
        <w:t xml:space="preserve">for appeal </w:t>
      </w:r>
      <w:r w:rsidRPr="002A3213" w:rsidR="00E74C10">
        <w:t xml:space="preserve">starts to run from the day after a reasoned first-instance judgment has been delivered. If a reasoned judgment is not ready </w:t>
      </w:r>
      <w:r w:rsidRPr="002A3213" w:rsidR="008B5947">
        <w:t xml:space="preserve">on </w:t>
      </w:r>
      <w:r w:rsidRPr="002A3213" w:rsidR="00E74C10">
        <w:t>the date of pronouncement, the judge pronounces the operative part of the judgment and informs the parties of the date when the reasoned judgment will be m</w:t>
      </w:r>
      <w:r w:rsidRPr="002A3213" w:rsidR="00D454CF">
        <w:t>ade available to them. The time</w:t>
      </w:r>
      <w:r w:rsidRPr="002A3213" w:rsidR="00D454CF">
        <w:noBreakHyphen/>
      </w:r>
      <w:r w:rsidRPr="002A3213" w:rsidR="00E74C10">
        <w:t xml:space="preserve">limit is complied with if the appellant has dispatched the appeal submissions by post before midnight on </w:t>
      </w:r>
      <w:r w:rsidRPr="002A3213">
        <w:t xml:space="preserve">the last day of the </w:t>
      </w:r>
      <w:r w:rsidRPr="002A3213" w:rsidR="008B5947">
        <w:t>period in question</w:t>
      </w:r>
      <w:r w:rsidRPr="002A3213" w:rsidR="00E74C10">
        <w:t xml:space="preserve">. In that case the date is established by a postmark, a </w:t>
      </w:r>
      <w:r w:rsidRPr="002A3213">
        <w:t>post</w:t>
      </w:r>
      <w:r w:rsidRPr="002A3213" w:rsidR="008B5947">
        <w:t>al receipt</w:t>
      </w:r>
      <w:r w:rsidRPr="002A3213" w:rsidR="00E74C10">
        <w:t xml:space="preserve"> or any other document confirming the dispatch date (paragraph</w:t>
      </w:r>
      <w:r w:rsidRPr="002A3213" w:rsidR="00902280">
        <w:t xml:space="preserve"> 6</w:t>
      </w:r>
      <w:r w:rsidRPr="002A3213" w:rsidR="00E74C10">
        <w:t>).</w:t>
      </w:r>
    </w:p>
    <w:p w:rsidRPr="002A3213" w:rsidR="00C83D23" w:rsidP="002A3213" w:rsidRDefault="002B40E6">
      <w:pPr>
        <w:pStyle w:val="ECHRHeading1"/>
      </w:pPr>
      <w:r w:rsidRPr="002A3213">
        <w:t>III.  </w:t>
      </w:r>
      <w:r w:rsidRPr="002A3213" w:rsidR="00EF7412">
        <w:t>RELEVANT COUNCIL OF EUROPE DOCUMENTS</w:t>
      </w:r>
    </w:p>
    <w:p w:rsidRPr="002A3213" w:rsidR="00007BFD" w:rsidP="002A3213" w:rsidRDefault="00B067AD">
      <w:pPr>
        <w:pStyle w:val="ECHRPara"/>
      </w:pPr>
      <w:r w:rsidRPr="002A3213">
        <w:fldChar w:fldCharType="begin"/>
      </w:r>
      <w:r w:rsidRPr="002A3213">
        <w:instrText xml:space="preserve"> SEQ level0 \*arabic </w:instrText>
      </w:r>
      <w:r w:rsidRPr="002A3213">
        <w:fldChar w:fldCharType="separate"/>
      </w:r>
      <w:r w:rsidRPr="002A3213" w:rsidR="002A3213">
        <w:rPr>
          <w:noProof/>
        </w:rPr>
        <w:t>74</w:t>
      </w:r>
      <w:r w:rsidRPr="002A3213">
        <w:fldChar w:fldCharType="end"/>
      </w:r>
      <w:r w:rsidRPr="002A3213" w:rsidR="00007BFD">
        <w:t xml:space="preserve">.  Recommendation CM/Rec(2010)5 of the Committee of Ministers to member </w:t>
      </w:r>
      <w:r w:rsidRPr="002A3213" w:rsidR="008B5947">
        <w:t>S</w:t>
      </w:r>
      <w:r w:rsidRPr="002A3213" w:rsidR="00007BFD">
        <w:t>tates on measures to combat discrimination on grounds of sexual o</w:t>
      </w:r>
      <w:r w:rsidRPr="002A3213" w:rsidR="00261213">
        <w:t>rientation or gender identity (</w:t>
      </w:r>
      <w:r w:rsidRPr="002A3213" w:rsidR="00007BFD">
        <w:t>adopted by t</w:t>
      </w:r>
      <w:r w:rsidRPr="002A3213" w:rsidR="00261213">
        <w:t>he Committee of Ministers on 31 </w:t>
      </w:r>
      <w:r w:rsidRPr="002A3213" w:rsidR="00007BFD">
        <w:t>March 2010 at the 1081st meeting of the Ministers</w:t>
      </w:r>
      <w:r w:rsidRPr="002A3213" w:rsidR="002A3213">
        <w:t>’</w:t>
      </w:r>
      <w:r w:rsidRPr="002A3213" w:rsidR="00007BFD">
        <w:t xml:space="preserve"> Deputies) states:</w:t>
      </w:r>
    </w:p>
    <w:p w:rsidRPr="002A3213" w:rsidR="007E3EBC" w:rsidP="002A3213" w:rsidRDefault="00007BFD">
      <w:pPr>
        <w:pStyle w:val="ECHRParaQuote"/>
      </w:pPr>
      <w:r w:rsidRPr="002A3213">
        <w:t>“</w:t>
      </w:r>
      <w:r w:rsidRPr="002A3213" w:rsidR="00D454CF">
        <w:t>II.  </w:t>
      </w:r>
      <w:r w:rsidRPr="002A3213" w:rsidR="007E3EBC">
        <w:t>Freedom of association</w:t>
      </w:r>
    </w:p>
    <w:p w:rsidRPr="002A3213" w:rsidR="007E3EBC" w:rsidP="002A3213" w:rsidRDefault="00D454CF">
      <w:pPr>
        <w:pStyle w:val="ECHRParaQuote"/>
      </w:pPr>
      <w:r w:rsidRPr="002A3213">
        <w:t>9.  </w:t>
      </w:r>
      <w:r w:rsidRPr="002A3213" w:rsidR="007E3EBC">
        <w:t>Member states should take appropriate measures to ensure, in accordance with Article 11 of the Convention, that the right to freedom of association can be effectively enjoyed without discrimination on grounds of sexual orientation or gender identity; in particular, discriminatory administrative procedures, including excessive formalities for the registration and practical functioning of associations, should be prevented and removed; measures should also be taken to prevent the abuse of legal and administrative provisions, such as those related to restrictions based on public health, pu</w:t>
      </w:r>
      <w:r w:rsidRPr="002A3213">
        <w:t>blic morality and public order ...</w:t>
      </w:r>
    </w:p>
    <w:p w:rsidRPr="002A3213" w:rsidR="007E3EBC" w:rsidP="002A3213" w:rsidRDefault="00D454CF">
      <w:pPr>
        <w:pStyle w:val="ECHRParaQuote"/>
      </w:pPr>
      <w:r w:rsidRPr="002A3213">
        <w:t>11.  </w:t>
      </w:r>
      <w:r w:rsidRPr="002A3213" w:rsidR="007E3EBC">
        <w:t>Member states should take appropriate measures to effectively protect defenders of human rights of lesbian, gay, bisexual and transgender persons against hostility and aggression to which they may be exposed, including when allegedly committed by state agents, in order to enable them to freely carry out their activities in accordance with the Declaration of the Committee of Ministers on Council of Europe action to improve the protection of human rights defenders and promote their activities.</w:t>
      </w:r>
    </w:p>
    <w:p w:rsidRPr="002A3213" w:rsidR="007E3EBC" w:rsidP="002A3213" w:rsidRDefault="00D454CF">
      <w:pPr>
        <w:pStyle w:val="ECHRParaQuote"/>
      </w:pPr>
      <w:r w:rsidRPr="002A3213">
        <w:t>12.  </w:t>
      </w:r>
      <w:r w:rsidRPr="002A3213" w:rsidR="007E3EBC">
        <w:t>Member states should ensure that non-governmental organisations defending the human rights of lesbian, gay, bisexual and transgender persons are appropriately consulted on the adoption and implementation of measures that may have an impact on the human rights of these persons.</w:t>
      </w:r>
      <w:r w:rsidRPr="002A3213" w:rsidR="00007BFD">
        <w:t>”</w:t>
      </w:r>
    </w:p>
    <w:p w:rsidRPr="002A3213" w:rsidR="00D420F3" w:rsidP="002A3213" w:rsidRDefault="0077175D">
      <w:pPr>
        <w:pStyle w:val="ECHRTitle1"/>
      </w:pPr>
      <w:r w:rsidRPr="002A3213">
        <w:t>THE LAW</w:t>
      </w:r>
    </w:p>
    <w:p w:rsidRPr="002A3213" w:rsidR="00D70CDB" w:rsidP="002A3213" w:rsidRDefault="00D454CF">
      <w:pPr>
        <w:pStyle w:val="ECHRHeading1"/>
      </w:pPr>
      <w:r w:rsidRPr="002A3213">
        <w:t>I.  </w:t>
      </w:r>
      <w:r w:rsidRPr="002A3213" w:rsidR="00D70CDB">
        <w:t>JOINDER OF THE APPLICATIONS</w:t>
      </w:r>
    </w:p>
    <w:p w:rsidRPr="002A3213" w:rsidR="00D70CDB" w:rsidP="002A3213" w:rsidRDefault="00B067AD">
      <w:pPr>
        <w:pStyle w:val="ECHRPara"/>
      </w:pPr>
      <w:r w:rsidRPr="002A3213">
        <w:fldChar w:fldCharType="begin"/>
      </w:r>
      <w:r w:rsidRPr="002A3213">
        <w:instrText xml:space="preserve"> SEQ level0 \*arabic </w:instrText>
      </w:r>
      <w:r w:rsidRPr="002A3213">
        <w:fldChar w:fldCharType="separate"/>
      </w:r>
      <w:r w:rsidRPr="002A3213" w:rsidR="002A3213">
        <w:rPr>
          <w:noProof/>
        </w:rPr>
        <w:t>75</w:t>
      </w:r>
      <w:r w:rsidRPr="002A3213">
        <w:fldChar w:fldCharType="end"/>
      </w:r>
      <w:r w:rsidRPr="002A3213" w:rsidR="00D70CDB">
        <w:t>.  In accordance with Rule 42 § 1 of the Rules of Court, the Court decides to join the applications.</w:t>
      </w:r>
    </w:p>
    <w:p w:rsidRPr="002A3213" w:rsidR="00366CCC" w:rsidP="002A3213" w:rsidRDefault="00366CCC">
      <w:pPr>
        <w:pStyle w:val="ECHRHeading1"/>
      </w:pPr>
      <w:r w:rsidRPr="002A3213">
        <w:t>II.</w:t>
      </w:r>
      <w:r w:rsidRPr="002A3213" w:rsidR="00C91EB0">
        <w:t>  </w:t>
      </w:r>
      <w:r w:rsidRPr="002A3213">
        <w:t>ALLEGED ABUSE OF THE RIGHT OF</w:t>
      </w:r>
      <w:r w:rsidRPr="002A3213" w:rsidR="00C90349">
        <w:t xml:space="preserve"> INDIVIDUAL</w:t>
      </w:r>
      <w:r w:rsidRPr="002A3213">
        <w:t xml:space="preserve"> APPLICATION</w:t>
      </w:r>
      <w:r w:rsidRPr="002A3213" w:rsidR="007D5C83">
        <w:t xml:space="preserve"> BY MR ALEKSEYEV</w:t>
      </w:r>
    </w:p>
    <w:bookmarkStart w:name="wording" w:id="17"/>
    <w:p w:rsidRPr="002A3213" w:rsidR="00366CCC" w:rsidP="002A3213" w:rsidRDefault="00366CCC">
      <w:pPr>
        <w:pStyle w:val="ECHRPara"/>
      </w:pPr>
      <w:r w:rsidRPr="002A3213">
        <w:fldChar w:fldCharType="begin"/>
      </w:r>
      <w:r w:rsidRPr="002A3213">
        <w:instrText xml:space="preserve"> SEQ level0 \*arabic </w:instrText>
      </w:r>
      <w:r w:rsidRPr="002A3213">
        <w:fldChar w:fldCharType="separate"/>
      </w:r>
      <w:r w:rsidRPr="002A3213" w:rsidR="002A3213">
        <w:rPr>
          <w:noProof/>
        </w:rPr>
        <w:t>76</w:t>
      </w:r>
      <w:r w:rsidRPr="002A3213">
        <w:fldChar w:fldCharType="end"/>
      </w:r>
      <w:bookmarkEnd w:id="17"/>
      <w:r w:rsidRPr="002A3213">
        <w:t>.  </w:t>
      </w:r>
      <w:r w:rsidRPr="002A3213" w:rsidR="00DB47EE">
        <w:t xml:space="preserve">The Government submitted that Mr Alekseyev </w:t>
      </w:r>
      <w:r w:rsidRPr="002A3213" w:rsidR="00D55EB0">
        <w:t xml:space="preserve">had </w:t>
      </w:r>
      <w:r w:rsidRPr="002A3213" w:rsidR="00DB47EE">
        <w:t xml:space="preserve">abused the right of individual application by insulting the judges of the Court on his social networking accounts. </w:t>
      </w:r>
      <w:r w:rsidRPr="002A3213" w:rsidR="00695A61">
        <w:t>The relevant Convention provision reads as follows:</w:t>
      </w:r>
    </w:p>
    <w:p w:rsidRPr="002A3213" w:rsidR="00DD1A11" w:rsidP="002A3213" w:rsidRDefault="00F1339B">
      <w:pPr>
        <w:pStyle w:val="ECHRTitleCentre3"/>
      </w:pPr>
      <w:r w:rsidRPr="002A3213">
        <w:t>Article 35</w:t>
      </w:r>
    </w:p>
    <w:p w:rsidRPr="002A3213" w:rsidR="00F1339B" w:rsidP="002A3213" w:rsidRDefault="00F1339B">
      <w:pPr>
        <w:pStyle w:val="ECHRParaQuote"/>
        <w:rPr>
          <w:lang w:val="en-US"/>
        </w:rPr>
      </w:pPr>
      <w:r w:rsidRPr="002A3213">
        <w:rPr>
          <w:lang w:val="en-US"/>
        </w:rPr>
        <w:t>“3.</w:t>
      </w:r>
      <w:r w:rsidRPr="002A3213" w:rsidR="008B18BB">
        <w:rPr>
          <w:lang w:val="en-US"/>
        </w:rPr>
        <w:t>  </w:t>
      </w:r>
      <w:r w:rsidRPr="002A3213">
        <w:rPr>
          <w:lang w:val="en-US"/>
        </w:rPr>
        <w:t>The Court shall declare inadmissible any individual application submitted under Article 34 if it considers that:</w:t>
      </w:r>
    </w:p>
    <w:p w:rsidRPr="002A3213" w:rsidR="004F4FD8" w:rsidP="002A3213" w:rsidRDefault="00F1339B">
      <w:pPr>
        <w:pStyle w:val="ECHRParaQuote"/>
        <w:rPr>
          <w:lang w:val="en-US"/>
        </w:rPr>
      </w:pPr>
      <w:r w:rsidRPr="002A3213">
        <w:rPr>
          <w:lang w:val="en-US"/>
        </w:rPr>
        <w:t>(a)</w:t>
      </w:r>
      <w:r w:rsidRPr="002A3213" w:rsidR="004A278C">
        <w:rPr>
          <w:lang w:val="en-US"/>
        </w:rPr>
        <w:t>  </w:t>
      </w:r>
      <w:r w:rsidRPr="002A3213">
        <w:rPr>
          <w:lang w:val="en-US"/>
        </w:rPr>
        <w:t>the application is ... an abuse of the right of individual application;</w:t>
      </w:r>
    </w:p>
    <w:p w:rsidRPr="002A3213" w:rsidR="00F1339B" w:rsidP="002A3213" w:rsidRDefault="00F1339B">
      <w:pPr>
        <w:pStyle w:val="ECHRParaQuote"/>
        <w:rPr>
          <w:lang w:val="en-US"/>
        </w:rPr>
      </w:pPr>
      <w:r w:rsidRPr="002A3213">
        <w:rPr>
          <w:lang w:val="en-US"/>
        </w:rPr>
        <w:t>...”</w:t>
      </w:r>
    </w:p>
    <w:p w:rsidRPr="002A3213" w:rsidR="004F4FD8" w:rsidP="002A3213" w:rsidRDefault="00CC107C">
      <w:pPr>
        <w:pStyle w:val="ECHRPara"/>
      </w:pPr>
      <w:r w:rsidRPr="002A3213">
        <w:fldChar w:fldCharType="begin"/>
      </w:r>
      <w:r w:rsidRPr="002A3213">
        <w:instrText xml:space="preserve"> SEQ level0 \*arabic </w:instrText>
      </w:r>
      <w:r w:rsidRPr="002A3213">
        <w:fldChar w:fldCharType="separate"/>
      </w:r>
      <w:r w:rsidRPr="002A3213" w:rsidR="002A3213">
        <w:rPr>
          <w:noProof/>
        </w:rPr>
        <w:t>77</w:t>
      </w:r>
      <w:r w:rsidRPr="002A3213">
        <w:fldChar w:fldCharType="end"/>
      </w:r>
      <w:r w:rsidRPr="002A3213">
        <w:t>.  </w:t>
      </w:r>
      <w:r w:rsidRPr="002A3213" w:rsidR="00DB47EE">
        <w:t>By letter of 21 January 2019</w:t>
      </w:r>
      <w:r w:rsidRPr="002A3213">
        <w:t xml:space="preserve"> the Government informed the Court that after the </w:t>
      </w:r>
      <w:r w:rsidRPr="002A3213" w:rsidR="008B18BB">
        <w:t xml:space="preserve">delivery </w:t>
      </w:r>
      <w:r w:rsidRPr="002A3213">
        <w:t xml:space="preserve">of the judgment in the case of </w:t>
      </w:r>
      <w:r w:rsidRPr="002A3213">
        <w:rPr>
          <w:i/>
        </w:rPr>
        <w:t>Alekseyev and Others v.</w:t>
      </w:r>
      <w:r w:rsidRPr="002A3213" w:rsidR="00B32F59">
        <w:rPr>
          <w:i/>
        </w:rPr>
        <w:t> </w:t>
      </w:r>
      <w:r w:rsidRPr="002A3213">
        <w:rPr>
          <w:i/>
        </w:rPr>
        <w:t>Russia</w:t>
      </w:r>
      <w:r w:rsidRPr="002A3213">
        <w:rPr>
          <w:lang w:eastAsia="en-GB"/>
        </w:rPr>
        <w:t xml:space="preserve"> (nos. </w:t>
      </w:r>
      <w:r w:rsidRPr="002A3213">
        <w:t>14988/09 and 50 others</w:t>
      </w:r>
      <w:r w:rsidRPr="002A3213">
        <w:rPr>
          <w:lang w:eastAsia="en-GB"/>
        </w:rPr>
        <w:t xml:space="preserve">, </w:t>
      </w:r>
      <w:r w:rsidRPr="002A3213">
        <w:t>27 November 2018)</w:t>
      </w:r>
      <w:r w:rsidRPr="002A3213" w:rsidR="00F511C6">
        <w:t xml:space="preserve">, Mr Alekseyev, frustrated by the rejection of his claims </w:t>
      </w:r>
      <w:r w:rsidRPr="002A3213" w:rsidR="00B32F59">
        <w:t xml:space="preserve">in respect of </w:t>
      </w:r>
      <w:r w:rsidRPr="002A3213" w:rsidR="00F511C6">
        <w:t xml:space="preserve">non-pecuniary damage, </w:t>
      </w:r>
      <w:r w:rsidRPr="002A3213" w:rsidR="00B95C75">
        <w:t xml:space="preserve">had </w:t>
      </w:r>
      <w:r w:rsidRPr="002A3213" w:rsidR="00F511C6">
        <w:t>published insulting comments about the Court and the judges who had adopted that judgment on his Instagram and VKontakte social networking accounts. The Government submitted that those comments had amounted to an abuse of the right of individual application.</w:t>
      </w:r>
    </w:p>
    <w:p w:rsidRPr="002A3213" w:rsidR="00F511C6" w:rsidP="002A3213" w:rsidRDefault="00BD228E">
      <w:pPr>
        <w:pStyle w:val="ECHRPara"/>
      </w:pPr>
      <w:r w:rsidRPr="002A3213">
        <w:fldChar w:fldCharType="begin"/>
      </w:r>
      <w:r w:rsidRPr="002A3213">
        <w:instrText xml:space="preserve"> SEQ level0 \*arabic </w:instrText>
      </w:r>
      <w:r w:rsidRPr="002A3213">
        <w:fldChar w:fldCharType="separate"/>
      </w:r>
      <w:r w:rsidRPr="002A3213" w:rsidR="002A3213">
        <w:rPr>
          <w:noProof/>
        </w:rPr>
        <w:t>78</w:t>
      </w:r>
      <w:r w:rsidRPr="002A3213">
        <w:fldChar w:fldCharType="end"/>
      </w:r>
      <w:r w:rsidRPr="002A3213">
        <w:t>. </w:t>
      </w:r>
      <w:r w:rsidRPr="002A3213" w:rsidR="00235113">
        <w:t> </w:t>
      </w:r>
      <w:r w:rsidRPr="002A3213">
        <w:t>In reply, Mr Alekseyev denied having any personal social networking accounts</w:t>
      </w:r>
      <w:r w:rsidRPr="002A3213" w:rsidR="00EC5993">
        <w:t>.</w:t>
      </w:r>
    </w:p>
    <w:p w:rsidRPr="002A3213" w:rsidR="001445EE" w:rsidP="002A3213" w:rsidRDefault="001445EE">
      <w:pPr>
        <w:pStyle w:val="ECHRHeading2"/>
      </w:pPr>
      <w:r w:rsidRPr="002A3213">
        <w:t>A.</w:t>
      </w:r>
      <w:r w:rsidRPr="002A3213" w:rsidR="002B40E6">
        <w:t>  </w:t>
      </w:r>
      <w:r w:rsidRPr="002A3213">
        <w:t>General principles</w:t>
      </w:r>
    </w:p>
    <w:p w:rsidRPr="002A3213" w:rsidR="00D60D6A" w:rsidP="002A3213" w:rsidRDefault="004B31E6">
      <w:pPr>
        <w:pStyle w:val="ECHRPara"/>
        <w:rPr>
          <w:snapToGrid w:val="0"/>
        </w:rPr>
      </w:pPr>
      <w:r w:rsidRPr="002A3213">
        <w:fldChar w:fldCharType="begin"/>
      </w:r>
      <w:r w:rsidRPr="002A3213">
        <w:instrText xml:space="preserve"> SEQ level0 \*arabic </w:instrText>
      </w:r>
      <w:r w:rsidRPr="002A3213">
        <w:fldChar w:fldCharType="separate"/>
      </w:r>
      <w:r w:rsidRPr="002A3213" w:rsidR="002A3213">
        <w:rPr>
          <w:noProof/>
        </w:rPr>
        <w:t>79</w:t>
      </w:r>
      <w:r w:rsidRPr="002A3213">
        <w:fldChar w:fldCharType="end"/>
      </w:r>
      <w:r w:rsidRPr="002A3213">
        <w:t>.  </w:t>
      </w:r>
      <w:r w:rsidRPr="002A3213" w:rsidR="0093075A">
        <w:t xml:space="preserve">The Court </w:t>
      </w:r>
      <w:r w:rsidRPr="002A3213" w:rsidR="00797DAD">
        <w:t>reiterates</w:t>
      </w:r>
      <w:r w:rsidRPr="002A3213" w:rsidR="0093075A">
        <w:t xml:space="preserve"> that the concept of “abuse” within the meaning of Article 35 § 3 </w:t>
      </w:r>
      <w:r w:rsidRPr="002A3213" w:rsidR="00797DAD">
        <w:t xml:space="preserve">(a) </w:t>
      </w:r>
      <w:r w:rsidRPr="002A3213" w:rsidR="0093075A">
        <w:t xml:space="preserve">of the Convention must be understood in its ordinary sense according to general legal theory – namely, the harmful exercise of a right for purposes other than </w:t>
      </w:r>
      <w:r w:rsidRPr="002A3213" w:rsidR="00100DBB">
        <w:t xml:space="preserve">those for which it is designed </w:t>
      </w:r>
      <w:r w:rsidRPr="002A3213" w:rsidR="0093075A">
        <w:t xml:space="preserve">(see </w:t>
      </w:r>
      <w:r w:rsidRPr="002A3213" w:rsidR="00EF6BB8">
        <w:rPr>
          <w:i/>
        </w:rPr>
        <w:t>Miroļubovs and Others v. Latvia</w:t>
      </w:r>
      <w:r w:rsidRPr="002A3213" w:rsidR="00EF6BB8">
        <w:t xml:space="preserve">, no. 798/05, § 62, 15 September 2009; </w:t>
      </w:r>
      <w:r w:rsidRPr="002A3213" w:rsidR="00BE2CEA">
        <w:rPr>
          <w:i/>
          <w:iCs/>
        </w:rPr>
        <w:t>Petrović</w:t>
      </w:r>
      <w:r w:rsidRPr="002A3213" w:rsidR="00730D6B">
        <w:rPr>
          <w:i/>
        </w:rPr>
        <w:t xml:space="preserve"> v. </w:t>
      </w:r>
      <w:r w:rsidRPr="002A3213" w:rsidR="00BE2CEA">
        <w:rPr>
          <w:i/>
        </w:rPr>
        <w:t>Serbia</w:t>
      </w:r>
      <w:r w:rsidRPr="002A3213" w:rsidR="00BE2CEA">
        <w:t xml:space="preserve"> (dec.), no. 56551/1</w:t>
      </w:r>
      <w:r w:rsidRPr="002A3213" w:rsidR="00EE5BC9">
        <w:t>1 and 10 other applications, 18 </w:t>
      </w:r>
      <w:r w:rsidRPr="002A3213" w:rsidR="00BE2CEA">
        <w:t xml:space="preserve">October 2011; and </w:t>
      </w:r>
      <w:r w:rsidRPr="002A3213" w:rsidR="00BE2CEA">
        <w:rPr>
          <w:i/>
        </w:rPr>
        <w:t>De Luca</w:t>
      </w:r>
      <w:r w:rsidRPr="002A3213" w:rsidR="00BE2CEA">
        <w:t xml:space="preserve"> </w:t>
      </w:r>
      <w:r w:rsidRPr="002A3213" w:rsidR="00BE2CEA">
        <w:rPr>
          <w:i/>
        </w:rPr>
        <w:t>v. Italy</w:t>
      </w:r>
      <w:r w:rsidRPr="002A3213" w:rsidR="00BE2CEA">
        <w:t>, no. 43870/04</w:t>
      </w:r>
      <w:r w:rsidRPr="002A3213" w:rsidR="00BE2CEA">
        <w:rPr>
          <w:snapToGrid w:val="0"/>
        </w:rPr>
        <w:t>, § 35, 24 September 2013).</w:t>
      </w:r>
    </w:p>
    <w:bookmarkStart w:name="abusivelanguage" w:id="18"/>
    <w:p w:rsidRPr="002A3213" w:rsidR="00860A88" w:rsidP="002A3213" w:rsidRDefault="00BE2CEA">
      <w:pPr>
        <w:pStyle w:val="ECHRPara"/>
        <w:rPr>
          <w:bCs/>
          <w:snapToGrid w:val="0"/>
        </w:rPr>
      </w:pPr>
      <w:r w:rsidRPr="002A3213">
        <w:rPr>
          <w:snapToGrid w:val="0"/>
        </w:rPr>
        <w:fldChar w:fldCharType="begin"/>
      </w:r>
      <w:r w:rsidRPr="002A3213">
        <w:rPr>
          <w:snapToGrid w:val="0"/>
        </w:rPr>
        <w:instrText xml:space="preserve"> SEQ level0 \*arabic </w:instrText>
      </w:r>
      <w:r w:rsidRPr="002A3213">
        <w:rPr>
          <w:snapToGrid w:val="0"/>
        </w:rPr>
        <w:fldChar w:fldCharType="separate"/>
      </w:r>
      <w:r w:rsidRPr="002A3213" w:rsidR="002A3213">
        <w:rPr>
          <w:noProof/>
          <w:snapToGrid w:val="0"/>
        </w:rPr>
        <w:t>80</w:t>
      </w:r>
      <w:r w:rsidRPr="002A3213">
        <w:rPr>
          <w:snapToGrid w:val="0"/>
        </w:rPr>
        <w:fldChar w:fldCharType="end"/>
      </w:r>
      <w:bookmarkEnd w:id="18"/>
      <w:r w:rsidRPr="002A3213">
        <w:rPr>
          <w:snapToGrid w:val="0"/>
        </w:rPr>
        <w:t>.  </w:t>
      </w:r>
      <w:r w:rsidRPr="002A3213">
        <w:rPr>
          <w:bCs/>
          <w:snapToGrid w:val="0"/>
        </w:rPr>
        <w:t>The Court further reiterates that it has applied that provision, in particular, in two</w:t>
      </w:r>
      <w:r w:rsidRPr="002A3213" w:rsidR="00100DBB">
        <w:rPr>
          <w:bCs/>
          <w:snapToGrid w:val="0"/>
        </w:rPr>
        <w:t xml:space="preserve"> types of situations. </w:t>
      </w:r>
      <w:r w:rsidRPr="002A3213">
        <w:rPr>
          <w:bCs/>
          <w:snapToGrid w:val="0"/>
        </w:rPr>
        <w:t xml:space="preserve">Firstly, an application may be rejected as </w:t>
      </w:r>
      <w:r w:rsidRPr="002A3213" w:rsidR="00860A88">
        <w:rPr>
          <w:bCs/>
          <w:snapToGrid w:val="0"/>
        </w:rPr>
        <w:t xml:space="preserve">an abuse of the right of petition within the meaning of Article 35 § 3 (a) </w:t>
      </w:r>
      <w:r w:rsidRPr="002A3213">
        <w:rPr>
          <w:bCs/>
          <w:snapToGrid w:val="0"/>
        </w:rPr>
        <w:t xml:space="preserve">if </w:t>
      </w:r>
      <w:r w:rsidRPr="002A3213" w:rsidR="00860A88">
        <w:rPr>
          <w:bCs/>
          <w:snapToGrid w:val="0"/>
        </w:rPr>
        <w:t xml:space="preserve">it </w:t>
      </w:r>
      <w:r w:rsidRPr="002A3213">
        <w:rPr>
          <w:bCs/>
          <w:snapToGrid w:val="0"/>
        </w:rPr>
        <w:t xml:space="preserve">was knowingly based on untrue facts (see </w:t>
      </w:r>
      <w:r w:rsidRPr="002A3213" w:rsidR="00243B28">
        <w:rPr>
          <w:i/>
        </w:rPr>
        <w:t xml:space="preserve">Gross v. Switzerland </w:t>
      </w:r>
      <w:r w:rsidRPr="002A3213" w:rsidR="00243B28">
        <w:t>[GC]</w:t>
      </w:r>
      <w:r w:rsidRPr="002A3213" w:rsidR="00243B28">
        <w:rPr>
          <w:snapToGrid w:val="0"/>
        </w:rPr>
        <w:t>, no.</w:t>
      </w:r>
      <w:r w:rsidRPr="002A3213" w:rsidR="00243B28">
        <w:t xml:space="preserve"> 67810/10, § 28, ECHR 2014, with further references)</w:t>
      </w:r>
      <w:r w:rsidRPr="002A3213">
        <w:rPr>
          <w:bCs/>
          <w:snapToGrid w:val="0"/>
        </w:rPr>
        <w:t>.</w:t>
      </w:r>
      <w:r w:rsidRPr="002A3213" w:rsidR="00860A88">
        <w:rPr>
          <w:bCs/>
          <w:snapToGrid w:val="0"/>
        </w:rPr>
        <w:t xml:space="preserve"> Secondly, it may also be rejected in cases where an applicant used particularly vexatious, contemptuous, threatening or provocative language in his communication with the Court</w:t>
      </w:r>
      <w:r w:rsidRPr="002A3213" w:rsidR="00860A88">
        <w:t xml:space="preserve"> – whether this </w:t>
      </w:r>
      <w:r w:rsidRPr="002A3213" w:rsidR="00584628">
        <w:t>was</w:t>
      </w:r>
      <w:r w:rsidRPr="002A3213" w:rsidR="00860A88">
        <w:t xml:space="preserve"> directed against the respondent Government, their Agent, the authorities of the respondent State, the Court itself, its judges, its Registry or members thereof. However, it does not suffice that the applicant</w:t>
      </w:r>
      <w:r w:rsidRPr="002A3213" w:rsidR="002A3213">
        <w:t>’</w:t>
      </w:r>
      <w:r w:rsidRPr="002A3213" w:rsidR="00860A88">
        <w:t xml:space="preserve">s language </w:t>
      </w:r>
      <w:r w:rsidRPr="002A3213" w:rsidR="00584628">
        <w:t>was</w:t>
      </w:r>
      <w:r w:rsidRPr="002A3213" w:rsidR="00860A88">
        <w:t xml:space="preserve"> sharp, polemical or sarcastic; to be considered an abuse, it must exceed the limits of normal, civic and legitimate criticism. If after a warning by the Court the applicant cease</w:t>
      </w:r>
      <w:r w:rsidRPr="002A3213" w:rsidR="00584628">
        <w:t>d</w:t>
      </w:r>
      <w:r w:rsidRPr="002A3213" w:rsidR="00860A88">
        <w:t xml:space="preserve"> to use the expressions in question, expressly withdr</w:t>
      </w:r>
      <w:r w:rsidRPr="002A3213" w:rsidR="00584628">
        <w:t>ew</w:t>
      </w:r>
      <w:r w:rsidRPr="002A3213" w:rsidR="00860A88">
        <w:t xml:space="preserve"> them or, better still, offer</w:t>
      </w:r>
      <w:r w:rsidRPr="002A3213" w:rsidR="00584628">
        <w:t>ed</w:t>
      </w:r>
      <w:r w:rsidRPr="002A3213" w:rsidR="00860A88">
        <w:t xml:space="preserve"> an apology, the application may no longer be rejected as an abuse of the right of petition (see </w:t>
      </w:r>
      <w:r w:rsidRPr="002A3213" w:rsidR="00860A88">
        <w:rPr>
          <w:i/>
        </w:rPr>
        <w:t xml:space="preserve">Miroļubovs and Others, </w:t>
      </w:r>
      <w:r w:rsidRPr="002A3213" w:rsidR="00860A88">
        <w:t>cited above, § 64, with further references).</w:t>
      </w:r>
    </w:p>
    <w:bookmarkStart w:name="abusiveconduct" w:id="19"/>
    <w:p w:rsidRPr="002A3213" w:rsidR="004B31E6" w:rsidP="002A3213" w:rsidRDefault="00C63800">
      <w:pPr>
        <w:pStyle w:val="ECHRPara"/>
        <w:rPr>
          <w:bCs/>
        </w:rPr>
      </w:pPr>
      <w:r w:rsidRPr="002A3213">
        <w:fldChar w:fldCharType="begin"/>
      </w:r>
      <w:r w:rsidRPr="002A3213">
        <w:instrText xml:space="preserve"> SEQ level0 \*arabic </w:instrText>
      </w:r>
      <w:r w:rsidRPr="002A3213">
        <w:fldChar w:fldCharType="separate"/>
      </w:r>
      <w:r w:rsidRPr="002A3213" w:rsidR="002A3213">
        <w:rPr>
          <w:noProof/>
        </w:rPr>
        <w:t>81</w:t>
      </w:r>
      <w:r w:rsidRPr="002A3213">
        <w:fldChar w:fldCharType="end"/>
      </w:r>
      <w:bookmarkEnd w:id="19"/>
      <w:r w:rsidRPr="002A3213">
        <w:t>.  </w:t>
      </w:r>
      <w:r w:rsidRPr="002A3213" w:rsidR="004B31E6">
        <w:rPr>
          <w:bCs/>
        </w:rPr>
        <w:t>However, the notion of abuse of the right of application under Article 35 § 3 (a) of the Convention is not limited to those two instances and other situations c</w:t>
      </w:r>
      <w:r w:rsidRPr="002A3213" w:rsidR="007E3D6A">
        <w:rPr>
          <w:bCs/>
        </w:rPr>
        <w:t>an</w:t>
      </w:r>
      <w:r w:rsidRPr="002A3213" w:rsidR="004B31E6">
        <w:rPr>
          <w:bCs/>
        </w:rPr>
        <w:t xml:space="preserve"> also be considered as an abuse of that right. In principle any conduct on the part of an applicant that is manifestly contrary to the purpose of the right of individual application as provided for in the Convention and which impedes the proper functioning of the Court or the proper conduct of the proceedings before it can be considered as an abuse of the right of application (see</w:t>
      </w:r>
      <w:r w:rsidRPr="002A3213" w:rsidR="004B31E6">
        <w:rPr>
          <w:bCs/>
          <w:i/>
          <w:iCs/>
        </w:rPr>
        <w:t xml:space="preserve"> </w:t>
      </w:r>
      <w:r w:rsidRPr="002A3213" w:rsidR="003037B8">
        <w:rPr>
          <w:i/>
        </w:rPr>
        <w:t>Podeschi v. San Marino</w:t>
      </w:r>
      <w:r w:rsidRPr="002A3213" w:rsidR="003037B8">
        <w:t>, no. 66357/14, § 86, 13 April 2017).</w:t>
      </w:r>
      <w:r w:rsidRPr="002A3213">
        <w:rPr>
          <w:bCs/>
        </w:rPr>
        <w:t xml:space="preserve"> For example, </w:t>
      </w:r>
      <w:r w:rsidRPr="002A3213" w:rsidR="00114BEF">
        <w:rPr>
          <w:bCs/>
        </w:rPr>
        <w:t>the Court found that an applicant</w:t>
      </w:r>
      <w:r w:rsidRPr="002A3213" w:rsidR="002A3213">
        <w:rPr>
          <w:bCs/>
        </w:rPr>
        <w:t>’</w:t>
      </w:r>
      <w:r w:rsidRPr="002A3213" w:rsidR="00114BEF">
        <w:rPr>
          <w:bCs/>
        </w:rPr>
        <w:t xml:space="preserve">s conduct </w:t>
      </w:r>
      <w:r w:rsidRPr="002A3213" w:rsidR="00652EAC">
        <w:rPr>
          <w:bCs/>
        </w:rPr>
        <w:t>had been</w:t>
      </w:r>
      <w:r w:rsidRPr="002A3213" w:rsidR="00114BEF">
        <w:rPr>
          <w:bCs/>
        </w:rPr>
        <w:t xml:space="preserve"> contrary to the purpose of the right of individual petition </w:t>
      </w:r>
      <w:r w:rsidRPr="002A3213" w:rsidR="00FE36FC">
        <w:rPr>
          <w:bCs/>
        </w:rPr>
        <w:t xml:space="preserve">in cases </w:t>
      </w:r>
      <w:r w:rsidRPr="002A3213" w:rsidR="00114BEF">
        <w:rPr>
          <w:bCs/>
        </w:rPr>
        <w:t xml:space="preserve">where </w:t>
      </w:r>
      <w:r w:rsidRPr="002A3213" w:rsidR="00963819">
        <w:rPr>
          <w:bCs/>
        </w:rPr>
        <w:t xml:space="preserve">the applicant had lodged a succession of ill-founded and querulous complaints, creating unnecessary work which </w:t>
      </w:r>
      <w:r w:rsidRPr="002A3213" w:rsidR="00FE36FC">
        <w:rPr>
          <w:bCs/>
        </w:rPr>
        <w:t>was</w:t>
      </w:r>
      <w:r w:rsidRPr="002A3213" w:rsidR="00963819">
        <w:rPr>
          <w:bCs/>
        </w:rPr>
        <w:t xml:space="preserve"> incompatible wi</w:t>
      </w:r>
      <w:r w:rsidRPr="002A3213" w:rsidR="00797DAD">
        <w:rPr>
          <w:bCs/>
        </w:rPr>
        <w:t>th the Court</w:t>
      </w:r>
      <w:r w:rsidRPr="002A3213" w:rsidR="002A3213">
        <w:rPr>
          <w:bCs/>
        </w:rPr>
        <w:t>’</w:t>
      </w:r>
      <w:r w:rsidRPr="002A3213" w:rsidR="00FE36FC">
        <w:rPr>
          <w:bCs/>
        </w:rPr>
        <w:t>s</w:t>
      </w:r>
      <w:r w:rsidRPr="002A3213" w:rsidR="00963819">
        <w:rPr>
          <w:bCs/>
        </w:rPr>
        <w:t xml:space="preserve"> real functions, and which </w:t>
      </w:r>
      <w:r w:rsidRPr="002A3213" w:rsidR="00FE36FC">
        <w:rPr>
          <w:bCs/>
        </w:rPr>
        <w:t>hindered</w:t>
      </w:r>
      <w:r w:rsidRPr="002A3213" w:rsidR="00963819">
        <w:rPr>
          <w:bCs/>
        </w:rPr>
        <w:t xml:space="preserve"> it in carrying them out</w:t>
      </w:r>
      <w:r w:rsidRPr="002A3213" w:rsidR="007458E3">
        <w:rPr>
          <w:bCs/>
        </w:rPr>
        <w:t xml:space="preserve"> (see </w:t>
      </w:r>
      <w:r w:rsidRPr="002A3213" w:rsidR="00EA3C1E">
        <w:rPr>
          <w:bCs/>
          <w:i/>
        </w:rPr>
        <w:t>M. </w:t>
      </w:r>
      <w:r w:rsidRPr="002A3213" w:rsidR="00665DC9">
        <w:rPr>
          <w:bCs/>
          <w:i/>
        </w:rPr>
        <w:t>v. </w:t>
      </w:r>
      <w:r w:rsidRPr="002A3213" w:rsidR="007458E3">
        <w:rPr>
          <w:bCs/>
          <w:i/>
        </w:rPr>
        <w:t>the United Kingdom</w:t>
      </w:r>
      <w:r w:rsidRPr="002A3213" w:rsidR="00EE5BC9">
        <w:rPr>
          <w:bCs/>
        </w:rPr>
        <w:t>, no. </w:t>
      </w:r>
      <w:r w:rsidRPr="002A3213" w:rsidR="007458E3">
        <w:rPr>
          <w:bCs/>
        </w:rPr>
        <w:t>13284/87</w:t>
      </w:r>
      <w:r w:rsidRPr="002A3213" w:rsidR="00EA3C1E">
        <w:rPr>
          <w:bCs/>
        </w:rPr>
        <w:t>, Commission decision of 15 </w:t>
      </w:r>
      <w:r w:rsidRPr="002A3213" w:rsidR="007458E3">
        <w:rPr>
          <w:bCs/>
        </w:rPr>
        <w:t xml:space="preserve">October 1987, Decisions and Reports (DR) 54, p. 214; </w:t>
      </w:r>
      <w:r w:rsidRPr="002A3213" w:rsidR="00EE5BC9">
        <w:rPr>
          <w:bCs/>
          <w:i/>
        </w:rPr>
        <w:t>Philis</w:t>
      </w:r>
      <w:r w:rsidRPr="002A3213" w:rsidR="007458E3">
        <w:rPr>
          <w:bCs/>
          <w:i/>
        </w:rPr>
        <w:t xml:space="preserve"> v. </w:t>
      </w:r>
      <w:r w:rsidRPr="002A3213" w:rsidR="00EE5BC9">
        <w:rPr>
          <w:bCs/>
          <w:i/>
        </w:rPr>
        <w:t>Grece</w:t>
      </w:r>
      <w:r w:rsidRPr="002A3213" w:rsidR="007458E3">
        <w:rPr>
          <w:bCs/>
        </w:rPr>
        <w:t xml:space="preserve">, no. </w:t>
      </w:r>
      <w:r w:rsidRPr="002A3213" w:rsidR="00EE5BC9">
        <w:rPr>
          <w:bCs/>
        </w:rPr>
        <w:t>28970/95</w:t>
      </w:r>
      <w:r w:rsidRPr="002A3213" w:rsidR="007458E3">
        <w:rPr>
          <w:bCs/>
        </w:rPr>
        <w:t>, Commission decision of 1</w:t>
      </w:r>
      <w:r w:rsidRPr="002A3213" w:rsidR="00EE5BC9">
        <w:rPr>
          <w:bCs/>
        </w:rPr>
        <w:t>7 October 1996</w:t>
      </w:r>
      <w:r w:rsidRPr="002A3213" w:rsidR="007458E3">
        <w:rPr>
          <w:bCs/>
        </w:rPr>
        <w:t xml:space="preserve">, Decisions and Reports (DR) 54, p. 214; </w:t>
      </w:r>
      <w:r w:rsidRPr="002A3213" w:rsidR="00EE5BC9">
        <w:rPr>
          <w:bCs/>
        </w:rPr>
        <w:t>and</w:t>
      </w:r>
      <w:r w:rsidRPr="002A3213" w:rsidR="00EE5BC9">
        <w:rPr>
          <w:i/>
          <w:iCs/>
        </w:rPr>
        <w:t xml:space="preserve"> </w:t>
      </w:r>
      <w:r w:rsidRPr="002A3213" w:rsidR="00EE5BC9">
        <w:rPr>
          <w:bCs/>
          <w:i/>
          <w:iCs/>
        </w:rPr>
        <w:t xml:space="preserve">Petrović, </w:t>
      </w:r>
      <w:r w:rsidRPr="002A3213" w:rsidR="00EE5BC9">
        <w:rPr>
          <w:bCs/>
          <w:iCs/>
        </w:rPr>
        <w:t xml:space="preserve">cited above); where </w:t>
      </w:r>
      <w:r w:rsidRPr="002A3213" w:rsidR="00114BEF">
        <w:rPr>
          <w:bCs/>
        </w:rPr>
        <w:t xml:space="preserve">the applicant </w:t>
      </w:r>
      <w:r w:rsidRPr="002A3213" w:rsidR="00B72D97">
        <w:rPr>
          <w:bCs/>
        </w:rPr>
        <w:t xml:space="preserve">had </w:t>
      </w:r>
      <w:r w:rsidRPr="002A3213" w:rsidR="00114BEF">
        <w:rPr>
          <w:bCs/>
        </w:rPr>
        <w:t xml:space="preserve">obtained evidence </w:t>
      </w:r>
      <w:r w:rsidRPr="002A3213" w:rsidR="00B72D97">
        <w:rPr>
          <w:bCs/>
        </w:rPr>
        <w:t xml:space="preserve">in support of his case before the Court </w:t>
      </w:r>
      <w:r w:rsidRPr="002A3213" w:rsidR="00114BEF">
        <w:rPr>
          <w:bCs/>
        </w:rPr>
        <w:t xml:space="preserve">by force in </w:t>
      </w:r>
      <w:r w:rsidRPr="002A3213" w:rsidR="00B72D97">
        <w:rPr>
          <w:bCs/>
        </w:rPr>
        <w:t>blatant</w:t>
      </w:r>
      <w:r w:rsidRPr="002A3213" w:rsidR="00114BEF">
        <w:rPr>
          <w:bCs/>
        </w:rPr>
        <w:t xml:space="preserve"> violation of the rights and the values protected by the Convention</w:t>
      </w:r>
      <w:r w:rsidRPr="002A3213" w:rsidR="00B72D97">
        <w:rPr>
          <w:bCs/>
        </w:rPr>
        <w:t xml:space="preserve"> (see </w:t>
      </w:r>
      <w:r w:rsidRPr="002A3213" w:rsidR="0021335E">
        <w:rPr>
          <w:bCs/>
          <w:i/>
        </w:rPr>
        <w:t>Koch v. Polan</w:t>
      </w:r>
      <w:r w:rsidRPr="002A3213" w:rsidR="00B72D97">
        <w:rPr>
          <w:bCs/>
          <w:i/>
        </w:rPr>
        <w:t>d</w:t>
      </w:r>
      <w:r w:rsidRPr="002A3213" w:rsidR="00B72D97">
        <w:rPr>
          <w:bCs/>
        </w:rPr>
        <w:t xml:space="preserve"> (dec.)</w:t>
      </w:r>
      <w:r w:rsidRPr="002A3213" w:rsidR="00EE5BC9">
        <w:rPr>
          <w:bCs/>
        </w:rPr>
        <w:t>, no. </w:t>
      </w:r>
      <w:r w:rsidRPr="002A3213" w:rsidR="00B72D97">
        <w:rPr>
          <w:bCs/>
        </w:rPr>
        <w:t>15005/11, 7 March 2017)</w:t>
      </w:r>
      <w:r w:rsidRPr="002A3213" w:rsidR="00EE5BC9">
        <w:rPr>
          <w:bCs/>
        </w:rPr>
        <w:t>;</w:t>
      </w:r>
      <w:r w:rsidRPr="002A3213" w:rsidR="00ED3F64">
        <w:rPr>
          <w:bCs/>
        </w:rPr>
        <w:t xml:space="preserve"> or</w:t>
      </w:r>
      <w:r w:rsidRPr="002A3213" w:rsidR="00B72D97">
        <w:rPr>
          <w:bCs/>
        </w:rPr>
        <w:t xml:space="preserve"> </w:t>
      </w:r>
      <w:r w:rsidRPr="002A3213" w:rsidR="008D4D48">
        <w:rPr>
          <w:bCs/>
        </w:rPr>
        <w:t xml:space="preserve">where </w:t>
      </w:r>
      <w:r w:rsidRPr="002A3213" w:rsidR="00963819">
        <w:rPr>
          <w:bCs/>
        </w:rPr>
        <w:t>the</w:t>
      </w:r>
      <w:r w:rsidRPr="002A3213" w:rsidR="00A44687">
        <w:rPr>
          <w:bCs/>
        </w:rPr>
        <w:t xml:space="preserve"> applicant </w:t>
      </w:r>
      <w:r w:rsidRPr="002A3213" w:rsidR="00EE5BC9">
        <w:rPr>
          <w:bCs/>
          <w:iCs/>
        </w:rPr>
        <w:t>had</w:t>
      </w:r>
      <w:r w:rsidRPr="002A3213" w:rsidR="00A44687">
        <w:rPr>
          <w:bCs/>
          <w:iCs/>
        </w:rPr>
        <w:t xml:space="preserve"> not </w:t>
      </w:r>
      <w:r w:rsidRPr="002A3213" w:rsidR="00EE5BC9">
        <w:rPr>
          <w:bCs/>
          <w:iCs/>
        </w:rPr>
        <w:t>meticulously ab</w:t>
      </w:r>
      <w:r w:rsidRPr="002A3213" w:rsidR="001D4875">
        <w:rPr>
          <w:bCs/>
          <w:iCs/>
        </w:rPr>
        <w:t>i</w:t>
      </w:r>
      <w:r w:rsidRPr="002A3213" w:rsidR="00EE5BC9">
        <w:rPr>
          <w:bCs/>
          <w:iCs/>
        </w:rPr>
        <w:t>de</w:t>
      </w:r>
      <w:r w:rsidRPr="002A3213" w:rsidR="001D4875">
        <w:rPr>
          <w:bCs/>
          <w:iCs/>
        </w:rPr>
        <w:t>d</w:t>
      </w:r>
      <w:r w:rsidRPr="002A3213" w:rsidR="00EE5BC9">
        <w:rPr>
          <w:bCs/>
          <w:iCs/>
        </w:rPr>
        <w:t xml:space="preserve"> </w:t>
      </w:r>
      <w:r w:rsidRPr="002A3213" w:rsidR="00A44687">
        <w:rPr>
          <w:bCs/>
          <w:iCs/>
        </w:rPr>
        <w:t>by all the relevant rules of the procedure and thereby</w:t>
      </w:r>
      <w:r w:rsidRPr="002A3213" w:rsidR="00CF574D">
        <w:rPr>
          <w:bCs/>
          <w:iCs/>
        </w:rPr>
        <w:t xml:space="preserve"> ha</w:t>
      </w:r>
      <w:r w:rsidRPr="002A3213" w:rsidR="00D45DC4">
        <w:rPr>
          <w:bCs/>
          <w:iCs/>
        </w:rPr>
        <w:t>d</w:t>
      </w:r>
      <w:r w:rsidRPr="002A3213" w:rsidR="00A44687">
        <w:rPr>
          <w:bCs/>
          <w:iCs/>
        </w:rPr>
        <w:t xml:space="preserve"> </w:t>
      </w:r>
      <w:r w:rsidRPr="002A3213" w:rsidR="00A44687">
        <w:rPr>
          <w:bCs/>
        </w:rPr>
        <w:t xml:space="preserve">failed to </w:t>
      </w:r>
      <w:r w:rsidRPr="002A3213" w:rsidR="00A44687">
        <w:rPr>
          <w:bCs/>
          <w:iCs/>
        </w:rPr>
        <w:t xml:space="preserve">show a high level of prudence and meaningful cooperation with the Court (see, for example, </w:t>
      </w:r>
      <w:r w:rsidRPr="002A3213" w:rsidR="00EA3C1E">
        <w:rPr>
          <w:i/>
        </w:rPr>
        <w:t>Bekauri v. </w:t>
      </w:r>
      <w:r w:rsidRPr="002A3213" w:rsidR="00CC53DE">
        <w:rPr>
          <w:i/>
        </w:rPr>
        <w:t xml:space="preserve">Georgia </w:t>
      </w:r>
      <w:r w:rsidRPr="002A3213" w:rsidR="00CC53DE">
        <w:t>(preliminary objection), no. 14102/02, §§ 22-24, 10 April 2012</w:t>
      </w:r>
      <w:r w:rsidRPr="002A3213" w:rsidR="00797DAD">
        <w:t>,</w:t>
      </w:r>
      <w:r w:rsidRPr="002A3213" w:rsidR="00CC53DE">
        <w:t xml:space="preserve"> </w:t>
      </w:r>
      <w:r w:rsidRPr="002A3213" w:rsidR="00963819">
        <w:t xml:space="preserve">and </w:t>
      </w:r>
      <w:r w:rsidRPr="002A3213" w:rsidR="00E0241F">
        <w:rPr>
          <w:i/>
          <w:iCs/>
        </w:rPr>
        <w:t>Eskerkhanov and Others v. Russia</w:t>
      </w:r>
      <w:r w:rsidRPr="002A3213" w:rsidR="00E0241F">
        <w:rPr>
          <w:lang w:eastAsia="en-GB"/>
        </w:rPr>
        <w:t xml:space="preserve">, nos. </w:t>
      </w:r>
      <w:r w:rsidRPr="002A3213" w:rsidR="00E0241F">
        <w:t>18496/16 and 2 others</w:t>
      </w:r>
      <w:r w:rsidRPr="002A3213" w:rsidR="00E0241F">
        <w:rPr>
          <w:lang w:eastAsia="en-GB"/>
        </w:rPr>
        <w:t xml:space="preserve">, </w:t>
      </w:r>
      <w:r w:rsidRPr="002A3213" w:rsidR="00E0241F">
        <w:t>§§</w:t>
      </w:r>
      <w:r w:rsidRPr="002A3213" w:rsidR="00EA3C1E">
        <w:t> </w:t>
      </w:r>
      <w:r w:rsidRPr="002A3213" w:rsidR="00E0241F">
        <w:t>2</w:t>
      </w:r>
      <w:r w:rsidRPr="002A3213" w:rsidR="00EA3C1E">
        <w:t>3</w:t>
      </w:r>
      <w:r w:rsidRPr="002A3213" w:rsidR="00EA3C1E">
        <w:noBreakHyphen/>
      </w:r>
      <w:r w:rsidRPr="002A3213" w:rsidR="00E0241F">
        <w:t>29, 25 July 2017</w:t>
      </w:r>
      <w:r w:rsidRPr="002A3213" w:rsidR="00963819">
        <w:t xml:space="preserve">). </w:t>
      </w:r>
      <w:r w:rsidRPr="002A3213" w:rsidR="008D4D48">
        <w:rPr>
          <w:bCs/>
        </w:rPr>
        <w:t xml:space="preserve">It also found, in the context of </w:t>
      </w:r>
      <w:r w:rsidRPr="002A3213" w:rsidR="00FE36FC">
        <w:rPr>
          <w:bCs/>
        </w:rPr>
        <w:t xml:space="preserve">critical </w:t>
      </w:r>
      <w:r w:rsidRPr="002A3213" w:rsidR="008D4D48">
        <w:rPr>
          <w:bCs/>
        </w:rPr>
        <w:t>statements made by the applicant party</w:t>
      </w:r>
      <w:r w:rsidRPr="002A3213" w:rsidR="002A3213">
        <w:rPr>
          <w:bCs/>
        </w:rPr>
        <w:t>’</w:t>
      </w:r>
      <w:r w:rsidRPr="002A3213" w:rsidR="008D4D48">
        <w:rPr>
          <w:bCs/>
        </w:rPr>
        <w:t xml:space="preserve">s leader </w:t>
      </w:r>
      <w:r w:rsidRPr="002A3213" w:rsidR="00081316">
        <w:rPr>
          <w:bCs/>
        </w:rPr>
        <w:t>to the press</w:t>
      </w:r>
      <w:r w:rsidRPr="002A3213" w:rsidR="008D4D48">
        <w:rPr>
          <w:bCs/>
        </w:rPr>
        <w:t>, that “vexing manifestations of irresponsibility and a frivolous attitude towards the C</w:t>
      </w:r>
      <w:r w:rsidRPr="002A3213" w:rsidR="00797DAD">
        <w:rPr>
          <w:bCs/>
        </w:rPr>
        <w:t>ourt”, amounting to contempt, might</w:t>
      </w:r>
      <w:r w:rsidRPr="002A3213" w:rsidR="008D4D48">
        <w:rPr>
          <w:bCs/>
        </w:rPr>
        <w:t xml:space="preserve"> also lead to the rejection of an application as abusive (see </w:t>
      </w:r>
      <w:r w:rsidRPr="002A3213" w:rsidR="008D4D48">
        <w:rPr>
          <w:bCs/>
          <w:i/>
          <w:iCs/>
        </w:rPr>
        <w:t>The Georgian Labour Party</w:t>
      </w:r>
      <w:r w:rsidRPr="002A3213" w:rsidR="008D4D48">
        <w:rPr>
          <w:bCs/>
        </w:rPr>
        <w:t xml:space="preserve"> </w:t>
      </w:r>
      <w:r w:rsidRPr="002A3213" w:rsidR="008D4D48">
        <w:rPr>
          <w:bCs/>
          <w:i/>
          <w:iCs/>
        </w:rPr>
        <w:t>v. Georgia</w:t>
      </w:r>
      <w:r w:rsidRPr="002A3213" w:rsidR="008D4D48">
        <w:rPr>
          <w:bCs/>
        </w:rPr>
        <w:t xml:space="preserve"> (dec.), </w:t>
      </w:r>
      <w:r w:rsidRPr="002A3213" w:rsidR="00F4254E">
        <w:rPr>
          <w:bCs/>
        </w:rPr>
        <w:t>no. 9103/04</w:t>
      </w:r>
      <w:r w:rsidRPr="002A3213" w:rsidR="008D4D48">
        <w:rPr>
          <w:bCs/>
        </w:rPr>
        <w:t>, 22 May 2007).</w:t>
      </w:r>
    </w:p>
    <w:p w:rsidRPr="002A3213" w:rsidR="004B31E6" w:rsidP="002A3213" w:rsidRDefault="00F4254E">
      <w:pPr>
        <w:pStyle w:val="ECHRHeading2"/>
      </w:pPr>
      <w:r w:rsidRPr="002A3213">
        <w:t>B.</w:t>
      </w:r>
      <w:r w:rsidRPr="002A3213" w:rsidR="002B40E6">
        <w:t>  </w:t>
      </w:r>
      <w:r w:rsidRPr="002A3213">
        <w:t>Application to the present case</w:t>
      </w:r>
    </w:p>
    <w:p w:rsidRPr="002A3213" w:rsidR="004F4FD8" w:rsidP="002A3213" w:rsidRDefault="0071309C">
      <w:pPr>
        <w:pStyle w:val="ECHRPara"/>
        <w:rPr>
          <w:lang w:val="en-US"/>
        </w:rPr>
      </w:pPr>
      <w:r w:rsidRPr="002A3213">
        <w:fldChar w:fldCharType="begin"/>
      </w:r>
      <w:r w:rsidRPr="002A3213">
        <w:instrText xml:space="preserve"> SEQ level0 \*arabic </w:instrText>
      </w:r>
      <w:r w:rsidRPr="002A3213">
        <w:fldChar w:fldCharType="separate"/>
      </w:r>
      <w:r w:rsidRPr="002A3213" w:rsidR="002A3213">
        <w:rPr>
          <w:noProof/>
        </w:rPr>
        <w:t>82</w:t>
      </w:r>
      <w:r w:rsidRPr="002A3213">
        <w:fldChar w:fldCharType="end"/>
      </w:r>
      <w:r w:rsidRPr="002A3213">
        <w:t xml:space="preserve">.  The Court notes </w:t>
      </w:r>
      <w:r w:rsidRPr="002A3213" w:rsidR="007D4BC2">
        <w:t xml:space="preserve">at the outset </w:t>
      </w:r>
      <w:r w:rsidRPr="002A3213" w:rsidR="00DF08FB">
        <w:t xml:space="preserve">that the Government </w:t>
      </w:r>
      <w:r w:rsidRPr="002A3213" w:rsidR="00DF08FB">
        <w:rPr>
          <w:lang w:val="en-US"/>
        </w:rPr>
        <w:t xml:space="preserve">did not </w:t>
      </w:r>
      <w:r w:rsidRPr="002A3213" w:rsidR="00771DE3">
        <w:t xml:space="preserve">name the social networking accounts </w:t>
      </w:r>
      <w:r w:rsidRPr="002A3213" w:rsidR="00161406">
        <w:t>to which they referred</w:t>
      </w:r>
      <w:r w:rsidRPr="002A3213" w:rsidR="00771DE3">
        <w:t>, except</w:t>
      </w:r>
      <w:r w:rsidRPr="002A3213" w:rsidR="001303DB">
        <w:t xml:space="preserve"> by</w:t>
      </w:r>
      <w:r w:rsidRPr="002A3213" w:rsidR="00771DE3">
        <w:t xml:space="preserve"> mentioning that they were hosted by Instagram and </w:t>
      </w:r>
      <w:r w:rsidRPr="002A3213" w:rsidR="00B224D3">
        <w:t>VKontakte, or indeed cite</w:t>
      </w:r>
      <w:r w:rsidRPr="002A3213" w:rsidR="00771DE3">
        <w:t xml:space="preserve"> any of the all</w:t>
      </w:r>
      <w:r w:rsidRPr="002A3213" w:rsidR="00B224D3">
        <w:t>egedly insulting statements. Mr </w:t>
      </w:r>
      <w:r w:rsidRPr="002A3213" w:rsidR="00771DE3">
        <w:t>Alekseyev, a well-known LGBT activist,</w:t>
      </w:r>
      <w:r w:rsidRPr="002A3213" w:rsidR="00D22A34">
        <w:t xml:space="preserve"> is</w:t>
      </w:r>
      <w:r w:rsidRPr="002A3213" w:rsidR="000E337D">
        <w:t>,</w:t>
      </w:r>
      <w:r w:rsidRPr="002A3213" w:rsidR="00D22A34">
        <w:t xml:space="preserve"> however</w:t>
      </w:r>
      <w:r w:rsidRPr="002A3213" w:rsidR="000E337D">
        <w:t>,</w:t>
      </w:r>
      <w:r w:rsidRPr="002A3213" w:rsidR="00D22A34">
        <w:t xml:space="preserve"> a public figure who </w:t>
      </w:r>
      <w:r w:rsidRPr="002A3213" w:rsidR="00B224D3">
        <w:t>has given</w:t>
      </w:r>
      <w:r w:rsidRPr="002A3213" w:rsidR="00D22A34">
        <w:t xml:space="preserve"> many interviews to the media and </w:t>
      </w:r>
      <w:r w:rsidRPr="002A3213" w:rsidR="00DF08FB">
        <w:t xml:space="preserve">whose </w:t>
      </w:r>
      <w:r w:rsidRPr="002A3213" w:rsidR="00D22A34">
        <w:t>social networking accounts</w:t>
      </w:r>
      <w:r w:rsidRPr="002A3213" w:rsidR="00DF08FB">
        <w:t xml:space="preserve"> have hundreds of followers</w:t>
      </w:r>
      <w:r w:rsidRPr="002A3213" w:rsidR="00D22A34">
        <w:t xml:space="preserve">. </w:t>
      </w:r>
      <w:r w:rsidRPr="002A3213" w:rsidR="00B224D3">
        <w:t>The</w:t>
      </w:r>
      <w:r w:rsidRPr="002A3213" w:rsidR="00A77C4D">
        <w:t>se</w:t>
      </w:r>
      <w:r w:rsidRPr="002A3213" w:rsidR="00B224D3">
        <w:t xml:space="preserve"> accounts </w:t>
      </w:r>
      <w:r w:rsidRPr="002A3213" w:rsidR="00A77C4D">
        <w:t xml:space="preserve">can </w:t>
      </w:r>
      <w:r w:rsidRPr="002A3213" w:rsidR="007B24D5">
        <w:t xml:space="preserve">easily </w:t>
      </w:r>
      <w:r w:rsidRPr="002A3213" w:rsidR="000E337D">
        <w:t xml:space="preserve">be </w:t>
      </w:r>
      <w:r w:rsidRPr="002A3213" w:rsidR="00A77C4D">
        <w:t>found by typing his name and the name of the relevant social network in an Internet search engine. They</w:t>
      </w:r>
      <w:r w:rsidRPr="002A3213" w:rsidR="00B224D3">
        <w:t xml:space="preserve"> contain personal information </w:t>
      </w:r>
      <w:r w:rsidRPr="002A3213" w:rsidR="00EF3120">
        <w:t xml:space="preserve">about him </w:t>
      </w:r>
      <w:r w:rsidRPr="002A3213" w:rsidR="00A77C4D">
        <w:t>–</w:t>
      </w:r>
      <w:r w:rsidRPr="002A3213" w:rsidR="000E337D">
        <w:t xml:space="preserve"> </w:t>
      </w:r>
      <w:r w:rsidRPr="002A3213" w:rsidR="00A77C4D">
        <w:t xml:space="preserve">for example, that he is an LGBT activist, the head of </w:t>
      </w:r>
      <w:r w:rsidRPr="002A3213" w:rsidR="000E337D">
        <w:t xml:space="preserve">the </w:t>
      </w:r>
      <w:r w:rsidRPr="002A3213" w:rsidR="00A77C4D">
        <w:t xml:space="preserve">GayRussia.Ru project and the founder of </w:t>
      </w:r>
      <w:r w:rsidRPr="002A3213" w:rsidR="000E337D">
        <w:t xml:space="preserve">the </w:t>
      </w:r>
      <w:r w:rsidRPr="002A3213" w:rsidR="00A77C4D">
        <w:t xml:space="preserve">Moscow Pride Movement – </w:t>
      </w:r>
      <w:r w:rsidRPr="002A3213" w:rsidR="00B224D3">
        <w:t>and</w:t>
      </w:r>
      <w:r w:rsidRPr="002A3213" w:rsidR="00A77C4D">
        <w:t xml:space="preserve"> personal</w:t>
      </w:r>
      <w:r w:rsidRPr="002A3213" w:rsidR="00B224D3">
        <w:t xml:space="preserve"> photographs, as well as information about his previous and </w:t>
      </w:r>
      <w:r w:rsidRPr="002A3213" w:rsidR="00A77C4D">
        <w:t>pending cases before the Court, including scanned copies of the Court</w:t>
      </w:r>
      <w:r w:rsidRPr="002A3213" w:rsidR="002A3213">
        <w:t>’</w:t>
      </w:r>
      <w:r w:rsidRPr="002A3213" w:rsidR="00A77C4D">
        <w:t xml:space="preserve">s original letters to him. </w:t>
      </w:r>
      <w:r w:rsidRPr="002A3213" w:rsidR="00B224D3">
        <w:t>Moreover, while stating that those were not his “personal” accounts, Mr Al</w:t>
      </w:r>
      <w:r w:rsidRPr="002A3213" w:rsidR="000E337D">
        <w:t>e</w:t>
      </w:r>
      <w:r w:rsidRPr="002A3213" w:rsidR="00B224D3">
        <w:t xml:space="preserve">kseyev did not deny that he </w:t>
      </w:r>
      <w:r w:rsidRPr="002A3213" w:rsidR="005A6CE6">
        <w:t>had been</w:t>
      </w:r>
      <w:r w:rsidRPr="002A3213" w:rsidR="00B224D3">
        <w:t xml:space="preserve"> the author of the statements concerning the Court published </w:t>
      </w:r>
      <w:r w:rsidRPr="002A3213" w:rsidR="000E337D">
        <w:t>on them</w:t>
      </w:r>
      <w:r w:rsidRPr="002A3213" w:rsidR="00B224D3">
        <w:t>.</w:t>
      </w:r>
    </w:p>
    <w:p w:rsidRPr="002A3213" w:rsidR="004F4FD8" w:rsidP="002A3213" w:rsidRDefault="00185938">
      <w:pPr>
        <w:pStyle w:val="ECHRPara"/>
      </w:pPr>
      <w:r w:rsidRPr="002A3213">
        <w:fldChar w:fldCharType="begin"/>
      </w:r>
      <w:r w:rsidRPr="002A3213">
        <w:instrText xml:space="preserve"> SEQ level0 \*arabic </w:instrText>
      </w:r>
      <w:r w:rsidRPr="002A3213">
        <w:fldChar w:fldCharType="separate"/>
      </w:r>
      <w:r w:rsidRPr="002A3213" w:rsidR="002A3213">
        <w:rPr>
          <w:noProof/>
        </w:rPr>
        <w:t>83</w:t>
      </w:r>
      <w:r w:rsidRPr="002A3213">
        <w:fldChar w:fldCharType="end"/>
      </w:r>
      <w:r w:rsidRPr="002A3213">
        <w:t xml:space="preserve">.  The Court further observes that the statements about the Court and </w:t>
      </w:r>
      <w:r w:rsidRPr="002A3213" w:rsidR="00622D5E">
        <w:t xml:space="preserve">its </w:t>
      </w:r>
      <w:r w:rsidRPr="002A3213">
        <w:t xml:space="preserve">judges published on the accounts in question are virulently and personally offensive and threatening. </w:t>
      </w:r>
      <w:r w:rsidRPr="002A3213" w:rsidR="001E2A78">
        <w:t>In particular, Mr Alekseyev published the judges</w:t>
      </w:r>
      <w:r w:rsidRPr="002A3213" w:rsidR="002A3213">
        <w:t>’</w:t>
      </w:r>
      <w:r w:rsidRPr="002A3213" w:rsidR="001E2A78">
        <w:t xml:space="preserve"> photographs with such captions as “alcoholic”, “drug addict”, “corrupt”, </w:t>
      </w:r>
      <w:r w:rsidRPr="002A3213" w:rsidR="00622D5E">
        <w:t xml:space="preserve">and </w:t>
      </w:r>
      <w:r w:rsidRPr="002A3213" w:rsidR="00FB77DD">
        <w:t>“this crone owes me 100,000 euros</w:t>
      </w:r>
      <w:r w:rsidRPr="002A3213" w:rsidR="00EA3C1E">
        <w:t xml:space="preserve"> </w:t>
      </w:r>
      <w:r w:rsidRPr="002A3213" w:rsidR="004F4FD8">
        <w:t>...</w:t>
      </w:r>
      <w:r w:rsidRPr="002A3213" w:rsidR="00FB77DD">
        <w:t xml:space="preserve"> God will punish her”. He also called the judges</w:t>
      </w:r>
      <w:r w:rsidRPr="002A3213" w:rsidR="00742202">
        <w:t>, among other terms</w:t>
      </w:r>
      <w:r w:rsidRPr="002A3213" w:rsidR="006D0BD2">
        <w:t>,</w:t>
      </w:r>
      <w:r w:rsidRPr="002A3213" w:rsidR="00FB77DD">
        <w:t xml:space="preserve"> “European bastards and degenerates”</w:t>
      </w:r>
      <w:r w:rsidRPr="002A3213" w:rsidR="006D0BD2">
        <w:t xml:space="preserve">, “freaks”, “venal scum” and “idiotic”. He wished </w:t>
      </w:r>
      <w:r w:rsidRPr="002A3213" w:rsidR="00622D5E">
        <w:t xml:space="preserve">that </w:t>
      </w:r>
      <w:r w:rsidRPr="002A3213" w:rsidR="006D0BD2">
        <w:t>they</w:t>
      </w:r>
      <w:r w:rsidRPr="002A3213" w:rsidR="00622D5E">
        <w:t xml:space="preserve"> would</w:t>
      </w:r>
      <w:r w:rsidRPr="002A3213" w:rsidR="006D0BD2">
        <w:t xml:space="preserve"> </w:t>
      </w:r>
      <w:r w:rsidRPr="002A3213" w:rsidR="00376756">
        <w:t>“</w:t>
      </w:r>
      <w:r w:rsidRPr="002A3213" w:rsidR="006D0BD2">
        <w:t>snuff it as soon as possible like dogs”</w:t>
      </w:r>
      <w:r w:rsidRPr="002A3213" w:rsidR="00552CDC">
        <w:t xml:space="preserve">, threatened to </w:t>
      </w:r>
      <w:r w:rsidRPr="002A3213" w:rsidR="00EB4DFF">
        <w:t>“</w:t>
      </w:r>
      <w:r w:rsidRPr="002A3213" w:rsidR="00552CDC">
        <w:t xml:space="preserve">torture [them] </w:t>
      </w:r>
      <w:r w:rsidRPr="002A3213" w:rsidR="004F4FD8">
        <w:t>...</w:t>
      </w:r>
      <w:r w:rsidRPr="002A3213" w:rsidR="00552CDC">
        <w:t xml:space="preserve"> with litres of vodka” and announced that “it [was] time to </w:t>
      </w:r>
      <w:r w:rsidRPr="002A3213" w:rsidR="0000622A">
        <w:t xml:space="preserve">set </w:t>
      </w:r>
      <w:r w:rsidRPr="002A3213" w:rsidR="00552CDC">
        <w:t>fire to the European Court of Human Rights”. He also stated</w:t>
      </w:r>
      <w:r w:rsidRPr="002A3213" w:rsidR="00F644CE">
        <w:t>:</w:t>
      </w:r>
      <w:r w:rsidRPr="002A3213" w:rsidR="00552CDC">
        <w:t xml:space="preserve"> “We should not have given wenches </w:t>
      </w:r>
      <w:r w:rsidRPr="002A3213" w:rsidR="00EB4DFF">
        <w:t xml:space="preserve">the right to vote </w:t>
      </w:r>
      <w:r w:rsidRPr="002A3213" w:rsidR="004F4FD8">
        <w:t>...</w:t>
      </w:r>
      <w:r w:rsidRPr="002A3213" w:rsidR="00EB4DFF">
        <w:t xml:space="preserve"> They should be cooking soup”. </w:t>
      </w:r>
      <w:r w:rsidRPr="002A3213" w:rsidR="008C53FB">
        <w:t>These statements clearly exceed the limits of normal, civic and legitimate criticism.</w:t>
      </w:r>
    </w:p>
    <w:p w:rsidRPr="002A3213" w:rsidR="00D60D6A" w:rsidP="002A3213" w:rsidRDefault="001E287A">
      <w:pPr>
        <w:pStyle w:val="ECHRPara"/>
        <w:rPr>
          <w:iCs/>
        </w:rPr>
      </w:pPr>
      <w:r w:rsidRPr="002A3213">
        <w:fldChar w:fldCharType="begin"/>
      </w:r>
      <w:r w:rsidRPr="002A3213">
        <w:instrText xml:space="preserve"> SEQ level0 \*arabic </w:instrText>
      </w:r>
      <w:r w:rsidRPr="002A3213">
        <w:fldChar w:fldCharType="separate"/>
      </w:r>
      <w:r w:rsidRPr="002A3213" w:rsidR="002A3213">
        <w:rPr>
          <w:noProof/>
        </w:rPr>
        <w:t>84</w:t>
      </w:r>
      <w:r w:rsidRPr="002A3213">
        <w:fldChar w:fldCharType="end"/>
      </w:r>
      <w:r w:rsidRPr="002A3213">
        <w:t>. </w:t>
      </w:r>
      <w:r w:rsidRPr="002A3213" w:rsidR="00660528">
        <w:t> </w:t>
      </w:r>
      <w:r w:rsidRPr="002A3213" w:rsidR="006A5078">
        <w:t xml:space="preserve">The Court takes note of the fact </w:t>
      </w:r>
      <w:r w:rsidRPr="002A3213">
        <w:t xml:space="preserve">that </w:t>
      </w:r>
      <w:r w:rsidRPr="002A3213" w:rsidR="009849B1">
        <w:t xml:space="preserve">the above comments </w:t>
      </w:r>
      <w:r w:rsidRPr="002A3213">
        <w:t xml:space="preserve">were made </w:t>
      </w:r>
      <w:r w:rsidRPr="002A3213" w:rsidR="009849B1">
        <w:t>in</w:t>
      </w:r>
      <w:r w:rsidRPr="002A3213">
        <w:t xml:space="preserve"> reaction </w:t>
      </w:r>
      <w:r w:rsidRPr="002A3213" w:rsidR="00AC558E">
        <w:t xml:space="preserve">to </w:t>
      </w:r>
      <w:r w:rsidRPr="002A3213">
        <w:t>the</w:t>
      </w:r>
      <w:r w:rsidRPr="002A3213" w:rsidR="009849B1">
        <w:t xml:space="preserve"> Court</w:t>
      </w:r>
      <w:r w:rsidRPr="002A3213" w:rsidR="002A3213">
        <w:t>’</w:t>
      </w:r>
      <w:r w:rsidRPr="002A3213" w:rsidR="009849B1">
        <w:t>s judgment in the</w:t>
      </w:r>
      <w:r w:rsidRPr="002A3213">
        <w:t xml:space="preserve"> case of </w:t>
      </w:r>
      <w:r w:rsidRPr="002A3213">
        <w:rPr>
          <w:i/>
        </w:rPr>
        <w:t xml:space="preserve">Alekseyev and Others </w:t>
      </w:r>
      <w:r w:rsidRPr="002A3213">
        <w:t xml:space="preserve">(cited above), </w:t>
      </w:r>
      <w:r w:rsidRPr="002A3213" w:rsidR="009849B1">
        <w:t>that is outside the context of</w:t>
      </w:r>
      <w:r w:rsidRPr="002A3213">
        <w:t xml:space="preserve"> the present case. Howeve</w:t>
      </w:r>
      <w:r w:rsidRPr="002A3213" w:rsidR="006A5078">
        <w:t xml:space="preserve">r, it also takes into account that, by publishing </w:t>
      </w:r>
      <w:r w:rsidRPr="002A3213" w:rsidR="00C04A85">
        <w:t>the impugned statements</w:t>
      </w:r>
      <w:r w:rsidRPr="002A3213">
        <w:t xml:space="preserve"> on social networking accounts accessible to all, </w:t>
      </w:r>
      <w:r w:rsidRPr="002A3213" w:rsidR="003D1DAB">
        <w:t>Mr Alekseyev</w:t>
      </w:r>
      <w:r w:rsidRPr="002A3213" w:rsidR="006A5078">
        <w:t xml:space="preserve"> sought</w:t>
      </w:r>
      <w:r w:rsidRPr="002A3213" w:rsidR="006A5078">
        <w:rPr>
          <w:iCs/>
          <w:lang w:val="en-US"/>
        </w:rPr>
        <w:t xml:space="preserve"> to ensure the widest possible circulation of his accusations and insults and thereby provided evidence of his determination to harm and tarnish the image and reputation of the institution of the European Court of Human Rights and its members (see </w:t>
      </w:r>
      <w:r w:rsidRPr="002A3213" w:rsidR="006A5078">
        <w:rPr>
          <w:i/>
          <w:iCs/>
          <w:lang w:val="en-US"/>
        </w:rPr>
        <w:t>Duringer and Grunge c. France</w:t>
      </w:r>
      <w:r w:rsidRPr="002A3213" w:rsidR="006A5078">
        <w:rPr>
          <w:iCs/>
          <w:lang w:val="en-US"/>
        </w:rPr>
        <w:t xml:space="preserve"> (dec.), nos. 61164/00 and 18589/02, 4 February 2003, and </w:t>
      </w:r>
      <w:r w:rsidRPr="002A3213" w:rsidR="006A5078">
        <w:rPr>
          <w:i/>
          <w:iCs/>
          <w:lang w:val="en-US"/>
        </w:rPr>
        <w:t>Řehák v. the Czech Republic</w:t>
      </w:r>
      <w:r w:rsidRPr="002A3213" w:rsidR="006A5078">
        <w:rPr>
          <w:iCs/>
          <w:lang w:val="en-US"/>
        </w:rPr>
        <w:t xml:space="preserve"> (dec.), no</w:t>
      </w:r>
      <w:r w:rsidRPr="002A3213" w:rsidR="003E7C6D">
        <w:rPr>
          <w:iCs/>
          <w:lang w:val="en-US"/>
        </w:rPr>
        <w:t>. </w:t>
      </w:r>
      <w:r w:rsidRPr="002A3213" w:rsidR="006A5078">
        <w:rPr>
          <w:iCs/>
          <w:lang w:val="en-US"/>
        </w:rPr>
        <w:t xml:space="preserve">67208/01, 18 May 2004). The </w:t>
      </w:r>
      <w:r w:rsidRPr="002A3213">
        <w:rPr>
          <w:iCs/>
          <w:lang w:val="en-US"/>
        </w:rPr>
        <w:t>Court</w:t>
      </w:r>
      <w:r w:rsidRPr="002A3213">
        <w:rPr>
          <w:i/>
          <w:iCs/>
          <w:lang w:val="en-US"/>
        </w:rPr>
        <w:t xml:space="preserve"> </w:t>
      </w:r>
      <w:r w:rsidRPr="002A3213" w:rsidR="006A5078">
        <w:rPr>
          <w:iCs/>
          <w:lang w:val="en-US"/>
        </w:rPr>
        <w:t xml:space="preserve">therefore </w:t>
      </w:r>
      <w:r w:rsidRPr="002A3213">
        <w:rPr>
          <w:iCs/>
          <w:lang w:val="en-US"/>
        </w:rPr>
        <w:t>sent a letter</w:t>
      </w:r>
      <w:r w:rsidRPr="002A3213" w:rsidR="006A5078">
        <w:rPr>
          <w:iCs/>
          <w:lang w:val="en-US"/>
        </w:rPr>
        <w:t xml:space="preserve"> to </w:t>
      </w:r>
      <w:r w:rsidRPr="002A3213" w:rsidR="003D1DAB">
        <w:rPr>
          <w:iCs/>
          <w:lang w:val="en-US"/>
        </w:rPr>
        <w:t>Mr Alekseyev</w:t>
      </w:r>
      <w:r w:rsidRPr="002A3213" w:rsidR="006A5078">
        <w:rPr>
          <w:iCs/>
          <w:lang w:val="en-US"/>
        </w:rPr>
        <w:t xml:space="preserve"> referring to all his pending applications</w:t>
      </w:r>
      <w:r w:rsidRPr="002A3213" w:rsidR="000C4602">
        <w:rPr>
          <w:iCs/>
          <w:lang w:val="en-US"/>
        </w:rPr>
        <w:t xml:space="preserve"> and</w:t>
      </w:r>
      <w:r w:rsidRPr="002A3213" w:rsidR="006A5078">
        <w:rPr>
          <w:iCs/>
          <w:lang w:val="en-US"/>
        </w:rPr>
        <w:t xml:space="preserve"> war</w:t>
      </w:r>
      <w:r w:rsidRPr="002A3213" w:rsidR="00802F73">
        <w:rPr>
          <w:iCs/>
          <w:lang w:val="en-US"/>
        </w:rPr>
        <w:t>n</w:t>
      </w:r>
      <w:r w:rsidRPr="002A3213" w:rsidR="006A5078">
        <w:rPr>
          <w:iCs/>
          <w:lang w:val="en-US"/>
        </w:rPr>
        <w:t xml:space="preserve">ing him </w:t>
      </w:r>
      <w:r w:rsidRPr="002A3213">
        <w:rPr>
          <w:iCs/>
          <w:lang w:val="en-US"/>
        </w:rPr>
        <w:t xml:space="preserve">that such statements might amount to </w:t>
      </w:r>
      <w:r w:rsidRPr="002A3213" w:rsidR="006A5078">
        <w:rPr>
          <w:iCs/>
          <w:lang w:val="en-US"/>
        </w:rPr>
        <w:t xml:space="preserve">an </w:t>
      </w:r>
      <w:r w:rsidRPr="002A3213">
        <w:rPr>
          <w:iCs/>
          <w:lang w:val="en-US"/>
        </w:rPr>
        <w:t xml:space="preserve">abuse of right </w:t>
      </w:r>
      <w:r w:rsidRPr="002A3213" w:rsidR="000C4602">
        <w:rPr>
          <w:iCs/>
          <w:lang w:val="en-US"/>
        </w:rPr>
        <w:t>of petition.</w:t>
      </w:r>
      <w:r w:rsidRPr="002A3213" w:rsidR="00D60D6A">
        <w:rPr>
          <w:iCs/>
          <w:lang w:val="en-US"/>
        </w:rPr>
        <w:t xml:space="preserve"> </w:t>
      </w:r>
      <w:r w:rsidRPr="002A3213" w:rsidR="003E7C6D">
        <w:rPr>
          <w:iCs/>
        </w:rPr>
        <w:t xml:space="preserve">Mr Alekseyev has not however withdrawn his statements which are still visible on his social networking accounts. Most importantly, he has since published new offensive statements about the </w:t>
      </w:r>
      <w:r w:rsidRPr="002A3213" w:rsidR="007756EE">
        <w:rPr>
          <w:iCs/>
        </w:rPr>
        <w:t>Court</w:t>
      </w:r>
      <w:r w:rsidRPr="002A3213" w:rsidR="00041A38">
        <w:rPr>
          <w:iCs/>
        </w:rPr>
        <w:t xml:space="preserve">, in particular </w:t>
      </w:r>
      <w:r w:rsidRPr="002A3213" w:rsidR="00A07628">
        <w:rPr>
          <w:iCs/>
        </w:rPr>
        <w:t>describing it as “a rubbish heap” a</w:t>
      </w:r>
      <w:r w:rsidRPr="002A3213" w:rsidR="002A289F">
        <w:rPr>
          <w:iCs/>
        </w:rPr>
        <w:t>nd calling its j</w:t>
      </w:r>
      <w:r w:rsidRPr="002A3213" w:rsidR="00A07628">
        <w:rPr>
          <w:iCs/>
        </w:rPr>
        <w:t>udges</w:t>
      </w:r>
      <w:r w:rsidRPr="002A3213" w:rsidR="00041A38">
        <w:rPr>
          <w:iCs/>
        </w:rPr>
        <w:t xml:space="preserve"> </w:t>
      </w:r>
      <w:r w:rsidRPr="002A3213" w:rsidR="00041A38">
        <w:rPr>
          <w:iCs/>
          <w:lang w:val="en-US"/>
        </w:rPr>
        <w:t xml:space="preserve">“European corrupt scum” </w:t>
      </w:r>
      <w:r w:rsidRPr="002A3213" w:rsidR="00041A38">
        <w:rPr>
          <w:iCs/>
        </w:rPr>
        <w:t>and “homophobic”. Th</w:t>
      </w:r>
      <w:r w:rsidRPr="002A3213" w:rsidR="00AC2D3D">
        <w:rPr>
          <w:iCs/>
        </w:rPr>
        <w:t>e</w:t>
      </w:r>
      <w:r w:rsidRPr="002A3213" w:rsidR="00A07628">
        <w:rPr>
          <w:iCs/>
        </w:rPr>
        <w:t>se</w:t>
      </w:r>
      <w:r w:rsidRPr="002A3213" w:rsidR="00AC2D3D">
        <w:rPr>
          <w:iCs/>
        </w:rPr>
        <w:t xml:space="preserve"> statements published after the warning that explicitly mentioned the present applications can therefore be considered </w:t>
      </w:r>
      <w:r w:rsidRPr="002A3213" w:rsidR="0090467D">
        <w:rPr>
          <w:iCs/>
        </w:rPr>
        <w:t>to be</w:t>
      </w:r>
      <w:r w:rsidRPr="002A3213" w:rsidR="00AC2D3D">
        <w:rPr>
          <w:iCs/>
        </w:rPr>
        <w:t xml:space="preserve"> </w:t>
      </w:r>
      <w:r w:rsidRPr="002A3213" w:rsidR="00041A38">
        <w:rPr>
          <w:iCs/>
        </w:rPr>
        <w:t xml:space="preserve">connected with </w:t>
      </w:r>
      <w:r w:rsidRPr="002A3213" w:rsidR="00A07628">
        <w:rPr>
          <w:iCs/>
        </w:rPr>
        <w:t>them</w:t>
      </w:r>
      <w:r w:rsidRPr="002A3213" w:rsidR="00AC2D3D">
        <w:rPr>
          <w:iCs/>
        </w:rPr>
        <w:t>.</w:t>
      </w:r>
    </w:p>
    <w:p w:rsidRPr="002A3213" w:rsidR="00181D03" w:rsidP="002A3213" w:rsidRDefault="001513F6">
      <w:pPr>
        <w:pStyle w:val="ECHRPara"/>
        <w:rPr>
          <w:iCs/>
        </w:rPr>
      </w:pPr>
      <w:r w:rsidRPr="002A3213">
        <w:rPr>
          <w:iCs/>
        </w:rPr>
        <w:fldChar w:fldCharType="begin"/>
      </w:r>
      <w:r w:rsidRPr="002A3213">
        <w:rPr>
          <w:iCs/>
        </w:rPr>
        <w:instrText xml:space="preserve"> SEQ level0 \*arabic </w:instrText>
      </w:r>
      <w:r w:rsidRPr="002A3213">
        <w:rPr>
          <w:iCs/>
        </w:rPr>
        <w:fldChar w:fldCharType="separate"/>
      </w:r>
      <w:r w:rsidRPr="002A3213" w:rsidR="002A3213">
        <w:rPr>
          <w:iCs/>
          <w:noProof/>
        </w:rPr>
        <w:t>85</w:t>
      </w:r>
      <w:r w:rsidRPr="002A3213">
        <w:rPr>
          <w:iCs/>
        </w:rPr>
        <w:fldChar w:fldCharType="end"/>
      </w:r>
      <w:r w:rsidRPr="002A3213">
        <w:rPr>
          <w:iCs/>
        </w:rPr>
        <w:t>.  </w:t>
      </w:r>
      <w:r w:rsidRPr="002A3213" w:rsidR="003E7C6D">
        <w:rPr>
          <w:iCs/>
        </w:rPr>
        <w:t xml:space="preserve">The Court considers that </w:t>
      </w:r>
      <w:r w:rsidRPr="002A3213">
        <w:rPr>
          <w:iCs/>
        </w:rPr>
        <w:t>b</w:t>
      </w:r>
      <w:r w:rsidRPr="002A3213" w:rsidR="007756EE">
        <w:rPr>
          <w:iCs/>
        </w:rPr>
        <w:t>y continuing</w:t>
      </w:r>
      <w:r w:rsidRPr="002A3213">
        <w:rPr>
          <w:iCs/>
        </w:rPr>
        <w:t xml:space="preserve"> to publish insults about the Court and it</w:t>
      </w:r>
      <w:r w:rsidRPr="002A3213" w:rsidR="002A289F">
        <w:rPr>
          <w:iCs/>
        </w:rPr>
        <w:t xml:space="preserve">s </w:t>
      </w:r>
      <w:r w:rsidRPr="002A3213" w:rsidR="00383326">
        <w:rPr>
          <w:iCs/>
        </w:rPr>
        <w:t>j</w:t>
      </w:r>
      <w:r w:rsidRPr="002A3213">
        <w:rPr>
          <w:iCs/>
        </w:rPr>
        <w:t>udges</w:t>
      </w:r>
      <w:r w:rsidRPr="002A3213" w:rsidR="007756EE">
        <w:rPr>
          <w:iCs/>
        </w:rPr>
        <w:t xml:space="preserve"> </w:t>
      </w:r>
      <w:r w:rsidRPr="002A3213">
        <w:rPr>
          <w:iCs/>
        </w:rPr>
        <w:t>after the warning</w:t>
      </w:r>
      <w:r w:rsidRPr="002A3213" w:rsidR="007756EE">
        <w:rPr>
          <w:iCs/>
        </w:rPr>
        <w:t xml:space="preserve">, the applicant </w:t>
      </w:r>
      <w:r w:rsidRPr="002A3213" w:rsidR="0090467D">
        <w:rPr>
          <w:iCs/>
        </w:rPr>
        <w:t xml:space="preserve">has </w:t>
      </w:r>
      <w:r w:rsidRPr="002A3213" w:rsidR="00575285">
        <w:rPr>
          <w:iCs/>
        </w:rPr>
        <w:t>show</w:t>
      </w:r>
      <w:r w:rsidRPr="002A3213" w:rsidR="0090467D">
        <w:rPr>
          <w:iCs/>
        </w:rPr>
        <w:t>n</w:t>
      </w:r>
      <w:r w:rsidRPr="002A3213" w:rsidR="00575285">
        <w:rPr>
          <w:iCs/>
        </w:rPr>
        <w:t xml:space="preserve"> disrespect to the very institution to which he had applied for the protection of his rights.</w:t>
      </w:r>
      <w:r w:rsidRPr="002A3213" w:rsidR="00222B7E">
        <w:rPr>
          <w:b/>
          <w:bCs/>
          <w:i/>
          <w:iCs/>
          <w:sz w:val="28"/>
          <w:szCs w:val="28"/>
        </w:rPr>
        <w:t xml:space="preserve"> </w:t>
      </w:r>
      <w:r w:rsidRPr="002A3213" w:rsidR="00222B7E">
        <w:rPr>
          <w:bCs/>
          <w:iCs/>
        </w:rPr>
        <w:t>Indeed, it is unacceptable to seek the protection of a court in which the applicant has lost all trust.</w:t>
      </w:r>
      <w:r w:rsidRPr="002A3213" w:rsidR="00575285">
        <w:rPr>
          <w:iCs/>
        </w:rPr>
        <w:t xml:space="preserve"> His conduct </w:t>
      </w:r>
      <w:r w:rsidRPr="002A3213" w:rsidR="003D1DAB">
        <w:rPr>
          <w:iCs/>
        </w:rPr>
        <w:t>constitutes</w:t>
      </w:r>
      <w:r w:rsidRPr="002A3213" w:rsidR="00575285">
        <w:rPr>
          <w:iCs/>
        </w:rPr>
        <w:t xml:space="preserve"> </w:t>
      </w:r>
      <w:r w:rsidRPr="002A3213" w:rsidR="000A6C98">
        <w:rPr>
          <w:bCs/>
          <w:iCs/>
        </w:rPr>
        <w:t>“</w:t>
      </w:r>
      <w:r w:rsidRPr="002A3213" w:rsidR="00575285">
        <w:rPr>
          <w:bCs/>
          <w:iCs/>
        </w:rPr>
        <w:t>a vexing manifestation</w:t>
      </w:r>
      <w:r w:rsidRPr="002A3213" w:rsidR="000A6C98">
        <w:rPr>
          <w:bCs/>
          <w:iCs/>
        </w:rPr>
        <w:t xml:space="preserve"> of irresponsibility and a frivolous attitude towards the C</w:t>
      </w:r>
      <w:r w:rsidRPr="002A3213" w:rsidR="00575285">
        <w:rPr>
          <w:bCs/>
          <w:iCs/>
        </w:rPr>
        <w:t xml:space="preserve">ourt”, amounting to contempt </w:t>
      </w:r>
      <w:r w:rsidRPr="002A3213" w:rsidR="000A6C98">
        <w:rPr>
          <w:bCs/>
          <w:iCs/>
        </w:rPr>
        <w:t xml:space="preserve">(see </w:t>
      </w:r>
      <w:r w:rsidRPr="002A3213" w:rsidR="000A6C98">
        <w:rPr>
          <w:bCs/>
          <w:i/>
          <w:iCs/>
        </w:rPr>
        <w:t>The Georgian Labour Party</w:t>
      </w:r>
      <w:r w:rsidRPr="002A3213" w:rsidR="00575285">
        <w:rPr>
          <w:bCs/>
          <w:i/>
          <w:iCs/>
        </w:rPr>
        <w:t xml:space="preserve">, </w:t>
      </w:r>
      <w:r w:rsidRPr="002A3213" w:rsidR="00575285">
        <w:rPr>
          <w:bCs/>
          <w:iCs/>
        </w:rPr>
        <w:t>cited above)</w:t>
      </w:r>
      <w:r w:rsidRPr="002A3213" w:rsidR="00D95D35">
        <w:rPr>
          <w:bCs/>
          <w:iCs/>
        </w:rPr>
        <w:t>,</w:t>
      </w:r>
      <w:r w:rsidRPr="002A3213" w:rsidR="00575285">
        <w:rPr>
          <w:bCs/>
          <w:iCs/>
        </w:rPr>
        <w:t xml:space="preserve"> and is therefore contrary</w:t>
      </w:r>
      <w:r w:rsidRPr="002A3213" w:rsidR="003D1DAB">
        <w:rPr>
          <w:iCs/>
        </w:rPr>
        <w:t xml:space="preserve"> to </w:t>
      </w:r>
      <w:r w:rsidRPr="002A3213" w:rsidR="00181D03">
        <w:rPr>
          <w:iCs/>
        </w:rPr>
        <w:t>the purpose of the right of individual application, as provided for in Articles 34 and 35 of the Convention. It constitutes an abuse of the right of application within the meaning of Article 35 § 3 (a) of the Convention.</w:t>
      </w:r>
    </w:p>
    <w:p w:rsidRPr="002A3213" w:rsidR="00D60D6A" w:rsidP="002A3213" w:rsidRDefault="002F751C">
      <w:pPr>
        <w:pStyle w:val="ECHRPara"/>
        <w:rPr>
          <w:iCs/>
        </w:rPr>
      </w:pPr>
      <w:r w:rsidRPr="002A3213">
        <w:rPr>
          <w:iCs/>
        </w:rPr>
        <w:fldChar w:fldCharType="begin"/>
      </w:r>
      <w:r w:rsidRPr="002A3213">
        <w:rPr>
          <w:iCs/>
        </w:rPr>
        <w:instrText xml:space="preserve"> SEQ level0 \*arabic </w:instrText>
      </w:r>
      <w:r w:rsidRPr="002A3213">
        <w:rPr>
          <w:iCs/>
        </w:rPr>
        <w:fldChar w:fldCharType="separate"/>
      </w:r>
      <w:r w:rsidRPr="002A3213" w:rsidR="002A3213">
        <w:rPr>
          <w:iCs/>
          <w:noProof/>
        </w:rPr>
        <w:t>86</w:t>
      </w:r>
      <w:r w:rsidRPr="002A3213">
        <w:rPr>
          <w:iCs/>
        </w:rPr>
        <w:fldChar w:fldCharType="end"/>
      </w:r>
      <w:r w:rsidRPr="002A3213">
        <w:rPr>
          <w:iCs/>
        </w:rPr>
        <w:t>.  </w:t>
      </w:r>
      <w:r w:rsidRPr="002A3213" w:rsidR="00181D03">
        <w:rPr>
          <w:iCs/>
        </w:rPr>
        <w:t>It follows that the complaints lodged by Mr Alekseyev must be declared inadmissible as an abuse of the right of application, pursuant to Article 35 §§ 3 (a) and 4 of the Convention.</w:t>
      </w:r>
      <w:r w:rsidRPr="002A3213" w:rsidR="00181D03">
        <w:rPr>
          <w:i/>
          <w:iCs/>
        </w:rPr>
        <w:t xml:space="preserve"> </w:t>
      </w:r>
      <w:r w:rsidRPr="002A3213" w:rsidR="00181D03">
        <w:rPr>
          <w:iCs/>
        </w:rPr>
        <w:t xml:space="preserve">This </w:t>
      </w:r>
      <w:r w:rsidRPr="002A3213" w:rsidR="003D1DAB">
        <w:rPr>
          <w:iCs/>
        </w:rPr>
        <w:t>finding</w:t>
      </w:r>
      <w:r w:rsidRPr="002A3213" w:rsidR="00181D03">
        <w:rPr>
          <w:iCs/>
        </w:rPr>
        <w:t xml:space="preserve"> of inadmissibility, exclusive to Mr Alekseyev, does not </w:t>
      </w:r>
      <w:r w:rsidRPr="002A3213" w:rsidR="003D1DAB">
        <w:rPr>
          <w:iCs/>
        </w:rPr>
        <w:t>prevent the Court from examining the merits of the case, and in particular of applications nos. 35949/11 and 58282/12 in so far as brought by the other applicants.</w:t>
      </w:r>
    </w:p>
    <w:p w:rsidRPr="002A3213" w:rsidR="00132C20" w:rsidP="002A3213" w:rsidRDefault="00132C20">
      <w:pPr>
        <w:pStyle w:val="ECHRHeading1"/>
      </w:pPr>
      <w:r w:rsidRPr="002A3213">
        <w:t>I</w:t>
      </w:r>
      <w:r w:rsidRPr="002A3213" w:rsidR="00D70CDB">
        <w:t>I</w:t>
      </w:r>
      <w:r w:rsidRPr="002A3213" w:rsidR="00366CCC">
        <w:t>I</w:t>
      </w:r>
      <w:r w:rsidRPr="002A3213">
        <w:t>.  ALLEGED VIOLATION OF ARTICLE 6 OF THE CONVENTION</w:t>
      </w:r>
    </w:p>
    <w:p w:rsidRPr="002A3213" w:rsidR="00734B4E" w:rsidP="002A3213" w:rsidRDefault="00734B4E">
      <w:pPr>
        <w:pStyle w:val="ECHRPara"/>
      </w:pPr>
      <w:r w:rsidRPr="002A3213">
        <w:fldChar w:fldCharType="begin"/>
      </w:r>
      <w:r w:rsidRPr="002A3213">
        <w:instrText xml:space="preserve"> SEQ level0 \*arabic </w:instrText>
      </w:r>
      <w:r w:rsidRPr="002A3213">
        <w:fldChar w:fldCharType="separate"/>
      </w:r>
      <w:r w:rsidRPr="002A3213" w:rsidR="002A3213">
        <w:rPr>
          <w:noProof/>
        </w:rPr>
        <w:t>87</w:t>
      </w:r>
      <w:r w:rsidRPr="002A3213">
        <w:fldChar w:fldCharType="end"/>
      </w:r>
      <w:r w:rsidRPr="002A3213">
        <w:t xml:space="preserve">.  The applicants in application no. 58282/12 complained that </w:t>
      </w:r>
      <w:r w:rsidRPr="002A3213" w:rsidR="006840B0">
        <w:t>the refusal to examine their appeal on the merits breached their right of access to a court. They relied on Article 6 § 1</w:t>
      </w:r>
      <w:r w:rsidRPr="002A3213" w:rsidR="00EB6807">
        <w:t>,</w:t>
      </w:r>
      <w:r w:rsidRPr="002A3213" w:rsidR="006840B0">
        <w:t xml:space="preserve"> the relevant par</w:t>
      </w:r>
      <w:r w:rsidRPr="002A3213" w:rsidR="00954F22">
        <w:t>ts of which read:</w:t>
      </w:r>
    </w:p>
    <w:p w:rsidRPr="002A3213" w:rsidR="00EF05F4" w:rsidP="002A3213" w:rsidRDefault="00EF05F4">
      <w:pPr>
        <w:pStyle w:val="ECHRParaQuote"/>
      </w:pPr>
      <w:r w:rsidRPr="002A3213">
        <w:t>“In the determination of his civil rights and obligations ... everyone is entitled to a fair ... hearing ... by [a] ... tribunal ...”</w:t>
      </w:r>
    </w:p>
    <w:p w:rsidRPr="002A3213" w:rsidR="00093FD6" w:rsidP="002A3213" w:rsidRDefault="00D454CF">
      <w:pPr>
        <w:pStyle w:val="ECHRHeading2"/>
      </w:pPr>
      <w:r w:rsidRPr="002A3213">
        <w:t>A.  </w:t>
      </w:r>
      <w:r w:rsidRPr="002A3213" w:rsidR="004760BB">
        <w:t>Admissibility</w:t>
      </w:r>
    </w:p>
    <w:p w:rsidRPr="002A3213" w:rsidR="00C86BCC" w:rsidP="002A3213" w:rsidRDefault="00C86BCC">
      <w:pPr>
        <w:pStyle w:val="ECHRPara"/>
      </w:pPr>
      <w:r w:rsidRPr="002A3213">
        <w:fldChar w:fldCharType="begin"/>
      </w:r>
      <w:r w:rsidRPr="002A3213">
        <w:instrText xml:space="preserve"> SEQ level0 \*arabic </w:instrText>
      </w:r>
      <w:r w:rsidRPr="002A3213">
        <w:fldChar w:fldCharType="separate"/>
      </w:r>
      <w:r w:rsidRPr="002A3213" w:rsidR="002A3213">
        <w:rPr>
          <w:noProof/>
        </w:rPr>
        <w:t>88</w:t>
      </w:r>
      <w:r w:rsidRPr="002A3213">
        <w:fldChar w:fldCharType="end"/>
      </w:r>
      <w:r w:rsidRPr="002A3213">
        <w:t xml:space="preserve">.  The Court has on several occasions found that Article 6 was applicable under its civil head to domestic proceedings concerning the rights to freedom of assembly or association (see, for example, </w:t>
      </w:r>
      <w:r w:rsidRPr="002A3213">
        <w:rPr>
          <w:i/>
          <w:iCs/>
        </w:rPr>
        <w:t>APEH Üldözötteinek Szövetsége and Others v. Hungary</w:t>
      </w:r>
      <w:r w:rsidRPr="002A3213">
        <w:t>, no. 32367/96, §§ 34-36, ECHR 2000</w:t>
      </w:r>
      <w:r w:rsidRPr="002A3213" w:rsidR="00EB6807">
        <w:t>-</w:t>
      </w:r>
      <w:r w:rsidRPr="002A3213">
        <w:t xml:space="preserve">X; </w:t>
      </w:r>
      <w:r w:rsidRPr="002A3213">
        <w:rPr>
          <w:i/>
          <w:iCs/>
        </w:rPr>
        <w:t>Kuznetsov and Others v. Russia</w:t>
      </w:r>
      <w:r w:rsidRPr="002A3213">
        <w:t xml:space="preserve">, no. 184/02, §§ 79-85, 11 January 2007; </w:t>
      </w:r>
      <w:r w:rsidRPr="002A3213">
        <w:rPr>
          <w:i/>
          <w:iCs/>
        </w:rPr>
        <w:t>Sakellaropoulos v. Greece</w:t>
      </w:r>
      <w:r w:rsidRPr="002A3213">
        <w:t xml:space="preserve"> (dec.), no. 38110/08, 6 January 2011; and </w:t>
      </w:r>
      <w:r w:rsidRPr="002A3213">
        <w:rPr>
          <w:i/>
        </w:rPr>
        <w:t>Lashmankin and Others v. Russia</w:t>
      </w:r>
      <w:r w:rsidRPr="002A3213">
        <w:t>,</w:t>
      </w:r>
      <w:r w:rsidRPr="002A3213" w:rsidR="00D454CF">
        <w:t xml:space="preserve"> nos. 57818/09 and 14 others, § </w:t>
      </w:r>
      <w:r w:rsidRPr="002A3213">
        <w:t>494, 7 February 2017). It does not see any reason to depart from that finding in the present case.</w:t>
      </w:r>
    </w:p>
    <w:p w:rsidRPr="002A3213" w:rsidR="004760BB" w:rsidP="002A3213" w:rsidRDefault="004760BB">
      <w:pPr>
        <w:pStyle w:val="ECHRPara"/>
      </w:pPr>
      <w:r w:rsidRPr="002A3213">
        <w:fldChar w:fldCharType="begin"/>
      </w:r>
      <w:r w:rsidRPr="002A3213">
        <w:instrText xml:space="preserve"> SEQ level0 \*arabic </w:instrText>
      </w:r>
      <w:r w:rsidRPr="002A3213">
        <w:fldChar w:fldCharType="separate"/>
      </w:r>
      <w:r w:rsidRPr="002A3213" w:rsidR="002A3213">
        <w:rPr>
          <w:noProof/>
        </w:rPr>
        <w:t>89</w:t>
      </w:r>
      <w:r w:rsidRPr="002A3213">
        <w:fldChar w:fldCharType="end"/>
      </w:r>
      <w:r w:rsidRPr="002A3213">
        <w:t>.  The Court notes that this complaint is not manifestly ill-founded within the meaning of Article 35 § 3 (a) of the Convention. It further notes that it is not inadmissible on any other grounds. It must therefore be declared admissible.</w:t>
      </w:r>
    </w:p>
    <w:p w:rsidRPr="002A3213" w:rsidR="004760BB" w:rsidP="002A3213" w:rsidRDefault="004760BB">
      <w:pPr>
        <w:pStyle w:val="ECHRHeading2"/>
      </w:pPr>
      <w:r w:rsidRPr="002A3213">
        <w:t>B.  Merits</w:t>
      </w:r>
    </w:p>
    <w:p w:rsidRPr="002A3213" w:rsidR="00132C20" w:rsidP="002A3213" w:rsidRDefault="00D454CF">
      <w:pPr>
        <w:pStyle w:val="ECHRHeading3"/>
      </w:pPr>
      <w:r w:rsidRPr="002A3213">
        <w:t>1.  </w:t>
      </w:r>
      <w:r w:rsidRPr="002A3213" w:rsidR="004760BB">
        <w:t>Submissions by the parties</w:t>
      </w:r>
    </w:p>
    <w:p w:rsidRPr="002A3213" w:rsidR="005D59EB" w:rsidP="002A3213" w:rsidRDefault="00132C20">
      <w:pPr>
        <w:pStyle w:val="ECHRPara"/>
      </w:pPr>
      <w:r w:rsidRPr="002A3213">
        <w:fldChar w:fldCharType="begin"/>
      </w:r>
      <w:r w:rsidRPr="002A3213">
        <w:instrText xml:space="preserve"> SEQ level0 \*arabic </w:instrText>
      </w:r>
      <w:r w:rsidRPr="002A3213">
        <w:fldChar w:fldCharType="separate"/>
      </w:r>
      <w:r w:rsidRPr="002A3213" w:rsidR="002A3213">
        <w:rPr>
          <w:noProof/>
        </w:rPr>
        <w:t>90</w:t>
      </w:r>
      <w:r w:rsidRPr="002A3213">
        <w:fldChar w:fldCharType="end"/>
      </w:r>
      <w:r w:rsidRPr="002A3213">
        <w:t xml:space="preserve">.  The Government submitted that </w:t>
      </w:r>
      <w:r w:rsidRPr="002A3213" w:rsidR="009E1E3E">
        <w:t>the applicants had lodged their appeal against the judgment of</w:t>
      </w:r>
      <w:r w:rsidRPr="002A3213" w:rsidR="00EC0548">
        <w:t xml:space="preserve"> 20 February 2012 </w:t>
      </w:r>
      <w:r w:rsidRPr="002A3213" w:rsidR="009E1E3E">
        <w:t>outside the one-month time-limit established by domestic law. That time-limit had started to run on 20 February 2012</w:t>
      </w:r>
      <w:r w:rsidRPr="002A3213" w:rsidR="00EB6807">
        <w:t>,</w:t>
      </w:r>
      <w:r w:rsidRPr="002A3213" w:rsidR="009E1E3E">
        <w:t xml:space="preserve"> when the Di</w:t>
      </w:r>
      <w:r w:rsidRPr="002A3213" w:rsidR="009875F8">
        <w:t>strict Court had pronounced its</w:t>
      </w:r>
      <w:r w:rsidRPr="002A3213" w:rsidR="00EC0548">
        <w:t xml:space="preserve"> </w:t>
      </w:r>
      <w:r w:rsidRPr="002A3213" w:rsidR="009E1E3E">
        <w:t>judgment</w:t>
      </w:r>
      <w:r w:rsidRPr="002A3213" w:rsidR="009875F8">
        <w:t xml:space="preserve">. According to the Government, it </w:t>
      </w:r>
      <w:r w:rsidRPr="002A3213" w:rsidR="00EB6807">
        <w:t xml:space="preserve">appeared </w:t>
      </w:r>
      <w:r w:rsidRPr="002A3213" w:rsidR="009875F8">
        <w:t>from the minutes of that hearing that the District Court had pronounced the entire text of the reasoned judgment, as</w:t>
      </w:r>
      <w:r w:rsidRPr="002A3213" w:rsidR="005570C6">
        <w:t xml:space="preserve"> it would otherwis</w:t>
      </w:r>
      <w:r w:rsidRPr="002A3213" w:rsidR="009875F8">
        <w:t xml:space="preserve">e </w:t>
      </w:r>
      <w:r w:rsidRPr="002A3213" w:rsidR="00EB6807">
        <w:t xml:space="preserve">have been </w:t>
      </w:r>
      <w:r w:rsidRPr="002A3213" w:rsidR="009875F8">
        <w:t xml:space="preserve">indicated in the minutes that only </w:t>
      </w:r>
      <w:r w:rsidRPr="002A3213" w:rsidR="00EB6807">
        <w:t xml:space="preserve">the </w:t>
      </w:r>
      <w:r w:rsidRPr="002A3213" w:rsidR="009875F8">
        <w:t>operative part had been pronounced</w:t>
      </w:r>
      <w:r w:rsidRPr="002A3213" w:rsidR="009E1E3E">
        <w:t xml:space="preserve">. </w:t>
      </w:r>
      <w:r w:rsidRPr="002A3213" w:rsidR="00EC0548">
        <w:t>The applicants</w:t>
      </w:r>
      <w:r w:rsidRPr="002A3213" w:rsidR="002A3213">
        <w:t>’</w:t>
      </w:r>
      <w:r w:rsidRPr="002A3213" w:rsidR="00EC0548">
        <w:t xml:space="preserve"> argument that the time-limit had started to run on 5 March 2012</w:t>
      </w:r>
      <w:r w:rsidRPr="002A3213" w:rsidR="00EB6807">
        <w:t>,</w:t>
      </w:r>
      <w:r w:rsidRPr="002A3213" w:rsidR="00EC0548">
        <w:t xml:space="preserve"> when a copy of the </w:t>
      </w:r>
      <w:r w:rsidRPr="002A3213" w:rsidR="005570C6">
        <w:t xml:space="preserve">reasoned </w:t>
      </w:r>
      <w:r w:rsidRPr="002A3213" w:rsidR="00EC0548">
        <w:t>judgment had been depos</w:t>
      </w:r>
      <w:r w:rsidRPr="002A3213" w:rsidR="00EB6807">
        <w:t>it</w:t>
      </w:r>
      <w:r w:rsidRPr="002A3213" w:rsidR="00EC0548">
        <w:t>ed with the court</w:t>
      </w:r>
      <w:r w:rsidRPr="002A3213" w:rsidR="002A3213">
        <w:t>’</w:t>
      </w:r>
      <w:r w:rsidRPr="002A3213" w:rsidR="00EC0548">
        <w:t>s registry</w:t>
      </w:r>
      <w:r w:rsidRPr="002A3213" w:rsidR="00EB6807">
        <w:t>,</w:t>
      </w:r>
      <w:r w:rsidRPr="002A3213" w:rsidR="00EC0548">
        <w:t xml:space="preserve"> was therefore erroneous. </w:t>
      </w:r>
      <w:r w:rsidRPr="002A3213" w:rsidR="009E1E3E">
        <w:t>The applica</w:t>
      </w:r>
      <w:r w:rsidRPr="002A3213" w:rsidR="005570C6">
        <w:t>nts had been informed about the</w:t>
      </w:r>
      <w:r w:rsidRPr="002A3213" w:rsidR="009E1E3E">
        <w:t xml:space="preserve"> hearing </w:t>
      </w:r>
      <w:r w:rsidRPr="002A3213" w:rsidR="005570C6">
        <w:t xml:space="preserve">of 20 February 2012 </w:t>
      </w:r>
      <w:r w:rsidRPr="002A3213" w:rsidR="009E1E3E">
        <w:t>but had not attended. A copy of the judgm</w:t>
      </w:r>
      <w:r w:rsidRPr="002A3213" w:rsidR="005570C6">
        <w:t>ent had been sent to them on 27 </w:t>
      </w:r>
      <w:r w:rsidRPr="002A3213" w:rsidR="009E1E3E">
        <w:t>February 2012. They had not submitted to the District Court any documents, such as a stamped envelope, showing the date on which they had received it. They had not even claimed, let alone proved, that the</w:t>
      </w:r>
      <w:r w:rsidRPr="002A3213" w:rsidR="00EB6807">
        <w:t xml:space="preserve">re had been a delay in providing them with </w:t>
      </w:r>
      <w:r w:rsidRPr="002A3213" w:rsidR="00EC0548">
        <w:t>a copy of the judgment of 20 </w:t>
      </w:r>
      <w:r w:rsidRPr="002A3213" w:rsidR="009E1E3E">
        <w:t xml:space="preserve">February 2012. </w:t>
      </w:r>
      <w:r w:rsidRPr="002A3213" w:rsidR="0027107A">
        <w:t xml:space="preserve">Nor had they asked for an extension of the time-limit. </w:t>
      </w:r>
      <w:r w:rsidRPr="002A3213" w:rsidR="00EC0548">
        <w:t>T</w:t>
      </w:r>
      <w:r w:rsidRPr="002A3213" w:rsidR="009E1E3E">
        <w:t>he domestic courts had therefore correctly found that the one-month time</w:t>
      </w:r>
      <w:r w:rsidRPr="002A3213" w:rsidR="00A52AE9">
        <w:noBreakHyphen/>
      </w:r>
      <w:r w:rsidRPr="002A3213" w:rsidR="009E1E3E">
        <w:t xml:space="preserve">limit had started to run </w:t>
      </w:r>
      <w:r w:rsidRPr="002A3213" w:rsidR="003E078A">
        <w:t>on</w:t>
      </w:r>
      <w:r w:rsidRPr="002A3213" w:rsidR="009E1E3E">
        <w:t xml:space="preserve"> 20 February 2012</w:t>
      </w:r>
      <w:r w:rsidRPr="002A3213" w:rsidR="00EB6807">
        <w:t>,</w:t>
      </w:r>
      <w:r w:rsidRPr="002A3213" w:rsidR="009E1E3E">
        <w:t xml:space="preserve"> when the reasoned judgment had been pronounced.</w:t>
      </w:r>
    </w:p>
    <w:p w:rsidRPr="002A3213" w:rsidR="005D59EB" w:rsidP="002A3213" w:rsidRDefault="00007308">
      <w:pPr>
        <w:pStyle w:val="ECHRPara"/>
      </w:pPr>
      <w:r w:rsidRPr="002A3213">
        <w:fldChar w:fldCharType="begin"/>
      </w:r>
      <w:r w:rsidRPr="002A3213">
        <w:instrText xml:space="preserve"> SEQ level0 \*arabic </w:instrText>
      </w:r>
      <w:r w:rsidRPr="002A3213">
        <w:fldChar w:fldCharType="separate"/>
      </w:r>
      <w:r w:rsidRPr="002A3213" w:rsidR="002A3213">
        <w:rPr>
          <w:noProof/>
        </w:rPr>
        <w:t>91</w:t>
      </w:r>
      <w:r w:rsidRPr="002A3213">
        <w:fldChar w:fldCharType="end"/>
      </w:r>
      <w:r w:rsidRPr="002A3213">
        <w:t>.  The Government further submitted that a</w:t>
      </w:r>
      <w:r w:rsidRPr="002A3213" w:rsidR="002E4E08">
        <w:t xml:space="preserve"> short version of the appeal submissions had been received by the </w:t>
      </w:r>
      <w:r w:rsidRPr="002A3213" w:rsidR="00F23330">
        <w:t xml:space="preserve">District Court </w:t>
      </w:r>
      <w:r w:rsidRPr="002A3213" w:rsidR="002E4E08">
        <w:t>on 26 March 2012</w:t>
      </w:r>
      <w:r w:rsidRPr="002A3213" w:rsidR="00EC0548">
        <w:t xml:space="preserve">, more than a month after </w:t>
      </w:r>
      <w:r w:rsidRPr="002A3213" w:rsidR="002F2D60">
        <w:t>the time-limit had started to run</w:t>
      </w:r>
      <w:r w:rsidRPr="002A3213" w:rsidR="002E4E08">
        <w:t xml:space="preserve">. The </w:t>
      </w:r>
      <w:r w:rsidRPr="002A3213" w:rsidR="00EC0548">
        <w:t>District Court had found that the appeal</w:t>
      </w:r>
      <w:r w:rsidRPr="002A3213" w:rsidR="002E4E08">
        <w:t xml:space="preserve"> had been lodged </w:t>
      </w:r>
      <w:r w:rsidRPr="002A3213" w:rsidR="00D91D31">
        <w:t xml:space="preserve">on </w:t>
      </w:r>
      <w:r w:rsidRPr="002A3213" w:rsidR="00EC0548">
        <w:t xml:space="preserve">26 March 2012 because </w:t>
      </w:r>
      <w:r w:rsidRPr="002A3213" w:rsidR="009E1E3E">
        <w:t>the ap</w:t>
      </w:r>
      <w:r w:rsidRPr="002A3213" w:rsidR="00EC0548">
        <w:t xml:space="preserve">plicants had not proved that they had dispatched </w:t>
      </w:r>
      <w:r w:rsidRPr="002A3213" w:rsidR="009A7CFE">
        <w:t xml:space="preserve">it </w:t>
      </w:r>
      <w:r w:rsidRPr="002A3213" w:rsidR="00EC0548">
        <w:t>on 19</w:t>
      </w:r>
      <w:r w:rsidRPr="002A3213" w:rsidR="009A7CFE">
        <w:t xml:space="preserve"> </w:t>
      </w:r>
      <w:r w:rsidRPr="002A3213" w:rsidR="009E1E3E">
        <w:t>March 2012 as they had claimed. The post</w:t>
      </w:r>
      <w:r w:rsidRPr="002A3213" w:rsidR="00EB6807">
        <w:t>al receipt</w:t>
      </w:r>
      <w:r w:rsidRPr="002A3213" w:rsidR="009E1E3E">
        <w:t xml:space="preserve"> submitted by them had been insufficient proof of the date of dispatch because it had not been clear from it that it concerned the short version of the appeal submissions</w:t>
      </w:r>
      <w:r w:rsidRPr="002A3213" w:rsidR="0022583E">
        <w:t>. Moreover, they had paid the court fee on 25 March 2012.</w:t>
      </w:r>
    </w:p>
    <w:p w:rsidRPr="002A3213" w:rsidR="005D59EB" w:rsidP="002A3213" w:rsidRDefault="00761852">
      <w:pPr>
        <w:pStyle w:val="ECHRPara"/>
      </w:pPr>
      <w:r w:rsidRPr="002A3213">
        <w:fldChar w:fldCharType="begin"/>
      </w:r>
      <w:r w:rsidRPr="002A3213">
        <w:instrText xml:space="preserve"> SEQ level0 \*arabic </w:instrText>
      </w:r>
      <w:r w:rsidRPr="002A3213">
        <w:fldChar w:fldCharType="separate"/>
      </w:r>
      <w:r w:rsidRPr="002A3213" w:rsidR="002A3213">
        <w:rPr>
          <w:noProof/>
        </w:rPr>
        <w:t>92</w:t>
      </w:r>
      <w:r w:rsidRPr="002A3213">
        <w:fldChar w:fldCharType="end"/>
      </w:r>
      <w:r w:rsidRPr="002A3213">
        <w:t>.  </w:t>
      </w:r>
      <w:r w:rsidRPr="002A3213" w:rsidR="00704AC9">
        <w:t>Lastly, r</w:t>
      </w:r>
      <w:r w:rsidRPr="002A3213">
        <w:t xml:space="preserve">eferring to the case of </w:t>
      </w:r>
      <w:r w:rsidRPr="002A3213">
        <w:rPr>
          <w:i/>
        </w:rPr>
        <w:t>Itslayev v. Russia</w:t>
      </w:r>
      <w:r w:rsidRPr="002A3213">
        <w:t xml:space="preserve"> (no. 34631/02,</w:t>
      </w:r>
      <w:r w:rsidRPr="002A3213" w:rsidR="00704AC9">
        <w:t xml:space="preserve"> 9 </w:t>
      </w:r>
      <w:r w:rsidRPr="002A3213">
        <w:t xml:space="preserve">October 2008), the Government submitted that the requirement to lodge a judicial claim within a statutory time-limit was not in itself incompatible with Article 6 § 1 of the Convention. Such a requirement pursued </w:t>
      </w:r>
      <w:r w:rsidRPr="002A3213" w:rsidR="00EB6807">
        <w:t xml:space="preserve">the </w:t>
      </w:r>
      <w:r w:rsidRPr="002A3213">
        <w:t>legitimate aim of proper administration of justice and of compliance, in particular, with the principle of legal certainty</w:t>
      </w:r>
      <w:r w:rsidRPr="002A3213" w:rsidR="00E62551">
        <w:t xml:space="preserve">. Given that </w:t>
      </w:r>
      <w:r w:rsidRPr="002A3213" w:rsidR="00AF7D8B">
        <w:t>t</w:t>
      </w:r>
      <w:r w:rsidRPr="002A3213" w:rsidR="00E62551">
        <w:t>he national courts had refused to examine the applicants</w:t>
      </w:r>
      <w:r w:rsidRPr="002A3213" w:rsidR="002A3213">
        <w:t>’</w:t>
      </w:r>
      <w:r w:rsidRPr="002A3213" w:rsidR="00E62551">
        <w:t xml:space="preserve"> appeal </w:t>
      </w:r>
      <w:r w:rsidRPr="002A3213" w:rsidR="00BC0E6F">
        <w:t>on the merits</w:t>
      </w:r>
      <w:r w:rsidRPr="002A3213" w:rsidR="00E62551">
        <w:t xml:space="preserve"> because of their failure to comply with the statutory time-limit for appeal</w:t>
      </w:r>
      <w:r w:rsidRPr="002A3213" w:rsidR="00EB6807">
        <w:t>ing</w:t>
      </w:r>
      <w:r w:rsidRPr="002A3213" w:rsidR="00E62551">
        <w:t>, their right of access to a court had not been violated.</w:t>
      </w:r>
    </w:p>
    <w:bookmarkStart w:name="applicant" w:id="20"/>
    <w:p w:rsidRPr="002A3213" w:rsidR="005D59EB" w:rsidP="002A3213" w:rsidRDefault="007A004E">
      <w:pPr>
        <w:pStyle w:val="ECHRPara"/>
      </w:pPr>
      <w:r w:rsidRPr="002A3213">
        <w:fldChar w:fldCharType="begin"/>
      </w:r>
      <w:r w:rsidRPr="002A3213">
        <w:instrText xml:space="preserve"> SEQ level0 \*arabic </w:instrText>
      </w:r>
      <w:r w:rsidRPr="002A3213">
        <w:fldChar w:fldCharType="separate"/>
      </w:r>
      <w:r w:rsidRPr="002A3213" w:rsidR="002A3213">
        <w:rPr>
          <w:noProof/>
        </w:rPr>
        <w:t>93</w:t>
      </w:r>
      <w:r w:rsidRPr="002A3213">
        <w:fldChar w:fldCharType="end"/>
      </w:r>
      <w:bookmarkEnd w:id="20"/>
      <w:r w:rsidRPr="002A3213">
        <w:t>.  The applicants submitted that the judgment of 20 February 2012 had been deposited with the District Court</w:t>
      </w:r>
      <w:r w:rsidRPr="002A3213" w:rsidR="002A3213">
        <w:t>’</w:t>
      </w:r>
      <w:r w:rsidRPr="002A3213">
        <w:t>s registry on 5 March 2012. The one</w:t>
      </w:r>
      <w:r w:rsidRPr="002A3213" w:rsidR="00A52AE9">
        <w:noBreakHyphen/>
      </w:r>
      <w:r w:rsidRPr="002A3213">
        <w:t>month time</w:t>
      </w:r>
      <w:r w:rsidRPr="002A3213" w:rsidR="000C4F6A">
        <w:t>-</w:t>
      </w:r>
      <w:r w:rsidRPr="002A3213">
        <w:t xml:space="preserve">limit had started to run </w:t>
      </w:r>
      <w:r w:rsidRPr="002A3213" w:rsidR="00504A8F">
        <w:t>on</w:t>
      </w:r>
      <w:r w:rsidRPr="002A3213">
        <w:t xml:space="preserve"> that date</w:t>
      </w:r>
      <w:r w:rsidRPr="002A3213" w:rsidR="00EB6807">
        <w:t>,</w:t>
      </w:r>
      <w:r w:rsidRPr="002A3213">
        <w:t xml:space="preserve"> as before it the applicants had not had any opportunity to study the reasons </w:t>
      </w:r>
      <w:r w:rsidRPr="002A3213" w:rsidR="00EB6807">
        <w:t>why</w:t>
      </w:r>
      <w:r w:rsidRPr="002A3213">
        <w:t xml:space="preserve"> their claim had been rejected. </w:t>
      </w:r>
      <w:r w:rsidRPr="002A3213" w:rsidR="000C4F6A">
        <w:t xml:space="preserve">The time-limit </w:t>
      </w:r>
      <w:r w:rsidRPr="002A3213" w:rsidR="00252748">
        <w:t xml:space="preserve">could not in any event </w:t>
      </w:r>
      <w:r w:rsidRPr="002A3213" w:rsidR="000C4F6A">
        <w:t xml:space="preserve">have </w:t>
      </w:r>
      <w:r w:rsidRPr="002A3213" w:rsidR="00252748">
        <w:t xml:space="preserve">started </w:t>
      </w:r>
      <w:r w:rsidRPr="002A3213" w:rsidR="000C4F6A">
        <w:t xml:space="preserve">to run </w:t>
      </w:r>
      <w:r w:rsidRPr="002A3213" w:rsidR="00252748">
        <w:t>on 20</w:t>
      </w:r>
      <w:r w:rsidRPr="002A3213" w:rsidR="00155C56">
        <w:t> </w:t>
      </w:r>
      <w:r w:rsidRPr="002A3213" w:rsidR="00252748">
        <w:t>February 2012</w:t>
      </w:r>
      <w:r w:rsidRPr="002A3213" w:rsidR="00EB6807">
        <w:t>,</w:t>
      </w:r>
      <w:r w:rsidRPr="002A3213" w:rsidR="00252748">
        <w:t xml:space="preserve"> as a copy of the judgment had not been sent to them </w:t>
      </w:r>
      <w:r w:rsidRPr="002A3213" w:rsidR="00B35557">
        <w:t xml:space="preserve">by the District Court </w:t>
      </w:r>
      <w:r w:rsidRPr="002A3213" w:rsidR="00252748">
        <w:t xml:space="preserve">until 27 February 2012. </w:t>
      </w:r>
      <w:r w:rsidRPr="002A3213" w:rsidR="00B35557">
        <w:t xml:space="preserve">The District Court had therefore known that they had received the judgment after 27 February 2012. </w:t>
      </w:r>
      <w:r w:rsidRPr="002A3213" w:rsidR="00252748">
        <w:t>However, even assuming that the one-month time-limit had started to run on 20 February 2012, the applicants had complied with it as they had dispatched their appeal submissions by post on 19 March 2012, as confirmed by a post</w:t>
      </w:r>
      <w:r w:rsidRPr="002A3213" w:rsidR="00EB6807">
        <w:t>al receipt</w:t>
      </w:r>
      <w:r w:rsidRPr="002A3213" w:rsidR="00252748">
        <w:t>.</w:t>
      </w:r>
    </w:p>
    <w:p w:rsidRPr="002A3213" w:rsidR="009E1E3E" w:rsidP="002A3213" w:rsidRDefault="00D454CF">
      <w:pPr>
        <w:pStyle w:val="ECHRHeading3"/>
      </w:pPr>
      <w:r w:rsidRPr="002A3213">
        <w:t>2.  </w:t>
      </w:r>
      <w:r w:rsidRPr="002A3213" w:rsidR="004760BB">
        <w:t>The Court</w:t>
      </w:r>
      <w:r w:rsidRPr="002A3213" w:rsidR="002A3213">
        <w:t>’</w:t>
      </w:r>
      <w:r w:rsidRPr="002A3213" w:rsidR="004760BB">
        <w:t>s assessment</w:t>
      </w:r>
    </w:p>
    <w:p w:rsidRPr="002A3213" w:rsidR="000E78D6" w:rsidP="002A3213" w:rsidRDefault="004760BB">
      <w:pPr>
        <w:pStyle w:val="ECHRPara"/>
      </w:pPr>
      <w:r w:rsidRPr="002A3213">
        <w:fldChar w:fldCharType="begin"/>
      </w:r>
      <w:r w:rsidRPr="002A3213">
        <w:instrText xml:space="preserve"> SEQ level0 \*arabic </w:instrText>
      </w:r>
      <w:r w:rsidRPr="002A3213">
        <w:fldChar w:fldCharType="separate"/>
      </w:r>
      <w:r w:rsidRPr="002A3213" w:rsidR="002A3213">
        <w:rPr>
          <w:noProof/>
        </w:rPr>
        <w:t>94</w:t>
      </w:r>
      <w:r w:rsidRPr="002A3213">
        <w:fldChar w:fldCharType="end"/>
      </w:r>
      <w:r w:rsidRPr="002A3213">
        <w:t>.  </w:t>
      </w:r>
      <w:r w:rsidRPr="002A3213" w:rsidR="000E78D6">
        <w:t>The Court refers to the recapitulation of it</w:t>
      </w:r>
      <w:r w:rsidRPr="002A3213" w:rsidR="00813D1E">
        <w:t>s</w:t>
      </w:r>
      <w:r w:rsidRPr="002A3213" w:rsidR="000E78D6">
        <w:t xml:space="preserve"> </w:t>
      </w:r>
      <w:r w:rsidRPr="002A3213" w:rsidR="008C3AC9">
        <w:t>general principles</w:t>
      </w:r>
      <w:r w:rsidRPr="002A3213" w:rsidR="000E78D6">
        <w:t xml:space="preserve"> concerning access to </w:t>
      </w:r>
      <w:r w:rsidRPr="002A3213" w:rsidR="008C3AC9">
        <w:t xml:space="preserve">a </w:t>
      </w:r>
      <w:r w:rsidRPr="002A3213" w:rsidR="000E78D6">
        <w:t xml:space="preserve">court in the recent Grand Chamber case of </w:t>
      </w:r>
      <w:r w:rsidRPr="002A3213" w:rsidR="001E183C">
        <w:rPr>
          <w:i/>
          <w:iCs/>
        </w:rPr>
        <w:t>Zubac v. </w:t>
      </w:r>
      <w:r w:rsidRPr="002A3213" w:rsidR="000E78D6">
        <w:rPr>
          <w:i/>
          <w:iCs/>
        </w:rPr>
        <w:t>Croatia</w:t>
      </w:r>
      <w:r w:rsidRPr="002A3213" w:rsidR="000E78D6">
        <w:t xml:space="preserve"> ([GC], no. 40160/12, §§ 76-</w:t>
      </w:r>
      <w:r w:rsidRPr="002A3213" w:rsidR="008C3AC9">
        <w:t>9</w:t>
      </w:r>
      <w:r w:rsidRPr="002A3213" w:rsidR="000E78D6">
        <w:t>9, 5 April 2018).</w:t>
      </w:r>
    </w:p>
    <w:p w:rsidRPr="002A3213" w:rsidR="005D59EB" w:rsidP="002A3213" w:rsidRDefault="00F04F56">
      <w:pPr>
        <w:pStyle w:val="ECHRPara"/>
      </w:pPr>
      <w:r w:rsidRPr="002A3213">
        <w:fldChar w:fldCharType="begin"/>
      </w:r>
      <w:r w:rsidRPr="002A3213">
        <w:instrText xml:space="preserve"> SEQ level0 \*arabic </w:instrText>
      </w:r>
      <w:r w:rsidRPr="002A3213">
        <w:fldChar w:fldCharType="separate"/>
      </w:r>
      <w:r w:rsidRPr="002A3213" w:rsidR="002A3213">
        <w:rPr>
          <w:noProof/>
        </w:rPr>
        <w:t>95</w:t>
      </w:r>
      <w:r w:rsidRPr="002A3213">
        <w:fldChar w:fldCharType="end"/>
      </w:r>
      <w:r w:rsidRPr="002A3213">
        <w:t>.  </w:t>
      </w:r>
      <w:r w:rsidRPr="002A3213" w:rsidR="004F757E">
        <w:t>As regards more speci</w:t>
      </w:r>
      <w:r w:rsidRPr="002A3213" w:rsidR="00593035">
        <w:t xml:space="preserve">fically procedural time-limits </w:t>
      </w:r>
      <w:r w:rsidRPr="002A3213" w:rsidR="00440F58">
        <w:t>governing the lodging of appeals, it is not the Court</w:t>
      </w:r>
      <w:r w:rsidRPr="002A3213" w:rsidR="002A3213">
        <w:t>’</w:t>
      </w:r>
      <w:r w:rsidRPr="002A3213" w:rsidR="00440F58">
        <w:t>s task to take the place of the domestic courts. It is primarily for the national authorities, notably the courts of appeal and of first instance, to resolve problems of interpretation of domestic legislation. The role of the Court is limited to verifying whether the effects of such interpretation are compatible with the Convention. This applies in particular to the interpretation by courts of rules of a procedural nature such as time-limits governing the filing of docum</w:t>
      </w:r>
      <w:r w:rsidRPr="002A3213" w:rsidR="00593035">
        <w:t xml:space="preserve">ents or the lodging of appeals. Rules governing the formal steps to be taken and the time-limits to be complied with in lodging an appeal are aimed at ensuring </w:t>
      </w:r>
      <w:r w:rsidRPr="002A3213" w:rsidR="00EB6807">
        <w:t>the</w:t>
      </w:r>
      <w:r w:rsidRPr="002A3213" w:rsidR="00593035">
        <w:t xml:space="preserve"> proper administration of justice and compliance, in particular, with the principle of legal certainty. Litigants should expect those rules to be applied </w:t>
      </w:r>
      <w:r w:rsidRPr="002A3213" w:rsidR="00440F58">
        <w:t xml:space="preserve">(see </w:t>
      </w:r>
      <w:r w:rsidRPr="002A3213" w:rsidR="00D454CF">
        <w:rPr>
          <w:i/>
        </w:rPr>
        <w:t>Jensen v. </w:t>
      </w:r>
      <w:r w:rsidRPr="002A3213" w:rsidR="00440F58">
        <w:rPr>
          <w:i/>
        </w:rPr>
        <w:t>Denmark</w:t>
      </w:r>
      <w:r w:rsidRPr="002A3213" w:rsidR="00440F58">
        <w:rPr>
          <w:snapToGrid w:val="0"/>
        </w:rPr>
        <w:t xml:space="preserve">, </w:t>
      </w:r>
      <w:r w:rsidRPr="002A3213" w:rsidR="00440F58">
        <w:t>no. 8693/11, § 35, 13 December 2016, with further references).</w:t>
      </w:r>
    </w:p>
    <w:p w:rsidRPr="002A3213" w:rsidR="005D59EB" w:rsidP="002A3213" w:rsidRDefault="00B067AD">
      <w:pPr>
        <w:pStyle w:val="ECHRPara"/>
      </w:pPr>
      <w:r w:rsidRPr="002A3213">
        <w:fldChar w:fldCharType="begin"/>
      </w:r>
      <w:r w:rsidRPr="002A3213">
        <w:instrText xml:space="preserve"> SEQ level0 \*arabic </w:instrText>
      </w:r>
      <w:r w:rsidRPr="002A3213">
        <w:fldChar w:fldCharType="separate"/>
      </w:r>
      <w:r w:rsidRPr="002A3213" w:rsidR="002A3213">
        <w:rPr>
          <w:noProof/>
        </w:rPr>
        <w:t>96</w:t>
      </w:r>
      <w:r w:rsidRPr="002A3213">
        <w:fldChar w:fldCharType="end"/>
      </w:r>
      <w:r w:rsidRPr="002A3213" w:rsidR="00593035">
        <w:t>.  </w:t>
      </w:r>
      <w:r w:rsidRPr="002A3213" w:rsidR="00440F58">
        <w:t>However, while time-limits are in principle legitimate limitations on the right to a court, the manner in which they are applied in a particular case may give rise to a breach of Article 6 § 1 of the Convention, for example if the time-limit for lodging an appeal starts to run at a moment when the party did not and could not effectively know the content of the contested court decision (see</w:t>
      </w:r>
      <w:r w:rsidRPr="002A3213" w:rsidR="006614ED">
        <w:t xml:space="preserve"> </w:t>
      </w:r>
      <w:r w:rsidRPr="002A3213" w:rsidR="00512C60">
        <w:rPr>
          <w:i/>
        </w:rPr>
        <w:t>Miragall Escolano and Others v. Spain</w:t>
      </w:r>
      <w:r w:rsidRPr="002A3213" w:rsidR="00616EA4">
        <w:t>, nos. </w:t>
      </w:r>
      <w:r w:rsidRPr="002A3213" w:rsidR="00BE0C67">
        <w:t>38366/97 and 9 </w:t>
      </w:r>
      <w:r w:rsidRPr="002A3213" w:rsidR="00512C60">
        <w:t>others, § 37, ECHR 2000</w:t>
      </w:r>
      <w:r w:rsidRPr="002A3213" w:rsidR="00512C60">
        <w:noBreakHyphen/>
        <w:t>I</w:t>
      </w:r>
      <w:r w:rsidRPr="002A3213" w:rsidR="00BE0C67">
        <w:t xml:space="preserve">, and </w:t>
      </w:r>
      <w:r w:rsidRPr="002A3213" w:rsidR="00BE0C67">
        <w:rPr>
          <w:i/>
        </w:rPr>
        <w:t>Viard v. France</w:t>
      </w:r>
      <w:r w:rsidRPr="002A3213" w:rsidR="00616EA4">
        <w:t>, no. </w:t>
      </w:r>
      <w:r w:rsidRPr="002A3213" w:rsidR="00BE0C67">
        <w:t>71658/10, § 38, 9 January 2014</w:t>
      </w:r>
      <w:r w:rsidRPr="002A3213" w:rsidR="00593035">
        <w:t>);</w:t>
      </w:r>
      <w:r w:rsidRPr="002A3213" w:rsidR="00440F58">
        <w:t xml:space="preserve"> or if the time</w:t>
      </w:r>
      <w:r w:rsidRPr="002A3213" w:rsidR="00440F58">
        <w:noBreakHyphen/>
        <w:t>limit is so short and inflexible that the party in practice does not have sufficien</w:t>
      </w:r>
      <w:r w:rsidRPr="002A3213" w:rsidR="00512C60">
        <w:t xml:space="preserve">t time to lodge an appeal (see </w:t>
      </w:r>
      <w:r w:rsidRPr="002A3213" w:rsidR="00512C60">
        <w:rPr>
          <w:i/>
        </w:rPr>
        <w:t>Pérez de Rada Cavanilles v. Spain</w:t>
      </w:r>
      <w:r w:rsidRPr="002A3213" w:rsidR="00512C60">
        <w:t xml:space="preserve">, 28 October 1998, §§ 46-50, </w:t>
      </w:r>
      <w:r w:rsidRPr="002A3213" w:rsidR="00512C60">
        <w:rPr>
          <w:i/>
        </w:rPr>
        <w:t>Reports of Judgments and Decisions</w:t>
      </w:r>
      <w:r w:rsidRPr="002A3213" w:rsidR="00512C60">
        <w:t xml:space="preserve"> 1998</w:t>
      </w:r>
      <w:r w:rsidRPr="002A3213" w:rsidR="00512C60">
        <w:noBreakHyphen/>
        <w:t xml:space="preserve">VIII, </w:t>
      </w:r>
      <w:r w:rsidRPr="002A3213" w:rsidR="00EB6807">
        <w:t xml:space="preserve">and </w:t>
      </w:r>
      <w:r w:rsidRPr="002A3213" w:rsidR="00BE0C67">
        <w:rPr>
          <w:i/>
        </w:rPr>
        <w:t>Gruais and Bousquet v. France</w:t>
      </w:r>
      <w:r w:rsidRPr="002A3213" w:rsidR="00BE0C67">
        <w:t>, no.</w:t>
      </w:r>
      <w:r w:rsidRPr="002A3213" w:rsidR="00EB6807">
        <w:t> </w:t>
      </w:r>
      <w:r w:rsidRPr="002A3213" w:rsidR="00BE0C67">
        <w:t>67881/01, §§</w:t>
      </w:r>
      <w:r w:rsidRPr="002A3213" w:rsidR="00074C3E">
        <w:t> </w:t>
      </w:r>
      <w:r w:rsidRPr="002A3213" w:rsidR="00BE0C67">
        <w:t>29 and 30, 10 January 2006)</w:t>
      </w:r>
      <w:r w:rsidRPr="002A3213" w:rsidR="00593035">
        <w:t xml:space="preserve">; </w:t>
      </w:r>
      <w:r w:rsidRPr="002A3213" w:rsidR="00440F58">
        <w:t>or if the dismissal of an appeal for failure to comply with a time-limit is n</w:t>
      </w:r>
      <w:r w:rsidRPr="002A3213" w:rsidR="00074C3E">
        <w:t xml:space="preserve">ot a foreseeable reaction (see </w:t>
      </w:r>
      <w:r w:rsidRPr="002A3213" w:rsidR="009B3343">
        <w:rPr>
          <w:i/>
        </w:rPr>
        <w:t>Olsby v. </w:t>
      </w:r>
      <w:r w:rsidRPr="002A3213" w:rsidR="00074C3E">
        <w:rPr>
          <w:i/>
        </w:rPr>
        <w:t>Sweden</w:t>
      </w:r>
      <w:r w:rsidRPr="002A3213" w:rsidR="00074C3E">
        <w:t xml:space="preserve">, no. 36124/06, </w:t>
      </w:r>
      <w:r w:rsidRPr="002A3213" w:rsidR="009B3343">
        <w:t>§</w:t>
      </w:r>
      <w:r w:rsidRPr="002A3213" w:rsidR="00074C3E">
        <w:t xml:space="preserve"> </w:t>
      </w:r>
      <w:r w:rsidRPr="002A3213" w:rsidR="009B3343">
        <w:t xml:space="preserve">51, </w:t>
      </w:r>
      <w:r w:rsidRPr="002A3213" w:rsidR="00074C3E">
        <w:t>21 June 2012</w:t>
      </w:r>
      <w:r w:rsidRPr="002A3213" w:rsidR="009B3343">
        <w:t>).</w:t>
      </w:r>
    </w:p>
    <w:p w:rsidRPr="002A3213" w:rsidR="005D59EB" w:rsidP="002A3213" w:rsidRDefault="009B3343">
      <w:pPr>
        <w:pStyle w:val="ECHRPara"/>
        <w:rPr>
          <w:bCs/>
        </w:rPr>
      </w:pPr>
      <w:r w:rsidRPr="002A3213">
        <w:rPr>
          <w:bCs/>
        </w:rPr>
        <w:fldChar w:fldCharType="begin"/>
      </w:r>
      <w:r w:rsidRPr="002A3213">
        <w:rPr>
          <w:bCs/>
        </w:rPr>
        <w:instrText xml:space="preserve"> SEQ level0 \*arabic </w:instrText>
      </w:r>
      <w:r w:rsidRPr="002A3213">
        <w:rPr>
          <w:bCs/>
        </w:rPr>
        <w:fldChar w:fldCharType="separate"/>
      </w:r>
      <w:r w:rsidRPr="002A3213" w:rsidR="002A3213">
        <w:rPr>
          <w:bCs/>
          <w:noProof/>
        </w:rPr>
        <w:t>97</w:t>
      </w:r>
      <w:r w:rsidRPr="002A3213">
        <w:fldChar w:fldCharType="end"/>
      </w:r>
      <w:r w:rsidRPr="002A3213">
        <w:rPr>
          <w:bCs/>
        </w:rPr>
        <w:t>.  Consequently, the Court</w:t>
      </w:r>
      <w:r w:rsidRPr="002A3213" w:rsidR="002A3213">
        <w:rPr>
          <w:bCs/>
        </w:rPr>
        <w:t>’</w:t>
      </w:r>
      <w:r w:rsidRPr="002A3213">
        <w:rPr>
          <w:bCs/>
        </w:rPr>
        <w:t>s task is essentially to determine whether, in the present case, the domestic courts calculated the start</w:t>
      </w:r>
      <w:r w:rsidRPr="002A3213" w:rsidR="00BF0C78">
        <w:rPr>
          <w:bCs/>
        </w:rPr>
        <w:t xml:space="preserve"> and end</w:t>
      </w:r>
      <w:r w:rsidRPr="002A3213">
        <w:rPr>
          <w:bCs/>
        </w:rPr>
        <w:t xml:space="preserve"> of the time-limit for appeal </w:t>
      </w:r>
      <w:r w:rsidRPr="002A3213" w:rsidR="00BF0C78">
        <w:rPr>
          <w:bCs/>
        </w:rPr>
        <w:t>and determined the date on which the applicant</w:t>
      </w:r>
      <w:r w:rsidRPr="002A3213" w:rsidR="00823BE4">
        <w:rPr>
          <w:bCs/>
        </w:rPr>
        <w:t>s</w:t>
      </w:r>
      <w:r w:rsidRPr="002A3213" w:rsidR="00BF0C78">
        <w:rPr>
          <w:bCs/>
        </w:rPr>
        <w:t xml:space="preserve"> lodged </w:t>
      </w:r>
      <w:r w:rsidRPr="002A3213" w:rsidR="00823BE4">
        <w:rPr>
          <w:bCs/>
        </w:rPr>
        <w:t>their</w:t>
      </w:r>
      <w:r w:rsidRPr="002A3213" w:rsidR="00BF0C78">
        <w:rPr>
          <w:bCs/>
        </w:rPr>
        <w:t xml:space="preserve"> appeal </w:t>
      </w:r>
      <w:r w:rsidRPr="002A3213">
        <w:rPr>
          <w:bCs/>
        </w:rPr>
        <w:t>in a foreseeable and reasonable manner, without cons</w:t>
      </w:r>
      <w:r w:rsidRPr="002A3213" w:rsidR="0095584C">
        <w:rPr>
          <w:bCs/>
        </w:rPr>
        <w:t>tituting a bar to the applicant</w:t>
      </w:r>
      <w:r w:rsidRPr="002A3213">
        <w:rPr>
          <w:bCs/>
        </w:rPr>
        <w:t>s</w:t>
      </w:r>
      <w:r w:rsidRPr="002A3213" w:rsidR="002A3213">
        <w:rPr>
          <w:bCs/>
        </w:rPr>
        <w:t>’</w:t>
      </w:r>
      <w:r w:rsidRPr="002A3213">
        <w:rPr>
          <w:bCs/>
        </w:rPr>
        <w:t xml:space="preserve"> effective access to </w:t>
      </w:r>
      <w:r w:rsidRPr="002A3213" w:rsidR="007A195F">
        <w:rPr>
          <w:bCs/>
        </w:rPr>
        <w:t xml:space="preserve">a </w:t>
      </w:r>
      <w:r w:rsidRPr="002A3213">
        <w:rPr>
          <w:bCs/>
        </w:rPr>
        <w:t>court (see</w:t>
      </w:r>
      <w:r w:rsidRPr="002A3213" w:rsidR="00E50877">
        <w:rPr>
          <w:bCs/>
        </w:rPr>
        <w:t xml:space="preserve">, </w:t>
      </w:r>
      <w:r w:rsidRPr="002A3213" w:rsidR="00E50877">
        <w:rPr>
          <w:bCs/>
          <w:i/>
        </w:rPr>
        <w:t>mutatis mutandis</w:t>
      </w:r>
      <w:r w:rsidRPr="002A3213" w:rsidR="00E50877">
        <w:rPr>
          <w:bCs/>
        </w:rPr>
        <w:t>,</w:t>
      </w:r>
      <w:r w:rsidRPr="002A3213">
        <w:rPr>
          <w:bCs/>
        </w:rPr>
        <w:t xml:space="preserve"> </w:t>
      </w:r>
      <w:r w:rsidRPr="002A3213">
        <w:rPr>
          <w:bCs/>
          <w:i/>
          <w:iCs/>
        </w:rPr>
        <w:t>Kurşun v. Turkey</w:t>
      </w:r>
      <w:r w:rsidRPr="002A3213">
        <w:rPr>
          <w:bCs/>
        </w:rPr>
        <w:t xml:space="preserve">, no. 22677/10, </w:t>
      </w:r>
      <w:r w:rsidRPr="002A3213" w:rsidR="00BF0C78">
        <w:rPr>
          <w:bCs/>
        </w:rPr>
        <w:t>§</w:t>
      </w:r>
      <w:r w:rsidRPr="002A3213">
        <w:rPr>
          <w:bCs/>
        </w:rPr>
        <w:t xml:space="preserve"> 95, 30 October 2018).</w:t>
      </w:r>
    </w:p>
    <w:bookmarkStart w:name="access1" w:id="21"/>
    <w:p w:rsidRPr="002A3213" w:rsidR="005D59EB" w:rsidP="002A3213" w:rsidRDefault="00E50877">
      <w:pPr>
        <w:pStyle w:val="ECHRPara"/>
        <w:rPr>
          <w:bCs/>
        </w:rPr>
      </w:pPr>
      <w:r w:rsidRPr="002A3213">
        <w:rPr>
          <w:bCs/>
        </w:rPr>
        <w:fldChar w:fldCharType="begin"/>
      </w:r>
      <w:r w:rsidRPr="002A3213">
        <w:rPr>
          <w:bCs/>
        </w:rPr>
        <w:instrText xml:space="preserve"> SEQ level0 \*arabic </w:instrText>
      </w:r>
      <w:r w:rsidRPr="002A3213">
        <w:rPr>
          <w:bCs/>
        </w:rPr>
        <w:fldChar w:fldCharType="separate"/>
      </w:r>
      <w:r w:rsidRPr="002A3213" w:rsidR="002A3213">
        <w:rPr>
          <w:bCs/>
          <w:noProof/>
        </w:rPr>
        <w:t>98</w:t>
      </w:r>
      <w:r w:rsidRPr="002A3213">
        <w:rPr>
          <w:bCs/>
        </w:rPr>
        <w:fldChar w:fldCharType="end"/>
      </w:r>
      <w:bookmarkEnd w:id="21"/>
      <w:r w:rsidRPr="002A3213">
        <w:rPr>
          <w:bCs/>
        </w:rPr>
        <w:t>.  </w:t>
      </w:r>
      <w:r w:rsidRPr="002A3213" w:rsidR="00CA7A85">
        <w:rPr>
          <w:bCs/>
        </w:rPr>
        <w:t>Turning to the facts of the present case, the</w:t>
      </w:r>
      <w:r w:rsidRPr="002A3213" w:rsidR="0095584C">
        <w:rPr>
          <w:bCs/>
        </w:rPr>
        <w:t xml:space="preserve"> Court notes that the applicant</w:t>
      </w:r>
      <w:r w:rsidRPr="002A3213" w:rsidR="00CA7A85">
        <w:rPr>
          <w:bCs/>
        </w:rPr>
        <w:t>s</w:t>
      </w:r>
      <w:r w:rsidRPr="002A3213" w:rsidR="002A3213">
        <w:rPr>
          <w:bCs/>
        </w:rPr>
        <w:t>’</w:t>
      </w:r>
      <w:r w:rsidRPr="002A3213" w:rsidR="00CA7A85">
        <w:rPr>
          <w:bCs/>
        </w:rPr>
        <w:t xml:space="preserve"> right to appeal was guaranteed </w:t>
      </w:r>
      <w:r w:rsidRPr="002A3213">
        <w:rPr>
          <w:bCs/>
        </w:rPr>
        <w:t>by the Code of Civil Procedure</w:t>
      </w:r>
      <w:r w:rsidRPr="002A3213" w:rsidR="00EB6807">
        <w:rPr>
          <w:bCs/>
        </w:rPr>
        <w:t>,</w:t>
      </w:r>
      <w:r w:rsidRPr="002A3213">
        <w:rPr>
          <w:bCs/>
        </w:rPr>
        <w:t xml:space="preserve"> which </w:t>
      </w:r>
      <w:r w:rsidRPr="002A3213" w:rsidR="00BF0C78">
        <w:rPr>
          <w:bCs/>
        </w:rPr>
        <w:t>clearly stated</w:t>
      </w:r>
      <w:r w:rsidRPr="002A3213">
        <w:rPr>
          <w:bCs/>
        </w:rPr>
        <w:t xml:space="preserve"> that the one-month time-limit for appeal started when the first-instance judgment had been delivered in its finalised form and ended at midnight </w:t>
      </w:r>
      <w:r w:rsidRPr="002A3213" w:rsidR="00EB6807">
        <w:rPr>
          <w:bCs/>
        </w:rPr>
        <w:t xml:space="preserve">on </w:t>
      </w:r>
      <w:r w:rsidRPr="002A3213">
        <w:rPr>
          <w:bCs/>
        </w:rPr>
        <w:t xml:space="preserve">the last day of the </w:t>
      </w:r>
      <w:r w:rsidRPr="002A3213" w:rsidR="00EB6807">
        <w:rPr>
          <w:bCs/>
        </w:rPr>
        <w:t>period in question</w:t>
      </w:r>
      <w:r w:rsidRPr="002A3213">
        <w:rPr>
          <w:bCs/>
        </w:rPr>
        <w:t xml:space="preserve">. It was complied with if the appeal submissions had been dispatched by post before midnight </w:t>
      </w:r>
      <w:r w:rsidRPr="002A3213" w:rsidR="00EB6807">
        <w:rPr>
          <w:bCs/>
        </w:rPr>
        <w:t xml:space="preserve">on </w:t>
      </w:r>
      <w:r w:rsidRPr="002A3213">
        <w:rPr>
          <w:bCs/>
        </w:rPr>
        <w:t>that day</w:t>
      </w:r>
      <w:r w:rsidRPr="002A3213" w:rsidR="00BF0C78">
        <w:rPr>
          <w:bCs/>
        </w:rPr>
        <w:t xml:space="preserve"> </w:t>
      </w:r>
      <w:r w:rsidRPr="002A3213">
        <w:rPr>
          <w:bCs/>
        </w:rPr>
        <w:t xml:space="preserve">(see paragraphs </w:t>
      </w:r>
      <w:r w:rsidRPr="002A3213">
        <w:rPr>
          <w:bCs/>
        </w:rPr>
        <w:fldChar w:fldCharType="begin"/>
      </w:r>
      <w:r w:rsidRPr="002A3213">
        <w:rPr>
          <w:bCs/>
        </w:rPr>
        <w:instrText xml:space="preserve"> REF calculate \h </w:instrText>
      </w:r>
      <w:r w:rsidRPr="002A3213">
        <w:rPr>
          <w:bCs/>
        </w:rPr>
      </w:r>
      <w:r w:rsidRPr="002A3213">
        <w:rPr>
          <w:bCs/>
        </w:rPr>
        <w:fldChar w:fldCharType="separate"/>
      </w:r>
      <w:r w:rsidRPr="002A3213" w:rsidR="002A3213">
        <w:rPr>
          <w:noProof/>
        </w:rPr>
        <w:t>71</w:t>
      </w:r>
      <w:r w:rsidRPr="002A3213">
        <w:rPr>
          <w:bCs/>
        </w:rPr>
        <w:fldChar w:fldCharType="end"/>
      </w:r>
      <w:r w:rsidRPr="002A3213">
        <w:rPr>
          <w:bCs/>
        </w:rPr>
        <w:t xml:space="preserve"> to </w:t>
      </w:r>
      <w:r w:rsidRPr="002A3213">
        <w:rPr>
          <w:bCs/>
        </w:rPr>
        <w:fldChar w:fldCharType="begin"/>
      </w:r>
      <w:r w:rsidRPr="002A3213">
        <w:rPr>
          <w:bCs/>
        </w:rPr>
        <w:instrText xml:space="preserve"> REF sc \h </w:instrText>
      </w:r>
      <w:r w:rsidRPr="002A3213">
        <w:rPr>
          <w:bCs/>
        </w:rPr>
      </w:r>
      <w:r w:rsidRPr="002A3213">
        <w:rPr>
          <w:bCs/>
        </w:rPr>
        <w:fldChar w:fldCharType="separate"/>
      </w:r>
      <w:r w:rsidRPr="002A3213" w:rsidR="002A3213">
        <w:rPr>
          <w:noProof/>
        </w:rPr>
        <w:t>73</w:t>
      </w:r>
      <w:r w:rsidRPr="002A3213">
        <w:rPr>
          <w:bCs/>
        </w:rPr>
        <w:fldChar w:fldCharType="end"/>
      </w:r>
      <w:r w:rsidRPr="002A3213">
        <w:rPr>
          <w:bCs/>
        </w:rPr>
        <w:t xml:space="preserve"> above).</w:t>
      </w:r>
    </w:p>
    <w:p w:rsidRPr="002A3213" w:rsidR="005D59EB" w:rsidP="002A3213" w:rsidRDefault="00BF0C78">
      <w:pPr>
        <w:pStyle w:val="ECHRPara"/>
        <w:rPr>
          <w:bCs/>
        </w:rPr>
      </w:pPr>
      <w:r w:rsidRPr="002A3213">
        <w:rPr>
          <w:bCs/>
        </w:rPr>
        <w:fldChar w:fldCharType="begin"/>
      </w:r>
      <w:r w:rsidRPr="002A3213">
        <w:rPr>
          <w:bCs/>
        </w:rPr>
        <w:instrText xml:space="preserve"> SEQ level0 \*arabic </w:instrText>
      </w:r>
      <w:r w:rsidRPr="002A3213">
        <w:rPr>
          <w:bCs/>
        </w:rPr>
        <w:fldChar w:fldCharType="separate"/>
      </w:r>
      <w:r w:rsidRPr="002A3213" w:rsidR="002A3213">
        <w:rPr>
          <w:bCs/>
          <w:noProof/>
        </w:rPr>
        <w:t>99</w:t>
      </w:r>
      <w:r w:rsidRPr="002A3213">
        <w:rPr>
          <w:bCs/>
        </w:rPr>
        <w:fldChar w:fldCharType="end"/>
      </w:r>
      <w:r w:rsidRPr="002A3213">
        <w:rPr>
          <w:bCs/>
        </w:rPr>
        <w:t xml:space="preserve">.  It is not clear from the documents in the case file when the judgment </w:t>
      </w:r>
      <w:r w:rsidRPr="002A3213" w:rsidR="008F1964">
        <w:rPr>
          <w:bCs/>
        </w:rPr>
        <w:t xml:space="preserve">of 20 February 2012 </w:t>
      </w:r>
      <w:r w:rsidRPr="002A3213">
        <w:rPr>
          <w:bCs/>
        </w:rPr>
        <w:t>was delivered in finalised form</w:t>
      </w:r>
      <w:r w:rsidRPr="002A3213" w:rsidR="0021088B">
        <w:rPr>
          <w:bCs/>
        </w:rPr>
        <w:t xml:space="preserve">, </w:t>
      </w:r>
      <w:r w:rsidRPr="002A3213" w:rsidR="00F46BDF">
        <w:rPr>
          <w:bCs/>
        </w:rPr>
        <w:t>that is</w:t>
      </w:r>
      <w:r w:rsidRPr="002A3213" w:rsidR="00EB6807">
        <w:rPr>
          <w:bCs/>
        </w:rPr>
        <w:t>,</w:t>
      </w:r>
      <w:r w:rsidRPr="002A3213" w:rsidR="00F46BDF">
        <w:rPr>
          <w:bCs/>
        </w:rPr>
        <w:t xml:space="preserve"> when the final</w:t>
      </w:r>
      <w:r w:rsidRPr="002A3213" w:rsidR="0021088B">
        <w:rPr>
          <w:bCs/>
        </w:rPr>
        <w:t>ised text was made available to the parties</w:t>
      </w:r>
      <w:r w:rsidRPr="002A3213">
        <w:rPr>
          <w:bCs/>
        </w:rPr>
        <w:t xml:space="preserve">. </w:t>
      </w:r>
      <w:r w:rsidRPr="002A3213" w:rsidR="007A195F">
        <w:rPr>
          <w:bCs/>
        </w:rPr>
        <w:t>Neither the minutes nor t</w:t>
      </w:r>
      <w:r w:rsidRPr="002A3213" w:rsidR="0021088B">
        <w:rPr>
          <w:bCs/>
        </w:rPr>
        <w:t>he judgment mentioned that date.</w:t>
      </w:r>
      <w:r w:rsidRPr="002A3213" w:rsidR="007A195F">
        <w:rPr>
          <w:bCs/>
        </w:rPr>
        <w:t xml:space="preserve"> </w:t>
      </w:r>
      <w:r w:rsidRPr="002A3213" w:rsidR="00547949">
        <w:rPr>
          <w:bCs/>
        </w:rPr>
        <w:t xml:space="preserve">The date when the time-limit for appeal started to run could therefore </w:t>
      </w:r>
      <w:r w:rsidRPr="002A3213" w:rsidR="00EB6807">
        <w:rPr>
          <w:bCs/>
        </w:rPr>
        <w:t xml:space="preserve">not be </w:t>
      </w:r>
      <w:r w:rsidRPr="002A3213" w:rsidR="00547949">
        <w:rPr>
          <w:bCs/>
        </w:rPr>
        <w:t>clearly established on the basis of the documents in the applicants</w:t>
      </w:r>
      <w:r w:rsidRPr="002A3213" w:rsidR="002A3213">
        <w:rPr>
          <w:bCs/>
        </w:rPr>
        <w:t>’</w:t>
      </w:r>
      <w:r w:rsidRPr="002A3213" w:rsidR="00547949">
        <w:rPr>
          <w:bCs/>
        </w:rPr>
        <w:t xml:space="preserve"> possession. </w:t>
      </w:r>
      <w:r w:rsidRPr="002A3213" w:rsidR="008F1964">
        <w:rPr>
          <w:bCs/>
        </w:rPr>
        <w:t xml:space="preserve">The only certain fact is that the finalised judgment </w:t>
      </w:r>
      <w:r w:rsidRPr="002A3213">
        <w:rPr>
          <w:bCs/>
        </w:rPr>
        <w:t xml:space="preserve">was sent to the applicants </w:t>
      </w:r>
      <w:r w:rsidRPr="002A3213" w:rsidR="00891204">
        <w:rPr>
          <w:bCs/>
        </w:rPr>
        <w:t xml:space="preserve">by post </w:t>
      </w:r>
      <w:r w:rsidRPr="002A3213">
        <w:rPr>
          <w:bCs/>
        </w:rPr>
        <w:t xml:space="preserve">on </w:t>
      </w:r>
      <w:r w:rsidRPr="002A3213" w:rsidR="00891204">
        <w:rPr>
          <w:bCs/>
        </w:rPr>
        <w:t>27 </w:t>
      </w:r>
      <w:r w:rsidRPr="002A3213">
        <w:rPr>
          <w:bCs/>
        </w:rPr>
        <w:t>March 2012</w:t>
      </w:r>
      <w:r w:rsidRPr="002A3213" w:rsidR="008F1964">
        <w:rPr>
          <w:bCs/>
        </w:rPr>
        <w:t xml:space="preserve">. It </w:t>
      </w:r>
      <w:r w:rsidRPr="002A3213" w:rsidR="00891204">
        <w:rPr>
          <w:bCs/>
        </w:rPr>
        <w:t>therefore follows that</w:t>
      </w:r>
      <w:r w:rsidRPr="002A3213" w:rsidR="008F1964">
        <w:rPr>
          <w:bCs/>
        </w:rPr>
        <w:t xml:space="preserve"> the applicants </w:t>
      </w:r>
      <w:r w:rsidRPr="002A3213" w:rsidR="0021088B">
        <w:rPr>
          <w:bCs/>
        </w:rPr>
        <w:t>had</w:t>
      </w:r>
      <w:r w:rsidRPr="002A3213" w:rsidR="008F1964">
        <w:rPr>
          <w:bCs/>
        </w:rPr>
        <w:t xml:space="preserve"> not know</w:t>
      </w:r>
      <w:r w:rsidRPr="002A3213" w:rsidR="0021088B">
        <w:rPr>
          <w:bCs/>
        </w:rPr>
        <w:t>n</w:t>
      </w:r>
      <w:r w:rsidRPr="002A3213" w:rsidR="008F1964">
        <w:rPr>
          <w:bCs/>
        </w:rPr>
        <w:t xml:space="preserve"> the content</w:t>
      </w:r>
      <w:r w:rsidRPr="002A3213" w:rsidR="009A3A52">
        <w:rPr>
          <w:bCs/>
        </w:rPr>
        <w:t>s</w:t>
      </w:r>
      <w:r w:rsidRPr="002A3213" w:rsidR="008F1964">
        <w:rPr>
          <w:bCs/>
        </w:rPr>
        <w:t xml:space="preserve"> of the judgment before that date. That circumstance was certainly known both to the Pervomayskiy District Court</w:t>
      </w:r>
      <w:r w:rsidRPr="002A3213" w:rsidR="00EB6807">
        <w:rPr>
          <w:bCs/>
        </w:rPr>
        <w:t>,</w:t>
      </w:r>
      <w:r w:rsidRPr="002A3213" w:rsidR="008F1964">
        <w:rPr>
          <w:bCs/>
        </w:rPr>
        <w:t xml:space="preserve"> which </w:t>
      </w:r>
      <w:r w:rsidRPr="002A3213" w:rsidR="00891204">
        <w:rPr>
          <w:bCs/>
        </w:rPr>
        <w:t>sent</w:t>
      </w:r>
      <w:r w:rsidRPr="002A3213" w:rsidR="008F1964">
        <w:rPr>
          <w:bCs/>
        </w:rPr>
        <w:t xml:space="preserve"> the judgment</w:t>
      </w:r>
      <w:r w:rsidRPr="002A3213" w:rsidR="00891204">
        <w:rPr>
          <w:bCs/>
        </w:rPr>
        <w:t xml:space="preserve"> to the </w:t>
      </w:r>
      <w:r w:rsidRPr="002A3213" w:rsidR="002D73CC">
        <w:rPr>
          <w:bCs/>
        </w:rPr>
        <w:t>applicants</w:t>
      </w:r>
      <w:r w:rsidRPr="002A3213" w:rsidR="00554A56">
        <w:rPr>
          <w:bCs/>
        </w:rPr>
        <w:t>,</w:t>
      </w:r>
      <w:r w:rsidRPr="002A3213" w:rsidR="008F1964">
        <w:rPr>
          <w:bCs/>
        </w:rPr>
        <w:t xml:space="preserve"> and to the Krasnodar Regional Court</w:t>
      </w:r>
      <w:r w:rsidRPr="002A3213" w:rsidR="00554A56">
        <w:rPr>
          <w:bCs/>
        </w:rPr>
        <w:t>,</w:t>
      </w:r>
      <w:r w:rsidRPr="002A3213" w:rsidR="008F1964">
        <w:rPr>
          <w:bCs/>
        </w:rPr>
        <w:t xml:space="preserve"> to which the applicants submitted the stamped envelope</w:t>
      </w:r>
      <w:r w:rsidRPr="002A3213" w:rsidR="002D73CC">
        <w:rPr>
          <w:bCs/>
        </w:rPr>
        <w:t xml:space="preserve"> showing the date on which they had received it</w:t>
      </w:r>
      <w:r w:rsidRPr="002A3213" w:rsidR="008F1964">
        <w:rPr>
          <w:bCs/>
        </w:rPr>
        <w:t xml:space="preserve"> (see paragraph </w:t>
      </w:r>
      <w:r w:rsidRPr="002A3213" w:rsidR="00526104">
        <w:rPr>
          <w:bCs/>
        </w:rPr>
        <w:fldChar w:fldCharType="begin"/>
      </w:r>
      <w:r w:rsidRPr="002A3213" w:rsidR="00526104">
        <w:rPr>
          <w:bCs/>
        </w:rPr>
        <w:instrText xml:space="preserve"> REF timelimit1 \h </w:instrText>
      </w:r>
      <w:r w:rsidRPr="002A3213" w:rsidR="008F1964">
        <w:rPr>
          <w:bCs/>
        </w:rPr>
        <w:instrText xml:space="preserve"> \* MERGEFORMAT </w:instrText>
      </w:r>
      <w:r w:rsidRPr="002A3213" w:rsidR="00526104">
        <w:rPr>
          <w:bCs/>
        </w:rPr>
      </w:r>
      <w:r w:rsidRPr="002A3213" w:rsidR="00526104">
        <w:rPr>
          <w:bCs/>
        </w:rPr>
        <w:fldChar w:fldCharType="separate"/>
      </w:r>
      <w:r w:rsidRPr="002A3213" w:rsidR="002A3213">
        <w:rPr>
          <w:bCs/>
        </w:rPr>
        <w:t>51</w:t>
      </w:r>
      <w:r w:rsidRPr="002A3213" w:rsidR="00526104">
        <w:rPr>
          <w:bCs/>
        </w:rPr>
        <w:fldChar w:fldCharType="end"/>
      </w:r>
      <w:r w:rsidRPr="002A3213" w:rsidR="008F1964">
        <w:rPr>
          <w:bCs/>
        </w:rPr>
        <w:t xml:space="preserve"> above). </w:t>
      </w:r>
      <w:r w:rsidRPr="002A3213" w:rsidR="007A195F">
        <w:rPr>
          <w:bCs/>
        </w:rPr>
        <w:t>The domestic courts did not explain why</w:t>
      </w:r>
      <w:r w:rsidRPr="002A3213" w:rsidR="00547949">
        <w:rPr>
          <w:bCs/>
        </w:rPr>
        <w:t xml:space="preserve"> in such circumstances</w:t>
      </w:r>
      <w:r w:rsidRPr="002A3213" w:rsidR="007A195F">
        <w:rPr>
          <w:bCs/>
        </w:rPr>
        <w:t xml:space="preserve"> they </w:t>
      </w:r>
      <w:r w:rsidRPr="002A3213" w:rsidR="00554A56">
        <w:rPr>
          <w:bCs/>
        </w:rPr>
        <w:t xml:space="preserve">had taken </w:t>
      </w:r>
      <w:r w:rsidRPr="002A3213" w:rsidR="007A195F">
        <w:rPr>
          <w:bCs/>
        </w:rPr>
        <w:t>20 February 2012 as the starting date for the time-limit</w:t>
      </w:r>
      <w:r w:rsidRPr="002A3213" w:rsidR="00547949">
        <w:rPr>
          <w:bCs/>
        </w:rPr>
        <w:t>. The Court is therefore not convinced that the start of the time</w:t>
      </w:r>
      <w:r w:rsidRPr="002A3213" w:rsidR="00A52AE9">
        <w:rPr>
          <w:bCs/>
        </w:rPr>
        <w:noBreakHyphen/>
      </w:r>
      <w:r w:rsidRPr="002A3213" w:rsidR="00547949">
        <w:rPr>
          <w:bCs/>
        </w:rPr>
        <w:t>limit for appeal was determined in a foreseeable manner.</w:t>
      </w:r>
    </w:p>
    <w:p w:rsidRPr="002A3213" w:rsidR="005D59EB" w:rsidP="002A3213" w:rsidRDefault="00547949">
      <w:pPr>
        <w:pStyle w:val="ECHRPara"/>
        <w:rPr>
          <w:bCs/>
        </w:rPr>
      </w:pPr>
      <w:r w:rsidRPr="002A3213">
        <w:rPr>
          <w:bCs/>
        </w:rPr>
        <w:fldChar w:fldCharType="begin"/>
      </w:r>
      <w:r w:rsidRPr="002A3213">
        <w:rPr>
          <w:bCs/>
        </w:rPr>
        <w:instrText xml:space="preserve"> SEQ level0 \*arabic </w:instrText>
      </w:r>
      <w:r w:rsidRPr="002A3213">
        <w:rPr>
          <w:bCs/>
        </w:rPr>
        <w:fldChar w:fldCharType="separate"/>
      </w:r>
      <w:r w:rsidRPr="002A3213" w:rsidR="002A3213">
        <w:rPr>
          <w:bCs/>
          <w:noProof/>
        </w:rPr>
        <w:t>100</w:t>
      </w:r>
      <w:r w:rsidRPr="002A3213">
        <w:rPr>
          <w:bCs/>
        </w:rPr>
        <w:fldChar w:fldCharType="end"/>
      </w:r>
      <w:r w:rsidRPr="002A3213">
        <w:rPr>
          <w:bCs/>
        </w:rPr>
        <w:t>.  However, even assuming that the time-limit started to run on 20 February 2012</w:t>
      </w:r>
      <w:r w:rsidRPr="002A3213" w:rsidR="00E76ED5">
        <w:rPr>
          <w:bCs/>
        </w:rPr>
        <w:t xml:space="preserve">, </w:t>
      </w:r>
      <w:r w:rsidRPr="002A3213" w:rsidR="00761F5A">
        <w:rPr>
          <w:bCs/>
        </w:rPr>
        <w:t xml:space="preserve">the applicants considered that they </w:t>
      </w:r>
      <w:r w:rsidRPr="002A3213" w:rsidR="00554A56">
        <w:rPr>
          <w:bCs/>
        </w:rPr>
        <w:t xml:space="preserve">had </w:t>
      </w:r>
      <w:r w:rsidRPr="002A3213" w:rsidR="00761F5A">
        <w:rPr>
          <w:bCs/>
        </w:rPr>
        <w:t>complied with the one-month time-limit by dispatching their a</w:t>
      </w:r>
      <w:r w:rsidRPr="002A3213" w:rsidR="00E1234C">
        <w:rPr>
          <w:bCs/>
        </w:rPr>
        <w:t>ppeal submissions by post on 19 March 2012</w:t>
      </w:r>
      <w:r w:rsidRPr="002A3213" w:rsidR="00761F5A">
        <w:rPr>
          <w:bCs/>
        </w:rPr>
        <w:t>. The domestic courts did not explain why they considered that the appeal had been lodged on 26 March 2012, that is</w:t>
      </w:r>
      <w:r w:rsidRPr="002A3213" w:rsidR="00554A56">
        <w:rPr>
          <w:bCs/>
        </w:rPr>
        <w:t>,</w:t>
      </w:r>
      <w:r w:rsidRPr="002A3213" w:rsidR="00761F5A">
        <w:rPr>
          <w:bCs/>
        </w:rPr>
        <w:t xml:space="preserve"> on the date of receipt of the appeal submissions by the Pervomayskiy District Court, rather than on the date of </w:t>
      </w:r>
      <w:r w:rsidRPr="002A3213" w:rsidR="00E1234C">
        <w:rPr>
          <w:bCs/>
        </w:rPr>
        <w:t xml:space="preserve">postal </w:t>
      </w:r>
      <w:r w:rsidRPr="002A3213" w:rsidR="00761F5A">
        <w:rPr>
          <w:bCs/>
        </w:rPr>
        <w:t xml:space="preserve">dispatch </w:t>
      </w:r>
      <w:r w:rsidRPr="002A3213" w:rsidR="00E1234C">
        <w:rPr>
          <w:bCs/>
        </w:rPr>
        <w:t xml:space="preserve">as required by domestic law (see paragraph </w:t>
      </w:r>
      <w:r w:rsidRPr="002A3213" w:rsidR="00E1234C">
        <w:rPr>
          <w:bCs/>
        </w:rPr>
        <w:fldChar w:fldCharType="begin"/>
      </w:r>
      <w:r w:rsidRPr="002A3213" w:rsidR="00E1234C">
        <w:rPr>
          <w:bCs/>
        </w:rPr>
        <w:instrText xml:space="preserve"> REF calculate \h </w:instrText>
      </w:r>
      <w:r w:rsidRPr="002A3213" w:rsidR="00E1234C">
        <w:rPr>
          <w:bCs/>
        </w:rPr>
      </w:r>
      <w:r w:rsidRPr="002A3213" w:rsidR="00E1234C">
        <w:rPr>
          <w:bCs/>
        </w:rPr>
        <w:fldChar w:fldCharType="separate"/>
      </w:r>
      <w:r w:rsidRPr="002A3213" w:rsidR="002A3213">
        <w:rPr>
          <w:noProof/>
        </w:rPr>
        <w:t>71</w:t>
      </w:r>
      <w:r w:rsidRPr="002A3213" w:rsidR="00E1234C">
        <w:rPr>
          <w:bCs/>
        </w:rPr>
        <w:fldChar w:fldCharType="end"/>
      </w:r>
      <w:r w:rsidRPr="002A3213" w:rsidR="00E1234C">
        <w:rPr>
          <w:bCs/>
        </w:rPr>
        <w:t xml:space="preserve"> above). The date of dispatch </w:t>
      </w:r>
      <w:r w:rsidRPr="002A3213" w:rsidR="00761F5A">
        <w:rPr>
          <w:bCs/>
        </w:rPr>
        <w:t>had been confirmed by documentary evidence, in particular the post</w:t>
      </w:r>
      <w:r w:rsidRPr="002A3213" w:rsidR="00554A56">
        <w:rPr>
          <w:bCs/>
        </w:rPr>
        <w:t>al receipt</w:t>
      </w:r>
      <w:r w:rsidRPr="002A3213" w:rsidR="00761F5A">
        <w:rPr>
          <w:bCs/>
        </w:rPr>
        <w:t xml:space="preserve"> submitted by the applicants </w:t>
      </w:r>
      <w:r w:rsidRPr="002A3213" w:rsidR="00E1234C">
        <w:rPr>
          <w:bCs/>
        </w:rPr>
        <w:t xml:space="preserve">to the Krasnodar Regional Court </w:t>
      </w:r>
      <w:r w:rsidRPr="002A3213" w:rsidR="00761F5A">
        <w:rPr>
          <w:bCs/>
        </w:rPr>
        <w:t>and the post stamp on the envelope containing the appeal submissions</w:t>
      </w:r>
      <w:r w:rsidRPr="002A3213" w:rsidR="00554A56">
        <w:rPr>
          <w:bCs/>
        </w:rPr>
        <w:t>,</w:t>
      </w:r>
      <w:r w:rsidRPr="002A3213" w:rsidR="00761F5A">
        <w:rPr>
          <w:bCs/>
        </w:rPr>
        <w:t xml:space="preserve"> </w:t>
      </w:r>
      <w:r w:rsidRPr="002A3213" w:rsidR="00E1234C">
        <w:rPr>
          <w:bCs/>
        </w:rPr>
        <w:t xml:space="preserve">which was in the possession </w:t>
      </w:r>
      <w:r w:rsidRPr="002A3213" w:rsidR="00A7724B">
        <w:rPr>
          <w:bCs/>
        </w:rPr>
        <w:t xml:space="preserve">of </w:t>
      </w:r>
      <w:r w:rsidRPr="002A3213" w:rsidR="00E1234C">
        <w:rPr>
          <w:bCs/>
        </w:rPr>
        <w:t>the Pervomayskiy District Court</w:t>
      </w:r>
      <w:r w:rsidRPr="002A3213" w:rsidR="00761F5A">
        <w:rPr>
          <w:bCs/>
        </w:rPr>
        <w:t xml:space="preserve"> </w:t>
      </w:r>
      <w:r w:rsidRPr="002A3213" w:rsidR="00EC3837">
        <w:t xml:space="preserve">(see </w:t>
      </w:r>
      <w:r w:rsidRPr="002A3213" w:rsidR="00761F5A">
        <w:t>paragraphs</w:t>
      </w:r>
      <w:r w:rsidRPr="002A3213" w:rsidR="00EC3837">
        <w:t xml:space="preserve"> </w:t>
      </w:r>
      <w:r w:rsidRPr="002A3213" w:rsidR="00526104">
        <w:fldChar w:fldCharType="begin"/>
      </w:r>
      <w:r w:rsidRPr="002A3213" w:rsidR="00526104">
        <w:instrText xml:space="preserve"> REF timelimit1 \h </w:instrText>
      </w:r>
      <w:r w:rsidRPr="002A3213" w:rsidR="0090678C">
        <w:instrText xml:space="preserve"> \* MERGEFORMAT </w:instrText>
      </w:r>
      <w:r w:rsidRPr="002A3213" w:rsidR="00526104">
        <w:fldChar w:fldCharType="separate"/>
      </w:r>
      <w:r w:rsidRPr="002A3213" w:rsidR="002A3213">
        <w:rPr>
          <w:rFonts w:ascii="Times New Roman" w:hAnsi="Times New Roman" w:eastAsia="Times New Roman" w:cs="Times New Roman"/>
          <w:szCs w:val="20"/>
          <w:lang w:eastAsia="fr-FR"/>
        </w:rPr>
        <w:t>51</w:t>
      </w:r>
      <w:r w:rsidRPr="002A3213" w:rsidR="00526104">
        <w:fldChar w:fldCharType="end"/>
      </w:r>
      <w:r w:rsidRPr="002A3213" w:rsidR="00526104">
        <w:t xml:space="preserve"> </w:t>
      </w:r>
      <w:r w:rsidRPr="002A3213" w:rsidR="00761F5A">
        <w:t>above</w:t>
      </w:r>
      <w:r w:rsidRPr="002A3213" w:rsidR="00526104">
        <w:t>)</w:t>
      </w:r>
      <w:r w:rsidRPr="002A3213" w:rsidR="00E1234C">
        <w:t xml:space="preserve">. The Regional Court did not explain why it did not take those documents into account although the courts had been instructed to do </w:t>
      </w:r>
      <w:r w:rsidRPr="002A3213" w:rsidR="00554A56">
        <w:t xml:space="preserve">so </w:t>
      </w:r>
      <w:r w:rsidRPr="002A3213" w:rsidR="00E1234C">
        <w:t xml:space="preserve">by the recent </w:t>
      </w:r>
      <w:r w:rsidRPr="002A3213" w:rsidR="00554A56">
        <w:t>r</w:t>
      </w:r>
      <w:r w:rsidRPr="002A3213" w:rsidR="00E1234C">
        <w:t xml:space="preserve">uling of the Supreme Court (see paragraph </w:t>
      </w:r>
      <w:r w:rsidRPr="002A3213" w:rsidR="00E1234C">
        <w:fldChar w:fldCharType="begin"/>
      </w:r>
      <w:r w:rsidRPr="002A3213" w:rsidR="00E1234C">
        <w:instrText xml:space="preserve"> REF sc \h </w:instrText>
      </w:r>
      <w:r w:rsidRPr="002A3213" w:rsidR="00E1234C">
        <w:fldChar w:fldCharType="separate"/>
      </w:r>
      <w:r w:rsidRPr="002A3213" w:rsidR="002A3213">
        <w:rPr>
          <w:noProof/>
        </w:rPr>
        <w:t>73</w:t>
      </w:r>
      <w:r w:rsidRPr="002A3213" w:rsidR="00E1234C">
        <w:fldChar w:fldCharType="end"/>
      </w:r>
      <w:r w:rsidRPr="002A3213" w:rsidR="00E1234C">
        <w:t xml:space="preserve"> above). </w:t>
      </w:r>
      <w:r w:rsidRPr="002A3213" w:rsidR="00823BE4">
        <w:t xml:space="preserve">It follows that </w:t>
      </w:r>
      <w:r w:rsidRPr="002A3213" w:rsidR="00823BE4">
        <w:rPr>
          <w:bCs/>
        </w:rPr>
        <w:t>the date on which the applicants lodged their appeal was also not determined in a foreseeable manner.</w:t>
      </w:r>
    </w:p>
    <w:p w:rsidRPr="002A3213" w:rsidR="005D59EB" w:rsidP="002A3213" w:rsidRDefault="00E1234C">
      <w:pPr>
        <w:pStyle w:val="ECHRPara"/>
      </w:pPr>
      <w:r w:rsidRPr="002A3213">
        <w:fldChar w:fldCharType="begin"/>
      </w:r>
      <w:r w:rsidRPr="002A3213">
        <w:instrText xml:space="preserve"> SEQ level0 \*arabic </w:instrText>
      </w:r>
      <w:r w:rsidRPr="002A3213">
        <w:fldChar w:fldCharType="separate"/>
      </w:r>
      <w:r w:rsidRPr="002A3213" w:rsidR="002A3213">
        <w:rPr>
          <w:noProof/>
        </w:rPr>
        <w:t>101</w:t>
      </w:r>
      <w:r w:rsidRPr="002A3213">
        <w:fldChar w:fldCharType="end"/>
      </w:r>
      <w:r w:rsidRPr="002A3213">
        <w:t>.  </w:t>
      </w:r>
      <w:r w:rsidRPr="002A3213" w:rsidR="00AF4666">
        <w:t xml:space="preserve">The Court accordingly finds that in the present case both the starting date for the time-limit and the date </w:t>
      </w:r>
      <w:r w:rsidRPr="002A3213" w:rsidR="00554A56">
        <w:t xml:space="preserve">on which </w:t>
      </w:r>
      <w:r w:rsidRPr="002A3213" w:rsidR="00AF4666">
        <w:t xml:space="preserve">the appeal </w:t>
      </w:r>
      <w:r w:rsidRPr="002A3213" w:rsidR="00554A56">
        <w:t xml:space="preserve">was lodged </w:t>
      </w:r>
      <w:r w:rsidRPr="002A3213" w:rsidR="00AF4666">
        <w:t>were determined by the domestic courts in a manner that was not foreseeable to the applicants, and without any reasoning explaining the departure from the established procedural rules. As a result, the applicants</w:t>
      </w:r>
      <w:r w:rsidRPr="002A3213" w:rsidR="002A3213">
        <w:t>’</w:t>
      </w:r>
      <w:r w:rsidRPr="002A3213" w:rsidR="00AF4666">
        <w:t xml:space="preserve"> appeal was not examined on the merits although they had seemingly followed the rules for lodging appeals</w:t>
      </w:r>
      <w:r w:rsidRPr="002A3213" w:rsidR="00554A56">
        <w:t xml:space="preserve"> as</w:t>
      </w:r>
      <w:r w:rsidRPr="002A3213" w:rsidR="00AF4666">
        <w:t xml:space="preserve"> established by domestic law.</w:t>
      </w:r>
      <w:r w:rsidRPr="002A3213" w:rsidR="0021088B">
        <w:t xml:space="preserve"> </w:t>
      </w:r>
      <w:r w:rsidRPr="002A3213" w:rsidR="00823BE4">
        <w:t>That is</w:t>
      </w:r>
      <w:r w:rsidRPr="002A3213" w:rsidR="00F43A49">
        <w:t xml:space="preserve"> sufficient </w:t>
      </w:r>
      <w:r w:rsidRPr="002A3213" w:rsidR="00554A56">
        <w:t>for</w:t>
      </w:r>
      <w:r w:rsidRPr="002A3213" w:rsidR="00F43A49">
        <w:t xml:space="preserve"> the Court to conclude that the applicant</w:t>
      </w:r>
      <w:r w:rsidRPr="002A3213" w:rsidR="00823BE4">
        <w:t>s</w:t>
      </w:r>
      <w:r w:rsidRPr="002A3213" w:rsidR="00F43A49">
        <w:t xml:space="preserve"> </w:t>
      </w:r>
      <w:r w:rsidRPr="002A3213" w:rsidR="00823BE4">
        <w:t>were deprived of an</w:t>
      </w:r>
      <w:r w:rsidRPr="002A3213" w:rsidR="00F43A49">
        <w:t xml:space="preserve"> opportunity </w:t>
      </w:r>
      <w:r w:rsidRPr="002A3213" w:rsidR="0095584C">
        <w:t xml:space="preserve">to </w:t>
      </w:r>
      <w:r w:rsidRPr="002A3213" w:rsidR="00823BE4">
        <w:t>appeal against the first-instance judgment and that the very essence of their</w:t>
      </w:r>
      <w:r w:rsidRPr="002A3213" w:rsidR="00F43A49">
        <w:t xml:space="preserve"> right to effective access to </w:t>
      </w:r>
      <w:r w:rsidRPr="002A3213" w:rsidR="00823BE4">
        <w:t xml:space="preserve">a </w:t>
      </w:r>
      <w:r w:rsidRPr="002A3213" w:rsidR="00F43A49">
        <w:t>court was thereby impaired</w:t>
      </w:r>
      <w:r w:rsidRPr="002A3213" w:rsidR="0095584C">
        <w:t>.</w:t>
      </w:r>
    </w:p>
    <w:bookmarkStart w:name="access2" w:id="22"/>
    <w:p w:rsidRPr="002A3213" w:rsidR="005D59EB" w:rsidP="002A3213" w:rsidRDefault="0095584C">
      <w:pPr>
        <w:pStyle w:val="ECHRPara"/>
      </w:pPr>
      <w:r w:rsidRPr="002A3213">
        <w:fldChar w:fldCharType="begin"/>
      </w:r>
      <w:r w:rsidRPr="002A3213">
        <w:instrText xml:space="preserve"> SEQ level0 \*arabic </w:instrText>
      </w:r>
      <w:r w:rsidRPr="002A3213">
        <w:fldChar w:fldCharType="separate"/>
      </w:r>
      <w:r w:rsidRPr="002A3213" w:rsidR="002A3213">
        <w:rPr>
          <w:noProof/>
        </w:rPr>
        <w:t>102</w:t>
      </w:r>
      <w:r w:rsidRPr="002A3213">
        <w:fldChar w:fldCharType="end"/>
      </w:r>
      <w:bookmarkEnd w:id="22"/>
      <w:r w:rsidRPr="002A3213">
        <w:t>.  There has therefore been a violation of Article 6 § 1 of the Convention in application no. 58282/12.</w:t>
      </w:r>
    </w:p>
    <w:p w:rsidRPr="002A3213" w:rsidR="00D420F3" w:rsidP="002A3213" w:rsidRDefault="0077175D">
      <w:pPr>
        <w:pStyle w:val="ECHRHeading1"/>
      </w:pPr>
      <w:r w:rsidRPr="002A3213">
        <w:t>I</w:t>
      </w:r>
      <w:r w:rsidRPr="002A3213" w:rsidR="00366CCC">
        <w:t>V</w:t>
      </w:r>
      <w:r w:rsidRPr="002A3213" w:rsidR="00443895">
        <w:t>.  ALLEGED VIOLATION OF ARTICLE</w:t>
      </w:r>
      <w:r w:rsidRPr="002A3213">
        <w:t xml:space="preserve"> </w:t>
      </w:r>
      <w:r w:rsidRPr="002A3213" w:rsidR="00EF04B9">
        <w:t>11</w:t>
      </w:r>
      <w:r w:rsidRPr="002A3213">
        <w:t xml:space="preserve"> OF THE CONVENTION</w:t>
      </w:r>
    </w:p>
    <w:p w:rsidRPr="002A3213" w:rsidR="00D420F3" w:rsidP="002A3213" w:rsidRDefault="00961FF4">
      <w:pPr>
        <w:pStyle w:val="ECHRPara"/>
      </w:pPr>
      <w:r w:rsidRPr="002A3213">
        <w:fldChar w:fldCharType="begin"/>
      </w:r>
      <w:r w:rsidRPr="002A3213">
        <w:instrText xml:space="preserve"> SEQ level0 \*arabic </w:instrText>
      </w:r>
      <w:r w:rsidRPr="002A3213">
        <w:fldChar w:fldCharType="separate"/>
      </w:r>
      <w:r w:rsidRPr="002A3213" w:rsidR="002A3213">
        <w:rPr>
          <w:noProof/>
        </w:rPr>
        <w:t>103</w:t>
      </w:r>
      <w:r w:rsidRPr="002A3213">
        <w:fldChar w:fldCharType="end"/>
      </w:r>
      <w:r w:rsidRPr="002A3213" w:rsidR="0077175D">
        <w:t>.  The applicant</w:t>
      </w:r>
      <w:r w:rsidRPr="002A3213">
        <w:t>s</w:t>
      </w:r>
      <w:r w:rsidRPr="002A3213" w:rsidR="0077175D">
        <w:t xml:space="preserve"> complained that </w:t>
      </w:r>
      <w:r w:rsidRPr="002A3213" w:rsidR="0021088B">
        <w:t>the refusals to register the three applicant organisations had violated</w:t>
      </w:r>
      <w:r w:rsidRPr="002A3213" w:rsidR="00D454CF">
        <w:t xml:space="preserve"> their freedom of association, </w:t>
      </w:r>
      <w:r w:rsidRPr="002A3213" w:rsidR="0021088B">
        <w:t>guaranteed by</w:t>
      </w:r>
      <w:r w:rsidRPr="002A3213" w:rsidR="0077175D">
        <w:t xml:space="preserve"> Article </w:t>
      </w:r>
      <w:r w:rsidRPr="002A3213" w:rsidR="0021088B">
        <w:t>11</w:t>
      </w:r>
      <w:r w:rsidRPr="002A3213" w:rsidR="0077175D">
        <w:t xml:space="preserve"> of the Convention, which reads as follows:</w:t>
      </w:r>
    </w:p>
    <w:p w:rsidRPr="002A3213" w:rsidR="0021088B" w:rsidP="002A3213" w:rsidRDefault="0021088B">
      <w:pPr>
        <w:pStyle w:val="ECHRParaQuote"/>
      </w:pPr>
      <w:r w:rsidRPr="002A3213">
        <w:rPr>
          <w:szCs w:val="20"/>
        </w:rPr>
        <w:t>“</w:t>
      </w:r>
      <w:r w:rsidRPr="002A3213">
        <w:t>1.  Everyone has the right to freedom of peaceful assembly and to freedom of association with others, including the right to form and to join trade unions for the protection of his interests.</w:t>
      </w:r>
    </w:p>
    <w:p w:rsidRPr="002A3213" w:rsidR="0021088B" w:rsidP="002A3213" w:rsidRDefault="0021088B">
      <w:pPr>
        <w:pStyle w:val="ECHRParaQuote"/>
      </w:pPr>
      <w:r w:rsidRPr="002A3213">
        <w:t>2.  No restrictions shall be placed on the exercise of these rights other than such as are prescribed by law and are necessary in a democratic society in the interests of national security or public safety, for the prevention of disorder or crime, for the protection of health or morals or for the protection of the rights and freedoms of others. This Article shall not prevent the imposition of lawful restrictions on the exercise of these rights by members of the armed forces, of the police or of the administration of the State.”</w:t>
      </w:r>
    </w:p>
    <w:p w:rsidRPr="002A3213" w:rsidR="00D420F3" w:rsidP="002A3213" w:rsidRDefault="0077175D">
      <w:pPr>
        <w:pStyle w:val="ECHRHeading2"/>
      </w:pPr>
      <w:r w:rsidRPr="002A3213">
        <w:t>A.  Admissibility</w:t>
      </w:r>
    </w:p>
    <w:p w:rsidRPr="002A3213" w:rsidR="002F6C12" w:rsidP="002A3213" w:rsidRDefault="002F6C12">
      <w:pPr>
        <w:pStyle w:val="ECHRHeading3"/>
      </w:pPr>
      <w:r w:rsidRPr="002A3213">
        <w:t>1.  Submissions by the parties</w:t>
      </w:r>
    </w:p>
    <w:p w:rsidRPr="002A3213" w:rsidR="005D59EB" w:rsidP="002A3213" w:rsidRDefault="00E45262">
      <w:pPr>
        <w:pStyle w:val="ECHRPara"/>
      </w:pPr>
      <w:r w:rsidRPr="002A3213">
        <w:fldChar w:fldCharType="begin"/>
      </w:r>
      <w:r w:rsidRPr="002A3213">
        <w:instrText xml:space="preserve"> SEQ level0 \*arabic </w:instrText>
      </w:r>
      <w:r w:rsidRPr="002A3213">
        <w:fldChar w:fldCharType="separate"/>
      </w:r>
      <w:r w:rsidRPr="002A3213" w:rsidR="002A3213">
        <w:rPr>
          <w:noProof/>
        </w:rPr>
        <w:t>104</w:t>
      </w:r>
      <w:r w:rsidRPr="002A3213">
        <w:fldChar w:fldCharType="end"/>
      </w:r>
      <w:r w:rsidRPr="002A3213">
        <w:t xml:space="preserve">.  The Government submitted that the applicants in application </w:t>
      </w:r>
      <w:r w:rsidRPr="002A3213" w:rsidR="002F6C12">
        <w:t>no. </w:t>
      </w:r>
      <w:r w:rsidRPr="002A3213">
        <w:t>12200/08</w:t>
      </w:r>
      <w:r w:rsidRPr="002A3213" w:rsidR="002F6C12">
        <w:t xml:space="preserve"> had not exhausted </w:t>
      </w:r>
      <w:r w:rsidRPr="002A3213" w:rsidR="004F6D0C">
        <w:t>the domestic remedies</w:t>
      </w:r>
      <w:r w:rsidRPr="002A3213" w:rsidR="002F6C12">
        <w:t xml:space="preserve"> </w:t>
      </w:r>
      <w:r w:rsidRPr="002A3213" w:rsidR="00D01317">
        <w:t xml:space="preserve">because instead of asking </w:t>
      </w:r>
      <w:r w:rsidRPr="002A3213" w:rsidR="001434C8">
        <w:t xml:space="preserve">for </w:t>
      </w:r>
      <w:r w:rsidRPr="002A3213" w:rsidR="00AA4F51">
        <w:t xml:space="preserve">the </w:t>
      </w:r>
      <w:r w:rsidRPr="002A3213" w:rsidR="00D01317">
        <w:t>refusal of registration</w:t>
      </w:r>
      <w:r w:rsidRPr="002A3213" w:rsidR="001352E5">
        <w:t xml:space="preserve"> of 1 June 2007</w:t>
      </w:r>
      <w:r w:rsidRPr="002A3213" w:rsidR="00D01317">
        <w:t xml:space="preserve"> </w:t>
      </w:r>
      <w:r w:rsidRPr="002A3213" w:rsidR="001434C8">
        <w:t xml:space="preserve">to </w:t>
      </w:r>
      <w:r w:rsidRPr="002A3213" w:rsidR="00D01317">
        <w:t xml:space="preserve">be declared unlawful </w:t>
      </w:r>
      <w:r w:rsidRPr="002A3213" w:rsidR="00D43E96">
        <w:t xml:space="preserve">and unfounded </w:t>
      </w:r>
      <w:r w:rsidRPr="002A3213" w:rsidR="00D01317">
        <w:t xml:space="preserve">and </w:t>
      </w:r>
      <w:r w:rsidRPr="002A3213" w:rsidR="00BC0C68">
        <w:t xml:space="preserve">for </w:t>
      </w:r>
      <w:r w:rsidRPr="002A3213" w:rsidR="00D01317">
        <w:t xml:space="preserve">the breach of his rights </w:t>
      </w:r>
      <w:r w:rsidRPr="002A3213" w:rsidR="00BC0C68">
        <w:t xml:space="preserve">to </w:t>
      </w:r>
      <w:r w:rsidRPr="002A3213" w:rsidR="00D01317">
        <w:t xml:space="preserve">be remedied, the first applicant had </w:t>
      </w:r>
      <w:r w:rsidRPr="002A3213" w:rsidR="00BC0C68">
        <w:t>sought a</w:t>
      </w:r>
      <w:r w:rsidRPr="002A3213" w:rsidR="00D01317">
        <w:t xml:space="preserve"> declar</w:t>
      </w:r>
      <w:r w:rsidRPr="002A3213" w:rsidR="00BC0C68">
        <w:t>ation</w:t>
      </w:r>
      <w:r w:rsidRPr="002A3213" w:rsidR="00D01317">
        <w:t xml:space="preserve"> that the refusal of registration had interfered with </w:t>
      </w:r>
      <w:r w:rsidRPr="002A3213" w:rsidR="001352E5">
        <w:t>his rights</w:t>
      </w:r>
      <w:r w:rsidRPr="002A3213" w:rsidR="00D01317">
        <w:t xml:space="preserve">. </w:t>
      </w:r>
      <w:r w:rsidRPr="002A3213" w:rsidR="00BF2001">
        <w:t>M</w:t>
      </w:r>
      <w:r w:rsidRPr="002A3213" w:rsidR="001A46FB">
        <w:t>o</w:t>
      </w:r>
      <w:r w:rsidRPr="002A3213" w:rsidR="00BF2001">
        <w:t xml:space="preserve">reover, the first applicant had not contested before the domestic courts some of the grounds </w:t>
      </w:r>
      <w:r w:rsidRPr="002A3213" w:rsidR="002D0FC4">
        <w:t>for the refusal of registration</w:t>
      </w:r>
      <w:r w:rsidRPr="002A3213" w:rsidR="001352E5">
        <w:t xml:space="preserve"> of 1 June 2007</w:t>
      </w:r>
      <w:r w:rsidRPr="002A3213" w:rsidR="002D0FC4">
        <w:t xml:space="preserve"> concerning the </w:t>
      </w:r>
      <w:r w:rsidRPr="002A3213" w:rsidR="009142F8">
        <w:t>irregularities</w:t>
      </w:r>
      <w:r w:rsidRPr="002A3213" w:rsidR="002D0FC4">
        <w:t xml:space="preserve"> in the docum</w:t>
      </w:r>
      <w:r w:rsidRPr="002A3213" w:rsidR="009142F8">
        <w:t xml:space="preserve">ents submitted for registration – in particular, the irregularities concerning the failure to staple the application form, the incorrectly drawn </w:t>
      </w:r>
      <w:r w:rsidRPr="002A3213" w:rsidR="00BC0C68">
        <w:t xml:space="preserve">up </w:t>
      </w:r>
      <w:r w:rsidRPr="002A3213" w:rsidR="009142F8">
        <w:t>lease agreement for the office, and the irregularities in the articles of association concerning the right to dispose of property and the competence and the procedure for appointment of one of the governing bodies. Some of those required</w:t>
      </w:r>
      <w:r w:rsidRPr="002A3213" w:rsidR="002D0FC4">
        <w:t xml:space="preserve"> amendments to the second applicant</w:t>
      </w:r>
      <w:r w:rsidRPr="002A3213" w:rsidR="002A3213">
        <w:t>’</w:t>
      </w:r>
      <w:r w:rsidRPr="002A3213" w:rsidR="002D0FC4">
        <w:t>s articles of association.</w:t>
      </w:r>
    </w:p>
    <w:p w:rsidRPr="002A3213" w:rsidR="002F6C12" w:rsidP="002A3213" w:rsidRDefault="00B067AD">
      <w:pPr>
        <w:pStyle w:val="ECHRPara"/>
      </w:pPr>
      <w:r w:rsidRPr="002A3213">
        <w:fldChar w:fldCharType="begin"/>
      </w:r>
      <w:r w:rsidRPr="002A3213">
        <w:instrText xml:space="preserve"> SEQ level0 \*arabic </w:instrText>
      </w:r>
      <w:r w:rsidRPr="002A3213">
        <w:fldChar w:fldCharType="separate"/>
      </w:r>
      <w:r w:rsidRPr="002A3213" w:rsidR="002A3213">
        <w:rPr>
          <w:noProof/>
        </w:rPr>
        <w:t>105</w:t>
      </w:r>
      <w:r w:rsidRPr="002A3213">
        <w:fldChar w:fldCharType="end"/>
      </w:r>
      <w:r w:rsidRPr="002A3213" w:rsidR="002F6C12">
        <w:t>.  The Government further submitted that the applicants in application no. 58282/12 had not exhausted the domestic remedies as they had not appealed against the judgment of 20 February 2012 within the time-limit established by domestic law.</w:t>
      </w:r>
    </w:p>
    <w:p w:rsidRPr="002A3213" w:rsidR="005D59EB" w:rsidP="002A3213" w:rsidRDefault="00B067AD">
      <w:pPr>
        <w:pStyle w:val="ECHRPara"/>
      </w:pPr>
      <w:r w:rsidRPr="002A3213">
        <w:fldChar w:fldCharType="begin"/>
      </w:r>
      <w:r w:rsidRPr="002A3213">
        <w:instrText xml:space="preserve"> SEQ level0 \*arabic </w:instrText>
      </w:r>
      <w:r w:rsidRPr="002A3213">
        <w:fldChar w:fldCharType="separate"/>
      </w:r>
      <w:r w:rsidRPr="002A3213" w:rsidR="002A3213">
        <w:rPr>
          <w:noProof/>
        </w:rPr>
        <w:t>106</w:t>
      </w:r>
      <w:r w:rsidRPr="002A3213">
        <w:fldChar w:fldCharType="end"/>
      </w:r>
      <w:r w:rsidRPr="002A3213" w:rsidR="002F6C12">
        <w:t>.  Lastly, the Government submitted that Movement for Marriage Equality and Sochi Pride House had not been registered and did not therefore exist. Accordingly, they could not lodge an application with the Court.</w:t>
      </w:r>
    </w:p>
    <w:p w:rsidRPr="002A3213" w:rsidR="00196404" w:rsidP="002A3213" w:rsidRDefault="00196404">
      <w:pPr>
        <w:pStyle w:val="ECHRPara"/>
      </w:pPr>
      <w:r w:rsidRPr="002A3213">
        <w:fldChar w:fldCharType="begin"/>
      </w:r>
      <w:r w:rsidRPr="002A3213">
        <w:instrText xml:space="preserve"> SEQ level0 \*arabic </w:instrText>
      </w:r>
      <w:r w:rsidRPr="002A3213">
        <w:fldChar w:fldCharType="separate"/>
      </w:r>
      <w:r w:rsidRPr="002A3213" w:rsidR="002A3213">
        <w:rPr>
          <w:noProof/>
        </w:rPr>
        <w:t>107</w:t>
      </w:r>
      <w:r w:rsidRPr="002A3213">
        <w:fldChar w:fldCharType="end"/>
      </w:r>
      <w:r w:rsidRPr="002A3213">
        <w:t>.  The applicants</w:t>
      </w:r>
      <w:r w:rsidRPr="002A3213" w:rsidR="002F6C12">
        <w:t xml:space="preserve"> in application no. 12200/08 </w:t>
      </w:r>
      <w:r w:rsidRPr="002A3213" w:rsidR="001A46FB">
        <w:t xml:space="preserve">submitted that the grounds that they had not contested had been minor technical errors in the documents – such as the failure to insert page numbers – which could easily </w:t>
      </w:r>
      <w:r w:rsidRPr="002A3213" w:rsidR="009B3E9E">
        <w:t xml:space="preserve">have been </w:t>
      </w:r>
      <w:r w:rsidRPr="002A3213" w:rsidR="001A46FB">
        <w:t xml:space="preserve">corrected </w:t>
      </w:r>
      <w:r w:rsidRPr="002A3213" w:rsidR="002D0FC4">
        <w:t xml:space="preserve">if the registration authority had </w:t>
      </w:r>
      <w:r w:rsidRPr="002A3213" w:rsidR="00BC0C68">
        <w:t xml:space="preserve">afforded </w:t>
      </w:r>
      <w:r w:rsidRPr="002A3213" w:rsidR="002D0FC4">
        <w:t>such a</w:t>
      </w:r>
      <w:r w:rsidRPr="002A3213" w:rsidR="00BC0C68">
        <w:t>n opportunity</w:t>
      </w:r>
      <w:r w:rsidRPr="002A3213" w:rsidR="002D0FC4">
        <w:t xml:space="preserve"> in accordance with established administrative practice. In any event, those minor purely technical defects </w:t>
      </w:r>
      <w:r w:rsidRPr="002A3213" w:rsidR="001A46FB">
        <w:t>could not serve as sufficient grounds for refusing registration under domestic law. Th</w:t>
      </w:r>
      <w:r w:rsidRPr="002A3213" w:rsidR="00710DB2">
        <w:t>e main reason for the refusal of</w:t>
      </w:r>
      <w:r w:rsidRPr="002A3213" w:rsidR="001A46FB">
        <w:t xml:space="preserve"> registration had been the second applicant</w:t>
      </w:r>
      <w:r w:rsidRPr="002A3213" w:rsidR="002A3213">
        <w:t>’</w:t>
      </w:r>
      <w:r w:rsidRPr="002A3213" w:rsidR="001A46FB">
        <w:t xml:space="preserve">s </w:t>
      </w:r>
      <w:r w:rsidRPr="002A3213" w:rsidR="00E95B6F">
        <w:t xml:space="preserve">stated aim </w:t>
      </w:r>
      <w:r w:rsidRPr="002A3213" w:rsidR="00BC0C68">
        <w:t xml:space="preserve">of </w:t>
      </w:r>
      <w:r w:rsidRPr="002A3213" w:rsidR="00E95B6F">
        <w:t>combat</w:t>
      </w:r>
      <w:r w:rsidRPr="002A3213" w:rsidR="00BC0C68">
        <w:t>ing</w:t>
      </w:r>
      <w:r w:rsidRPr="002A3213" w:rsidR="00E95B6F">
        <w:t xml:space="preserve"> discrimination on grounds of</w:t>
      </w:r>
      <w:r w:rsidRPr="002A3213" w:rsidR="002D0FC4">
        <w:t xml:space="preserve"> sexual orientation. That issue</w:t>
      </w:r>
      <w:r w:rsidRPr="002A3213" w:rsidR="00E95B6F">
        <w:t xml:space="preserve"> had been raised before the domestic courts</w:t>
      </w:r>
      <w:r w:rsidRPr="002A3213" w:rsidR="00BC0C68">
        <w:t>, which</w:t>
      </w:r>
      <w:r w:rsidRPr="002A3213" w:rsidR="00E95B6F">
        <w:t xml:space="preserve"> had examined it </w:t>
      </w:r>
      <w:r w:rsidRPr="002A3213" w:rsidR="00430CF4">
        <w:t xml:space="preserve">in </w:t>
      </w:r>
      <w:r w:rsidRPr="002A3213" w:rsidR="00E95B6F">
        <w:t xml:space="preserve">substance. </w:t>
      </w:r>
      <w:r w:rsidRPr="002A3213" w:rsidR="006B4FBD">
        <w:t>The</w:t>
      </w:r>
      <w:r w:rsidRPr="002A3213" w:rsidR="00E95B6F">
        <w:t xml:space="preserve"> applicants had therefore ex</w:t>
      </w:r>
      <w:r w:rsidRPr="002A3213" w:rsidR="00D454CF">
        <w:t>hausted domestic remedies.</w:t>
      </w:r>
    </w:p>
    <w:p w:rsidRPr="002A3213" w:rsidR="002F6C12" w:rsidP="002A3213" w:rsidRDefault="00B067AD">
      <w:pPr>
        <w:pStyle w:val="ECHRPara"/>
      </w:pPr>
      <w:r w:rsidRPr="002A3213">
        <w:fldChar w:fldCharType="begin"/>
      </w:r>
      <w:r w:rsidRPr="002A3213">
        <w:instrText xml:space="preserve"> SEQ level0 \*arabic </w:instrText>
      </w:r>
      <w:r w:rsidRPr="002A3213">
        <w:fldChar w:fldCharType="separate"/>
      </w:r>
      <w:r w:rsidRPr="002A3213" w:rsidR="002A3213">
        <w:rPr>
          <w:noProof/>
        </w:rPr>
        <w:t>108</w:t>
      </w:r>
      <w:r w:rsidRPr="002A3213">
        <w:fldChar w:fldCharType="end"/>
      </w:r>
      <w:r w:rsidRPr="002A3213" w:rsidR="002F6C12">
        <w:t xml:space="preserve">.  The applicants in application no. 58282/12 argued that they had lodged their appeal within the established time-limit (see the summary of their arguments in paragraph </w:t>
      </w:r>
      <w:r w:rsidRPr="002A3213" w:rsidR="002F6C12">
        <w:fldChar w:fldCharType="begin"/>
      </w:r>
      <w:r w:rsidRPr="002A3213" w:rsidR="002F6C12">
        <w:instrText xml:space="preserve"> REF applicant \h </w:instrText>
      </w:r>
      <w:r w:rsidRPr="002A3213" w:rsidR="002F6C12">
        <w:fldChar w:fldCharType="separate"/>
      </w:r>
      <w:r w:rsidRPr="002A3213" w:rsidR="002A3213">
        <w:rPr>
          <w:noProof/>
        </w:rPr>
        <w:t>93</w:t>
      </w:r>
      <w:r w:rsidRPr="002A3213" w:rsidR="002F6C12">
        <w:fldChar w:fldCharType="end"/>
      </w:r>
      <w:r w:rsidRPr="002A3213" w:rsidR="002F6C12">
        <w:t xml:space="preserve"> above).</w:t>
      </w:r>
    </w:p>
    <w:p w:rsidRPr="002A3213" w:rsidR="005D59EB" w:rsidP="002A3213" w:rsidRDefault="00B067AD">
      <w:pPr>
        <w:pStyle w:val="ECHRPara"/>
      </w:pPr>
      <w:r w:rsidRPr="002A3213">
        <w:fldChar w:fldCharType="begin"/>
      </w:r>
      <w:r w:rsidRPr="002A3213">
        <w:instrText xml:space="preserve"> SEQ level0 \*arabic </w:instrText>
      </w:r>
      <w:r w:rsidRPr="002A3213">
        <w:fldChar w:fldCharType="separate"/>
      </w:r>
      <w:r w:rsidRPr="002A3213" w:rsidR="002A3213">
        <w:rPr>
          <w:noProof/>
        </w:rPr>
        <w:t>109</w:t>
      </w:r>
      <w:r w:rsidRPr="002A3213">
        <w:fldChar w:fldCharType="end"/>
      </w:r>
      <w:r w:rsidRPr="002A3213" w:rsidR="002F6C12">
        <w:t xml:space="preserve">.  Lastly, the applicants argued that public associations could exist without </w:t>
      </w:r>
      <w:r w:rsidRPr="002A3213" w:rsidR="00BC0C68">
        <w:t>S</w:t>
      </w:r>
      <w:r w:rsidRPr="002A3213" w:rsidR="002F6C12">
        <w:t xml:space="preserve">tate registration, although their rights </w:t>
      </w:r>
      <w:r w:rsidRPr="002A3213" w:rsidR="00BC0C68">
        <w:t>we</w:t>
      </w:r>
      <w:r w:rsidRPr="002A3213" w:rsidR="002F6C12">
        <w:t xml:space="preserve">re limited in comparison to registered associations (they referred to section 27 of the Public Associations Act, cited in paragraph </w:t>
      </w:r>
      <w:r w:rsidRPr="002A3213" w:rsidR="002F6C12">
        <w:fldChar w:fldCharType="begin"/>
      </w:r>
      <w:r w:rsidRPr="002A3213" w:rsidR="002F6C12">
        <w:instrText xml:space="preserve"> REF section27 \h </w:instrText>
      </w:r>
      <w:r w:rsidRPr="002A3213" w:rsidR="002F6C12">
        <w:fldChar w:fldCharType="separate"/>
      </w:r>
      <w:r w:rsidRPr="002A3213" w:rsidR="002A3213">
        <w:rPr>
          <w:noProof/>
        </w:rPr>
        <w:t>66</w:t>
      </w:r>
      <w:r w:rsidRPr="002A3213" w:rsidR="002F6C12">
        <w:fldChar w:fldCharType="end"/>
      </w:r>
      <w:r w:rsidRPr="002A3213" w:rsidR="002F6C12">
        <w:t xml:space="preserve"> above). </w:t>
      </w:r>
      <w:r w:rsidRPr="002A3213" w:rsidR="00E302EE">
        <w:t xml:space="preserve">The </w:t>
      </w:r>
      <w:r w:rsidRPr="002A3213" w:rsidR="00E1570D">
        <w:t xml:space="preserve">applicant organisations </w:t>
      </w:r>
      <w:r w:rsidRPr="002A3213" w:rsidR="00E302EE">
        <w:t>in question</w:t>
      </w:r>
      <w:r w:rsidRPr="002A3213" w:rsidR="002F6C12">
        <w:t xml:space="preserve"> therefore existed as </w:t>
      </w:r>
      <w:r w:rsidRPr="002A3213" w:rsidR="00BC0C68">
        <w:t xml:space="preserve">unregistered </w:t>
      </w:r>
      <w:r w:rsidRPr="002A3213" w:rsidR="002F6C12">
        <w:t>public associations and could apply to the Court.</w:t>
      </w:r>
    </w:p>
    <w:p w:rsidRPr="002A3213" w:rsidR="002F6C12" w:rsidP="002A3213" w:rsidRDefault="00513FFA">
      <w:pPr>
        <w:pStyle w:val="ECHRHeading3"/>
      </w:pPr>
      <w:r w:rsidRPr="002A3213">
        <w:t>2</w:t>
      </w:r>
      <w:r w:rsidRPr="002A3213" w:rsidR="00D454CF">
        <w:t>. </w:t>
      </w:r>
      <w:r w:rsidRPr="002A3213" w:rsidR="00AF3B06">
        <w:t> The Court</w:t>
      </w:r>
      <w:r w:rsidRPr="002A3213" w:rsidR="002A3213">
        <w:t>’</w:t>
      </w:r>
      <w:r w:rsidRPr="002A3213" w:rsidR="00AF3B06">
        <w:t>s assessment</w:t>
      </w:r>
    </w:p>
    <w:p w:rsidRPr="002A3213" w:rsidR="00AF3B06" w:rsidP="002A3213" w:rsidRDefault="00D454CF">
      <w:pPr>
        <w:pStyle w:val="ECHRHeading4"/>
      </w:pPr>
      <w:r w:rsidRPr="002A3213">
        <w:t>(a)  </w:t>
      </w:r>
      <w:r w:rsidRPr="002A3213" w:rsidR="00AF3B06">
        <w:t>Exhaustion of domestic remedies</w:t>
      </w:r>
    </w:p>
    <w:p w:rsidRPr="002A3213" w:rsidR="00AF3B06" w:rsidP="002A3213" w:rsidRDefault="00AF3B06">
      <w:pPr>
        <w:pStyle w:val="ECHRPara"/>
      </w:pPr>
      <w:r w:rsidRPr="002A3213">
        <w:fldChar w:fldCharType="begin"/>
      </w:r>
      <w:r w:rsidRPr="002A3213">
        <w:instrText xml:space="preserve"> SEQ level0 \*arabic </w:instrText>
      </w:r>
      <w:r w:rsidRPr="002A3213">
        <w:fldChar w:fldCharType="separate"/>
      </w:r>
      <w:r w:rsidRPr="002A3213" w:rsidR="002A3213">
        <w:rPr>
          <w:noProof/>
        </w:rPr>
        <w:t>110</w:t>
      </w:r>
      <w:r w:rsidRPr="002A3213">
        <w:fldChar w:fldCharType="end"/>
      </w:r>
      <w:r w:rsidRPr="002A3213">
        <w:t>.  </w:t>
      </w:r>
      <w:r w:rsidRPr="002A3213" w:rsidR="00720860">
        <w:t xml:space="preserve">The rule of exhaustion of domestic </w:t>
      </w:r>
      <w:r w:rsidRPr="002A3213" w:rsidR="007B247E">
        <w:t>remedies referred to in Article </w:t>
      </w:r>
      <w:r w:rsidRPr="002A3213" w:rsidR="00720860">
        <w:t xml:space="preserve">35 § 1 of the Convention obliges those seeking to bring a case against a State to use first the remedies provided by the national legal system, thus allowing States the opportunity to put matters right through their own legal systems before being required to answer for their acts before an international body. In order to comply with the rule, applicants should normally use remedies which are available and sufficient to afford redress in respect of the breaches alleged (see </w:t>
      </w:r>
      <w:r w:rsidRPr="002A3213" w:rsidR="00720860">
        <w:rPr>
          <w:i/>
        </w:rPr>
        <w:t>Selmouni v. France</w:t>
      </w:r>
      <w:r w:rsidRPr="002A3213" w:rsidR="00720860">
        <w:t xml:space="preserve"> [GC], no. 25803/94, § 74, ECHR 1999</w:t>
      </w:r>
      <w:r w:rsidRPr="002A3213" w:rsidR="00720860">
        <w:rPr>
          <w:rFonts w:ascii="MS Mincho" w:hAnsi="MS Mincho" w:eastAsia="MS Mincho" w:cs="MS Mincho"/>
        </w:rPr>
        <w:t>‑</w:t>
      </w:r>
      <w:r w:rsidRPr="002A3213" w:rsidR="00720860">
        <w:t>V).</w:t>
      </w:r>
    </w:p>
    <w:p w:rsidRPr="002A3213" w:rsidR="00720860" w:rsidP="002A3213" w:rsidRDefault="00B067AD">
      <w:pPr>
        <w:pStyle w:val="ECHRPara"/>
      </w:pPr>
      <w:r w:rsidRPr="002A3213">
        <w:fldChar w:fldCharType="begin"/>
      </w:r>
      <w:r w:rsidRPr="002A3213">
        <w:instrText xml:space="preserve"> SEQ level0 \*arabic </w:instrText>
      </w:r>
      <w:r w:rsidRPr="002A3213">
        <w:fldChar w:fldCharType="separate"/>
      </w:r>
      <w:r w:rsidRPr="002A3213" w:rsidR="002A3213">
        <w:rPr>
          <w:noProof/>
        </w:rPr>
        <w:t>111</w:t>
      </w:r>
      <w:r w:rsidRPr="002A3213">
        <w:fldChar w:fldCharType="end"/>
      </w:r>
      <w:r w:rsidRPr="002A3213" w:rsidR="00E06965">
        <w:t xml:space="preserve">.  While in the context of machinery for the protection of human rights the rule of exhaustion of domestic remedies must be applied with some degree of flexibility and without excessive formalism, it does not require merely that applications should be made to the appropriate domestic courts and that use should be made of remedies designed to challenge impugned decisions which allegedly violate a Convention right. It normally requires also that the complaints intended to be made subsequently at the international level should have been aired before those same courts, at </w:t>
      </w:r>
      <w:bookmarkStart w:name="HIT1" w:id="23"/>
      <w:bookmarkEnd w:id="23"/>
      <w:r w:rsidRPr="002A3213" w:rsidR="00E06965">
        <w:t xml:space="preserve">least in </w:t>
      </w:r>
      <w:bookmarkStart w:name="HIT2" w:id="24"/>
      <w:bookmarkEnd w:id="24"/>
      <w:r w:rsidRPr="002A3213" w:rsidR="00E06965">
        <w:t>substance and in compliance with the formal requirements and time</w:t>
      </w:r>
      <w:r w:rsidRPr="002A3213" w:rsidR="00E06965">
        <w:noBreakHyphen/>
        <w:t xml:space="preserve">limits laid down in domestic law (see, among other authorities, </w:t>
      </w:r>
      <w:r w:rsidRPr="002A3213" w:rsidR="00E06965">
        <w:rPr>
          <w:i/>
        </w:rPr>
        <w:t>Azinas v. Cyprus</w:t>
      </w:r>
      <w:r w:rsidRPr="002A3213" w:rsidR="00E06965">
        <w:t xml:space="preserve"> [GC], no. 56679/00, § 38, ECHR 2004</w:t>
      </w:r>
      <w:r w:rsidRPr="002A3213" w:rsidR="00E06965">
        <w:noBreakHyphen/>
        <w:t>III).</w:t>
      </w:r>
    </w:p>
    <w:p w:rsidRPr="002A3213" w:rsidR="00E06965" w:rsidP="002A3213" w:rsidRDefault="00D454CF">
      <w:pPr>
        <w:pStyle w:val="ECHRHeading5"/>
      </w:pPr>
      <w:r w:rsidRPr="002A3213">
        <w:t>(i)  </w:t>
      </w:r>
      <w:r w:rsidRPr="002A3213" w:rsidR="00E06965">
        <w:t>Application no. 12200/08</w:t>
      </w:r>
    </w:p>
    <w:p w:rsidRPr="002A3213" w:rsidR="005D59EB" w:rsidP="002A3213" w:rsidRDefault="00B067AD">
      <w:pPr>
        <w:pStyle w:val="ECHRPara"/>
      </w:pPr>
      <w:r w:rsidRPr="002A3213">
        <w:fldChar w:fldCharType="begin"/>
      </w:r>
      <w:r w:rsidRPr="002A3213">
        <w:instrText xml:space="preserve"> SEQ level0 \*arabic </w:instrText>
      </w:r>
      <w:r w:rsidRPr="002A3213">
        <w:fldChar w:fldCharType="separate"/>
      </w:r>
      <w:r w:rsidRPr="002A3213" w:rsidR="002A3213">
        <w:rPr>
          <w:noProof/>
        </w:rPr>
        <w:t>112</w:t>
      </w:r>
      <w:r w:rsidRPr="002A3213">
        <w:fldChar w:fldCharType="end"/>
      </w:r>
      <w:r w:rsidRPr="002A3213" w:rsidR="00E06965">
        <w:t>.  </w:t>
      </w:r>
      <w:r w:rsidRPr="002A3213" w:rsidR="004F6D0C">
        <w:t>As regards the allegedly incorrect formulation of the</w:t>
      </w:r>
      <w:r w:rsidRPr="002A3213" w:rsidR="00480CDA">
        <w:t xml:space="preserve"> first</w:t>
      </w:r>
      <w:r w:rsidRPr="002A3213" w:rsidR="004F6D0C">
        <w:t xml:space="preserve"> applicant</w:t>
      </w:r>
      <w:r w:rsidRPr="002A3213" w:rsidR="002A3213">
        <w:t>’</w:t>
      </w:r>
      <w:r w:rsidRPr="002A3213" w:rsidR="004F6D0C">
        <w:t>s complaint against the refusal of registration of 1 June 2007</w:t>
      </w:r>
      <w:r w:rsidRPr="002A3213" w:rsidR="00480CDA">
        <w:t>, the Court notes that, contrary to the Government</w:t>
      </w:r>
      <w:r w:rsidRPr="002A3213" w:rsidR="002A3213">
        <w:t>’</w:t>
      </w:r>
      <w:r w:rsidRPr="002A3213" w:rsidR="00A62A6F">
        <w:t>s allegations,</w:t>
      </w:r>
      <w:r w:rsidRPr="002A3213" w:rsidR="00480CDA">
        <w:t xml:space="preserve"> in his </w:t>
      </w:r>
      <w:r w:rsidRPr="002A3213" w:rsidR="007235F0">
        <w:t xml:space="preserve">application for </w:t>
      </w:r>
      <w:r w:rsidRPr="002A3213" w:rsidR="00480CDA">
        <w:t xml:space="preserve">judicial review </w:t>
      </w:r>
      <w:r w:rsidRPr="002A3213" w:rsidR="007235F0">
        <w:t>of</w:t>
      </w:r>
      <w:r w:rsidRPr="002A3213" w:rsidR="00480CDA">
        <w:t xml:space="preserve"> that refusal the first applicant explicitly </w:t>
      </w:r>
      <w:r w:rsidRPr="002A3213" w:rsidR="007235F0">
        <w:t xml:space="preserve">argued </w:t>
      </w:r>
      <w:r w:rsidRPr="002A3213" w:rsidR="00480CDA">
        <w:t xml:space="preserve">that the refusal of registration had been unlawful and requested that the registration authority be required to </w:t>
      </w:r>
      <w:r w:rsidRPr="002A3213" w:rsidR="004B05B4">
        <w:t>remedy the breach of</w:t>
      </w:r>
      <w:r w:rsidRPr="002A3213" w:rsidR="007235F0">
        <w:t xml:space="preserve"> the</w:t>
      </w:r>
      <w:r w:rsidRPr="002A3213" w:rsidR="004B05B4">
        <w:t xml:space="preserve"> law by </w:t>
      </w:r>
      <w:r w:rsidRPr="002A3213" w:rsidR="00A62A6F">
        <w:t>register</w:t>
      </w:r>
      <w:r w:rsidRPr="002A3213" w:rsidR="004B05B4">
        <w:t>ing</w:t>
      </w:r>
      <w:r w:rsidRPr="002A3213" w:rsidR="00480CDA">
        <w:t xml:space="preserve"> Rainbow House (see paragraph </w:t>
      </w:r>
      <w:r w:rsidRPr="002A3213" w:rsidR="00480CDA">
        <w:fldChar w:fldCharType="begin"/>
      </w:r>
      <w:r w:rsidRPr="002A3213" w:rsidR="00480CDA">
        <w:instrText xml:space="preserve"> REF judicialreview \h </w:instrText>
      </w:r>
      <w:r w:rsidRPr="002A3213" w:rsidR="00480CDA">
        <w:fldChar w:fldCharType="separate"/>
      </w:r>
      <w:r w:rsidRPr="002A3213" w:rsidR="002A3213">
        <w:rPr>
          <w:rFonts w:ascii="Times New Roman" w:hAnsi="Times New Roman" w:eastAsia="Times New Roman" w:cs="Times New Roman"/>
          <w:noProof/>
          <w:szCs w:val="20"/>
          <w:lang w:eastAsia="fr-FR"/>
        </w:rPr>
        <w:t>23</w:t>
      </w:r>
      <w:r w:rsidRPr="002A3213" w:rsidR="00480CDA">
        <w:fldChar w:fldCharType="end"/>
      </w:r>
      <w:r w:rsidRPr="002A3213" w:rsidR="00480CDA">
        <w:t xml:space="preserve"> above). </w:t>
      </w:r>
      <w:r w:rsidRPr="002A3213" w:rsidR="00A62A6F">
        <w:t xml:space="preserve">He relied </w:t>
      </w:r>
      <w:r w:rsidRPr="002A3213" w:rsidR="004B05B4">
        <w:t xml:space="preserve">on </w:t>
      </w:r>
      <w:r w:rsidRPr="002A3213" w:rsidR="00A62A6F">
        <w:t>arguments</w:t>
      </w:r>
      <w:r w:rsidRPr="002A3213" w:rsidR="004B05B4">
        <w:t xml:space="preserve"> that were in substance the same </w:t>
      </w:r>
      <w:r w:rsidRPr="002A3213" w:rsidR="007235F0">
        <w:t xml:space="preserve">as those </w:t>
      </w:r>
      <w:r w:rsidRPr="002A3213" w:rsidR="004B05B4">
        <w:t>he had then</w:t>
      </w:r>
      <w:r w:rsidRPr="002A3213" w:rsidR="00A62A6F">
        <w:t xml:space="preserve"> raised before the Court. Having examined his complaint, the domestic courts found that the refusal of registration had been lawful</w:t>
      </w:r>
      <w:r w:rsidRPr="002A3213" w:rsidR="007235F0">
        <w:t xml:space="preserve"> and</w:t>
      </w:r>
      <w:r w:rsidRPr="002A3213" w:rsidR="00A62A6F">
        <w:t xml:space="preserve"> justified and had not breached the applicants</w:t>
      </w:r>
      <w:r w:rsidRPr="002A3213" w:rsidR="002A3213">
        <w:t>’</w:t>
      </w:r>
      <w:r w:rsidRPr="002A3213" w:rsidR="00A62A6F">
        <w:t xml:space="preserve"> right to freedom of association. </w:t>
      </w:r>
      <w:r w:rsidRPr="002A3213" w:rsidR="004B05B4">
        <w:t>T</w:t>
      </w:r>
      <w:r w:rsidRPr="002A3213" w:rsidR="00A62A6F">
        <w:t xml:space="preserve">he Court </w:t>
      </w:r>
      <w:r w:rsidRPr="002A3213" w:rsidR="004B05B4">
        <w:t xml:space="preserve">therefore </w:t>
      </w:r>
      <w:r w:rsidRPr="002A3213" w:rsidR="00A62A6F">
        <w:t xml:space="preserve">considers that </w:t>
      </w:r>
      <w:r w:rsidRPr="002A3213" w:rsidR="004B05B4">
        <w:t>the</w:t>
      </w:r>
      <w:r w:rsidRPr="002A3213" w:rsidR="00A62A6F">
        <w:t xml:space="preserve"> complaint </w:t>
      </w:r>
      <w:r w:rsidRPr="002A3213" w:rsidR="004B05B4">
        <w:t>under Article 11</w:t>
      </w:r>
      <w:r w:rsidRPr="002A3213" w:rsidR="00A62A6F">
        <w:t xml:space="preserve"> </w:t>
      </w:r>
      <w:r w:rsidRPr="002A3213" w:rsidR="00BA41AC">
        <w:t>was</w:t>
      </w:r>
      <w:r w:rsidRPr="002A3213" w:rsidR="00A62A6F">
        <w:t xml:space="preserve"> </w:t>
      </w:r>
      <w:r w:rsidRPr="002A3213" w:rsidR="004B05B4">
        <w:t xml:space="preserve">properly </w:t>
      </w:r>
      <w:r w:rsidRPr="002A3213" w:rsidR="00A62A6F">
        <w:t xml:space="preserve">raised </w:t>
      </w:r>
      <w:r w:rsidRPr="002A3213" w:rsidR="004B05B4">
        <w:t xml:space="preserve">and aired before </w:t>
      </w:r>
      <w:r w:rsidRPr="002A3213" w:rsidR="00A62A6F">
        <w:t>the national courts.</w:t>
      </w:r>
    </w:p>
    <w:p w:rsidRPr="002A3213" w:rsidR="005D59EB" w:rsidP="002A3213" w:rsidRDefault="00C51C38">
      <w:pPr>
        <w:pStyle w:val="ECHRPara"/>
      </w:pPr>
      <w:r w:rsidRPr="002A3213">
        <w:fldChar w:fldCharType="begin"/>
      </w:r>
      <w:r w:rsidRPr="002A3213">
        <w:instrText xml:space="preserve"> SEQ level0 \*arabic </w:instrText>
      </w:r>
      <w:r w:rsidRPr="002A3213">
        <w:fldChar w:fldCharType="separate"/>
      </w:r>
      <w:r w:rsidRPr="002A3213" w:rsidR="002A3213">
        <w:rPr>
          <w:noProof/>
        </w:rPr>
        <w:t>113</w:t>
      </w:r>
      <w:r w:rsidRPr="002A3213">
        <w:fldChar w:fldCharType="end"/>
      </w:r>
      <w:r w:rsidRPr="002A3213">
        <w:t>.  As regards the Government</w:t>
      </w:r>
      <w:r w:rsidRPr="002A3213" w:rsidR="002A3213">
        <w:t>’</w:t>
      </w:r>
      <w:r w:rsidRPr="002A3213">
        <w:t xml:space="preserve">s argument that the first applicant had not contested before the domestic courts some of the grounds for the refusal of registration of 1 June 2007 concerning the irregularities in the documents submitted for registration, </w:t>
      </w:r>
      <w:r w:rsidRPr="002A3213" w:rsidR="007A7BE4">
        <w:t>the Court considers that this argument is so closely linked to the substance of the applicants</w:t>
      </w:r>
      <w:r w:rsidRPr="002A3213" w:rsidR="002A3213">
        <w:t>’</w:t>
      </w:r>
      <w:r w:rsidRPr="002A3213" w:rsidR="007A7BE4">
        <w:t xml:space="preserve"> complaint that it falls to be examined on the merits under Article 11 of the Convention. </w:t>
      </w:r>
      <w:r w:rsidRPr="002A3213" w:rsidR="00252927">
        <w:t>It therefore decides to join this part of the Government</w:t>
      </w:r>
      <w:r w:rsidRPr="002A3213" w:rsidR="002A3213">
        <w:t>’</w:t>
      </w:r>
      <w:r w:rsidRPr="002A3213" w:rsidR="00252927">
        <w:t>s objection to the merits.</w:t>
      </w:r>
    </w:p>
    <w:p w:rsidRPr="002A3213" w:rsidR="00AF3B06" w:rsidP="002A3213" w:rsidRDefault="00D454CF">
      <w:pPr>
        <w:pStyle w:val="ECHRHeading5"/>
      </w:pPr>
      <w:r w:rsidRPr="002A3213">
        <w:t>(i</w:t>
      </w:r>
      <w:r w:rsidRPr="002A3213" w:rsidR="00313A3B">
        <w:t>i</w:t>
      </w:r>
      <w:r w:rsidRPr="002A3213">
        <w:t>)  </w:t>
      </w:r>
      <w:r w:rsidRPr="002A3213" w:rsidR="00AF3B06">
        <w:t>Application no. 58282/12</w:t>
      </w:r>
    </w:p>
    <w:p w:rsidRPr="002A3213" w:rsidR="005D59EB" w:rsidP="002A3213" w:rsidRDefault="00B067AD">
      <w:pPr>
        <w:pStyle w:val="ECHRPara"/>
      </w:pPr>
      <w:r w:rsidRPr="002A3213">
        <w:fldChar w:fldCharType="begin"/>
      </w:r>
      <w:r w:rsidRPr="002A3213">
        <w:instrText xml:space="preserve"> SEQ level0 \*arabic </w:instrText>
      </w:r>
      <w:r w:rsidRPr="002A3213">
        <w:fldChar w:fldCharType="separate"/>
      </w:r>
      <w:r w:rsidRPr="002A3213" w:rsidR="002A3213">
        <w:rPr>
          <w:noProof/>
        </w:rPr>
        <w:t>114</w:t>
      </w:r>
      <w:r w:rsidRPr="002A3213">
        <w:fldChar w:fldCharType="end"/>
      </w:r>
      <w:r w:rsidRPr="002A3213" w:rsidR="00A65AAF">
        <w:t>.  The Court has already found that the refusal to examine the applicants</w:t>
      </w:r>
      <w:r w:rsidRPr="002A3213" w:rsidR="002A3213">
        <w:t>’</w:t>
      </w:r>
      <w:r w:rsidRPr="002A3213" w:rsidR="00A65AAF">
        <w:t xml:space="preserve"> appeal on the merits amounted to a breach of their right of access to a court (see paragraphs </w:t>
      </w:r>
      <w:r w:rsidRPr="002A3213" w:rsidR="007A7BE4">
        <w:fldChar w:fldCharType="begin"/>
      </w:r>
      <w:r w:rsidRPr="002A3213" w:rsidR="007A7BE4">
        <w:instrText xml:space="preserve"> REF access1 \h </w:instrText>
      </w:r>
      <w:r w:rsidRPr="002A3213" w:rsidR="007A7BE4">
        <w:fldChar w:fldCharType="separate"/>
      </w:r>
      <w:r w:rsidRPr="002A3213" w:rsidR="002A3213">
        <w:rPr>
          <w:bCs/>
          <w:noProof/>
        </w:rPr>
        <w:t>98</w:t>
      </w:r>
      <w:r w:rsidRPr="002A3213" w:rsidR="007A7BE4">
        <w:fldChar w:fldCharType="end"/>
      </w:r>
      <w:r w:rsidRPr="002A3213" w:rsidR="007A7BE4">
        <w:t xml:space="preserve"> to </w:t>
      </w:r>
      <w:r w:rsidRPr="002A3213" w:rsidR="007A7BE4">
        <w:fldChar w:fldCharType="begin"/>
      </w:r>
      <w:r w:rsidRPr="002A3213" w:rsidR="007A7BE4">
        <w:instrText xml:space="preserve"> REF access2 \h </w:instrText>
      </w:r>
      <w:r w:rsidRPr="002A3213" w:rsidR="007A7BE4">
        <w:fldChar w:fldCharType="separate"/>
      </w:r>
      <w:r w:rsidRPr="002A3213" w:rsidR="002A3213">
        <w:rPr>
          <w:noProof/>
        </w:rPr>
        <w:t>102</w:t>
      </w:r>
      <w:r w:rsidRPr="002A3213" w:rsidR="007A7BE4">
        <w:fldChar w:fldCharType="end"/>
      </w:r>
      <w:r w:rsidRPr="002A3213" w:rsidR="007A7BE4">
        <w:t xml:space="preserve"> above). The Court has in particular found that the applicants </w:t>
      </w:r>
      <w:r w:rsidRPr="002A3213" w:rsidR="007235F0">
        <w:t xml:space="preserve">complied with </w:t>
      </w:r>
      <w:r w:rsidRPr="002A3213" w:rsidR="007A7BE4">
        <w:t xml:space="preserve">the formal requirements for lodging appeals </w:t>
      </w:r>
      <w:r w:rsidRPr="002A3213" w:rsidR="007235F0">
        <w:t xml:space="preserve">as </w:t>
      </w:r>
      <w:r w:rsidRPr="002A3213" w:rsidR="007A7BE4">
        <w:t xml:space="preserve">established by domestic law. It therefore </w:t>
      </w:r>
      <w:r w:rsidRPr="002A3213" w:rsidR="007235F0">
        <w:t xml:space="preserve">dismisses </w:t>
      </w:r>
      <w:r w:rsidRPr="002A3213" w:rsidR="007A7BE4">
        <w:t>the Government</w:t>
      </w:r>
      <w:r w:rsidRPr="002A3213" w:rsidR="002A3213">
        <w:t>’</w:t>
      </w:r>
      <w:r w:rsidRPr="002A3213" w:rsidR="007A7BE4">
        <w:t>s objection as to non-exhaustion of domestic remedies.</w:t>
      </w:r>
    </w:p>
    <w:p w:rsidRPr="002A3213" w:rsidR="00AF3B06" w:rsidP="002A3213" w:rsidRDefault="00313A3B">
      <w:pPr>
        <w:pStyle w:val="ECHRHeading4"/>
      </w:pPr>
      <w:r w:rsidRPr="002A3213">
        <w:t>(b)  </w:t>
      </w:r>
      <w:r w:rsidRPr="002A3213" w:rsidR="00AF3B06">
        <w:t>Standing to apply to the Court</w:t>
      </w:r>
      <w:r w:rsidRPr="002A3213" w:rsidR="00ED563B">
        <w:t xml:space="preserve"> and victim status</w:t>
      </w:r>
    </w:p>
    <w:p w:rsidRPr="002A3213" w:rsidR="005D59EB" w:rsidP="002A3213" w:rsidRDefault="001A2507">
      <w:pPr>
        <w:pStyle w:val="ECHRPara"/>
        <w:rPr>
          <w:snapToGrid w:val="0"/>
        </w:rPr>
      </w:pPr>
      <w:r w:rsidRPr="002A3213">
        <w:fldChar w:fldCharType="begin"/>
      </w:r>
      <w:r w:rsidRPr="002A3213">
        <w:instrText xml:space="preserve"> SEQ level0 \*arabic </w:instrText>
      </w:r>
      <w:r w:rsidRPr="002A3213">
        <w:fldChar w:fldCharType="separate"/>
      </w:r>
      <w:r w:rsidRPr="002A3213" w:rsidR="002A3213">
        <w:rPr>
          <w:noProof/>
        </w:rPr>
        <w:t>115</w:t>
      </w:r>
      <w:r w:rsidRPr="002A3213">
        <w:fldChar w:fldCharType="end"/>
      </w:r>
      <w:r w:rsidRPr="002A3213">
        <w:t xml:space="preserve">.  The Court notes that </w:t>
      </w:r>
      <w:r w:rsidRPr="002A3213" w:rsidR="00B56F96">
        <w:t>under Russian law</w:t>
      </w:r>
      <w:r w:rsidRPr="002A3213" w:rsidR="007235F0">
        <w:t>,</w:t>
      </w:r>
      <w:r w:rsidRPr="002A3213" w:rsidR="00B56F96">
        <w:t xml:space="preserve"> </w:t>
      </w:r>
      <w:r w:rsidRPr="002A3213" w:rsidR="003B48F5">
        <w:t>public association</w:t>
      </w:r>
      <w:r w:rsidRPr="002A3213" w:rsidR="00085430">
        <w:t>s</w:t>
      </w:r>
      <w:r w:rsidRPr="002A3213" w:rsidR="003B48F5">
        <w:t xml:space="preserve">, </w:t>
      </w:r>
      <w:r w:rsidRPr="002A3213" w:rsidR="007235F0">
        <w:t xml:space="preserve">such as </w:t>
      </w:r>
      <w:r w:rsidRPr="002A3213" w:rsidR="003B48F5">
        <w:t>Rainbo</w:t>
      </w:r>
      <w:r w:rsidRPr="002A3213" w:rsidR="00085430">
        <w:t xml:space="preserve">w House and Sochi Pride House, </w:t>
      </w:r>
      <w:r w:rsidRPr="002A3213" w:rsidR="004627E5">
        <w:t>can</w:t>
      </w:r>
      <w:r w:rsidRPr="002A3213" w:rsidR="00085430">
        <w:t xml:space="preserve"> exist </w:t>
      </w:r>
      <w:r w:rsidRPr="002A3213" w:rsidR="003B48F5">
        <w:t xml:space="preserve">without registration, </w:t>
      </w:r>
      <w:r w:rsidRPr="002A3213" w:rsidR="007235F0">
        <w:t xml:space="preserve">whereas </w:t>
      </w:r>
      <w:r w:rsidRPr="002A3213" w:rsidR="003B48F5">
        <w:t>non</w:t>
      </w:r>
      <w:r w:rsidRPr="002A3213" w:rsidR="007235F0">
        <w:t>-</w:t>
      </w:r>
      <w:r w:rsidRPr="002A3213" w:rsidR="003B48F5">
        <w:t xml:space="preserve">profit organisations, </w:t>
      </w:r>
      <w:r w:rsidRPr="002A3213" w:rsidR="007235F0">
        <w:t xml:space="preserve">such as </w:t>
      </w:r>
      <w:r w:rsidRPr="002A3213" w:rsidR="003B48F5">
        <w:t xml:space="preserve">Movement for Marriage Equality, </w:t>
      </w:r>
      <w:r w:rsidRPr="002A3213" w:rsidR="004627E5">
        <w:t>are</w:t>
      </w:r>
      <w:r w:rsidRPr="002A3213" w:rsidR="00750BB0">
        <w:t xml:space="preserve"> considered to exist</w:t>
      </w:r>
      <w:r w:rsidRPr="002A3213" w:rsidR="003B48F5">
        <w:t xml:space="preserve"> from the moment of State registration</w:t>
      </w:r>
      <w:r w:rsidRPr="002A3213" w:rsidR="00085430">
        <w:t xml:space="preserve"> only</w:t>
      </w:r>
      <w:r w:rsidRPr="002A3213" w:rsidR="003B48F5">
        <w:t>. However, the Court</w:t>
      </w:r>
      <w:r w:rsidRPr="002A3213" w:rsidR="002A3213">
        <w:t>’</w:t>
      </w:r>
      <w:r w:rsidRPr="002A3213" w:rsidR="00FD3DE8">
        <w:t>s case-law</w:t>
      </w:r>
      <w:r w:rsidRPr="002A3213" w:rsidR="003B48F5">
        <w:t xml:space="preserve"> d</w:t>
      </w:r>
      <w:r w:rsidRPr="002A3213" w:rsidR="00FD3DE8">
        <w:t>oes</w:t>
      </w:r>
      <w:r w:rsidRPr="002A3213" w:rsidR="003B48F5">
        <w:t xml:space="preserve"> not make any </w:t>
      </w:r>
      <w:r w:rsidRPr="002A3213" w:rsidR="00FD3DE8">
        <w:t>distinction</w:t>
      </w:r>
      <w:r w:rsidRPr="002A3213" w:rsidR="003B48F5">
        <w:t xml:space="preserve"> </w:t>
      </w:r>
      <w:r w:rsidRPr="002A3213" w:rsidR="00494B55">
        <w:t xml:space="preserve">between applicant organisations </w:t>
      </w:r>
      <w:r w:rsidRPr="002A3213" w:rsidR="003B48F5">
        <w:t>on the basi</w:t>
      </w:r>
      <w:r w:rsidRPr="002A3213" w:rsidR="00624AD7">
        <w:t xml:space="preserve">s of whether </w:t>
      </w:r>
      <w:r w:rsidRPr="002A3213" w:rsidR="00494B55">
        <w:t>they</w:t>
      </w:r>
      <w:r w:rsidRPr="002A3213" w:rsidR="00624AD7">
        <w:t xml:space="preserve"> </w:t>
      </w:r>
      <w:r w:rsidRPr="002A3213" w:rsidR="00FD3DE8">
        <w:t xml:space="preserve">legally </w:t>
      </w:r>
      <w:r w:rsidRPr="002A3213" w:rsidR="00624AD7">
        <w:t>exist under the national law</w:t>
      </w:r>
      <w:r w:rsidRPr="002A3213" w:rsidR="00A15E47">
        <w:t xml:space="preserve"> at the moment the</w:t>
      </w:r>
      <w:r w:rsidRPr="002A3213" w:rsidR="007235F0">
        <w:t>ir</w:t>
      </w:r>
      <w:r w:rsidRPr="002A3213" w:rsidR="00A15E47">
        <w:t xml:space="preserve"> application </w:t>
      </w:r>
      <w:r w:rsidRPr="002A3213" w:rsidR="007235F0">
        <w:t xml:space="preserve">is lodged </w:t>
      </w:r>
      <w:r w:rsidRPr="002A3213" w:rsidR="00A15E47">
        <w:t>with the Court</w:t>
      </w:r>
      <w:r w:rsidRPr="002A3213" w:rsidR="00494B55">
        <w:t xml:space="preserve">. </w:t>
      </w:r>
      <w:r w:rsidRPr="002A3213" w:rsidR="005D10A0">
        <w:t xml:space="preserve">The Court has </w:t>
      </w:r>
      <w:r w:rsidRPr="002A3213" w:rsidR="00494B55">
        <w:t xml:space="preserve">frequently recognised the standing of unregistered or dissolved organisations to submit an application without </w:t>
      </w:r>
      <w:r w:rsidRPr="002A3213" w:rsidR="007235F0">
        <w:t>e</w:t>
      </w:r>
      <w:r w:rsidRPr="002A3213" w:rsidR="004627E5">
        <w:t>nquiring into</w:t>
      </w:r>
      <w:r w:rsidRPr="002A3213" w:rsidR="00494B55">
        <w:t xml:space="preserve"> whether the organisation </w:t>
      </w:r>
      <w:r w:rsidRPr="002A3213" w:rsidR="003C05FB">
        <w:t>is considered</w:t>
      </w:r>
      <w:r w:rsidRPr="002A3213" w:rsidR="00494B55">
        <w:t xml:space="preserve"> to legally exist in some form under the national law after its dissolution or refusal of registrati</w:t>
      </w:r>
      <w:r w:rsidRPr="002A3213" w:rsidR="004627E5">
        <w:t>on</w:t>
      </w:r>
      <w:r w:rsidRPr="002A3213" w:rsidR="006739C6">
        <w:t xml:space="preserve"> (see, among </w:t>
      </w:r>
      <w:r w:rsidRPr="002A3213" w:rsidR="00494B55">
        <w:t>many other</w:t>
      </w:r>
      <w:r w:rsidRPr="002A3213" w:rsidR="002F5D18">
        <w:t xml:space="preserve"> authoritie</w:t>
      </w:r>
      <w:r w:rsidRPr="002A3213" w:rsidR="00494B55">
        <w:t>s</w:t>
      </w:r>
      <w:r w:rsidRPr="002A3213" w:rsidR="006739C6">
        <w:t>,</w:t>
      </w:r>
      <w:r w:rsidRPr="002A3213" w:rsidR="00F56028">
        <w:t xml:space="preserve"> </w:t>
      </w:r>
      <w:r w:rsidRPr="002A3213" w:rsidR="00F56028">
        <w:rPr>
          <w:i/>
        </w:rPr>
        <w:t>Refah Partisi (the Welfare Party) and Others v. Turkey</w:t>
      </w:r>
      <w:r w:rsidRPr="002A3213" w:rsidR="00F56028">
        <w:t xml:space="preserve"> [GC], nos. 41340/98 and 3 others, §</w:t>
      </w:r>
      <w:r w:rsidRPr="002A3213" w:rsidR="007235F0">
        <w:t>§</w:t>
      </w:r>
      <w:r w:rsidRPr="002A3213" w:rsidR="00F56028">
        <w:t xml:space="preserve"> 49</w:t>
      </w:r>
      <w:r w:rsidRPr="002A3213" w:rsidR="007235F0">
        <w:t>-</w:t>
      </w:r>
      <w:r w:rsidRPr="002A3213" w:rsidR="00F56028">
        <w:t>50, ECHR 2003</w:t>
      </w:r>
      <w:r w:rsidRPr="002A3213" w:rsidR="00F56028">
        <w:noBreakHyphen/>
        <w:t xml:space="preserve">II; </w:t>
      </w:r>
      <w:r w:rsidRPr="002A3213" w:rsidR="00313A3B">
        <w:rPr>
          <w:i/>
        </w:rPr>
        <w:t>Republican Party of Russia v. </w:t>
      </w:r>
      <w:r w:rsidRPr="002A3213" w:rsidR="00254E49">
        <w:rPr>
          <w:i/>
        </w:rPr>
        <w:t>Russia</w:t>
      </w:r>
      <w:r w:rsidRPr="002A3213" w:rsidR="00254E49">
        <w:t xml:space="preserve">, no. 12976/07, §§ 91 and 100, 1 April 2011; </w:t>
      </w:r>
      <w:r w:rsidRPr="002A3213" w:rsidR="00F56028">
        <w:rPr>
          <w:i/>
        </w:rPr>
        <w:t>Sindicatul “Păstorul cel Bun”</w:t>
      </w:r>
      <w:r w:rsidRPr="002A3213" w:rsidR="00F56028">
        <w:rPr>
          <w:snapToGrid w:val="0"/>
        </w:rPr>
        <w:t xml:space="preserve"> </w:t>
      </w:r>
      <w:r w:rsidRPr="002A3213" w:rsidR="00F56028">
        <w:rPr>
          <w:i/>
        </w:rPr>
        <w:t xml:space="preserve">v. Romania </w:t>
      </w:r>
      <w:r w:rsidRPr="002A3213" w:rsidR="00F56028">
        <w:rPr>
          <w:snapToGrid w:val="0"/>
        </w:rPr>
        <w:t>[GC], no. 2330/09, §</w:t>
      </w:r>
      <w:r w:rsidRPr="002A3213" w:rsidR="00313A3B">
        <w:rPr>
          <w:snapToGrid w:val="0"/>
        </w:rPr>
        <w:t>§</w:t>
      </w:r>
      <w:r w:rsidRPr="002A3213" w:rsidR="00F56028">
        <w:rPr>
          <w:snapToGrid w:val="0"/>
        </w:rPr>
        <w:t xml:space="preserve"> 81 and 149, </w:t>
      </w:r>
      <w:r w:rsidRPr="002A3213" w:rsidR="00F56028">
        <w:t xml:space="preserve">ECHR 2013 (extracts); </w:t>
      </w:r>
      <w:r w:rsidRPr="002A3213" w:rsidR="00254E49">
        <w:rPr>
          <w:i/>
        </w:rPr>
        <w:t>Association of Victims of Romanian Judges and</w:t>
      </w:r>
      <w:r w:rsidRPr="002A3213" w:rsidR="00313A3B">
        <w:rPr>
          <w:i/>
        </w:rPr>
        <w:t xml:space="preserve"> Others v. </w:t>
      </w:r>
      <w:r w:rsidRPr="002A3213" w:rsidR="00254E49">
        <w:rPr>
          <w:i/>
        </w:rPr>
        <w:t>Romania</w:t>
      </w:r>
      <w:r w:rsidRPr="002A3213" w:rsidR="00254E49">
        <w:t>, no. 47732/06</w:t>
      </w:r>
      <w:r w:rsidRPr="002A3213" w:rsidR="00254E49">
        <w:rPr>
          <w:snapToGrid w:val="0"/>
        </w:rPr>
        <w:t xml:space="preserve">, §§ 11 and 20, 14 January 2014; </w:t>
      </w:r>
      <w:r w:rsidRPr="002A3213" w:rsidR="00F56028">
        <w:rPr>
          <w:snapToGrid w:val="0"/>
        </w:rPr>
        <w:t xml:space="preserve">and </w:t>
      </w:r>
      <w:r w:rsidRPr="002A3213" w:rsidR="00254E49">
        <w:rPr>
          <w:i/>
        </w:rPr>
        <w:t>Islam-Ittihad Association</w:t>
      </w:r>
      <w:r w:rsidRPr="002A3213" w:rsidR="00254E49">
        <w:t xml:space="preserve"> </w:t>
      </w:r>
      <w:r w:rsidRPr="002A3213" w:rsidR="00254E49">
        <w:rPr>
          <w:i/>
        </w:rPr>
        <w:t>and Others v. Azerbaijan</w:t>
      </w:r>
      <w:r w:rsidRPr="002A3213" w:rsidR="00254E49">
        <w:t>, no. 5548/05</w:t>
      </w:r>
      <w:r w:rsidRPr="002A3213" w:rsidR="00254E49">
        <w:rPr>
          <w:snapToGrid w:val="0"/>
        </w:rPr>
        <w:t>, §§ 31 and 41</w:t>
      </w:r>
      <w:r w:rsidRPr="002A3213" w:rsidR="00F56028">
        <w:rPr>
          <w:snapToGrid w:val="0"/>
        </w:rPr>
        <w:t>, 13 </w:t>
      </w:r>
      <w:r w:rsidRPr="002A3213" w:rsidR="00254E49">
        <w:rPr>
          <w:snapToGrid w:val="0"/>
        </w:rPr>
        <w:t>November 2014</w:t>
      </w:r>
      <w:r w:rsidRPr="002A3213" w:rsidR="00F56028">
        <w:rPr>
          <w:snapToGrid w:val="0"/>
        </w:rPr>
        <w:t xml:space="preserve">). It follows that all three applicant organisations have the standing to lodge an application </w:t>
      </w:r>
      <w:r w:rsidRPr="002A3213" w:rsidR="007235F0">
        <w:rPr>
          <w:snapToGrid w:val="0"/>
        </w:rPr>
        <w:t xml:space="preserve">with the Court </w:t>
      </w:r>
      <w:r w:rsidRPr="002A3213" w:rsidR="00F56028">
        <w:rPr>
          <w:snapToGrid w:val="0"/>
        </w:rPr>
        <w:t>about the refusal of</w:t>
      </w:r>
      <w:r w:rsidRPr="002A3213" w:rsidR="007235F0">
        <w:rPr>
          <w:snapToGrid w:val="0"/>
        </w:rPr>
        <w:t xml:space="preserve"> their </w:t>
      </w:r>
      <w:r w:rsidRPr="002A3213" w:rsidR="00F56028">
        <w:rPr>
          <w:snapToGrid w:val="0"/>
        </w:rPr>
        <w:t>registration.</w:t>
      </w:r>
    </w:p>
    <w:p w:rsidRPr="002A3213" w:rsidR="005D59EB" w:rsidP="002A3213" w:rsidRDefault="00F56028">
      <w:pPr>
        <w:pStyle w:val="ECHRPara"/>
      </w:pPr>
      <w:r w:rsidRPr="002A3213">
        <w:fldChar w:fldCharType="begin"/>
      </w:r>
      <w:r w:rsidRPr="002A3213">
        <w:instrText xml:space="preserve"> SEQ level0 \*arabic </w:instrText>
      </w:r>
      <w:r w:rsidRPr="002A3213">
        <w:fldChar w:fldCharType="separate"/>
      </w:r>
      <w:r w:rsidRPr="002A3213" w:rsidR="002A3213">
        <w:rPr>
          <w:noProof/>
        </w:rPr>
        <w:t>116</w:t>
      </w:r>
      <w:r w:rsidRPr="002A3213">
        <w:fldChar w:fldCharType="end"/>
      </w:r>
      <w:r w:rsidRPr="002A3213">
        <w:t xml:space="preserve">.  The Court further notes that </w:t>
      </w:r>
      <w:r w:rsidRPr="002A3213" w:rsidR="007235F0">
        <w:t xml:space="preserve">decisions by </w:t>
      </w:r>
      <w:r w:rsidRPr="002A3213" w:rsidR="00252927">
        <w:t>the authorities</w:t>
      </w:r>
      <w:r w:rsidRPr="002A3213" w:rsidR="007235F0">
        <w:t xml:space="preserve"> to</w:t>
      </w:r>
      <w:r w:rsidRPr="002A3213" w:rsidR="00DE23A4">
        <w:t xml:space="preserve"> refus</w:t>
      </w:r>
      <w:r w:rsidRPr="002A3213" w:rsidR="007235F0">
        <w:t>e</w:t>
      </w:r>
      <w:r w:rsidRPr="002A3213" w:rsidR="00DE23A4">
        <w:t xml:space="preserve"> to register</w:t>
      </w:r>
      <w:r w:rsidRPr="002A3213" w:rsidR="007235F0">
        <w:t>, or to dissolve,</w:t>
      </w:r>
      <w:r w:rsidRPr="002A3213" w:rsidR="00DE23A4">
        <w:t xml:space="preserve"> a group have been found to affect directly both the group itself and also its presidents, founders or individual members (see </w:t>
      </w:r>
      <w:r w:rsidRPr="002A3213" w:rsidR="00252927">
        <w:rPr>
          <w:i/>
        </w:rPr>
        <w:t>Jehovah</w:t>
      </w:r>
      <w:r w:rsidRPr="002A3213" w:rsidR="002A3213">
        <w:rPr>
          <w:i/>
        </w:rPr>
        <w:t>’</w:t>
      </w:r>
      <w:r w:rsidRPr="002A3213" w:rsidR="00252927">
        <w:rPr>
          <w:i/>
        </w:rPr>
        <w:t>s Witnesses of Moscow and Others v. Russia</w:t>
      </w:r>
      <w:r w:rsidRPr="002A3213" w:rsidR="00BD4000">
        <w:t>, no. 302/02, § 101, 10 </w:t>
      </w:r>
      <w:r w:rsidRPr="002A3213" w:rsidR="00252927">
        <w:t>June 2010, with further references</w:t>
      </w:r>
      <w:r w:rsidRPr="002A3213" w:rsidR="0045755B">
        <w:t>;</w:t>
      </w:r>
      <w:r w:rsidRPr="002A3213" w:rsidR="00252927">
        <w:t xml:space="preserve"> see also </w:t>
      </w:r>
      <w:r w:rsidRPr="002A3213" w:rsidR="00313A3B">
        <w:rPr>
          <w:i/>
        </w:rPr>
        <w:t>Islam</w:t>
      </w:r>
      <w:r w:rsidRPr="002A3213" w:rsidR="00313A3B">
        <w:rPr>
          <w:i/>
        </w:rPr>
        <w:noBreakHyphen/>
      </w:r>
      <w:r w:rsidRPr="002A3213" w:rsidR="00252927">
        <w:rPr>
          <w:i/>
        </w:rPr>
        <w:t>Ittihad Association and Others</w:t>
      </w:r>
      <w:r w:rsidRPr="002A3213" w:rsidR="00252927">
        <w:t xml:space="preserve">, cited above, § 58). </w:t>
      </w:r>
      <w:r w:rsidRPr="002A3213" w:rsidR="00ED563B">
        <w:t xml:space="preserve">It follows that all </w:t>
      </w:r>
      <w:r w:rsidRPr="002A3213" w:rsidR="007235F0">
        <w:t xml:space="preserve">the </w:t>
      </w:r>
      <w:r w:rsidRPr="002A3213" w:rsidR="00ED563B">
        <w:t xml:space="preserve">applicants </w:t>
      </w:r>
      <w:r w:rsidRPr="002A3213" w:rsidR="007235F0">
        <w:t xml:space="preserve">may </w:t>
      </w:r>
      <w:r w:rsidRPr="002A3213" w:rsidR="00ED563B">
        <w:t>claim to be victims of the alleged violations of Article 11.</w:t>
      </w:r>
    </w:p>
    <w:p w:rsidRPr="002A3213" w:rsidR="00252927" w:rsidP="002A3213" w:rsidRDefault="00313A3B">
      <w:pPr>
        <w:pStyle w:val="ECHRHeading4"/>
      </w:pPr>
      <w:r w:rsidRPr="002A3213">
        <w:t>(c)  </w:t>
      </w:r>
      <w:r w:rsidRPr="002A3213" w:rsidR="00252927">
        <w:t>Conclusion</w:t>
      </w:r>
    </w:p>
    <w:p w:rsidRPr="002A3213" w:rsidR="00D420F3" w:rsidP="002A3213" w:rsidRDefault="00961FF4">
      <w:pPr>
        <w:pStyle w:val="ECHRPara"/>
      </w:pPr>
      <w:r w:rsidRPr="002A3213">
        <w:fldChar w:fldCharType="begin"/>
      </w:r>
      <w:r w:rsidRPr="002A3213">
        <w:instrText xml:space="preserve"> SEQ level0 \*arabic </w:instrText>
      </w:r>
      <w:r w:rsidRPr="002A3213">
        <w:fldChar w:fldCharType="separate"/>
      </w:r>
      <w:r w:rsidRPr="002A3213" w:rsidR="002A3213">
        <w:rPr>
          <w:noProof/>
        </w:rPr>
        <w:t>117</w:t>
      </w:r>
      <w:r w:rsidRPr="002A3213">
        <w:fldChar w:fldCharType="end"/>
      </w:r>
      <w:r w:rsidRPr="002A3213" w:rsidR="0077175D">
        <w:t>.  The Court notes that this complaint is not manifestly ill-founded within the meaning of Article 35 § 3 (a) of the Convention. It further notes that it is not inadmissible on any other grounds. It must therefore be declared admissible.</w:t>
      </w:r>
    </w:p>
    <w:p w:rsidRPr="002A3213" w:rsidR="00D420F3" w:rsidP="002A3213" w:rsidRDefault="0077175D">
      <w:pPr>
        <w:pStyle w:val="ECHRHeading2"/>
      </w:pPr>
      <w:r w:rsidRPr="002A3213">
        <w:t>B.  Merits</w:t>
      </w:r>
    </w:p>
    <w:p w:rsidRPr="002A3213" w:rsidR="0025010D" w:rsidP="002A3213" w:rsidRDefault="0025010D">
      <w:pPr>
        <w:pStyle w:val="ECHRHeading3"/>
      </w:pPr>
      <w:r w:rsidRPr="002A3213">
        <w:t>1.  Submissions by the parties</w:t>
      </w:r>
    </w:p>
    <w:p w:rsidRPr="002A3213" w:rsidR="0025010D" w:rsidP="002A3213" w:rsidRDefault="002B40E6">
      <w:pPr>
        <w:pStyle w:val="ECHRHeading4"/>
      </w:pPr>
      <w:r w:rsidRPr="002A3213">
        <w:t>(a)  </w:t>
      </w:r>
      <w:r w:rsidRPr="002A3213" w:rsidR="0025010D">
        <w:t>The Government</w:t>
      </w:r>
    </w:p>
    <w:p w:rsidRPr="002A3213" w:rsidR="005D59EB" w:rsidP="002A3213" w:rsidRDefault="0025010D">
      <w:pPr>
        <w:pStyle w:val="ECHRPara"/>
      </w:pPr>
      <w:r w:rsidRPr="002A3213">
        <w:fldChar w:fldCharType="begin"/>
      </w:r>
      <w:r w:rsidRPr="002A3213">
        <w:instrText xml:space="preserve"> SEQ level0 \*arabic </w:instrText>
      </w:r>
      <w:r w:rsidRPr="002A3213">
        <w:fldChar w:fldCharType="separate"/>
      </w:r>
      <w:r w:rsidRPr="002A3213" w:rsidR="002A3213">
        <w:rPr>
          <w:noProof/>
        </w:rPr>
        <w:t>118</w:t>
      </w:r>
      <w:r w:rsidRPr="002A3213">
        <w:fldChar w:fldCharType="end"/>
      </w:r>
      <w:r w:rsidRPr="002A3213">
        <w:t>.  </w:t>
      </w:r>
      <w:r w:rsidRPr="002A3213" w:rsidR="00DF186B">
        <w:t>The Government submitted that the refusals of registration had not amounted to an interference with the applicants</w:t>
      </w:r>
      <w:r w:rsidRPr="002A3213" w:rsidR="002A3213">
        <w:t>’</w:t>
      </w:r>
      <w:r w:rsidRPr="002A3213" w:rsidR="00DF186B">
        <w:t xml:space="preserve"> rights under Article 11 of the Convention. In the alternative, they submitted that the refusals had been lawful and justified.</w:t>
      </w:r>
    </w:p>
    <w:p w:rsidRPr="002A3213" w:rsidR="005D59EB" w:rsidP="002A3213" w:rsidRDefault="00B067AD">
      <w:pPr>
        <w:pStyle w:val="ECHRPara"/>
      </w:pPr>
      <w:r w:rsidRPr="002A3213">
        <w:fldChar w:fldCharType="begin"/>
      </w:r>
      <w:r w:rsidRPr="002A3213">
        <w:instrText xml:space="preserve"> SEQ level0 \*arabic </w:instrText>
      </w:r>
      <w:r w:rsidRPr="002A3213">
        <w:fldChar w:fldCharType="separate"/>
      </w:r>
      <w:r w:rsidRPr="002A3213" w:rsidR="002A3213">
        <w:rPr>
          <w:noProof/>
        </w:rPr>
        <w:t>119</w:t>
      </w:r>
      <w:r w:rsidRPr="002A3213">
        <w:fldChar w:fldCharType="end"/>
      </w:r>
      <w:r w:rsidRPr="002A3213" w:rsidR="00DF186B">
        <w:t>.  As regards application no. 12200/08, the Government submitted that registration of Rainbow House had been refused because its articles of association had not complied with the requirements of Russian law. The registration authority had in particular found that its intended activities would have amounted to propaganda of non</w:t>
      </w:r>
      <w:r w:rsidRPr="002A3213" w:rsidR="00DF186B">
        <w:noBreakHyphen/>
        <w:t>traditional sexual orientation. They might therefore destroy society</w:t>
      </w:r>
      <w:r w:rsidRPr="002A3213" w:rsidR="002A3213">
        <w:t>’</w:t>
      </w:r>
      <w:r w:rsidRPr="002A3213" w:rsidR="00DF186B">
        <w:t>s moral values and, by decreasing the population, negatively affect Russian sovereignty and territorial integrity. Rainbow House</w:t>
      </w:r>
      <w:r w:rsidRPr="002A3213" w:rsidR="002A3213">
        <w:t>’</w:t>
      </w:r>
      <w:r w:rsidRPr="002A3213" w:rsidR="00DF186B">
        <w:t>s activities might as a result undermine the</w:t>
      </w:r>
      <w:r w:rsidRPr="002A3213" w:rsidR="00F33C5C">
        <w:t xml:space="preserve"> safety of Russian society and </w:t>
      </w:r>
      <w:r w:rsidRPr="002A3213" w:rsidR="00E0045B">
        <w:t xml:space="preserve">the </w:t>
      </w:r>
      <w:r w:rsidRPr="002A3213" w:rsidR="00F33C5C">
        <w:t>S</w:t>
      </w:r>
      <w:r w:rsidRPr="002A3213" w:rsidR="00DF186B">
        <w:t xml:space="preserve">tate. </w:t>
      </w:r>
      <w:r w:rsidRPr="002A3213" w:rsidR="006E0CC6">
        <w:t xml:space="preserve">They might also jeopardise the constitutionally protected institutions of family and marriage. </w:t>
      </w:r>
      <w:r w:rsidRPr="002A3213" w:rsidR="00DF186B">
        <w:t>They might</w:t>
      </w:r>
      <w:r w:rsidRPr="002A3213" w:rsidR="00E0045B">
        <w:t>,</w:t>
      </w:r>
      <w:r w:rsidRPr="002A3213" w:rsidR="00DF186B">
        <w:t xml:space="preserve"> moreover</w:t>
      </w:r>
      <w:r w:rsidRPr="002A3213" w:rsidR="00E0045B">
        <w:t>,</w:t>
      </w:r>
      <w:r w:rsidRPr="002A3213" w:rsidR="00DF186B">
        <w:t xml:space="preserve"> incite social or religious hatred and enmity and therefore</w:t>
      </w:r>
      <w:r w:rsidRPr="002A3213" w:rsidR="006E0CC6">
        <w:t xml:space="preserve"> amount to extremist activities. </w:t>
      </w:r>
      <w:r w:rsidRPr="002A3213" w:rsidR="00E0045B">
        <w:t>In</w:t>
      </w:r>
      <w:r w:rsidRPr="002A3213" w:rsidR="00DF186B">
        <w:t xml:space="preserve"> the Government</w:t>
      </w:r>
      <w:r w:rsidRPr="002A3213" w:rsidR="002A3213">
        <w:t>’</w:t>
      </w:r>
      <w:r w:rsidRPr="002A3213" w:rsidR="00E0045B">
        <w:t>s submission</w:t>
      </w:r>
      <w:r w:rsidRPr="002A3213" w:rsidR="00DF186B">
        <w:t xml:space="preserve">, that finding had not amounted to declaring the second applicant an extremist organisation. Lastly, there had been several irregularities in the documents submitted for registration. The refusal of registration had therefore </w:t>
      </w:r>
      <w:r w:rsidRPr="002A3213" w:rsidR="00E0045B">
        <w:t xml:space="preserve">been </w:t>
      </w:r>
      <w:r w:rsidRPr="002A3213" w:rsidR="00DF186B">
        <w:t xml:space="preserve">lawful and proportionate to the legitimate aim </w:t>
      </w:r>
      <w:r w:rsidRPr="002A3213" w:rsidR="00E0045B">
        <w:t>pursued</w:t>
      </w:r>
      <w:r w:rsidRPr="002A3213" w:rsidR="00DF186B">
        <w:t>. It had not been arbitrary. It was not the Court</w:t>
      </w:r>
      <w:r w:rsidRPr="002A3213" w:rsidR="002A3213">
        <w:t>’</w:t>
      </w:r>
      <w:r w:rsidRPr="002A3213" w:rsidR="00DF186B">
        <w:t>s task to act as a fourth-instance court and to question the findings made by the domestic courts.</w:t>
      </w:r>
    </w:p>
    <w:p w:rsidRPr="002A3213" w:rsidR="00DF186B" w:rsidP="002A3213" w:rsidRDefault="00B067AD">
      <w:pPr>
        <w:pStyle w:val="ECHRPara"/>
        <w:rPr>
          <w:i/>
        </w:rPr>
      </w:pPr>
      <w:r w:rsidRPr="002A3213">
        <w:fldChar w:fldCharType="begin"/>
      </w:r>
      <w:r w:rsidRPr="002A3213">
        <w:instrText xml:space="preserve"> SEQ level0 \*arabic </w:instrText>
      </w:r>
      <w:r w:rsidRPr="002A3213">
        <w:fldChar w:fldCharType="separate"/>
      </w:r>
      <w:r w:rsidRPr="002A3213" w:rsidR="002A3213">
        <w:rPr>
          <w:noProof/>
        </w:rPr>
        <w:t>120</w:t>
      </w:r>
      <w:r w:rsidRPr="002A3213">
        <w:fldChar w:fldCharType="end"/>
      </w:r>
      <w:r w:rsidRPr="002A3213" w:rsidR="00DF186B">
        <w:t>.  As regards application no. 35949/11, t</w:t>
      </w:r>
      <w:r w:rsidRPr="002A3213" w:rsidR="00BC4B7C">
        <w:t xml:space="preserve">he Government submitted that </w:t>
      </w:r>
      <w:r w:rsidRPr="002A3213" w:rsidR="00DF186B">
        <w:t>Movement for Marriage Equality</w:t>
      </w:r>
      <w:r w:rsidRPr="002A3213" w:rsidR="002A3213">
        <w:t>’</w:t>
      </w:r>
      <w:r w:rsidRPr="002A3213" w:rsidR="00DF186B">
        <w:t xml:space="preserve">s aim was to promote </w:t>
      </w:r>
      <w:r w:rsidRPr="002A3213" w:rsidR="00E0045B">
        <w:t xml:space="preserve">the </w:t>
      </w:r>
      <w:r w:rsidRPr="002A3213" w:rsidR="00DF186B">
        <w:t xml:space="preserve">legalisation </w:t>
      </w:r>
      <w:r w:rsidRPr="002A3213" w:rsidR="00E0045B">
        <w:t xml:space="preserve">of </w:t>
      </w:r>
      <w:r w:rsidRPr="002A3213" w:rsidR="00DF186B">
        <w:t>same-sex marriage. That aim was contrary to national traditions, to the State family policy and to Russian law</w:t>
      </w:r>
      <w:r w:rsidRPr="002A3213" w:rsidR="00E0045B">
        <w:t>,</w:t>
      </w:r>
      <w:r w:rsidRPr="002A3213" w:rsidR="00DF186B">
        <w:t xml:space="preserve"> which provided that marriage was </w:t>
      </w:r>
      <w:r w:rsidRPr="002A3213" w:rsidR="00E0045B">
        <w:t xml:space="preserve">the </w:t>
      </w:r>
      <w:r w:rsidRPr="002A3213" w:rsidR="00DF186B">
        <w:t xml:space="preserve">union of a man and a woman with the aim of giving birth and raising children. The Government also stressed that Article 12 of the Convention guaranteed the right to marry </w:t>
      </w:r>
      <w:r w:rsidRPr="002A3213" w:rsidR="00E0045B">
        <w:t xml:space="preserve">in </w:t>
      </w:r>
      <w:r w:rsidRPr="002A3213" w:rsidR="00DF186B">
        <w:t>accord</w:t>
      </w:r>
      <w:r w:rsidRPr="002A3213" w:rsidR="00E0045B">
        <w:t xml:space="preserve">ance with </w:t>
      </w:r>
      <w:r w:rsidRPr="002A3213" w:rsidR="00DF186B">
        <w:t>national laws. The fact that Russian law did not allow same-sex marriage did not affect the applicants</w:t>
      </w:r>
      <w:r w:rsidRPr="002A3213" w:rsidR="002A3213">
        <w:t>’</w:t>
      </w:r>
      <w:r w:rsidRPr="002A3213" w:rsidR="00DF186B">
        <w:t xml:space="preserve"> rights. There had </w:t>
      </w:r>
      <w:r w:rsidRPr="002A3213" w:rsidR="00C21888">
        <w:t>also been</w:t>
      </w:r>
      <w:r w:rsidRPr="002A3213" w:rsidR="00DF186B">
        <w:t xml:space="preserve"> other irregularities in the docume</w:t>
      </w:r>
      <w:r w:rsidRPr="002A3213" w:rsidR="00313A3B">
        <w:t>nts submitted for registration.</w:t>
      </w:r>
    </w:p>
    <w:p w:rsidRPr="002A3213" w:rsidR="005D59EB" w:rsidP="002A3213" w:rsidRDefault="00B067AD">
      <w:pPr>
        <w:pStyle w:val="ECHRPara"/>
      </w:pPr>
      <w:r w:rsidRPr="002A3213">
        <w:fldChar w:fldCharType="begin"/>
      </w:r>
      <w:r w:rsidRPr="002A3213">
        <w:instrText xml:space="preserve"> SEQ level0 \*arabic </w:instrText>
      </w:r>
      <w:r w:rsidRPr="002A3213">
        <w:fldChar w:fldCharType="separate"/>
      </w:r>
      <w:r w:rsidRPr="002A3213" w:rsidR="002A3213">
        <w:rPr>
          <w:noProof/>
        </w:rPr>
        <w:t>121</w:t>
      </w:r>
      <w:r w:rsidRPr="002A3213">
        <w:fldChar w:fldCharType="end"/>
      </w:r>
      <w:r w:rsidRPr="002A3213" w:rsidR="00DF186B">
        <w:t>.  </w:t>
      </w:r>
      <w:r w:rsidRPr="002A3213" w:rsidR="00E32E53">
        <w:t>A</w:t>
      </w:r>
      <w:r w:rsidRPr="002A3213" w:rsidR="00DF186B">
        <w:t xml:space="preserve">s regards application no. 58282/12, the Government submitted that the articles of association of </w:t>
      </w:r>
      <w:r w:rsidRPr="002A3213" w:rsidR="001C455B">
        <w:t>Sochi Pride House had</w:t>
      </w:r>
      <w:r w:rsidRPr="002A3213" w:rsidR="00DF186B">
        <w:t xml:space="preserve"> also</w:t>
      </w:r>
      <w:r w:rsidRPr="002A3213" w:rsidR="001C455B">
        <w:t xml:space="preserve"> </w:t>
      </w:r>
      <w:r w:rsidRPr="002A3213" w:rsidR="00E35B90">
        <w:t>been</w:t>
      </w:r>
      <w:r w:rsidRPr="002A3213" w:rsidR="00DF186B">
        <w:t xml:space="preserve"> incompatible with Russian law. Firstly, its name contained words in a foreign language. Such names were only allowed for commercial organisations and could not be used for non-commercial ones. The applicants</w:t>
      </w:r>
      <w:r w:rsidRPr="002A3213" w:rsidR="002A3213">
        <w:t>’</w:t>
      </w:r>
      <w:r w:rsidRPr="002A3213" w:rsidR="00DF186B">
        <w:t xml:space="preserve"> argument that foreign words were often used in the names of non-commercial organisations had been misconceived because those organisations had been registered before 2006</w:t>
      </w:r>
      <w:r w:rsidRPr="002A3213" w:rsidR="00E0045B">
        <w:t>,</w:t>
      </w:r>
      <w:r w:rsidRPr="002A3213" w:rsidR="00DF186B">
        <w:t xml:space="preserve"> </w:t>
      </w:r>
      <w:r w:rsidRPr="002A3213" w:rsidR="00E32E53">
        <w:t xml:space="preserve">when </w:t>
      </w:r>
      <w:r w:rsidRPr="002A3213" w:rsidR="00DF186B">
        <w:t>registration had been performed by the tax authorities</w:t>
      </w:r>
      <w:r w:rsidRPr="002A3213" w:rsidR="00E0045B">
        <w:t>,</w:t>
      </w:r>
      <w:r w:rsidRPr="002A3213" w:rsidR="00DF186B">
        <w:t xml:space="preserve"> which had no competence to verify whether an organisation</w:t>
      </w:r>
      <w:r w:rsidRPr="002A3213" w:rsidR="002A3213">
        <w:t>’</w:t>
      </w:r>
      <w:r w:rsidRPr="002A3213" w:rsidR="00DF186B">
        <w:t xml:space="preserve">s name was compatible with Russian law. There had </w:t>
      </w:r>
      <w:r w:rsidRPr="002A3213" w:rsidR="00E35B90">
        <w:t>also been</w:t>
      </w:r>
      <w:r w:rsidRPr="002A3213" w:rsidR="00DF186B">
        <w:t xml:space="preserve"> other irregularities in the documents submitted for registration. </w:t>
      </w:r>
      <w:r w:rsidRPr="002A3213" w:rsidR="00E32E53">
        <w:t>T</w:t>
      </w:r>
      <w:r w:rsidRPr="002A3213" w:rsidR="00DF186B">
        <w:t xml:space="preserve">he domestic courts </w:t>
      </w:r>
      <w:r w:rsidRPr="002A3213" w:rsidR="00E32E53">
        <w:t xml:space="preserve">had confirmed that the refusal of registration had been </w:t>
      </w:r>
      <w:r w:rsidRPr="002A3213" w:rsidR="00DF186B">
        <w:t>lawful. They had found, in p</w:t>
      </w:r>
      <w:r w:rsidRPr="002A3213" w:rsidR="00004EAE">
        <w:t xml:space="preserve">articular, that the aims of </w:t>
      </w:r>
      <w:r w:rsidRPr="002A3213" w:rsidR="00DF186B">
        <w:t>Sochi Pride House had been incompatible with basic morality and State family policy and that its activities would amount to propaganda of non</w:t>
      </w:r>
      <w:r w:rsidRPr="002A3213" w:rsidR="00A52AE9">
        <w:noBreakHyphen/>
      </w:r>
      <w:r w:rsidRPr="002A3213" w:rsidR="00DF186B">
        <w:t xml:space="preserve">traditional sexual orientation. Such activities might undermine Russian national security, sovereignty and territorial integrity and incite social and religious hatred and enmity; they were therefore extremist in nature. </w:t>
      </w:r>
      <w:r w:rsidRPr="002A3213" w:rsidR="00E32E53">
        <w:t>In the Government</w:t>
      </w:r>
      <w:r w:rsidRPr="002A3213" w:rsidR="002A3213">
        <w:t>’</w:t>
      </w:r>
      <w:r w:rsidRPr="002A3213" w:rsidR="00E32E53">
        <w:t xml:space="preserve">s opinion, there was no need to submit any proof </w:t>
      </w:r>
      <w:r w:rsidRPr="002A3213" w:rsidR="006E0CC6">
        <w:t>for</w:t>
      </w:r>
      <w:r w:rsidRPr="002A3213" w:rsidR="00E32E53">
        <w:t xml:space="preserve"> the finding that LGBT advocacy might lead to a decrease in population. Given the nature of childbearing, it was absurd to deny it. </w:t>
      </w:r>
      <w:r w:rsidRPr="002A3213" w:rsidR="00DF186B">
        <w:t>The Government also submitted that propaganda of non</w:t>
      </w:r>
      <w:r w:rsidRPr="002A3213" w:rsidR="00DF186B">
        <w:noBreakHyphen/>
        <w:t xml:space="preserve">traditional sexual relations aimed at minors was an administrative offence. The Constitutional Court had found that punishment of such propaganda was compatible with the Russian Constitution as it </w:t>
      </w:r>
      <w:r w:rsidRPr="002A3213" w:rsidR="00E0045B">
        <w:t xml:space="preserve">was </w:t>
      </w:r>
      <w:r w:rsidRPr="002A3213" w:rsidR="00DF186B">
        <w:t xml:space="preserve">aimed </w:t>
      </w:r>
      <w:r w:rsidRPr="002A3213" w:rsidR="006E0CC6">
        <w:t>at protecting family values</w:t>
      </w:r>
      <w:r w:rsidRPr="002A3213" w:rsidR="00E0045B">
        <w:t>,</w:t>
      </w:r>
      <w:r w:rsidRPr="002A3213" w:rsidR="006E0CC6">
        <w:t xml:space="preserve"> as well as </w:t>
      </w:r>
      <w:r w:rsidRPr="002A3213" w:rsidR="00E0045B">
        <w:t xml:space="preserve">the </w:t>
      </w:r>
      <w:r w:rsidRPr="002A3213" w:rsidR="00DF186B">
        <w:t>health, morals and intellectual development of children.</w:t>
      </w:r>
    </w:p>
    <w:p w:rsidRPr="002A3213" w:rsidR="00E32E53" w:rsidP="002A3213" w:rsidRDefault="00B067AD">
      <w:pPr>
        <w:pStyle w:val="ECHRPara"/>
      </w:pPr>
      <w:r w:rsidRPr="002A3213">
        <w:fldChar w:fldCharType="begin"/>
      </w:r>
      <w:r w:rsidRPr="002A3213">
        <w:instrText xml:space="preserve"> SEQ level0 \*arabic </w:instrText>
      </w:r>
      <w:r w:rsidRPr="002A3213">
        <w:fldChar w:fldCharType="separate"/>
      </w:r>
      <w:r w:rsidRPr="002A3213" w:rsidR="002A3213">
        <w:rPr>
          <w:noProof/>
        </w:rPr>
        <w:t>122</w:t>
      </w:r>
      <w:r w:rsidRPr="002A3213">
        <w:fldChar w:fldCharType="end"/>
      </w:r>
      <w:r w:rsidRPr="002A3213" w:rsidR="00E32E53">
        <w:t xml:space="preserve">.  Lastly, the Government submitted that the applicants in all three applications had never </w:t>
      </w:r>
      <w:r w:rsidRPr="002A3213" w:rsidR="002106FF">
        <w:t>reapplied</w:t>
      </w:r>
      <w:r w:rsidRPr="002A3213" w:rsidR="00E32E53">
        <w:t xml:space="preserve"> for registration, although they could have done </w:t>
      </w:r>
      <w:r w:rsidRPr="002A3213" w:rsidR="00E0045B">
        <w:t xml:space="preserve">so </w:t>
      </w:r>
      <w:r w:rsidRPr="002A3213" w:rsidR="00E32E53">
        <w:t>after correcting the irregularities identified by the registration authority.</w:t>
      </w:r>
    </w:p>
    <w:p w:rsidRPr="002A3213" w:rsidR="00DF186B" w:rsidP="002A3213" w:rsidRDefault="00313A3B">
      <w:pPr>
        <w:pStyle w:val="ECHRHeading4"/>
      </w:pPr>
      <w:r w:rsidRPr="002A3213">
        <w:t>(b)  </w:t>
      </w:r>
      <w:r w:rsidRPr="002A3213" w:rsidR="00DF186B">
        <w:t>The applicants</w:t>
      </w:r>
    </w:p>
    <w:p w:rsidRPr="002A3213" w:rsidR="002106FF" w:rsidP="002A3213" w:rsidRDefault="00B067AD">
      <w:pPr>
        <w:pStyle w:val="ECHRPara"/>
      </w:pPr>
      <w:r w:rsidRPr="002A3213">
        <w:fldChar w:fldCharType="begin"/>
      </w:r>
      <w:r w:rsidRPr="002A3213">
        <w:instrText xml:space="preserve"> SEQ level0 \*arabic </w:instrText>
      </w:r>
      <w:r w:rsidRPr="002A3213">
        <w:fldChar w:fldCharType="separate"/>
      </w:r>
      <w:r w:rsidRPr="002A3213" w:rsidR="002A3213">
        <w:rPr>
          <w:noProof/>
        </w:rPr>
        <w:t>123</w:t>
      </w:r>
      <w:r w:rsidRPr="002A3213">
        <w:fldChar w:fldCharType="end"/>
      </w:r>
      <w:r w:rsidRPr="002A3213" w:rsidR="00196404">
        <w:t xml:space="preserve">.  The applicants </w:t>
      </w:r>
      <w:r w:rsidRPr="002A3213" w:rsidR="00700734">
        <w:t xml:space="preserve">submitted that the ability to establish a legal entity in order to act collectively in a field of mutual interest was one of the most important aspects of freedom of association, without which that right would be deprived of any meaning (they referred to </w:t>
      </w:r>
      <w:r w:rsidRPr="002A3213" w:rsidR="00700734">
        <w:rPr>
          <w:i/>
        </w:rPr>
        <w:t>Church of Scientology Moscow v. Russia</w:t>
      </w:r>
      <w:r w:rsidRPr="002A3213" w:rsidR="00700734">
        <w:t xml:space="preserve">, no. 18147/02, 5 April 2007). </w:t>
      </w:r>
      <w:r w:rsidRPr="002A3213" w:rsidR="002106FF">
        <w:t xml:space="preserve">They argued that the refusals of registration had </w:t>
      </w:r>
      <w:r w:rsidRPr="002A3213" w:rsidR="00CE1F7E">
        <w:t xml:space="preserve">therefore </w:t>
      </w:r>
      <w:r w:rsidRPr="002A3213" w:rsidR="002106FF">
        <w:t xml:space="preserve">amounted to an interference </w:t>
      </w:r>
      <w:r w:rsidRPr="002A3213" w:rsidR="00900AE6">
        <w:t>with the freedom of association. T</w:t>
      </w:r>
      <w:r w:rsidRPr="002A3213" w:rsidR="002106FF">
        <w:t>hat interference had been unlawful, had not pursued any legitimate aim and had</w:t>
      </w:r>
      <w:r w:rsidRPr="002A3213" w:rsidR="00E0045B">
        <w:t>,</w:t>
      </w:r>
      <w:r w:rsidRPr="002A3213" w:rsidR="002106FF">
        <w:t xml:space="preserve"> moreover</w:t>
      </w:r>
      <w:r w:rsidRPr="002A3213" w:rsidR="00E0045B">
        <w:t>,</w:t>
      </w:r>
      <w:r w:rsidRPr="002A3213" w:rsidR="002106FF">
        <w:t xml:space="preserve"> been disproportionate.</w:t>
      </w:r>
    </w:p>
    <w:p w:rsidRPr="002A3213" w:rsidR="005D59EB" w:rsidP="002A3213" w:rsidRDefault="002106FF">
      <w:pPr>
        <w:pStyle w:val="ECHRPara"/>
      </w:pPr>
      <w:r w:rsidRPr="002A3213">
        <w:fldChar w:fldCharType="begin"/>
      </w:r>
      <w:r w:rsidRPr="002A3213">
        <w:instrText xml:space="preserve"> SEQ level0 \*arabic </w:instrText>
      </w:r>
      <w:r w:rsidRPr="002A3213">
        <w:fldChar w:fldCharType="separate"/>
      </w:r>
      <w:r w:rsidRPr="002A3213" w:rsidR="002A3213">
        <w:rPr>
          <w:noProof/>
        </w:rPr>
        <w:t>124</w:t>
      </w:r>
      <w:r w:rsidRPr="002A3213">
        <w:fldChar w:fldCharType="end"/>
      </w:r>
      <w:r w:rsidRPr="002A3213">
        <w:t>.  The applicants submitted, firstly, that under the Russian Constitution</w:t>
      </w:r>
      <w:r w:rsidRPr="002A3213" w:rsidR="00E0045B">
        <w:t>,</w:t>
      </w:r>
      <w:r w:rsidRPr="002A3213">
        <w:t xml:space="preserve"> only those public associations could be prohibited which sought to make a forcible change </w:t>
      </w:r>
      <w:r w:rsidRPr="002A3213" w:rsidR="00E0045B">
        <w:t xml:space="preserve">to </w:t>
      </w:r>
      <w:r w:rsidRPr="002A3213">
        <w:t xml:space="preserve">the foundations of the constitutional system of the Russian Federation, to undermine its territorial integrity or national security, to create paramilitary formations, or </w:t>
      </w:r>
      <w:r w:rsidRPr="002A3213" w:rsidR="00CE1F7E">
        <w:t xml:space="preserve">to </w:t>
      </w:r>
      <w:r w:rsidRPr="002A3213">
        <w:t xml:space="preserve">incite social, racial, ethnic or religious discord (see paragraph </w:t>
      </w:r>
      <w:r w:rsidRPr="002A3213">
        <w:fldChar w:fldCharType="begin"/>
      </w:r>
      <w:r w:rsidRPr="002A3213">
        <w:instrText xml:space="preserve"> REF constitution \h  \* MERGEFORMAT </w:instrText>
      </w:r>
      <w:r w:rsidRPr="002A3213">
        <w:fldChar w:fldCharType="separate"/>
      </w:r>
      <w:r w:rsidRPr="002A3213" w:rsidR="002A3213">
        <w:t>55</w:t>
      </w:r>
      <w:r w:rsidRPr="002A3213">
        <w:fldChar w:fldCharType="end"/>
      </w:r>
      <w:r w:rsidRPr="002A3213">
        <w:t xml:space="preserve"> above). </w:t>
      </w:r>
      <w:r w:rsidRPr="002A3213" w:rsidR="00E0045B">
        <w:t>The</w:t>
      </w:r>
      <w:r w:rsidRPr="002A3213">
        <w:t xml:space="preserve"> refusal of registration on other grounds had been therefore unlawful.</w:t>
      </w:r>
    </w:p>
    <w:p w:rsidRPr="002A3213" w:rsidR="005D59EB" w:rsidP="002A3213" w:rsidRDefault="00B067AD">
      <w:pPr>
        <w:pStyle w:val="ECHRPara"/>
      </w:pPr>
      <w:r w:rsidRPr="002A3213">
        <w:fldChar w:fldCharType="begin"/>
      </w:r>
      <w:r w:rsidRPr="002A3213">
        <w:instrText xml:space="preserve"> SEQ level0 \*arabic </w:instrText>
      </w:r>
      <w:r w:rsidRPr="002A3213">
        <w:fldChar w:fldCharType="separate"/>
      </w:r>
      <w:r w:rsidRPr="002A3213" w:rsidR="002A3213">
        <w:rPr>
          <w:noProof/>
        </w:rPr>
        <w:t>125</w:t>
      </w:r>
      <w:r w:rsidRPr="002A3213">
        <w:fldChar w:fldCharType="end"/>
      </w:r>
      <w:r w:rsidRPr="002A3213" w:rsidR="002106FF">
        <w:t xml:space="preserve">.  The applicants further submitted that </w:t>
      </w:r>
      <w:r w:rsidRPr="002A3213" w:rsidR="004970C1">
        <w:t>the refusals of registration had also been unlawful because, contrary to the established practice endorsed by the Federal Registration Authority, the registration authority had not given the applicants a</w:t>
      </w:r>
      <w:r w:rsidRPr="002A3213" w:rsidR="00E0045B">
        <w:t>n opportunity</w:t>
      </w:r>
      <w:r w:rsidRPr="002A3213" w:rsidR="004970C1">
        <w:t xml:space="preserve"> to correct the technical irregularities in the registration documents. They could </w:t>
      </w:r>
      <w:r w:rsidRPr="002A3213" w:rsidR="00E0045B">
        <w:t xml:space="preserve">easily </w:t>
      </w:r>
      <w:r w:rsidRPr="002A3213" w:rsidR="004970C1">
        <w:t xml:space="preserve">have been corrected if the registration authority had afforded such </w:t>
      </w:r>
      <w:r w:rsidRPr="002A3213" w:rsidR="00E0045B">
        <w:t>an opportunity</w:t>
      </w:r>
      <w:r w:rsidRPr="002A3213" w:rsidR="004970C1">
        <w:t xml:space="preserve"> in accordance with established practice. In any event, given that </w:t>
      </w:r>
      <w:r w:rsidRPr="002A3213" w:rsidR="002106FF">
        <w:t>the authorities had found that the associations</w:t>
      </w:r>
      <w:r w:rsidRPr="002A3213" w:rsidR="002A3213">
        <w:t>’</w:t>
      </w:r>
      <w:r w:rsidRPr="002A3213" w:rsidR="002106FF">
        <w:t xml:space="preserve"> aims ha</w:t>
      </w:r>
      <w:r w:rsidRPr="002A3213" w:rsidR="004970C1">
        <w:t xml:space="preserve">d been contrary to Russian law, </w:t>
      </w:r>
      <w:r w:rsidRPr="002A3213" w:rsidR="002106FF">
        <w:t xml:space="preserve">the </w:t>
      </w:r>
      <w:r w:rsidRPr="002A3213" w:rsidR="004970C1">
        <w:t xml:space="preserve">additional </w:t>
      </w:r>
      <w:r w:rsidRPr="002A3213" w:rsidR="002106FF">
        <w:t xml:space="preserve">reasons relating to the purely </w:t>
      </w:r>
      <w:r w:rsidRPr="002A3213" w:rsidR="004970C1">
        <w:t>technical</w:t>
      </w:r>
      <w:r w:rsidRPr="002A3213" w:rsidR="002106FF">
        <w:t xml:space="preserve"> irregularities in the documents had been insignificant. Even if the applicants </w:t>
      </w:r>
      <w:r w:rsidRPr="002A3213" w:rsidR="004D6EAD">
        <w:t xml:space="preserve">had </w:t>
      </w:r>
      <w:r w:rsidRPr="002A3213" w:rsidR="002106FF">
        <w:t xml:space="preserve">corrected them, they would </w:t>
      </w:r>
      <w:r w:rsidRPr="002A3213" w:rsidR="00E0045B">
        <w:t xml:space="preserve">still </w:t>
      </w:r>
      <w:r w:rsidRPr="002A3213" w:rsidR="004D6EAD">
        <w:t xml:space="preserve">have </w:t>
      </w:r>
      <w:r w:rsidRPr="002A3213" w:rsidR="002106FF">
        <w:t>be</w:t>
      </w:r>
      <w:r w:rsidRPr="002A3213" w:rsidR="004D6EAD">
        <w:t>en</w:t>
      </w:r>
      <w:r w:rsidRPr="002A3213" w:rsidR="002106FF">
        <w:t xml:space="preserve"> unable to have the associations registered</w:t>
      </w:r>
      <w:r w:rsidRPr="002A3213" w:rsidR="00E0045B">
        <w:t>,</w:t>
      </w:r>
      <w:r w:rsidRPr="002A3213" w:rsidR="002106FF">
        <w:t xml:space="preserve"> as the main reasons relating to the associations</w:t>
      </w:r>
      <w:r w:rsidRPr="002A3213" w:rsidR="002A3213">
        <w:t>’</w:t>
      </w:r>
      <w:r w:rsidRPr="002A3213" w:rsidR="002106FF">
        <w:t xml:space="preserve"> aims would </w:t>
      </w:r>
      <w:r w:rsidRPr="002A3213" w:rsidR="004D6EAD">
        <w:t xml:space="preserve">have </w:t>
      </w:r>
      <w:r w:rsidRPr="002A3213" w:rsidR="002106FF">
        <w:t>remain</w:t>
      </w:r>
      <w:r w:rsidRPr="002A3213" w:rsidR="004D6EAD">
        <w:t>ed</w:t>
      </w:r>
      <w:r w:rsidRPr="002A3213" w:rsidR="002106FF">
        <w:t>.</w:t>
      </w:r>
    </w:p>
    <w:p w:rsidRPr="002A3213" w:rsidR="005D59EB" w:rsidP="002A3213" w:rsidRDefault="00B067AD">
      <w:pPr>
        <w:pStyle w:val="ECHRPara"/>
      </w:pPr>
      <w:r w:rsidRPr="002A3213">
        <w:fldChar w:fldCharType="begin"/>
      </w:r>
      <w:r w:rsidRPr="002A3213">
        <w:instrText xml:space="preserve"> SEQ level0 \*arabic </w:instrText>
      </w:r>
      <w:r w:rsidRPr="002A3213">
        <w:fldChar w:fldCharType="separate"/>
      </w:r>
      <w:r w:rsidRPr="002A3213" w:rsidR="002A3213">
        <w:rPr>
          <w:noProof/>
        </w:rPr>
        <w:t>126</w:t>
      </w:r>
      <w:r w:rsidRPr="002A3213">
        <w:fldChar w:fldCharType="end"/>
      </w:r>
      <w:r w:rsidRPr="002A3213" w:rsidR="004970C1">
        <w:t>.  Indeed, the main reason for the refusals of registration had been the applicants</w:t>
      </w:r>
      <w:r w:rsidRPr="002A3213" w:rsidR="002A3213">
        <w:t>’</w:t>
      </w:r>
      <w:r w:rsidRPr="002A3213" w:rsidR="004970C1">
        <w:t xml:space="preserve"> </w:t>
      </w:r>
      <w:r w:rsidRPr="002A3213" w:rsidR="00C31991">
        <w:t>aim</w:t>
      </w:r>
      <w:r w:rsidRPr="002A3213" w:rsidR="004970C1">
        <w:t xml:space="preserve"> </w:t>
      </w:r>
      <w:r w:rsidRPr="002A3213" w:rsidR="00E0045B">
        <w:t xml:space="preserve">of </w:t>
      </w:r>
      <w:r w:rsidRPr="002A3213" w:rsidR="00C31991">
        <w:t>advocat</w:t>
      </w:r>
      <w:r w:rsidRPr="002A3213" w:rsidR="00E0045B">
        <w:t>ing</w:t>
      </w:r>
      <w:r w:rsidRPr="002A3213" w:rsidR="00C31991">
        <w:t xml:space="preserve"> and defend</w:t>
      </w:r>
      <w:r w:rsidRPr="002A3213" w:rsidR="00E0045B">
        <w:t>ing</w:t>
      </w:r>
      <w:r w:rsidRPr="002A3213" w:rsidR="004970C1">
        <w:t xml:space="preserve"> LGBT</w:t>
      </w:r>
      <w:r w:rsidRPr="002A3213" w:rsidR="00C31991">
        <w:t xml:space="preserve"> rights</w:t>
      </w:r>
      <w:r w:rsidRPr="002A3213" w:rsidR="004970C1">
        <w:t>. I</w:t>
      </w:r>
      <w:r w:rsidRPr="002A3213" w:rsidR="002106FF">
        <w:t xml:space="preserve">t </w:t>
      </w:r>
      <w:r w:rsidRPr="002A3213" w:rsidR="00E0045B">
        <w:t xml:space="preserve">was clear </w:t>
      </w:r>
      <w:r w:rsidRPr="002A3213" w:rsidR="002106FF">
        <w:t xml:space="preserve">from </w:t>
      </w:r>
      <w:r w:rsidRPr="002A3213" w:rsidR="004970C1">
        <w:t xml:space="preserve">the reasoning of the domestic </w:t>
      </w:r>
      <w:r w:rsidRPr="002A3213" w:rsidR="00C31991">
        <w:t>courts</w:t>
      </w:r>
      <w:r w:rsidRPr="002A3213" w:rsidR="004970C1">
        <w:t xml:space="preserve"> and </w:t>
      </w:r>
      <w:r w:rsidRPr="002A3213" w:rsidR="002106FF">
        <w:t>the Government</w:t>
      </w:r>
      <w:r w:rsidRPr="002A3213" w:rsidR="002A3213">
        <w:t>’</w:t>
      </w:r>
      <w:r w:rsidRPr="002A3213" w:rsidR="002106FF">
        <w:t xml:space="preserve">s submissions that the national authorities considered that any association advocating LGBT rights was </w:t>
      </w:r>
      <w:r w:rsidRPr="002A3213" w:rsidR="00C31991">
        <w:t xml:space="preserve">extremist, dangerous for national security, </w:t>
      </w:r>
      <w:r w:rsidRPr="002A3213" w:rsidR="002106FF">
        <w:t xml:space="preserve">immoral and offensive to the feelings of the majority of the population, as well as having a corrupting effect on minors, and </w:t>
      </w:r>
      <w:r w:rsidRPr="002A3213" w:rsidR="00E0045B">
        <w:t xml:space="preserve">therefore </w:t>
      </w:r>
      <w:r w:rsidRPr="002A3213" w:rsidR="002106FF">
        <w:t>had to be prohibited.</w:t>
      </w:r>
    </w:p>
    <w:p w:rsidRPr="002A3213" w:rsidR="009D5AC8" w:rsidP="002A3213" w:rsidRDefault="00B067AD">
      <w:pPr>
        <w:pStyle w:val="ECHRPara"/>
      </w:pPr>
      <w:r w:rsidRPr="002A3213">
        <w:fldChar w:fldCharType="begin"/>
      </w:r>
      <w:r w:rsidRPr="002A3213">
        <w:instrText xml:space="preserve"> SEQ level0 \*arabic </w:instrText>
      </w:r>
      <w:r w:rsidRPr="002A3213">
        <w:fldChar w:fldCharType="separate"/>
      </w:r>
      <w:r w:rsidRPr="002A3213" w:rsidR="002A3213">
        <w:rPr>
          <w:noProof/>
        </w:rPr>
        <w:t>127</w:t>
      </w:r>
      <w:r w:rsidRPr="002A3213">
        <w:fldChar w:fldCharType="end"/>
      </w:r>
      <w:r w:rsidRPr="002A3213" w:rsidR="002106FF">
        <w:t>.  </w:t>
      </w:r>
      <w:r w:rsidRPr="002A3213" w:rsidR="00EB0E63">
        <w:t xml:space="preserve">The applicants argued that in a democratic society the principle of pluralism required that different concepts of morality should be allowed to coexist and that </w:t>
      </w:r>
      <w:r w:rsidRPr="002A3213" w:rsidR="00E0045B">
        <w:t xml:space="preserve">the </w:t>
      </w:r>
      <w:r w:rsidRPr="002A3213" w:rsidR="00EB0E63">
        <w:t>expression of opinions challenging the traditional vision of morality should be permitted. They</w:t>
      </w:r>
      <w:r w:rsidRPr="002A3213" w:rsidR="002106FF">
        <w:t xml:space="preserve"> further argued that the mere possibility that an association</w:t>
      </w:r>
      <w:r w:rsidRPr="002A3213" w:rsidR="002A3213">
        <w:t>’</w:t>
      </w:r>
      <w:r w:rsidRPr="002A3213" w:rsidR="002106FF">
        <w:t xml:space="preserve">s views or activities might confuse or even shock some parts of society could not be regarded as a sufficient ground for the refusal of its registration. In a democratic society a call to respect the rights of a minority could never be considered </w:t>
      </w:r>
      <w:r w:rsidRPr="002A3213" w:rsidR="00E0045B">
        <w:t>contrary to</w:t>
      </w:r>
      <w:r w:rsidRPr="002A3213" w:rsidR="002106FF">
        <w:t xml:space="preserve"> public morals. The Court had repeatedly stated that a democratic society was pluralistic, tolerant and broadminded (they referred to </w:t>
      </w:r>
      <w:r w:rsidRPr="002A3213" w:rsidR="002106FF">
        <w:rPr>
          <w:i/>
        </w:rPr>
        <w:t>Bączkowski and Others v. Poland</w:t>
      </w:r>
      <w:r w:rsidRPr="002A3213" w:rsidR="002106FF">
        <w:t>, no. 1543/06, § 63, 3 May 2007)</w:t>
      </w:r>
      <w:r w:rsidRPr="002A3213" w:rsidR="00E0045B">
        <w:t>,</w:t>
      </w:r>
      <w:r w:rsidRPr="002A3213" w:rsidR="002106FF">
        <w:t xml:space="preserve"> and those principles were especially important when people were expressing unpopular or minority views. Therefore, though the protection of public morality was a legitimate aim under the Convention, it could not be used to justify interferences with minorities</w:t>
      </w:r>
      <w:r w:rsidRPr="002A3213" w:rsidR="002A3213">
        <w:t>’</w:t>
      </w:r>
      <w:r w:rsidRPr="002A3213" w:rsidR="002106FF">
        <w:t xml:space="preserve"> rights based on the majority</w:t>
      </w:r>
      <w:r w:rsidRPr="002A3213" w:rsidR="002A3213">
        <w:t>’</w:t>
      </w:r>
      <w:r w:rsidRPr="002A3213" w:rsidR="002106FF">
        <w:t>s disapproval.</w:t>
      </w:r>
    </w:p>
    <w:p w:rsidRPr="002A3213" w:rsidR="005D59EB" w:rsidP="002A3213" w:rsidRDefault="00B067AD">
      <w:pPr>
        <w:pStyle w:val="ECHRPara"/>
      </w:pPr>
      <w:r w:rsidRPr="002A3213">
        <w:fldChar w:fldCharType="begin"/>
      </w:r>
      <w:r w:rsidRPr="002A3213">
        <w:instrText xml:space="preserve"> SEQ level0 \*arabic </w:instrText>
      </w:r>
      <w:r w:rsidRPr="002A3213">
        <w:fldChar w:fldCharType="separate"/>
      </w:r>
      <w:r w:rsidRPr="002A3213" w:rsidR="002A3213">
        <w:rPr>
          <w:noProof/>
        </w:rPr>
        <w:t>128</w:t>
      </w:r>
      <w:r w:rsidRPr="002A3213">
        <w:fldChar w:fldCharType="end"/>
      </w:r>
      <w:r w:rsidRPr="002A3213" w:rsidR="009D5AC8">
        <w:t xml:space="preserve">.  Nor did the protection of LGBT rights amount to extremist activities, and indeed the domestic law, including the Suppression of Extremism Act, did not provide for any punishment or limitation of rights </w:t>
      </w:r>
      <w:r w:rsidRPr="002A3213" w:rsidR="00B43E93">
        <w:t>on grounds of</w:t>
      </w:r>
      <w:r w:rsidRPr="002A3213" w:rsidR="009D5AC8">
        <w:t xml:space="preserve"> sexual orientation or prohibit </w:t>
      </w:r>
      <w:r w:rsidRPr="002A3213" w:rsidR="00E0045B">
        <w:t xml:space="preserve">the </w:t>
      </w:r>
      <w:r w:rsidRPr="002A3213" w:rsidR="009D5AC8">
        <w:t>creati</w:t>
      </w:r>
      <w:r w:rsidRPr="002A3213" w:rsidR="00E0045B">
        <w:t xml:space="preserve">on of </w:t>
      </w:r>
      <w:r w:rsidRPr="002A3213" w:rsidR="009D5AC8">
        <w:t xml:space="preserve">public associations </w:t>
      </w:r>
      <w:r w:rsidRPr="002A3213" w:rsidR="00E0045B">
        <w:t xml:space="preserve">for </w:t>
      </w:r>
      <w:r w:rsidRPr="002A3213" w:rsidR="009D5AC8">
        <w:t>sexual minorities.</w:t>
      </w:r>
    </w:p>
    <w:p w:rsidRPr="002A3213" w:rsidR="005D59EB" w:rsidP="002A3213" w:rsidRDefault="002106FF">
      <w:pPr>
        <w:pStyle w:val="ECHRPara"/>
      </w:pPr>
      <w:r w:rsidRPr="002A3213">
        <w:fldChar w:fldCharType="begin"/>
      </w:r>
      <w:r w:rsidRPr="002A3213">
        <w:instrText xml:space="preserve"> SEQ level0 \*arabic </w:instrText>
      </w:r>
      <w:r w:rsidRPr="002A3213">
        <w:fldChar w:fldCharType="separate"/>
      </w:r>
      <w:r w:rsidRPr="002A3213" w:rsidR="002A3213">
        <w:rPr>
          <w:noProof/>
        </w:rPr>
        <w:t>129</w:t>
      </w:r>
      <w:r w:rsidRPr="002A3213">
        <w:fldChar w:fldCharType="end"/>
      </w:r>
      <w:r w:rsidRPr="002A3213">
        <w:t>.  Relying on the Court</w:t>
      </w:r>
      <w:r w:rsidRPr="002A3213" w:rsidR="002A3213">
        <w:t>’</w:t>
      </w:r>
      <w:r w:rsidRPr="002A3213">
        <w:t xml:space="preserve">s judgment in the case of </w:t>
      </w:r>
      <w:r w:rsidRPr="002A3213">
        <w:rPr>
          <w:i/>
        </w:rPr>
        <w:t>Alekseyev v. Russia</w:t>
      </w:r>
      <w:r w:rsidRPr="002A3213">
        <w:t xml:space="preserve"> (nos. 4916/07 and 2 others, § 86, 21 October 2010)</w:t>
      </w:r>
      <w:r w:rsidRPr="002A3213" w:rsidR="00E0045B">
        <w:t>,</w:t>
      </w:r>
      <w:r w:rsidRPr="002A3213">
        <w:t xml:space="preserve"> the applicants </w:t>
      </w:r>
      <w:r w:rsidRPr="002A3213" w:rsidR="009D5AC8">
        <w:t xml:space="preserve">further </w:t>
      </w:r>
      <w:r w:rsidRPr="002A3213" w:rsidR="0094224B">
        <w:t xml:space="preserve">submitted that </w:t>
      </w:r>
      <w:r w:rsidRPr="002A3213">
        <w:t>there was no scientific evidence or sociological data suggesting that the mere mention of homosexuality, or open public debate about sexual minorities</w:t>
      </w:r>
      <w:r w:rsidRPr="002A3213" w:rsidR="002A3213">
        <w:t>’</w:t>
      </w:r>
      <w:r w:rsidRPr="002A3213">
        <w:t xml:space="preserve"> social status, would adversely affect children or “vulnerable adults”. On the contrary, it was only through fair and public debate that society </w:t>
      </w:r>
      <w:r w:rsidRPr="002A3213" w:rsidR="002F6118">
        <w:t xml:space="preserve">could </w:t>
      </w:r>
      <w:r w:rsidRPr="002A3213">
        <w:t xml:space="preserve">address such complex issues. Such </w:t>
      </w:r>
      <w:r w:rsidRPr="002A3213" w:rsidR="00E0045B">
        <w:t xml:space="preserve">a </w:t>
      </w:r>
      <w:r w:rsidRPr="002A3213">
        <w:t>debate would benefit social cohesion by ensuring that representatives of all views were heard, including the individuals concerned.</w:t>
      </w:r>
      <w:r w:rsidRPr="002A3213" w:rsidR="00C41964">
        <w:t xml:space="preserve"> Similarly,</w:t>
      </w:r>
      <w:r w:rsidRPr="002A3213">
        <w:t xml:space="preserve"> </w:t>
      </w:r>
      <w:r w:rsidRPr="002A3213" w:rsidR="00C41964">
        <w:t>e</w:t>
      </w:r>
      <w:r w:rsidRPr="002A3213">
        <w:t>ven though there was no European consensus concerning same-sex marriage, it was obvious that the Convention protected the rights of LGBT people to advocate the recognition of same-sex unions, including by creating associations for that purpose.</w:t>
      </w:r>
    </w:p>
    <w:p w:rsidRPr="002A3213" w:rsidR="005D59EB" w:rsidP="002A3213" w:rsidRDefault="002106FF">
      <w:pPr>
        <w:pStyle w:val="ECHRPara"/>
      </w:pPr>
      <w:r w:rsidRPr="002A3213">
        <w:fldChar w:fldCharType="begin"/>
      </w:r>
      <w:r w:rsidRPr="002A3213">
        <w:instrText xml:space="preserve"> SEQ level0 \*arabic </w:instrText>
      </w:r>
      <w:r w:rsidRPr="002A3213">
        <w:fldChar w:fldCharType="separate"/>
      </w:r>
      <w:r w:rsidRPr="002A3213" w:rsidR="002A3213">
        <w:rPr>
          <w:noProof/>
        </w:rPr>
        <w:t>130</w:t>
      </w:r>
      <w:r w:rsidRPr="002A3213">
        <w:fldChar w:fldCharType="end"/>
      </w:r>
      <w:r w:rsidRPr="002A3213">
        <w:t>.  </w:t>
      </w:r>
      <w:r w:rsidRPr="002A3213" w:rsidR="00144DB3">
        <w:t>T</w:t>
      </w:r>
      <w:r w:rsidRPr="002A3213">
        <w:t xml:space="preserve">he applicants </w:t>
      </w:r>
      <w:r w:rsidRPr="002A3213" w:rsidR="00EB0E63">
        <w:t xml:space="preserve">also </w:t>
      </w:r>
      <w:r w:rsidRPr="002A3213">
        <w:t>submitted that the Government</w:t>
      </w:r>
      <w:r w:rsidRPr="002A3213" w:rsidR="002A3213">
        <w:t>’</w:t>
      </w:r>
      <w:r w:rsidRPr="002A3213">
        <w:t xml:space="preserve">s reference to the law prohibiting propaganda of non-traditional sexual relations among minors had been misconceived as that law had been </w:t>
      </w:r>
      <w:r w:rsidRPr="002A3213" w:rsidR="00E0045B">
        <w:t xml:space="preserve">passed </w:t>
      </w:r>
      <w:r w:rsidRPr="002A3213">
        <w:t>in 2013, that is</w:t>
      </w:r>
      <w:r w:rsidRPr="002A3213" w:rsidR="00E0045B">
        <w:t>,</w:t>
      </w:r>
      <w:r w:rsidRPr="002A3213">
        <w:t xml:space="preserve"> afte</w:t>
      </w:r>
      <w:r w:rsidRPr="002A3213" w:rsidR="00F6567F">
        <w:t>r the facts of the present case</w:t>
      </w:r>
      <w:r w:rsidRPr="002A3213">
        <w:t>.</w:t>
      </w:r>
    </w:p>
    <w:p w:rsidRPr="002A3213" w:rsidR="00144DB3" w:rsidP="002A3213" w:rsidRDefault="00B067AD">
      <w:pPr>
        <w:pStyle w:val="ECHRPara"/>
      </w:pPr>
      <w:r w:rsidRPr="002A3213">
        <w:fldChar w:fldCharType="begin"/>
      </w:r>
      <w:r w:rsidRPr="002A3213">
        <w:instrText xml:space="preserve"> SEQ level0 \*arabic </w:instrText>
      </w:r>
      <w:r w:rsidRPr="002A3213">
        <w:fldChar w:fldCharType="separate"/>
      </w:r>
      <w:r w:rsidRPr="002A3213" w:rsidR="002A3213">
        <w:rPr>
          <w:noProof/>
        </w:rPr>
        <w:t>131</w:t>
      </w:r>
      <w:r w:rsidRPr="002A3213">
        <w:fldChar w:fldCharType="end"/>
      </w:r>
      <w:r w:rsidRPr="002A3213" w:rsidR="00144DB3">
        <w:t xml:space="preserve">.  Lastly, the applicants asserted that their activities had been limited to combating discrimination and promoting tolerance and respect for human rights of the LGBT people, particularly in the spheres of sports and marriage. They had not intended to promote nudity or other sexually explicit or provocative content or practices or to criticise the established moral norms or religious opinions. The applicants concluded that the domestic authorities and the Government had not shown that the </w:t>
      </w:r>
      <w:r w:rsidRPr="002A3213" w:rsidR="00A45990">
        <w:t>applicant organisations</w:t>
      </w:r>
      <w:r w:rsidRPr="002A3213" w:rsidR="00144DB3">
        <w:t xml:space="preserve"> could cause any real harm to society. On the contrary, society as a whole could only benefit </w:t>
      </w:r>
      <w:r w:rsidRPr="002A3213" w:rsidR="002F6118">
        <w:t xml:space="preserve">from </w:t>
      </w:r>
      <w:r w:rsidRPr="002A3213" w:rsidR="00144DB3">
        <w:t>the advancement of the rights of LGBT people.</w:t>
      </w:r>
    </w:p>
    <w:p w:rsidRPr="002A3213" w:rsidR="00D62F9B" w:rsidP="002A3213" w:rsidRDefault="00313A3B">
      <w:pPr>
        <w:pStyle w:val="ECHRHeading4"/>
      </w:pPr>
      <w:r w:rsidRPr="002A3213">
        <w:t>(c)  </w:t>
      </w:r>
      <w:r w:rsidRPr="002A3213" w:rsidR="00E50B3D">
        <w:t>The third parties</w:t>
      </w:r>
    </w:p>
    <w:p w:rsidRPr="002A3213" w:rsidR="00C77B32" w:rsidP="002A3213" w:rsidRDefault="00313A3B">
      <w:pPr>
        <w:pStyle w:val="ECHRHeading5"/>
      </w:pPr>
      <w:r w:rsidRPr="002A3213">
        <w:t>(i)  </w:t>
      </w:r>
      <w:r w:rsidRPr="002A3213" w:rsidR="00E50B3D">
        <w:t>The Human Rights Centre of Ghent University</w:t>
      </w:r>
    </w:p>
    <w:p w:rsidRPr="002A3213" w:rsidR="005D59EB" w:rsidP="002A3213" w:rsidRDefault="00B067AD">
      <w:pPr>
        <w:pStyle w:val="ECHRPara"/>
      </w:pPr>
      <w:r w:rsidRPr="002A3213">
        <w:fldChar w:fldCharType="begin"/>
      </w:r>
      <w:r w:rsidRPr="002A3213">
        <w:instrText xml:space="preserve"> SEQ level0 \*arabic </w:instrText>
      </w:r>
      <w:r w:rsidRPr="002A3213">
        <w:fldChar w:fldCharType="separate"/>
      </w:r>
      <w:r w:rsidRPr="002A3213" w:rsidR="002A3213">
        <w:rPr>
          <w:noProof/>
        </w:rPr>
        <w:t>132</w:t>
      </w:r>
      <w:r w:rsidRPr="002A3213">
        <w:fldChar w:fldCharType="end"/>
      </w:r>
      <w:r w:rsidRPr="002A3213" w:rsidR="00C77B32">
        <w:t xml:space="preserve">.  The Human Rights Centre of Ghent University submitted </w:t>
      </w:r>
      <w:r w:rsidRPr="002A3213" w:rsidR="007F5923">
        <w:t xml:space="preserve">that there was a growing global trend of States </w:t>
      </w:r>
      <w:r w:rsidRPr="002A3213" w:rsidR="00B72BDE">
        <w:t>abusively relying on loosely interpreted</w:t>
      </w:r>
      <w:r w:rsidRPr="002A3213" w:rsidR="007F5923">
        <w:t xml:space="preserve"> legitimate aims to restrict human rights, and in particular the right to freedom of </w:t>
      </w:r>
      <w:r w:rsidRPr="002A3213" w:rsidR="00626259">
        <w:t>association</w:t>
      </w:r>
      <w:r w:rsidRPr="002A3213" w:rsidR="007F5923">
        <w:t xml:space="preserve">. </w:t>
      </w:r>
      <w:r w:rsidRPr="002A3213" w:rsidR="00B72BDE">
        <w:t xml:space="preserve">It </w:t>
      </w:r>
      <w:r w:rsidRPr="002A3213" w:rsidR="007F5923">
        <w:t xml:space="preserve">argued that </w:t>
      </w:r>
      <w:r w:rsidRPr="002A3213" w:rsidR="00D228D4">
        <w:t xml:space="preserve">the </w:t>
      </w:r>
      <w:r w:rsidRPr="002A3213" w:rsidR="007F5923">
        <w:t xml:space="preserve">legitimate aims enumerated in Article 11 </w:t>
      </w:r>
      <w:r w:rsidRPr="002A3213" w:rsidR="00445D60">
        <w:t xml:space="preserve">§ 2 </w:t>
      </w:r>
      <w:r w:rsidRPr="002A3213" w:rsidR="007F5923">
        <w:t>of the Convention should be interpreted restrictively and that States</w:t>
      </w:r>
      <w:r w:rsidRPr="002A3213" w:rsidR="002A3213">
        <w:t>’</w:t>
      </w:r>
      <w:r w:rsidRPr="002A3213" w:rsidR="007F5923">
        <w:t xml:space="preserve"> reliance on those aims should be more attentively scrutinised by the Court. </w:t>
      </w:r>
      <w:r w:rsidRPr="002A3213" w:rsidR="00B72BDE">
        <w:t>In particular, States should substantiate by reasonable, objective and specific arguments the relevance of the legitimate aim cited by them to the facts of the case.</w:t>
      </w:r>
    </w:p>
    <w:p w:rsidRPr="002A3213" w:rsidR="005D59EB" w:rsidP="002A3213" w:rsidRDefault="00645D26">
      <w:pPr>
        <w:pStyle w:val="ECHRPara"/>
      </w:pPr>
      <w:r w:rsidRPr="002A3213">
        <w:fldChar w:fldCharType="begin"/>
      </w:r>
      <w:r w:rsidRPr="002A3213">
        <w:instrText xml:space="preserve"> SEQ level0 \*arabic </w:instrText>
      </w:r>
      <w:r w:rsidRPr="002A3213">
        <w:fldChar w:fldCharType="separate"/>
      </w:r>
      <w:r w:rsidRPr="002A3213" w:rsidR="002A3213">
        <w:rPr>
          <w:noProof/>
        </w:rPr>
        <w:t>133</w:t>
      </w:r>
      <w:r w:rsidRPr="002A3213">
        <w:fldChar w:fldCharType="end"/>
      </w:r>
      <w:r w:rsidRPr="002A3213">
        <w:t xml:space="preserve">.  It further argued that homophobic or discriminatory purposes should never be considered legitimate aims under Article 11 § 2. Nor could </w:t>
      </w:r>
      <w:r w:rsidRPr="002A3213" w:rsidR="00717CD5">
        <w:t xml:space="preserve">the </w:t>
      </w:r>
      <w:r w:rsidRPr="002A3213">
        <w:t xml:space="preserve">legitimate aims enumerated in that Article be used as a smokescreen for hiding ulterior homophobic or discriminatory motives. It </w:t>
      </w:r>
      <w:r w:rsidRPr="002A3213" w:rsidR="00B64995">
        <w:t xml:space="preserve">urged the Court to find that in </w:t>
      </w:r>
      <w:r w:rsidRPr="002A3213">
        <w:t>such a case</w:t>
      </w:r>
      <w:r w:rsidRPr="002A3213" w:rsidR="00B64995">
        <w:t xml:space="preserve"> the interference did not pursue any legitimate aim</w:t>
      </w:r>
      <w:r w:rsidRPr="002A3213" w:rsidR="00E0045B">
        <w:t>,</w:t>
      </w:r>
      <w:r w:rsidRPr="002A3213" w:rsidR="00B64995">
        <w:t xml:space="preserve"> instead of examining </w:t>
      </w:r>
      <w:r w:rsidRPr="002A3213" w:rsidR="00EB3E61">
        <w:t>the case</w:t>
      </w:r>
      <w:r w:rsidRPr="002A3213">
        <w:t xml:space="preserve"> </w:t>
      </w:r>
      <w:r w:rsidRPr="002A3213" w:rsidR="00B64995">
        <w:t xml:space="preserve">from the point of view of the proportionality of the interference. </w:t>
      </w:r>
      <w:r w:rsidRPr="002A3213">
        <w:t>By refraining from censuring an aim or an</w:t>
      </w:r>
      <w:r w:rsidRPr="002A3213" w:rsidR="00B64995">
        <w:t xml:space="preserve"> underlying motivation </w:t>
      </w:r>
      <w:r w:rsidRPr="002A3213">
        <w:t>which was</w:t>
      </w:r>
      <w:r w:rsidRPr="002A3213" w:rsidR="00B64995">
        <w:t xml:space="preserve"> itself incompatible with the Convention or </w:t>
      </w:r>
      <w:r w:rsidRPr="002A3213">
        <w:t xml:space="preserve">with </w:t>
      </w:r>
      <w:r w:rsidRPr="002A3213" w:rsidR="00B64995">
        <w:t>the values of a democratic society</w:t>
      </w:r>
      <w:r w:rsidRPr="002A3213">
        <w:t xml:space="preserve"> and by concentrating its assessment on the proportionality of the interference instead</w:t>
      </w:r>
      <w:r w:rsidRPr="002A3213" w:rsidR="00B64995">
        <w:t xml:space="preserve">, the Court would </w:t>
      </w:r>
      <w:r w:rsidRPr="002A3213" w:rsidR="00D7104C">
        <w:t xml:space="preserve">be sending </w:t>
      </w:r>
      <w:r w:rsidRPr="002A3213" w:rsidR="00B64995">
        <w:t xml:space="preserve">a wrong signal that such a blatantly illegitimate aim was to be accorded weight in the balancing exercise </w:t>
      </w:r>
      <w:r w:rsidRPr="002A3213">
        <w:t xml:space="preserve">and would therefore confer a certain legitimacy </w:t>
      </w:r>
      <w:r w:rsidRPr="002A3213" w:rsidR="00621E60">
        <w:t xml:space="preserve">on </w:t>
      </w:r>
      <w:r w:rsidRPr="002A3213">
        <w:t>it.</w:t>
      </w:r>
      <w:r w:rsidRPr="002A3213" w:rsidR="005D59EB">
        <w:t xml:space="preserve"> </w:t>
      </w:r>
      <w:r w:rsidRPr="002A3213">
        <w:t xml:space="preserve">Instead the Court should send a clear message that if an aim </w:t>
      </w:r>
      <w:r w:rsidRPr="002A3213" w:rsidR="00E0045B">
        <w:t xml:space="preserve">was </w:t>
      </w:r>
      <w:r w:rsidRPr="002A3213">
        <w:t>illegitimate under the Convention, it c</w:t>
      </w:r>
      <w:r w:rsidRPr="002A3213" w:rsidR="00E0045B">
        <w:t xml:space="preserve">ould </w:t>
      </w:r>
      <w:r w:rsidRPr="002A3213">
        <w:t xml:space="preserve">not justify any restriction of </w:t>
      </w:r>
      <w:r w:rsidRPr="002A3213" w:rsidR="00717CD5">
        <w:t xml:space="preserve">the </w:t>
      </w:r>
      <w:r w:rsidRPr="002A3213">
        <w:t>Convention rights.</w:t>
      </w:r>
    </w:p>
    <w:p w:rsidRPr="002A3213" w:rsidR="005D59EB" w:rsidP="002A3213" w:rsidRDefault="00797ABF">
      <w:pPr>
        <w:pStyle w:val="ECHRPara"/>
      </w:pPr>
      <w:r w:rsidRPr="002A3213">
        <w:fldChar w:fldCharType="begin"/>
      </w:r>
      <w:r w:rsidRPr="002A3213">
        <w:instrText xml:space="preserve"> SEQ level0 \*arabic </w:instrText>
      </w:r>
      <w:r w:rsidRPr="002A3213">
        <w:fldChar w:fldCharType="separate"/>
      </w:r>
      <w:r w:rsidRPr="002A3213" w:rsidR="002A3213">
        <w:rPr>
          <w:noProof/>
        </w:rPr>
        <w:t>134</w:t>
      </w:r>
      <w:r w:rsidRPr="002A3213">
        <w:fldChar w:fldCharType="end"/>
      </w:r>
      <w:r w:rsidRPr="002A3213">
        <w:t>.  The Human Rights Centre of Ghent University therefore urged the Court to</w:t>
      </w:r>
      <w:r w:rsidRPr="002A3213" w:rsidR="0027174B">
        <w:t xml:space="preserve"> attentively</w:t>
      </w:r>
      <w:r w:rsidRPr="002A3213">
        <w:t xml:space="preserve"> examine wh</w:t>
      </w:r>
      <w:r w:rsidRPr="002A3213" w:rsidR="006D2962">
        <w:t>e</w:t>
      </w:r>
      <w:r w:rsidRPr="002A3213">
        <w:t>ther the interference</w:t>
      </w:r>
      <w:r w:rsidRPr="002A3213" w:rsidR="008939A1">
        <w:t>s</w:t>
      </w:r>
      <w:r w:rsidRPr="002A3213">
        <w:t xml:space="preserve"> in the present case </w:t>
      </w:r>
      <w:r w:rsidRPr="002A3213" w:rsidR="00AD75D7">
        <w:t xml:space="preserve">had </w:t>
      </w:r>
      <w:r w:rsidRPr="002A3213">
        <w:t>pursued any legitimate aims.</w:t>
      </w:r>
    </w:p>
    <w:p w:rsidRPr="002A3213" w:rsidR="00C77B32" w:rsidP="002A3213" w:rsidRDefault="00313A3B">
      <w:pPr>
        <w:pStyle w:val="ECHRHeading5"/>
      </w:pPr>
      <w:r w:rsidRPr="002A3213">
        <w:t>(ii)  </w:t>
      </w:r>
      <w:r w:rsidRPr="002A3213" w:rsidR="00183EB9">
        <w:t>The EHRAC, ILGA-Europe and the ICJ</w:t>
      </w:r>
    </w:p>
    <w:p w:rsidRPr="002A3213" w:rsidR="005D59EB" w:rsidP="002A3213" w:rsidRDefault="00C77B32">
      <w:pPr>
        <w:pStyle w:val="ECHRPara"/>
      </w:pPr>
      <w:r w:rsidRPr="002A3213">
        <w:fldChar w:fldCharType="begin"/>
      </w:r>
      <w:r w:rsidRPr="002A3213">
        <w:instrText xml:space="preserve"> SEQ level0 \*arabic </w:instrText>
      </w:r>
      <w:r w:rsidRPr="002A3213">
        <w:fldChar w:fldCharType="separate"/>
      </w:r>
      <w:r w:rsidRPr="002A3213" w:rsidR="002A3213">
        <w:rPr>
          <w:noProof/>
        </w:rPr>
        <w:t>135</w:t>
      </w:r>
      <w:r w:rsidRPr="002A3213">
        <w:fldChar w:fldCharType="end"/>
      </w:r>
      <w:r w:rsidRPr="002A3213">
        <w:t>.  </w:t>
      </w:r>
      <w:r w:rsidRPr="002A3213" w:rsidR="006974B5">
        <w:t>T</w:t>
      </w:r>
      <w:r w:rsidRPr="002A3213">
        <w:t xml:space="preserve">he </w:t>
      </w:r>
      <w:r w:rsidRPr="002A3213" w:rsidR="006974B5">
        <w:t>EHRAC</w:t>
      </w:r>
      <w:r w:rsidRPr="002A3213">
        <w:t xml:space="preserve">, </w:t>
      </w:r>
      <w:r w:rsidRPr="002A3213" w:rsidR="006974B5">
        <w:t>ILGA-Europe</w:t>
      </w:r>
      <w:r w:rsidRPr="002A3213">
        <w:t xml:space="preserve"> and the </w:t>
      </w:r>
      <w:r w:rsidRPr="002A3213" w:rsidR="006974B5">
        <w:t>ICJ submitted</w:t>
      </w:r>
      <w:r w:rsidRPr="002A3213" w:rsidR="00183EB9">
        <w:t>, jointly,</w:t>
      </w:r>
      <w:r w:rsidRPr="002A3213" w:rsidR="006974B5">
        <w:t xml:space="preserve"> that </w:t>
      </w:r>
      <w:r w:rsidRPr="002A3213" w:rsidR="00684F7D">
        <w:t xml:space="preserve">it was impossible to </w:t>
      </w:r>
      <w:r w:rsidRPr="002A3213" w:rsidR="008B1962">
        <w:t>protect</w:t>
      </w:r>
      <w:r w:rsidRPr="002A3213" w:rsidR="00684F7D">
        <w:t xml:space="preserve"> individual rights if citizens were unable to create associations to defend common needs and interests. The right to freedom of association was therefore a unique human right</w:t>
      </w:r>
      <w:r w:rsidRPr="002A3213" w:rsidR="00F71830">
        <w:t>,</w:t>
      </w:r>
      <w:r w:rsidRPr="002A3213" w:rsidR="00684F7D">
        <w:t xml:space="preserve"> respect </w:t>
      </w:r>
      <w:r w:rsidRPr="002A3213" w:rsidR="00F71830">
        <w:t xml:space="preserve">for </w:t>
      </w:r>
      <w:r w:rsidRPr="002A3213" w:rsidR="00684F7D">
        <w:t>which served as a barometer of the general standard of human rights protection and the level of democracy in the country</w:t>
      </w:r>
      <w:r w:rsidRPr="002A3213" w:rsidR="00F71830">
        <w:t xml:space="preserve"> concerned</w:t>
      </w:r>
      <w:r w:rsidRPr="002A3213" w:rsidR="00684F7D">
        <w:t xml:space="preserve">. </w:t>
      </w:r>
      <w:r w:rsidRPr="002A3213" w:rsidR="00DD3CAA">
        <w:t xml:space="preserve">Any restrictions of that right therefore </w:t>
      </w:r>
      <w:r w:rsidRPr="002A3213" w:rsidR="00C67C7C">
        <w:t>required a strong justification and, in particular, the scope of permissible legitimate aims should be interpreted narrowly.</w:t>
      </w:r>
    </w:p>
    <w:p w:rsidRPr="002A3213" w:rsidR="005D59EB" w:rsidP="002A3213" w:rsidRDefault="0017536D">
      <w:pPr>
        <w:pStyle w:val="ECHRPara"/>
      </w:pPr>
      <w:r w:rsidRPr="002A3213">
        <w:fldChar w:fldCharType="begin"/>
      </w:r>
      <w:r w:rsidRPr="002A3213">
        <w:instrText xml:space="preserve"> SEQ level0 \*arabic </w:instrText>
      </w:r>
      <w:r w:rsidRPr="002A3213">
        <w:fldChar w:fldCharType="separate"/>
      </w:r>
      <w:r w:rsidRPr="002A3213" w:rsidR="002A3213">
        <w:rPr>
          <w:noProof/>
        </w:rPr>
        <w:t>136</w:t>
      </w:r>
      <w:r w:rsidRPr="002A3213">
        <w:fldChar w:fldCharType="end"/>
      </w:r>
      <w:r w:rsidRPr="002A3213">
        <w:t>.  </w:t>
      </w:r>
      <w:r w:rsidRPr="002A3213" w:rsidR="00C67C7C">
        <w:t xml:space="preserve">As regards the aim of protecting morals, </w:t>
      </w:r>
      <w:r w:rsidRPr="002A3213">
        <w:t xml:space="preserve">the interveners submitted that </w:t>
      </w:r>
      <w:r w:rsidRPr="002A3213" w:rsidR="00C67C7C">
        <w:t>there had been only a few occasions where it had been successfully invoked to justify a restriction on the right to freedom of association</w:t>
      </w:r>
      <w:r w:rsidRPr="002A3213" w:rsidR="00313A3B">
        <w:t>.</w:t>
      </w:r>
      <w:r w:rsidRPr="002A3213" w:rsidR="00422864">
        <w:t xml:space="preserve"> </w:t>
      </w:r>
      <w:r w:rsidRPr="002A3213" w:rsidR="00211EBA">
        <w:t xml:space="preserve">In the cases of </w:t>
      </w:r>
      <w:r w:rsidRPr="002A3213" w:rsidR="00934555">
        <w:rPr>
          <w:i/>
        </w:rPr>
        <w:t xml:space="preserve">Lavisse v. France </w:t>
      </w:r>
      <w:r w:rsidRPr="002A3213" w:rsidR="00211EBA">
        <w:t>(</w:t>
      </w:r>
      <w:r w:rsidRPr="002A3213" w:rsidR="00934555">
        <w:t>no. 14223/88, Commission decision of 5 June 1991</w:t>
      </w:r>
      <w:r w:rsidRPr="002A3213" w:rsidR="00313A3B">
        <w:t>, Decisions and Reports</w:t>
      </w:r>
      <w:r w:rsidRPr="002A3213" w:rsidR="00934555">
        <w:t xml:space="preserve"> </w:t>
      </w:r>
      <w:r w:rsidRPr="002A3213" w:rsidR="00211EBA">
        <w:t>no. 70, p</w:t>
      </w:r>
      <w:r w:rsidRPr="002A3213" w:rsidR="007A0739">
        <w:t>.</w:t>
      </w:r>
      <w:r w:rsidRPr="002A3213" w:rsidR="00211EBA">
        <w:t> </w:t>
      </w:r>
      <w:r w:rsidRPr="002A3213" w:rsidR="00934555">
        <w:t>229</w:t>
      </w:r>
      <w:r w:rsidRPr="002A3213" w:rsidR="00211EBA">
        <w:t xml:space="preserve">) and </w:t>
      </w:r>
      <w:r w:rsidRPr="002A3213" w:rsidR="00211EBA">
        <w:rPr>
          <w:i/>
        </w:rPr>
        <w:t>Larmela v. Finland</w:t>
      </w:r>
      <w:r w:rsidRPr="002A3213" w:rsidR="00313A3B">
        <w:t xml:space="preserve"> (no. </w:t>
      </w:r>
      <w:r w:rsidRPr="002A3213" w:rsidR="00211EBA">
        <w:t xml:space="preserve">26712/95, Commission decision of 28 May 1997), the Commission had accepted that, given that the associations had advocated practices that were illegal under national law – namely surrogate motherhood and consumption of cannabis – the refusal to register them had been justified </w:t>
      </w:r>
      <w:r w:rsidRPr="002A3213" w:rsidR="00F71830">
        <w:t xml:space="preserve">by </w:t>
      </w:r>
      <w:r w:rsidRPr="002A3213" w:rsidR="00211EBA">
        <w:t xml:space="preserve">the aim of protecting public decency and morals. The Court </w:t>
      </w:r>
      <w:r w:rsidRPr="002A3213" w:rsidR="00A46007">
        <w:t>had</w:t>
      </w:r>
      <w:r w:rsidRPr="002A3213" w:rsidR="00F71830">
        <w:t>,</w:t>
      </w:r>
      <w:r w:rsidRPr="002A3213" w:rsidR="00A46007">
        <w:t xml:space="preserve"> however</w:t>
      </w:r>
      <w:r w:rsidRPr="002A3213" w:rsidR="00F71830">
        <w:t>,</w:t>
      </w:r>
      <w:r w:rsidRPr="002A3213" w:rsidR="00A46007">
        <w:t xml:space="preserve"> since changed that approach, finding that an association could be established to pursue a change in the law, including </w:t>
      </w:r>
      <w:r w:rsidRPr="002A3213" w:rsidR="00F71830">
        <w:t xml:space="preserve">the </w:t>
      </w:r>
      <w:r w:rsidRPr="002A3213" w:rsidR="007A0739">
        <w:t>legali</w:t>
      </w:r>
      <w:r w:rsidRPr="002A3213" w:rsidR="00F71830">
        <w:t>s</w:t>
      </w:r>
      <w:r w:rsidRPr="002A3213" w:rsidR="007A0739">
        <w:t>ation of</w:t>
      </w:r>
      <w:r w:rsidRPr="002A3213" w:rsidR="00A46007">
        <w:t xml:space="preserve"> conduct that was illegal, so long as the means to be used and the outcome to be achieved were compatible with fundamental democratic principles, including in particular non-discrimination, pluralism and respect for human rights (</w:t>
      </w:r>
      <w:r w:rsidRPr="002A3213" w:rsidR="00F71830">
        <w:t xml:space="preserve">the interveners cited </w:t>
      </w:r>
      <w:r w:rsidRPr="002A3213" w:rsidR="00A46007">
        <w:rPr>
          <w:i/>
        </w:rPr>
        <w:t>United Communist Party of Turkey and Others v. Turkey</w:t>
      </w:r>
      <w:r w:rsidRPr="002A3213" w:rsidR="00313A3B">
        <w:t>, 30 </w:t>
      </w:r>
      <w:r w:rsidRPr="002A3213" w:rsidR="00A46007">
        <w:t xml:space="preserve">January 1998, </w:t>
      </w:r>
      <w:r w:rsidRPr="002A3213" w:rsidR="00A46007">
        <w:rPr>
          <w:i/>
        </w:rPr>
        <w:t xml:space="preserve">Reports </w:t>
      </w:r>
      <w:r w:rsidRPr="002A3213" w:rsidR="00A46007">
        <w:t>1998</w:t>
      </w:r>
      <w:r w:rsidRPr="002A3213" w:rsidR="00A46007">
        <w:noBreakHyphen/>
        <w:t xml:space="preserve">I, and </w:t>
      </w:r>
      <w:r w:rsidRPr="002A3213" w:rsidR="00A46007">
        <w:rPr>
          <w:i/>
        </w:rPr>
        <w:t>Refah Partisi (the Welfare Party) and Others</w:t>
      </w:r>
      <w:r w:rsidRPr="002A3213" w:rsidR="00AB2F79">
        <w:t>, cited above</w:t>
      </w:r>
      <w:r w:rsidRPr="002A3213" w:rsidR="00A46007">
        <w:t>).</w:t>
      </w:r>
    </w:p>
    <w:p w:rsidRPr="002A3213" w:rsidR="00A46007" w:rsidP="002A3213" w:rsidRDefault="00443C51">
      <w:pPr>
        <w:pStyle w:val="ECHRPara"/>
      </w:pPr>
      <w:r w:rsidRPr="002A3213">
        <w:fldChar w:fldCharType="begin"/>
      </w:r>
      <w:r w:rsidRPr="002A3213">
        <w:instrText xml:space="preserve"> SEQ level0 \*arabic </w:instrText>
      </w:r>
      <w:r w:rsidRPr="002A3213">
        <w:fldChar w:fldCharType="separate"/>
      </w:r>
      <w:r w:rsidRPr="002A3213" w:rsidR="002A3213">
        <w:rPr>
          <w:noProof/>
        </w:rPr>
        <w:t>137</w:t>
      </w:r>
      <w:r w:rsidRPr="002A3213">
        <w:fldChar w:fldCharType="end"/>
      </w:r>
      <w:r w:rsidRPr="002A3213">
        <w:t>.  </w:t>
      </w:r>
      <w:r w:rsidRPr="002A3213" w:rsidR="008160B9">
        <w:t xml:space="preserve">Relying on </w:t>
      </w:r>
      <w:r w:rsidRPr="002A3213" w:rsidR="00717159">
        <w:t>t</w:t>
      </w:r>
      <w:r w:rsidRPr="002A3213">
        <w:t>he United Nations Human Rights Committee</w:t>
      </w:r>
      <w:r w:rsidRPr="002A3213" w:rsidR="002A3213">
        <w:t>’</w:t>
      </w:r>
      <w:r w:rsidRPr="002A3213">
        <w:t xml:space="preserve">s opinion in </w:t>
      </w:r>
      <w:r w:rsidRPr="002A3213">
        <w:rPr>
          <w:i/>
        </w:rPr>
        <w:t>Fedotova v. Russia</w:t>
      </w:r>
      <w:r w:rsidRPr="002A3213">
        <w:t xml:space="preserve"> (Communication no. 1932/2010, CCPR/C/106/D/1932/2010), the interveners argued that the concept of morals derived from many social, philosophical and religious traditions; consequently, limitations for the purpose of protecting morals had to be based on principles not deriving exclusively from a single tradition. Any such limitations had to be understood in the light of </w:t>
      </w:r>
      <w:r w:rsidRPr="002A3213" w:rsidR="008A13B2">
        <w:t xml:space="preserve">the </w:t>
      </w:r>
      <w:r w:rsidRPr="002A3213">
        <w:t xml:space="preserve">universality of human rights and the principle of non-discrimination. </w:t>
      </w:r>
      <w:r w:rsidRPr="002A3213" w:rsidR="005E5C7C">
        <w:t>Accordingly, even if the government or some parts of society opposed certain activities on moral grounds</w:t>
      </w:r>
      <w:r w:rsidRPr="002A3213" w:rsidR="00B847BF">
        <w:t xml:space="preserve">, that was not in itself sufficient to justify restrictions on </w:t>
      </w:r>
      <w:r w:rsidRPr="002A3213" w:rsidR="00F71830">
        <w:t xml:space="preserve">those </w:t>
      </w:r>
      <w:r w:rsidRPr="002A3213" w:rsidR="00B847BF">
        <w:t>activities, particularly if they were protected by the Convention or other human rights standards (</w:t>
      </w:r>
      <w:r w:rsidRPr="002A3213" w:rsidR="00F71830">
        <w:t>the interveners cited</w:t>
      </w:r>
      <w:r w:rsidRPr="002A3213" w:rsidR="00B847BF">
        <w:t xml:space="preserve">, for example, </w:t>
      </w:r>
      <w:r w:rsidRPr="002A3213" w:rsidR="00526A97">
        <w:rPr>
          <w:i/>
        </w:rPr>
        <w:t>Sidiropoulos and Others v. </w:t>
      </w:r>
      <w:r w:rsidRPr="002A3213" w:rsidR="00B847BF">
        <w:rPr>
          <w:i/>
        </w:rPr>
        <w:t>Greece</w:t>
      </w:r>
      <w:r w:rsidRPr="002A3213" w:rsidR="00B847BF">
        <w:t xml:space="preserve">, 10 July 1998, § 44, </w:t>
      </w:r>
      <w:r w:rsidRPr="002A3213" w:rsidR="00B847BF">
        <w:rPr>
          <w:i/>
        </w:rPr>
        <w:t xml:space="preserve">Reports </w:t>
      </w:r>
      <w:r w:rsidRPr="002A3213" w:rsidR="00B847BF">
        <w:t>1998</w:t>
      </w:r>
      <w:r w:rsidRPr="002A3213" w:rsidR="00B847BF">
        <w:noBreakHyphen/>
        <w:t>IV</w:t>
      </w:r>
      <w:r w:rsidRPr="002A3213" w:rsidR="00313A3B">
        <w:t>).</w:t>
      </w:r>
    </w:p>
    <w:p w:rsidRPr="002A3213" w:rsidR="00934555" w:rsidP="002A3213" w:rsidRDefault="00E848D9">
      <w:pPr>
        <w:pStyle w:val="ECHRHeading3"/>
      </w:pPr>
      <w:r w:rsidRPr="002A3213">
        <w:t>2.  The Court</w:t>
      </w:r>
      <w:r w:rsidRPr="002A3213" w:rsidR="002A3213">
        <w:t>’</w:t>
      </w:r>
      <w:r w:rsidRPr="002A3213">
        <w:t>s assessment</w:t>
      </w:r>
    </w:p>
    <w:p w:rsidRPr="002A3213" w:rsidR="00E848D9" w:rsidP="002A3213" w:rsidRDefault="00313A3B">
      <w:pPr>
        <w:pStyle w:val="ECHRHeading4"/>
      </w:pPr>
      <w:r w:rsidRPr="002A3213">
        <w:t>(a)  </w:t>
      </w:r>
      <w:r w:rsidRPr="002A3213" w:rsidR="00E848D9">
        <w:t>General principles</w:t>
      </w:r>
    </w:p>
    <w:p w:rsidRPr="002A3213" w:rsidR="00E848D9" w:rsidP="002A3213" w:rsidRDefault="00B067AD">
      <w:pPr>
        <w:pStyle w:val="ECHRPara"/>
      </w:pPr>
      <w:r w:rsidRPr="002A3213">
        <w:fldChar w:fldCharType="begin"/>
      </w:r>
      <w:r w:rsidRPr="002A3213">
        <w:instrText xml:space="preserve"> SEQ level0 \*arabic </w:instrText>
      </w:r>
      <w:r w:rsidRPr="002A3213">
        <w:fldChar w:fldCharType="separate"/>
      </w:r>
      <w:r w:rsidRPr="002A3213" w:rsidR="002A3213">
        <w:rPr>
          <w:noProof/>
        </w:rPr>
        <w:t>138</w:t>
      </w:r>
      <w:r w:rsidRPr="002A3213">
        <w:fldChar w:fldCharType="end"/>
      </w:r>
      <w:r w:rsidRPr="002A3213" w:rsidR="00707905">
        <w:t>.  </w:t>
      </w:r>
      <w:r w:rsidRPr="002A3213" w:rsidR="00E848D9">
        <w:t>The Court reiterates that the right to form an association is an inherent part of the right set forth in Article 11. That citizens should be able to form a legal entity in order to act collectively in a field of mutual interest is one of the most important aspects of the right to freedom of association, without which that right would be deprived of any meaning. The way in which national legislation enshrines this freedom and its practical application by the authorities reveal the state of democracy in the country concerned. Certainly States have a right to satisfy</w:t>
      </w:r>
      <w:r w:rsidRPr="002A3213" w:rsidR="003603FE">
        <w:t xml:space="preserve"> themselves that an association</w:t>
      </w:r>
      <w:r w:rsidRPr="002A3213" w:rsidR="002A3213">
        <w:t>’</w:t>
      </w:r>
      <w:r w:rsidRPr="002A3213" w:rsidR="00E848D9">
        <w:t xml:space="preserve">s aim and activities are in conformity with the rules laid down in legislation, but they must do so in a manner compatible with their obligations under the Convention and subject to review by the Convention institutions (see </w:t>
      </w:r>
      <w:r w:rsidRPr="002A3213" w:rsidR="00D1146E">
        <w:rPr>
          <w:i/>
          <w:iCs/>
        </w:rPr>
        <w:t xml:space="preserve">Sidiropoulos and Others, </w:t>
      </w:r>
      <w:r w:rsidRPr="002A3213" w:rsidR="00D1146E">
        <w:rPr>
          <w:iCs/>
        </w:rPr>
        <w:t>cited above,</w:t>
      </w:r>
      <w:r w:rsidRPr="002A3213" w:rsidR="00E848D9">
        <w:t xml:space="preserve"> § 40).</w:t>
      </w:r>
    </w:p>
    <w:p w:rsidRPr="002A3213" w:rsidR="00E848D9" w:rsidP="002A3213" w:rsidRDefault="005C3BEB">
      <w:pPr>
        <w:pStyle w:val="ECHRPara"/>
      </w:pPr>
      <w:r w:rsidRPr="002A3213">
        <w:fldChar w:fldCharType="begin"/>
      </w:r>
      <w:r w:rsidRPr="002A3213">
        <w:instrText xml:space="preserve"> SEQ level0 \*arabic </w:instrText>
      </w:r>
      <w:r w:rsidRPr="002A3213">
        <w:fldChar w:fldCharType="separate"/>
      </w:r>
      <w:r w:rsidRPr="002A3213" w:rsidR="002A3213">
        <w:rPr>
          <w:noProof/>
        </w:rPr>
        <w:t>139</w:t>
      </w:r>
      <w:r w:rsidRPr="002A3213">
        <w:fldChar w:fldCharType="end"/>
      </w:r>
      <w:r w:rsidRPr="002A3213">
        <w:t>.  </w:t>
      </w:r>
      <w:r w:rsidRPr="002A3213" w:rsidR="00E848D9">
        <w:t>While in the context of Article 11 the Court has often referred to the essential role played by political parties in ensuring pluralism and democracy, associat</w:t>
      </w:r>
      <w:r w:rsidRPr="002A3213" w:rsidR="00BC1339">
        <w:t xml:space="preserve">ions formed for other purposes </w:t>
      </w:r>
      <w:r w:rsidRPr="002A3213" w:rsidR="00E848D9">
        <w:t xml:space="preserve">are also important to the proper functioning of democracy. For pluralism is also built on the genuine recognition of, and respect for, diversity and the dynamics of cultural traditions, ethnic and cultural identities, religious beliefs, artistic, literary and socio-economic ideas and concepts. The harmonious interaction of persons and groups with varied identities is essential for achieving social cohesion. It is only natural that, where a civil society functions in a healthy manner, the participation of citizens in the democratic process is to a large extent achieved through belonging to associations in which they may integrate with each other and pursue common objectives collectively (see </w:t>
      </w:r>
      <w:r w:rsidRPr="002A3213" w:rsidR="00E848D9">
        <w:rPr>
          <w:i/>
          <w:iCs/>
        </w:rPr>
        <w:t xml:space="preserve">Gorzelik and Others v. Poland </w:t>
      </w:r>
      <w:r w:rsidRPr="002A3213" w:rsidR="00E848D9">
        <w:t xml:space="preserve">[GC], </w:t>
      </w:r>
      <w:r w:rsidRPr="002A3213" w:rsidR="00526A97">
        <w:t>no. 44158/98</w:t>
      </w:r>
      <w:r w:rsidRPr="002A3213" w:rsidR="00E848D9">
        <w:t xml:space="preserve">, § 92, ECHR 2004-I, and </w:t>
      </w:r>
      <w:r w:rsidRPr="002A3213">
        <w:rPr>
          <w:i/>
        </w:rPr>
        <w:t>Bączkowski and Others</w:t>
      </w:r>
      <w:r w:rsidRPr="002A3213">
        <w:t>,</w:t>
      </w:r>
      <w:r w:rsidRPr="002A3213">
        <w:rPr>
          <w:i/>
        </w:rPr>
        <w:t xml:space="preserve"> </w:t>
      </w:r>
      <w:r w:rsidRPr="002A3213" w:rsidR="00526A97">
        <w:t>cited abo</w:t>
      </w:r>
      <w:r w:rsidRPr="002A3213">
        <w:t>ve,</w:t>
      </w:r>
      <w:r w:rsidRPr="002A3213">
        <w:rPr>
          <w:i/>
        </w:rPr>
        <w:t xml:space="preserve"> </w:t>
      </w:r>
      <w:r w:rsidRPr="002A3213" w:rsidR="00E848D9">
        <w:t>§ 62)</w:t>
      </w:r>
      <w:r w:rsidRPr="002A3213" w:rsidR="00526A97">
        <w:t>.</w:t>
      </w:r>
    </w:p>
    <w:p w:rsidRPr="002A3213" w:rsidR="00E848D9" w:rsidP="002A3213" w:rsidRDefault="00C57E90">
      <w:pPr>
        <w:pStyle w:val="ECHRPara"/>
      </w:pPr>
      <w:r w:rsidRPr="002A3213">
        <w:fldChar w:fldCharType="begin"/>
      </w:r>
      <w:r w:rsidRPr="002A3213">
        <w:instrText xml:space="preserve"> SEQ level0 \*arabic </w:instrText>
      </w:r>
      <w:r w:rsidRPr="002A3213">
        <w:fldChar w:fldCharType="separate"/>
      </w:r>
      <w:r w:rsidRPr="002A3213" w:rsidR="002A3213">
        <w:rPr>
          <w:noProof/>
        </w:rPr>
        <w:t>140</w:t>
      </w:r>
      <w:r w:rsidRPr="002A3213">
        <w:fldChar w:fldCharType="end"/>
      </w:r>
      <w:r w:rsidRPr="002A3213">
        <w:t>.  </w:t>
      </w:r>
      <w:r w:rsidRPr="002A3213" w:rsidR="00BC1339">
        <w:t>The State</w:t>
      </w:r>
      <w:r w:rsidRPr="002A3213" w:rsidR="002A3213">
        <w:t>’</w:t>
      </w:r>
      <w:r w:rsidRPr="002A3213" w:rsidR="00E848D9">
        <w:t xml:space="preserve">s power to protect its institutions and citizens from associations that might jeopardise them must be used sparingly, as exceptions to the rule of freedom of association are to be construed strictly and only convincing and compelling reasons can justify restrictions on that freedom. Any interference must correspond to a “pressing social need”; thus, the notion </w:t>
      </w:r>
      <w:r w:rsidRPr="002A3213" w:rsidR="0075028B">
        <w:t xml:space="preserve">of </w:t>
      </w:r>
      <w:r w:rsidRPr="002A3213" w:rsidR="00E848D9">
        <w:t xml:space="preserve">“necessary” does not have the flexibility of such expressions as “useful” or “desirable” (see </w:t>
      </w:r>
      <w:r w:rsidRPr="002A3213" w:rsidR="00E848D9">
        <w:rPr>
          <w:i/>
          <w:iCs/>
        </w:rPr>
        <w:t>Gorzelik and Others</w:t>
      </w:r>
      <w:r w:rsidRPr="002A3213">
        <w:rPr>
          <w:iCs/>
        </w:rPr>
        <w:t>,</w:t>
      </w:r>
      <w:r w:rsidRPr="002A3213" w:rsidR="00E848D9">
        <w:rPr>
          <w:i/>
          <w:iCs/>
        </w:rPr>
        <w:t xml:space="preserve"> </w:t>
      </w:r>
      <w:r w:rsidRPr="002A3213">
        <w:rPr>
          <w:iCs/>
        </w:rPr>
        <w:t>cited above</w:t>
      </w:r>
      <w:r w:rsidRPr="002A3213" w:rsidR="00E848D9">
        <w:t>, §§ 94-95, with further references).</w:t>
      </w:r>
      <w:r w:rsidRPr="002A3213">
        <w:t xml:space="preserve"> </w:t>
      </w:r>
      <w:r w:rsidRPr="002A3213" w:rsidR="00E848D9">
        <w:t>In determining whether a necessity within the meaning of paragraph 2 of th</w:t>
      </w:r>
      <w:r w:rsidRPr="002A3213">
        <w:t>is Convention provision</w:t>
      </w:r>
      <w:r w:rsidRPr="002A3213" w:rsidR="00E848D9">
        <w:t xml:space="preserve"> exists, the States have only a limited margin of appreciation, which goes hand in hand with rigorous European supervision embracing both the law and the decisions applying it, including those given by independent courts (see </w:t>
      </w:r>
      <w:r w:rsidRPr="002A3213" w:rsidR="00E848D9">
        <w:rPr>
          <w:i/>
          <w:iCs/>
        </w:rPr>
        <w:t>Sidiropoulos</w:t>
      </w:r>
      <w:r w:rsidRPr="002A3213">
        <w:rPr>
          <w:i/>
          <w:iCs/>
        </w:rPr>
        <w:t xml:space="preserve"> and Others</w:t>
      </w:r>
      <w:r w:rsidRPr="002A3213">
        <w:t>, cited above, § 40</w:t>
      </w:r>
      <w:r w:rsidRPr="002A3213" w:rsidR="00E848D9">
        <w:t>).</w:t>
      </w:r>
    </w:p>
    <w:p w:rsidRPr="002A3213" w:rsidR="00E848D9" w:rsidP="002A3213" w:rsidRDefault="00C57E90">
      <w:pPr>
        <w:pStyle w:val="ECHRPara"/>
      </w:pPr>
      <w:r w:rsidRPr="002A3213">
        <w:fldChar w:fldCharType="begin"/>
      </w:r>
      <w:r w:rsidRPr="002A3213">
        <w:instrText xml:space="preserve"> SEQ level0 \*arabic </w:instrText>
      </w:r>
      <w:r w:rsidRPr="002A3213">
        <w:fldChar w:fldCharType="separate"/>
      </w:r>
      <w:r w:rsidRPr="002A3213" w:rsidR="002A3213">
        <w:rPr>
          <w:noProof/>
        </w:rPr>
        <w:t>141</w:t>
      </w:r>
      <w:r w:rsidRPr="002A3213">
        <w:fldChar w:fldCharType="end"/>
      </w:r>
      <w:r w:rsidRPr="002A3213">
        <w:t>.  </w:t>
      </w:r>
      <w:r w:rsidRPr="002A3213" w:rsidR="00E848D9">
        <w:t xml:space="preserve">When the Court carries out its scrutiny, its task is not to substitute its own view for that of the relevant national authorities but rather to review the decisions they delivered in the exercise of their discretion. This does not mean that it has to confine itself to ascertaining whether the respondent State exercised its discretion reasonably, carefully and in good faith; it must look at the interference complained of in the light of the case as a whole and determine whether it was “proportionate to the legitimate aim pursued” and whether the reasons adduced by the national authorities to justify it are “relevant and sufficient”. In so doing, the Court has to satisfy itself that the national authorities applied standards which were in conformity with the principles embodied in the Convention and, moreover, that they based their decisions on an acceptable assessment of the relevant facts (see </w:t>
      </w:r>
      <w:r w:rsidRPr="002A3213" w:rsidR="000F7B20">
        <w:rPr>
          <w:i/>
        </w:rPr>
        <w:t>United Communist Party of Turkey and Others</w:t>
      </w:r>
      <w:r w:rsidRPr="002A3213" w:rsidR="006838FB">
        <w:t>,</w:t>
      </w:r>
      <w:r w:rsidRPr="002A3213" w:rsidR="000F7B20">
        <w:t xml:space="preserve"> </w:t>
      </w:r>
      <w:r w:rsidRPr="002A3213" w:rsidR="006838FB">
        <w:t>cited above,</w:t>
      </w:r>
      <w:r w:rsidRPr="002A3213" w:rsidR="000F7B20">
        <w:t xml:space="preserve"> § 47, and </w:t>
      </w:r>
      <w:r w:rsidRPr="002A3213" w:rsidR="000F7B20">
        <w:rPr>
          <w:i/>
          <w:iCs/>
        </w:rPr>
        <w:t>Gorzelik and Others</w:t>
      </w:r>
      <w:r w:rsidRPr="002A3213" w:rsidR="000F7B20">
        <w:rPr>
          <w:iCs/>
        </w:rPr>
        <w:t>,</w:t>
      </w:r>
      <w:r w:rsidRPr="002A3213" w:rsidR="000F7B20">
        <w:rPr>
          <w:i/>
          <w:iCs/>
        </w:rPr>
        <w:t xml:space="preserve"> </w:t>
      </w:r>
      <w:r w:rsidRPr="002A3213" w:rsidR="000F7B20">
        <w:rPr>
          <w:iCs/>
        </w:rPr>
        <w:t>cited above</w:t>
      </w:r>
      <w:r w:rsidRPr="002A3213" w:rsidR="000F7B20">
        <w:t>, § 96</w:t>
      </w:r>
      <w:r w:rsidRPr="002A3213" w:rsidR="00E848D9">
        <w:t>).</w:t>
      </w:r>
    </w:p>
    <w:p w:rsidRPr="002A3213" w:rsidR="006F3760" w:rsidP="002A3213" w:rsidRDefault="00BB4761">
      <w:pPr>
        <w:pStyle w:val="ECHRHeading4"/>
      </w:pPr>
      <w:r w:rsidRPr="002A3213">
        <w:t>(b)  </w:t>
      </w:r>
      <w:r w:rsidRPr="002A3213" w:rsidR="006F3760">
        <w:t>Application to the present case</w:t>
      </w:r>
    </w:p>
    <w:p w:rsidRPr="002A3213" w:rsidR="00EC108D" w:rsidP="002A3213" w:rsidRDefault="00BB4761">
      <w:pPr>
        <w:pStyle w:val="ECHRHeading5"/>
      </w:pPr>
      <w:r w:rsidRPr="002A3213">
        <w:t>(i)  </w:t>
      </w:r>
      <w:r w:rsidRPr="002A3213" w:rsidR="00EC108D">
        <w:t>Existence of an interference</w:t>
      </w:r>
    </w:p>
    <w:p w:rsidRPr="002A3213" w:rsidR="005D59EB" w:rsidP="002A3213" w:rsidRDefault="00B731D5">
      <w:pPr>
        <w:pStyle w:val="ECHRPara"/>
      </w:pPr>
      <w:r w:rsidRPr="002A3213">
        <w:fldChar w:fldCharType="begin"/>
      </w:r>
      <w:r w:rsidRPr="002A3213">
        <w:instrText xml:space="preserve"> SEQ level0 \*arabic </w:instrText>
      </w:r>
      <w:r w:rsidRPr="002A3213">
        <w:fldChar w:fldCharType="separate"/>
      </w:r>
      <w:r w:rsidRPr="002A3213" w:rsidR="002A3213">
        <w:rPr>
          <w:noProof/>
        </w:rPr>
        <w:t>142</w:t>
      </w:r>
      <w:r w:rsidRPr="002A3213">
        <w:fldChar w:fldCharType="end"/>
      </w:r>
      <w:r w:rsidRPr="002A3213">
        <w:t>.  </w:t>
      </w:r>
      <w:r w:rsidRPr="002A3213" w:rsidR="00F12C0F">
        <w:t xml:space="preserve">The Court </w:t>
      </w:r>
      <w:r w:rsidRPr="002A3213" w:rsidR="008C4590">
        <w:t xml:space="preserve">reiterates </w:t>
      </w:r>
      <w:r w:rsidRPr="002A3213" w:rsidR="00F12C0F">
        <w:t xml:space="preserve">that </w:t>
      </w:r>
      <w:r w:rsidRPr="002A3213" w:rsidR="008C4590">
        <w:t>the ability to establish a legal entity in order to act collectively in a field of mutual interest is one of the most important aspects of freedom of association, without which that right would be deprived of any meaning. The Court has found on many occasions that a refusal by the domestic authorities to grant legal-entity status to an association of individuals</w:t>
      </w:r>
      <w:r w:rsidRPr="002A3213" w:rsidR="008C4590">
        <w:rPr>
          <w:rFonts w:ascii="Times New Roman" w:hAnsi="Times New Roman" w:eastAsia="Times New Roman" w:cs="Times New Roman"/>
          <w:szCs w:val="20"/>
          <w:lang w:eastAsia="fr-FR"/>
        </w:rPr>
        <w:t xml:space="preserve"> </w:t>
      </w:r>
      <w:r w:rsidRPr="002A3213" w:rsidR="005F4D2B">
        <w:rPr>
          <w:rFonts w:ascii="Times New Roman" w:hAnsi="Times New Roman" w:eastAsia="Times New Roman" w:cs="Times New Roman"/>
          <w:szCs w:val="20"/>
          <w:lang w:eastAsia="fr-FR"/>
        </w:rPr>
        <w:t>amounts to an interference with the exercise of the right to freedom of association (see</w:t>
      </w:r>
      <w:r w:rsidRPr="002A3213" w:rsidR="00EE1315">
        <w:rPr>
          <w:rFonts w:ascii="Times New Roman" w:hAnsi="Times New Roman" w:eastAsia="Times New Roman" w:cs="Times New Roman"/>
          <w:szCs w:val="20"/>
          <w:lang w:eastAsia="fr-FR"/>
        </w:rPr>
        <w:t>, among other</w:t>
      </w:r>
      <w:r w:rsidRPr="002A3213" w:rsidR="003536CB">
        <w:rPr>
          <w:rFonts w:ascii="Times New Roman" w:hAnsi="Times New Roman" w:eastAsia="Times New Roman" w:cs="Times New Roman"/>
          <w:szCs w:val="20"/>
          <w:lang w:eastAsia="fr-FR"/>
        </w:rPr>
        <w:t xml:space="preserve"> authoritie</w:t>
      </w:r>
      <w:r w:rsidRPr="002A3213" w:rsidR="00EE1315">
        <w:rPr>
          <w:rFonts w:ascii="Times New Roman" w:hAnsi="Times New Roman" w:eastAsia="Times New Roman" w:cs="Times New Roman"/>
          <w:szCs w:val="20"/>
          <w:lang w:eastAsia="fr-FR"/>
        </w:rPr>
        <w:t>s,</w:t>
      </w:r>
      <w:r w:rsidRPr="002A3213" w:rsidR="005F4D2B">
        <w:rPr>
          <w:rFonts w:ascii="Times New Roman" w:hAnsi="Times New Roman" w:eastAsia="Times New Roman" w:cs="Times New Roman"/>
          <w:szCs w:val="20"/>
          <w:lang w:eastAsia="fr-FR"/>
        </w:rPr>
        <w:t xml:space="preserve"> </w:t>
      </w:r>
      <w:r w:rsidRPr="002A3213" w:rsidR="008C4590">
        <w:rPr>
          <w:rFonts w:ascii="Times New Roman" w:hAnsi="Times New Roman" w:eastAsia="Times New Roman" w:cs="Times New Roman"/>
          <w:i/>
          <w:szCs w:val="20"/>
          <w:lang w:eastAsia="fr-FR"/>
        </w:rPr>
        <w:t>Sidiropoulos and Others</w:t>
      </w:r>
      <w:r w:rsidRPr="002A3213" w:rsidR="008C4590">
        <w:rPr>
          <w:rFonts w:ascii="Times New Roman" w:hAnsi="Times New Roman" w:eastAsia="Times New Roman" w:cs="Times New Roman"/>
          <w:szCs w:val="20"/>
          <w:lang w:eastAsia="fr-FR"/>
        </w:rPr>
        <w:t xml:space="preserve">, cited above, § 31; </w:t>
      </w:r>
      <w:r w:rsidRPr="002A3213" w:rsidR="005F4D2B">
        <w:rPr>
          <w:rFonts w:ascii="Times New Roman" w:hAnsi="Times New Roman" w:eastAsia="Times New Roman" w:cs="Times New Roman"/>
          <w:i/>
          <w:szCs w:val="20"/>
          <w:lang w:eastAsia="fr-FR"/>
        </w:rPr>
        <w:t>Gorzelik and Others</w:t>
      </w:r>
      <w:r w:rsidRPr="002A3213" w:rsidR="008C4590">
        <w:rPr>
          <w:rFonts w:ascii="Times New Roman" w:hAnsi="Times New Roman" w:eastAsia="Times New Roman" w:cs="Times New Roman"/>
          <w:szCs w:val="20"/>
          <w:lang w:eastAsia="fr-FR"/>
        </w:rPr>
        <w:t>,</w:t>
      </w:r>
      <w:r w:rsidRPr="002A3213" w:rsidR="005F4D2B">
        <w:rPr>
          <w:rFonts w:ascii="Times New Roman" w:hAnsi="Times New Roman" w:eastAsia="Times New Roman" w:cs="Times New Roman"/>
          <w:i/>
          <w:szCs w:val="20"/>
          <w:lang w:eastAsia="fr-FR"/>
        </w:rPr>
        <w:t xml:space="preserve"> </w:t>
      </w:r>
      <w:r w:rsidRPr="002A3213" w:rsidR="008C4590">
        <w:rPr>
          <w:rFonts w:ascii="Times New Roman" w:hAnsi="Times New Roman" w:eastAsia="Times New Roman" w:cs="Times New Roman"/>
          <w:szCs w:val="20"/>
          <w:lang w:eastAsia="fr-FR"/>
        </w:rPr>
        <w:t>cited above, § </w:t>
      </w:r>
      <w:r w:rsidRPr="002A3213" w:rsidR="005F4D2B">
        <w:rPr>
          <w:rFonts w:ascii="Times New Roman" w:hAnsi="Times New Roman" w:eastAsia="Times New Roman" w:cs="Times New Roman"/>
          <w:szCs w:val="20"/>
          <w:lang w:eastAsia="fr-FR"/>
        </w:rPr>
        <w:t>52</w:t>
      </w:r>
      <w:r w:rsidRPr="002A3213" w:rsidR="008C4590">
        <w:rPr>
          <w:rFonts w:ascii="Times New Roman" w:hAnsi="Times New Roman" w:eastAsia="Times New Roman" w:cs="Times New Roman"/>
          <w:szCs w:val="20"/>
          <w:lang w:eastAsia="fr-FR"/>
        </w:rPr>
        <w:t xml:space="preserve">; </w:t>
      </w:r>
      <w:r w:rsidRPr="002A3213" w:rsidR="002721C9">
        <w:rPr>
          <w:i/>
        </w:rPr>
        <w:t>Church of Scientology Moscow</w:t>
      </w:r>
      <w:r w:rsidRPr="002A3213" w:rsidR="002721C9">
        <w:t>,</w:t>
      </w:r>
      <w:r w:rsidRPr="002A3213" w:rsidR="002721C9">
        <w:rPr>
          <w:i/>
        </w:rPr>
        <w:t xml:space="preserve"> </w:t>
      </w:r>
      <w:r w:rsidRPr="002A3213" w:rsidR="002721C9">
        <w:t>cited above</w:t>
      </w:r>
      <w:r w:rsidRPr="002A3213" w:rsidR="008C4590">
        <w:t>, § 81</w:t>
      </w:r>
      <w:r w:rsidRPr="002A3213" w:rsidR="00BB4761">
        <w:rPr>
          <w:rFonts w:ascii="Times New Roman" w:hAnsi="Times New Roman" w:eastAsia="Times New Roman" w:cs="Times New Roman"/>
          <w:szCs w:val="20"/>
          <w:lang w:eastAsia="fr-FR"/>
        </w:rPr>
        <w:t>;</w:t>
      </w:r>
      <w:r w:rsidRPr="002A3213" w:rsidR="00EE2AC6">
        <w:rPr>
          <w:rFonts w:ascii="Times New Roman" w:hAnsi="Times New Roman" w:eastAsia="Times New Roman" w:cs="Times New Roman"/>
          <w:szCs w:val="20"/>
          <w:lang w:eastAsia="fr-FR"/>
        </w:rPr>
        <w:t xml:space="preserve"> and </w:t>
      </w:r>
      <w:r w:rsidRPr="002A3213" w:rsidR="00EE2AC6">
        <w:rPr>
          <w:i/>
        </w:rPr>
        <w:t>Jehovah</w:t>
      </w:r>
      <w:r w:rsidRPr="002A3213" w:rsidR="002A3213">
        <w:rPr>
          <w:i/>
        </w:rPr>
        <w:t>’</w:t>
      </w:r>
      <w:r w:rsidRPr="002A3213" w:rsidR="00EE2AC6">
        <w:rPr>
          <w:i/>
        </w:rPr>
        <w:t>s Witnesses of Moscow and Others</w:t>
      </w:r>
      <w:r w:rsidRPr="002A3213" w:rsidR="00EE2AC6">
        <w:t xml:space="preserve">, </w:t>
      </w:r>
      <w:r w:rsidRPr="002A3213" w:rsidR="00BB4761">
        <w:t>cited above</w:t>
      </w:r>
      <w:r w:rsidRPr="002A3213" w:rsidR="00EE2AC6">
        <w:t>, § 101).</w:t>
      </w:r>
    </w:p>
    <w:p w:rsidRPr="002A3213" w:rsidR="005D59EB" w:rsidP="002A3213" w:rsidRDefault="00EC108D">
      <w:pPr>
        <w:pStyle w:val="ECHRPara"/>
        <w:rPr>
          <w:snapToGrid w:val="0"/>
        </w:rPr>
      </w:pPr>
      <w:r w:rsidRPr="002A3213">
        <w:fldChar w:fldCharType="begin"/>
      </w:r>
      <w:r w:rsidRPr="002A3213">
        <w:instrText xml:space="preserve"> SEQ level0 \*arabic </w:instrText>
      </w:r>
      <w:r w:rsidRPr="002A3213">
        <w:fldChar w:fldCharType="separate"/>
      </w:r>
      <w:r w:rsidRPr="002A3213" w:rsidR="002A3213">
        <w:rPr>
          <w:noProof/>
        </w:rPr>
        <w:t>143</w:t>
      </w:r>
      <w:r w:rsidRPr="002A3213">
        <w:fldChar w:fldCharType="end"/>
      </w:r>
      <w:r w:rsidRPr="002A3213">
        <w:t>.  </w:t>
      </w:r>
      <w:r w:rsidRPr="002A3213" w:rsidR="009C52E2">
        <w:t>The Court notes that under Russian law</w:t>
      </w:r>
      <w:r w:rsidRPr="002A3213" w:rsidR="002F20FE">
        <w:t>,</w:t>
      </w:r>
      <w:r w:rsidRPr="002A3213" w:rsidR="009C52E2">
        <w:t xml:space="preserve"> non</w:t>
      </w:r>
      <w:r w:rsidRPr="002A3213" w:rsidR="002F20FE">
        <w:t>-</w:t>
      </w:r>
      <w:r w:rsidRPr="002A3213" w:rsidR="009C52E2">
        <w:t xml:space="preserve">profit organisations, </w:t>
      </w:r>
      <w:r w:rsidRPr="002A3213" w:rsidR="002F20FE">
        <w:t xml:space="preserve">such as </w:t>
      </w:r>
      <w:r w:rsidRPr="002A3213" w:rsidR="009C52E2">
        <w:t xml:space="preserve">Movement for Marriage Equality, cannot exist without State registration (see paragraph </w:t>
      </w:r>
      <w:r w:rsidRPr="002A3213" w:rsidR="009C52E2">
        <w:fldChar w:fldCharType="begin"/>
      </w:r>
      <w:r w:rsidRPr="002A3213" w:rsidR="009C52E2">
        <w:instrText xml:space="preserve"> REF nonprofit \h </w:instrText>
      </w:r>
      <w:r w:rsidRPr="002A3213" w:rsidR="009C52E2">
        <w:fldChar w:fldCharType="separate"/>
      </w:r>
      <w:r w:rsidRPr="002A3213" w:rsidR="002A3213">
        <w:rPr>
          <w:noProof/>
        </w:rPr>
        <w:t>57</w:t>
      </w:r>
      <w:r w:rsidRPr="002A3213" w:rsidR="009C52E2">
        <w:fldChar w:fldCharType="end"/>
      </w:r>
      <w:r w:rsidRPr="002A3213" w:rsidR="009C52E2">
        <w:t xml:space="preserve"> above). Public associations, </w:t>
      </w:r>
      <w:r w:rsidRPr="002A3213" w:rsidR="002F20FE">
        <w:t xml:space="preserve">such as </w:t>
      </w:r>
      <w:r w:rsidRPr="002A3213" w:rsidR="009C52E2">
        <w:t>Rainbow House and Sochi Pride House, can exist without registration, but cannot possess or exercise the rights associated exclusively with the legal-entity status of a registered “public association” – such as, in particular, the right to own property, carry out publishing activities, found mass</w:t>
      </w:r>
      <w:r w:rsidRPr="002A3213" w:rsidR="002F20FE">
        <w:t>-</w:t>
      </w:r>
      <w:r w:rsidRPr="002A3213" w:rsidR="009C52E2">
        <w:t>media outlets, participate in elections or referenda</w:t>
      </w:r>
      <w:r w:rsidRPr="002A3213" w:rsidR="008B06DF">
        <w:t xml:space="preserve">, and participate in the decision-making process of the </w:t>
      </w:r>
      <w:r w:rsidRPr="002A3213" w:rsidR="00717159">
        <w:t>S</w:t>
      </w:r>
      <w:r w:rsidRPr="002A3213" w:rsidR="008B06DF">
        <w:t>tate and municipal authorities</w:t>
      </w:r>
      <w:r w:rsidRPr="002A3213" w:rsidR="0099574A">
        <w:t>. The possibilities</w:t>
      </w:r>
      <w:r w:rsidRPr="002A3213" w:rsidR="002F20FE">
        <w:t xml:space="preserve"> for them</w:t>
      </w:r>
      <w:r w:rsidRPr="002A3213" w:rsidR="009C52E2">
        <w:t xml:space="preserve"> to make proposals and to </w:t>
      </w:r>
      <w:r w:rsidRPr="002A3213" w:rsidR="002F20FE">
        <w:t xml:space="preserve">put forward </w:t>
      </w:r>
      <w:r w:rsidRPr="002A3213" w:rsidR="009C52E2">
        <w:t>initiatives</w:t>
      </w:r>
      <w:r w:rsidRPr="002A3213" w:rsidR="008B06DF">
        <w:t xml:space="preserve"> to the </w:t>
      </w:r>
      <w:r w:rsidRPr="002A3213" w:rsidR="002F20FE">
        <w:t>S</w:t>
      </w:r>
      <w:r w:rsidRPr="002A3213" w:rsidR="008B06DF">
        <w:t>tate and muni</w:t>
      </w:r>
      <w:r w:rsidRPr="002A3213" w:rsidR="0099574A">
        <w:t>cipal authorities and to defend the population</w:t>
      </w:r>
      <w:r w:rsidRPr="002A3213" w:rsidR="002A3213">
        <w:t>’</w:t>
      </w:r>
      <w:r w:rsidRPr="002A3213" w:rsidR="0099574A">
        <w:t xml:space="preserve">s rights and interests are also limited as compared to registered public associations (see paragraph </w:t>
      </w:r>
      <w:r w:rsidRPr="002A3213" w:rsidR="0099574A">
        <w:fldChar w:fldCharType="begin"/>
      </w:r>
      <w:r w:rsidRPr="002A3213" w:rsidR="0099574A">
        <w:instrText xml:space="preserve"> REF publicassociation \h </w:instrText>
      </w:r>
      <w:r w:rsidRPr="002A3213" w:rsidR="0099574A">
        <w:fldChar w:fldCharType="separate"/>
      </w:r>
      <w:r w:rsidRPr="002A3213" w:rsidR="002A3213">
        <w:rPr>
          <w:noProof/>
        </w:rPr>
        <w:t>66</w:t>
      </w:r>
      <w:r w:rsidRPr="002A3213" w:rsidR="0099574A">
        <w:fldChar w:fldCharType="end"/>
      </w:r>
      <w:r w:rsidRPr="002A3213" w:rsidR="0099574A">
        <w:t xml:space="preserve"> above). </w:t>
      </w:r>
      <w:r w:rsidRPr="002A3213" w:rsidR="00A21345">
        <w:t xml:space="preserve">Thus, the status afforded to unregistered public associations </w:t>
      </w:r>
      <w:r w:rsidRPr="002A3213" w:rsidR="00023216">
        <w:t>significantly restrict</w:t>
      </w:r>
      <w:r w:rsidRPr="002A3213" w:rsidR="002F20FE">
        <w:t>s</w:t>
      </w:r>
      <w:r w:rsidRPr="002A3213" w:rsidR="00A21345">
        <w:t xml:space="preserve"> </w:t>
      </w:r>
      <w:r w:rsidRPr="002A3213" w:rsidR="00023216">
        <w:t xml:space="preserve">the right to freedom of association of </w:t>
      </w:r>
      <w:r w:rsidRPr="002A3213" w:rsidR="00A21345">
        <w:t xml:space="preserve">the founders and members of such an association (compare </w:t>
      </w:r>
      <w:r w:rsidRPr="002A3213" w:rsidR="00A21345">
        <w:rPr>
          <w:i/>
        </w:rPr>
        <w:t>Kimlya and Others v. Russia</w:t>
      </w:r>
      <w:r w:rsidRPr="002A3213" w:rsidR="00A21345">
        <w:t>, nos.</w:t>
      </w:r>
      <w:r w:rsidRPr="002A3213" w:rsidR="00C475CD">
        <w:t> </w:t>
      </w:r>
      <w:r w:rsidRPr="002A3213" w:rsidR="00A21345">
        <w:t xml:space="preserve">76836/01 and 32782/03, §§ 85-86, ECHR 2009; </w:t>
      </w:r>
      <w:r w:rsidRPr="002A3213" w:rsidR="00A21345">
        <w:rPr>
          <w:i/>
        </w:rPr>
        <w:t>Church of Scientology of St Petersburg</w:t>
      </w:r>
      <w:r w:rsidRPr="002A3213" w:rsidR="00A21345">
        <w:t xml:space="preserve"> </w:t>
      </w:r>
      <w:r w:rsidRPr="002A3213" w:rsidR="00A21345">
        <w:rPr>
          <w:i/>
        </w:rPr>
        <w:t>and Others v. Russia</w:t>
      </w:r>
      <w:r w:rsidRPr="002A3213" w:rsidR="00A21345">
        <w:t>, no. 47191/06</w:t>
      </w:r>
      <w:r w:rsidRPr="002A3213" w:rsidR="00A21345">
        <w:rPr>
          <w:snapToGrid w:val="0"/>
        </w:rPr>
        <w:t xml:space="preserve">, § 38, 2 October 2014; and </w:t>
      </w:r>
      <w:r w:rsidRPr="002A3213" w:rsidR="00A21345">
        <w:rPr>
          <w:i/>
          <w:snapToGrid w:val="0"/>
        </w:rPr>
        <w:t>Jehovah</w:t>
      </w:r>
      <w:r w:rsidRPr="002A3213" w:rsidR="002A3213">
        <w:rPr>
          <w:i/>
          <w:snapToGrid w:val="0"/>
        </w:rPr>
        <w:t>’</w:t>
      </w:r>
      <w:r w:rsidRPr="002A3213" w:rsidR="00A21345">
        <w:rPr>
          <w:i/>
          <w:snapToGrid w:val="0"/>
        </w:rPr>
        <w:t>s Witnesses of Moscow and Others</w:t>
      </w:r>
      <w:r w:rsidRPr="002A3213" w:rsidR="00A21345">
        <w:rPr>
          <w:snapToGrid w:val="0"/>
        </w:rPr>
        <w:t>,</w:t>
      </w:r>
      <w:r w:rsidRPr="002A3213" w:rsidR="00A21345">
        <w:rPr>
          <w:i/>
          <w:snapToGrid w:val="0"/>
        </w:rPr>
        <w:t xml:space="preserve"> </w:t>
      </w:r>
      <w:r w:rsidRPr="002A3213" w:rsidR="00A21345">
        <w:rPr>
          <w:snapToGrid w:val="0"/>
        </w:rPr>
        <w:t>cited above, §§ 102 and 103, all concerning refusals to register religious organisations).</w:t>
      </w:r>
    </w:p>
    <w:bookmarkStart w:name="interference" w:id="25"/>
    <w:p w:rsidRPr="002A3213" w:rsidR="005D59EB" w:rsidP="002A3213" w:rsidRDefault="00A21345">
      <w:pPr>
        <w:pStyle w:val="ECHRPara"/>
        <w:rPr>
          <w:snapToGrid w:val="0"/>
        </w:rPr>
      </w:pPr>
      <w:r w:rsidRPr="002A3213">
        <w:rPr>
          <w:snapToGrid w:val="0"/>
        </w:rPr>
        <w:fldChar w:fldCharType="begin"/>
      </w:r>
      <w:r w:rsidRPr="002A3213">
        <w:rPr>
          <w:snapToGrid w:val="0"/>
        </w:rPr>
        <w:instrText xml:space="preserve"> SEQ level0 \*arabic </w:instrText>
      </w:r>
      <w:r w:rsidRPr="002A3213">
        <w:rPr>
          <w:snapToGrid w:val="0"/>
        </w:rPr>
        <w:fldChar w:fldCharType="separate"/>
      </w:r>
      <w:r w:rsidRPr="002A3213" w:rsidR="002A3213">
        <w:rPr>
          <w:noProof/>
          <w:snapToGrid w:val="0"/>
        </w:rPr>
        <w:t>144</w:t>
      </w:r>
      <w:r w:rsidRPr="002A3213">
        <w:rPr>
          <w:snapToGrid w:val="0"/>
        </w:rPr>
        <w:fldChar w:fldCharType="end"/>
      </w:r>
      <w:bookmarkEnd w:id="25"/>
      <w:r w:rsidRPr="002A3213">
        <w:rPr>
          <w:snapToGrid w:val="0"/>
        </w:rPr>
        <w:t>.  </w:t>
      </w:r>
      <w:r w:rsidRPr="002A3213" w:rsidR="00CC507A">
        <w:rPr>
          <w:snapToGrid w:val="0"/>
        </w:rPr>
        <w:t>It follows that, as a result of the Russian courts</w:t>
      </w:r>
      <w:r w:rsidRPr="002A3213" w:rsidR="002A3213">
        <w:rPr>
          <w:snapToGrid w:val="0"/>
        </w:rPr>
        <w:t>’</w:t>
      </w:r>
      <w:r w:rsidRPr="002A3213" w:rsidR="00CC507A">
        <w:rPr>
          <w:snapToGrid w:val="0"/>
        </w:rPr>
        <w:t xml:space="preserve"> decisions, Movement of Marriage Equality </w:t>
      </w:r>
      <w:r w:rsidRPr="002A3213" w:rsidR="00756FE9">
        <w:rPr>
          <w:snapToGrid w:val="0"/>
        </w:rPr>
        <w:t>could not be created, while Rainbow House and Sochi Pride House could not acquire legal</w:t>
      </w:r>
      <w:r w:rsidRPr="002A3213" w:rsidR="00C475CD">
        <w:rPr>
          <w:snapToGrid w:val="0"/>
        </w:rPr>
        <w:t>-</w:t>
      </w:r>
      <w:r w:rsidRPr="002A3213" w:rsidR="00756FE9">
        <w:rPr>
          <w:snapToGrid w:val="0"/>
        </w:rPr>
        <w:t>entity status and the rights associated with</w:t>
      </w:r>
      <w:r w:rsidRPr="002A3213" w:rsidR="00F6089D">
        <w:rPr>
          <w:snapToGrid w:val="0"/>
        </w:rPr>
        <w:t xml:space="preserve"> it</w:t>
      </w:r>
      <w:r w:rsidRPr="002A3213" w:rsidR="00E932CB">
        <w:rPr>
          <w:snapToGrid w:val="0"/>
        </w:rPr>
        <w:t>. Those decisions therefore interfered with the freedom of association both of the applicant organisations and of the individual applicant</w:t>
      </w:r>
      <w:r w:rsidRPr="002A3213" w:rsidR="00F6089D">
        <w:rPr>
          <w:snapToGrid w:val="0"/>
        </w:rPr>
        <w:t>s,</w:t>
      </w:r>
      <w:r w:rsidRPr="002A3213" w:rsidR="00717159">
        <w:rPr>
          <w:snapToGrid w:val="0"/>
        </w:rPr>
        <w:t xml:space="preserve"> who were</w:t>
      </w:r>
      <w:r w:rsidRPr="002A3213" w:rsidR="00F6089D">
        <w:rPr>
          <w:snapToGrid w:val="0"/>
        </w:rPr>
        <w:t xml:space="preserve"> their founders or presidents </w:t>
      </w:r>
      <w:r w:rsidRPr="002A3213" w:rsidR="00E932CB">
        <w:rPr>
          <w:snapToGrid w:val="0"/>
        </w:rPr>
        <w:t xml:space="preserve">(see </w:t>
      </w:r>
      <w:r w:rsidRPr="002A3213" w:rsidR="00E932CB">
        <w:rPr>
          <w:i/>
          <w:snapToGrid w:val="0"/>
        </w:rPr>
        <w:t>Jehovah</w:t>
      </w:r>
      <w:r w:rsidRPr="002A3213" w:rsidR="002A3213">
        <w:rPr>
          <w:i/>
          <w:snapToGrid w:val="0"/>
        </w:rPr>
        <w:t>’</w:t>
      </w:r>
      <w:r w:rsidRPr="002A3213" w:rsidR="00E932CB">
        <w:rPr>
          <w:i/>
          <w:snapToGrid w:val="0"/>
        </w:rPr>
        <w:t>s Witnesses of Moscow and Others</w:t>
      </w:r>
      <w:r w:rsidRPr="002A3213" w:rsidR="00E932CB">
        <w:rPr>
          <w:snapToGrid w:val="0"/>
        </w:rPr>
        <w:t>,</w:t>
      </w:r>
      <w:r w:rsidRPr="002A3213" w:rsidR="00E932CB">
        <w:rPr>
          <w:i/>
          <w:snapToGrid w:val="0"/>
        </w:rPr>
        <w:t xml:space="preserve"> </w:t>
      </w:r>
      <w:r w:rsidRPr="002A3213" w:rsidR="00E932CB">
        <w:rPr>
          <w:snapToGrid w:val="0"/>
        </w:rPr>
        <w:t>cited above, §§ 101 and 103, with further references).</w:t>
      </w:r>
    </w:p>
    <w:p w:rsidRPr="002A3213" w:rsidR="00E932CB" w:rsidP="002A3213" w:rsidRDefault="00BB4761">
      <w:pPr>
        <w:pStyle w:val="ECHRHeading5"/>
        <w:rPr>
          <w:snapToGrid w:val="0"/>
        </w:rPr>
      </w:pPr>
      <w:r w:rsidRPr="002A3213">
        <w:rPr>
          <w:snapToGrid w:val="0"/>
        </w:rPr>
        <w:t>(ii)  </w:t>
      </w:r>
      <w:r w:rsidRPr="002A3213" w:rsidR="00E932CB">
        <w:rPr>
          <w:snapToGrid w:val="0"/>
        </w:rPr>
        <w:t>Justification for the interference</w:t>
      </w:r>
    </w:p>
    <w:bookmarkStart w:name="mainground1" w:id="26"/>
    <w:p w:rsidRPr="002A3213" w:rsidR="005D59EB" w:rsidP="002A3213" w:rsidRDefault="001125E1">
      <w:pPr>
        <w:pStyle w:val="ECHRPara"/>
      </w:pPr>
      <w:r w:rsidRPr="002A3213">
        <w:fldChar w:fldCharType="begin"/>
      </w:r>
      <w:r w:rsidRPr="002A3213">
        <w:instrText xml:space="preserve"> SEQ level0 \*arabic </w:instrText>
      </w:r>
      <w:r w:rsidRPr="002A3213">
        <w:fldChar w:fldCharType="separate"/>
      </w:r>
      <w:r w:rsidRPr="002A3213" w:rsidR="002A3213">
        <w:rPr>
          <w:noProof/>
        </w:rPr>
        <w:t>145</w:t>
      </w:r>
      <w:r w:rsidRPr="002A3213">
        <w:fldChar w:fldCharType="end"/>
      </w:r>
      <w:bookmarkEnd w:id="26"/>
      <w:r w:rsidRPr="002A3213">
        <w:t xml:space="preserve">.  The Court notes at the outset that </w:t>
      </w:r>
      <w:r w:rsidRPr="002A3213" w:rsidR="007257BE">
        <w:t>the registration authority</w:t>
      </w:r>
      <w:r w:rsidRPr="002A3213" w:rsidR="002F0B5D">
        <w:t xml:space="preserve"> and the domestic courts</w:t>
      </w:r>
      <w:r w:rsidRPr="002A3213" w:rsidR="007257BE">
        <w:t xml:space="preserve"> relied on two types of grounds for refusing </w:t>
      </w:r>
      <w:r w:rsidRPr="002A3213" w:rsidR="007E0E51">
        <w:t>to register the</w:t>
      </w:r>
      <w:r w:rsidRPr="002A3213" w:rsidR="007257BE">
        <w:t xml:space="preserve"> applicant organisations: grounds relating to the applicant organisations</w:t>
      </w:r>
      <w:r w:rsidRPr="002A3213" w:rsidR="002A3213">
        <w:t>’</w:t>
      </w:r>
      <w:r w:rsidRPr="002A3213" w:rsidR="007257BE">
        <w:t xml:space="preserve"> aims and grounds relating to various irregularities in the registration</w:t>
      </w:r>
      <w:r w:rsidRPr="002A3213" w:rsidR="00A92A45">
        <w:t xml:space="preserve"> documents. </w:t>
      </w:r>
      <w:r w:rsidRPr="002A3213" w:rsidR="00E43A38">
        <w:t xml:space="preserve">However, </w:t>
      </w:r>
      <w:r w:rsidRPr="002A3213" w:rsidR="008A49C2">
        <w:t>the</w:t>
      </w:r>
      <w:r w:rsidRPr="002A3213" w:rsidR="009B5183">
        <w:t xml:space="preserve"> </w:t>
      </w:r>
      <w:r w:rsidRPr="002A3213" w:rsidR="0059502D">
        <w:t xml:space="preserve">grounds </w:t>
      </w:r>
      <w:r w:rsidRPr="002A3213" w:rsidR="008A49C2">
        <w:t xml:space="preserve">of the latter type </w:t>
      </w:r>
      <w:r w:rsidRPr="002A3213" w:rsidR="00E43A38">
        <w:t>appear to be</w:t>
      </w:r>
      <w:r w:rsidRPr="002A3213" w:rsidR="0059502D">
        <w:t xml:space="preserve"> secondary and inconsequential. </w:t>
      </w:r>
      <w:r w:rsidRPr="002A3213" w:rsidR="00E43A38">
        <w:t>Indeed, e</w:t>
      </w:r>
      <w:r w:rsidRPr="002A3213" w:rsidR="0059502D">
        <w:t xml:space="preserve">ven if the applicants had successfully contested </w:t>
      </w:r>
      <w:r w:rsidRPr="002A3213" w:rsidR="009B5183">
        <w:t>them</w:t>
      </w:r>
      <w:r w:rsidRPr="002A3213" w:rsidR="0059502D">
        <w:t xml:space="preserve"> or corrected the formal irregularities in the registration documents, their applications for registration would still have been refused </w:t>
      </w:r>
      <w:r w:rsidRPr="002A3213" w:rsidR="00C475CD">
        <w:t xml:space="preserve">with </w:t>
      </w:r>
      <w:r w:rsidRPr="002A3213" w:rsidR="0059502D">
        <w:t>reference to the applicant organisations</w:t>
      </w:r>
      <w:r w:rsidRPr="002A3213" w:rsidR="002A3213">
        <w:t>’</w:t>
      </w:r>
      <w:r w:rsidRPr="002A3213" w:rsidR="0059502D">
        <w:t xml:space="preserve"> aims. </w:t>
      </w:r>
      <w:r w:rsidRPr="002A3213" w:rsidR="007A1B8F">
        <w:t xml:space="preserve">The example </w:t>
      </w:r>
      <w:r w:rsidRPr="002A3213" w:rsidR="006A7C2D">
        <w:t xml:space="preserve">of </w:t>
      </w:r>
      <w:r w:rsidRPr="002A3213" w:rsidR="0059502D">
        <w:t xml:space="preserve">Rainbow House </w:t>
      </w:r>
      <w:r w:rsidRPr="002A3213" w:rsidR="007A1B8F">
        <w:t>is</w:t>
      </w:r>
      <w:r w:rsidRPr="002A3213" w:rsidR="0059502D">
        <w:t xml:space="preserve"> telling </w:t>
      </w:r>
      <w:r w:rsidRPr="002A3213" w:rsidR="007A1B8F">
        <w:t>in this respect.</w:t>
      </w:r>
      <w:r w:rsidRPr="002A3213" w:rsidR="006A42E2">
        <w:t xml:space="preserve"> Although the applicants corrected the irregularities </w:t>
      </w:r>
      <w:r w:rsidRPr="002A3213" w:rsidR="009F5753">
        <w:t xml:space="preserve">identified by the </w:t>
      </w:r>
      <w:r w:rsidRPr="002A3213" w:rsidR="00E45D6C">
        <w:t xml:space="preserve">registration </w:t>
      </w:r>
      <w:r w:rsidRPr="002A3213" w:rsidR="009F5753">
        <w:t>authorit</w:t>
      </w:r>
      <w:r w:rsidRPr="002A3213" w:rsidR="00E45D6C">
        <w:t>y</w:t>
      </w:r>
      <w:r w:rsidRPr="002A3213" w:rsidR="009F5753">
        <w:t xml:space="preserve"> in their</w:t>
      </w:r>
      <w:r w:rsidRPr="002A3213" w:rsidR="006A42E2">
        <w:t xml:space="preserve"> first application for registration</w:t>
      </w:r>
      <w:r w:rsidRPr="002A3213" w:rsidR="009F5753">
        <w:t xml:space="preserve"> and resubmitted the application, the</w:t>
      </w:r>
      <w:r w:rsidRPr="002A3213" w:rsidR="007721B5">
        <w:t xml:space="preserve"> registration authority identified new </w:t>
      </w:r>
      <w:r w:rsidRPr="002A3213" w:rsidR="005930C9">
        <w:t>irregularities</w:t>
      </w:r>
      <w:r w:rsidRPr="002A3213" w:rsidR="007721B5">
        <w:t xml:space="preserve"> </w:t>
      </w:r>
      <w:r w:rsidRPr="002A3213" w:rsidR="005930C9">
        <w:t>it</w:t>
      </w:r>
      <w:r w:rsidRPr="002A3213" w:rsidR="007721B5">
        <w:t xml:space="preserve"> had not mentioned </w:t>
      </w:r>
      <w:r w:rsidRPr="002A3213" w:rsidR="005930C9">
        <w:t>the first time. During the judicial review of the second refusal of registration, however, the Regional Court did not rely on any irregularities in the registration documents</w:t>
      </w:r>
      <w:r w:rsidRPr="002A3213" w:rsidR="00E45D6C">
        <w:t xml:space="preserve"> and limited its </w:t>
      </w:r>
      <w:r w:rsidRPr="002A3213" w:rsidR="009B5183">
        <w:t>assessment</w:t>
      </w:r>
      <w:r w:rsidRPr="002A3213" w:rsidR="00E45D6C">
        <w:t xml:space="preserve"> to Rainbow House</w:t>
      </w:r>
      <w:r w:rsidRPr="002A3213" w:rsidR="002A3213">
        <w:t>’</w:t>
      </w:r>
      <w:r w:rsidRPr="002A3213" w:rsidR="00E45D6C">
        <w:t>s aims</w:t>
      </w:r>
      <w:r w:rsidRPr="002A3213" w:rsidR="005930C9">
        <w:t xml:space="preserve">. It </w:t>
      </w:r>
      <w:r w:rsidRPr="002A3213" w:rsidR="00DA52F9">
        <w:t>is therefore clear that the domestic courts considered that</w:t>
      </w:r>
      <w:r w:rsidRPr="002A3213" w:rsidR="005930C9">
        <w:t xml:space="preserve"> </w:t>
      </w:r>
      <w:r w:rsidRPr="002A3213" w:rsidR="00DA52F9">
        <w:t>t</w:t>
      </w:r>
      <w:r w:rsidRPr="002A3213" w:rsidR="00EF647A">
        <w:t>h</w:t>
      </w:r>
      <w:r w:rsidRPr="002A3213" w:rsidR="009B5183">
        <w:t>e</w:t>
      </w:r>
      <w:r w:rsidRPr="002A3213" w:rsidR="00EF647A">
        <w:t xml:space="preserve"> grounds</w:t>
      </w:r>
      <w:r w:rsidRPr="002A3213" w:rsidR="00DA52F9">
        <w:t xml:space="preserve"> </w:t>
      </w:r>
      <w:r w:rsidRPr="002A3213" w:rsidR="009B5183">
        <w:t>relating to the organisation</w:t>
      </w:r>
      <w:r w:rsidRPr="002A3213" w:rsidR="002A3213">
        <w:t>’</w:t>
      </w:r>
      <w:r w:rsidRPr="002A3213" w:rsidR="009B5183">
        <w:t xml:space="preserve">s aims </w:t>
      </w:r>
      <w:r w:rsidRPr="002A3213" w:rsidR="00E45D6C">
        <w:t xml:space="preserve">alone </w:t>
      </w:r>
      <w:r w:rsidRPr="002A3213" w:rsidR="00DA52F9">
        <w:t>were sufficient to jus</w:t>
      </w:r>
      <w:r w:rsidRPr="002A3213" w:rsidR="00EF647A">
        <w:t>tify a refusal of registration.</w:t>
      </w:r>
    </w:p>
    <w:bookmarkStart w:name="mainground2" w:id="27"/>
    <w:p w:rsidRPr="002A3213" w:rsidR="005D59EB" w:rsidP="002A3213" w:rsidRDefault="00E43A38">
      <w:pPr>
        <w:pStyle w:val="ECHRPara"/>
      </w:pPr>
      <w:r w:rsidRPr="002A3213">
        <w:fldChar w:fldCharType="begin"/>
      </w:r>
      <w:r w:rsidRPr="002A3213">
        <w:instrText xml:space="preserve"> SEQ level0 \*arabic </w:instrText>
      </w:r>
      <w:r w:rsidRPr="002A3213">
        <w:fldChar w:fldCharType="separate"/>
      </w:r>
      <w:r w:rsidRPr="002A3213" w:rsidR="002A3213">
        <w:rPr>
          <w:noProof/>
        </w:rPr>
        <w:t>146</w:t>
      </w:r>
      <w:r w:rsidRPr="002A3213">
        <w:fldChar w:fldCharType="end"/>
      </w:r>
      <w:bookmarkEnd w:id="27"/>
      <w:r w:rsidRPr="002A3213">
        <w:t>.  </w:t>
      </w:r>
      <w:r w:rsidRPr="002A3213" w:rsidR="009B5183">
        <w:t>The Court is therefore not convinced by the Government</w:t>
      </w:r>
      <w:r w:rsidRPr="002A3213" w:rsidR="002A3213">
        <w:t>’</w:t>
      </w:r>
      <w:r w:rsidRPr="002A3213" w:rsidR="009B5183">
        <w:t>s argument that the applicants could have resubmitted applications for registration after correcting the irregularities in the registration documents identified by the registration authority.</w:t>
      </w:r>
      <w:r w:rsidRPr="002A3213" w:rsidR="004D3D49">
        <w:t xml:space="preserve"> It is clear from the domestic authorities</w:t>
      </w:r>
      <w:r w:rsidRPr="002A3213" w:rsidR="002A3213">
        <w:t>’</w:t>
      </w:r>
      <w:r w:rsidRPr="002A3213" w:rsidR="004D3D49">
        <w:t xml:space="preserve"> decisions and the Government</w:t>
      </w:r>
      <w:r w:rsidRPr="002A3213" w:rsidR="002A3213">
        <w:t>’</w:t>
      </w:r>
      <w:r w:rsidRPr="002A3213" w:rsidR="004D3D49">
        <w:t xml:space="preserve">s observations that to obtain registration the applicant organisations would have </w:t>
      </w:r>
      <w:r w:rsidRPr="002A3213" w:rsidR="00F45849">
        <w:t xml:space="preserve">had </w:t>
      </w:r>
      <w:r w:rsidRPr="002A3213" w:rsidR="004D3D49">
        <w:t>to change their aims, that is</w:t>
      </w:r>
      <w:r w:rsidRPr="002A3213" w:rsidR="006E265C">
        <w:t>,</w:t>
      </w:r>
      <w:r w:rsidRPr="002A3213" w:rsidR="004D3D49">
        <w:t xml:space="preserve"> to renounce promoting LGBT rights. The grounds relating to the applicant organisations</w:t>
      </w:r>
      <w:r w:rsidRPr="002A3213" w:rsidR="002A3213">
        <w:t>’</w:t>
      </w:r>
      <w:r w:rsidRPr="002A3213" w:rsidR="004D3D49">
        <w:t xml:space="preserve"> aims therefore played a decisive role in the decisions to refuse </w:t>
      </w:r>
      <w:r w:rsidRPr="002A3213" w:rsidR="006E265C">
        <w:t xml:space="preserve">their </w:t>
      </w:r>
      <w:r w:rsidRPr="002A3213" w:rsidR="004D3D49">
        <w:t>registration. The Court notes that those grounds touched upon the very core of the applicant organisations and affected the essence of the right to freedom of association.</w:t>
      </w:r>
    </w:p>
    <w:p w:rsidRPr="002A3213" w:rsidR="005D59EB" w:rsidP="002A3213" w:rsidRDefault="004D3D49">
      <w:pPr>
        <w:pStyle w:val="ECHRPara"/>
      </w:pPr>
      <w:r w:rsidRPr="002A3213">
        <w:fldChar w:fldCharType="begin"/>
      </w:r>
      <w:r w:rsidRPr="002A3213">
        <w:instrText xml:space="preserve"> SEQ level0 \*arabic </w:instrText>
      </w:r>
      <w:r w:rsidRPr="002A3213">
        <w:fldChar w:fldCharType="separate"/>
      </w:r>
      <w:r w:rsidRPr="002A3213" w:rsidR="002A3213">
        <w:rPr>
          <w:noProof/>
        </w:rPr>
        <w:t>147</w:t>
      </w:r>
      <w:r w:rsidRPr="002A3213">
        <w:fldChar w:fldCharType="end"/>
      </w:r>
      <w:r w:rsidRPr="002A3213">
        <w:t>.  In view of the above considerations, the Court does not find it necessary to examine the grounds</w:t>
      </w:r>
      <w:r w:rsidRPr="002A3213" w:rsidR="007F561A">
        <w:t xml:space="preserve"> for</w:t>
      </w:r>
      <w:r w:rsidRPr="002A3213">
        <w:t xml:space="preserve"> the refusals of registration relating to various irregularities in the registration documents; it will concentrate its assessment on the grounds relating to the applicant organisations</w:t>
      </w:r>
      <w:r w:rsidRPr="002A3213" w:rsidR="002A3213">
        <w:t>’</w:t>
      </w:r>
      <w:r w:rsidRPr="002A3213">
        <w:t xml:space="preserve"> aims. </w:t>
      </w:r>
      <w:r w:rsidRPr="002A3213" w:rsidR="00D70165">
        <w:t>Nor is it therefore necessary to examine the Government</w:t>
      </w:r>
      <w:r w:rsidRPr="002A3213" w:rsidR="002A3213">
        <w:t>’</w:t>
      </w:r>
      <w:r w:rsidRPr="002A3213" w:rsidR="00D70165">
        <w:t xml:space="preserve">s </w:t>
      </w:r>
      <w:r w:rsidRPr="002A3213" w:rsidR="007F561A">
        <w:t xml:space="preserve">non-exhaustion </w:t>
      </w:r>
      <w:r w:rsidRPr="002A3213" w:rsidR="00D70165">
        <w:t xml:space="preserve">objection relating to the failure by the applicants in </w:t>
      </w:r>
      <w:r w:rsidRPr="002A3213" w:rsidR="007F561A">
        <w:t>application no. </w:t>
      </w:r>
      <w:r w:rsidRPr="002A3213" w:rsidR="00D70165">
        <w:t>12200/08 to contest some of the irregularities in their second application for registration.</w:t>
      </w:r>
    </w:p>
    <w:p w:rsidRPr="002A3213" w:rsidR="005D59EB" w:rsidP="002A3213" w:rsidRDefault="00D70165">
      <w:pPr>
        <w:pStyle w:val="ECHRPara"/>
      </w:pPr>
      <w:r w:rsidRPr="002A3213">
        <w:fldChar w:fldCharType="begin"/>
      </w:r>
      <w:r w:rsidRPr="002A3213">
        <w:instrText xml:space="preserve"> SEQ level0 \*arabic </w:instrText>
      </w:r>
      <w:r w:rsidRPr="002A3213">
        <w:fldChar w:fldCharType="separate"/>
      </w:r>
      <w:r w:rsidRPr="002A3213" w:rsidR="002A3213">
        <w:rPr>
          <w:noProof/>
        </w:rPr>
        <w:t>148</w:t>
      </w:r>
      <w:r w:rsidRPr="002A3213">
        <w:fldChar w:fldCharType="end"/>
      </w:r>
      <w:r w:rsidRPr="002A3213">
        <w:t>.  </w:t>
      </w:r>
      <w:r w:rsidRPr="002A3213" w:rsidR="00557634">
        <w:t xml:space="preserve">The Court will </w:t>
      </w:r>
      <w:r w:rsidRPr="002A3213">
        <w:t>next examine</w:t>
      </w:r>
      <w:r w:rsidRPr="002A3213" w:rsidR="00557634">
        <w:t xml:space="preserve"> whether the refusal</w:t>
      </w:r>
      <w:r w:rsidRPr="002A3213">
        <w:t>s</w:t>
      </w:r>
      <w:r w:rsidRPr="002A3213" w:rsidR="00557634">
        <w:t xml:space="preserve"> of registration </w:t>
      </w:r>
      <w:r w:rsidRPr="002A3213">
        <w:t>on the grounds relating to the applicant organisations</w:t>
      </w:r>
      <w:r w:rsidRPr="002A3213" w:rsidR="002A3213">
        <w:t>’</w:t>
      </w:r>
      <w:r w:rsidRPr="002A3213">
        <w:t xml:space="preserve"> aims </w:t>
      </w:r>
      <w:r w:rsidRPr="002A3213" w:rsidR="00557634">
        <w:t>w</w:t>
      </w:r>
      <w:r w:rsidRPr="002A3213">
        <w:t>ere</w:t>
      </w:r>
      <w:r w:rsidRPr="002A3213" w:rsidR="00557634">
        <w:t xml:space="preserve"> lawful, purs</w:t>
      </w:r>
      <w:r w:rsidRPr="002A3213">
        <w:t>u</w:t>
      </w:r>
      <w:r w:rsidRPr="002A3213" w:rsidR="00557634">
        <w:t>ed a</w:t>
      </w:r>
      <w:r w:rsidRPr="002A3213">
        <w:t xml:space="preserve"> legitimate aim</w:t>
      </w:r>
      <w:r w:rsidRPr="002A3213" w:rsidR="00557634">
        <w:t xml:space="preserve"> and w</w:t>
      </w:r>
      <w:r w:rsidRPr="002A3213">
        <w:t>ere</w:t>
      </w:r>
      <w:r w:rsidRPr="002A3213" w:rsidR="00557634">
        <w:t xml:space="preserve"> </w:t>
      </w:r>
      <w:r w:rsidRPr="002A3213">
        <w:t>“</w:t>
      </w:r>
      <w:r w:rsidRPr="002A3213" w:rsidR="00557634">
        <w:t xml:space="preserve">necessary </w:t>
      </w:r>
      <w:r w:rsidRPr="002A3213">
        <w:t>in a democratic society”.</w:t>
      </w:r>
    </w:p>
    <w:p w:rsidRPr="002A3213" w:rsidR="00557634" w:rsidP="002A3213" w:rsidRDefault="00BB4761">
      <w:pPr>
        <w:pStyle w:val="ECHRHeading6"/>
      </w:pPr>
      <w:r w:rsidRPr="002A3213">
        <w:rPr>
          <w:rFonts w:cstheme="majorHAnsi"/>
        </w:rPr>
        <w:t>(α)  </w:t>
      </w:r>
      <w:r w:rsidRPr="002A3213" w:rsidR="00557634">
        <w:rPr>
          <w:rFonts w:cstheme="majorHAnsi"/>
        </w:rPr>
        <w:t>“Prescribed by law”</w:t>
      </w:r>
    </w:p>
    <w:p w:rsidRPr="002A3213" w:rsidR="005D59EB" w:rsidP="002A3213" w:rsidRDefault="001951E4">
      <w:pPr>
        <w:pStyle w:val="ECHRPara"/>
      </w:pPr>
      <w:r w:rsidRPr="002A3213">
        <w:fldChar w:fldCharType="begin"/>
      </w:r>
      <w:r w:rsidRPr="002A3213">
        <w:instrText xml:space="preserve"> SEQ level0 \*arabic </w:instrText>
      </w:r>
      <w:r w:rsidRPr="002A3213">
        <w:fldChar w:fldCharType="separate"/>
      </w:r>
      <w:r w:rsidRPr="002A3213" w:rsidR="002A3213">
        <w:rPr>
          <w:noProof/>
        </w:rPr>
        <w:t>149</w:t>
      </w:r>
      <w:r w:rsidRPr="002A3213">
        <w:fldChar w:fldCharType="end"/>
      </w:r>
      <w:r w:rsidRPr="002A3213">
        <w:t xml:space="preserve">.  The Court notes that </w:t>
      </w:r>
      <w:r w:rsidRPr="002A3213" w:rsidR="00684B97">
        <w:t>the facts of the present case occurred before the adoption of the legislative ban on “propaganda of non</w:t>
      </w:r>
      <w:r w:rsidRPr="002A3213" w:rsidR="00462D7F">
        <w:t>-</w:t>
      </w:r>
      <w:r w:rsidRPr="002A3213" w:rsidR="00684B97">
        <w:t>traditional sexual relations aimed at minors</w:t>
      </w:r>
      <w:r w:rsidRPr="002A3213" w:rsidR="00684B97">
        <w:rPr>
          <w:rFonts w:ascii="Times New Roman" w:hAnsi="Times New Roman" w:cs="Times New Roman"/>
        </w:rPr>
        <w:t xml:space="preserve">” examined in the case of </w:t>
      </w:r>
      <w:r w:rsidRPr="002A3213" w:rsidR="00BF7651">
        <w:rPr>
          <w:i/>
          <w:iCs/>
        </w:rPr>
        <w:t>Bayev and Others v. </w:t>
      </w:r>
      <w:r w:rsidRPr="002A3213" w:rsidR="00684B97">
        <w:rPr>
          <w:i/>
          <w:iCs/>
        </w:rPr>
        <w:t>Russia</w:t>
      </w:r>
      <w:r w:rsidRPr="002A3213" w:rsidR="00684B97">
        <w:rPr>
          <w:iCs/>
        </w:rPr>
        <w:t xml:space="preserve"> (</w:t>
      </w:r>
      <w:r w:rsidRPr="002A3213" w:rsidR="00684B97">
        <w:t>nos. 67667/09 and 2 others, 20 June 2017)</w:t>
      </w:r>
      <w:r w:rsidRPr="002A3213" w:rsidR="001705F1">
        <w:t xml:space="preserve">. </w:t>
      </w:r>
      <w:r w:rsidRPr="002A3213" w:rsidR="006E265C">
        <w:t>“</w:t>
      </w:r>
      <w:r w:rsidRPr="002A3213" w:rsidR="001705F1">
        <w:t>Propaganda of non</w:t>
      </w:r>
      <w:r w:rsidRPr="002A3213" w:rsidR="00BB4761">
        <w:noBreakHyphen/>
      </w:r>
      <w:r w:rsidRPr="002A3213" w:rsidR="001705F1">
        <w:t>traditional sexual relations</w:t>
      </w:r>
      <w:r w:rsidRPr="002A3213" w:rsidR="006E265C">
        <w:t>”</w:t>
      </w:r>
      <w:r w:rsidRPr="002A3213" w:rsidR="00462D7F">
        <w:t xml:space="preserve"> </w:t>
      </w:r>
      <w:r w:rsidRPr="002A3213" w:rsidR="001705F1">
        <w:t>was therefore not yet prohibited at the material time.</w:t>
      </w:r>
      <w:r w:rsidRPr="002A3213" w:rsidR="00462D7F">
        <w:t xml:space="preserve"> The Government</w:t>
      </w:r>
      <w:r w:rsidRPr="002A3213" w:rsidR="002A3213">
        <w:t>’</w:t>
      </w:r>
      <w:r w:rsidRPr="002A3213" w:rsidR="00462D7F">
        <w:t>s reference to that</w:t>
      </w:r>
      <w:r w:rsidRPr="002A3213" w:rsidR="00BB4761">
        <w:t xml:space="preserve"> ban is therefore misconceived.</w:t>
      </w:r>
      <w:r w:rsidRPr="002A3213" w:rsidR="001705F1">
        <w:t xml:space="preserve"> It is also significant that it was never claimed that the applicant organisations</w:t>
      </w:r>
      <w:r w:rsidRPr="002A3213" w:rsidR="002A3213">
        <w:t>’</w:t>
      </w:r>
      <w:r w:rsidRPr="002A3213" w:rsidR="001705F1">
        <w:t xml:space="preserve"> activities </w:t>
      </w:r>
      <w:r w:rsidRPr="002A3213" w:rsidR="006E265C">
        <w:t xml:space="preserve">were </w:t>
      </w:r>
      <w:r w:rsidRPr="002A3213" w:rsidR="001705F1">
        <w:t>aimed at minors.</w:t>
      </w:r>
    </w:p>
    <w:p w:rsidRPr="002A3213" w:rsidR="005D59EB" w:rsidP="002A3213" w:rsidRDefault="00E932CB">
      <w:pPr>
        <w:pStyle w:val="ECHRPara"/>
      </w:pPr>
      <w:r w:rsidRPr="002A3213">
        <w:fldChar w:fldCharType="begin"/>
      </w:r>
      <w:r w:rsidRPr="002A3213">
        <w:instrText xml:space="preserve"> SEQ level0 \*arabic </w:instrText>
      </w:r>
      <w:r w:rsidRPr="002A3213">
        <w:fldChar w:fldCharType="separate"/>
      </w:r>
      <w:r w:rsidRPr="002A3213" w:rsidR="002A3213">
        <w:rPr>
          <w:noProof/>
        </w:rPr>
        <w:t>150</w:t>
      </w:r>
      <w:r w:rsidRPr="002A3213">
        <w:fldChar w:fldCharType="end"/>
      </w:r>
      <w:r w:rsidRPr="002A3213">
        <w:t>.  </w:t>
      </w:r>
      <w:r w:rsidRPr="002A3213" w:rsidR="00D248A1">
        <w:t>The Court does not</w:t>
      </w:r>
      <w:r w:rsidRPr="002A3213" w:rsidR="006E265C">
        <w:t>,</w:t>
      </w:r>
      <w:r w:rsidRPr="002A3213" w:rsidR="00D248A1">
        <w:t xml:space="preserve"> </w:t>
      </w:r>
      <w:r w:rsidRPr="002A3213" w:rsidR="006E265C">
        <w:t xml:space="preserve">however, </w:t>
      </w:r>
      <w:r w:rsidRPr="002A3213" w:rsidR="00D248A1">
        <w:t>have any reason to doubt that the interferences in the present case had a basis in domestic law, namely in the Non</w:t>
      </w:r>
      <w:r w:rsidRPr="002A3213" w:rsidR="006E265C">
        <w:t>-</w:t>
      </w:r>
      <w:r w:rsidRPr="002A3213" w:rsidR="00D248A1">
        <w:t>profit Organisations</w:t>
      </w:r>
      <w:r w:rsidRPr="002A3213" w:rsidR="006E265C">
        <w:t xml:space="preserve"> Act</w:t>
      </w:r>
      <w:r w:rsidRPr="002A3213" w:rsidR="00D248A1">
        <w:t xml:space="preserve"> and the Public Associations Act. In so far as the applicants complain</w:t>
      </w:r>
      <w:r w:rsidRPr="002A3213" w:rsidR="006E265C">
        <w:t>ed</w:t>
      </w:r>
      <w:r w:rsidRPr="002A3213" w:rsidR="00D248A1">
        <w:t xml:space="preserve"> that the domestic courts </w:t>
      </w:r>
      <w:r w:rsidRPr="002A3213" w:rsidR="006E265C">
        <w:t xml:space="preserve">had </w:t>
      </w:r>
      <w:r w:rsidRPr="002A3213" w:rsidR="00D248A1">
        <w:t xml:space="preserve">incorrectly applied some of the provisions of these Acts, the Court notes that it is </w:t>
      </w:r>
      <w:r w:rsidRPr="002A3213" w:rsidR="006E265C">
        <w:t>primarily</w:t>
      </w:r>
      <w:r w:rsidRPr="002A3213" w:rsidR="00D248A1">
        <w:t xml:space="preserve"> for the national authorities, notably the courts, to interpret and apply domestic law. The “law” is therefore the enactment in force as the courts with competence have interpreted it. While the Court should exercise a certain power of review in this matter, since failure to comply with domestic law entails a breach of Article </w:t>
      </w:r>
      <w:r w:rsidRPr="002A3213" w:rsidR="00030665">
        <w:t>11</w:t>
      </w:r>
      <w:r w:rsidRPr="002A3213" w:rsidR="00D248A1">
        <w:t>, the scope of its task is subject to limits inherent in the subsidiary nature of the Convention, and it cannot question the way in which the domestic courts have interpreted and applied national law, except in cases of flagrant non</w:t>
      </w:r>
      <w:r w:rsidRPr="002A3213" w:rsidR="00D03C30">
        <w:t>-</w:t>
      </w:r>
      <w:r w:rsidRPr="002A3213" w:rsidR="00D248A1">
        <w:t>observance or arbitrariness (see</w:t>
      </w:r>
      <w:r w:rsidRPr="002A3213" w:rsidR="00464FC9">
        <w:t xml:space="preserve"> </w:t>
      </w:r>
      <w:r w:rsidRPr="002A3213" w:rsidR="00D248A1">
        <w:rPr>
          <w:i/>
          <w:iCs/>
        </w:rPr>
        <w:t>Goranova-Karaeneva v. Bulgaria</w:t>
      </w:r>
      <w:r w:rsidRPr="002A3213" w:rsidR="00D248A1">
        <w:t xml:space="preserve">, </w:t>
      </w:r>
      <w:r w:rsidRPr="002A3213" w:rsidR="00AF37C0">
        <w:t>no. 12739/05</w:t>
      </w:r>
      <w:r w:rsidRPr="002A3213" w:rsidR="00D248A1">
        <w:t xml:space="preserve">, § 46, 8 March 2011; </w:t>
      </w:r>
      <w:r w:rsidRPr="002A3213" w:rsidR="00AF37C0">
        <w:rPr>
          <w:i/>
          <w:iCs/>
        </w:rPr>
        <w:t>Galović v. </w:t>
      </w:r>
      <w:r w:rsidRPr="002A3213" w:rsidR="00D248A1">
        <w:rPr>
          <w:i/>
          <w:iCs/>
        </w:rPr>
        <w:t>Croatia</w:t>
      </w:r>
      <w:r w:rsidRPr="002A3213" w:rsidR="00D248A1">
        <w:t xml:space="preserve"> (dec.), </w:t>
      </w:r>
      <w:r w:rsidRPr="002A3213" w:rsidR="00AF37C0">
        <w:t>no. 54388/09</w:t>
      </w:r>
      <w:r w:rsidRPr="002A3213" w:rsidR="00D248A1">
        <w:t xml:space="preserve">, § 58, 5 March 2013; </w:t>
      </w:r>
      <w:r w:rsidRPr="002A3213" w:rsidR="00D248A1">
        <w:rPr>
          <w:i/>
          <w:iCs/>
        </w:rPr>
        <w:t>Lachowski v.</w:t>
      </w:r>
      <w:r w:rsidRPr="002A3213" w:rsidR="00A52AE9">
        <w:rPr>
          <w:i/>
          <w:iCs/>
        </w:rPr>
        <w:t> </w:t>
      </w:r>
      <w:r w:rsidRPr="002A3213" w:rsidR="00D248A1">
        <w:rPr>
          <w:i/>
          <w:iCs/>
        </w:rPr>
        <w:t>Poland</w:t>
      </w:r>
      <w:r w:rsidRPr="002A3213" w:rsidR="00D248A1">
        <w:t xml:space="preserve"> (dec.), </w:t>
      </w:r>
      <w:r w:rsidRPr="002A3213" w:rsidR="00AF37C0">
        <w:t>no. 9208/05</w:t>
      </w:r>
      <w:r w:rsidRPr="002A3213" w:rsidR="00BB4761">
        <w:t>, § 78, 6 May 2014;</w:t>
      </w:r>
      <w:r w:rsidRPr="002A3213" w:rsidR="00AF37C0">
        <w:t xml:space="preserve"> and </w:t>
      </w:r>
      <w:r w:rsidRPr="002A3213" w:rsidR="00AF37C0">
        <w:rPr>
          <w:i/>
          <w:iCs/>
        </w:rPr>
        <w:t>Elita Magomadova v.</w:t>
      </w:r>
      <w:r w:rsidRPr="002A3213" w:rsidR="00A52AE9">
        <w:rPr>
          <w:i/>
          <w:iCs/>
        </w:rPr>
        <w:t> </w:t>
      </w:r>
      <w:r w:rsidRPr="002A3213" w:rsidR="00AF37C0">
        <w:rPr>
          <w:i/>
          <w:iCs/>
        </w:rPr>
        <w:t>Russia</w:t>
      </w:r>
      <w:r w:rsidRPr="002A3213" w:rsidR="00AF37C0">
        <w:rPr>
          <w:lang w:eastAsia="en-GB"/>
        </w:rPr>
        <w:t xml:space="preserve">, </w:t>
      </w:r>
      <w:r w:rsidRPr="002A3213" w:rsidR="00AF37C0">
        <w:t>no. 77546/14</w:t>
      </w:r>
      <w:r w:rsidRPr="002A3213" w:rsidR="00AF37C0">
        <w:rPr>
          <w:lang w:eastAsia="en-GB"/>
        </w:rPr>
        <w:t xml:space="preserve">, </w:t>
      </w:r>
      <w:r w:rsidRPr="002A3213" w:rsidR="00AF37C0">
        <w:t>§ 59, 10 April 2018</w:t>
      </w:r>
      <w:r w:rsidRPr="002A3213" w:rsidR="00883EA7">
        <w:t xml:space="preserve">). </w:t>
      </w:r>
      <w:r w:rsidRPr="002A3213" w:rsidR="00D248A1">
        <w:t xml:space="preserve">The Court cannot discern any such flagrant non-observance </w:t>
      </w:r>
      <w:r w:rsidRPr="002A3213" w:rsidR="00236E9C">
        <w:t xml:space="preserve">of domestic law </w:t>
      </w:r>
      <w:r w:rsidRPr="002A3213" w:rsidR="00D248A1">
        <w:t>or arbitrariness</w:t>
      </w:r>
      <w:r w:rsidRPr="002A3213" w:rsidR="00236E9C">
        <w:t xml:space="preserve"> in </w:t>
      </w:r>
      <w:r w:rsidRPr="002A3213" w:rsidR="006E265C">
        <w:t xml:space="preserve">its </w:t>
      </w:r>
      <w:r w:rsidRPr="002A3213" w:rsidR="00236E9C">
        <w:t xml:space="preserve">interpretation or application </w:t>
      </w:r>
      <w:r w:rsidRPr="002A3213" w:rsidR="00D248A1">
        <w:t>in the present case.</w:t>
      </w:r>
      <w:r w:rsidRPr="002A3213" w:rsidR="0035114E">
        <w:t xml:space="preserve"> Nor </w:t>
      </w:r>
      <w:r w:rsidRPr="002A3213" w:rsidR="006E265C">
        <w:t xml:space="preserve">have </w:t>
      </w:r>
      <w:r w:rsidRPr="002A3213" w:rsidR="0035114E">
        <w:t>the applicants question</w:t>
      </w:r>
      <w:r w:rsidRPr="002A3213" w:rsidR="006E265C">
        <w:t>ed</w:t>
      </w:r>
      <w:r w:rsidRPr="002A3213" w:rsidR="0035114E">
        <w:t xml:space="preserve"> the “quality” of the domestic law.</w:t>
      </w:r>
    </w:p>
    <w:p w:rsidRPr="002A3213" w:rsidR="00D248A1" w:rsidP="002A3213" w:rsidRDefault="00557634">
      <w:pPr>
        <w:pStyle w:val="ECHRHeading6"/>
        <w:rPr>
          <w:i/>
        </w:rPr>
      </w:pPr>
      <w:r w:rsidRPr="002A3213">
        <w:rPr>
          <w:rFonts w:cstheme="minorHAnsi"/>
        </w:rPr>
        <w:t>(β</w:t>
      </w:r>
      <w:r w:rsidRPr="002A3213" w:rsidR="00BB4761">
        <w:t>)  </w:t>
      </w:r>
      <w:r w:rsidRPr="002A3213">
        <w:t>Legitimate aim</w:t>
      </w:r>
    </w:p>
    <w:p w:rsidRPr="002A3213" w:rsidR="005D59EB" w:rsidP="002A3213" w:rsidRDefault="00883EA7">
      <w:pPr>
        <w:pStyle w:val="ECHRPara"/>
        <w:rPr>
          <w:snapToGrid w:val="0"/>
        </w:rPr>
      </w:pPr>
      <w:r w:rsidRPr="002A3213">
        <w:fldChar w:fldCharType="begin"/>
      </w:r>
      <w:r w:rsidRPr="002A3213">
        <w:instrText xml:space="preserve"> SEQ level0 \*arabic </w:instrText>
      </w:r>
      <w:r w:rsidRPr="002A3213">
        <w:fldChar w:fldCharType="separate"/>
      </w:r>
      <w:r w:rsidRPr="002A3213" w:rsidR="002A3213">
        <w:rPr>
          <w:noProof/>
        </w:rPr>
        <w:t>151</w:t>
      </w:r>
      <w:r w:rsidRPr="002A3213">
        <w:fldChar w:fldCharType="end"/>
      </w:r>
      <w:r w:rsidRPr="002A3213">
        <w:t>.  </w:t>
      </w:r>
      <w:r w:rsidRPr="002A3213" w:rsidR="00DD588E">
        <w:t>The Court further notes that</w:t>
      </w:r>
      <w:r w:rsidRPr="002A3213" w:rsidR="007E79EB">
        <w:t>, although</w:t>
      </w:r>
      <w:r w:rsidRPr="002A3213" w:rsidR="00DD588E">
        <w:t xml:space="preserve"> the Government did not refer to a</w:t>
      </w:r>
      <w:r w:rsidRPr="002A3213" w:rsidR="007E79EB">
        <w:t xml:space="preserve">ny legitimate aims, it </w:t>
      </w:r>
      <w:r w:rsidRPr="002A3213" w:rsidR="002B253B">
        <w:t>follows</w:t>
      </w:r>
      <w:r w:rsidRPr="002A3213" w:rsidR="007E79EB">
        <w:t xml:space="preserve"> f</w:t>
      </w:r>
      <w:r w:rsidRPr="002A3213" w:rsidR="00E06456">
        <w:t>ro</w:t>
      </w:r>
      <w:r w:rsidRPr="002A3213" w:rsidR="007E79EB">
        <w:t xml:space="preserve">m the domestic decisions that by refusing to register the applicant organisations </w:t>
      </w:r>
      <w:r w:rsidRPr="002A3213" w:rsidR="005938B8">
        <w:t>the domestic authorities</w:t>
      </w:r>
      <w:r w:rsidRPr="002A3213" w:rsidR="00147713">
        <w:t xml:space="preserve"> sought to pursue</w:t>
      </w:r>
      <w:r w:rsidRPr="002A3213" w:rsidR="00F459FB">
        <w:t xml:space="preserve"> the following aims: </w:t>
      </w:r>
      <w:r w:rsidRPr="002A3213" w:rsidR="00147713">
        <w:t>to protect society</w:t>
      </w:r>
      <w:r w:rsidRPr="002A3213" w:rsidR="002A3213">
        <w:t>’</w:t>
      </w:r>
      <w:r w:rsidRPr="002A3213" w:rsidR="00147713">
        <w:t>s moral values</w:t>
      </w:r>
      <w:r w:rsidRPr="002A3213" w:rsidR="00E06456">
        <w:t xml:space="preserve"> and the institutions of family and marriage;</w:t>
      </w:r>
      <w:r w:rsidRPr="002A3213" w:rsidR="00147713">
        <w:t xml:space="preserve"> to protect Russia</w:t>
      </w:r>
      <w:r w:rsidRPr="002A3213" w:rsidR="002A3213">
        <w:t>’</w:t>
      </w:r>
      <w:r w:rsidRPr="002A3213" w:rsidR="00147713">
        <w:t>s sovereignty, safety and territorial integrity</w:t>
      </w:r>
      <w:r w:rsidRPr="002A3213" w:rsidR="006E265C">
        <w:t>,</w:t>
      </w:r>
      <w:r w:rsidRPr="002A3213" w:rsidR="00147713">
        <w:t xml:space="preserve"> which they considered to be threatened by a decrease in the population caused by the activities of LGBT associations; </w:t>
      </w:r>
      <w:r w:rsidRPr="002A3213" w:rsidR="00C7757B">
        <w:t xml:space="preserve">to protect the rights and freedoms of others; </w:t>
      </w:r>
      <w:r w:rsidRPr="002A3213" w:rsidR="00147713">
        <w:t xml:space="preserve">and to prevent </w:t>
      </w:r>
      <w:r w:rsidRPr="002A3213" w:rsidR="006C30D4">
        <w:rPr>
          <w:snapToGrid w:val="0"/>
        </w:rPr>
        <w:t>social or religious hatred and enmity</w:t>
      </w:r>
      <w:r w:rsidRPr="002A3213" w:rsidR="006E265C">
        <w:rPr>
          <w:snapToGrid w:val="0"/>
        </w:rPr>
        <w:t>,</w:t>
      </w:r>
      <w:r w:rsidRPr="002A3213" w:rsidR="006C30D4">
        <w:rPr>
          <w:snapToGrid w:val="0"/>
        </w:rPr>
        <w:t xml:space="preserve"> </w:t>
      </w:r>
      <w:r w:rsidRPr="002A3213" w:rsidR="00147713">
        <w:rPr>
          <w:snapToGrid w:val="0"/>
        </w:rPr>
        <w:t>which</w:t>
      </w:r>
      <w:r w:rsidRPr="002A3213" w:rsidR="003474C9">
        <w:rPr>
          <w:snapToGrid w:val="0"/>
        </w:rPr>
        <w:t xml:space="preserve"> in their view</w:t>
      </w:r>
      <w:r w:rsidRPr="002A3213" w:rsidR="00147713">
        <w:rPr>
          <w:snapToGrid w:val="0"/>
        </w:rPr>
        <w:t xml:space="preserve"> could be incited by the activities of LGBT associations</w:t>
      </w:r>
      <w:r w:rsidRPr="002A3213" w:rsidR="00C7757B">
        <w:rPr>
          <w:snapToGrid w:val="0"/>
        </w:rPr>
        <w:t xml:space="preserve"> and which might lead to violence</w:t>
      </w:r>
      <w:r w:rsidRPr="002A3213" w:rsidR="006C30D4">
        <w:rPr>
          <w:snapToGrid w:val="0"/>
        </w:rPr>
        <w:t>.</w:t>
      </w:r>
      <w:r w:rsidRPr="002A3213" w:rsidR="008942EB">
        <w:rPr>
          <w:snapToGrid w:val="0"/>
        </w:rPr>
        <w:t xml:space="preserve"> The Court will assess whether the refusals to register the applicants</w:t>
      </w:r>
      <w:r w:rsidRPr="002A3213" w:rsidR="002A3213">
        <w:rPr>
          <w:snapToGrid w:val="0"/>
        </w:rPr>
        <w:t>’</w:t>
      </w:r>
      <w:r w:rsidRPr="002A3213" w:rsidR="008942EB">
        <w:rPr>
          <w:snapToGrid w:val="0"/>
        </w:rPr>
        <w:t xml:space="preserve"> organisations </w:t>
      </w:r>
      <w:r w:rsidRPr="002A3213" w:rsidR="00CA6AE6">
        <w:rPr>
          <w:snapToGrid w:val="0"/>
        </w:rPr>
        <w:t>served to advance those declared aims.</w:t>
      </w:r>
    </w:p>
    <w:p w:rsidRPr="002A3213" w:rsidR="00D60D6A" w:rsidP="002A3213" w:rsidRDefault="006B1C72">
      <w:pPr>
        <w:pStyle w:val="ECHRPara"/>
        <w:rPr>
          <w:snapToGrid w:val="0"/>
        </w:rPr>
      </w:pPr>
      <w:r w:rsidRPr="002A3213">
        <w:rPr>
          <w:snapToGrid w:val="0"/>
        </w:rPr>
        <w:fldChar w:fldCharType="begin"/>
      </w:r>
      <w:r w:rsidRPr="002A3213">
        <w:rPr>
          <w:snapToGrid w:val="0"/>
        </w:rPr>
        <w:instrText xml:space="preserve"> SEQ level0 \*arabic </w:instrText>
      </w:r>
      <w:r w:rsidRPr="002A3213">
        <w:rPr>
          <w:snapToGrid w:val="0"/>
        </w:rPr>
        <w:fldChar w:fldCharType="separate"/>
      </w:r>
      <w:r w:rsidRPr="002A3213" w:rsidR="002A3213">
        <w:rPr>
          <w:noProof/>
          <w:snapToGrid w:val="0"/>
        </w:rPr>
        <w:t>152</w:t>
      </w:r>
      <w:r w:rsidRPr="002A3213">
        <w:rPr>
          <w:snapToGrid w:val="0"/>
        </w:rPr>
        <w:fldChar w:fldCharType="end"/>
      </w:r>
      <w:r w:rsidRPr="002A3213">
        <w:rPr>
          <w:snapToGrid w:val="0"/>
        </w:rPr>
        <w:t>.  </w:t>
      </w:r>
      <w:r w:rsidRPr="002A3213" w:rsidR="00E06456">
        <w:rPr>
          <w:snapToGrid w:val="0"/>
        </w:rPr>
        <w:t>As regards the first aim</w:t>
      </w:r>
      <w:r w:rsidRPr="002A3213" w:rsidR="00206300">
        <w:rPr>
          <w:snapToGrid w:val="0"/>
        </w:rPr>
        <w:t xml:space="preserve">, the Court has already found that restrictions on public debate on LGBT issues </w:t>
      </w:r>
      <w:r w:rsidRPr="002A3213" w:rsidR="006E265C">
        <w:rPr>
          <w:snapToGrid w:val="0"/>
        </w:rPr>
        <w:t>can</w:t>
      </w:r>
      <w:r w:rsidRPr="002A3213" w:rsidR="00206300">
        <w:rPr>
          <w:snapToGrid w:val="0"/>
        </w:rPr>
        <w:t xml:space="preserve">not be justified on the grounds of the protection of morals and </w:t>
      </w:r>
      <w:r w:rsidRPr="002A3213" w:rsidR="006E265C">
        <w:rPr>
          <w:snapToGrid w:val="0"/>
        </w:rPr>
        <w:t>can</w:t>
      </w:r>
      <w:r w:rsidRPr="002A3213" w:rsidR="00206300">
        <w:rPr>
          <w:snapToGrid w:val="0"/>
        </w:rPr>
        <w:t xml:space="preserve">not therefore </w:t>
      </w:r>
      <w:r w:rsidRPr="002A3213" w:rsidR="00F73513">
        <w:rPr>
          <w:snapToGrid w:val="0"/>
        </w:rPr>
        <w:t xml:space="preserve">be </w:t>
      </w:r>
      <w:r w:rsidRPr="002A3213" w:rsidR="00206300">
        <w:rPr>
          <w:snapToGrid w:val="0"/>
        </w:rPr>
        <w:t xml:space="preserve">considered to pursue that legitimate aim (see </w:t>
      </w:r>
      <w:r w:rsidRPr="002A3213" w:rsidR="00206300">
        <w:rPr>
          <w:i/>
          <w:snapToGrid w:val="0"/>
        </w:rPr>
        <w:t>Bayev and Others</w:t>
      </w:r>
      <w:r w:rsidRPr="002A3213" w:rsidR="00206300">
        <w:rPr>
          <w:snapToGrid w:val="0"/>
        </w:rPr>
        <w:t xml:space="preserve">, cited above, §§ 65-71 and 83). </w:t>
      </w:r>
      <w:r w:rsidRPr="002A3213" w:rsidR="00490CDF">
        <w:rPr>
          <w:snapToGrid w:val="0"/>
        </w:rPr>
        <w:t>It has also rejected</w:t>
      </w:r>
      <w:r w:rsidRPr="002A3213" w:rsidR="00E06456">
        <w:rPr>
          <w:snapToGrid w:val="0"/>
        </w:rPr>
        <w:t xml:space="preserve"> the Government</w:t>
      </w:r>
      <w:r w:rsidRPr="002A3213" w:rsidR="002A3213">
        <w:rPr>
          <w:snapToGrid w:val="0"/>
        </w:rPr>
        <w:t>’</w:t>
      </w:r>
      <w:r w:rsidRPr="002A3213" w:rsidR="006E265C">
        <w:rPr>
          <w:snapToGrid w:val="0"/>
        </w:rPr>
        <w:t>s</w:t>
      </w:r>
      <w:r w:rsidRPr="002A3213" w:rsidR="00E06456">
        <w:rPr>
          <w:snapToGrid w:val="0"/>
        </w:rPr>
        <w:t xml:space="preserve"> argument about the alleged incompatibility between maintaining family values </w:t>
      </w:r>
      <w:r w:rsidRPr="002A3213" w:rsidR="00490CDF">
        <w:rPr>
          <w:snapToGrid w:val="0"/>
        </w:rPr>
        <w:t xml:space="preserve">and the institution of marriage </w:t>
      </w:r>
      <w:r w:rsidRPr="002A3213" w:rsidR="00E06456">
        <w:rPr>
          <w:snapToGrid w:val="0"/>
        </w:rPr>
        <w:t>as the foundation of society and acknowledging the soci</w:t>
      </w:r>
      <w:r w:rsidRPr="002A3213" w:rsidR="00490CDF">
        <w:rPr>
          <w:snapToGrid w:val="0"/>
        </w:rPr>
        <w:t xml:space="preserve">al acceptance of homosexuality (see </w:t>
      </w:r>
      <w:r w:rsidRPr="002A3213" w:rsidR="006E265C">
        <w:rPr>
          <w:i/>
          <w:snapToGrid w:val="0"/>
        </w:rPr>
        <w:t>Bayev and Others</w:t>
      </w:r>
      <w:r w:rsidRPr="002A3213" w:rsidR="00490CDF">
        <w:rPr>
          <w:snapToGrid w:val="0"/>
        </w:rPr>
        <w:t>, cited above, § 67).</w:t>
      </w:r>
    </w:p>
    <w:p w:rsidRPr="002A3213" w:rsidR="005D59EB" w:rsidP="002A3213" w:rsidRDefault="00206115">
      <w:pPr>
        <w:pStyle w:val="ECHRPara"/>
      </w:pPr>
      <w:r w:rsidRPr="002A3213">
        <w:rPr>
          <w:snapToGrid w:val="0"/>
        </w:rPr>
        <w:fldChar w:fldCharType="begin"/>
      </w:r>
      <w:r w:rsidRPr="002A3213">
        <w:rPr>
          <w:snapToGrid w:val="0"/>
        </w:rPr>
        <w:instrText xml:space="preserve"> SEQ level0 \*arabic </w:instrText>
      </w:r>
      <w:r w:rsidRPr="002A3213">
        <w:rPr>
          <w:snapToGrid w:val="0"/>
        </w:rPr>
        <w:fldChar w:fldCharType="separate"/>
      </w:r>
      <w:r w:rsidRPr="002A3213" w:rsidR="002A3213">
        <w:rPr>
          <w:noProof/>
          <w:snapToGrid w:val="0"/>
        </w:rPr>
        <w:t>153</w:t>
      </w:r>
      <w:r w:rsidRPr="002A3213">
        <w:rPr>
          <w:snapToGrid w:val="0"/>
        </w:rPr>
        <w:fldChar w:fldCharType="end"/>
      </w:r>
      <w:r w:rsidRPr="002A3213">
        <w:rPr>
          <w:snapToGrid w:val="0"/>
        </w:rPr>
        <w:t xml:space="preserve">.  The Court does not see any reason to reach a different </w:t>
      </w:r>
      <w:r w:rsidRPr="002A3213" w:rsidR="002B03D2">
        <w:rPr>
          <w:snapToGrid w:val="0"/>
        </w:rPr>
        <w:t xml:space="preserve">conclusion in the present case. </w:t>
      </w:r>
      <w:r w:rsidRPr="002A3213">
        <w:rPr>
          <w:snapToGrid w:val="0"/>
        </w:rPr>
        <w:t xml:space="preserve">The aims of the applicant associations were to defend and promote the rights of LGBT people, including, in the case of Movement for Marriage Equality, the right to same-sex marriage. </w:t>
      </w:r>
      <w:r w:rsidRPr="002A3213" w:rsidR="00201DD3">
        <w:rPr>
          <w:snapToGrid w:val="0"/>
        </w:rPr>
        <w:t xml:space="preserve">Although States are still free, under Article 12 of the Convention as well as under Article 14 taken in conjunction with Article 8, to restrict access to marriage to different-sex couples (see, as the most recent authority, </w:t>
      </w:r>
      <w:r w:rsidRPr="002A3213" w:rsidR="00201DD3">
        <w:rPr>
          <w:i/>
          <w:iCs/>
        </w:rPr>
        <w:t>Orlandi and Others v. Italy</w:t>
      </w:r>
      <w:r w:rsidRPr="002A3213" w:rsidR="00201DD3">
        <w:rPr>
          <w:lang w:eastAsia="en-GB"/>
        </w:rPr>
        <w:t>, nos. </w:t>
      </w:r>
      <w:r w:rsidRPr="002A3213" w:rsidR="00201DD3">
        <w:t>26431/12 and 3 others</w:t>
      </w:r>
      <w:r w:rsidRPr="002A3213" w:rsidR="00201DD3">
        <w:rPr>
          <w:lang w:eastAsia="en-GB"/>
        </w:rPr>
        <w:t xml:space="preserve">, </w:t>
      </w:r>
      <w:r w:rsidRPr="002A3213" w:rsidR="00201DD3">
        <w:t>§ 192, 14 December 2017, with further references), the issue in the present case is not whether same-sex marriage should be recogni</w:t>
      </w:r>
      <w:r w:rsidRPr="002A3213" w:rsidR="00E53BE4">
        <w:t>s</w:t>
      </w:r>
      <w:r w:rsidRPr="002A3213" w:rsidR="00201DD3">
        <w:t xml:space="preserve">ed in Russia. The crux of the present case is whether a refusal to register an association campaigning against discrimination on grounds of sexual orientation or </w:t>
      </w:r>
      <w:r w:rsidRPr="002A3213" w:rsidR="00890961">
        <w:t>for recognition of</w:t>
      </w:r>
      <w:r w:rsidRPr="002A3213" w:rsidR="00201DD3">
        <w:t xml:space="preserve"> same-sex marriage may be justified on the grounds of the protection of morals.</w:t>
      </w:r>
    </w:p>
    <w:p w:rsidRPr="002A3213" w:rsidR="005D59EB" w:rsidP="002A3213" w:rsidRDefault="00B067AD">
      <w:pPr>
        <w:pStyle w:val="ECHRPara"/>
      </w:pPr>
      <w:r w:rsidRPr="002A3213">
        <w:fldChar w:fldCharType="begin"/>
      </w:r>
      <w:r w:rsidRPr="002A3213">
        <w:instrText xml:space="preserve"> SEQ level0 \*arabic </w:instrText>
      </w:r>
      <w:r w:rsidRPr="002A3213">
        <w:fldChar w:fldCharType="separate"/>
      </w:r>
      <w:r w:rsidRPr="002A3213" w:rsidR="002A3213">
        <w:rPr>
          <w:noProof/>
        </w:rPr>
        <w:t>154</w:t>
      </w:r>
      <w:r w:rsidRPr="002A3213">
        <w:fldChar w:fldCharType="end"/>
      </w:r>
      <w:r w:rsidRPr="002A3213" w:rsidR="00201DD3">
        <w:t>.  </w:t>
      </w:r>
      <w:r w:rsidRPr="002A3213" w:rsidR="00345116">
        <w:t>T</w:t>
      </w:r>
      <w:r w:rsidRPr="002A3213" w:rsidR="00B548C5">
        <w:rPr>
          <w:snapToGrid w:val="0"/>
        </w:rPr>
        <w:t>he absence of a European consensus on the</w:t>
      </w:r>
      <w:r w:rsidRPr="002A3213" w:rsidR="009721FE">
        <w:rPr>
          <w:snapToGrid w:val="0"/>
        </w:rPr>
        <w:t xml:space="preserve"> question of same-sex marriage</w:t>
      </w:r>
      <w:r w:rsidRPr="002A3213" w:rsidR="00B548C5">
        <w:rPr>
          <w:snapToGrid w:val="0"/>
        </w:rPr>
        <w:t xml:space="preserve"> is </w:t>
      </w:r>
      <w:r w:rsidRPr="002A3213" w:rsidR="00345116">
        <w:rPr>
          <w:snapToGrid w:val="0"/>
        </w:rPr>
        <w:t xml:space="preserve">therefore </w:t>
      </w:r>
      <w:r w:rsidRPr="002A3213" w:rsidR="00B548C5">
        <w:rPr>
          <w:snapToGrid w:val="0"/>
        </w:rPr>
        <w:t>of no relevance to the present case</w:t>
      </w:r>
      <w:r w:rsidRPr="002A3213" w:rsidR="00C16D5D">
        <w:rPr>
          <w:snapToGrid w:val="0"/>
        </w:rPr>
        <w:t>,</w:t>
      </w:r>
      <w:r w:rsidRPr="002A3213" w:rsidR="00B548C5">
        <w:rPr>
          <w:snapToGrid w:val="0"/>
        </w:rPr>
        <w:t xml:space="preserve"> because conferring substantive rights on homosexual persons is fundamentally different from recognising their right to campaign for such rights. There is no ambiguit</w:t>
      </w:r>
      <w:r w:rsidRPr="002A3213" w:rsidR="009721FE">
        <w:rPr>
          <w:snapToGrid w:val="0"/>
        </w:rPr>
        <w:t>y about the other member State</w:t>
      </w:r>
      <w:r w:rsidRPr="002A3213" w:rsidR="00C16D5D">
        <w:rPr>
          <w:snapToGrid w:val="0"/>
        </w:rPr>
        <w:t>s</w:t>
      </w:r>
      <w:r w:rsidRPr="002A3213" w:rsidR="002A3213">
        <w:rPr>
          <w:snapToGrid w:val="0"/>
        </w:rPr>
        <w:t>’</w:t>
      </w:r>
      <w:r w:rsidRPr="002A3213" w:rsidR="00B548C5">
        <w:rPr>
          <w:snapToGrid w:val="0"/>
        </w:rPr>
        <w:t xml:space="preserve"> recognition of the right of individuals to openly identify themselves as gay, lesbian or any other sexual minority, and to promote their rights and freedoms, in particular by exercising their </w:t>
      </w:r>
      <w:r w:rsidRPr="002A3213" w:rsidR="009721FE">
        <w:rPr>
          <w:snapToGrid w:val="0"/>
        </w:rPr>
        <w:t xml:space="preserve">rights to </w:t>
      </w:r>
      <w:r w:rsidRPr="002A3213" w:rsidR="00B548C5">
        <w:rPr>
          <w:snapToGrid w:val="0"/>
        </w:rPr>
        <w:t>freedom of peaceful assembly</w:t>
      </w:r>
      <w:r w:rsidRPr="002A3213" w:rsidR="009721FE">
        <w:rPr>
          <w:snapToGrid w:val="0"/>
        </w:rPr>
        <w:t xml:space="preserve"> and </w:t>
      </w:r>
      <w:r w:rsidRPr="002A3213" w:rsidR="00345116">
        <w:rPr>
          <w:snapToGrid w:val="0"/>
        </w:rPr>
        <w:t xml:space="preserve">association </w:t>
      </w:r>
      <w:r w:rsidRPr="002A3213" w:rsidR="00B548C5">
        <w:rPr>
          <w:snapToGrid w:val="0"/>
        </w:rPr>
        <w:t>(see</w:t>
      </w:r>
      <w:r w:rsidRPr="002A3213" w:rsidR="009721FE">
        <w:rPr>
          <w:snapToGrid w:val="0"/>
        </w:rPr>
        <w:t xml:space="preserve">, </w:t>
      </w:r>
      <w:r w:rsidRPr="002A3213" w:rsidR="009721FE">
        <w:rPr>
          <w:i/>
          <w:snapToGrid w:val="0"/>
        </w:rPr>
        <w:t>mutatis mutandis</w:t>
      </w:r>
      <w:r w:rsidRPr="002A3213" w:rsidR="009721FE">
        <w:rPr>
          <w:snapToGrid w:val="0"/>
        </w:rPr>
        <w:t xml:space="preserve">, </w:t>
      </w:r>
      <w:r w:rsidRPr="002A3213" w:rsidR="00B548C5">
        <w:rPr>
          <w:i/>
        </w:rPr>
        <w:t>Alekseyev</w:t>
      </w:r>
      <w:r w:rsidRPr="002A3213" w:rsidR="000E7758">
        <w:t>,</w:t>
      </w:r>
      <w:r w:rsidRPr="002A3213" w:rsidR="00B548C5">
        <w:t xml:space="preserve"> </w:t>
      </w:r>
      <w:r w:rsidRPr="002A3213" w:rsidR="000E7758">
        <w:t>cited above</w:t>
      </w:r>
      <w:r w:rsidRPr="002A3213" w:rsidR="00B548C5">
        <w:rPr>
          <w:snapToGrid w:val="0"/>
        </w:rPr>
        <w:t xml:space="preserve">, </w:t>
      </w:r>
      <w:r w:rsidRPr="002A3213" w:rsidR="00B548C5">
        <w:t>§ 84)</w:t>
      </w:r>
      <w:r w:rsidRPr="002A3213" w:rsidR="000C2788">
        <w:t>.</w:t>
      </w:r>
    </w:p>
    <w:p w:rsidRPr="002A3213" w:rsidR="005D59EB" w:rsidP="002A3213" w:rsidRDefault="005B2ED6">
      <w:pPr>
        <w:pStyle w:val="ECHRPara"/>
      </w:pPr>
      <w:r w:rsidRPr="002A3213">
        <w:fldChar w:fldCharType="begin"/>
      </w:r>
      <w:r w:rsidRPr="002A3213">
        <w:instrText xml:space="preserve"> SEQ level0 \*arabic </w:instrText>
      </w:r>
      <w:r w:rsidRPr="002A3213">
        <w:fldChar w:fldCharType="separate"/>
      </w:r>
      <w:r w:rsidRPr="002A3213" w:rsidR="002A3213">
        <w:rPr>
          <w:noProof/>
        </w:rPr>
        <w:t>155</w:t>
      </w:r>
      <w:r w:rsidRPr="002A3213">
        <w:fldChar w:fldCharType="end"/>
      </w:r>
      <w:r w:rsidRPr="002A3213">
        <w:t>.  The Court concludes fr</w:t>
      </w:r>
      <w:r w:rsidRPr="002A3213" w:rsidR="00C16D5D">
        <w:t>o</w:t>
      </w:r>
      <w:r w:rsidRPr="002A3213">
        <w:t xml:space="preserve">m the above that the refusal to register the applicant associations </w:t>
      </w:r>
      <w:r w:rsidRPr="002A3213" w:rsidR="00C16D5D">
        <w:t>can</w:t>
      </w:r>
      <w:r w:rsidRPr="002A3213">
        <w:t xml:space="preserve">not be justified on the grounds of the protection of moral values or the institutions of family and marriage and </w:t>
      </w:r>
      <w:r w:rsidRPr="002A3213" w:rsidR="00C16D5D">
        <w:t>can</w:t>
      </w:r>
      <w:r w:rsidRPr="002A3213">
        <w:t xml:space="preserve">not therefore </w:t>
      </w:r>
      <w:r w:rsidRPr="002A3213" w:rsidR="00C16D5D">
        <w:t xml:space="preserve">be </w:t>
      </w:r>
      <w:r w:rsidRPr="002A3213">
        <w:t>considered to pursue the legitimate aim of the protection of morals.</w:t>
      </w:r>
    </w:p>
    <w:p w:rsidRPr="002A3213" w:rsidR="005D59EB" w:rsidP="002A3213" w:rsidRDefault="005B2ED6">
      <w:pPr>
        <w:pStyle w:val="ECHRPara"/>
      </w:pPr>
      <w:r w:rsidRPr="002A3213">
        <w:fldChar w:fldCharType="begin"/>
      </w:r>
      <w:r w:rsidRPr="002A3213">
        <w:instrText xml:space="preserve"> SEQ level0 \*arabic </w:instrText>
      </w:r>
      <w:r w:rsidRPr="002A3213">
        <w:fldChar w:fldCharType="separate"/>
      </w:r>
      <w:r w:rsidRPr="002A3213" w:rsidR="002A3213">
        <w:rPr>
          <w:noProof/>
        </w:rPr>
        <w:t>156</w:t>
      </w:r>
      <w:r w:rsidRPr="002A3213">
        <w:fldChar w:fldCharType="end"/>
      </w:r>
      <w:r w:rsidRPr="002A3213">
        <w:t xml:space="preserve">.  As regards </w:t>
      </w:r>
      <w:r w:rsidRPr="002A3213" w:rsidR="005A6DBD">
        <w:t xml:space="preserve">the next aim advanced by the domestic authorities in their decisions – </w:t>
      </w:r>
      <w:r w:rsidRPr="002A3213">
        <w:t xml:space="preserve">the </w:t>
      </w:r>
      <w:r w:rsidRPr="002A3213" w:rsidR="00EE4049">
        <w:t xml:space="preserve">aim </w:t>
      </w:r>
      <w:r w:rsidRPr="002A3213" w:rsidR="00D7638A">
        <w:t xml:space="preserve">of </w:t>
      </w:r>
      <w:r w:rsidRPr="002A3213">
        <w:t>protect</w:t>
      </w:r>
      <w:r w:rsidRPr="002A3213" w:rsidR="00D7638A">
        <w:t>ing</w:t>
      </w:r>
      <w:r w:rsidRPr="002A3213">
        <w:t xml:space="preserve"> Russia</w:t>
      </w:r>
      <w:r w:rsidRPr="002A3213" w:rsidR="002A3213">
        <w:t>’</w:t>
      </w:r>
      <w:r w:rsidRPr="002A3213">
        <w:t>s sovereignty, s</w:t>
      </w:r>
      <w:r w:rsidRPr="002A3213" w:rsidR="005A6DBD">
        <w:t xml:space="preserve">afety and territorial integrity – it </w:t>
      </w:r>
      <w:r w:rsidRPr="002A3213" w:rsidR="006855EF">
        <w:t>may be linked to the legitimate aims of the protection of nati</w:t>
      </w:r>
      <w:r w:rsidRPr="002A3213" w:rsidR="005A6DBD">
        <w:t>onal security and public safety. T</w:t>
      </w:r>
      <w:r w:rsidRPr="002A3213" w:rsidR="006855EF">
        <w:t xml:space="preserve">he Court reiterates that </w:t>
      </w:r>
      <w:r w:rsidRPr="002A3213" w:rsidR="006D7BCC">
        <w:t>the concepts of “national security” and “public safety” must be applied with restrain</w:t>
      </w:r>
      <w:r w:rsidRPr="002A3213" w:rsidR="00181342">
        <w:t>t</w:t>
      </w:r>
      <w:r w:rsidRPr="002A3213" w:rsidR="006D7BCC">
        <w:t xml:space="preserve"> and interpreted restrictively (see </w:t>
      </w:r>
      <w:r w:rsidRPr="002A3213" w:rsidR="006D7BCC">
        <w:rPr>
          <w:i/>
        </w:rPr>
        <w:t>Stoll v. Switzerland</w:t>
      </w:r>
      <w:r w:rsidRPr="002A3213" w:rsidR="00EE4049">
        <w:t xml:space="preserve"> [GC], no. </w:t>
      </w:r>
      <w:r w:rsidRPr="002A3213" w:rsidR="006D7BCC">
        <w:t>69698/01, § 54, ECHR 2007</w:t>
      </w:r>
      <w:r w:rsidRPr="002A3213" w:rsidR="006D7BCC">
        <w:noBreakHyphen/>
        <w:t xml:space="preserve">V, and </w:t>
      </w:r>
      <w:r w:rsidRPr="002A3213" w:rsidR="006D7BCC">
        <w:rPr>
          <w:i/>
          <w:iCs/>
          <w:snapToGrid w:val="0"/>
        </w:rPr>
        <w:t>Dmitriyevskiy v. Russia</w:t>
      </w:r>
      <w:r w:rsidRPr="002A3213" w:rsidR="006D7BCC">
        <w:rPr>
          <w:iCs/>
          <w:snapToGrid w:val="0"/>
        </w:rPr>
        <w:t>,</w:t>
      </w:r>
      <w:r w:rsidRPr="002A3213" w:rsidR="00181342">
        <w:rPr>
          <w:snapToGrid w:val="0"/>
          <w:lang w:eastAsia="en-GB"/>
        </w:rPr>
        <w:t xml:space="preserve"> no. </w:t>
      </w:r>
      <w:r w:rsidRPr="002A3213" w:rsidR="006D7BCC">
        <w:rPr>
          <w:snapToGrid w:val="0"/>
        </w:rPr>
        <w:t xml:space="preserve">42168/06, </w:t>
      </w:r>
      <w:r w:rsidRPr="002A3213" w:rsidR="006D7BCC">
        <w:t xml:space="preserve">§ 86, 3 October 2017). </w:t>
      </w:r>
      <w:r w:rsidRPr="002A3213" w:rsidR="00C07BA9">
        <w:t>It</w:t>
      </w:r>
      <w:r w:rsidRPr="002A3213" w:rsidR="00DC0750">
        <w:t xml:space="preserve"> notes that the national authorities considered that the applicant association</w:t>
      </w:r>
      <w:r w:rsidRPr="002A3213" w:rsidR="00EE4049">
        <w:t>s</w:t>
      </w:r>
      <w:r w:rsidRPr="002A3213" w:rsidR="00DC0750">
        <w:t xml:space="preserve"> threatened Russia</w:t>
      </w:r>
      <w:r w:rsidRPr="002A3213" w:rsidR="002A3213">
        <w:t>’</w:t>
      </w:r>
      <w:r w:rsidRPr="002A3213" w:rsidR="00DC0750">
        <w:t xml:space="preserve">s sovereignty, safety and territorial integrity because their activities </w:t>
      </w:r>
      <w:r w:rsidRPr="002A3213" w:rsidR="00181342">
        <w:t>might</w:t>
      </w:r>
      <w:r w:rsidRPr="002A3213" w:rsidR="00DC0750">
        <w:t xml:space="preserve"> result in a decrease in the population. </w:t>
      </w:r>
      <w:r w:rsidRPr="002A3213" w:rsidR="00480F0E">
        <w:t>T</w:t>
      </w:r>
      <w:r w:rsidRPr="002A3213" w:rsidR="00AB2732">
        <w:t xml:space="preserve">he Court is not convinced that a refusal to register an association defending LGBT rights </w:t>
      </w:r>
      <w:r w:rsidRPr="002A3213" w:rsidR="00EE4049">
        <w:t xml:space="preserve">on such grounds </w:t>
      </w:r>
      <w:r w:rsidRPr="002A3213" w:rsidR="00AB2732">
        <w:t>may serve to advance the</w:t>
      </w:r>
      <w:r w:rsidRPr="002A3213" w:rsidR="00FE3805">
        <w:t xml:space="preserve"> aims of protecting national security and public safety. </w:t>
      </w:r>
      <w:r w:rsidRPr="002A3213" w:rsidR="00181342">
        <w:t xml:space="preserve">Firstly, the Court has already found that there was no link between the promotion of homosexuality and the demographic situation, which depends on a multitude of conditions, such as economic prosperity, social-security rights and accessibility of childcare (see </w:t>
      </w:r>
      <w:r w:rsidRPr="002A3213" w:rsidR="00181342">
        <w:rPr>
          <w:i/>
        </w:rPr>
        <w:t>Bayev and Others</w:t>
      </w:r>
      <w:r w:rsidRPr="002A3213" w:rsidR="00181342">
        <w:t>, cited above, § 73). Secondly, neither the national courts nor the Government explained how a hypothetical decrease in the population could affect national security and public safety</w:t>
      </w:r>
      <w:r w:rsidRPr="002A3213" w:rsidR="00C16D5D">
        <w:t>; nor did they</w:t>
      </w:r>
      <w:r w:rsidRPr="002A3213" w:rsidR="008512C2">
        <w:t xml:space="preserve"> provide an</w:t>
      </w:r>
      <w:r w:rsidRPr="002A3213" w:rsidR="00C16D5D">
        <w:t>y</w:t>
      </w:r>
      <w:r w:rsidRPr="002A3213" w:rsidR="008512C2">
        <w:t xml:space="preserve"> assessment of such an impact</w:t>
      </w:r>
      <w:r w:rsidRPr="002A3213" w:rsidR="00181342">
        <w:t>.</w:t>
      </w:r>
    </w:p>
    <w:p w:rsidRPr="002A3213" w:rsidR="005D59EB" w:rsidP="002A3213" w:rsidRDefault="00AC3C75">
      <w:pPr>
        <w:pStyle w:val="ECHRPara"/>
      </w:pPr>
      <w:r w:rsidRPr="002A3213">
        <w:fldChar w:fldCharType="begin"/>
      </w:r>
      <w:r w:rsidRPr="002A3213">
        <w:instrText xml:space="preserve"> SEQ level0 \*arabic </w:instrText>
      </w:r>
      <w:r w:rsidRPr="002A3213">
        <w:fldChar w:fldCharType="separate"/>
      </w:r>
      <w:r w:rsidRPr="002A3213" w:rsidR="002A3213">
        <w:rPr>
          <w:noProof/>
        </w:rPr>
        <w:t>157</w:t>
      </w:r>
      <w:r w:rsidRPr="002A3213">
        <w:fldChar w:fldCharType="end"/>
      </w:r>
      <w:r w:rsidRPr="002A3213">
        <w:t>.  </w:t>
      </w:r>
      <w:r w:rsidRPr="002A3213" w:rsidR="00846927">
        <w:t>Further</w:t>
      </w:r>
      <w:r w:rsidRPr="002A3213">
        <w:t>, as regards the aim</w:t>
      </w:r>
      <w:r w:rsidRPr="002A3213" w:rsidR="00846927">
        <w:t xml:space="preserve"> of protecting the rights and freedoms of others</w:t>
      </w:r>
      <w:r w:rsidRPr="002A3213" w:rsidR="00C71DCD">
        <w:t>, also</w:t>
      </w:r>
      <w:r w:rsidRPr="002A3213" w:rsidR="00846927">
        <w:t xml:space="preserve"> </w:t>
      </w:r>
      <w:r w:rsidRPr="002A3213" w:rsidR="005A6DBD">
        <w:t>advanced</w:t>
      </w:r>
      <w:r w:rsidRPr="002A3213" w:rsidR="00846927">
        <w:t xml:space="preserve"> by the domestic authorities</w:t>
      </w:r>
      <w:r w:rsidRPr="002A3213" w:rsidR="005A6DBD">
        <w:t xml:space="preserve"> in their decisions</w:t>
      </w:r>
      <w:r w:rsidRPr="002A3213" w:rsidR="00846927">
        <w:t>, the Court notes that it is</w:t>
      </w:r>
      <w:r w:rsidRPr="002A3213" w:rsidR="00DC0465">
        <w:t xml:space="preserve"> the right not to be confronted with </w:t>
      </w:r>
      <w:r w:rsidRPr="002A3213" w:rsidR="00473711">
        <w:t>any display of same</w:t>
      </w:r>
      <w:r w:rsidRPr="002A3213" w:rsidR="00473711">
        <w:noBreakHyphen/>
      </w:r>
      <w:r w:rsidRPr="002A3213" w:rsidR="00846927">
        <w:t xml:space="preserve">sex relations or promotion of LGBT rights or with </w:t>
      </w:r>
      <w:r w:rsidRPr="002A3213" w:rsidR="00DC0465">
        <w:t xml:space="preserve">the </w:t>
      </w:r>
      <w:r w:rsidRPr="002A3213" w:rsidR="00F16C93">
        <w:t>idea of equality of differ</w:t>
      </w:r>
      <w:r w:rsidRPr="002A3213" w:rsidR="001C227C">
        <w:t>ent-sex and same-sex relations –</w:t>
      </w:r>
      <w:r w:rsidRPr="002A3213" w:rsidR="00F16C93">
        <w:t xml:space="preserve"> which</w:t>
      </w:r>
      <w:r w:rsidRPr="002A3213" w:rsidR="00DC0465">
        <w:t xml:space="preserve"> the majority of Russians</w:t>
      </w:r>
      <w:r w:rsidRPr="002A3213" w:rsidR="00846927">
        <w:t xml:space="preserve"> apparently resented and</w:t>
      </w:r>
      <w:r w:rsidRPr="002A3213" w:rsidR="00F16C93">
        <w:t xml:space="preserve"> considered to be off</w:t>
      </w:r>
      <w:r w:rsidRPr="002A3213" w:rsidR="001C227C">
        <w:t>en</w:t>
      </w:r>
      <w:r w:rsidRPr="002A3213" w:rsidR="00C16D5D">
        <w:t>sive</w:t>
      </w:r>
      <w:r w:rsidRPr="002A3213" w:rsidR="001C227C">
        <w:t>, disturbing or shocking –</w:t>
      </w:r>
      <w:r w:rsidRPr="002A3213" w:rsidR="00F16C93">
        <w:t xml:space="preserve"> that the national authorities sought to protect by refusing to register the applicant associations.</w:t>
      </w:r>
    </w:p>
    <w:p w:rsidRPr="002A3213" w:rsidR="005D59EB" w:rsidP="002A3213" w:rsidRDefault="005A6DBD">
      <w:pPr>
        <w:pStyle w:val="ECHRPara"/>
      </w:pPr>
      <w:r w:rsidRPr="002A3213">
        <w:fldChar w:fldCharType="begin"/>
      </w:r>
      <w:r w:rsidRPr="002A3213">
        <w:instrText xml:space="preserve"> SEQ level0 \*arabic </w:instrText>
      </w:r>
      <w:r w:rsidRPr="002A3213">
        <w:fldChar w:fldCharType="separate"/>
      </w:r>
      <w:r w:rsidRPr="002A3213" w:rsidR="002A3213">
        <w:rPr>
          <w:noProof/>
        </w:rPr>
        <w:t>158</w:t>
      </w:r>
      <w:r w:rsidRPr="002A3213">
        <w:fldChar w:fldCharType="end"/>
      </w:r>
      <w:r w:rsidRPr="002A3213">
        <w:t>.  </w:t>
      </w:r>
      <w:r w:rsidRPr="002A3213" w:rsidR="00E53BEE">
        <w:t xml:space="preserve">The Court reiterates in this </w:t>
      </w:r>
      <w:r w:rsidRPr="002A3213" w:rsidR="002D098D">
        <w:t>connection</w:t>
      </w:r>
      <w:r w:rsidRPr="002A3213" w:rsidR="00E53BEE">
        <w:t xml:space="preserve"> that the Convention does not guarantee the right not to be confronted with opinions that are opposed to one</w:t>
      </w:r>
      <w:r w:rsidRPr="002A3213" w:rsidR="002A3213">
        <w:t>’</w:t>
      </w:r>
      <w:r w:rsidRPr="002A3213" w:rsidR="00E53BEE">
        <w:t xml:space="preserve">s own convictions (see </w:t>
      </w:r>
      <w:r w:rsidRPr="002A3213" w:rsidR="002D098D">
        <w:rPr>
          <w:i/>
        </w:rPr>
        <w:t>Bayev and Others</w:t>
      </w:r>
      <w:r w:rsidRPr="002A3213" w:rsidR="002D098D">
        <w:t>, cited above, § 81, with further references). Moreover, it would be incompatible with the underlying values of the Convention if the exercise of Convention rights by a minority group were made conditional on its being accepted by the majority. Were this so, a minority group</w:t>
      </w:r>
      <w:r w:rsidRPr="002A3213" w:rsidR="002A3213">
        <w:t>’</w:t>
      </w:r>
      <w:r w:rsidRPr="002A3213" w:rsidR="002D098D">
        <w:t xml:space="preserve">s rights to </w:t>
      </w:r>
      <w:r w:rsidRPr="002A3213" w:rsidR="00F16C93">
        <w:t xml:space="preserve">freedom of religion, expression, </w:t>
      </w:r>
      <w:r w:rsidRPr="002A3213" w:rsidR="002D098D">
        <w:t xml:space="preserve">assembly </w:t>
      </w:r>
      <w:r w:rsidRPr="002A3213" w:rsidR="00F16C93">
        <w:t xml:space="preserve">and association </w:t>
      </w:r>
      <w:r w:rsidRPr="002A3213" w:rsidR="002D098D">
        <w:t xml:space="preserve">would become merely theoretical rather than practical and effective as required by the Convention (see </w:t>
      </w:r>
      <w:r w:rsidRPr="002A3213" w:rsidR="00652006">
        <w:rPr>
          <w:i/>
        </w:rPr>
        <w:t>Barankevich v. </w:t>
      </w:r>
      <w:r w:rsidRPr="002A3213" w:rsidR="002D098D">
        <w:rPr>
          <w:i/>
        </w:rPr>
        <w:t>Russia</w:t>
      </w:r>
      <w:r w:rsidRPr="002A3213" w:rsidR="002D098D">
        <w:t>, no. 10519/03, § 31, 26 July 2007</w:t>
      </w:r>
      <w:r w:rsidRPr="002A3213" w:rsidR="007F72F0">
        <w:t>,</w:t>
      </w:r>
      <w:r w:rsidRPr="002A3213" w:rsidR="002D098D">
        <w:t xml:space="preserve"> and </w:t>
      </w:r>
      <w:r w:rsidRPr="002A3213" w:rsidR="002D098D">
        <w:rPr>
          <w:i/>
          <w:iCs/>
        </w:rPr>
        <w:t>Alekseyev</w:t>
      </w:r>
      <w:r w:rsidRPr="002A3213" w:rsidR="00652006">
        <w:t>, cited above, § </w:t>
      </w:r>
      <w:r w:rsidRPr="002A3213" w:rsidR="002D098D">
        <w:t xml:space="preserve">81). </w:t>
      </w:r>
      <w:r w:rsidRPr="002A3213" w:rsidR="008155C7">
        <w:t xml:space="preserve">The Court has </w:t>
      </w:r>
      <w:r w:rsidRPr="002A3213" w:rsidR="00897B6D">
        <w:t>therefore</w:t>
      </w:r>
      <w:r w:rsidRPr="002A3213" w:rsidR="002D098D">
        <w:t xml:space="preserve"> </w:t>
      </w:r>
      <w:r w:rsidRPr="002A3213" w:rsidR="008155C7">
        <w:t xml:space="preserve">consistently declined to endorse policies and decisions which embodied a predisposed bias on the part of a heterosexual majority against a homosexual minority (see </w:t>
      </w:r>
      <w:r w:rsidRPr="002A3213" w:rsidR="00652006">
        <w:rPr>
          <w:i/>
        </w:rPr>
        <w:t>Smith and Grady v. the United Kingdom</w:t>
      </w:r>
      <w:r w:rsidRPr="002A3213" w:rsidR="00652006">
        <w:t>, nos. 33985/96 and 33986/96, § 102, ECHR 1999</w:t>
      </w:r>
      <w:r w:rsidRPr="002A3213" w:rsidR="00652006">
        <w:noBreakHyphen/>
        <w:t xml:space="preserve">VI; </w:t>
      </w:r>
      <w:r w:rsidRPr="002A3213" w:rsidR="00652006">
        <w:rPr>
          <w:i/>
        </w:rPr>
        <w:t>Salgueiro da Silva Mouta v. Portugal</w:t>
      </w:r>
      <w:r w:rsidRPr="002A3213" w:rsidR="00652006">
        <w:t>, no. 33290/96, §</w:t>
      </w:r>
      <w:r w:rsidRPr="002A3213" w:rsidR="005E4E15">
        <w:t>§</w:t>
      </w:r>
      <w:r w:rsidRPr="002A3213" w:rsidR="00652006">
        <w:t xml:space="preserve"> </w:t>
      </w:r>
      <w:r w:rsidRPr="002A3213" w:rsidR="005870FF">
        <w:t>34-36</w:t>
      </w:r>
      <w:r w:rsidRPr="002A3213" w:rsidR="00652006">
        <w:t>, ECHR 1999</w:t>
      </w:r>
      <w:r w:rsidRPr="002A3213" w:rsidR="00652006">
        <w:noBreakHyphen/>
        <w:t>IX</w:t>
      </w:r>
      <w:r w:rsidRPr="002A3213" w:rsidR="005870FF">
        <w:t>;</w:t>
      </w:r>
      <w:r w:rsidRPr="002A3213" w:rsidR="00C16D5D">
        <w:t xml:space="preserve"> and</w:t>
      </w:r>
      <w:r w:rsidRPr="002A3213" w:rsidR="005870FF">
        <w:t xml:space="preserve"> </w:t>
      </w:r>
      <w:r w:rsidRPr="002A3213" w:rsidR="00DE58B3">
        <w:rPr>
          <w:i/>
        </w:rPr>
        <w:t>L. </w:t>
      </w:r>
      <w:r w:rsidRPr="002A3213" w:rsidR="005870FF">
        <w:rPr>
          <w:i/>
        </w:rPr>
        <w:t>and V. v. Austria</w:t>
      </w:r>
      <w:r w:rsidRPr="002A3213" w:rsidR="005870FF">
        <w:t>, nos. 39392/98 and 39829/98, §</w:t>
      </w:r>
      <w:r w:rsidRPr="002A3213" w:rsidR="005E4E15">
        <w:t>§</w:t>
      </w:r>
      <w:r w:rsidRPr="002A3213" w:rsidR="005870FF">
        <w:t xml:space="preserve"> 51-52, ECHR 2003</w:t>
      </w:r>
      <w:r w:rsidRPr="002A3213" w:rsidR="005870FF">
        <w:noBreakHyphen/>
        <w:t>I).</w:t>
      </w:r>
    </w:p>
    <w:p w:rsidRPr="002A3213" w:rsidR="005D59EB" w:rsidP="002A3213" w:rsidRDefault="005870FF">
      <w:pPr>
        <w:pStyle w:val="ECHRPara"/>
      </w:pPr>
      <w:r w:rsidRPr="002A3213">
        <w:fldChar w:fldCharType="begin"/>
      </w:r>
      <w:r w:rsidRPr="002A3213">
        <w:instrText xml:space="preserve"> SEQ level0 \*arabic </w:instrText>
      </w:r>
      <w:r w:rsidRPr="002A3213">
        <w:fldChar w:fldCharType="separate"/>
      </w:r>
      <w:r w:rsidRPr="002A3213" w:rsidR="002A3213">
        <w:rPr>
          <w:noProof/>
        </w:rPr>
        <w:t>159</w:t>
      </w:r>
      <w:r w:rsidRPr="002A3213">
        <w:fldChar w:fldCharType="end"/>
      </w:r>
      <w:r w:rsidRPr="002A3213">
        <w:t xml:space="preserve">.  The Court </w:t>
      </w:r>
      <w:r w:rsidRPr="002A3213" w:rsidR="0008003D">
        <w:t xml:space="preserve">is </w:t>
      </w:r>
      <w:r w:rsidRPr="002A3213">
        <w:t xml:space="preserve">therefore </w:t>
      </w:r>
      <w:r w:rsidRPr="002A3213" w:rsidR="0008003D">
        <w:t>not convinced that the refusals to register the applicant associations could be considered to pursue</w:t>
      </w:r>
      <w:r w:rsidRPr="002A3213" w:rsidR="0026088A">
        <w:t xml:space="preserve"> the </w:t>
      </w:r>
      <w:r w:rsidRPr="002A3213" w:rsidR="0008003D">
        <w:t xml:space="preserve">legitimate </w:t>
      </w:r>
      <w:r w:rsidRPr="002A3213" w:rsidR="0026088A">
        <w:t>aim of the protection of the rights of others.</w:t>
      </w:r>
    </w:p>
    <w:p w:rsidRPr="002A3213" w:rsidR="005D59EB" w:rsidP="002A3213" w:rsidRDefault="006A5B09">
      <w:pPr>
        <w:pStyle w:val="ECHRPara"/>
      </w:pPr>
      <w:r w:rsidRPr="002A3213">
        <w:fldChar w:fldCharType="begin"/>
      </w:r>
      <w:r w:rsidRPr="002A3213">
        <w:instrText xml:space="preserve"> SEQ level0 \*arabic </w:instrText>
      </w:r>
      <w:r w:rsidRPr="002A3213">
        <w:fldChar w:fldCharType="separate"/>
      </w:r>
      <w:r w:rsidRPr="002A3213" w:rsidR="002A3213">
        <w:rPr>
          <w:noProof/>
        </w:rPr>
        <w:t>160</w:t>
      </w:r>
      <w:r w:rsidRPr="002A3213">
        <w:fldChar w:fldCharType="end"/>
      </w:r>
      <w:r w:rsidRPr="002A3213">
        <w:t>.  </w:t>
      </w:r>
      <w:r w:rsidRPr="002A3213" w:rsidR="00846927">
        <w:t>Lastly, as regards the aim of preventing social or religious hatred and enmity incited by the activities of LGBT associations and which might</w:t>
      </w:r>
      <w:r w:rsidRPr="002A3213">
        <w:t>, in the domestic authorities</w:t>
      </w:r>
      <w:r w:rsidRPr="002A3213" w:rsidR="002A3213">
        <w:t>’</w:t>
      </w:r>
      <w:r w:rsidRPr="002A3213">
        <w:t xml:space="preserve"> opinion,</w:t>
      </w:r>
      <w:r w:rsidRPr="002A3213" w:rsidR="00D60D6A">
        <w:t xml:space="preserve"> </w:t>
      </w:r>
      <w:r w:rsidRPr="002A3213" w:rsidR="00846927">
        <w:t>lead to violence, this may c</w:t>
      </w:r>
      <w:r w:rsidRPr="002A3213" w:rsidR="000712F6">
        <w:t>orrespond to the legitimate aim</w:t>
      </w:r>
      <w:r w:rsidRPr="002A3213" w:rsidR="00846927">
        <w:t xml:space="preserve"> of the </w:t>
      </w:r>
      <w:r w:rsidRPr="002A3213" w:rsidR="000712F6">
        <w:t xml:space="preserve">prevention of disorder. </w:t>
      </w:r>
      <w:r w:rsidRPr="002A3213" w:rsidR="005721DB">
        <w:t>T</w:t>
      </w:r>
      <w:r w:rsidRPr="002A3213" w:rsidR="00CD0BD1">
        <w:t xml:space="preserve">he </w:t>
      </w:r>
      <w:r w:rsidRPr="002A3213" w:rsidR="00C84436">
        <w:t xml:space="preserve">Court </w:t>
      </w:r>
      <w:r w:rsidRPr="002A3213" w:rsidR="005721DB">
        <w:t xml:space="preserve">accepts </w:t>
      </w:r>
      <w:r w:rsidRPr="002A3213" w:rsidR="00C84436">
        <w:t xml:space="preserve">that </w:t>
      </w:r>
      <w:r w:rsidRPr="002A3213" w:rsidR="00CD0BD1">
        <w:t xml:space="preserve">social or religious hatred and enmity </w:t>
      </w:r>
      <w:r w:rsidRPr="002A3213" w:rsidR="00C84436">
        <w:t xml:space="preserve">represents a danger for the social peace and political stability of democratic States (see, </w:t>
      </w:r>
      <w:r w:rsidRPr="002A3213" w:rsidR="00C84436">
        <w:rPr>
          <w:i/>
        </w:rPr>
        <w:t>mutatis mutandis</w:t>
      </w:r>
      <w:r w:rsidRPr="002A3213" w:rsidR="00C84436">
        <w:t xml:space="preserve">, </w:t>
      </w:r>
      <w:r w:rsidRPr="002A3213" w:rsidR="00DE58B3">
        <w:rPr>
          <w:i/>
        </w:rPr>
        <w:t>Féret v. </w:t>
      </w:r>
      <w:r w:rsidRPr="002A3213" w:rsidR="00C84436">
        <w:rPr>
          <w:i/>
        </w:rPr>
        <w:t>Belgium</w:t>
      </w:r>
      <w:r w:rsidRPr="002A3213" w:rsidR="00C84436">
        <w:t xml:space="preserve">, no. 15615/07, §§ 69 and 73, 16 July 2009) and is </w:t>
      </w:r>
      <w:r w:rsidRPr="002A3213" w:rsidR="000861B3">
        <w:t>likely to lead to violence</w:t>
      </w:r>
      <w:r w:rsidRPr="002A3213" w:rsidR="00C84436">
        <w:t xml:space="preserve"> (see, </w:t>
      </w:r>
      <w:r w:rsidRPr="002A3213" w:rsidR="00C84436">
        <w:rPr>
          <w:i/>
        </w:rPr>
        <w:t>mutatis mutandis</w:t>
      </w:r>
      <w:r w:rsidRPr="002A3213" w:rsidR="00C84436">
        <w:t xml:space="preserve">, </w:t>
      </w:r>
      <w:r w:rsidRPr="002A3213" w:rsidR="00C84436">
        <w:rPr>
          <w:i/>
        </w:rPr>
        <w:t>Dilipak v. Turkey</w:t>
      </w:r>
      <w:r w:rsidRPr="002A3213" w:rsidR="00C84436">
        <w:t xml:space="preserve">, no. 29680/05, § 62, 15 September 2015). It therefore accepts that the declared aim of preventing such hatred and enmity </w:t>
      </w:r>
      <w:r w:rsidRPr="002A3213" w:rsidR="00CD0BD1">
        <w:t>corresponds to the legitimate aim of prevention of disorder</w:t>
      </w:r>
      <w:r w:rsidRPr="002A3213" w:rsidR="00C84436">
        <w:t xml:space="preserve"> (see, for example, </w:t>
      </w:r>
      <w:r w:rsidRPr="002A3213" w:rsidR="00C84436">
        <w:rPr>
          <w:i/>
        </w:rPr>
        <w:t>Féret</w:t>
      </w:r>
      <w:r w:rsidRPr="002A3213" w:rsidR="00C84436">
        <w:t>,</w:t>
      </w:r>
      <w:r w:rsidRPr="002A3213" w:rsidR="00C84436">
        <w:rPr>
          <w:i/>
        </w:rPr>
        <w:t xml:space="preserve"> </w:t>
      </w:r>
      <w:r w:rsidRPr="002A3213" w:rsidR="00C84436">
        <w:t>cited above,</w:t>
      </w:r>
      <w:r w:rsidRPr="002A3213" w:rsidR="00C84436">
        <w:rPr>
          <w:i/>
        </w:rPr>
        <w:t xml:space="preserve"> </w:t>
      </w:r>
      <w:r w:rsidRPr="002A3213" w:rsidR="00C84436">
        <w:t>§ 59)</w:t>
      </w:r>
      <w:r w:rsidRPr="002A3213" w:rsidR="00CD0BD1">
        <w:t xml:space="preserve"> and will proceed on the assumption that the contested measures purs</w:t>
      </w:r>
      <w:r w:rsidRPr="002A3213" w:rsidR="000D4148">
        <w:t>u</w:t>
      </w:r>
      <w:r w:rsidRPr="002A3213" w:rsidR="00CD0BD1">
        <w:t>ed that aim.</w:t>
      </w:r>
    </w:p>
    <w:p w:rsidRPr="002A3213" w:rsidR="00BB22B5" w:rsidP="002A3213" w:rsidRDefault="00BB22B5">
      <w:pPr>
        <w:pStyle w:val="ECHRHeading6"/>
      </w:pPr>
      <w:r w:rsidRPr="002A3213">
        <w:t>(</w:t>
      </w:r>
      <w:r w:rsidRPr="002A3213">
        <w:rPr>
          <w:rFonts w:cstheme="majorHAnsi"/>
        </w:rPr>
        <w:t>γ</w:t>
      </w:r>
      <w:r w:rsidRPr="002A3213" w:rsidR="00BB4761">
        <w:t>)  </w:t>
      </w:r>
      <w:r w:rsidRPr="002A3213">
        <w:t>“Necessity in a democratic society”</w:t>
      </w:r>
    </w:p>
    <w:p w:rsidRPr="002A3213" w:rsidR="00C359CC" w:rsidP="002A3213" w:rsidRDefault="006445B7">
      <w:pPr>
        <w:pStyle w:val="ECHRPara"/>
        <w:rPr>
          <w:lang w:bidi="en-US"/>
        </w:rPr>
      </w:pPr>
      <w:r w:rsidRPr="002A3213">
        <w:rPr>
          <w:lang w:bidi="en-US"/>
        </w:rPr>
        <w:fldChar w:fldCharType="begin"/>
      </w:r>
      <w:r w:rsidRPr="002A3213">
        <w:rPr>
          <w:lang w:bidi="en-US"/>
        </w:rPr>
        <w:instrText xml:space="preserve"> SEQ level0 \*arabic </w:instrText>
      </w:r>
      <w:r w:rsidRPr="002A3213">
        <w:rPr>
          <w:lang w:bidi="en-US"/>
        </w:rPr>
        <w:fldChar w:fldCharType="separate"/>
      </w:r>
      <w:r w:rsidRPr="002A3213" w:rsidR="002A3213">
        <w:rPr>
          <w:noProof/>
          <w:lang w:bidi="en-US"/>
        </w:rPr>
        <w:t>161</w:t>
      </w:r>
      <w:r w:rsidRPr="002A3213">
        <w:rPr>
          <w:lang w:bidi="en-US"/>
        </w:rPr>
        <w:fldChar w:fldCharType="end"/>
      </w:r>
      <w:r w:rsidRPr="002A3213">
        <w:rPr>
          <w:lang w:bidi="en-US"/>
        </w:rPr>
        <w:t>.  </w:t>
      </w:r>
      <w:r w:rsidRPr="002A3213" w:rsidR="006A5B09">
        <w:rPr>
          <w:lang w:bidi="en-US"/>
        </w:rPr>
        <w:t>The Court observes that</w:t>
      </w:r>
      <w:r w:rsidRPr="002A3213" w:rsidR="006F3D45">
        <w:rPr>
          <w:lang w:bidi="en-US"/>
        </w:rPr>
        <w:t xml:space="preserve"> the risk of hatred and enmity capable of leading to disorder was apparently inferred by the national authorities in the present case from their belief that the majority of Russians disapproved of homosexuality and resented any display of same-sex relatio</w:t>
      </w:r>
      <w:r w:rsidRPr="002A3213" w:rsidR="006A5B09">
        <w:rPr>
          <w:lang w:bidi="en-US"/>
        </w:rPr>
        <w:t>ns or promotion of LGBT rights</w:t>
      </w:r>
      <w:r w:rsidRPr="002A3213" w:rsidR="006F3D45">
        <w:rPr>
          <w:lang w:bidi="en-US"/>
        </w:rPr>
        <w:t xml:space="preserve">. </w:t>
      </w:r>
      <w:r w:rsidRPr="002A3213" w:rsidR="000F3E29">
        <w:rPr>
          <w:lang w:bidi="en-US"/>
        </w:rPr>
        <w:t xml:space="preserve">It was never claimed that the applicants </w:t>
      </w:r>
      <w:r w:rsidRPr="002A3213" w:rsidR="004B09CB">
        <w:rPr>
          <w:lang w:bidi="en-US"/>
        </w:rPr>
        <w:t xml:space="preserve">themselves </w:t>
      </w:r>
      <w:r w:rsidRPr="002A3213" w:rsidR="000F3E29">
        <w:rPr>
          <w:lang w:bidi="en-US"/>
        </w:rPr>
        <w:t>intended to commit any violent, aggressive or otherwise disorderly</w:t>
      </w:r>
      <w:r w:rsidRPr="002A3213" w:rsidR="004B09CB">
        <w:rPr>
          <w:lang w:bidi="en-US"/>
        </w:rPr>
        <w:t xml:space="preserve"> actions</w:t>
      </w:r>
      <w:r w:rsidRPr="002A3213" w:rsidR="000F3E29">
        <w:rPr>
          <w:lang w:bidi="en-US"/>
        </w:rPr>
        <w:t xml:space="preserve">. </w:t>
      </w:r>
      <w:r w:rsidRPr="002A3213" w:rsidR="00C16D5D">
        <w:rPr>
          <w:lang w:bidi="en-US"/>
        </w:rPr>
        <w:t>Instead</w:t>
      </w:r>
      <w:r w:rsidRPr="002A3213" w:rsidR="000F3E29">
        <w:rPr>
          <w:lang w:bidi="en-US"/>
        </w:rPr>
        <w:t xml:space="preserve">, </w:t>
      </w:r>
      <w:r w:rsidRPr="002A3213" w:rsidR="004B09CB">
        <w:rPr>
          <w:lang w:bidi="en-US"/>
        </w:rPr>
        <w:t xml:space="preserve">the authorities considered that </w:t>
      </w:r>
      <w:r w:rsidRPr="002A3213" w:rsidR="00924C47">
        <w:rPr>
          <w:lang w:bidi="en-US"/>
        </w:rPr>
        <w:t>the applicants</w:t>
      </w:r>
      <w:r w:rsidRPr="002A3213" w:rsidR="000F3E29">
        <w:rPr>
          <w:lang w:bidi="en-US"/>
        </w:rPr>
        <w:t xml:space="preserve"> </w:t>
      </w:r>
      <w:r w:rsidRPr="002A3213" w:rsidR="004B09CB">
        <w:rPr>
          <w:lang w:bidi="en-US"/>
        </w:rPr>
        <w:t>might potentially</w:t>
      </w:r>
      <w:r w:rsidRPr="002A3213" w:rsidR="000F3E29">
        <w:rPr>
          <w:lang w:bidi="en-US"/>
        </w:rPr>
        <w:t xml:space="preserve"> become victims of aggression by persons who disapproved</w:t>
      </w:r>
      <w:r w:rsidRPr="002A3213" w:rsidR="000D2855">
        <w:rPr>
          <w:lang w:bidi="en-US"/>
        </w:rPr>
        <w:t xml:space="preserve"> of homosexuality.</w:t>
      </w:r>
    </w:p>
    <w:p w:rsidRPr="002A3213" w:rsidR="005D59EB" w:rsidP="002A3213" w:rsidRDefault="003A691C">
      <w:pPr>
        <w:pStyle w:val="ECHRPara"/>
      </w:pPr>
      <w:r w:rsidRPr="002A3213">
        <w:rPr>
          <w:lang w:bidi="en-US"/>
        </w:rPr>
        <w:fldChar w:fldCharType="begin"/>
      </w:r>
      <w:r w:rsidRPr="002A3213">
        <w:rPr>
          <w:lang w:bidi="en-US"/>
        </w:rPr>
        <w:instrText xml:space="preserve"> SEQ level0 \*arabic </w:instrText>
      </w:r>
      <w:r w:rsidRPr="002A3213">
        <w:rPr>
          <w:lang w:bidi="en-US"/>
        </w:rPr>
        <w:fldChar w:fldCharType="separate"/>
      </w:r>
      <w:r w:rsidRPr="002A3213" w:rsidR="002A3213">
        <w:rPr>
          <w:noProof/>
          <w:lang w:bidi="en-US"/>
        </w:rPr>
        <w:t>162</w:t>
      </w:r>
      <w:r w:rsidRPr="002A3213">
        <w:rPr>
          <w:lang w:bidi="en-US"/>
        </w:rPr>
        <w:fldChar w:fldCharType="end"/>
      </w:r>
      <w:r w:rsidRPr="002A3213">
        <w:rPr>
          <w:lang w:bidi="en-US"/>
        </w:rPr>
        <w:t xml:space="preserve">.  The Court reiterates in this connection </w:t>
      </w:r>
      <w:r w:rsidRPr="002A3213" w:rsidR="00410F24">
        <w:rPr>
          <w:lang w:bidi="en-US"/>
        </w:rPr>
        <w:t xml:space="preserve">that </w:t>
      </w:r>
      <w:r w:rsidRPr="002A3213" w:rsidR="00C3046E">
        <w:rPr>
          <w:lang w:bidi="en-US"/>
        </w:rPr>
        <w:t>genuine and effective respect for freedom of association cannot be reduced to a mere duty on the part of the State not to interfere; a purely negative conception would not be compatible with the purpose of Article 11 or with that of the Convention in general. There may thus be positive obligations to secure the effective enjoyment of the right to freedom of association even in the sphere of relations between individuals. Accordingly, it is incumbent upon public authorities to guarantee the proper functioning of association</w:t>
      </w:r>
      <w:r w:rsidRPr="002A3213" w:rsidR="003E2AA8">
        <w:rPr>
          <w:lang w:bidi="en-US"/>
        </w:rPr>
        <w:t>s</w:t>
      </w:r>
      <w:r w:rsidRPr="002A3213" w:rsidR="00C3046E">
        <w:rPr>
          <w:lang w:bidi="en-US"/>
        </w:rPr>
        <w:t xml:space="preserve"> or political part</w:t>
      </w:r>
      <w:r w:rsidRPr="002A3213" w:rsidR="003E2AA8">
        <w:rPr>
          <w:lang w:bidi="en-US"/>
        </w:rPr>
        <w:t>ies</w:t>
      </w:r>
      <w:r w:rsidRPr="002A3213" w:rsidR="00C3046E">
        <w:rPr>
          <w:lang w:bidi="en-US"/>
        </w:rPr>
        <w:t>, even when they annoy or give offence to persons opposed to the lawful ideas or claims that they are seeking to promote. Their members must be able to hold meetings without having to fear that they will be subjected to physical violence by their opponents. Such a fear would be liable to deter other associations or political parties from openly expressing their opinions on highly controversial issues affecting the community. In a democracy the right to counter-demonstrate cannot extend to inhibiting the exercise of the right of association</w:t>
      </w:r>
      <w:r w:rsidRPr="002A3213" w:rsidR="00603965">
        <w:rPr>
          <w:lang w:bidi="en-US"/>
        </w:rPr>
        <w:t xml:space="preserve"> (see </w:t>
      </w:r>
      <w:r w:rsidRPr="002A3213" w:rsidR="00603965">
        <w:rPr>
          <w:i/>
        </w:rPr>
        <w:t>Ouranio Toxo and Others v. Greece</w:t>
      </w:r>
      <w:r w:rsidRPr="002A3213" w:rsidR="00603965">
        <w:t>, no. 74989/01, § 37, ECHR 2005</w:t>
      </w:r>
      <w:r w:rsidRPr="002A3213" w:rsidR="00603965">
        <w:noBreakHyphen/>
        <w:t>X (extracts), with further references).</w:t>
      </w:r>
    </w:p>
    <w:p w:rsidRPr="002A3213" w:rsidR="00516014" w:rsidP="002A3213" w:rsidRDefault="00516014">
      <w:pPr>
        <w:pStyle w:val="ECHRPara"/>
        <w:rPr>
          <w:bCs/>
          <w:lang w:bidi="en-US"/>
        </w:rPr>
      </w:pPr>
      <w:r w:rsidRPr="002A3213">
        <w:rPr>
          <w:lang w:bidi="en-US"/>
        </w:rPr>
        <w:fldChar w:fldCharType="begin"/>
      </w:r>
      <w:r w:rsidRPr="002A3213">
        <w:rPr>
          <w:lang w:bidi="en-US"/>
        </w:rPr>
        <w:instrText xml:space="preserve"> SEQ level0 \*arabic </w:instrText>
      </w:r>
      <w:r w:rsidRPr="002A3213">
        <w:rPr>
          <w:lang w:bidi="en-US"/>
        </w:rPr>
        <w:fldChar w:fldCharType="separate"/>
      </w:r>
      <w:r w:rsidRPr="002A3213" w:rsidR="002A3213">
        <w:rPr>
          <w:noProof/>
          <w:lang w:bidi="en-US"/>
        </w:rPr>
        <w:t>163</w:t>
      </w:r>
      <w:r w:rsidRPr="002A3213">
        <w:rPr>
          <w:lang w:bidi="en-US"/>
        </w:rPr>
        <w:fldChar w:fldCharType="end"/>
      </w:r>
      <w:r w:rsidRPr="002A3213">
        <w:rPr>
          <w:lang w:bidi="en-US"/>
        </w:rPr>
        <w:t>.  </w:t>
      </w:r>
      <w:r w:rsidRPr="002A3213" w:rsidR="00FD014C">
        <w:rPr>
          <w:lang w:bidi="en-US"/>
        </w:rPr>
        <w:t>The</w:t>
      </w:r>
      <w:r w:rsidRPr="002A3213" w:rsidR="00891FD7">
        <w:rPr>
          <w:lang w:bidi="en-US"/>
        </w:rPr>
        <w:t xml:space="preserve"> </w:t>
      </w:r>
      <w:r w:rsidRPr="002A3213" w:rsidR="00FD014C">
        <w:rPr>
          <w:lang w:bidi="en-US"/>
        </w:rPr>
        <w:t xml:space="preserve">positive </w:t>
      </w:r>
      <w:r w:rsidRPr="002A3213" w:rsidR="00891FD7">
        <w:rPr>
          <w:lang w:bidi="en-US"/>
        </w:rPr>
        <w:t xml:space="preserve">obligation </w:t>
      </w:r>
      <w:r w:rsidRPr="002A3213" w:rsidR="00FD014C">
        <w:rPr>
          <w:lang w:bidi="en-US"/>
        </w:rPr>
        <w:t xml:space="preserve">to secure the effective enjoyment of the right to freedom of association and assembly </w:t>
      </w:r>
      <w:r w:rsidRPr="002A3213" w:rsidR="00891FD7">
        <w:rPr>
          <w:lang w:bidi="en-US"/>
        </w:rPr>
        <w:t>is of particular importance for persons holding unpopular views or belonging to minorities, because they are m</w:t>
      </w:r>
      <w:r w:rsidRPr="002A3213" w:rsidR="00AE4596">
        <w:rPr>
          <w:lang w:bidi="en-US"/>
        </w:rPr>
        <w:t>ore vulnerable to victimisation (see</w:t>
      </w:r>
      <w:r w:rsidRPr="002A3213" w:rsidR="0040691A">
        <w:rPr>
          <w:rFonts w:ascii="Arial-BoldMT" w:hAnsi="Arial-BoldMT" w:cs="Arial-BoldMT" w:eastAsiaTheme="minorHAnsi"/>
          <w:b/>
          <w:bCs/>
          <w:color w:val="262626"/>
          <w:szCs w:val="24"/>
        </w:rPr>
        <w:t xml:space="preserve"> </w:t>
      </w:r>
      <w:r w:rsidRPr="002A3213" w:rsidR="00AE4596">
        <w:rPr>
          <w:bCs/>
          <w:i/>
          <w:lang w:bidi="en-US"/>
        </w:rPr>
        <w:t>Bączkowski and Others</w:t>
      </w:r>
      <w:r w:rsidRPr="002A3213" w:rsidR="00AE4596">
        <w:rPr>
          <w:bCs/>
          <w:lang w:bidi="en-US"/>
        </w:rPr>
        <w:t>,</w:t>
      </w:r>
      <w:r w:rsidRPr="002A3213" w:rsidR="00AE4596">
        <w:rPr>
          <w:bCs/>
          <w:i/>
          <w:lang w:bidi="en-US"/>
        </w:rPr>
        <w:t xml:space="preserve"> </w:t>
      </w:r>
      <w:r w:rsidRPr="002A3213" w:rsidR="00AE4596">
        <w:rPr>
          <w:bCs/>
          <w:lang w:bidi="en-US"/>
        </w:rPr>
        <w:t>cited above,</w:t>
      </w:r>
      <w:r w:rsidRPr="002A3213" w:rsidR="00AE4596">
        <w:rPr>
          <w:bCs/>
          <w:i/>
          <w:lang w:bidi="en-US"/>
        </w:rPr>
        <w:t xml:space="preserve"> </w:t>
      </w:r>
      <w:r w:rsidRPr="002A3213" w:rsidR="00AE4596">
        <w:rPr>
          <w:bCs/>
          <w:lang w:bidi="en-US"/>
        </w:rPr>
        <w:t>§</w:t>
      </w:r>
      <w:r w:rsidRPr="002A3213" w:rsidR="0040691A">
        <w:rPr>
          <w:bCs/>
          <w:lang w:bidi="en-US"/>
        </w:rPr>
        <w:t xml:space="preserve"> 64</w:t>
      </w:r>
      <w:r w:rsidRPr="002A3213" w:rsidR="000555C0">
        <w:rPr>
          <w:bCs/>
          <w:lang w:bidi="en-US"/>
        </w:rPr>
        <w:t xml:space="preserve">). </w:t>
      </w:r>
      <w:r w:rsidRPr="002A3213">
        <w:rPr>
          <w:bCs/>
          <w:lang w:bidi="en-US"/>
        </w:rPr>
        <w:t xml:space="preserve">The Court considers that </w:t>
      </w:r>
      <w:r w:rsidRPr="002A3213" w:rsidR="00C16D5D">
        <w:rPr>
          <w:bCs/>
          <w:lang w:bidi="en-US"/>
        </w:rPr>
        <w:t>reference to</w:t>
      </w:r>
      <w:r w:rsidRPr="002A3213">
        <w:rPr>
          <w:bCs/>
          <w:lang w:bidi="en-US"/>
        </w:rPr>
        <w:t xml:space="preserve"> the consciousness of belonging to a minority, the preservation and development of a minority</w:t>
      </w:r>
      <w:r w:rsidRPr="002A3213" w:rsidR="002A3213">
        <w:rPr>
          <w:bCs/>
          <w:lang w:bidi="en-US"/>
        </w:rPr>
        <w:t>’</w:t>
      </w:r>
      <w:r w:rsidRPr="002A3213">
        <w:rPr>
          <w:bCs/>
          <w:lang w:bidi="en-US"/>
        </w:rPr>
        <w:t>s culture or the defence of a minority</w:t>
      </w:r>
      <w:r w:rsidRPr="002A3213" w:rsidR="002A3213">
        <w:rPr>
          <w:bCs/>
          <w:lang w:bidi="en-US"/>
        </w:rPr>
        <w:t>’</w:t>
      </w:r>
      <w:r w:rsidRPr="002A3213">
        <w:rPr>
          <w:bCs/>
          <w:lang w:bidi="en-US"/>
        </w:rPr>
        <w:t xml:space="preserve">s rights cannot be said to constitute a threat to “democratic society”, even though it may provoke tensions. The emergence of tensions is one of the unavoidable consequences of pluralism, that is to say the free discussion of all political ideas. Accordingly, the role of the authorities in such circumstances is not to remove the cause of tension by eliminating pluralism, but to ensure that the competing groups tolerate each other (see, </w:t>
      </w:r>
      <w:r w:rsidRPr="002A3213">
        <w:rPr>
          <w:bCs/>
          <w:i/>
          <w:lang w:bidi="en-US"/>
        </w:rPr>
        <w:t>mutatis mutandis</w:t>
      </w:r>
      <w:r w:rsidRPr="002A3213">
        <w:rPr>
          <w:bCs/>
          <w:lang w:bidi="en-US"/>
        </w:rPr>
        <w:t>,</w:t>
      </w:r>
      <w:r w:rsidRPr="002A3213">
        <w:rPr>
          <w:bCs/>
          <w:i/>
          <w:lang w:bidi="en-US"/>
        </w:rPr>
        <w:t xml:space="preserve"> Ouranio Toxo and Others</w:t>
      </w:r>
      <w:r w:rsidRPr="002A3213">
        <w:rPr>
          <w:bCs/>
          <w:lang w:bidi="en-US"/>
        </w:rPr>
        <w:t>, cited above,</w:t>
      </w:r>
      <w:r w:rsidRPr="002A3213">
        <w:rPr>
          <w:bCs/>
          <w:i/>
          <w:lang w:bidi="en-US"/>
        </w:rPr>
        <w:t xml:space="preserve"> </w:t>
      </w:r>
      <w:r w:rsidRPr="002A3213">
        <w:rPr>
          <w:bCs/>
          <w:lang w:bidi="en-US"/>
        </w:rPr>
        <w:t>§ 40; see also</w:t>
      </w:r>
      <w:r w:rsidRPr="002A3213" w:rsidR="00187676">
        <w:rPr>
          <w:bCs/>
          <w:lang w:bidi="en-US"/>
        </w:rPr>
        <w:t xml:space="preserve"> </w:t>
      </w:r>
      <w:r w:rsidRPr="002A3213" w:rsidR="00187676">
        <w:rPr>
          <w:i/>
        </w:rPr>
        <w:t>Serif v. Greece</w:t>
      </w:r>
      <w:r w:rsidRPr="002A3213" w:rsidR="00187676">
        <w:t>, no. 38178/97, § 53, ECHR 1999</w:t>
      </w:r>
      <w:r w:rsidRPr="002A3213" w:rsidR="00187676">
        <w:noBreakHyphen/>
        <w:t xml:space="preserve">IX, and </w:t>
      </w:r>
      <w:r w:rsidRPr="002A3213" w:rsidR="00187676">
        <w:rPr>
          <w:i/>
        </w:rPr>
        <w:t xml:space="preserve">Leyla Şahin v. Turkey </w:t>
      </w:r>
      <w:r w:rsidRPr="002A3213" w:rsidR="00187676">
        <w:t>[GC], no. 44774/98, § 107, ECHR 2005</w:t>
      </w:r>
      <w:r w:rsidRPr="002A3213" w:rsidR="00187676">
        <w:noBreakHyphen/>
        <w:t>XI</w:t>
      </w:r>
      <w:r w:rsidRPr="002A3213">
        <w:rPr>
          <w:bCs/>
          <w:lang w:bidi="en-US"/>
        </w:rPr>
        <w:t>).</w:t>
      </w:r>
    </w:p>
    <w:p w:rsidRPr="002A3213" w:rsidR="005D59EB" w:rsidP="002A3213" w:rsidRDefault="00AD4EB1">
      <w:pPr>
        <w:pStyle w:val="ECHRPara"/>
        <w:rPr>
          <w:lang w:bidi="en-US"/>
        </w:rPr>
      </w:pPr>
      <w:r w:rsidRPr="002A3213">
        <w:rPr>
          <w:bCs/>
          <w:lang w:bidi="en-US"/>
        </w:rPr>
        <w:fldChar w:fldCharType="begin"/>
      </w:r>
      <w:r w:rsidRPr="002A3213">
        <w:rPr>
          <w:bCs/>
          <w:lang w:bidi="en-US"/>
        </w:rPr>
        <w:instrText xml:space="preserve"> SEQ level0 \*arabic </w:instrText>
      </w:r>
      <w:r w:rsidRPr="002A3213">
        <w:rPr>
          <w:bCs/>
          <w:lang w:bidi="en-US"/>
        </w:rPr>
        <w:fldChar w:fldCharType="separate"/>
      </w:r>
      <w:r w:rsidRPr="002A3213" w:rsidR="002A3213">
        <w:rPr>
          <w:bCs/>
          <w:noProof/>
          <w:lang w:bidi="en-US"/>
        </w:rPr>
        <w:t>164</w:t>
      </w:r>
      <w:r w:rsidRPr="002A3213">
        <w:rPr>
          <w:bCs/>
          <w:lang w:bidi="en-US"/>
        </w:rPr>
        <w:fldChar w:fldCharType="end"/>
      </w:r>
      <w:r w:rsidRPr="002A3213">
        <w:rPr>
          <w:bCs/>
          <w:lang w:bidi="en-US"/>
        </w:rPr>
        <w:t>.  </w:t>
      </w:r>
      <w:r w:rsidRPr="002A3213" w:rsidR="009B0E6B">
        <w:rPr>
          <w:bCs/>
          <w:lang w:bidi="en-US"/>
        </w:rPr>
        <w:t xml:space="preserve">It follows that it was the duty of </w:t>
      </w:r>
      <w:r w:rsidRPr="002A3213" w:rsidR="00C16D5D">
        <w:rPr>
          <w:bCs/>
          <w:lang w:bidi="en-US"/>
        </w:rPr>
        <w:t xml:space="preserve">the </w:t>
      </w:r>
      <w:r w:rsidRPr="002A3213" w:rsidR="009B0E6B">
        <w:rPr>
          <w:bCs/>
          <w:lang w:bidi="en-US"/>
        </w:rPr>
        <w:t xml:space="preserve">Russian authorities to take reasonable and appropriate measures to enable the applicant </w:t>
      </w:r>
      <w:r w:rsidRPr="002A3213" w:rsidR="000B1454">
        <w:rPr>
          <w:bCs/>
          <w:lang w:bidi="en-US"/>
        </w:rPr>
        <w:t>organisations</w:t>
      </w:r>
      <w:r w:rsidRPr="002A3213" w:rsidR="009B0E6B">
        <w:rPr>
          <w:bCs/>
          <w:lang w:bidi="en-US"/>
        </w:rPr>
        <w:t xml:space="preserve"> to carry out their activities without having to fear that they </w:t>
      </w:r>
      <w:r w:rsidRPr="002A3213" w:rsidR="00C16D5D">
        <w:rPr>
          <w:bCs/>
          <w:lang w:bidi="en-US"/>
        </w:rPr>
        <w:t xml:space="preserve">would </w:t>
      </w:r>
      <w:r w:rsidRPr="002A3213" w:rsidR="009B0E6B">
        <w:rPr>
          <w:bCs/>
          <w:lang w:bidi="en-US"/>
        </w:rPr>
        <w:t>be subjected to physical violence by their opponents</w:t>
      </w:r>
      <w:r w:rsidRPr="002A3213" w:rsidR="008F3FC8">
        <w:rPr>
          <w:bCs/>
          <w:lang w:bidi="en-US"/>
        </w:rPr>
        <w:t xml:space="preserve">. The Court observes that the domestic authorities had a wide discretion in the choice of means which would have enabled the applicant </w:t>
      </w:r>
      <w:r w:rsidRPr="002A3213" w:rsidR="000B1454">
        <w:rPr>
          <w:bCs/>
          <w:lang w:bidi="en-US"/>
        </w:rPr>
        <w:t>organisations</w:t>
      </w:r>
      <w:r w:rsidRPr="002A3213" w:rsidR="008F3FC8">
        <w:rPr>
          <w:bCs/>
          <w:lang w:bidi="en-US"/>
        </w:rPr>
        <w:t xml:space="preserve"> to function without disturbance, such as</w:t>
      </w:r>
      <w:r w:rsidRPr="002A3213" w:rsidR="00C41136">
        <w:rPr>
          <w:lang w:bidi="en-US"/>
        </w:rPr>
        <w:t xml:space="preserve"> </w:t>
      </w:r>
      <w:r w:rsidRPr="002A3213">
        <w:rPr>
          <w:lang w:bidi="en-US"/>
        </w:rPr>
        <w:t>for instance making public statements to advocate, without any ambiguity, a tolerant, conciliatory stance</w:t>
      </w:r>
      <w:r w:rsidRPr="002A3213" w:rsidR="00C16D5D">
        <w:rPr>
          <w:lang w:bidi="en-US"/>
        </w:rPr>
        <w:t>,</w:t>
      </w:r>
      <w:r w:rsidRPr="002A3213">
        <w:rPr>
          <w:lang w:bidi="en-US"/>
        </w:rPr>
        <w:t xml:space="preserve"> as well as to warn potential </w:t>
      </w:r>
      <w:r w:rsidRPr="002A3213" w:rsidR="008F3FC8">
        <w:rPr>
          <w:lang w:bidi="en-US"/>
        </w:rPr>
        <w:t>aggressors</w:t>
      </w:r>
      <w:r w:rsidRPr="002A3213">
        <w:rPr>
          <w:lang w:bidi="en-US"/>
        </w:rPr>
        <w:t xml:space="preserve"> of </w:t>
      </w:r>
      <w:r w:rsidRPr="002A3213" w:rsidR="008F3FC8">
        <w:rPr>
          <w:lang w:bidi="en-US"/>
        </w:rPr>
        <w:t xml:space="preserve">possible sanctions </w:t>
      </w:r>
      <w:r w:rsidRPr="002A3213">
        <w:rPr>
          <w:lang w:bidi="en-US"/>
        </w:rPr>
        <w:t>(</w:t>
      </w:r>
      <w:r w:rsidRPr="002A3213" w:rsidR="008F3FC8">
        <w:rPr>
          <w:lang w:bidi="en-US"/>
        </w:rPr>
        <w:t xml:space="preserve">see, for similar reasoning, </w:t>
      </w:r>
      <w:r w:rsidRPr="002A3213" w:rsidR="008F3FC8">
        <w:rPr>
          <w:i/>
        </w:rPr>
        <w:t>Identoba and Others v. Georgia</w:t>
      </w:r>
      <w:r w:rsidRPr="002A3213" w:rsidR="008F3FC8">
        <w:t xml:space="preserve">, </w:t>
      </w:r>
      <w:r w:rsidRPr="002A3213" w:rsidR="008F3FC8">
        <w:rPr>
          <w:snapToGrid w:val="0"/>
        </w:rPr>
        <w:t>no.</w:t>
      </w:r>
      <w:r w:rsidRPr="002A3213" w:rsidR="008F3FC8">
        <w:t xml:space="preserve"> 73235/12</w:t>
      </w:r>
      <w:r w:rsidRPr="002A3213" w:rsidR="008F3FC8">
        <w:rPr>
          <w:snapToGrid w:val="0"/>
        </w:rPr>
        <w:t>, § 99, 12 May 2015</w:t>
      </w:r>
      <w:r w:rsidRPr="002A3213">
        <w:rPr>
          <w:lang w:bidi="en-US"/>
        </w:rPr>
        <w:t>)</w:t>
      </w:r>
      <w:r w:rsidRPr="002A3213" w:rsidR="008F3FC8">
        <w:rPr>
          <w:lang w:bidi="en-US"/>
        </w:rPr>
        <w:t xml:space="preserve">. </w:t>
      </w:r>
      <w:r w:rsidRPr="002A3213" w:rsidR="00E93A72">
        <w:rPr>
          <w:lang w:bidi="en-US"/>
        </w:rPr>
        <w:t>There is no evidence that</w:t>
      </w:r>
      <w:r w:rsidRPr="002A3213" w:rsidR="00C16D5D">
        <w:rPr>
          <w:lang w:bidi="en-US"/>
        </w:rPr>
        <w:t xml:space="preserve"> the</w:t>
      </w:r>
      <w:r w:rsidRPr="002A3213" w:rsidR="00E93A72">
        <w:rPr>
          <w:lang w:bidi="en-US"/>
        </w:rPr>
        <w:t xml:space="preserve"> Russian authorities considered taking any such measures. Instead, they </w:t>
      </w:r>
      <w:r w:rsidRPr="002A3213" w:rsidR="00E15470">
        <w:rPr>
          <w:lang w:bidi="en-US"/>
        </w:rPr>
        <w:t>decided to remove the cause of tension and avert a risk of disorder by restricting the applicant</w:t>
      </w:r>
      <w:r w:rsidRPr="002A3213" w:rsidR="002A3213">
        <w:rPr>
          <w:lang w:bidi="en-US"/>
        </w:rPr>
        <w:t>’</w:t>
      </w:r>
      <w:r w:rsidRPr="002A3213" w:rsidR="00E15470">
        <w:rPr>
          <w:lang w:bidi="en-US"/>
        </w:rPr>
        <w:t xml:space="preserve">s freedom of association. In such circumstances the Court cannot accept that the refusal to register the applicant </w:t>
      </w:r>
      <w:r w:rsidRPr="002A3213" w:rsidR="000B1454">
        <w:rPr>
          <w:lang w:bidi="en-US"/>
        </w:rPr>
        <w:t>organisations</w:t>
      </w:r>
      <w:r w:rsidRPr="002A3213" w:rsidR="00E15470">
        <w:rPr>
          <w:lang w:bidi="en-US"/>
        </w:rPr>
        <w:t xml:space="preserve"> was “necessary in a democratic society”.</w:t>
      </w:r>
    </w:p>
    <w:p w:rsidRPr="002A3213" w:rsidR="005D59EB" w:rsidP="002A3213" w:rsidRDefault="00E93A72">
      <w:pPr>
        <w:pStyle w:val="ECHRPara"/>
      </w:pPr>
      <w:r w:rsidRPr="002A3213">
        <w:rPr>
          <w:lang w:bidi="en-US"/>
        </w:rPr>
        <w:fldChar w:fldCharType="begin"/>
      </w:r>
      <w:r w:rsidRPr="002A3213">
        <w:rPr>
          <w:lang w:bidi="en-US"/>
        </w:rPr>
        <w:instrText xml:space="preserve"> SEQ level0 \*arabic </w:instrText>
      </w:r>
      <w:r w:rsidRPr="002A3213">
        <w:rPr>
          <w:lang w:bidi="en-US"/>
        </w:rPr>
        <w:fldChar w:fldCharType="separate"/>
      </w:r>
      <w:r w:rsidRPr="002A3213" w:rsidR="002A3213">
        <w:rPr>
          <w:noProof/>
          <w:lang w:bidi="en-US"/>
        </w:rPr>
        <w:t>165</w:t>
      </w:r>
      <w:r w:rsidRPr="002A3213">
        <w:rPr>
          <w:lang w:bidi="en-US"/>
        </w:rPr>
        <w:fldChar w:fldCharType="end"/>
      </w:r>
      <w:r w:rsidRPr="002A3213">
        <w:rPr>
          <w:lang w:bidi="en-US"/>
        </w:rPr>
        <w:t>.  </w:t>
      </w:r>
      <w:r w:rsidRPr="002A3213" w:rsidR="00F201DF">
        <w:t xml:space="preserve">There has therefore </w:t>
      </w:r>
      <w:r w:rsidRPr="002A3213" w:rsidR="00C16D5D">
        <w:t xml:space="preserve">been </w:t>
      </w:r>
      <w:r w:rsidRPr="002A3213" w:rsidR="00F201DF">
        <w:t xml:space="preserve">a violation of Article 11 of the </w:t>
      </w:r>
      <w:r w:rsidRPr="002A3213" w:rsidR="00C16D5D">
        <w:t>C</w:t>
      </w:r>
      <w:r w:rsidRPr="002A3213" w:rsidR="00F201DF">
        <w:t xml:space="preserve">onvention in respect of </w:t>
      </w:r>
      <w:r w:rsidRPr="002A3213" w:rsidR="00442FAE">
        <w:t>all</w:t>
      </w:r>
      <w:r w:rsidRPr="002A3213" w:rsidR="00F201DF">
        <w:t xml:space="preserve"> </w:t>
      </w:r>
      <w:r w:rsidRPr="002A3213" w:rsidR="009B6241">
        <w:t xml:space="preserve">the </w:t>
      </w:r>
      <w:r w:rsidRPr="002A3213" w:rsidR="00F201DF">
        <w:t>applicant</w:t>
      </w:r>
      <w:r w:rsidRPr="002A3213" w:rsidR="00442FAE">
        <w:t>s</w:t>
      </w:r>
      <w:r w:rsidRPr="002A3213" w:rsidR="00F201DF">
        <w:t>.</w:t>
      </w:r>
    </w:p>
    <w:p w:rsidRPr="002A3213" w:rsidR="00D420F3" w:rsidP="002A3213" w:rsidRDefault="00D70CDB">
      <w:pPr>
        <w:pStyle w:val="ECHRHeading1"/>
      </w:pPr>
      <w:r w:rsidRPr="002A3213">
        <w:t>V</w:t>
      </w:r>
      <w:r w:rsidRPr="002A3213" w:rsidR="0077175D">
        <w:t xml:space="preserve">.  ALLEGED VIOLATION OF ARTICLE </w:t>
      </w:r>
      <w:r w:rsidRPr="002A3213" w:rsidR="00EF04B9">
        <w:t>14</w:t>
      </w:r>
      <w:r w:rsidRPr="002A3213" w:rsidR="0077175D">
        <w:t xml:space="preserve"> OF THE CONVENTION</w:t>
      </w:r>
    </w:p>
    <w:p w:rsidRPr="002A3213" w:rsidR="00D420F3" w:rsidP="002A3213" w:rsidRDefault="00961FF4">
      <w:pPr>
        <w:pStyle w:val="ECHRPara"/>
      </w:pPr>
      <w:r w:rsidRPr="002A3213">
        <w:fldChar w:fldCharType="begin"/>
      </w:r>
      <w:r w:rsidRPr="002A3213">
        <w:instrText xml:space="preserve"> SEQ level0 \*arabic </w:instrText>
      </w:r>
      <w:r w:rsidRPr="002A3213">
        <w:fldChar w:fldCharType="separate"/>
      </w:r>
      <w:r w:rsidRPr="002A3213" w:rsidR="002A3213">
        <w:rPr>
          <w:noProof/>
        </w:rPr>
        <w:t>166</w:t>
      </w:r>
      <w:r w:rsidRPr="002A3213">
        <w:fldChar w:fldCharType="end"/>
      </w:r>
      <w:r w:rsidRPr="002A3213" w:rsidR="0077175D">
        <w:t>.  The applicant</w:t>
      </w:r>
      <w:r w:rsidRPr="002A3213">
        <w:t>s</w:t>
      </w:r>
      <w:r w:rsidRPr="002A3213" w:rsidR="0077175D">
        <w:t xml:space="preserve"> complained </w:t>
      </w:r>
      <w:r w:rsidRPr="002A3213" w:rsidR="00552F5B">
        <w:t xml:space="preserve">that the refusals to register the applicant organisations amounted to discrimination on grounds of sexual orientation. </w:t>
      </w:r>
      <w:r w:rsidRPr="002A3213" w:rsidR="00E27ED6">
        <w:t>They</w:t>
      </w:r>
      <w:r w:rsidRPr="002A3213" w:rsidR="00552F5B">
        <w:t xml:space="preserve"> relied on Article 14 of the Convention, taken in conjunction with Article 11. Article 14 reads as follows:</w:t>
      </w:r>
    </w:p>
    <w:p w:rsidRPr="002A3213" w:rsidR="00552F5B" w:rsidP="002A3213" w:rsidRDefault="00552F5B">
      <w:pPr>
        <w:pStyle w:val="ECHRParaQuote"/>
      </w:pPr>
      <w:r w:rsidRPr="002A3213">
        <w:t>“The enjoyment of the rights and freedoms set forth in [the] Convention shall be secured without discrimination on any ground such as sex, race, colour, language, religion, political or other opinion, national or social origin, association with a national minority, property, birth or other status.”</w:t>
      </w:r>
    </w:p>
    <w:p w:rsidRPr="002A3213" w:rsidR="00A868DC" w:rsidP="002A3213" w:rsidRDefault="00A868DC">
      <w:pPr>
        <w:pStyle w:val="ECHRHeading2"/>
      </w:pPr>
      <w:r w:rsidRPr="002A3213">
        <w:t>A.</w:t>
      </w:r>
      <w:r w:rsidRPr="002A3213" w:rsidR="002B40E6">
        <w:t>  </w:t>
      </w:r>
      <w:r w:rsidRPr="002A3213">
        <w:t>Admissibility</w:t>
      </w:r>
    </w:p>
    <w:p w:rsidRPr="002A3213" w:rsidR="00D93F7D" w:rsidP="002A3213" w:rsidRDefault="00D93F7D">
      <w:pPr>
        <w:pStyle w:val="ECHRHeading3"/>
      </w:pPr>
      <w:r w:rsidRPr="002A3213">
        <w:t>1</w:t>
      </w:r>
      <w:r w:rsidRPr="002A3213" w:rsidR="004F4FD8">
        <w:t>. </w:t>
      </w:r>
      <w:r w:rsidRPr="002A3213">
        <w:t> Applicability of Article 14</w:t>
      </w:r>
    </w:p>
    <w:p w:rsidRPr="002A3213" w:rsidR="00D93F7D" w:rsidP="002A3213" w:rsidRDefault="00B067AD">
      <w:pPr>
        <w:pStyle w:val="ECHRPara"/>
      </w:pPr>
      <w:r w:rsidRPr="002A3213">
        <w:fldChar w:fldCharType="begin"/>
      </w:r>
      <w:r w:rsidRPr="002A3213">
        <w:instrText xml:space="preserve"> SEQ level0 \*arabic </w:instrText>
      </w:r>
      <w:r w:rsidRPr="002A3213">
        <w:fldChar w:fldCharType="separate"/>
      </w:r>
      <w:r w:rsidRPr="002A3213" w:rsidR="002A3213">
        <w:rPr>
          <w:noProof/>
        </w:rPr>
        <w:t>167</w:t>
      </w:r>
      <w:r w:rsidRPr="002A3213">
        <w:fldChar w:fldCharType="end"/>
      </w:r>
      <w:r w:rsidRPr="002A3213" w:rsidR="00D93F7D">
        <w:t>.  As the Court has consistently held, Article 14 complements the other substantive provisions of the Convention and its Protocols. It has no independent existence since it has effect solely in relation to “the enjoyment of the rights and freedoms” safeguarded thereby. Although the application of Article 14 does not presuppose a breach of those provisions – and to this extent it is autonomous – there can be no room for its application unless the facts at issue fall within the ambit of one or more of them. The prohibition of discrimination enshrined in Article 14 thus extends beyond the enjoyment of the rights and freedoms which the Convention and the Protocols thereto require each State to guarantee. It applies also to those additional rights, falling within the general scope of any Convention Article, for which the State has voluntarily decided to provide. This principle is well entrenched in the Court</w:t>
      </w:r>
      <w:r w:rsidRPr="002A3213" w:rsidR="002A3213">
        <w:t>’</w:t>
      </w:r>
      <w:r w:rsidRPr="002A3213" w:rsidR="00D93F7D">
        <w:t xml:space="preserve">s case-law (see, among many other authorities, </w:t>
      </w:r>
      <w:r w:rsidRPr="002A3213" w:rsidR="00DE58B3">
        <w:rPr>
          <w:i/>
        </w:rPr>
        <w:t>E.B. </w:t>
      </w:r>
      <w:r w:rsidRPr="002A3213" w:rsidR="00D93F7D">
        <w:rPr>
          <w:i/>
        </w:rPr>
        <w:t>v. France</w:t>
      </w:r>
      <w:r w:rsidRPr="002A3213" w:rsidR="00D93F7D">
        <w:t xml:space="preserve"> [GC], no. 43546/02, §§ 47-48, 22 January 2008).</w:t>
      </w:r>
    </w:p>
    <w:p w:rsidRPr="002A3213" w:rsidR="00D93F7D" w:rsidP="002A3213" w:rsidRDefault="00B067AD">
      <w:pPr>
        <w:pStyle w:val="ECHRPara"/>
      </w:pPr>
      <w:r w:rsidRPr="002A3213">
        <w:fldChar w:fldCharType="begin"/>
      </w:r>
      <w:r w:rsidRPr="002A3213">
        <w:instrText xml:space="preserve"> SEQ level0 \*arabic </w:instrText>
      </w:r>
      <w:r w:rsidRPr="002A3213">
        <w:fldChar w:fldCharType="separate"/>
      </w:r>
      <w:r w:rsidRPr="002A3213" w:rsidR="002A3213">
        <w:rPr>
          <w:noProof/>
        </w:rPr>
        <w:t>168</w:t>
      </w:r>
      <w:r w:rsidRPr="002A3213">
        <w:fldChar w:fldCharType="end"/>
      </w:r>
      <w:r w:rsidRPr="002A3213" w:rsidR="00D93F7D">
        <w:t>.  It has not been disputed between the parties that the case falls within the ambit of Article 11 of the Convention. Indeed, the Court has found that the contested decisions amounted to an interference with the applicants</w:t>
      </w:r>
      <w:r w:rsidRPr="002A3213" w:rsidR="002A3213">
        <w:t>’</w:t>
      </w:r>
      <w:r w:rsidRPr="002A3213" w:rsidR="00D93F7D">
        <w:t xml:space="preserve"> right to respect for their freedom of association (see paragraph </w:t>
      </w:r>
      <w:r w:rsidRPr="002A3213" w:rsidR="00D93F7D">
        <w:fldChar w:fldCharType="begin"/>
      </w:r>
      <w:r w:rsidRPr="002A3213" w:rsidR="00D93F7D">
        <w:instrText xml:space="preserve"> REF interference \h </w:instrText>
      </w:r>
      <w:r w:rsidRPr="002A3213" w:rsidR="00D93F7D">
        <w:fldChar w:fldCharType="separate"/>
      </w:r>
      <w:r w:rsidRPr="002A3213" w:rsidR="002A3213">
        <w:rPr>
          <w:noProof/>
          <w:snapToGrid w:val="0"/>
        </w:rPr>
        <w:t>144</w:t>
      </w:r>
      <w:r w:rsidRPr="002A3213" w:rsidR="00D93F7D">
        <w:fldChar w:fldCharType="end"/>
      </w:r>
      <w:r w:rsidRPr="002A3213" w:rsidR="00D93F7D">
        <w:t xml:space="preserve"> above). It follows that Article 14 of the Convention, taken in conjunction with Article 11, is applicable in the present case.</w:t>
      </w:r>
    </w:p>
    <w:p w:rsidRPr="002A3213" w:rsidR="00D93F7D" w:rsidP="002A3213" w:rsidRDefault="00D93F7D">
      <w:pPr>
        <w:pStyle w:val="ECHRHeading3"/>
      </w:pPr>
      <w:r w:rsidRPr="002A3213">
        <w:t>2.  Victim status</w:t>
      </w:r>
    </w:p>
    <w:p w:rsidRPr="002A3213" w:rsidR="005D59EB" w:rsidP="002A3213" w:rsidRDefault="00A868DC">
      <w:pPr>
        <w:pStyle w:val="ECHRPara"/>
      </w:pPr>
      <w:r w:rsidRPr="002A3213">
        <w:fldChar w:fldCharType="begin"/>
      </w:r>
      <w:r w:rsidRPr="002A3213">
        <w:instrText xml:space="preserve"> SEQ level0 \*arabic </w:instrText>
      </w:r>
      <w:r w:rsidRPr="002A3213">
        <w:fldChar w:fldCharType="separate"/>
      </w:r>
      <w:r w:rsidRPr="002A3213" w:rsidR="002A3213">
        <w:rPr>
          <w:noProof/>
        </w:rPr>
        <w:t>169</w:t>
      </w:r>
      <w:r w:rsidRPr="002A3213">
        <w:fldChar w:fldCharType="end"/>
      </w:r>
      <w:r w:rsidRPr="002A3213">
        <w:t>.  The Government submitted that</w:t>
      </w:r>
      <w:r w:rsidRPr="002A3213" w:rsidR="00E22412">
        <w:t xml:space="preserve"> Rainbow House (application no. </w:t>
      </w:r>
      <w:r w:rsidRPr="002A3213">
        <w:t>12200/08) could not claim to be a victim of discrimination on grounds of sexual orientation.</w:t>
      </w:r>
    </w:p>
    <w:p w:rsidRPr="002A3213" w:rsidR="005D59EB" w:rsidP="002A3213" w:rsidRDefault="00841364">
      <w:pPr>
        <w:pStyle w:val="ECHRPara"/>
        <w:rPr>
          <w:rFonts w:ascii="Times New Roman" w:hAnsi="Times New Roman" w:eastAsia="Times New Roman" w:cs="Times New Roman"/>
          <w:szCs w:val="20"/>
        </w:rPr>
      </w:pPr>
      <w:r w:rsidRPr="002A3213">
        <w:fldChar w:fldCharType="begin"/>
      </w:r>
      <w:r w:rsidRPr="002A3213">
        <w:instrText xml:space="preserve"> SEQ level0 \*arabic </w:instrText>
      </w:r>
      <w:r w:rsidRPr="002A3213">
        <w:fldChar w:fldCharType="separate"/>
      </w:r>
      <w:r w:rsidRPr="002A3213" w:rsidR="002A3213">
        <w:rPr>
          <w:noProof/>
        </w:rPr>
        <w:t>170</w:t>
      </w:r>
      <w:r w:rsidRPr="002A3213">
        <w:fldChar w:fldCharType="end"/>
      </w:r>
      <w:r w:rsidRPr="002A3213">
        <w:t xml:space="preserve">.  The Court notes that it has </w:t>
      </w:r>
      <w:r w:rsidRPr="002A3213" w:rsidR="006B3D6F">
        <w:t xml:space="preserve">previously </w:t>
      </w:r>
      <w:r w:rsidRPr="002A3213" w:rsidR="00A013AC">
        <w:t>found that a non</w:t>
      </w:r>
      <w:r w:rsidRPr="002A3213" w:rsidR="00A013AC">
        <w:noBreakHyphen/>
      </w:r>
      <w:r w:rsidRPr="002A3213">
        <w:t xml:space="preserve">governmental organisation could claim to be a victim of a violation of Article 14 on account of </w:t>
      </w:r>
      <w:r w:rsidRPr="002A3213" w:rsidR="0053247D">
        <w:t xml:space="preserve">such </w:t>
      </w:r>
      <w:r w:rsidRPr="002A3213">
        <w:t>a personal cha</w:t>
      </w:r>
      <w:r w:rsidRPr="002A3213" w:rsidR="0053247D">
        <w:t xml:space="preserve">racteristic as </w:t>
      </w:r>
      <w:r w:rsidRPr="002A3213" w:rsidR="008F36C1">
        <w:t>religion</w:t>
      </w:r>
      <w:r w:rsidRPr="002A3213" w:rsidR="0053247D">
        <w:t xml:space="preserve">. </w:t>
      </w:r>
      <w:r w:rsidRPr="002A3213">
        <w:rPr>
          <w:rFonts w:ascii="Times New Roman" w:hAnsi="Times New Roman" w:eastAsia="Times New Roman" w:cs="Times New Roman"/>
          <w:szCs w:val="20"/>
          <w:lang w:eastAsia="fr-FR"/>
        </w:rPr>
        <w:t>For example, a religious association could exercise on behalf of its adherents the rights guaranteed by Article 9</w:t>
      </w:r>
      <w:r w:rsidRPr="002A3213" w:rsidR="00744924">
        <w:rPr>
          <w:rFonts w:ascii="Times New Roman" w:hAnsi="Times New Roman" w:eastAsia="Times New Roman" w:cs="Times New Roman"/>
          <w:szCs w:val="20"/>
          <w:lang w:eastAsia="fr-FR"/>
        </w:rPr>
        <w:t xml:space="preserve"> of the Convention</w:t>
      </w:r>
      <w:r w:rsidRPr="002A3213">
        <w:rPr>
          <w:rFonts w:ascii="Times New Roman" w:hAnsi="Times New Roman" w:eastAsia="Times New Roman" w:cs="Times New Roman"/>
          <w:szCs w:val="20"/>
          <w:lang w:eastAsia="fr-FR"/>
        </w:rPr>
        <w:t xml:space="preserve">, taken alone </w:t>
      </w:r>
      <w:r w:rsidRPr="002A3213" w:rsidR="0053247D">
        <w:rPr>
          <w:rFonts w:ascii="Times New Roman" w:hAnsi="Times New Roman" w:eastAsia="Times New Roman" w:cs="Times New Roman"/>
          <w:szCs w:val="20"/>
          <w:lang w:eastAsia="fr-FR"/>
        </w:rPr>
        <w:t>and in conjunction with Article </w:t>
      </w:r>
      <w:r w:rsidRPr="002A3213">
        <w:rPr>
          <w:rFonts w:ascii="Times New Roman" w:hAnsi="Times New Roman" w:eastAsia="Times New Roman" w:cs="Times New Roman"/>
          <w:szCs w:val="20"/>
          <w:lang w:eastAsia="fr-FR"/>
        </w:rPr>
        <w:t xml:space="preserve">14 (see </w:t>
      </w:r>
      <w:r w:rsidRPr="002A3213">
        <w:rPr>
          <w:rFonts w:ascii="Times New Roman" w:hAnsi="Times New Roman" w:eastAsia="Times New Roman" w:cs="Times New Roman"/>
          <w:i/>
          <w:szCs w:val="20"/>
        </w:rPr>
        <w:t>Cha</w:t>
      </w:r>
      <w:r w:rsidRPr="002A3213" w:rsidR="002A3213">
        <w:rPr>
          <w:rFonts w:ascii="Times New Roman" w:hAnsi="Times New Roman" w:eastAsia="Times New Roman" w:cs="Times New Roman"/>
          <w:i/>
          <w:szCs w:val="20"/>
        </w:rPr>
        <w:t>’</w:t>
      </w:r>
      <w:r w:rsidRPr="002A3213">
        <w:rPr>
          <w:rFonts w:ascii="Times New Roman" w:hAnsi="Times New Roman" w:eastAsia="Times New Roman" w:cs="Times New Roman"/>
          <w:i/>
          <w:szCs w:val="20"/>
        </w:rPr>
        <w:t>are Shalom Ve Tsedek v. France</w:t>
      </w:r>
      <w:r w:rsidRPr="002A3213">
        <w:rPr>
          <w:rFonts w:ascii="Times New Roman" w:hAnsi="Times New Roman" w:eastAsia="Times New Roman" w:cs="Times New Roman"/>
          <w:szCs w:val="20"/>
        </w:rPr>
        <w:t xml:space="preserve"> [GC], no. 27417/</w:t>
      </w:r>
      <w:r w:rsidRPr="002A3213" w:rsidR="0053247D">
        <w:rPr>
          <w:rFonts w:ascii="Times New Roman" w:hAnsi="Times New Roman" w:eastAsia="Times New Roman" w:cs="Times New Roman"/>
          <w:szCs w:val="20"/>
        </w:rPr>
        <w:t>95, §§ 72 and 87, ECHR 2000</w:t>
      </w:r>
      <w:r w:rsidRPr="002A3213" w:rsidR="0053247D">
        <w:rPr>
          <w:rFonts w:ascii="Times New Roman" w:hAnsi="Times New Roman" w:eastAsia="Times New Roman" w:cs="Times New Roman"/>
          <w:szCs w:val="20"/>
        </w:rPr>
        <w:noBreakHyphen/>
        <w:t xml:space="preserve">VII; see also </w:t>
      </w:r>
      <w:r w:rsidRPr="002A3213">
        <w:rPr>
          <w:rFonts w:ascii="Times New Roman" w:hAnsi="Times New Roman" w:eastAsia="Times New Roman" w:cs="Times New Roman"/>
          <w:i/>
          <w:szCs w:val="20"/>
        </w:rPr>
        <w:t>Religionsgemeinschaft der Zeugen Jehovas and Others v. Austria</w:t>
      </w:r>
      <w:r w:rsidRPr="002A3213">
        <w:rPr>
          <w:rFonts w:ascii="Times New Roman" w:hAnsi="Times New Roman" w:eastAsia="Times New Roman" w:cs="Times New Roman"/>
          <w:szCs w:val="20"/>
        </w:rPr>
        <w:t>, n</w:t>
      </w:r>
      <w:r w:rsidRPr="002A3213" w:rsidR="0053247D">
        <w:rPr>
          <w:rFonts w:ascii="Times New Roman" w:hAnsi="Times New Roman" w:eastAsia="Times New Roman" w:cs="Times New Roman"/>
          <w:szCs w:val="20"/>
        </w:rPr>
        <w:t>o. 40825/98, § 88, 31 July 2008</w:t>
      </w:r>
      <w:r w:rsidRPr="002A3213">
        <w:rPr>
          <w:rFonts w:ascii="Times New Roman" w:hAnsi="Times New Roman" w:eastAsia="Times New Roman" w:cs="Times New Roman"/>
          <w:szCs w:val="20"/>
        </w:rPr>
        <w:t>).</w:t>
      </w:r>
    </w:p>
    <w:p w:rsidRPr="002A3213" w:rsidR="005D59EB" w:rsidP="002A3213" w:rsidRDefault="00E22412">
      <w:pPr>
        <w:pStyle w:val="ECHRPara"/>
        <w:rPr>
          <w:snapToGrid w:val="0"/>
        </w:rPr>
      </w:pPr>
      <w:r w:rsidRPr="002A3213">
        <w:fldChar w:fldCharType="begin"/>
      </w:r>
      <w:r w:rsidRPr="002A3213">
        <w:instrText xml:space="preserve"> SEQ level0 \*arabic </w:instrText>
      </w:r>
      <w:r w:rsidRPr="002A3213">
        <w:fldChar w:fldCharType="separate"/>
      </w:r>
      <w:r w:rsidRPr="002A3213" w:rsidR="002A3213">
        <w:rPr>
          <w:noProof/>
        </w:rPr>
        <w:t>171</w:t>
      </w:r>
      <w:r w:rsidRPr="002A3213">
        <w:fldChar w:fldCharType="end"/>
      </w:r>
      <w:r w:rsidRPr="002A3213">
        <w:t>.  </w:t>
      </w:r>
      <w:r w:rsidRPr="002A3213" w:rsidR="0053247D">
        <w:t xml:space="preserve">The Court has also </w:t>
      </w:r>
      <w:r w:rsidRPr="002A3213" w:rsidR="008F36C1">
        <w:t>accepted</w:t>
      </w:r>
      <w:r w:rsidRPr="002A3213" w:rsidR="0053247D">
        <w:t xml:space="preserve"> that a non-governmental organisation</w:t>
      </w:r>
      <w:r w:rsidRPr="002A3213" w:rsidR="00BC1B97">
        <w:t xml:space="preserve"> could claim to be </w:t>
      </w:r>
      <w:r w:rsidRPr="002A3213" w:rsidR="0053247D">
        <w:t>a victim</w:t>
      </w:r>
      <w:r w:rsidRPr="002A3213" w:rsidR="00BC1B97">
        <w:t xml:space="preserve"> of a violation of Article 14 on account of sexual orientation in cases concerning </w:t>
      </w:r>
      <w:r w:rsidRPr="002A3213" w:rsidR="00C65E44">
        <w:t xml:space="preserve">restrictions on, or the failure to protect, the </w:t>
      </w:r>
      <w:r w:rsidRPr="002A3213" w:rsidR="00BC1B97">
        <w:t>public assemblies</w:t>
      </w:r>
      <w:r w:rsidRPr="002A3213" w:rsidR="00C65E44">
        <w:t xml:space="preserve"> organised by the applicant organisations</w:t>
      </w:r>
      <w:r w:rsidRPr="002A3213" w:rsidR="00BC1B97">
        <w:t xml:space="preserve"> (see </w:t>
      </w:r>
      <w:r w:rsidRPr="002A3213" w:rsidR="00BC1B97">
        <w:rPr>
          <w:i/>
        </w:rPr>
        <w:t xml:space="preserve">Bączkowski and Others, </w:t>
      </w:r>
      <w:r w:rsidRPr="002A3213" w:rsidR="00BC1B97">
        <w:t xml:space="preserve">cited above, §§ 1 and 101; </w:t>
      </w:r>
      <w:r w:rsidRPr="002A3213" w:rsidR="00385189">
        <w:rPr>
          <w:i/>
        </w:rPr>
        <w:t>Genderdoc-M v. Moldova</w:t>
      </w:r>
      <w:r w:rsidRPr="002A3213" w:rsidR="00C65E44">
        <w:t>, no. </w:t>
      </w:r>
      <w:r w:rsidRPr="002A3213" w:rsidR="00385189">
        <w:t>9106/06, §§ 41 and 48-55, 12 June 2012</w:t>
      </w:r>
      <w:r w:rsidRPr="002A3213" w:rsidR="00357332">
        <w:t xml:space="preserve">; and </w:t>
      </w:r>
      <w:r w:rsidRPr="002A3213" w:rsidR="00C65E44">
        <w:rPr>
          <w:i/>
        </w:rPr>
        <w:t>Identoba and Others</w:t>
      </w:r>
      <w:r w:rsidRPr="002A3213" w:rsidR="00B83788">
        <w:rPr>
          <w:i/>
        </w:rPr>
        <w:t>,</w:t>
      </w:r>
      <w:r w:rsidRPr="002A3213" w:rsidR="00C65E44">
        <w:rPr>
          <w:i/>
        </w:rPr>
        <w:t xml:space="preserve"> </w:t>
      </w:r>
      <w:r w:rsidRPr="002A3213" w:rsidR="00B83788">
        <w:t>cited above</w:t>
      </w:r>
      <w:r w:rsidRPr="002A3213" w:rsidR="00C65E44">
        <w:rPr>
          <w:snapToGrid w:val="0"/>
        </w:rPr>
        <w:t>, § 100).</w:t>
      </w:r>
    </w:p>
    <w:p w:rsidRPr="002A3213" w:rsidR="005D59EB" w:rsidP="002A3213" w:rsidRDefault="008F36C1">
      <w:pPr>
        <w:pStyle w:val="ECHRPara"/>
      </w:pPr>
      <w:r w:rsidRPr="002A3213">
        <w:rPr>
          <w:snapToGrid w:val="0"/>
        </w:rPr>
        <w:fldChar w:fldCharType="begin"/>
      </w:r>
      <w:r w:rsidRPr="002A3213">
        <w:rPr>
          <w:snapToGrid w:val="0"/>
        </w:rPr>
        <w:instrText xml:space="preserve"> SEQ level0 \*arabic </w:instrText>
      </w:r>
      <w:r w:rsidRPr="002A3213">
        <w:rPr>
          <w:snapToGrid w:val="0"/>
        </w:rPr>
        <w:fldChar w:fldCharType="separate"/>
      </w:r>
      <w:r w:rsidRPr="002A3213" w:rsidR="002A3213">
        <w:rPr>
          <w:noProof/>
          <w:snapToGrid w:val="0"/>
        </w:rPr>
        <w:t>172</w:t>
      </w:r>
      <w:r w:rsidRPr="002A3213">
        <w:rPr>
          <w:snapToGrid w:val="0"/>
        </w:rPr>
        <w:fldChar w:fldCharType="end"/>
      </w:r>
      <w:r w:rsidRPr="002A3213">
        <w:rPr>
          <w:snapToGrid w:val="0"/>
        </w:rPr>
        <w:t>.  </w:t>
      </w:r>
      <w:r w:rsidRPr="002A3213" w:rsidR="00841364">
        <w:rPr>
          <w:snapToGrid w:val="0"/>
        </w:rPr>
        <w:t xml:space="preserve">The Court does not see any reason to reach a different conclusion in the present case. </w:t>
      </w:r>
      <w:r w:rsidRPr="002A3213" w:rsidR="00FD63DD">
        <w:rPr>
          <w:snapToGrid w:val="0"/>
        </w:rPr>
        <w:t>T</w:t>
      </w:r>
      <w:r w:rsidRPr="002A3213">
        <w:rPr>
          <w:snapToGrid w:val="0"/>
        </w:rPr>
        <w:t>he applicant organisations</w:t>
      </w:r>
      <w:r w:rsidRPr="002A3213" w:rsidR="00FD63DD">
        <w:rPr>
          <w:snapToGrid w:val="0"/>
        </w:rPr>
        <w:t xml:space="preserve"> are LGBT associations created with the aim of defending LGBT rights. They </w:t>
      </w:r>
      <w:r w:rsidRPr="002A3213" w:rsidR="00FD63DD">
        <w:t>were directly affected by the authorities</w:t>
      </w:r>
      <w:r w:rsidRPr="002A3213" w:rsidR="002A3213">
        <w:t>’</w:t>
      </w:r>
      <w:r w:rsidRPr="002A3213" w:rsidR="00FD63DD">
        <w:t xml:space="preserve"> refusals to register them (</w:t>
      </w:r>
      <w:r w:rsidRPr="002A3213" w:rsidR="00DD6ABD">
        <w:t>compare and contrast</w:t>
      </w:r>
      <w:r w:rsidRPr="002A3213" w:rsidR="00FD63DD">
        <w:t xml:space="preserve"> </w:t>
      </w:r>
      <w:r w:rsidRPr="002A3213" w:rsidR="00FD63DD">
        <w:rPr>
          <w:i/>
        </w:rPr>
        <w:t xml:space="preserve">Vallianatos and Others v. Greece </w:t>
      </w:r>
      <w:r w:rsidRPr="002A3213" w:rsidR="00FD63DD">
        <w:t>[GC], nos. 29381/09 and 32684/09</w:t>
      </w:r>
      <w:r w:rsidRPr="002A3213" w:rsidR="00FD63DD">
        <w:rPr>
          <w:snapToGrid w:val="0"/>
        </w:rPr>
        <w:t xml:space="preserve">, § 48, </w:t>
      </w:r>
      <w:r w:rsidRPr="002A3213" w:rsidR="00FD63DD">
        <w:t>ECHR 2013 (extracts)</w:t>
      </w:r>
      <w:r w:rsidRPr="002A3213" w:rsidR="00044C3A">
        <w:t xml:space="preserve">, and </w:t>
      </w:r>
      <w:r w:rsidRPr="002A3213" w:rsidR="000C5C24">
        <w:rPr>
          <w:i/>
        </w:rPr>
        <w:t>La Ligue des</w:t>
      </w:r>
      <w:r w:rsidRPr="002A3213" w:rsidR="003A068D">
        <w:rPr>
          <w:i/>
        </w:rPr>
        <w:t xml:space="preserve"> Musulmans de Suisse and Others</w:t>
      </w:r>
      <w:r w:rsidRPr="002A3213" w:rsidR="000C5C24">
        <w:rPr>
          <w:i/>
        </w:rPr>
        <w:t xml:space="preserve"> v. Switzerland</w:t>
      </w:r>
      <w:r w:rsidRPr="002A3213" w:rsidR="000C5C24">
        <w:t xml:space="preserve"> (dec.), no. 66274/09, 28 June 2011)</w:t>
      </w:r>
      <w:r w:rsidRPr="002A3213" w:rsidR="00FD63DD">
        <w:t xml:space="preserve">. They </w:t>
      </w:r>
      <w:r w:rsidRPr="002A3213" w:rsidR="00015AF8">
        <w:t xml:space="preserve">may </w:t>
      </w:r>
      <w:r w:rsidRPr="002A3213" w:rsidR="00FD63DD">
        <w:t xml:space="preserve">therefore </w:t>
      </w:r>
      <w:r w:rsidRPr="002A3213" w:rsidR="0053247D">
        <w:t>claim to be victim</w:t>
      </w:r>
      <w:r w:rsidRPr="002A3213">
        <w:t>s</w:t>
      </w:r>
      <w:r w:rsidRPr="002A3213" w:rsidR="00FD63DD">
        <w:t xml:space="preserve"> of a violation of Article </w:t>
      </w:r>
      <w:r w:rsidRPr="002A3213">
        <w:t>14 on grounds of sexual orientation.</w:t>
      </w:r>
    </w:p>
    <w:p w:rsidRPr="002A3213" w:rsidR="005D59EB" w:rsidP="002A3213" w:rsidRDefault="00BB4761">
      <w:pPr>
        <w:pStyle w:val="ECHRHeading3"/>
      </w:pPr>
      <w:r w:rsidRPr="002A3213">
        <w:t>3.  </w:t>
      </w:r>
      <w:r w:rsidRPr="002A3213" w:rsidR="00D93F7D">
        <w:t>Conclusion on admissibility</w:t>
      </w:r>
    </w:p>
    <w:p w:rsidRPr="002A3213" w:rsidR="00D93F7D" w:rsidP="002A3213" w:rsidRDefault="00B067AD">
      <w:pPr>
        <w:pStyle w:val="ECHRPara"/>
      </w:pPr>
      <w:r w:rsidRPr="002A3213">
        <w:fldChar w:fldCharType="begin"/>
      </w:r>
      <w:r w:rsidRPr="002A3213">
        <w:instrText xml:space="preserve"> SEQ level0 \*arabic </w:instrText>
      </w:r>
      <w:r w:rsidRPr="002A3213">
        <w:fldChar w:fldCharType="separate"/>
      </w:r>
      <w:r w:rsidRPr="002A3213" w:rsidR="002A3213">
        <w:rPr>
          <w:noProof/>
        </w:rPr>
        <w:t>173</w:t>
      </w:r>
      <w:r w:rsidRPr="002A3213">
        <w:fldChar w:fldCharType="end"/>
      </w:r>
      <w:r w:rsidRPr="002A3213" w:rsidR="00D93F7D">
        <w:t>.  The Court notes that this complaint is not manifestly ill-founded within the meaning of Article 35 § 3 of the Convention. It further notes that it is not inadmissible on any other grounds. It must therefore be declared admissible.</w:t>
      </w:r>
    </w:p>
    <w:p w:rsidRPr="002A3213" w:rsidR="00A868DC" w:rsidP="002A3213" w:rsidRDefault="00BB4761">
      <w:pPr>
        <w:pStyle w:val="ECHRHeading2"/>
      </w:pPr>
      <w:r w:rsidRPr="002A3213">
        <w:t>B.  </w:t>
      </w:r>
      <w:r w:rsidRPr="002A3213" w:rsidR="00A868DC">
        <w:t>Merits</w:t>
      </w:r>
    </w:p>
    <w:p w:rsidRPr="002A3213" w:rsidR="00426A77" w:rsidP="002A3213" w:rsidRDefault="00BB4761">
      <w:pPr>
        <w:pStyle w:val="ECHRHeading3"/>
      </w:pPr>
      <w:r w:rsidRPr="002A3213">
        <w:t>1.  </w:t>
      </w:r>
      <w:r w:rsidRPr="002A3213" w:rsidR="00A868DC">
        <w:t>Submissions by the parties</w:t>
      </w:r>
    </w:p>
    <w:p w:rsidRPr="002A3213" w:rsidR="00A71D8F" w:rsidP="002A3213" w:rsidRDefault="00BB4761">
      <w:pPr>
        <w:pStyle w:val="ECHRHeading4"/>
      </w:pPr>
      <w:r w:rsidRPr="002A3213">
        <w:t>(a)  </w:t>
      </w:r>
      <w:r w:rsidRPr="002A3213" w:rsidR="00A71D8F">
        <w:t>The Government</w:t>
      </w:r>
    </w:p>
    <w:p w:rsidRPr="002A3213" w:rsidR="005D59EB" w:rsidP="002A3213" w:rsidRDefault="00C87939">
      <w:pPr>
        <w:pStyle w:val="ECHRPara"/>
      </w:pPr>
      <w:r w:rsidRPr="002A3213">
        <w:fldChar w:fldCharType="begin"/>
      </w:r>
      <w:r w:rsidRPr="002A3213">
        <w:instrText xml:space="preserve"> SEQ level0 \*arabic </w:instrText>
      </w:r>
      <w:r w:rsidRPr="002A3213">
        <w:fldChar w:fldCharType="separate"/>
      </w:r>
      <w:r w:rsidRPr="002A3213" w:rsidR="002A3213">
        <w:rPr>
          <w:noProof/>
        </w:rPr>
        <w:t>174</w:t>
      </w:r>
      <w:r w:rsidRPr="002A3213">
        <w:fldChar w:fldCharType="end"/>
      </w:r>
      <w:r w:rsidRPr="002A3213">
        <w:t>. </w:t>
      </w:r>
      <w:r w:rsidRPr="002A3213" w:rsidR="004F4FD8">
        <w:t> </w:t>
      </w:r>
      <w:r w:rsidRPr="002A3213">
        <w:t>The Government submitted </w:t>
      </w:r>
      <w:r w:rsidRPr="002A3213" w:rsidR="00426A77">
        <w:t>that the refusal</w:t>
      </w:r>
      <w:r w:rsidRPr="002A3213" w:rsidR="00A868DC">
        <w:t>s</w:t>
      </w:r>
      <w:r w:rsidRPr="002A3213" w:rsidR="00426A77">
        <w:t xml:space="preserve"> of registration had not amounted to discrimination on grounds of sexual orientation. The registration had been refused because the </w:t>
      </w:r>
      <w:r w:rsidRPr="002A3213" w:rsidR="003A068D">
        <w:t>applicant organisations</w:t>
      </w:r>
      <w:r w:rsidRPr="002A3213" w:rsidR="002A3213">
        <w:t>’</w:t>
      </w:r>
      <w:r w:rsidRPr="002A3213" w:rsidR="00426A77">
        <w:t xml:space="preserve"> articles of association had not complied with the requirements of Russian law rather than for any discriminatory motive</w:t>
      </w:r>
      <w:r w:rsidRPr="002A3213" w:rsidR="00764E90">
        <w:t xml:space="preserve"> against </w:t>
      </w:r>
      <w:r w:rsidRPr="002A3213" w:rsidR="007D1318">
        <w:t xml:space="preserve">their </w:t>
      </w:r>
      <w:r w:rsidRPr="002A3213" w:rsidR="00764E90">
        <w:t>founders or members</w:t>
      </w:r>
      <w:r w:rsidRPr="002A3213" w:rsidR="00426A77">
        <w:t>.</w:t>
      </w:r>
    </w:p>
    <w:p w:rsidRPr="002A3213" w:rsidR="00A71D8F" w:rsidP="002A3213" w:rsidRDefault="00BB4761">
      <w:pPr>
        <w:pStyle w:val="ECHRHeading4"/>
      </w:pPr>
      <w:r w:rsidRPr="002A3213">
        <w:t>(b)  </w:t>
      </w:r>
      <w:r w:rsidRPr="002A3213" w:rsidR="00A71D8F">
        <w:t>The applicants</w:t>
      </w:r>
    </w:p>
    <w:p w:rsidRPr="002A3213" w:rsidR="005D59EB" w:rsidP="002A3213" w:rsidRDefault="00134647">
      <w:pPr>
        <w:pStyle w:val="ECHRPara"/>
      </w:pPr>
      <w:r w:rsidRPr="002A3213">
        <w:fldChar w:fldCharType="begin"/>
      </w:r>
      <w:r w:rsidRPr="002A3213">
        <w:instrText xml:space="preserve"> SEQ level0 \*arabic </w:instrText>
      </w:r>
      <w:r w:rsidRPr="002A3213">
        <w:fldChar w:fldCharType="separate"/>
      </w:r>
      <w:r w:rsidRPr="002A3213" w:rsidR="002A3213">
        <w:rPr>
          <w:noProof/>
        </w:rPr>
        <w:t>175</w:t>
      </w:r>
      <w:r w:rsidRPr="002A3213">
        <w:fldChar w:fldCharType="end"/>
      </w:r>
      <w:r w:rsidRPr="002A3213">
        <w:t xml:space="preserve">.  The applicants submitted that </w:t>
      </w:r>
      <w:r w:rsidRPr="002A3213" w:rsidR="00BF1D69">
        <w:t>the refusal</w:t>
      </w:r>
      <w:r w:rsidRPr="002A3213" w:rsidR="00A868DC">
        <w:t>s</w:t>
      </w:r>
      <w:r w:rsidRPr="002A3213" w:rsidR="00BF1D69">
        <w:t xml:space="preserve"> of registration had amounted to discrimination on grounds of sexual orientation. </w:t>
      </w:r>
      <w:r w:rsidRPr="002A3213" w:rsidR="00A868DC">
        <w:t xml:space="preserve">Indeed, the main reason for the refusals had been the disapproval of homosexuality by the majority of </w:t>
      </w:r>
      <w:r w:rsidRPr="002A3213" w:rsidR="007D1318">
        <w:t xml:space="preserve">the </w:t>
      </w:r>
      <w:r w:rsidRPr="002A3213" w:rsidR="00A868DC">
        <w:t>Russian population and the public officials</w:t>
      </w:r>
      <w:r w:rsidRPr="002A3213" w:rsidR="002A3213">
        <w:t>’</w:t>
      </w:r>
      <w:r w:rsidRPr="002A3213" w:rsidR="00A868DC">
        <w:t xml:space="preserve"> view that homosexuality was immoral. For example, even before the refusal to register Rainbow House</w:t>
      </w:r>
      <w:r w:rsidRPr="002A3213" w:rsidR="00C16D5D">
        <w:t>,</w:t>
      </w:r>
      <w:r w:rsidRPr="002A3213" w:rsidR="00A868DC">
        <w:t xml:space="preserve"> the local and religious authorities had publicly expressed their outrage at </w:t>
      </w:r>
      <w:r w:rsidRPr="002A3213" w:rsidR="00C16D5D">
        <w:t>the</w:t>
      </w:r>
      <w:r w:rsidRPr="002A3213" w:rsidR="00A868DC">
        <w:t xml:space="preserve"> possibility of such registration.</w:t>
      </w:r>
    </w:p>
    <w:p w:rsidRPr="002A3213" w:rsidR="005D59EB" w:rsidP="002A3213" w:rsidRDefault="00B067AD">
      <w:pPr>
        <w:pStyle w:val="ECHRPara"/>
      </w:pPr>
      <w:r w:rsidRPr="002A3213">
        <w:fldChar w:fldCharType="begin"/>
      </w:r>
      <w:r w:rsidRPr="002A3213">
        <w:instrText xml:space="preserve"> SEQ level0 \*arabic </w:instrText>
      </w:r>
      <w:r w:rsidRPr="002A3213">
        <w:fldChar w:fldCharType="separate"/>
      </w:r>
      <w:r w:rsidRPr="002A3213" w:rsidR="002A3213">
        <w:rPr>
          <w:noProof/>
        </w:rPr>
        <w:t>176</w:t>
      </w:r>
      <w:r w:rsidRPr="002A3213">
        <w:fldChar w:fldCharType="end"/>
      </w:r>
      <w:r w:rsidRPr="002A3213" w:rsidR="00A71D8F">
        <w:t>.  The applicants further submitted that s</w:t>
      </w:r>
      <w:r w:rsidRPr="002A3213" w:rsidR="00681C97">
        <w:t xml:space="preserve">exual orientation was one of the protected grounds under Article 14 of the Convention (they referred to </w:t>
      </w:r>
      <w:r w:rsidRPr="002A3213" w:rsidR="00681C97">
        <w:rPr>
          <w:i/>
        </w:rPr>
        <w:t>Kozak v. Poland</w:t>
      </w:r>
      <w:r w:rsidRPr="002A3213" w:rsidR="00681C97">
        <w:t>, no. 13102/02</w:t>
      </w:r>
      <w:r w:rsidRPr="002A3213" w:rsidR="00681C97">
        <w:rPr>
          <w:snapToGrid w:val="0"/>
        </w:rPr>
        <w:t>, § 92, 2 March 2010</w:t>
      </w:r>
      <w:r w:rsidRPr="002A3213" w:rsidR="00681C97">
        <w:t>). In the applicants</w:t>
      </w:r>
      <w:r w:rsidRPr="002A3213" w:rsidR="002A3213">
        <w:t>’</w:t>
      </w:r>
      <w:r w:rsidRPr="002A3213" w:rsidR="00681C97">
        <w:t xml:space="preserve"> opinion, the present case was similar to the cases of </w:t>
      </w:r>
      <w:r w:rsidRPr="002A3213" w:rsidR="00681C97">
        <w:rPr>
          <w:i/>
        </w:rPr>
        <w:t>Bączkowski</w:t>
      </w:r>
      <w:r w:rsidRPr="002A3213" w:rsidR="00A868DC">
        <w:rPr>
          <w:i/>
        </w:rPr>
        <w:t xml:space="preserve"> and Others</w:t>
      </w:r>
      <w:r w:rsidRPr="002A3213" w:rsidR="00681C97">
        <w:rPr>
          <w:i/>
        </w:rPr>
        <w:t xml:space="preserve"> </w:t>
      </w:r>
      <w:r w:rsidRPr="002A3213" w:rsidR="00681C97">
        <w:t>and</w:t>
      </w:r>
      <w:r w:rsidRPr="002A3213" w:rsidR="00681C97">
        <w:rPr>
          <w:i/>
        </w:rPr>
        <w:t xml:space="preserve"> Alekseyev and Others </w:t>
      </w:r>
      <w:r w:rsidRPr="002A3213" w:rsidR="00681C97">
        <w:t>(both cited above)</w:t>
      </w:r>
      <w:r w:rsidRPr="002A3213" w:rsidR="0046396B">
        <w:t>,</w:t>
      </w:r>
      <w:r w:rsidRPr="002A3213" w:rsidR="00C00F6E">
        <w:t xml:space="preserve"> where a violation of Article </w:t>
      </w:r>
      <w:r w:rsidRPr="002A3213" w:rsidR="00681C97">
        <w:t>14 had been found.</w:t>
      </w:r>
    </w:p>
    <w:p w:rsidRPr="002A3213" w:rsidR="00BF6A73" w:rsidP="002A3213" w:rsidRDefault="00BB4761">
      <w:pPr>
        <w:pStyle w:val="ECHRHeading4"/>
      </w:pPr>
      <w:r w:rsidRPr="002A3213">
        <w:t>(c)  </w:t>
      </w:r>
      <w:r w:rsidRPr="002A3213" w:rsidR="00A71D8F">
        <w:t>The third parties</w:t>
      </w:r>
    </w:p>
    <w:p w:rsidRPr="002A3213" w:rsidR="005D59EB" w:rsidP="002A3213" w:rsidRDefault="00B067AD">
      <w:pPr>
        <w:pStyle w:val="ECHRPara"/>
      </w:pPr>
      <w:r w:rsidRPr="002A3213">
        <w:fldChar w:fldCharType="begin"/>
      </w:r>
      <w:r w:rsidRPr="002A3213">
        <w:instrText xml:space="preserve"> SEQ level0 \*arabic </w:instrText>
      </w:r>
      <w:r w:rsidRPr="002A3213">
        <w:fldChar w:fldCharType="separate"/>
      </w:r>
      <w:r w:rsidRPr="002A3213" w:rsidR="002A3213">
        <w:rPr>
          <w:noProof/>
        </w:rPr>
        <w:t>177</w:t>
      </w:r>
      <w:r w:rsidRPr="002A3213">
        <w:fldChar w:fldCharType="end"/>
      </w:r>
      <w:r w:rsidRPr="002A3213" w:rsidR="00BF6A73">
        <w:t xml:space="preserve">.  The Human Rights Centre of Ghent University submitted that </w:t>
      </w:r>
      <w:r w:rsidRPr="002A3213" w:rsidR="00536C28">
        <w:t>it was inadmissible to rely on discriminatory motives for restricting Convention righ</w:t>
      </w:r>
      <w:r w:rsidRPr="002A3213" w:rsidR="00A71D8F">
        <w:t>ts. In particular, the argument</w:t>
      </w:r>
      <w:r w:rsidRPr="002A3213" w:rsidR="00536C28">
        <w:t xml:space="preserve"> that LGBT rights advocacy could incite people to become homosexual propagated the idea that LGBT people sought to “recruit” or “convert” heterosexuals. That idea was stigmatising and could inspire fear and, as a result, hatred or violence. </w:t>
      </w:r>
      <w:r w:rsidRPr="002A3213" w:rsidR="0069502C">
        <w:t>It reinforced stereotypes about LGBT people.</w:t>
      </w:r>
    </w:p>
    <w:p w:rsidRPr="002A3213" w:rsidR="007F561A" w:rsidP="002A3213" w:rsidRDefault="007F561A">
      <w:pPr>
        <w:pStyle w:val="ECHRHeading3"/>
      </w:pPr>
      <w:r w:rsidRPr="002A3213">
        <w:t>2.  The Court</w:t>
      </w:r>
      <w:r w:rsidRPr="002A3213" w:rsidR="002A3213">
        <w:t>’</w:t>
      </w:r>
      <w:r w:rsidRPr="002A3213">
        <w:t>s assessment</w:t>
      </w:r>
    </w:p>
    <w:p w:rsidRPr="002A3213" w:rsidR="007F561A" w:rsidP="002A3213" w:rsidRDefault="007F561A">
      <w:pPr>
        <w:pStyle w:val="ECHRPara"/>
      </w:pPr>
      <w:r w:rsidRPr="002A3213">
        <w:fldChar w:fldCharType="begin"/>
      </w:r>
      <w:r w:rsidRPr="002A3213">
        <w:instrText xml:space="preserve"> SEQ level0 \*arabic </w:instrText>
      </w:r>
      <w:r w:rsidRPr="002A3213">
        <w:fldChar w:fldCharType="separate"/>
      </w:r>
      <w:r w:rsidRPr="002A3213" w:rsidR="002A3213">
        <w:rPr>
          <w:noProof/>
        </w:rPr>
        <w:t>178</w:t>
      </w:r>
      <w:r w:rsidRPr="002A3213">
        <w:fldChar w:fldCharType="end"/>
      </w:r>
      <w:r w:rsidRPr="002A3213">
        <w:t>.  </w:t>
      </w:r>
      <w:r w:rsidRPr="002A3213" w:rsidR="00D93F7D">
        <w:t>It is the Court</w:t>
      </w:r>
      <w:r w:rsidRPr="002A3213" w:rsidR="002A3213">
        <w:t>’</w:t>
      </w:r>
      <w:r w:rsidRPr="002A3213" w:rsidR="00D93F7D">
        <w:t>s established case-law that in order for an issue to arise under Article 14 there must be a difference in the treatment of persons in relevantly similar situations. Such a difference of treatment is discriminatory if it has no objective and reasonable justification; in other words, if it does not pursue a legitimate aim or if there is not a reasonable relationship of proportionality between the means employed and the aim sought to be realised. The Contracting State enjoys a margin of appreciation in assessing whether and to what extent differences in otherwise similar situations justify a different treatment. The scope of the margin of appreciation will vary according to the circumstances, the subject matter and its background, but the final decision as to the observance of the Convention</w:t>
      </w:r>
      <w:r w:rsidRPr="002A3213" w:rsidR="002A3213">
        <w:t>’</w:t>
      </w:r>
      <w:r w:rsidRPr="002A3213" w:rsidR="00D93F7D">
        <w:t xml:space="preserve">s requirements rests with the Court (see </w:t>
      </w:r>
      <w:r w:rsidRPr="002A3213" w:rsidR="00D93F7D">
        <w:rPr>
          <w:i/>
        </w:rPr>
        <w:t>Burden v. the United Kingdom</w:t>
      </w:r>
      <w:r w:rsidRPr="002A3213" w:rsidR="00D93F7D">
        <w:t xml:space="preserve"> [GC], no. 13378/05, § 60, ECHR 2008, and </w:t>
      </w:r>
      <w:r w:rsidRPr="002A3213" w:rsidR="00D93F7D">
        <w:rPr>
          <w:i/>
        </w:rPr>
        <w:t>Konstantin Ma</w:t>
      </w:r>
      <w:r w:rsidRPr="002A3213" w:rsidR="00FF0EB7">
        <w:rPr>
          <w:i/>
        </w:rPr>
        <w:t>rkin v. </w:t>
      </w:r>
      <w:r w:rsidRPr="002A3213" w:rsidR="00D93F7D">
        <w:rPr>
          <w:i/>
        </w:rPr>
        <w:t xml:space="preserve">Russia </w:t>
      </w:r>
      <w:r w:rsidRPr="002A3213" w:rsidR="00D93F7D">
        <w:t>[GC]</w:t>
      </w:r>
      <w:r w:rsidRPr="002A3213" w:rsidR="00D93F7D">
        <w:rPr>
          <w:snapToGrid w:val="0"/>
        </w:rPr>
        <w:t>, no.</w:t>
      </w:r>
      <w:r w:rsidRPr="002A3213" w:rsidR="00D93F7D">
        <w:t xml:space="preserve"> 30078/06, §§ 125 and 126, </w:t>
      </w:r>
      <w:r w:rsidRPr="002A3213" w:rsidR="00D93F7D">
        <w:rPr>
          <w:snapToGrid w:val="0"/>
        </w:rPr>
        <w:t>ECHR 2012 (extracts)</w:t>
      </w:r>
      <w:r w:rsidRPr="002A3213" w:rsidR="00513FFA">
        <w:rPr>
          <w:snapToGrid w:val="0"/>
        </w:rPr>
        <w:t>)</w:t>
      </w:r>
      <w:r w:rsidRPr="002A3213" w:rsidR="00D93F7D">
        <w:t>.</w:t>
      </w:r>
    </w:p>
    <w:p w:rsidRPr="002A3213" w:rsidR="00FF0EB7" w:rsidP="002A3213" w:rsidRDefault="00B067AD">
      <w:pPr>
        <w:pStyle w:val="ECHRPara"/>
      </w:pPr>
      <w:r w:rsidRPr="002A3213">
        <w:fldChar w:fldCharType="begin"/>
      </w:r>
      <w:r w:rsidRPr="002A3213">
        <w:instrText xml:space="preserve"> SEQ level0 \*arabic </w:instrText>
      </w:r>
      <w:r w:rsidRPr="002A3213">
        <w:fldChar w:fldCharType="separate"/>
      </w:r>
      <w:r w:rsidRPr="002A3213" w:rsidR="002A3213">
        <w:rPr>
          <w:noProof/>
        </w:rPr>
        <w:t>179</w:t>
      </w:r>
      <w:r w:rsidRPr="002A3213">
        <w:fldChar w:fldCharType="end"/>
      </w:r>
      <w:r w:rsidRPr="002A3213" w:rsidR="00FF0EB7">
        <w:t>.  With specific regard to differences in treatment based on sexual orientation, the Court has held that the State</w:t>
      </w:r>
      <w:r w:rsidRPr="002A3213" w:rsidR="002A3213">
        <w:t>’</w:t>
      </w:r>
      <w:r w:rsidRPr="002A3213" w:rsidR="00FF0EB7">
        <w:t xml:space="preserve">s margin of appreciation is a narrow one; in other words, such differences require particularly convincing and weighty reasons by way of justification (see </w:t>
      </w:r>
      <w:r w:rsidRPr="002A3213" w:rsidR="00FF0EB7">
        <w:rPr>
          <w:i/>
        </w:rPr>
        <w:t xml:space="preserve">X and Others v. Austria </w:t>
      </w:r>
      <w:r w:rsidRPr="002A3213" w:rsidR="00FF0EB7">
        <w:t>[GC], no. 19010/07</w:t>
      </w:r>
      <w:r w:rsidRPr="002A3213" w:rsidR="00FF0EB7">
        <w:rPr>
          <w:snapToGrid w:val="0"/>
        </w:rPr>
        <w:t xml:space="preserve">, § 99, </w:t>
      </w:r>
      <w:r w:rsidRPr="002A3213" w:rsidR="00FF0EB7">
        <w:t xml:space="preserve">ECHR 2013, and the cases cited therein). The Court has stressed that differences based solely on considerations of sexual orientation are unacceptable under the Convention (see </w:t>
      </w:r>
      <w:r w:rsidRPr="002A3213" w:rsidR="00FF0EB7">
        <w:rPr>
          <w:i/>
          <w:iCs/>
        </w:rPr>
        <w:t>E.B. v. France</w:t>
      </w:r>
      <w:r w:rsidRPr="002A3213" w:rsidR="00FF0EB7">
        <w:rPr>
          <w:iCs/>
        </w:rPr>
        <w:t>,</w:t>
      </w:r>
      <w:r w:rsidRPr="002A3213" w:rsidR="00FF0EB7">
        <w:rPr>
          <w:i/>
          <w:iCs/>
        </w:rPr>
        <w:t xml:space="preserve"> </w:t>
      </w:r>
      <w:r w:rsidRPr="002A3213" w:rsidR="00FF0EB7">
        <w:rPr>
          <w:iCs/>
        </w:rPr>
        <w:t>cited above</w:t>
      </w:r>
      <w:r w:rsidRPr="002A3213" w:rsidR="00FF0EB7">
        <w:t xml:space="preserve">, §§ 93 and 96, and </w:t>
      </w:r>
      <w:r w:rsidRPr="002A3213" w:rsidR="00FF0EB7">
        <w:rPr>
          <w:i/>
        </w:rPr>
        <w:t>Salgueiro da Silva Mouta</w:t>
      </w:r>
      <w:r w:rsidRPr="002A3213" w:rsidR="00FF0EB7">
        <w:t xml:space="preserve">, </w:t>
      </w:r>
      <w:r w:rsidRPr="002A3213" w:rsidR="0046396B">
        <w:t>cited above</w:t>
      </w:r>
      <w:r w:rsidRPr="002A3213" w:rsidR="00FF0EB7">
        <w:t>, § 36).</w:t>
      </w:r>
    </w:p>
    <w:p w:rsidRPr="002A3213" w:rsidR="005D59EB" w:rsidP="002A3213" w:rsidRDefault="00FF0EB7">
      <w:pPr>
        <w:pStyle w:val="ECHRPara"/>
      </w:pPr>
      <w:r w:rsidRPr="002A3213">
        <w:fldChar w:fldCharType="begin"/>
      </w:r>
      <w:r w:rsidRPr="002A3213">
        <w:instrText xml:space="preserve"> SEQ level0 \*arabic </w:instrText>
      </w:r>
      <w:r w:rsidRPr="002A3213">
        <w:fldChar w:fldCharType="separate"/>
      </w:r>
      <w:r w:rsidRPr="002A3213" w:rsidR="002A3213">
        <w:rPr>
          <w:noProof/>
        </w:rPr>
        <w:t>180</w:t>
      </w:r>
      <w:r w:rsidRPr="002A3213">
        <w:fldChar w:fldCharType="end"/>
      </w:r>
      <w:r w:rsidRPr="002A3213">
        <w:t>.  </w:t>
      </w:r>
      <w:r w:rsidRPr="002A3213" w:rsidR="002F5388">
        <w:t xml:space="preserve">The Court has already found that the decisive ground for refusing to register the applicant organisations was their aim </w:t>
      </w:r>
      <w:r w:rsidRPr="002A3213" w:rsidR="0046396B">
        <w:t xml:space="preserve">of </w:t>
      </w:r>
      <w:r w:rsidRPr="002A3213" w:rsidR="002F5388">
        <w:t>promot</w:t>
      </w:r>
      <w:r w:rsidRPr="002A3213" w:rsidR="0046396B">
        <w:t>ing</w:t>
      </w:r>
      <w:r w:rsidRPr="002A3213" w:rsidR="002F5388">
        <w:t xml:space="preserve"> LGBT rights (see paragraphs </w:t>
      </w:r>
      <w:r w:rsidRPr="002A3213" w:rsidR="002F5388">
        <w:fldChar w:fldCharType="begin"/>
      </w:r>
      <w:r w:rsidRPr="002A3213" w:rsidR="002F5388">
        <w:instrText xml:space="preserve"> REF mainground1 \h </w:instrText>
      </w:r>
      <w:r w:rsidRPr="002A3213" w:rsidR="002F5388">
        <w:fldChar w:fldCharType="separate"/>
      </w:r>
      <w:r w:rsidRPr="002A3213" w:rsidR="002A3213">
        <w:rPr>
          <w:noProof/>
        </w:rPr>
        <w:t>145</w:t>
      </w:r>
      <w:r w:rsidRPr="002A3213" w:rsidR="002F5388">
        <w:fldChar w:fldCharType="end"/>
      </w:r>
      <w:r w:rsidRPr="002A3213" w:rsidR="002F5388">
        <w:t xml:space="preserve"> and </w:t>
      </w:r>
      <w:r w:rsidRPr="002A3213" w:rsidR="002F5388">
        <w:fldChar w:fldCharType="begin"/>
      </w:r>
      <w:r w:rsidRPr="002A3213" w:rsidR="002F5388">
        <w:instrText xml:space="preserve"> REF mainground2 \h </w:instrText>
      </w:r>
      <w:r w:rsidRPr="002A3213" w:rsidR="002F5388">
        <w:fldChar w:fldCharType="separate"/>
      </w:r>
      <w:r w:rsidRPr="002A3213" w:rsidR="002A3213">
        <w:rPr>
          <w:noProof/>
        </w:rPr>
        <w:t>146</w:t>
      </w:r>
      <w:r w:rsidRPr="002A3213" w:rsidR="002F5388">
        <w:fldChar w:fldCharType="end"/>
      </w:r>
      <w:r w:rsidRPr="002A3213" w:rsidR="002F5388">
        <w:t xml:space="preserve"> above). </w:t>
      </w:r>
      <w:r w:rsidRPr="002A3213" w:rsidR="00211E5C">
        <w:t xml:space="preserve">It is immaterial that </w:t>
      </w:r>
      <w:r w:rsidRPr="002A3213" w:rsidR="002F5388">
        <w:t>the domestic authorities also referred to other grounds relating to various irregularities in the registration doc</w:t>
      </w:r>
      <w:r w:rsidRPr="002A3213" w:rsidR="00211E5C">
        <w:t xml:space="preserve">uments. </w:t>
      </w:r>
      <w:r w:rsidRPr="002A3213" w:rsidR="00765257">
        <w:t>The Court</w:t>
      </w:r>
      <w:r w:rsidRPr="002A3213" w:rsidR="00211E5C">
        <w:t xml:space="preserve"> reiterates in this connection that in discrimination cases where more than one ground forms part of an overall assessment of the applicant</w:t>
      </w:r>
      <w:r w:rsidRPr="002A3213" w:rsidR="002A3213">
        <w:t>’</w:t>
      </w:r>
      <w:r w:rsidRPr="002A3213" w:rsidR="00211E5C">
        <w:t xml:space="preserve">s situation, grounds should not be considered alternatively, but cumulatively. Consequently, the illegitimacy of one of the grounds has the effect of contaminating the entire decision (see </w:t>
      </w:r>
      <w:r w:rsidRPr="002A3213" w:rsidR="00DE58B3">
        <w:rPr>
          <w:i/>
          <w:iCs/>
        </w:rPr>
        <w:t>E.B. </w:t>
      </w:r>
      <w:r w:rsidRPr="002A3213" w:rsidR="00211E5C">
        <w:rPr>
          <w:i/>
          <w:iCs/>
        </w:rPr>
        <w:t>v. France</w:t>
      </w:r>
      <w:r w:rsidRPr="002A3213" w:rsidR="00211E5C">
        <w:rPr>
          <w:iCs/>
        </w:rPr>
        <w:t>,</w:t>
      </w:r>
      <w:r w:rsidRPr="002A3213" w:rsidR="00211E5C">
        <w:rPr>
          <w:i/>
          <w:iCs/>
        </w:rPr>
        <w:t xml:space="preserve"> </w:t>
      </w:r>
      <w:r w:rsidRPr="002A3213" w:rsidR="00211E5C">
        <w:rPr>
          <w:iCs/>
        </w:rPr>
        <w:t>cited above</w:t>
      </w:r>
      <w:r w:rsidRPr="002A3213" w:rsidR="00211E5C">
        <w:t>, § 80).</w:t>
      </w:r>
    </w:p>
    <w:p w:rsidRPr="002A3213" w:rsidR="005D59EB" w:rsidP="002A3213" w:rsidRDefault="00B067AD">
      <w:pPr>
        <w:pStyle w:val="ECHRPara"/>
      </w:pPr>
      <w:r w:rsidRPr="002A3213">
        <w:fldChar w:fldCharType="begin"/>
      </w:r>
      <w:r w:rsidRPr="002A3213">
        <w:instrText xml:space="preserve"> SEQ level0 \*arabic </w:instrText>
      </w:r>
      <w:r w:rsidRPr="002A3213">
        <w:fldChar w:fldCharType="separate"/>
      </w:r>
      <w:r w:rsidRPr="002A3213" w:rsidR="002A3213">
        <w:rPr>
          <w:noProof/>
        </w:rPr>
        <w:t>181</w:t>
      </w:r>
      <w:r w:rsidRPr="002A3213">
        <w:fldChar w:fldCharType="end"/>
      </w:r>
      <w:r w:rsidRPr="002A3213" w:rsidR="00211E5C">
        <w:t>.  Given that the applicant organisations</w:t>
      </w:r>
      <w:r w:rsidRPr="002A3213" w:rsidR="002A3213">
        <w:t>’</w:t>
      </w:r>
      <w:r w:rsidRPr="002A3213" w:rsidR="00211E5C">
        <w:t xml:space="preserve"> aim </w:t>
      </w:r>
      <w:r w:rsidRPr="002A3213" w:rsidR="0046396B">
        <w:t xml:space="preserve">of </w:t>
      </w:r>
      <w:r w:rsidRPr="002A3213" w:rsidR="00211E5C">
        <w:t>promot</w:t>
      </w:r>
      <w:r w:rsidRPr="002A3213" w:rsidR="0046396B">
        <w:t>ing</w:t>
      </w:r>
      <w:r w:rsidRPr="002A3213" w:rsidR="00211E5C">
        <w:t xml:space="preserve"> LGBT rights was a decisive factor leading to the decision to refuse them registration, they suffered a difference in treatment on grounds of sexual orientation</w:t>
      </w:r>
      <w:r w:rsidRPr="002A3213" w:rsidR="00DE3C77">
        <w:t xml:space="preserve"> (see, for similar reasoning, </w:t>
      </w:r>
      <w:r w:rsidRPr="002A3213" w:rsidR="00DE3C77">
        <w:rPr>
          <w:i/>
        </w:rPr>
        <w:t>E.B. v. France</w:t>
      </w:r>
      <w:r w:rsidRPr="002A3213" w:rsidR="00513FFA">
        <w:t>, cited above,</w:t>
      </w:r>
      <w:r w:rsidRPr="002A3213" w:rsidR="00DE3C77">
        <w:t xml:space="preserve"> §§ 89 and 90)</w:t>
      </w:r>
      <w:r w:rsidRPr="002A3213" w:rsidR="00211E5C">
        <w:t>.</w:t>
      </w:r>
    </w:p>
    <w:p w:rsidRPr="002A3213" w:rsidR="00426A77" w:rsidP="002A3213" w:rsidRDefault="00B067AD">
      <w:pPr>
        <w:pStyle w:val="ECHRPara"/>
      </w:pPr>
      <w:r w:rsidRPr="002A3213">
        <w:fldChar w:fldCharType="begin"/>
      </w:r>
      <w:r w:rsidRPr="002A3213">
        <w:instrText xml:space="preserve"> SEQ level0 \*arabic </w:instrText>
      </w:r>
      <w:r w:rsidRPr="002A3213">
        <w:fldChar w:fldCharType="separate"/>
      </w:r>
      <w:r w:rsidRPr="002A3213" w:rsidR="002A3213">
        <w:rPr>
          <w:noProof/>
        </w:rPr>
        <w:t>182</w:t>
      </w:r>
      <w:r w:rsidRPr="002A3213">
        <w:fldChar w:fldCharType="end"/>
      </w:r>
      <w:r w:rsidRPr="002A3213" w:rsidR="00211E5C">
        <w:t>.  The Court has already found above that the refusals to regi</w:t>
      </w:r>
      <w:r w:rsidRPr="002A3213" w:rsidR="009253D7">
        <w:t>ster the applicant organisations on the ground that they promoted LGBT rights cannot be said to be reasonably or objectively justified.</w:t>
      </w:r>
    </w:p>
    <w:p w:rsidRPr="002A3213" w:rsidR="00DE3C77" w:rsidP="002A3213" w:rsidRDefault="00B067AD">
      <w:pPr>
        <w:pStyle w:val="ECHRPara"/>
      </w:pPr>
      <w:r w:rsidRPr="002A3213">
        <w:fldChar w:fldCharType="begin"/>
      </w:r>
      <w:r w:rsidRPr="002A3213">
        <w:instrText xml:space="preserve"> SEQ level0 \*arabic </w:instrText>
      </w:r>
      <w:r w:rsidRPr="002A3213">
        <w:fldChar w:fldCharType="separate"/>
      </w:r>
      <w:r w:rsidRPr="002A3213" w:rsidR="002A3213">
        <w:rPr>
          <w:noProof/>
        </w:rPr>
        <w:t>183</w:t>
      </w:r>
      <w:r w:rsidRPr="002A3213">
        <w:fldChar w:fldCharType="end"/>
      </w:r>
      <w:r w:rsidRPr="002A3213" w:rsidR="00DE3C77">
        <w:t>.  The foregoing findings also give rise to a violation of Article 14 of the Convention taken in conjunction with Article 11.</w:t>
      </w:r>
    </w:p>
    <w:p w:rsidRPr="002A3213" w:rsidR="00D420F3" w:rsidP="002A3213" w:rsidRDefault="00926769">
      <w:pPr>
        <w:pStyle w:val="ECHRHeading1"/>
      </w:pPr>
      <w:r w:rsidRPr="002A3213">
        <w:t>V</w:t>
      </w:r>
      <w:r w:rsidRPr="002A3213" w:rsidR="00366CCC">
        <w:t>I</w:t>
      </w:r>
      <w:r w:rsidRPr="002A3213" w:rsidR="0077175D">
        <w:t>.  OTHER ALLEGED VIOLATIONS OF THE CONVENTION</w:t>
      </w:r>
    </w:p>
    <w:p w:rsidRPr="002A3213" w:rsidR="00926769" w:rsidP="002A3213" w:rsidRDefault="00961FF4">
      <w:pPr>
        <w:pStyle w:val="ECHRPara"/>
      </w:pPr>
      <w:r w:rsidRPr="002A3213">
        <w:fldChar w:fldCharType="begin"/>
      </w:r>
      <w:r w:rsidRPr="002A3213">
        <w:instrText xml:space="preserve"> SEQ level0 \*arabic </w:instrText>
      </w:r>
      <w:r w:rsidRPr="002A3213">
        <w:fldChar w:fldCharType="separate"/>
      </w:r>
      <w:r w:rsidRPr="002A3213" w:rsidR="002A3213">
        <w:rPr>
          <w:noProof/>
        </w:rPr>
        <w:t>184</w:t>
      </w:r>
      <w:r w:rsidRPr="002A3213">
        <w:fldChar w:fldCharType="end"/>
      </w:r>
      <w:r w:rsidRPr="002A3213" w:rsidR="0077175D">
        <w:t xml:space="preserve">.  Lastly, </w:t>
      </w:r>
      <w:r w:rsidRPr="002A3213" w:rsidR="00926769">
        <w:t>the Court has examined the other complaints submitted by the applicants in application no. 12200/08 and, having regard to all the material in its possession and in so far as the complaints fall within the Court</w:t>
      </w:r>
      <w:r w:rsidRPr="002A3213" w:rsidR="002A3213">
        <w:t>’</w:t>
      </w:r>
      <w:r w:rsidRPr="002A3213" w:rsidR="00926769">
        <w:t>s competence, it finds that they do not disclose any appearance of a violation of the rights and freedoms set out in the Convention or its Protocols. It follows th</w:t>
      </w:r>
      <w:r w:rsidRPr="002A3213" w:rsidR="0067390C">
        <w:t>at this part of the application</w:t>
      </w:r>
      <w:r w:rsidRPr="002A3213" w:rsidR="00926769">
        <w:t xml:space="preserve"> must be rejected as manifestly ill-founded, pursuant to Article 35 §§ 3 (a) and 4 of the Convention.</w:t>
      </w:r>
    </w:p>
    <w:p w:rsidRPr="002A3213" w:rsidR="00D420F3" w:rsidP="002A3213" w:rsidRDefault="00926769">
      <w:pPr>
        <w:pStyle w:val="ECHRHeading1"/>
      </w:pPr>
      <w:r w:rsidRPr="002A3213">
        <w:t>VI</w:t>
      </w:r>
      <w:r w:rsidRPr="002A3213" w:rsidR="00366CCC">
        <w:t>I</w:t>
      </w:r>
      <w:r w:rsidRPr="002A3213" w:rsidR="0077175D">
        <w:t>.  APPLICATION OF ARTICLE 41 OF THE CONVENTION</w:t>
      </w:r>
    </w:p>
    <w:p w:rsidRPr="002A3213" w:rsidR="00D420F3" w:rsidP="002A3213" w:rsidRDefault="00961FF4">
      <w:pPr>
        <w:pStyle w:val="ECHRPara"/>
        <w:keepNext/>
        <w:keepLines/>
      </w:pPr>
      <w:r w:rsidRPr="002A3213">
        <w:fldChar w:fldCharType="begin"/>
      </w:r>
      <w:r w:rsidRPr="002A3213">
        <w:instrText xml:space="preserve"> SEQ level0 \*arabic </w:instrText>
      </w:r>
      <w:r w:rsidRPr="002A3213">
        <w:fldChar w:fldCharType="separate"/>
      </w:r>
      <w:r w:rsidRPr="002A3213" w:rsidR="002A3213">
        <w:rPr>
          <w:noProof/>
        </w:rPr>
        <w:t>185</w:t>
      </w:r>
      <w:r w:rsidRPr="002A3213">
        <w:fldChar w:fldCharType="end"/>
      </w:r>
      <w:r w:rsidRPr="002A3213" w:rsidR="0077175D">
        <w:t>.  Article 41 of the Convention provides:</w:t>
      </w:r>
    </w:p>
    <w:p w:rsidRPr="002A3213" w:rsidR="00D420F3" w:rsidP="002A3213" w:rsidRDefault="0077175D">
      <w:pPr>
        <w:pStyle w:val="ECHRParaQuote"/>
        <w:keepNext/>
        <w:keepLines/>
      </w:pPr>
      <w:r w:rsidRPr="002A3213">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rsidRPr="002A3213" w:rsidR="00D420F3" w:rsidP="002A3213" w:rsidRDefault="0077175D">
      <w:pPr>
        <w:pStyle w:val="ECHRHeading2"/>
      </w:pPr>
      <w:r w:rsidRPr="002A3213">
        <w:t>A.  Damage</w:t>
      </w:r>
    </w:p>
    <w:p w:rsidRPr="002A3213" w:rsidR="001A7908" w:rsidP="002A3213" w:rsidRDefault="00961FF4">
      <w:pPr>
        <w:pStyle w:val="ECHRPara"/>
      </w:pPr>
      <w:r w:rsidRPr="002A3213">
        <w:fldChar w:fldCharType="begin"/>
      </w:r>
      <w:r w:rsidRPr="002A3213">
        <w:instrText xml:space="preserve"> SEQ level0 \*arabic </w:instrText>
      </w:r>
      <w:r w:rsidRPr="002A3213">
        <w:fldChar w:fldCharType="separate"/>
      </w:r>
      <w:r w:rsidRPr="002A3213" w:rsidR="002A3213">
        <w:rPr>
          <w:noProof/>
        </w:rPr>
        <w:t>186</w:t>
      </w:r>
      <w:r w:rsidRPr="002A3213">
        <w:fldChar w:fldCharType="end"/>
      </w:r>
      <w:r w:rsidRPr="002A3213" w:rsidR="0077175D">
        <w:t>.  </w:t>
      </w:r>
      <w:r w:rsidRPr="002A3213" w:rsidR="001A7908">
        <w:t>The applicants in application no. 12200/08 claimed 10,000 euros (EUR) each in respect of non-pecuniary damage. Mr Nepomnyashchiy and</w:t>
      </w:r>
      <w:r w:rsidRPr="002A3213" w:rsidR="00F66F42">
        <w:t xml:space="preserve"> Mr Naumchik (</w:t>
      </w:r>
      <w:r w:rsidRPr="002A3213" w:rsidR="0023279C">
        <w:t>application no. 58282/12</w:t>
      </w:r>
      <w:r w:rsidRPr="002A3213" w:rsidR="001A7908">
        <w:t>) clai</w:t>
      </w:r>
      <w:r w:rsidRPr="002A3213" w:rsidR="00F66F42">
        <w:t>med between EUR 100,000 and EUR </w:t>
      </w:r>
      <w:r w:rsidRPr="002A3213" w:rsidR="001A7908">
        <w:t xml:space="preserve">200,000 in </w:t>
      </w:r>
      <w:r w:rsidRPr="002A3213" w:rsidR="002F751C">
        <w:t>respect of non-pecuniary damage</w:t>
      </w:r>
      <w:r w:rsidRPr="002A3213" w:rsidR="001A7908">
        <w:t>.</w:t>
      </w:r>
    </w:p>
    <w:p w:rsidRPr="002A3213" w:rsidR="00D60D6A" w:rsidP="002A3213" w:rsidRDefault="00961FF4">
      <w:pPr>
        <w:pStyle w:val="ECHRPara"/>
      </w:pPr>
      <w:r w:rsidRPr="002A3213">
        <w:fldChar w:fldCharType="begin"/>
      </w:r>
      <w:r w:rsidRPr="002A3213">
        <w:instrText xml:space="preserve"> SEQ level0 \*arabic </w:instrText>
      </w:r>
      <w:r w:rsidRPr="002A3213">
        <w:fldChar w:fldCharType="separate"/>
      </w:r>
      <w:r w:rsidRPr="002A3213" w:rsidR="002A3213">
        <w:rPr>
          <w:noProof/>
        </w:rPr>
        <w:t>187</w:t>
      </w:r>
      <w:r w:rsidRPr="002A3213">
        <w:fldChar w:fldCharType="end"/>
      </w:r>
      <w:r w:rsidRPr="002A3213" w:rsidR="0077175D">
        <w:t>.  </w:t>
      </w:r>
      <w:r w:rsidRPr="002A3213" w:rsidR="001A7908">
        <w:t>The Government submitted that the claims for non-pecuniary damage were excessive and unsubstantiated.</w:t>
      </w:r>
    </w:p>
    <w:p w:rsidRPr="002A3213" w:rsidR="00F364BE" w:rsidP="002A3213" w:rsidRDefault="002F751C">
      <w:pPr>
        <w:pStyle w:val="ECHRPara"/>
      </w:pPr>
      <w:r w:rsidRPr="002A3213">
        <w:fldChar w:fldCharType="begin"/>
      </w:r>
      <w:r w:rsidRPr="002A3213">
        <w:instrText xml:space="preserve"> SEQ level0 \*arabic </w:instrText>
      </w:r>
      <w:r w:rsidRPr="002A3213">
        <w:fldChar w:fldCharType="separate"/>
      </w:r>
      <w:r w:rsidRPr="002A3213" w:rsidR="002A3213">
        <w:rPr>
          <w:noProof/>
        </w:rPr>
        <w:t>188</w:t>
      </w:r>
      <w:r w:rsidRPr="002A3213">
        <w:fldChar w:fldCharType="end"/>
      </w:r>
      <w:r w:rsidRPr="002A3213">
        <w:t>.  </w:t>
      </w:r>
      <w:r w:rsidRPr="002A3213" w:rsidR="001A7908">
        <w:t>The Court observes that it has found violations of Article 11 taken alone and in conjunction with Article 14 i</w:t>
      </w:r>
      <w:r w:rsidRPr="002A3213">
        <w:t>n respect of all the applicants</w:t>
      </w:r>
      <w:r w:rsidRPr="002A3213" w:rsidR="001A7908">
        <w:t xml:space="preserve">. It has also found a violation of Article 6 in respect of the applicants in application no. 58282/12. Having regard to the nature of the violations found in respect of each applicant and to the principle </w:t>
      </w:r>
      <w:r w:rsidRPr="002A3213" w:rsidR="001A7908">
        <w:rPr>
          <w:i/>
          <w:iCs/>
        </w:rPr>
        <w:t>ne ultra petitum</w:t>
      </w:r>
      <w:r w:rsidRPr="002A3213" w:rsidR="001A7908">
        <w:rPr>
          <w:iCs/>
        </w:rPr>
        <w:t>,</w:t>
      </w:r>
      <w:r w:rsidRPr="002A3213" w:rsidR="001A7908">
        <w:rPr>
          <w:i/>
          <w:iCs/>
        </w:rPr>
        <w:t xml:space="preserve"> </w:t>
      </w:r>
      <w:r w:rsidRPr="002A3213" w:rsidR="001A7908">
        <w:t>the Court awards the foll</w:t>
      </w:r>
      <w:r w:rsidRPr="002A3213" w:rsidR="00EA3C1E">
        <w:t>owing amounts in respect of non</w:t>
      </w:r>
      <w:r w:rsidRPr="002A3213" w:rsidR="00EA3C1E">
        <w:noBreakHyphen/>
      </w:r>
      <w:r w:rsidRPr="002A3213" w:rsidR="001A7908">
        <w:t>pecuniary damage, plus any tax that may be chargeable</w:t>
      </w:r>
      <w:r w:rsidRPr="002A3213" w:rsidR="00F364BE">
        <w:t>:</w:t>
      </w:r>
    </w:p>
    <w:p w:rsidRPr="002A3213" w:rsidR="005335DC" w:rsidP="002A3213" w:rsidRDefault="005335DC">
      <w:pPr>
        <w:pStyle w:val="ECHRPara"/>
      </w:pPr>
      <w:r w:rsidRPr="002A3213">
        <w:t>– Mr Zhdanov: EUR 10,000;</w:t>
      </w:r>
    </w:p>
    <w:p w:rsidRPr="002A3213" w:rsidR="005335DC" w:rsidP="002A3213" w:rsidRDefault="005335DC">
      <w:pPr>
        <w:pStyle w:val="ECHRPara"/>
      </w:pPr>
      <w:r w:rsidRPr="002A3213">
        <w:t>– Mr Nepomnyashchiy: EUR 13,000;</w:t>
      </w:r>
    </w:p>
    <w:p w:rsidRPr="002A3213" w:rsidR="005335DC" w:rsidP="002A3213" w:rsidRDefault="002F751C">
      <w:pPr>
        <w:pStyle w:val="ECHRPara"/>
      </w:pPr>
      <w:r w:rsidRPr="002A3213">
        <w:t>– Mr Naumchik: EUR 13,000.</w:t>
      </w:r>
    </w:p>
    <w:p w:rsidRPr="002A3213" w:rsidR="005D59EB" w:rsidP="002A3213" w:rsidRDefault="00DD7E45">
      <w:pPr>
        <w:pStyle w:val="ECHRPara"/>
      </w:pPr>
      <w:r w:rsidRPr="002A3213">
        <w:fldChar w:fldCharType="begin"/>
      </w:r>
      <w:r w:rsidRPr="002A3213">
        <w:instrText xml:space="preserve"> SEQ level0 \*arabic </w:instrText>
      </w:r>
      <w:r w:rsidRPr="002A3213">
        <w:fldChar w:fldCharType="separate"/>
      </w:r>
      <w:r w:rsidRPr="002A3213" w:rsidR="002A3213">
        <w:rPr>
          <w:noProof/>
        </w:rPr>
        <w:t>189</w:t>
      </w:r>
      <w:r w:rsidRPr="002A3213">
        <w:fldChar w:fldCharType="end"/>
      </w:r>
      <w:r w:rsidRPr="002A3213">
        <w:t>. </w:t>
      </w:r>
      <w:r w:rsidRPr="002A3213" w:rsidR="004F4FD8">
        <w:t> </w:t>
      </w:r>
      <w:r w:rsidRPr="002A3213" w:rsidR="0093484C">
        <w:t xml:space="preserve">As regards Rainbow House, the Court considers that the finding of a violation provides sufficient just satisfaction for any non-pecuniary damage it may have suffered (see </w:t>
      </w:r>
      <w:r w:rsidRPr="002A3213" w:rsidR="0093484C">
        <w:rPr>
          <w:i/>
        </w:rPr>
        <w:t>Kimlya and Others</w:t>
      </w:r>
      <w:r w:rsidRPr="002A3213" w:rsidR="0093484C">
        <w:t>, cited above, § 108).</w:t>
      </w:r>
    </w:p>
    <w:p w:rsidRPr="002A3213" w:rsidR="00D420F3" w:rsidP="002A3213" w:rsidRDefault="0077175D">
      <w:pPr>
        <w:pStyle w:val="ECHRHeading2"/>
      </w:pPr>
      <w:r w:rsidRPr="002A3213">
        <w:t>B.  Costs and expenses</w:t>
      </w:r>
    </w:p>
    <w:p w:rsidRPr="002A3213" w:rsidR="005D59EB" w:rsidP="002A3213" w:rsidRDefault="00CC4A87">
      <w:pPr>
        <w:pStyle w:val="ECHRPara"/>
      </w:pPr>
      <w:r w:rsidRPr="002A3213">
        <w:fldChar w:fldCharType="begin"/>
      </w:r>
      <w:r w:rsidRPr="002A3213">
        <w:instrText xml:space="preserve"> SEQ level0 \*arabic </w:instrText>
      </w:r>
      <w:r w:rsidRPr="002A3213">
        <w:fldChar w:fldCharType="separate"/>
      </w:r>
      <w:r w:rsidRPr="002A3213" w:rsidR="002A3213">
        <w:rPr>
          <w:noProof/>
        </w:rPr>
        <w:t>190</w:t>
      </w:r>
      <w:r w:rsidRPr="002A3213">
        <w:fldChar w:fldCharType="end"/>
      </w:r>
      <w:r w:rsidRPr="002A3213">
        <w:t>.  </w:t>
      </w:r>
      <w:r w:rsidRPr="002A3213" w:rsidR="00077380">
        <w:t>Relying on invoices, a legal</w:t>
      </w:r>
      <w:r w:rsidRPr="002A3213" w:rsidR="00E6219D">
        <w:t>-</w:t>
      </w:r>
      <w:r w:rsidRPr="002A3213" w:rsidR="00077380">
        <w:t>fee agreement and the lawyer</w:t>
      </w:r>
      <w:r w:rsidRPr="002A3213" w:rsidR="002A3213">
        <w:t>’</w:t>
      </w:r>
      <w:r w:rsidRPr="002A3213" w:rsidR="00077380">
        <w:t xml:space="preserve">s timesheets, </w:t>
      </w:r>
      <w:r w:rsidRPr="002A3213" w:rsidR="002F0E1D">
        <w:t>the applicants in application no. 12200/08</w:t>
      </w:r>
      <w:r w:rsidRPr="002A3213" w:rsidR="00077380">
        <w:t xml:space="preserve"> claimed </w:t>
      </w:r>
      <w:r w:rsidRPr="002A3213" w:rsidR="00553148">
        <w:t xml:space="preserve">EUR 6,590 for transport expenses and legal fees incurred </w:t>
      </w:r>
      <w:r w:rsidRPr="002A3213" w:rsidR="007A2F9D">
        <w:t xml:space="preserve">in </w:t>
      </w:r>
      <w:r w:rsidRPr="002A3213" w:rsidR="00553148">
        <w:t xml:space="preserve">the domestic proceedings and </w:t>
      </w:r>
      <w:r w:rsidRPr="002A3213" w:rsidR="007A2F9D">
        <w:t xml:space="preserve">before </w:t>
      </w:r>
      <w:r w:rsidRPr="002A3213" w:rsidR="00553148">
        <w:t>the Court.</w:t>
      </w:r>
    </w:p>
    <w:p w:rsidRPr="002A3213" w:rsidR="005D59EB" w:rsidP="002A3213" w:rsidRDefault="002F751C">
      <w:pPr>
        <w:pStyle w:val="ECHRPara"/>
      </w:pPr>
      <w:r w:rsidRPr="002A3213">
        <w:fldChar w:fldCharType="begin"/>
      </w:r>
      <w:r w:rsidRPr="002A3213">
        <w:instrText xml:space="preserve"> SEQ level0 \*arabic </w:instrText>
      </w:r>
      <w:r w:rsidRPr="002A3213">
        <w:fldChar w:fldCharType="separate"/>
      </w:r>
      <w:r w:rsidRPr="002A3213" w:rsidR="002A3213">
        <w:rPr>
          <w:noProof/>
        </w:rPr>
        <w:t>191</w:t>
      </w:r>
      <w:r w:rsidRPr="002A3213">
        <w:fldChar w:fldCharType="end"/>
      </w:r>
      <w:r w:rsidRPr="002A3213">
        <w:t>.  </w:t>
      </w:r>
      <w:r w:rsidRPr="002A3213" w:rsidR="0077175D">
        <w:t>The Government</w:t>
      </w:r>
      <w:r w:rsidRPr="002A3213" w:rsidR="006348E2">
        <w:t xml:space="preserve"> submitted that the quality of the invoices s</w:t>
      </w:r>
      <w:r w:rsidRPr="002A3213" w:rsidR="00AD3643">
        <w:t>u</w:t>
      </w:r>
      <w:r w:rsidRPr="002A3213">
        <w:t>bmitted by Mr Zhdanov was poor.</w:t>
      </w:r>
    </w:p>
    <w:p w:rsidRPr="002A3213" w:rsidR="00D420F3" w:rsidP="002A3213" w:rsidRDefault="00961FF4">
      <w:pPr>
        <w:pStyle w:val="ECHRPara"/>
      </w:pPr>
      <w:r w:rsidRPr="002A3213">
        <w:fldChar w:fldCharType="begin"/>
      </w:r>
      <w:r w:rsidRPr="002A3213">
        <w:instrText xml:space="preserve"> SEQ level0 \*arabic </w:instrText>
      </w:r>
      <w:r w:rsidRPr="002A3213">
        <w:fldChar w:fldCharType="separate"/>
      </w:r>
      <w:r w:rsidRPr="002A3213" w:rsidR="002A3213">
        <w:rPr>
          <w:noProof/>
        </w:rPr>
        <w:t>192</w:t>
      </w:r>
      <w:r w:rsidRPr="002A3213">
        <w:fldChar w:fldCharType="end"/>
      </w:r>
      <w:r w:rsidRPr="002A3213" w:rsidR="0077175D">
        <w:t>.  </w:t>
      </w:r>
      <w:r w:rsidRPr="002A3213">
        <w:t>According to the Court</w:t>
      </w:r>
      <w:r w:rsidRPr="002A3213" w:rsidR="002A3213">
        <w:t>’</w:t>
      </w:r>
      <w:r w:rsidRPr="002A3213">
        <w:t>s case-law, an applicant is entitled to the reimbursement of costs and expenses only in so far as it has been shown that these have been actually and necessarily incurred and are reasonable as to quantum. In the present case, regard</w:t>
      </w:r>
      <w:r w:rsidRPr="002A3213" w:rsidR="0077175D">
        <w:t xml:space="preserve"> being had to the documents in its possession and </w:t>
      </w:r>
      <w:r w:rsidRPr="002A3213">
        <w:t>the above criteria</w:t>
      </w:r>
      <w:r w:rsidRPr="002A3213" w:rsidR="0077175D">
        <w:t xml:space="preserve">, </w:t>
      </w:r>
      <w:r w:rsidRPr="002A3213" w:rsidR="006348E2">
        <w:t xml:space="preserve">the Court considers it reasonable to award </w:t>
      </w:r>
      <w:r w:rsidRPr="002A3213" w:rsidR="007B263D">
        <w:t>EUR 6,500 jointly to the applicants in application no. 12200/08</w:t>
      </w:r>
      <w:r w:rsidRPr="002A3213" w:rsidR="000B0A5B">
        <w:t xml:space="preserve">, </w:t>
      </w:r>
      <w:r w:rsidRPr="002A3213" w:rsidR="00B13599">
        <w:t>plus any tax that may be chargeable to the applicants</w:t>
      </w:r>
      <w:r w:rsidRPr="002A3213" w:rsidR="0077175D">
        <w:t>.</w:t>
      </w:r>
    </w:p>
    <w:p w:rsidRPr="002A3213" w:rsidR="00D420F3" w:rsidP="002A3213" w:rsidRDefault="0077175D">
      <w:pPr>
        <w:pStyle w:val="ECHRHeading2"/>
      </w:pPr>
      <w:r w:rsidRPr="002A3213">
        <w:t>C.  Default interest</w:t>
      </w:r>
    </w:p>
    <w:p w:rsidRPr="002A3213" w:rsidR="00D420F3" w:rsidP="002A3213" w:rsidRDefault="00961FF4">
      <w:pPr>
        <w:pStyle w:val="ECHRPara"/>
      </w:pPr>
      <w:r w:rsidRPr="002A3213">
        <w:fldChar w:fldCharType="begin"/>
      </w:r>
      <w:r w:rsidRPr="002A3213">
        <w:instrText xml:space="preserve"> SEQ level0 \*arabic </w:instrText>
      </w:r>
      <w:r w:rsidRPr="002A3213">
        <w:fldChar w:fldCharType="separate"/>
      </w:r>
      <w:r w:rsidRPr="002A3213" w:rsidR="002A3213">
        <w:rPr>
          <w:noProof/>
        </w:rPr>
        <w:t>193</w:t>
      </w:r>
      <w:r w:rsidRPr="002A3213">
        <w:fldChar w:fldCharType="end"/>
      </w:r>
      <w:r w:rsidRPr="002A3213" w:rsidR="0077175D">
        <w:t>.  The Court considers it appropriate that the default interest rate should be based on the marginal lending rate of the European Central Bank, to which should be added three percentage points.</w:t>
      </w:r>
    </w:p>
    <w:p w:rsidRPr="002A3213" w:rsidR="00D0667D" w:rsidP="002A3213" w:rsidRDefault="0077175D">
      <w:pPr>
        <w:pStyle w:val="ECHRTitle1"/>
      </w:pPr>
      <w:r w:rsidRPr="002A3213">
        <w:t>FOR THESE REASONS, THE COURT</w:t>
      </w:r>
    </w:p>
    <w:p w:rsidRPr="002A3213" w:rsidR="00E760CF" w:rsidP="002A3213" w:rsidRDefault="0077175D">
      <w:pPr>
        <w:pStyle w:val="JuList"/>
      </w:pPr>
      <w:r w:rsidRPr="002A3213">
        <w:t>1.  </w:t>
      </w:r>
      <w:r w:rsidRPr="002A3213" w:rsidR="00E760CF">
        <w:rPr>
          <w:i/>
          <w:iCs/>
        </w:rPr>
        <w:t>Decides</w:t>
      </w:r>
      <w:r w:rsidRPr="002A3213" w:rsidR="00E760CF">
        <w:t>, unanimously,</w:t>
      </w:r>
      <w:r w:rsidRPr="002A3213" w:rsidR="00E760CF">
        <w:rPr>
          <w:color w:val="000000"/>
        </w:rPr>
        <w:t xml:space="preserve"> </w:t>
      </w:r>
      <w:r w:rsidRPr="002A3213" w:rsidR="00E760CF">
        <w:t>to join the applications;</w:t>
      </w:r>
    </w:p>
    <w:p w:rsidRPr="002A3213" w:rsidR="00E760CF" w:rsidP="002A3213" w:rsidRDefault="00E760CF">
      <w:pPr>
        <w:pStyle w:val="JuList"/>
      </w:pPr>
    </w:p>
    <w:p w:rsidRPr="002A3213" w:rsidR="007B263D" w:rsidP="002A3213" w:rsidRDefault="00513FFA">
      <w:pPr>
        <w:pStyle w:val="JuList"/>
      </w:pPr>
      <w:r w:rsidRPr="002A3213">
        <w:t>2.  </w:t>
      </w:r>
      <w:r w:rsidRPr="002A3213" w:rsidR="007B263D">
        <w:rPr>
          <w:i/>
          <w:iCs/>
        </w:rPr>
        <w:t>Decides</w:t>
      </w:r>
      <w:r w:rsidRPr="002A3213" w:rsidR="007B263D">
        <w:t xml:space="preserve">, by a majority, to declare </w:t>
      </w:r>
      <w:r w:rsidRPr="002A3213" w:rsidR="00694DBF">
        <w:t>the complaints lodged by Mr </w:t>
      </w:r>
      <w:r w:rsidRPr="002A3213" w:rsidR="008B7BF3">
        <w:t xml:space="preserve">Alekseyev </w:t>
      </w:r>
      <w:r w:rsidRPr="002A3213" w:rsidR="007B263D">
        <w:t xml:space="preserve">inadmissible </w:t>
      </w:r>
      <w:r w:rsidRPr="002A3213" w:rsidR="008B7BF3">
        <w:t>as an abuse of the right of application;</w:t>
      </w:r>
    </w:p>
    <w:p w:rsidRPr="002A3213" w:rsidR="007B263D" w:rsidP="002A3213" w:rsidRDefault="007B263D">
      <w:pPr>
        <w:pStyle w:val="JuList"/>
      </w:pPr>
    </w:p>
    <w:p w:rsidRPr="002A3213" w:rsidR="00D420F3" w:rsidP="002A3213" w:rsidRDefault="008B7BF3">
      <w:pPr>
        <w:pStyle w:val="JuList"/>
      </w:pPr>
      <w:r w:rsidRPr="002A3213">
        <w:rPr>
          <w:iCs/>
        </w:rPr>
        <w:t>3</w:t>
      </w:r>
      <w:r w:rsidRPr="002A3213">
        <w:rPr>
          <w:i/>
          <w:iCs/>
        </w:rPr>
        <w:t>.</w:t>
      </w:r>
      <w:r w:rsidRPr="002A3213" w:rsidR="004F4FD8">
        <w:rPr>
          <w:i/>
          <w:iCs/>
        </w:rPr>
        <w:t>  </w:t>
      </w:r>
      <w:r w:rsidRPr="002A3213" w:rsidR="00D929A4">
        <w:rPr>
          <w:i/>
          <w:iCs/>
        </w:rPr>
        <w:t>Decides</w:t>
      </w:r>
      <w:r w:rsidRPr="002A3213" w:rsidR="00D929A4">
        <w:t>, unanimously,</w:t>
      </w:r>
      <w:r w:rsidRPr="002A3213" w:rsidR="00D929A4">
        <w:rPr>
          <w:color w:val="000000"/>
        </w:rPr>
        <w:t xml:space="preserve"> </w:t>
      </w:r>
      <w:r w:rsidRPr="002A3213" w:rsidR="00D929A4">
        <w:t>to join to the merits the respondent Government</w:t>
      </w:r>
      <w:r w:rsidRPr="002A3213" w:rsidR="002A3213">
        <w:t>’</w:t>
      </w:r>
      <w:r w:rsidRPr="002A3213" w:rsidR="00D929A4">
        <w:t xml:space="preserve">s objection concerning the non-exhaustion of domestic remedies in application no. 12200/08 and </w:t>
      </w:r>
      <w:r w:rsidRPr="002A3213" w:rsidR="00D929A4">
        <w:rPr>
          <w:i/>
        </w:rPr>
        <w:t>d</w:t>
      </w:r>
      <w:r w:rsidRPr="002A3213" w:rsidR="0077175D">
        <w:rPr>
          <w:i/>
        </w:rPr>
        <w:t>eclares</w:t>
      </w:r>
      <w:r w:rsidRPr="002A3213" w:rsidR="00961FF4">
        <w:t xml:space="preserve"> </w:t>
      </w:r>
      <w:r w:rsidRPr="002A3213" w:rsidR="0077175D">
        <w:t xml:space="preserve">the complaints concerning </w:t>
      </w:r>
      <w:r w:rsidRPr="002A3213" w:rsidR="00D929A4">
        <w:t>the alleged violations of the right to freedom of association</w:t>
      </w:r>
      <w:r w:rsidRPr="002A3213" w:rsidR="00CC4A87">
        <w:t xml:space="preserve"> in </w:t>
      </w:r>
      <w:r w:rsidRPr="002A3213" w:rsidR="001D695D">
        <w:t>all</w:t>
      </w:r>
      <w:r w:rsidRPr="002A3213" w:rsidR="00981A32">
        <w:t xml:space="preserve"> applications</w:t>
      </w:r>
      <w:r w:rsidRPr="002A3213" w:rsidR="00D929A4">
        <w:t>, the alleged discrimination on grounds of sexual orientation</w:t>
      </w:r>
      <w:r w:rsidRPr="002A3213" w:rsidR="00CC4A87">
        <w:t xml:space="preserve"> in </w:t>
      </w:r>
      <w:r w:rsidRPr="002A3213" w:rsidR="00981A32">
        <w:t>all applications</w:t>
      </w:r>
      <w:r w:rsidRPr="002A3213" w:rsidR="00D929A4">
        <w:t xml:space="preserve">, </w:t>
      </w:r>
      <w:r w:rsidRPr="002A3213" w:rsidR="00CC4A87">
        <w:t>and</w:t>
      </w:r>
      <w:r w:rsidRPr="002A3213" w:rsidR="00D929A4">
        <w:t xml:space="preserve"> the alleged violation of the right of acces</w:t>
      </w:r>
      <w:r w:rsidRPr="002A3213" w:rsidR="00CC4A87">
        <w:t>s to a court in application no. </w:t>
      </w:r>
      <w:r w:rsidRPr="002A3213" w:rsidR="00D929A4">
        <w:t xml:space="preserve">58282/12 </w:t>
      </w:r>
      <w:r w:rsidRPr="002A3213" w:rsidR="0077175D">
        <w:t xml:space="preserve">admissible </w:t>
      </w:r>
      <w:r w:rsidRPr="002A3213" w:rsidR="00D929A4">
        <w:t>and the remainder of application no. 12200/08</w:t>
      </w:r>
      <w:r w:rsidRPr="002A3213" w:rsidR="0077175D">
        <w:t xml:space="preserve"> inadmissible;</w:t>
      </w:r>
    </w:p>
    <w:p w:rsidRPr="002A3213" w:rsidR="00D929A4" w:rsidP="002A3213" w:rsidRDefault="00D929A4">
      <w:pPr>
        <w:pStyle w:val="JuList"/>
      </w:pPr>
    </w:p>
    <w:p w:rsidRPr="002A3213" w:rsidR="00D929A4" w:rsidP="002A3213" w:rsidRDefault="002F751C">
      <w:pPr>
        <w:pStyle w:val="JuList"/>
      </w:pPr>
      <w:r w:rsidRPr="002A3213">
        <w:t>4</w:t>
      </w:r>
      <w:r w:rsidRPr="002A3213" w:rsidR="00513FFA">
        <w:t>.  </w:t>
      </w:r>
      <w:r w:rsidRPr="002A3213" w:rsidR="00D929A4">
        <w:rPr>
          <w:i/>
        </w:rPr>
        <w:t>Holds</w:t>
      </w:r>
      <w:r w:rsidRPr="002A3213" w:rsidR="00D929A4">
        <w:t xml:space="preserve">, unanimously, that there has been a violation of Article 6 § 1 of the </w:t>
      </w:r>
      <w:r w:rsidRPr="002A3213" w:rsidR="001B1455">
        <w:t>Convention in application no. 58282/12;</w:t>
      </w:r>
    </w:p>
    <w:p w:rsidRPr="002A3213" w:rsidR="00D420F3" w:rsidP="002A3213" w:rsidRDefault="00D420F3">
      <w:pPr>
        <w:pStyle w:val="JuList"/>
        <w:ind w:left="0" w:firstLine="0"/>
      </w:pPr>
    </w:p>
    <w:p w:rsidRPr="002A3213" w:rsidR="00D420F3" w:rsidP="002A3213" w:rsidRDefault="002F751C">
      <w:pPr>
        <w:pStyle w:val="JuList"/>
      </w:pPr>
      <w:r w:rsidRPr="002A3213">
        <w:t>5</w:t>
      </w:r>
      <w:r w:rsidRPr="002A3213" w:rsidR="0077175D">
        <w:t>.  </w:t>
      </w:r>
      <w:r w:rsidRPr="002A3213" w:rsidR="0077175D">
        <w:rPr>
          <w:i/>
        </w:rPr>
        <w:t>Holds</w:t>
      </w:r>
      <w:r w:rsidRPr="002A3213" w:rsidR="00961FF4">
        <w:t>, unanimously,</w:t>
      </w:r>
      <w:r w:rsidRPr="002A3213" w:rsidR="0077175D">
        <w:rPr>
          <w:color w:val="000000"/>
        </w:rPr>
        <w:t xml:space="preserve"> </w:t>
      </w:r>
      <w:r w:rsidRPr="002A3213" w:rsidR="0077175D">
        <w:t xml:space="preserve">that there has been a violation of Article </w:t>
      </w:r>
      <w:r w:rsidRPr="002A3213" w:rsidR="00D929A4">
        <w:t>11</w:t>
      </w:r>
      <w:r w:rsidRPr="002A3213" w:rsidR="0077175D">
        <w:t xml:space="preserve"> of the Convention</w:t>
      </w:r>
      <w:r w:rsidRPr="002A3213" w:rsidR="00D929A4">
        <w:t xml:space="preserve"> in </w:t>
      </w:r>
      <w:r w:rsidRPr="002A3213" w:rsidR="00455057">
        <w:t>all applications</w:t>
      </w:r>
      <w:r w:rsidRPr="002A3213" w:rsidR="0077175D">
        <w:t>;</w:t>
      </w:r>
    </w:p>
    <w:p w:rsidRPr="002A3213" w:rsidR="00D420F3" w:rsidP="002A3213" w:rsidRDefault="00D420F3">
      <w:pPr>
        <w:pStyle w:val="JuList"/>
        <w:ind w:left="0" w:firstLine="0"/>
      </w:pPr>
    </w:p>
    <w:p w:rsidRPr="002A3213" w:rsidR="00D420F3" w:rsidP="002A3213" w:rsidRDefault="002F751C">
      <w:pPr>
        <w:pStyle w:val="JuList"/>
      </w:pPr>
      <w:r w:rsidRPr="002A3213">
        <w:t>6</w:t>
      </w:r>
      <w:r w:rsidRPr="002A3213" w:rsidR="0077175D">
        <w:t>.  </w:t>
      </w:r>
      <w:r w:rsidRPr="002A3213" w:rsidR="0077175D">
        <w:rPr>
          <w:i/>
        </w:rPr>
        <w:t>Holds</w:t>
      </w:r>
      <w:r w:rsidRPr="002A3213" w:rsidR="00961FF4">
        <w:t>, unanimously,</w:t>
      </w:r>
      <w:r w:rsidRPr="002A3213" w:rsidR="0077175D">
        <w:rPr>
          <w:color w:val="000000"/>
        </w:rPr>
        <w:t xml:space="preserve"> </w:t>
      </w:r>
      <w:r w:rsidRPr="002A3213" w:rsidR="0077175D">
        <w:t xml:space="preserve">that there has been a violation of Article </w:t>
      </w:r>
      <w:r w:rsidRPr="002A3213" w:rsidR="00D929A4">
        <w:t>14</w:t>
      </w:r>
      <w:r w:rsidRPr="002A3213" w:rsidR="0077175D">
        <w:t xml:space="preserve"> of the Convention</w:t>
      </w:r>
      <w:r w:rsidRPr="002A3213" w:rsidR="00D929A4">
        <w:t xml:space="preserve"> in conjunction with Article 11 in </w:t>
      </w:r>
      <w:r w:rsidRPr="002A3213" w:rsidR="00455057">
        <w:t>all applications</w:t>
      </w:r>
      <w:r w:rsidRPr="002A3213" w:rsidR="0077175D">
        <w:t>;</w:t>
      </w:r>
    </w:p>
    <w:p w:rsidRPr="002A3213" w:rsidR="00961FF4" w:rsidP="002A3213" w:rsidRDefault="00961FF4">
      <w:pPr>
        <w:pStyle w:val="JuList"/>
        <w:ind w:left="0" w:firstLine="0"/>
      </w:pPr>
    </w:p>
    <w:p w:rsidRPr="002A3213" w:rsidR="00D420F3" w:rsidP="002A3213" w:rsidRDefault="002F751C">
      <w:pPr>
        <w:pStyle w:val="JuList"/>
      </w:pPr>
      <w:r w:rsidRPr="002A3213">
        <w:t>7</w:t>
      </w:r>
      <w:r w:rsidRPr="002A3213" w:rsidR="00961FF4">
        <w:t>.  </w:t>
      </w:r>
      <w:r w:rsidRPr="002A3213" w:rsidR="00961FF4">
        <w:rPr>
          <w:i/>
        </w:rPr>
        <w:t>Holds</w:t>
      </w:r>
      <w:r w:rsidRPr="002A3213" w:rsidR="00961FF4">
        <w:t xml:space="preserve">, unanimously, that the finding of a violation constitutes in itself sufficient just satisfaction for the non-pecuniary damage sustained by </w:t>
      </w:r>
      <w:r w:rsidRPr="002A3213" w:rsidR="001B1455">
        <w:t>Rainbow House</w:t>
      </w:r>
      <w:r w:rsidRPr="002A3213" w:rsidR="00961FF4">
        <w:t>;</w:t>
      </w:r>
    </w:p>
    <w:p w:rsidRPr="002A3213" w:rsidR="00D420F3" w:rsidP="002A3213" w:rsidRDefault="00D420F3">
      <w:pPr>
        <w:pStyle w:val="JuList"/>
      </w:pPr>
    </w:p>
    <w:p w:rsidRPr="002A3213" w:rsidR="00D420F3" w:rsidP="002A3213" w:rsidRDefault="002F751C">
      <w:pPr>
        <w:pStyle w:val="JuList"/>
      </w:pPr>
      <w:r w:rsidRPr="002A3213">
        <w:t>8</w:t>
      </w:r>
      <w:r w:rsidRPr="002A3213" w:rsidR="0077175D">
        <w:t>.  </w:t>
      </w:r>
      <w:r w:rsidRPr="002A3213" w:rsidR="0077175D">
        <w:rPr>
          <w:i/>
        </w:rPr>
        <w:t>Holds</w:t>
      </w:r>
      <w:r w:rsidRPr="002A3213" w:rsidR="00961FF4">
        <w:t xml:space="preserve">, by </w:t>
      </w:r>
      <w:r w:rsidRPr="002A3213" w:rsidR="00694DBF">
        <w:t>four</w:t>
      </w:r>
      <w:r w:rsidRPr="002A3213" w:rsidR="00961FF4">
        <w:t xml:space="preserve"> votes to </w:t>
      </w:r>
      <w:r w:rsidRPr="002A3213" w:rsidR="00694DBF">
        <w:t>three</w:t>
      </w:r>
      <w:r w:rsidRPr="002A3213" w:rsidR="00961FF4">
        <w:t>,</w:t>
      </w:r>
    </w:p>
    <w:p w:rsidRPr="002A3213" w:rsidR="00D420F3" w:rsidP="002A3213" w:rsidRDefault="0077175D">
      <w:pPr>
        <w:pStyle w:val="JuLista"/>
      </w:pPr>
      <w:r w:rsidRPr="002A3213">
        <w:t>(a)  that the respondent State is to pay the applicant</w:t>
      </w:r>
      <w:r w:rsidRPr="002A3213" w:rsidR="00961FF4">
        <w:t>s</w:t>
      </w:r>
      <w:r w:rsidRPr="002A3213">
        <w:t>, within three months</w:t>
      </w:r>
      <w:r w:rsidRPr="002A3213" w:rsidR="00961FF4">
        <w:t xml:space="preserve"> from the date on which the judgment becomes final in accordance with Article 44 § 2 of the Convention,</w:t>
      </w:r>
      <w:r w:rsidRPr="002A3213">
        <w:t xml:space="preserve"> the following amounts,</w:t>
      </w:r>
      <w:r w:rsidRPr="002A3213">
        <w:rPr>
          <w:b/>
        </w:rPr>
        <w:t xml:space="preserve"> </w:t>
      </w:r>
      <w:r w:rsidRPr="002A3213">
        <w:t xml:space="preserve">to be converted into </w:t>
      </w:r>
      <w:r w:rsidRPr="002A3213">
        <w:rPr>
          <w:color w:val="000000"/>
        </w:rPr>
        <w:t>the currency of the respondent State</w:t>
      </w:r>
      <w:r w:rsidRPr="002A3213" w:rsidR="001B1455">
        <w:rPr>
          <w:color w:val="000000"/>
        </w:rPr>
        <w:t xml:space="preserve"> </w:t>
      </w:r>
      <w:r w:rsidRPr="002A3213">
        <w:t>at the rate applicable at the date of settlement:</w:t>
      </w:r>
    </w:p>
    <w:p w:rsidRPr="002A3213" w:rsidR="00D420F3" w:rsidP="002A3213" w:rsidRDefault="0077175D">
      <w:pPr>
        <w:pStyle w:val="JuListi"/>
      </w:pPr>
      <w:r w:rsidRPr="002A3213">
        <w:t>(i)  </w:t>
      </w:r>
      <w:r w:rsidRPr="002A3213" w:rsidR="0064695C">
        <w:t>the following amounts, plus any tax that may be chargeable, in respect of non</w:t>
      </w:r>
      <w:r w:rsidRPr="002A3213" w:rsidR="001F1B7A">
        <w:t>-</w:t>
      </w:r>
      <w:r w:rsidRPr="002A3213" w:rsidR="0064695C">
        <w:t>pecuniary damage:</w:t>
      </w:r>
    </w:p>
    <w:p w:rsidRPr="002A3213" w:rsidR="005D59EB" w:rsidP="002A3213" w:rsidRDefault="001F1B7A">
      <w:pPr>
        <w:pStyle w:val="JuLista"/>
        <w:ind w:left="851"/>
      </w:pPr>
      <w:r w:rsidRPr="002A3213">
        <w:t>–</w:t>
      </w:r>
      <w:r w:rsidRPr="002A3213" w:rsidR="0064695C">
        <w:t xml:space="preserve"> </w:t>
      </w:r>
      <w:r w:rsidRPr="002A3213" w:rsidR="008E391E">
        <w:t xml:space="preserve">to </w:t>
      </w:r>
      <w:r w:rsidRPr="002A3213" w:rsidR="0064695C">
        <w:t>Mr Zhdanov: EUR 10,000 (ten thousand euros);</w:t>
      </w:r>
    </w:p>
    <w:p w:rsidRPr="002A3213" w:rsidR="0064695C" w:rsidP="002A3213" w:rsidRDefault="001F1B7A">
      <w:pPr>
        <w:pStyle w:val="JuLista"/>
        <w:ind w:left="851"/>
      </w:pPr>
      <w:r w:rsidRPr="002A3213">
        <w:t>–</w:t>
      </w:r>
      <w:r w:rsidRPr="002A3213" w:rsidR="0064695C">
        <w:t xml:space="preserve"> </w:t>
      </w:r>
      <w:r w:rsidRPr="002A3213" w:rsidR="008E391E">
        <w:t xml:space="preserve">to </w:t>
      </w:r>
      <w:r w:rsidRPr="002A3213" w:rsidR="0064695C">
        <w:t>Mr Nepomnyashchiy: EUR 13,000 (thirteen thousand euros);</w:t>
      </w:r>
    </w:p>
    <w:p w:rsidRPr="002A3213" w:rsidR="0064695C" w:rsidP="002A3213" w:rsidRDefault="001F1B7A">
      <w:pPr>
        <w:pStyle w:val="JuLista"/>
        <w:ind w:left="851"/>
      </w:pPr>
      <w:r w:rsidRPr="002A3213">
        <w:t>–</w:t>
      </w:r>
      <w:r w:rsidRPr="002A3213" w:rsidR="0064695C">
        <w:t xml:space="preserve"> </w:t>
      </w:r>
      <w:r w:rsidRPr="002A3213" w:rsidR="008E391E">
        <w:t xml:space="preserve">to </w:t>
      </w:r>
      <w:r w:rsidRPr="002A3213" w:rsidR="0064695C">
        <w:t>Mr Naumchik: EUR 13</w:t>
      </w:r>
      <w:r w:rsidRPr="002A3213" w:rsidR="008B7BF3">
        <w:t>,000 (thirteen thousand euros);</w:t>
      </w:r>
    </w:p>
    <w:p w:rsidRPr="002A3213" w:rsidR="004E7840" w:rsidP="002A3213" w:rsidRDefault="0077175D">
      <w:pPr>
        <w:pStyle w:val="JuListi"/>
      </w:pPr>
      <w:r w:rsidRPr="002A3213">
        <w:t>(ii)  </w:t>
      </w:r>
      <w:r w:rsidRPr="002A3213" w:rsidR="004E7840">
        <w:t xml:space="preserve"> </w:t>
      </w:r>
      <w:r w:rsidRPr="002A3213" w:rsidR="008B7BF3">
        <w:t>jointly to th</w:t>
      </w:r>
      <w:r w:rsidRPr="002A3213" w:rsidR="004E7840">
        <w:t>e applicants in application no. 12200/08: EUR</w:t>
      </w:r>
      <w:r w:rsidRPr="002A3213" w:rsidR="008B7BF3">
        <w:t> 6,500 (six thousand five hundred euros)</w:t>
      </w:r>
      <w:r w:rsidRPr="002A3213" w:rsidR="00567687">
        <w:t>, plus any tax that may be chargeable to the applicants, in</w:t>
      </w:r>
      <w:r w:rsidRPr="002A3213" w:rsidR="008B7BF3">
        <w:t xml:space="preserve"> respect of costs and expenses</w:t>
      </w:r>
      <w:r w:rsidRPr="002A3213" w:rsidR="0021533B">
        <w:t>;</w:t>
      </w:r>
    </w:p>
    <w:p w:rsidRPr="002A3213" w:rsidR="00D420F3" w:rsidP="002A3213" w:rsidRDefault="0077175D">
      <w:pPr>
        <w:pStyle w:val="JuLista"/>
      </w:pPr>
      <w:r w:rsidRPr="002A3213">
        <w:t>(b)  that from the expiry of the above-mentioned three months until settlement simple interest shall be payable on the above amounts</w:t>
      </w:r>
      <w:r w:rsidRPr="002A3213" w:rsidR="0021533B">
        <w:t xml:space="preserve"> </w:t>
      </w:r>
      <w:r w:rsidRPr="002A3213">
        <w:t>at a rate equal to the marginal lending rate of the European Central Bank during the default period plus three percentage points;</w:t>
      </w:r>
    </w:p>
    <w:p w:rsidRPr="002A3213" w:rsidR="00D420F3" w:rsidP="002A3213" w:rsidRDefault="00D420F3">
      <w:pPr>
        <w:pStyle w:val="JuList"/>
      </w:pPr>
    </w:p>
    <w:p w:rsidRPr="002A3213" w:rsidR="00D420F3" w:rsidP="002A3213" w:rsidRDefault="002F751C">
      <w:pPr>
        <w:pStyle w:val="JuList"/>
      </w:pPr>
      <w:r w:rsidRPr="002A3213">
        <w:t>9</w:t>
      </w:r>
      <w:r w:rsidRPr="002A3213" w:rsidR="0077175D">
        <w:t>.  </w:t>
      </w:r>
      <w:r w:rsidRPr="002A3213" w:rsidR="0077175D">
        <w:rPr>
          <w:i/>
        </w:rPr>
        <w:t>Dismisses</w:t>
      </w:r>
      <w:r w:rsidRPr="002A3213" w:rsidR="00961FF4">
        <w:t xml:space="preserve">, </w:t>
      </w:r>
      <w:r w:rsidRPr="002A3213" w:rsidR="00694DBF">
        <w:t>by four votes to three</w:t>
      </w:r>
      <w:r w:rsidRPr="002A3213" w:rsidR="00961FF4">
        <w:t>,</w:t>
      </w:r>
      <w:r w:rsidRPr="002A3213" w:rsidR="0077175D">
        <w:rPr>
          <w:color w:val="000000"/>
        </w:rPr>
        <w:t xml:space="preserve"> </w:t>
      </w:r>
      <w:r w:rsidRPr="002A3213" w:rsidR="0077175D">
        <w:t>the remainder of the applicant</w:t>
      </w:r>
      <w:r w:rsidRPr="002A3213" w:rsidR="00961FF4">
        <w:t>s</w:t>
      </w:r>
      <w:r w:rsidRPr="002A3213" w:rsidR="002A3213">
        <w:t>’</w:t>
      </w:r>
      <w:r w:rsidRPr="002A3213" w:rsidR="0077175D">
        <w:t xml:space="preserve"> claim for just satisfaction.</w:t>
      </w:r>
    </w:p>
    <w:p w:rsidRPr="002A3213" w:rsidR="00D420F3" w:rsidP="002A3213" w:rsidRDefault="0077175D">
      <w:pPr>
        <w:pStyle w:val="JuParaLast"/>
      </w:pPr>
      <w:r w:rsidRPr="002A3213">
        <w:t xml:space="preserve">Done in English, and notified in writing on </w:t>
      </w:r>
      <w:r w:rsidRPr="002A3213" w:rsidR="00DD4EB6">
        <w:t>16 July 2019</w:t>
      </w:r>
      <w:r w:rsidRPr="002A3213">
        <w:t>, pursuant to Rule 77 §§ 2 and 3 of the Rules of Court.</w:t>
      </w:r>
    </w:p>
    <w:p w:rsidRPr="002A3213" w:rsidR="00D420F3" w:rsidP="002A3213" w:rsidRDefault="0077175D">
      <w:pPr>
        <w:pStyle w:val="JuSigned"/>
        <w:tabs>
          <w:tab w:val="clear" w:pos="6407"/>
          <w:tab w:val="center" w:pos="6237"/>
        </w:tabs>
        <w:rPr>
          <w:lang w:val="pt-BR"/>
        </w:rPr>
      </w:pPr>
      <w:r w:rsidRPr="002A3213">
        <w:tab/>
      </w:r>
      <w:r w:rsidRPr="002A3213" w:rsidR="00B804BF">
        <w:rPr>
          <w:lang w:val="pt-BR"/>
        </w:rPr>
        <w:t>Fatoş Aracı</w:t>
      </w:r>
      <w:r w:rsidRPr="002A3213">
        <w:rPr>
          <w:lang w:val="pt-BR"/>
        </w:rPr>
        <w:tab/>
      </w:r>
      <w:r w:rsidRPr="002A3213" w:rsidR="00E40E08">
        <w:rPr>
          <w:szCs w:val="24"/>
          <w:lang w:val="pt-BR"/>
        </w:rPr>
        <w:t>Georgios A. Serghides</w:t>
      </w:r>
      <w:r w:rsidRPr="002A3213">
        <w:rPr>
          <w:szCs w:val="24"/>
          <w:lang w:val="pt-BR"/>
        </w:rPr>
        <w:br/>
      </w:r>
      <w:r w:rsidRPr="002A3213">
        <w:rPr>
          <w:lang w:val="pt-BR"/>
        </w:rPr>
        <w:tab/>
      </w:r>
      <w:r w:rsidRPr="002A3213" w:rsidR="00B804BF">
        <w:rPr>
          <w:lang w:val="pt-BR"/>
        </w:rPr>
        <w:t>Deputy Registrar</w:t>
      </w:r>
      <w:r w:rsidRPr="002A3213">
        <w:rPr>
          <w:lang w:val="pt-BR"/>
        </w:rPr>
        <w:tab/>
        <w:t>President</w:t>
      </w:r>
    </w:p>
    <w:p w:rsidRPr="002A3213" w:rsidR="007447FB" w:rsidP="002A3213" w:rsidRDefault="007447FB">
      <w:pPr>
        <w:pStyle w:val="JuParaLast"/>
        <w:rPr>
          <w:lang w:val="pt-BR"/>
        </w:rPr>
      </w:pPr>
    </w:p>
    <w:p w:rsidRPr="002A3213" w:rsidR="00DD4EB6" w:rsidP="002A3213" w:rsidRDefault="00DD4EB6">
      <w:pPr>
        <w:pStyle w:val="JuParaLast"/>
      </w:pPr>
      <w:r w:rsidRPr="002A3213">
        <w:t xml:space="preserve">In accordance with Article 45 § 2 of the Convention and Rule 74 § 2 of the Rules of Court, the </w:t>
      </w:r>
      <w:r w:rsidRPr="002A3213" w:rsidR="00AD69B3">
        <w:t xml:space="preserve">joint </w:t>
      </w:r>
      <w:r w:rsidRPr="002A3213" w:rsidR="00BF7017">
        <w:t>s</w:t>
      </w:r>
      <w:r w:rsidRPr="002A3213">
        <w:t xml:space="preserve">eparate </w:t>
      </w:r>
      <w:r w:rsidRPr="002A3213" w:rsidR="00BF7017">
        <w:t>opinion of Judges Keller, Serghides and Elósegui</w:t>
      </w:r>
      <w:r w:rsidRPr="002A3213">
        <w:t xml:space="preserve"> </w:t>
      </w:r>
      <w:r w:rsidRPr="002A3213" w:rsidR="00BF7017">
        <w:t>is</w:t>
      </w:r>
      <w:r w:rsidRPr="002A3213">
        <w:t xml:space="preserve"> annexed to this </w:t>
      </w:r>
      <w:r w:rsidRPr="002A3213" w:rsidR="00BF7017">
        <w:t>judgment.</w:t>
      </w:r>
    </w:p>
    <w:p w:rsidRPr="002A3213" w:rsidR="00BF7017" w:rsidP="002A3213" w:rsidRDefault="00BF7017">
      <w:pPr>
        <w:pStyle w:val="ECHRPara"/>
      </w:pPr>
    </w:p>
    <w:p w:rsidRPr="002A3213" w:rsidR="00DD4EB6" w:rsidP="002A3213" w:rsidRDefault="00E40E08">
      <w:pPr>
        <w:pStyle w:val="JuInitialled"/>
      </w:pPr>
      <w:r w:rsidRPr="002A3213">
        <w:t>G.A.S</w:t>
      </w:r>
      <w:r w:rsidRPr="002A3213" w:rsidR="00DD4EB6">
        <w:t>.</w:t>
      </w:r>
      <w:r w:rsidRPr="002A3213" w:rsidR="00DD4EB6">
        <w:br/>
      </w:r>
      <w:r w:rsidRPr="002A3213" w:rsidR="00B804BF">
        <w:t>F.A.</w:t>
      </w:r>
    </w:p>
    <w:p w:rsidRPr="002A3213" w:rsidR="00C359CC" w:rsidP="002A3213" w:rsidRDefault="00C359CC">
      <w:pPr>
        <w:pStyle w:val="JuInitialled"/>
      </w:pPr>
    </w:p>
    <w:p w:rsidRPr="002A3213" w:rsidR="00B804BF" w:rsidP="002A3213" w:rsidRDefault="00B804BF">
      <w:pPr>
        <w:jc w:val="center"/>
        <w:sectPr w:rsidRPr="002A3213" w:rsidR="00B804BF" w:rsidSect="00D60D6A">
          <w:headerReference w:type="even" r:id="rId11"/>
          <w:headerReference w:type="default" r:id="rId12"/>
          <w:footnotePr>
            <w:numRestart w:val="eachSect"/>
          </w:footnotePr>
          <w:pgSz w:w="11906" w:h="16838" w:code="9"/>
          <w:pgMar w:top="2274" w:right="2274" w:bottom="2274" w:left="2274" w:header="1701" w:footer="720" w:gutter="0"/>
          <w:pgNumType w:start="1"/>
          <w:cols w:space="720"/>
          <w:docGrid w:linePitch="326"/>
        </w:sectPr>
      </w:pPr>
    </w:p>
    <w:p w:rsidRPr="002A3213" w:rsidR="00AD69B3" w:rsidP="002A3213" w:rsidRDefault="00AD69B3">
      <w:pPr>
        <w:pStyle w:val="ECHRTitleCentre1"/>
        <w:rPr>
          <w:rFonts w:eastAsia="Times New Roman"/>
          <w:lang w:val="en-US"/>
        </w:rPr>
      </w:pPr>
      <w:r w:rsidRPr="002A3213">
        <w:rPr>
          <w:rFonts w:eastAsia="Times New Roman"/>
          <w:lang w:val="en-US"/>
        </w:rPr>
        <w:t>JOINT PARTLY DISSENTING OPINION OF JUDGES KELLER, SERGHIDES</w:t>
      </w:r>
      <w:r w:rsidRPr="002A3213">
        <w:rPr>
          <w:rFonts w:eastAsia="Times New Roman"/>
          <w:caps/>
          <w:lang w:val="en-US"/>
        </w:rPr>
        <w:t> </w:t>
      </w:r>
      <w:r w:rsidRPr="002A3213">
        <w:rPr>
          <w:rFonts w:eastAsia="Times New Roman"/>
          <w:lang w:val="en-US"/>
        </w:rPr>
        <w:t xml:space="preserve">AND </w:t>
      </w:r>
      <w:r w:rsidRPr="002A3213">
        <w:rPr>
          <w:rFonts w:eastAsia="Times New Roman"/>
          <w:caps/>
          <w:lang w:val="en-US"/>
        </w:rPr>
        <w:t>ELóSegui</w:t>
      </w:r>
    </w:p>
    <w:p w:rsidRPr="002A3213" w:rsidR="00AD69B3" w:rsidP="002A3213" w:rsidRDefault="00A6491B">
      <w:pPr>
        <w:pStyle w:val="OpiPara"/>
        <w:rPr>
          <w:rFonts w:eastAsia="Noteworthy-Light"/>
          <w:lang w:val="en-US"/>
        </w:rPr>
      </w:pPr>
      <w:r w:rsidRPr="002A3213">
        <w:rPr>
          <w:rFonts w:eastAsia="Noteworthy-Light"/>
          <w:lang w:val="en-US"/>
        </w:rPr>
        <w:fldChar w:fldCharType="begin"/>
      </w:r>
      <w:r w:rsidRPr="002A3213">
        <w:rPr>
          <w:rFonts w:eastAsia="Noteworthy-Light"/>
          <w:lang w:val="en-US"/>
        </w:rPr>
        <w:instrText xml:space="preserve"> SEQ level0 \*arabic \r1</w:instrText>
      </w:r>
      <w:r w:rsidRPr="002A3213" w:rsidR="00AD69B3">
        <w:rPr>
          <w:rFonts w:eastAsia="Noteworthy-Light"/>
          <w:lang w:val="en-US"/>
        </w:rPr>
        <w:fldChar w:fldCharType="begin"/>
      </w:r>
      <w:r w:rsidRPr="002A3213" w:rsidR="00AD69B3">
        <w:rPr>
          <w:rFonts w:eastAsia="Noteworthy-Light"/>
          <w:lang w:val="en-US"/>
        </w:rPr>
        <w:instrText xml:space="preserve"> </w:instrText>
      </w:r>
      <w:r w:rsidRPr="002A3213">
        <w:rPr>
          <w:rFonts w:eastAsia="Noteworthy-Light"/>
          <w:lang w:val="en-US"/>
        </w:rPr>
        <w:instrText>.  </w:instrText>
      </w:r>
      <w:r w:rsidRPr="002A3213" w:rsidR="00AD69B3">
        <w:rPr>
          <w:rFonts w:eastAsia="Noteworthy-Light"/>
          <w:lang w:val="en-US"/>
        </w:rPr>
        <w:instrText xml:space="preserve">SEQ level0 \*arabic </w:instrText>
      </w:r>
      <w:r w:rsidRPr="002A3213" w:rsidR="00AD69B3">
        <w:rPr>
          <w:rFonts w:eastAsia="Noteworthy-Light"/>
          <w:lang w:val="en-US"/>
        </w:rPr>
        <w:fldChar w:fldCharType="separate"/>
      </w:r>
      <w:r w:rsidRPr="002A3213">
        <w:rPr>
          <w:rFonts w:eastAsia="Noteworthy-Light"/>
          <w:noProof/>
          <w:lang w:val="en-US"/>
        </w:rPr>
        <w:instrText>194</w:instrText>
      </w:r>
      <w:r w:rsidRPr="002A3213" w:rsidR="00AD69B3">
        <w:rPr>
          <w:rFonts w:eastAsia="Noteworthy-Light"/>
          <w:lang w:val="en-US"/>
        </w:rPr>
        <w:fldChar w:fldCharType="end"/>
      </w:r>
      <w:r w:rsidRPr="002A3213">
        <w:rPr>
          <w:rFonts w:eastAsia="Noteworthy-Light"/>
          <w:lang w:val="en-US"/>
        </w:rPr>
        <w:instrText xml:space="preserve"> </w:instrText>
      </w:r>
      <w:r w:rsidRPr="002A3213">
        <w:rPr>
          <w:rFonts w:eastAsia="Noteworthy-Light"/>
          <w:lang w:val="en-US"/>
        </w:rPr>
        <w:fldChar w:fldCharType="separate"/>
      </w:r>
      <w:r w:rsidRPr="002A3213" w:rsidR="002A3213">
        <w:rPr>
          <w:rFonts w:eastAsia="Noteworthy-Light"/>
          <w:noProof/>
          <w:lang w:val="en-US"/>
        </w:rPr>
        <w:t>1</w:t>
      </w:r>
      <w:r w:rsidRPr="002A3213">
        <w:rPr>
          <w:rFonts w:eastAsia="Noteworthy-Light"/>
          <w:lang w:val="en-US"/>
        </w:rPr>
        <w:fldChar w:fldCharType="end"/>
      </w:r>
      <w:r w:rsidRPr="002A3213" w:rsidR="00AD69B3">
        <w:rPr>
          <w:rFonts w:eastAsia="Noteworthy-Light"/>
          <w:lang w:val="en-US"/>
        </w:rPr>
        <w:t>.  This judgment belongs to a series of landmark cases concerning LGBTQ rights in Russia. It goes without saying that we absolutely agree on the merits. Our dissent relates exclusively to point 2 of the operative part (as a consequence of which we voted against points 8 and 9 of the operative part). We disagree with the Court</w:t>
      </w:r>
      <w:r w:rsidRPr="002A3213" w:rsidR="002A3213">
        <w:rPr>
          <w:rFonts w:eastAsia="Noteworthy-Light"/>
          <w:lang w:val="en-US"/>
        </w:rPr>
        <w:t>’</w:t>
      </w:r>
      <w:r w:rsidRPr="002A3213" w:rsidR="00AD69B3">
        <w:rPr>
          <w:rFonts w:eastAsia="Noteworthy-Light"/>
          <w:lang w:val="en-US"/>
        </w:rPr>
        <w:t>s finding that Mr Alekseyev</w:t>
      </w:r>
      <w:r w:rsidRPr="002A3213" w:rsidR="002A3213">
        <w:rPr>
          <w:rFonts w:eastAsia="Noteworthy-Light"/>
          <w:lang w:val="en-US"/>
        </w:rPr>
        <w:t>’</w:t>
      </w:r>
      <w:r w:rsidRPr="002A3213" w:rsidR="00AD69B3">
        <w:rPr>
          <w:rFonts w:eastAsia="Noteworthy-Light"/>
          <w:lang w:val="en-US"/>
        </w:rPr>
        <w:t>s application in his own capacity should be dismissed for abuse of the right</w:t>
      </w:r>
      <w:r w:rsidRPr="002A3213" w:rsidR="00AD69B3">
        <w:rPr>
          <w:rFonts w:eastAsia="Times New Roman"/>
          <w:szCs w:val="24"/>
          <w:lang w:val="en-US"/>
        </w:rPr>
        <w:t xml:space="preserve"> </w:t>
      </w:r>
      <w:r w:rsidRPr="002A3213" w:rsidR="00AD69B3">
        <w:rPr>
          <w:rFonts w:eastAsia="Noteworthy-Light"/>
          <w:lang w:val="en-US"/>
        </w:rPr>
        <w:t>of application under Article 35 § 3 (a) of the Convention. In our view, the applicant should therefore also have been awarded just satisfaction on the basis of Article 41 of the Convention.</w:t>
      </w:r>
    </w:p>
    <w:p w:rsidRPr="002A3213" w:rsidR="00AD69B3" w:rsidP="002A3213" w:rsidRDefault="00AD69B3">
      <w:pPr>
        <w:pStyle w:val="OpiPara"/>
        <w:rPr>
          <w:rFonts w:eastAsia="Noteworthy-Light"/>
          <w:lang w:val="en-US"/>
        </w:rPr>
      </w:pPr>
    </w:p>
    <w:p w:rsidRPr="002A3213" w:rsidR="00AD69B3" w:rsidP="002A3213" w:rsidRDefault="0076170C">
      <w:pPr>
        <w:pStyle w:val="OpiPara"/>
        <w:rPr>
          <w:rFonts w:eastAsia="Noteworthy-Light"/>
          <w:b/>
          <w:lang w:val="en-US"/>
        </w:rPr>
      </w:pPr>
      <w:r w:rsidRPr="002A3213">
        <w:rPr>
          <w:rFonts w:eastAsia="Noteworthy-Light"/>
          <w:b/>
          <w:lang w:val="en-US"/>
        </w:rPr>
        <w:t>(a)  </w:t>
      </w:r>
      <w:r w:rsidRPr="002A3213" w:rsidR="00AD69B3">
        <w:rPr>
          <w:rFonts w:eastAsia="Noteworthy-Light"/>
          <w:b/>
          <w:lang w:val="en-US"/>
        </w:rPr>
        <w:t>Punishment of conduct unconnected to this application</w:t>
      </w:r>
    </w:p>
    <w:p w:rsidRPr="002A3213" w:rsidR="00AD69B3" w:rsidP="002A3213" w:rsidRDefault="00AD69B3">
      <w:pPr>
        <w:ind w:firstLine="284"/>
        <w:rPr>
          <w:rFonts w:ascii="Times New Roman" w:hAnsi="Times New Roman" w:eastAsia="Noteworthy-Light" w:cs="Times New Roman"/>
          <w:i/>
          <w:lang w:val="en-US"/>
        </w:rPr>
      </w:pPr>
    </w:p>
    <w:p w:rsidRPr="002A3213" w:rsidR="00AD69B3" w:rsidP="002A3213" w:rsidRDefault="00AD69B3">
      <w:pPr>
        <w:pStyle w:val="OpiPara"/>
        <w:rPr>
          <w:rFonts w:eastAsia="Noteworthy-Light"/>
          <w:lang w:val="en-US"/>
        </w:rPr>
      </w:pPr>
      <w:r w:rsidRPr="002A3213">
        <w:rPr>
          <w:rFonts w:eastAsia="Noteworthy-Light"/>
          <w:lang w:val="en-US"/>
        </w:rPr>
        <w:fldChar w:fldCharType="begin"/>
      </w:r>
      <w:r w:rsidRPr="002A3213">
        <w:rPr>
          <w:rFonts w:eastAsia="Noteworthy-Light"/>
          <w:lang w:val="en-US"/>
        </w:rPr>
        <w:instrText xml:space="preserve"> SEQ level0 \*arabic </w:instrText>
      </w:r>
      <w:r w:rsidRPr="002A3213">
        <w:rPr>
          <w:rFonts w:eastAsia="Noteworthy-Light"/>
          <w:lang w:val="en-US"/>
        </w:rPr>
        <w:fldChar w:fldCharType="separate"/>
      </w:r>
      <w:r w:rsidRPr="002A3213" w:rsidR="002A3213">
        <w:rPr>
          <w:rFonts w:eastAsia="Noteworthy-Light"/>
          <w:noProof/>
          <w:lang w:val="en-US"/>
        </w:rPr>
        <w:t>2</w:t>
      </w:r>
      <w:r w:rsidRPr="002A3213">
        <w:rPr>
          <w:rFonts w:eastAsia="Noteworthy-Light"/>
          <w:lang w:val="en-US"/>
        </w:rPr>
        <w:fldChar w:fldCharType="end"/>
      </w:r>
      <w:r w:rsidRPr="002A3213">
        <w:rPr>
          <w:rFonts w:eastAsia="Noteworthy-Light"/>
          <w:lang w:val="en-US"/>
        </w:rPr>
        <w:t>.  Mr Alekseyev</w:t>
      </w:r>
      <w:r w:rsidRPr="002A3213" w:rsidR="002A3213">
        <w:rPr>
          <w:rFonts w:eastAsia="Noteworthy-Light"/>
          <w:lang w:val="en-US"/>
        </w:rPr>
        <w:t>’</w:t>
      </w:r>
      <w:r w:rsidRPr="002A3213">
        <w:rPr>
          <w:rFonts w:eastAsia="Noteworthy-Light"/>
          <w:lang w:val="en-US"/>
        </w:rPr>
        <w:t>s posts about individual judges and the Court plainly went beyond the limits of ordinary criticism. We have no objection to the Court</w:t>
      </w:r>
      <w:r w:rsidRPr="002A3213" w:rsidR="002A3213">
        <w:rPr>
          <w:rFonts w:eastAsia="Noteworthy-Light"/>
          <w:lang w:val="en-US"/>
        </w:rPr>
        <w:t>’</w:t>
      </w:r>
      <w:r w:rsidRPr="002A3213">
        <w:rPr>
          <w:rFonts w:eastAsia="Noteworthy-Light"/>
          <w:lang w:val="en-US"/>
        </w:rPr>
        <w:t>s characterisation of his language as “</w:t>
      </w:r>
      <w:r w:rsidRPr="002A3213">
        <w:rPr>
          <w:rFonts w:eastAsia="SimSun"/>
          <w:lang w:val="en-US"/>
        </w:rPr>
        <w:t xml:space="preserve">virulently and personally offensive” (see paragraph 83 of the judgment). </w:t>
      </w:r>
      <w:r w:rsidRPr="002A3213">
        <w:rPr>
          <w:rFonts w:eastAsia="Noteworthy-Light"/>
          <w:lang w:val="en-US"/>
        </w:rPr>
        <w:t xml:space="preserve">He also made false and misleading statements about judges, which is a cause for great concern. </w:t>
      </w:r>
      <w:r w:rsidRPr="002A3213">
        <w:rPr>
          <w:rFonts w:eastAsia="SimSun"/>
          <w:lang w:val="en-US"/>
        </w:rPr>
        <w:t>While we do not believe that his statements conveyed an actual, tangible threat, we also accept that the judges targeted may have found his comments “threatening</w:t>
      </w:r>
      <w:r w:rsidRPr="002A3213">
        <w:rPr>
          <w:rFonts w:eastAsia="Noteworthy-Light"/>
          <w:lang w:val="en-US"/>
        </w:rPr>
        <w:t>” (ibid.). Nonetheless, we do not believe that Mr Alekseyev</w:t>
      </w:r>
      <w:r w:rsidRPr="002A3213" w:rsidR="002A3213">
        <w:rPr>
          <w:rFonts w:eastAsia="Noteworthy-Light"/>
          <w:lang w:val="en-US"/>
        </w:rPr>
        <w:t>’</w:t>
      </w:r>
      <w:r w:rsidRPr="002A3213">
        <w:rPr>
          <w:rFonts w:eastAsia="Noteworthy-Light"/>
          <w:lang w:val="en-US"/>
        </w:rPr>
        <w:t>s conduct jeopardises the integrity of the Court in this case.</w:t>
      </w:r>
    </w:p>
    <w:p w:rsidRPr="002A3213" w:rsidR="00AD69B3" w:rsidP="002A3213" w:rsidRDefault="00AD69B3">
      <w:pPr>
        <w:pStyle w:val="OpiPara"/>
        <w:rPr>
          <w:rFonts w:eastAsia="Noteworthy-Light"/>
          <w:lang w:val="en-US"/>
        </w:rPr>
      </w:pPr>
      <w:r w:rsidRPr="002A3213">
        <w:rPr>
          <w:rFonts w:eastAsia="Noteworthy-Light"/>
          <w:lang w:val="en-US"/>
        </w:rPr>
        <w:fldChar w:fldCharType="begin"/>
      </w:r>
      <w:r w:rsidRPr="002A3213">
        <w:rPr>
          <w:rFonts w:eastAsia="Noteworthy-Light"/>
          <w:lang w:val="en-US"/>
        </w:rPr>
        <w:instrText xml:space="preserve"> SEQ level0 \*arabic </w:instrText>
      </w:r>
      <w:r w:rsidRPr="002A3213">
        <w:rPr>
          <w:rFonts w:eastAsia="Noteworthy-Light"/>
          <w:lang w:val="en-US"/>
        </w:rPr>
        <w:fldChar w:fldCharType="separate"/>
      </w:r>
      <w:r w:rsidRPr="002A3213" w:rsidR="002A3213">
        <w:rPr>
          <w:rFonts w:eastAsia="Noteworthy-Light"/>
          <w:noProof/>
          <w:lang w:val="en-US"/>
        </w:rPr>
        <w:t>3</w:t>
      </w:r>
      <w:r w:rsidRPr="002A3213">
        <w:rPr>
          <w:rFonts w:eastAsia="Noteworthy-Light"/>
          <w:lang w:val="en-US"/>
        </w:rPr>
        <w:fldChar w:fldCharType="end"/>
      </w:r>
      <w:r w:rsidRPr="002A3213">
        <w:rPr>
          <w:rFonts w:eastAsia="Noteworthy-Light"/>
          <w:lang w:val="en-US"/>
        </w:rPr>
        <w:t xml:space="preserve">.  As </w:t>
      </w:r>
      <w:r w:rsidRPr="002A3213">
        <w:rPr>
          <w:rFonts w:eastAsia="SimSun"/>
          <w:lang w:val="en-US"/>
        </w:rPr>
        <w:t xml:space="preserve">the </w:t>
      </w:r>
      <w:r w:rsidRPr="002A3213">
        <w:t>majority</w:t>
      </w:r>
      <w:r w:rsidRPr="002A3213">
        <w:rPr>
          <w:rFonts w:eastAsia="SimSun"/>
          <w:lang w:val="en-US"/>
        </w:rPr>
        <w:t xml:space="preserve"> concede, the comments were made in reaction to the Court</w:t>
      </w:r>
      <w:r w:rsidRPr="002A3213" w:rsidR="002A3213">
        <w:rPr>
          <w:rFonts w:eastAsia="SimSun"/>
          <w:lang w:val="en-US"/>
        </w:rPr>
        <w:t>’</w:t>
      </w:r>
      <w:r w:rsidRPr="002A3213">
        <w:rPr>
          <w:rFonts w:eastAsia="SimSun"/>
          <w:lang w:val="en-US"/>
        </w:rPr>
        <w:t xml:space="preserve">s judgment in a separate case in which Mr Alekseyev was the applicant (see </w:t>
      </w:r>
      <w:r w:rsidRPr="002A3213">
        <w:rPr>
          <w:rFonts w:eastAsia="Noteworthy-Light"/>
          <w:i/>
          <w:lang w:val="en-US"/>
        </w:rPr>
        <w:t>Alekseyev and Others v. Russia</w:t>
      </w:r>
      <w:r w:rsidRPr="002A3213">
        <w:rPr>
          <w:rFonts w:eastAsia="Noteworthy-Light"/>
          <w:lang w:val="en-US"/>
        </w:rPr>
        <w:t xml:space="preserve">, nos. </w:t>
      </w:r>
      <w:r w:rsidRPr="002A3213">
        <w:rPr>
          <w:rFonts w:eastAsia="Times New Roman"/>
          <w:lang w:val="en-US"/>
        </w:rPr>
        <w:t>14988/09</w:t>
      </w:r>
      <w:r w:rsidRPr="002A3213">
        <w:rPr>
          <w:rFonts w:eastAsia="Noteworthy-Light"/>
          <w:lang w:val="en-US"/>
        </w:rPr>
        <w:t xml:space="preserve"> and 50 others, 27 November 2018), </w:t>
      </w:r>
      <w:r w:rsidRPr="002A3213">
        <w:rPr>
          <w:rFonts w:eastAsia="SimSun"/>
          <w:lang w:val="en-US"/>
        </w:rPr>
        <w:t>and in which he was dissatisfied with the outcome</w:t>
      </w:r>
      <w:r w:rsidRPr="002A3213">
        <w:rPr>
          <w:rFonts w:eastAsia="Noteworthy-Light"/>
          <w:lang w:val="en-US"/>
        </w:rPr>
        <w:t xml:space="preserve"> and with the refusal of the Grand Chamber to examine the case. The Court has never declared an application inadmissible on the basis of aggressive language with no connection to the proceedings at issue.</w:t>
      </w:r>
    </w:p>
    <w:p w:rsidRPr="002A3213" w:rsidR="00AD69B3" w:rsidP="002A3213" w:rsidRDefault="00AD69B3">
      <w:pPr>
        <w:pStyle w:val="OpiPara"/>
        <w:rPr>
          <w:rFonts w:eastAsia="Noteworthy-Light"/>
          <w:lang w:val="en-US"/>
        </w:rPr>
      </w:pPr>
      <w:r w:rsidRPr="002A3213">
        <w:rPr>
          <w:rFonts w:eastAsia="Noteworthy-Light"/>
          <w:lang w:val="en-US"/>
        </w:rPr>
        <w:fldChar w:fldCharType="begin"/>
      </w:r>
      <w:r w:rsidRPr="002A3213">
        <w:rPr>
          <w:rFonts w:eastAsia="Noteworthy-Light"/>
          <w:lang w:val="en-US"/>
        </w:rPr>
        <w:instrText xml:space="preserve"> SEQ level0 \*arabic </w:instrText>
      </w:r>
      <w:r w:rsidRPr="002A3213">
        <w:rPr>
          <w:rFonts w:eastAsia="Noteworthy-Light"/>
          <w:lang w:val="en-US"/>
        </w:rPr>
        <w:fldChar w:fldCharType="separate"/>
      </w:r>
      <w:r w:rsidRPr="002A3213" w:rsidR="002A3213">
        <w:rPr>
          <w:rFonts w:eastAsia="Noteworthy-Light"/>
          <w:noProof/>
          <w:lang w:val="en-US"/>
        </w:rPr>
        <w:t>4</w:t>
      </w:r>
      <w:r w:rsidRPr="002A3213">
        <w:rPr>
          <w:rFonts w:eastAsia="Noteworthy-Light"/>
          <w:lang w:val="en-US"/>
        </w:rPr>
        <w:fldChar w:fldCharType="end"/>
      </w:r>
      <w:r w:rsidRPr="002A3213">
        <w:rPr>
          <w:rFonts w:eastAsia="Noteworthy-Light"/>
          <w:lang w:val="en-US"/>
        </w:rPr>
        <w:t xml:space="preserve">.  The use of offensive language is a ground for rejecting the application in “certain exceptional cases” (see </w:t>
      </w:r>
      <w:r w:rsidRPr="002A3213">
        <w:rPr>
          <w:rFonts w:eastAsia="Noteworthy-Light"/>
          <w:i/>
          <w:lang w:val="en-US"/>
        </w:rPr>
        <w:t>Emars v. Latvia</w:t>
      </w:r>
      <w:r w:rsidRPr="002A3213">
        <w:rPr>
          <w:rFonts w:eastAsia="Noteworthy-Light"/>
          <w:lang w:val="en-US"/>
        </w:rPr>
        <w:t xml:space="preserve">, no. </w:t>
      </w:r>
      <w:r w:rsidRPr="002A3213">
        <w:rPr>
          <w:rFonts w:eastAsia="Times New Roman"/>
          <w:lang w:val="en-US"/>
        </w:rPr>
        <w:t>22412/08</w:t>
      </w:r>
      <w:r w:rsidRPr="002A3213">
        <w:rPr>
          <w:rFonts w:eastAsia="Noteworthy-Light"/>
          <w:lang w:val="en-US"/>
        </w:rPr>
        <w:t>, § 46, ECHR 2014). So far, the Court has found such extraordinary circumstances only where they pertained to conduct or submissions within the framework of the Court proceedings. Indeed, this is the only reasonable reading of the language of Article 35 § 3:</w:t>
      </w:r>
    </w:p>
    <w:p w:rsidRPr="002A3213" w:rsidR="00AD69B3" w:rsidP="002A3213" w:rsidRDefault="00AD69B3">
      <w:pPr>
        <w:pStyle w:val="OpiQuot"/>
        <w:rPr>
          <w:rFonts w:eastAsia="Times New Roman"/>
          <w:lang w:val="en-US"/>
        </w:rPr>
      </w:pPr>
      <w:r w:rsidRPr="002A3213">
        <w:rPr>
          <w:rFonts w:eastAsia="Times New Roman"/>
          <w:lang w:val="en-US"/>
        </w:rPr>
        <w:t>“The Court shall declare inadmissible any individual application submitted under Article 34 if it considers that:</w:t>
      </w:r>
    </w:p>
    <w:p w:rsidRPr="002A3213" w:rsidR="00AD69B3" w:rsidP="002A3213" w:rsidRDefault="00AD69B3">
      <w:pPr>
        <w:pStyle w:val="OpiQuot"/>
        <w:rPr>
          <w:rFonts w:eastAsia="Times New Roman"/>
          <w:lang w:val="en-US"/>
        </w:rPr>
      </w:pPr>
      <w:r w:rsidRPr="002A3213">
        <w:rPr>
          <w:rFonts w:eastAsia="Times New Roman"/>
          <w:lang w:val="en-US"/>
        </w:rPr>
        <w:t>(a)  </w:t>
      </w:r>
      <w:r w:rsidRPr="002A3213">
        <w:rPr>
          <w:rFonts w:eastAsia="Times New Roman"/>
          <w:i/>
          <w:lang w:val="en-US"/>
        </w:rPr>
        <w:t>the application</w:t>
      </w:r>
      <w:r w:rsidRPr="002A3213">
        <w:rPr>
          <w:rFonts w:eastAsia="Times New Roman"/>
          <w:lang w:val="en-US"/>
        </w:rPr>
        <w:t xml:space="preserve"> is incompatible with the provisions of the Convention or the Protocols thereto, manifestly ill-founded, or an abuse of the right of individual application” (emphasis added).</w:t>
      </w:r>
    </w:p>
    <w:p w:rsidRPr="002A3213" w:rsidR="00AD69B3" w:rsidP="002A3213" w:rsidRDefault="00AD69B3">
      <w:pPr>
        <w:pStyle w:val="OpiPara"/>
        <w:rPr>
          <w:rFonts w:eastAsia="Noteworthy-Light"/>
          <w:lang w:val="en-US"/>
        </w:rPr>
      </w:pPr>
      <w:r w:rsidRPr="002A3213">
        <w:rPr>
          <w:rFonts w:eastAsia="Noteworthy-Light"/>
          <w:lang w:val="en-US"/>
        </w:rPr>
        <w:t xml:space="preserve">A faithful prima facie interpretation of this provision leads us to conclude that </w:t>
      </w:r>
      <w:r w:rsidRPr="002A3213">
        <w:rPr>
          <w:rFonts w:eastAsia="Noteworthy-Light"/>
          <w:i/>
          <w:lang w:val="en-US"/>
        </w:rPr>
        <w:t>the application itself</w:t>
      </w:r>
      <w:r w:rsidRPr="002A3213">
        <w:rPr>
          <w:rFonts w:eastAsia="Noteworthy-Light"/>
          <w:lang w:val="en-US"/>
        </w:rPr>
        <w:t xml:space="preserve"> must be an abuse of the right, not any conduct or behaviour unconnected to the application.</w:t>
      </w:r>
    </w:p>
    <w:p w:rsidRPr="002A3213" w:rsidR="00AD69B3" w:rsidP="002A3213" w:rsidRDefault="00AD69B3">
      <w:pPr>
        <w:pStyle w:val="OpiPara"/>
        <w:rPr>
          <w:rFonts w:eastAsia="Noteworthy-Light"/>
          <w:lang w:val="en-US"/>
        </w:rPr>
      </w:pPr>
      <w:r w:rsidRPr="002A3213">
        <w:rPr>
          <w:rFonts w:eastAsia="Noteworthy-Light"/>
          <w:lang w:val="en-US"/>
        </w:rPr>
        <w:fldChar w:fldCharType="begin"/>
      </w:r>
      <w:r w:rsidRPr="002A3213">
        <w:rPr>
          <w:rFonts w:eastAsia="Noteworthy-Light"/>
          <w:lang w:val="en-US"/>
        </w:rPr>
        <w:instrText xml:space="preserve"> SEQ level0 \*arabic </w:instrText>
      </w:r>
      <w:r w:rsidRPr="002A3213">
        <w:rPr>
          <w:rFonts w:eastAsia="Noteworthy-Light"/>
          <w:lang w:val="en-US"/>
        </w:rPr>
        <w:fldChar w:fldCharType="separate"/>
      </w:r>
      <w:r w:rsidRPr="002A3213" w:rsidR="002A3213">
        <w:rPr>
          <w:rFonts w:eastAsia="Noteworthy-Light"/>
          <w:noProof/>
          <w:lang w:val="en-US"/>
        </w:rPr>
        <w:t>5</w:t>
      </w:r>
      <w:r w:rsidRPr="002A3213">
        <w:rPr>
          <w:rFonts w:eastAsia="Noteworthy-Light"/>
          <w:lang w:val="en-US"/>
        </w:rPr>
        <w:fldChar w:fldCharType="end"/>
      </w:r>
      <w:r w:rsidRPr="002A3213">
        <w:rPr>
          <w:rFonts w:eastAsia="Noteworthy-Light"/>
          <w:lang w:val="en-US"/>
        </w:rPr>
        <w:t xml:space="preserve">.  Thus, for instance, in </w:t>
      </w:r>
      <w:r w:rsidRPr="002A3213">
        <w:rPr>
          <w:rFonts w:eastAsia="Noteworthy-Light"/>
          <w:i/>
          <w:iCs/>
          <w:lang w:val="en-US"/>
        </w:rPr>
        <w:t>Stamoulakatos v. the United Kingdom</w:t>
      </w:r>
      <w:r w:rsidRPr="002A3213">
        <w:rPr>
          <w:rFonts w:eastAsia="Noteworthy-Light"/>
          <w:lang w:val="en-US"/>
        </w:rPr>
        <w:t xml:space="preserve"> (no. </w:t>
      </w:r>
      <w:r w:rsidRPr="002A3213">
        <w:rPr>
          <w:rFonts w:eastAsia="Times New Roman"/>
          <w:lang w:val="en-US"/>
        </w:rPr>
        <w:t>27567/95</w:t>
      </w:r>
      <w:r w:rsidRPr="002A3213">
        <w:rPr>
          <w:rFonts w:eastAsia="Noteworthy-Light"/>
          <w:lang w:val="en-US"/>
        </w:rPr>
        <w:t xml:space="preserve">, Commission decision of 9 April 1997), and </w:t>
      </w:r>
      <w:r w:rsidRPr="002A3213">
        <w:rPr>
          <w:rFonts w:eastAsia="Noteworthy-Light"/>
          <w:i/>
          <w:lang w:val="en-US"/>
        </w:rPr>
        <w:t>L.R. v. Austria</w:t>
      </w:r>
      <w:r w:rsidRPr="002A3213">
        <w:rPr>
          <w:rFonts w:eastAsia="Noteworthy-Light"/>
          <w:lang w:val="en-US"/>
        </w:rPr>
        <w:t xml:space="preserve"> (no. </w:t>
      </w:r>
      <w:r w:rsidRPr="002A3213">
        <w:rPr>
          <w:rFonts w:eastAsia="Times New Roman"/>
          <w:lang w:val="en-US"/>
        </w:rPr>
        <w:t>2424/65</w:t>
      </w:r>
      <w:r w:rsidRPr="002A3213">
        <w:rPr>
          <w:rFonts w:eastAsia="Noteworthy-Light"/>
          <w:lang w:val="en-US"/>
        </w:rPr>
        <w:t>, Commission decision of 24 May 1966), the series of unjustified allegations by the applicants, which were insulting and abusive to the respondent Government and the Court, led to the dismissal of the case. However, the offensive language in these cases was contained exclusively in the written submissions to the Court. By contrast, there is no allegation that Mr Alekseyev used such language in any of his submissions in the case at hand.</w:t>
      </w:r>
    </w:p>
    <w:p w:rsidRPr="002A3213" w:rsidR="00AD69B3" w:rsidP="002A3213" w:rsidRDefault="00AD69B3">
      <w:pPr>
        <w:pStyle w:val="OpiPara"/>
        <w:rPr>
          <w:rFonts w:eastAsia="Noteworthy-Light"/>
          <w:lang w:val="en-US"/>
        </w:rPr>
      </w:pPr>
      <w:r w:rsidRPr="002A3213">
        <w:rPr>
          <w:rFonts w:eastAsia="Noteworthy-Light"/>
          <w:lang w:val="en-US"/>
        </w:rPr>
        <w:fldChar w:fldCharType="begin"/>
      </w:r>
      <w:r w:rsidRPr="002A3213">
        <w:rPr>
          <w:rFonts w:eastAsia="Noteworthy-Light"/>
          <w:lang w:val="en-US"/>
        </w:rPr>
        <w:instrText xml:space="preserve"> SEQ level0 \*arabic </w:instrText>
      </w:r>
      <w:r w:rsidRPr="002A3213">
        <w:rPr>
          <w:rFonts w:eastAsia="Noteworthy-Light"/>
          <w:lang w:val="en-US"/>
        </w:rPr>
        <w:fldChar w:fldCharType="separate"/>
      </w:r>
      <w:r w:rsidRPr="002A3213" w:rsidR="002A3213">
        <w:rPr>
          <w:rFonts w:eastAsia="Noteworthy-Light"/>
          <w:noProof/>
          <w:lang w:val="en-US"/>
        </w:rPr>
        <w:t>6</w:t>
      </w:r>
      <w:r w:rsidRPr="002A3213">
        <w:rPr>
          <w:rFonts w:eastAsia="Noteworthy-Light"/>
          <w:lang w:val="en-US"/>
        </w:rPr>
        <w:fldChar w:fldCharType="end"/>
      </w:r>
      <w:r w:rsidRPr="002A3213">
        <w:rPr>
          <w:rFonts w:eastAsia="Noteworthy-Light"/>
          <w:lang w:val="en-US"/>
        </w:rPr>
        <w:t>.  Even where the offensive language did not form a part of the Court proceedings</w:t>
      </w:r>
      <w:r w:rsidRPr="002A3213">
        <w:rPr>
          <w:rFonts w:eastAsia="Noteworthy-Light"/>
          <w:i/>
          <w:iCs/>
          <w:lang w:val="en-US"/>
        </w:rPr>
        <w:t xml:space="preserve">, </w:t>
      </w:r>
      <w:r w:rsidRPr="002A3213">
        <w:rPr>
          <w:rFonts w:eastAsia="Noteworthy-Light"/>
          <w:iCs/>
          <w:lang w:val="en-US"/>
        </w:rPr>
        <w:t xml:space="preserve">the statements had to be of such a direct nature that they could be regarded as </w:t>
      </w:r>
      <w:r w:rsidRPr="002A3213">
        <w:rPr>
          <w:rFonts w:eastAsia="Noteworthy-Light"/>
          <w:lang w:val="en-US"/>
        </w:rPr>
        <w:t xml:space="preserve">“submissions” to the Court (see </w:t>
      </w:r>
      <w:r w:rsidRPr="002A3213">
        <w:rPr>
          <w:rFonts w:eastAsia="Noteworthy-Light"/>
          <w:i/>
          <w:iCs/>
          <w:lang w:val="en-US"/>
        </w:rPr>
        <w:t>Duringer and Others v. France</w:t>
      </w:r>
      <w:r w:rsidRPr="002A3213">
        <w:rPr>
          <w:rFonts w:eastAsia="Noteworthy-Light"/>
          <w:lang w:val="en-US"/>
        </w:rPr>
        <w:t> (dec.), nos. </w:t>
      </w:r>
      <w:r w:rsidRPr="002A3213">
        <w:rPr>
          <w:rFonts w:eastAsia="Times New Roman"/>
          <w:lang w:val="en-US"/>
        </w:rPr>
        <w:t>61164/00</w:t>
      </w:r>
      <w:r w:rsidRPr="002A3213">
        <w:rPr>
          <w:rFonts w:eastAsia="Noteworthy-Light"/>
          <w:lang w:val="en-US"/>
        </w:rPr>
        <w:t> and </w:t>
      </w:r>
      <w:r w:rsidRPr="002A3213">
        <w:rPr>
          <w:rFonts w:eastAsia="Times New Roman"/>
          <w:lang w:val="en-US"/>
        </w:rPr>
        <w:t>18589/02</w:t>
      </w:r>
      <w:r w:rsidRPr="002A3213">
        <w:rPr>
          <w:rFonts w:eastAsia="Noteworthy-Light"/>
          <w:lang w:val="en-US"/>
        </w:rPr>
        <w:t xml:space="preserve">, ECHR 2003-II). In </w:t>
      </w:r>
      <w:r w:rsidRPr="002A3213">
        <w:rPr>
          <w:rFonts w:eastAsia="Noteworthy-Light"/>
          <w:i/>
          <w:lang w:val="en-US"/>
        </w:rPr>
        <w:t>Duringer</w:t>
      </w:r>
      <w:r w:rsidRPr="002A3213">
        <w:rPr>
          <w:rFonts w:eastAsia="Noteworthy-Light"/>
          <w:lang w:val="en-US"/>
        </w:rPr>
        <w:t>, the applicant had sent numerous communications by letter and e-mail containing serious accusations which cast doubt on the integrity of certain judges. In similar fashion to Mr Alekseyev, the applicant was systematically trying to cast aspersions on judges of the Court, members of its Registry and politicians of the respondent State, and accused in particular certain judges of extremely serious crimes. However, the critical difference between Mr Alekseyev and Mr Duringer is that the latter sent the communications directly to the Court. These were in effect like submissions, in that they challenged the Court</w:t>
      </w:r>
      <w:r w:rsidRPr="002A3213" w:rsidR="002A3213">
        <w:rPr>
          <w:rFonts w:eastAsia="Noteworthy-Light"/>
          <w:lang w:val="en-US"/>
        </w:rPr>
        <w:t>’</w:t>
      </w:r>
      <w:r w:rsidRPr="002A3213">
        <w:rPr>
          <w:rFonts w:eastAsia="Noteworthy-Light"/>
          <w:lang w:val="en-US"/>
        </w:rPr>
        <w:t>s authority in the case before it.</w:t>
      </w:r>
    </w:p>
    <w:p w:rsidRPr="002A3213" w:rsidR="00AD69B3" w:rsidP="002A3213" w:rsidRDefault="00AD69B3">
      <w:pPr>
        <w:pStyle w:val="OpiPara"/>
        <w:rPr>
          <w:rFonts w:eastAsia="Noteworthy-Light"/>
          <w:lang w:val="en-US"/>
        </w:rPr>
      </w:pPr>
      <w:r w:rsidRPr="002A3213">
        <w:rPr>
          <w:rFonts w:eastAsia="Noteworthy-Light"/>
          <w:lang w:val="en-US"/>
        </w:rPr>
        <w:fldChar w:fldCharType="begin"/>
      </w:r>
      <w:r w:rsidRPr="002A3213">
        <w:rPr>
          <w:rFonts w:eastAsia="Noteworthy-Light"/>
          <w:lang w:val="en-US"/>
        </w:rPr>
        <w:instrText xml:space="preserve"> SEQ level0 \*arabic </w:instrText>
      </w:r>
      <w:r w:rsidRPr="002A3213">
        <w:rPr>
          <w:rFonts w:eastAsia="Noteworthy-Light"/>
          <w:lang w:val="en-US"/>
        </w:rPr>
        <w:fldChar w:fldCharType="separate"/>
      </w:r>
      <w:r w:rsidRPr="002A3213" w:rsidR="002A3213">
        <w:rPr>
          <w:rFonts w:eastAsia="Noteworthy-Light"/>
          <w:noProof/>
          <w:lang w:val="en-US"/>
        </w:rPr>
        <w:t>7</w:t>
      </w:r>
      <w:r w:rsidRPr="002A3213">
        <w:rPr>
          <w:rFonts w:eastAsia="Noteworthy-Light"/>
          <w:lang w:val="en-US"/>
        </w:rPr>
        <w:fldChar w:fldCharType="end"/>
      </w:r>
      <w:r w:rsidRPr="002A3213">
        <w:rPr>
          <w:rFonts w:eastAsia="Noteworthy-Light"/>
          <w:lang w:val="en-US"/>
        </w:rPr>
        <w:t xml:space="preserve">.  Our case is also distinct from </w:t>
      </w:r>
      <w:r w:rsidRPr="002A3213">
        <w:rPr>
          <w:rFonts w:eastAsia="Noteworthy-Light"/>
          <w:i/>
          <w:lang w:val="en-US"/>
        </w:rPr>
        <w:t xml:space="preserve">Georgian Labour Party v. Georgia </w:t>
      </w:r>
      <w:r w:rsidRPr="002A3213">
        <w:rPr>
          <w:rFonts w:eastAsia="Noteworthy-Light"/>
          <w:lang w:val="en-US"/>
        </w:rPr>
        <w:t xml:space="preserve">((dec.), no. </w:t>
      </w:r>
      <w:r w:rsidRPr="002A3213">
        <w:rPr>
          <w:rFonts w:eastAsia="Times New Roman"/>
          <w:lang w:val="en-US"/>
        </w:rPr>
        <w:t>9103/04</w:t>
      </w:r>
      <w:r w:rsidRPr="002A3213">
        <w:rPr>
          <w:rFonts w:eastAsia="Noteworthy-Light"/>
          <w:lang w:val="en-US"/>
        </w:rPr>
        <w:t xml:space="preserve">, </w:t>
      </w:r>
      <w:r w:rsidRPr="002A3213">
        <w:rPr>
          <w:rFonts w:eastAsia="Times New Roman"/>
          <w:bCs/>
          <w:lang w:val="en-US"/>
        </w:rPr>
        <w:t xml:space="preserve">22 May </w:t>
      </w:r>
      <w:r w:rsidRPr="002A3213">
        <w:rPr>
          <w:rFonts w:eastAsia="Noteworthy-Light"/>
          <w:lang w:val="en-US"/>
        </w:rPr>
        <w:t xml:space="preserve">2007), on which the majority partly rely. In </w:t>
      </w:r>
      <w:r w:rsidRPr="002A3213">
        <w:rPr>
          <w:rFonts w:eastAsia="Noteworthy-Light"/>
          <w:i/>
          <w:lang w:val="en-US"/>
        </w:rPr>
        <w:t>Georgian Labour Party</w:t>
      </w:r>
      <w:r w:rsidRPr="002A3213">
        <w:rPr>
          <w:rFonts w:eastAsia="Noteworthy-Light"/>
          <w:lang w:val="en-US"/>
        </w:rPr>
        <w:t>, the applicant</w:t>
      </w:r>
      <w:r w:rsidRPr="002A3213" w:rsidR="002A3213">
        <w:rPr>
          <w:rFonts w:eastAsia="Noteworthy-Light"/>
          <w:lang w:val="en-US"/>
        </w:rPr>
        <w:t>’</w:t>
      </w:r>
      <w:r w:rsidRPr="002A3213">
        <w:rPr>
          <w:rFonts w:eastAsia="Noteworthy-Light"/>
          <w:lang w:val="en-US"/>
        </w:rPr>
        <w:t>s offensive statements about the Government in media interviews could have been an abuse of the right of application had they reached a more serious level; however, in that case the applicant was complaining about proceedings that were ongoing at the time. This situation is clearly distinguishable from Mr Alekseyev</w:t>
      </w:r>
      <w:r w:rsidRPr="002A3213" w:rsidR="002A3213">
        <w:rPr>
          <w:rFonts w:eastAsia="Noteworthy-Light"/>
          <w:lang w:val="en-US"/>
        </w:rPr>
        <w:t>’</w:t>
      </w:r>
      <w:r w:rsidRPr="002A3213">
        <w:rPr>
          <w:rFonts w:eastAsia="Noteworthy-Light"/>
          <w:lang w:val="en-US"/>
        </w:rPr>
        <w:t>s complaints, which stemmed from a final judgment in the past.</w:t>
      </w:r>
    </w:p>
    <w:p w:rsidRPr="002A3213" w:rsidR="00AD69B3" w:rsidP="002A3213" w:rsidRDefault="00AD69B3">
      <w:pPr>
        <w:pStyle w:val="OpiPara"/>
        <w:rPr>
          <w:rFonts w:eastAsia="Noteworthy-Light"/>
          <w:lang w:val="en-US"/>
        </w:rPr>
      </w:pPr>
      <w:r w:rsidRPr="002A3213">
        <w:rPr>
          <w:rFonts w:eastAsia="Noteworthy-Light"/>
          <w:lang w:val="en-US"/>
        </w:rPr>
        <w:fldChar w:fldCharType="begin"/>
      </w:r>
      <w:r w:rsidRPr="002A3213">
        <w:rPr>
          <w:rFonts w:eastAsia="Noteworthy-Light"/>
          <w:lang w:val="en-US"/>
        </w:rPr>
        <w:instrText xml:space="preserve"> SEQ level0 \*arabic </w:instrText>
      </w:r>
      <w:r w:rsidRPr="002A3213">
        <w:rPr>
          <w:rFonts w:eastAsia="Noteworthy-Light"/>
          <w:lang w:val="en-US"/>
        </w:rPr>
        <w:fldChar w:fldCharType="separate"/>
      </w:r>
      <w:r w:rsidRPr="002A3213" w:rsidR="002A3213">
        <w:rPr>
          <w:rFonts w:eastAsia="Noteworthy-Light"/>
          <w:noProof/>
          <w:lang w:val="en-US"/>
        </w:rPr>
        <w:t>8</w:t>
      </w:r>
      <w:r w:rsidRPr="002A3213">
        <w:rPr>
          <w:rFonts w:eastAsia="Noteworthy-Light"/>
          <w:lang w:val="en-US"/>
        </w:rPr>
        <w:fldChar w:fldCharType="end"/>
      </w:r>
      <w:r w:rsidRPr="002A3213">
        <w:rPr>
          <w:rFonts w:eastAsia="Noteworthy-Light"/>
          <w:lang w:val="en-US"/>
        </w:rPr>
        <w:t>.  To this concern, the majority respond that “these statements published after the warning that explicitly mentioned the present applications can therefore be considered to be connected with them” (see paragraph 84 of the judgment). This reasoning goes too far. A warning from the Court that “mentions” the applications before it demonstrates nothing about the intention of the applicant; the Court cannot put words in an applicant</w:t>
      </w:r>
      <w:r w:rsidRPr="002A3213" w:rsidR="002A3213">
        <w:rPr>
          <w:rFonts w:eastAsia="Noteworthy-Light"/>
          <w:lang w:val="en-US"/>
        </w:rPr>
        <w:t>’</w:t>
      </w:r>
      <w:r w:rsidRPr="002A3213">
        <w:rPr>
          <w:rFonts w:eastAsia="Noteworthy-Light"/>
          <w:lang w:val="en-US"/>
        </w:rPr>
        <w:t>s mouth by assuming assent by silence. Subsequent posts by Mr Alekseyev after these warnings revealed no indication that they were aimed at the current application.</w:t>
      </w:r>
    </w:p>
    <w:p w:rsidRPr="002A3213" w:rsidR="00AD69B3" w:rsidP="002A3213" w:rsidRDefault="00AD69B3">
      <w:pPr>
        <w:ind w:firstLine="284"/>
        <w:rPr>
          <w:rFonts w:ascii="Times New Roman" w:hAnsi="Times New Roman" w:eastAsia="Noteworthy-Light" w:cs="Times New Roman"/>
          <w:lang w:val="en-US"/>
        </w:rPr>
      </w:pPr>
    </w:p>
    <w:p w:rsidRPr="002A3213" w:rsidR="00AD69B3" w:rsidP="002A3213" w:rsidRDefault="00AD69B3">
      <w:pPr>
        <w:ind w:firstLine="284"/>
        <w:rPr>
          <w:rFonts w:ascii="Times New Roman" w:hAnsi="Times New Roman" w:eastAsia="Noteworthy-Light" w:cs="Times New Roman"/>
          <w:lang w:val="en-US"/>
        </w:rPr>
      </w:pPr>
    </w:p>
    <w:p w:rsidRPr="002A3213" w:rsidR="00AD69B3" w:rsidP="002A3213" w:rsidRDefault="0076170C">
      <w:pPr>
        <w:pStyle w:val="OpiPara"/>
        <w:rPr>
          <w:rFonts w:eastAsia="Noteworthy-Light"/>
          <w:b/>
          <w:lang w:val="en-US"/>
        </w:rPr>
      </w:pPr>
      <w:r w:rsidRPr="002A3213">
        <w:rPr>
          <w:rFonts w:eastAsia="Noteworthy-Light"/>
          <w:b/>
          <w:lang w:val="en-US"/>
        </w:rPr>
        <w:t>(b)  </w:t>
      </w:r>
      <w:r w:rsidRPr="002A3213" w:rsidR="00AD69B3">
        <w:rPr>
          <w:rFonts w:eastAsia="Noteworthy-Light"/>
          <w:b/>
          <w:lang w:val="en-US"/>
        </w:rPr>
        <w:t>The “chilling effect” on the freedom of speech</w:t>
      </w:r>
    </w:p>
    <w:p w:rsidRPr="002A3213" w:rsidR="00AD69B3" w:rsidP="002A3213" w:rsidRDefault="00AD69B3">
      <w:pPr>
        <w:ind w:firstLine="284"/>
        <w:rPr>
          <w:rFonts w:ascii="Times New Roman" w:hAnsi="Times New Roman" w:eastAsia="Noteworthy-Light" w:cs="Times New Roman"/>
          <w:lang w:val="en-US"/>
        </w:rPr>
      </w:pPr>
    </w:p>
    <w:p w:rsidRPr="002A3213" w:rsidR="00AD69B3" w:rsidP="002A3213" w:rsidRDefault="00AD69B3">
      <w:pPr>
        <w:pStyle w:val="OpiPara"/>
        <w:rPr>
          <w:rFonts w:eastAsia="Noteworthy-Light"/>
          <w:lang w:val="en-US"/>
        </w:rPr>
      </w:pPr>
      <w:r w:rsidRPr="002A3213">
        <w:rPr>
          <w:rFonts w:eastAsia="Noteworthy-Light"/>
          <w:lang w:val="en-US"/>
        </w:rPr>
        <w:fldChar w:fldCharType="begin"/>
      </w:r>
      <w:r w:rsidRPr="002A3213">
        <w:rPr>
          <w:rFonts w:eastAsia="Noteworthy-Light"/>
          <w:lang w:val="en-US"/>
        </w:rPr>
        <w:instrText xml:space="preserve"> SEQ level0 \*arabic </w:instrText>
      </w:r>
      <w:r w:rsidRPr="002A3213">
        <w:rPr>
          <w:rFonts w:eastAsia="Noteworthy-Light"/>
          <w:lang w:val="en-US"/>
        </w:rPr>
        <w:fldChar w:fldCharType="separate"/>
      </w:r>
      <w:r w:rsidRPr="002A3213" w:rsidR="002A3213">
        <w:rPr>
          <w:rFonts w:eastAsia="Noteworthy-Light"/>
          <w:noProof/>
          <w:lang w:val="en-US"/>
        </w:rPr>
        <w:t>9</w:t>
      </w:r>
      <w:r w:rsidRPr="002A3213">
        <w:rPr>
          <w:rFonts w:eastAsia="Noteworthy-Light"/>
          <w:lang w:val="en-US"/>
        </w:rPr>
        <w:fldChar w:fldCharType="end"/>
      </w:r>
      <w:r w:rsidRPr="002A3213">
        <w:rPr>
          <w:rFonts w:eastAsia="Noteworthy-Light"/>
          <w:lang w:val="en-US"/>
        </w:rPr>
        <w:t>.  The judgments and decisions of this Court are always weighty, and often controversial. The Court is to a certain degree accountable to the public; discussion – negative or positive – about its work is inevitable and necessary in a democratic society. We believe therefore that the Court should be extremely careful not to set a precedent that could have a chilling effect on the active engagement of the public with the Court.</w:t>
      </w:r>
    </w:p>
    <w:p w:rsidRPr="002A3213" w:rsidR="00AD69B3" w:rsidP="002A3213" w:rsidRDefault="00AD69B3">
      <w:pPr>
        <w:pStyle w:val="OpiPara"/>
        <w:rPr>
          <w:rFonts w:eastAsia="Batang"/>
          <w:szCs w:val="24"/>
          <w:lang w:val="en-US" w:eastAsia="ko-KR"/>
        </w:rPr>
      </w:pPr>
      <w:r w:rsidRPr="002A3213">
        <w:rPr>
          <w:rFonts w:eastAsia="Noteworthy-Light"/>
          <w:lang w:val="en-US"/>
        </w:rPr>
        <w:fldChar w:fldCharType="begin"/>
      </w:r>
      <w:r w:rsidRPr="002A3213">
        <w:rPr>
          <w:rFonts w:eastAsia="Noteworthy-Light"/>
          <w:lang w:val="en-US"/>
        </w:rPr>
        <w:instrText xml:space="preserve"> SEQ level0 \*arabic </w:instrText>
      </w:r>
      <w:r w:rsidRPr="002A3213">
        <w:rPr>
          <w:rFonts w:eastAsia="Noteworthy-Light"/>
          <w:lang w:val="en-US"/>
        </w:rPr>
        <w:fldChar w:fldCharType="separate"/>
      </w:r>
      <w:r w:rsidRPr="002A3213" w:rsidR="002A3213">
        <w:rPr>
          <w:rFonts w:eastAsia="Noteworthy-Light"/>
          <w:noProof/>
          <w:lang w:val="en-US"/>
        </w:rPr>
        <w:t>10</w:t>
      </w:r>
      <w:r w:rsidRPr="002A3213">
        <w:rPr>
          <w:rFonts w:eastAsia="Noteworthy-Light"/>
          <w:lang w:val="en-US"/>
        </w:rPr>
        <w:fldChar w:fldCharType="end"/>
      </w:r>
      <w:r w:rsidRPr="002A3213">
        <w:rPr>
          <w:rFonts w:eastAsia="Noteworthy-Light"/>
          <w:lang w:val="en-US"/>
        </w:rPr>
        <w:t>.  Indeed, it is difficult to understand what purpose rejecting Mr Alekseyev</w:t>
      </w:r>
      <w:r w:rsidRPr="002A3213" w:rsidR="002A3213">
        <w:rPr>
          <w:rFonts w:eastAsia="Noteworthy-Light"/>
          <w:lang w:val="en-US"/>
        </w:rPr>
        <w:t>’</w:t>
      </w:r>
      <w:r w:rsidRPr="002A3213">
        <w:rPr>
          <w:rFonts w:eastAsia="Noteworthy-Light"/>
          <w:lang w:val="en-US"/>
        </w:rPr>
        <w:t>s application serves. On the contrary, we are disturbed by the risk of appearing to retaliate against the applicant</w:t>
      </w:r>
      <w:r w:rsidRPr="002A3213" w:rsidR="002A3213">
        <w:rPr>
          <w:rFonts w:eastAsia="Noteworthy-Light"/>
          <w:lang w:val="en-US"/>
        </w:rPr>
        <w:t>’</w:t>
      </w:r>
      <w:r w:rsidRPr="002A3213">
        <w:rPr>
          <w:rFonts w:eastAsia="Noteworthy-Light"/>
          <w:lang w:val="en-US"/>
        </w:rPr>
        <w:t xml:space="preserve">s offensive remarks about the formation that heard the case. After all, </w:t>
      </w:r>
      <w:r w:rsidRPr="002A3213">
        <w:rPr>
          <w:rFonts w:eastAsia="Batang"/>
          <w:szCs w:val="24"/>
          <w:lang w:val="en-US" w:eastAsia="ko-KR"/>
        </w:rPr>
        <w:t>“not only must Justice be done; it must also be seen to be done”</w:t>
      </w:r>
      <w:r w:rsidRPr="002A3213">
        <w:rPr>
          <w:rFonts w:eastAsia="Batang"/>
          <w:szCs w:val="24"/>
          <w:vertAlign w:val="superscript"/>
          <w:lang w:val="en-US" w:eastAsia="ko-KR"/>
        </w:rPr>
        <w:footnoteReference w:id="1"/>
      </w:r>
      <w:r w:rsidRPr="002A3213">
        <w:rPr>
          <w:rFonts w:eastAsia="Batang"/>
          <w:szCs w:val="24"/>
          <w:lang w:val="en-US" w:eastAsia="ko-KR"/>
        </w:rPr>
        <w:t>. To put it differently, the public should not be given the impression that the Court is engaging in revenge instead of delivering justice.</w:t>
      </w:r>
    </w:p>
    <w:p w:rsidRPr="002A3213" w:rsidR="00AD69B3" w:rsidP="002A3213" w:rsidRDefault="00AD69B3">
      <w:pPr>
        <w:pStyle w:val="OpiPara"/>
        <w:rPr>
          <w:rFonts w:eastAsia="SimSun"/>
          <w:iCs/>
          <w:lang w:val="en-US"/>
        </w:rPr>
      </w:pPr>
      <w:r w:rsidRPr="002A3213">
        <w:rPr>
          <w:rFonts w:eastAsia="SimSun"/>
          <w:lang w:val="en-US"/>
        </w:rPr>
        <w:fldChar w:fldCharType="begin"/>
      </w:r>
      <w:r w:rsidRPr="002A3213">
        <w:rPr>
          <w:rFonts w:eastAsia="SimSun"/>
          <w:lang w:val="en-US"/>
        </w:rPr>
        <w:instrText xml:space="preserve"> SEQ level0 \*arabic </w:instrText>
      </w:r>
      <w:r w:rsidRPr="002A3213">
        <w:rPr>
          <w:rFonts w:eastAsia="SimSun"/>
          <w:lang w:val="en-US"/>
        </w:rPr>
        <w:fldChar w:fldCharType="separate"/>
      </w:r>
      <w:r w:rsidRPr="002A3213" w:rsidR="002A3213">
        <w:rPr>
          <w:rFonts w:eastAsia="SimSun"/>
          <w:noProof/>
          <w:lang w:val="en-US"/>
        </w:rPr>
        <w:t>11</w:t>
      </w:r>
      <w:r w:rsidRPr="002A3213">
        <w:rPr>
          <w:rFonts w:eastAsia="SimSun"/>
          <w:lang w:val="en-US"/>
        </w:rPr>
        <w:fldChar w:fldCharType="end"/>
      </w:r>
      <w:r w:rsidRPr="002A3213">
        <w:rPr>
          <w:rFonts w:eastAsia="SimSun"/>
          <w:lang w:val="en-US"/>
        </w:rPr>
        <w:t>.  In particular, we are concerned that the majority characterised Mr Alekseyev</w:t>
      </w:r>
      <w:r w:rsidRPr="002A3213" w:rsidR="002A3213">
        <w:rPr>
          <w:rFonts w:eastAsia="SimSun"/>
          <w:lang w:val="en-US"/>
        </w:rPr>
        <w:t>’</w:t>
      </w:r>
      <w:r w:rsidRPr="002A3213">
        <w:rPr>
          <w:rFonts w:eastAsia="SimSun"/>
          <w:lang w:val="en-US"/>
        </w:rPr>
        <w:t>s use of social networking accounts as an effort “</w:t>
      </w:r>
      <w:r w:rsidRPr="002A3213">
        <w:rPr>
          <w:rFonts w:eastAsia="SimSun"/>
          <w:iCs/>
          <w:lang w:val="en-US"/>
        </w:rPr>
        <w:t>to ensure the widest possible circulation of his accusations and insults”, which in their view is “evidence of his determination to harm and tarnish the image and reputation of the institution of the European Court of Human Rights and its members” (see paragraph 84 of the judgment).</w:t>
      </w:r>
    </w:p>
    <w:p w:rsidRPr="002A3213" w:rsidR="00AD69B3" w:rsidP="002A3213" w:rsidRDefault="00AD69B3">
      <w:pPr>
        <w:pStyle w:val="OpiPara"/>
        <w:rPr>
          <w:rFonts w:eastAsia="Noteworthy-Light"/>
          <w:lang w:val="en-US"/>
        </w:rPr>
      </w:pPr>
      <w:r w:rsidRPr="002A3213">
        <w:rPr>
          <w:rFonts w:eastAsia="SimSun"/>
          <w:iCs/>
          <w:lang w:val="en-US"/>
        </w:rPr>
        <w:fldChar w:fldCharType="begin"/>
      </w:r>
      <w:r w:rsidRPr="002A3213">
        <w:rPr>
          <w:rFonts w:eastAsia="SimSun"/>
          <w:iCs/>
          <w:lang w:val="en-US"/>
        </w:rPr>
        <w:instrText xml:space="preserve"> SEQ level0 \*arabic </w:instrText>
      </w:r>
      <w:r w:rsidRPr="002A3213">
        <w:rPr>
          <w:rFonts w:eastAsia="SimSun"/>
          <w:iCs/>
          <w:lang w:val="en-US"/>
        </w:rPr>
        <w:fldChar w:fldCharType="separate"/>
      </w:r>
      <w:r w:rsidRPr="002A3213" w:rsidR="002A3213">
        <w:rPr>
          <w:rFonts w:eastAsia="SimSun"/>
          <w:iCs/>
          <w:noProof/>
          <w:lang w:val="en-US"/>
        </w:rPr>
        <w:t>12</w:t>
      </w:r>
      <w:r w:rsidRPr="002A3213">
        <w:rPr>
          <w:rFonts w:eastAsia="SimSun"/>
          <w:iCs/>
          <w:lang w:val="en-US"/>
        </w:rPr>
        <w:fldChar w:fldCharType="end"/>
      </w:r>
      <w:r w:rsidRPr="002A3213">
        <w:rPr>
          <w:rFonts w:eastAsia="SimSun"/>
          <w:iCs/>
          <w:lang w:val="en-US"/>
        </w:rPr>
        <w:t>.  In</w:t>
      </w:r>
      <w:r w:rsidRPr="002A3213">
        <w:rPr>
          <w:rFonts w:eastAsia="Noteworthy-Light"/>
          <w:lang w:val="en-US"/>
        </w:rPr>
        <w:t xml:space="preserve"> today</w:t>
      </w:r>
      <w:r w:rsidRPr="002A3213" w:rsidR="002A3213">
        <w:rPr>
          <w:rFonts w:eastAsia="Noteworthy-Light"/>
          <w:lang w:val="en-US"/>
        </w:rPr>
        <w:t>’</w:t>
      </w:r>
      <w:r w:rsidRPr="002A3213">
        <w:rPr>
          <w:rFonts w:eastAsia="Noteworthy-Light"/>
          <w:lang w:val="en-US"/>
        </w:rPr>
        <w:t>s digital age, with its vastly different and complex challenges to freedom of expression, we are hesitant to declare – so simply and with no limitations – that Mr Alekseyev</w:t>
      </w:r>
      <w:r w:rsidRPr="002A3213" w:rsidR="002A3213">
        <w:rPr>
          <w:rFonts w:eastAsia="Noteworthy-Light"/>
          <w:lang w:val="en-US"/>
        </w:rPr>
        <w:t>’</w:t>
      </w:r>
      <w:r w:rsidRPr="002A3213">
        <w:rPr>
          <w:rFonts w:eastAsia="Noteworthy-Light"/>
          <w:lang w:val="en-US"/>
        </w:rPr>
        <w:t>s Instagram account belongs to the public domain. How far does this public domain reach? If an applicant</w:t>
      </w:r>
      <w:r w:rsidRPr="002A3213" w:rsidR="002A3213">
        <w:rPr>
          <w:rFonts w:eastAsia="Noteworthy-Light"/>
          <w:lang w:val="en-US"/>
        </w:rPr>
        <w:t>’</w:t>
      </w:r>
      <w:r w:rsidRPr="002A3213">
        <w:rPr>
          <w:rFonts w:eastAsia="Noteworthy-Light"/>
          <w:lang w:val="en-US"/>
        </w:rPr>
        <w:t>s Instagram account has twenty followers, is that still public space? Will the Court take into account what the applicant wrote on his personal blog, on his NGO websites, or even in his emails? Even if the applicant deletes the posts at issue, they will remain accessi</w:t>
      </w:r>
      <w:r w:rsidRPr="002A3213" w:rsidR="00614702">
        <w:rPr>
          <w:rFonts w:eastAsia="Noteworthy-Light"/>
          <w:lang w:val="en-US"/>
        </w:rPr>
        <w:t xml:space="preserve">ble for years on the Internet; </w:t>
      </w:r>
      <w:r w:rsidRPr="002A3213">
        <w:rPr>
          <w:rFonts w:eastAsia="Noteworthy-Light"/>
          <w:lang w:val="en-US"/>
        </w:rPr>
        <w:t xml:space="preserve">how far back in time is the Court going to </w:t>
      </w:r>
      <w:r w:rsidRPr="002A3213">
        <w:rPr>
          <w:rFonts w:eastAsia="Noteworthy-Light"/>
        </w:rPr>
        <w:t>scrutinise</w:t>
      </w:r>
      <w:r w:rsidRPr="002A3213">
        <w:rPr>
          <w:rFonts w:eastAsia="Noteworthy-Light"/>
          <w:lang w:val="en-US"/>
        </w:rPr>
        <w:t xml:space="preserve"> the posts on an applicant</w:t>
      </w:r>
      <w:r w:rsidRPr="002A3213" w:rsidR="002A3213">
        <w:rPr>
          <w:rFonts w:eastAsia="Noteworthy-Light"/>
          <w:lang w:val="en-US"/>
        </w:rPr>
        <w:t>’</w:t>
      </w:r>
      <w:r w:rsidRPr="002A3213">
        <w:rPr>
          <w:rFonts w:eastAsia="Noteworthy-Light"/>
          <w:lang w:val="en-US"/>
        </w:rPr>
        <w:t>s social networking account? Now that the Court does not require a nexus between the offensive statements and the actual case at hand, would future applications from Mr Alekseyev all be inadmissible because of these posts?</w:t>
      </w:r>
    </w:p>
    <w:p w:rsidRPr="002A3213" w:rsidR="00AD69B3" w:rsidP="002A3213" w:rsidRDefault="00AD69B3">
      <w:pPr>
        <w:pStyle w:val="OpiPara"/>
        <w:rPr>
          <w:rFonts w:eastAsia="Noteworthy-Light"/>
          <w:lang w:val="en-US"/>
        </w:rPr>
      </w:pPr>
      <w:r w:rsidRPr="002A3213">
        <w:rPr>
          <w:rFonts w:eastAsia="Noteworthy-Light"/>
          <w:lang w:val="en-US"/>
        </w:rPr>
        <w:fldChar w:fldCharType="begin"/>
      </w:r>
      <w:r w:rsidRPr="002A3213">
        <w:rPr>
          <w:rFonts w:eastAsia="Noteworthy-Light"/>
          <w:lang w:val="en-US"/>
        </w:rPr>
        <w:instrText xml:space="preserve"> SEQ level0 \*arabic </w:instrText>
      </w:r>
      <w:r w:rsidRPr="002A3213">
        <w:rPr>
          <w:rFonts w:eastAsia="Noteworthy-Light"/>
          <w:lang w:val="en-US"/>
        </w:rPr>
        <w:fldChar w:fldCharType="separate"/>
      </w:r>
      <w:r w:rsidRPr="002A3213" w:rsidR="002A3213">
        <w:rPr>
          <w:rFonts w:eastAsia="Noteworthy-Light"/>
          <w:noProof/>
          <w:lang w:val="en-US"/>
        </w:rPr>
        <w:t>13</w:t>
      </w:r>
      <w:r w:rsidRPr="002A3213">
        <w:rPr>
          <w:rFonts w:eastAsia="Noteworthy-Light"/>
          <w:lang w:val="en-US"/>
        </w:rPr>
        <w:fldChar w:fldCharType="end"/>
      </w:r>
      <w:r w:rsidRPr="002A3213">
        <w:rPr>
          <w:rFonts w:eastAsia="Noteworthy-Light"/>
          <w:lang w:val="en-US"/>
        </w:rPr>
        <w:t>.  Furthermore, the majority do not tell us exactly which statements have cost Mr Alekseyev the right to seek recourse before the Court. Some of his statements constituted mere expressions of frustration, while others amounted to serious defamation. An indiscriminate, general condemnation of all critical statements about this Court sends a worrisome message to the domestic courts and future applicants.</w:t>
      </w:r>
    </w:p>
    <w:p w:rsidRPr="002A3213" w:rsidR="00AD69B3" w:rsidP="002A3213" w:rsidRDefault="00AD69B3">
      <w:pPr>
        <w:pStyle w:val="OpiPara"/>
        <w:rPr>
          <w:rFonts w:eastAsia="Times New Roman"/>
          <w:lang w:val="en-US" w:eastAsia="ko-KR"/>
        </w:rPr>
      </w:pPr>
      <w:r w:rsidRPr="002A3213">
        <w:rPr>
          <w:rFonts w:eastAsia="Noteworthy-Light"/>
          <w:lang w:val="en-US"/>
        </w:rPr>
        <w:fldChar w:fldCharType="begin"/>
      </w:r>
      <w:r w:rsidRPr="002A3213">
        <w:rPr>
          <w:rFonts w:eastAsia="Noteworthy-Light"/>
          <w:lang w:val="en-US"/>
        </w:rPr>
        <w:instrText xml:space="preserve"> SEQ level0 \*arabic </w:instrText>
      </w:r>
      <w:r w:rsidRPr="002A3213">
        <w:rPr>
          <w:rFonts w:eastAsia="Noteworthy-Light"/>
          <w:lang w:val="en-US"/>
        </w:rPr>
        <w:fldChar w:fldCharType="separate"/>
      </w:r>
      <w:r w:rsidRPr="002A3213" w:rsidR="002A3213">
        <w:rPr>
          <w:rFonts w:eastAsia="Noteworthy-Light"/>
          <w:noProof/>
          <w:lang w:val="en-US"/>
        </w:rPr>
        <w:t>14</w:t>
      </w:r>
      <w:r w:rsidRPr="002A3213">
        <w:rPr>
          <w:rFonts w:eastAsia="Noteworthy-Light"/>
          <w:lang w:val="en-US"/>
        </w:rPr>
        <w:fldChar w:fldCharType="end"/>
      </w:r>
      <w:r w:rsidRPr="002A3213">
        <w:rPr>
          <w:rFonts w:eastAsia="Noteworthy-Light"/>
          <w:lang w:val="en-US"/>
        </w:rPr>
        <w:t>.  </w:t>
      </w:r>
      <w:r w:rsidRPr="002A3213">
        <w:rPr>
          <w:rFonts w:eastAsia="Times New Roman"/>
          <w:lang w:val="en-US" w:eastAsia="ko-KR"/>
        </w:rPr>
        <w:t>The decision today comes dangerously, unacceptably close to scrutinising an applicant</w:t>
      </w:r>
      <w:r w:rsidRPr="002A3213" w:rsidR="002A3213">
        <w:rPr>
          <w:rFonts w:eastAsia="Times New Roman"/>
          <w:lang w:val="en-US" w:eastAsia="ko-KR"/>
        </w:rPr>
        <w:t>’</w:t>
      </w:r>
      <w:r w:rsidRPr="002A3213">
        <w:rPr>
          <w:rFonts w:eastAsia="Times New Roman"/>
          <w:lang w:val="en-US" w:eastAsia="ko-KR"/>
        </w:rPr>
        <w:t>s online presence and conduct outside the Court. Moreover, we fear that this decision could be an invitation to Governments to engage in surveillance of future applicants in the hopes of finding statements that could be offensive to the formation of the Court hearing the case.</w:t>
      </w:r>
    </w:p>
    <w:p w:rsidRPr="002A3213" w:rsidR="00AD69B3" w:rsidP="002A3213" w:rsidRDefault="00AD69B3">
      <w:pPr>
        <w:pStyle w:val="OpiPara"/>
        <w:rPr>
          <w:rFonts w:eastAsia="SimSun"/>
          <w:lang w:val="en-US"/>
        </w:rPr>
      </w:pPr>
      <w:r w:rsidRPr="002A3213">
        <w:rPr>
          <w:rFonts w:eastAsia="SimSun"/>
          <w:lang w:val="en-US"/>
        </w:rPr>
        <w:fldChar w:fldCharType="begin"/>
      </w:r>
      <w:r w:rsidRPr="002A3213">
        <w:rPr>
          <w:rFonts w:eastAsia="SimSun"/>
          <w:lang w:val="en-US"/>
        </w:rPr>
        <w:instrText xml:space="preserve"> SEQ level0 \*arabic </w:instrText>
      </w:r>
      <w:r w:rsidRPr="002A3213">
        <w:rPr>
          <w:rFonts w:eastAsia="SimSun"/>
          <w:lang w:val="en-US"/>
        </w:rPr>
        <w:fldChar w:fldCharType="separate"/>
      </w:r>
      <w:r w:rsidRPr="002A3213" w:rsidR="002A3213">
        <w:rPr>
          <w:rFonts w:eastAsia="SimSun"/>
          <w:noProof/>
          <w:lang w:val="en-US"/>
        </w:rPr>
        <w:t>15</w:t>
      </w:r>
      <w:r w:rsidRPr="002A3213">
        <w:rPr>
          <w:rFonts w:eastAsia="SimSun"/>
          <w:lang w:val="en-US"/>
        </w:rPr>
        <w:fldChar w:fldCharType="end"/>
      </w:r>
      <w:r w:rsidRPr="002A3213">
        <w:rPr>
          <w:rFonts w:eastAsia="SimSun"/>
          <w:lang w:val="en-US"/>
        </w:rPr>
        <w:t>.  In sum, the decision to declare Mr Alekseyev</w:t>
      </w:r>
      <w:r w:rsidRPr="002A3213" w:rsidR="002A3213">
        <w:rPr>
          <w:rFonts w:eastAsia="SimSun"/>
          <w:lang w:val="en-US"/>
        </w:rPr>
        <w:t>’</w:t>
      </w:r>
      <w:r w:rsidRPr="002A3213">
        <w:rPr>
          <w:rFonts w:eastAsia="SimSun"/>
          <w:lang w:val="en-US"/>
        </w:rPr>
        <w:t>s application an abuse of the right of application touches on the much weightier and more sensitive issue of freedom of speech in the digital era. We are not convinced that the Court has carefully considered its impact and ramifications.</w:t>
      </w:r>
    </w:p>
    <w:p w:rsidRPr="002A3213" w:rsidR="00AD69B3" w:rsidP="002A3213" w:rsidRDefault="00AD69B3">
      <w:pPr>
        <w:ind w:firstLine="284"/>
        <w:rPr>
          <w:rFonts w:ascii="Times New Roman" w:hAnsi="Times New Roman" w:eastAsia="SimSun" w:cs="Times New Roman"/>
          <w:iCs/>
          <w:lang w:val="en-US"/>
        </w:rPr>
      </w:pPr>
    </w:p>
    <w:p w:rsidRPr="002A3213" w:rsidR="00AD69B3" w:rsidP="002A3213" w:rsidRDefault="0076170C">
      <w:pPr>
        <w:pStyle w:val="OpiPara"/>
        <w:rPr>
          <w:rFonts w:eastAsia="SimSun"/>
          <w:b/>
          <w:lang w:val="en-US"/>
        </w:rPr>
      </w:pPr>
      <w:r w:rsidRPr="002A3213">
        <w:rPr>
          <w:rFonts w:eastAsia="SimSun"/>
          <w:b/>
          <w:lang w:val="en-US"/>
        </w:rPr>
        <w:t>(c)  </w:t>
      </w:r>
      <w:r w:rsidRPr="002A3213" w:rsidR="00AD69B3">
        <w:rPr>
          <w:rFonts w:eastAsia="SimSun"/>
          <w:b/>
          <w:lang w:val="en-US"/>
        </w:rPr>
        <w:t>The applicant</w:t>
      </w:r>
      <w:r w:rsidRPr="002A3213" w:rsidR="002A3213">
        <w:rPr>
          <w:rFonts w:eastAsia="SimSun"/>
          <w:b/>
          <w:lang w:val="en-US"/>
        </w:rPr>
        <w:t>’</w:t>
      </w:r>
      <w:r w:rsidRPr="002A3213" w:rsidR="00AD69B3">
        <w:rPr>
          <w:rFonts w:eastAsia="SimSun"/>
          <w:b/>
          <w:lang w:val="en-US"/>
        </w:rPr>
        <w:t>s right to access the Court</w:t>
      </w:r>
    </w:p>
    <w:p w:rsidRPr="002A3213" w:rsidR="00AD69B3" w:rsidP="002A3213" w:rsidRDefault="00AD69B3">
      <w:pPr>
        <w:ind w:firstLine="284"/>
        <w:rPr>
          <w:rFonts w:ascii="Times New Roman" w:hAnsi="Times New Roman" w:eastAsia="SimSun" w:cs="Times New Roman"/>
          <w:iCs/>
          <w:lang w:val="en-US"/>
        </w:rPr>
      </w:pPr>
    </w:p>
    <w:p w:rsidRPr="002A3213" w:rsidR="00AD69B3" w:rsidP="002A3213" w:rsidRDefault="00AD69B3">
      <w:pPr>
        <w:pStyle w:val="OpiPara"/>
        <w:rPr>
          <w:rFonts w:eastAsia="SimSun"/>
          <w:lang w:val="en-US"/>
        </w:rPr>
      </w:pPr>
      <w:r w:rsidRPr="002A3213">
        <w:rPr>
          <w:rFonts w:eastAsia="SimSun"/>
          <w:lang w:val="en-US"/>
        </w:rPr>
        <w:fldChar w:fldCharType="begin"/>
      </w:r>
      <w:r w:rsidRPr="002A3213">
        <w:rPr>
          <w:rFonts w:eastAsia="SimSun"/>
          <w:lang w:val="en-US"/>
        </w:rPr>
        <w:instrText xml:space="preserve"> SEQ level0 \*arabic </w:instrText>
      </w:r>
      <w:r w:rsidRPr="002A3213">
        <w:rPr>
          <w:rFonts w:eastAsia="SimSun"/>
          <w:lang w:val="en-US"/>
        </w:rPr>
        <w:fldChar w:fldCharType="separate"/>
      </w:r>
      <w:r w:rsidRPr="002A3213" w:rsidR="002A3213">
        <w:rPr>
          <w:rFonts w:eastAsia="SimSun"/>
          <w:noProof/>
          <w:lang w:val="en-US"/>
        </w:rPr>
        <w:t>16</w:t>
      </w:r>
      <w:r w:rsidRPr="002A3213">
        <w:rPr>
          <w:rFonts w:eastAsia="SimSun"/>
          <w:lang w:val="en-US"/>
        </w:rPr>
        <w:fldChar w:fldCharType="end"/>
      </w:r>
      <w:r w:rsidRPr="002A3213">
        <w:rPr>
          <w:rFonts w:eastAsia="SimSun"/>
          <w:lang w:val="en-US"/>
        </w:rPr>
        <w:t>.  The right of individual application under Article 34 is fundamental to the Convention system. The Court exists to protect and realise this right for all applicants, regardless of their manners or propriety. Taking this right away from an applicant altogether should be done only in the most exceptional circumstances.</w:t>
      </w:r>
    </w:p>
    <w:p w:rsidRPr="002A3213" w:rsidR="00AD69B3" w:rsidP="002A3213" w:rsidRDefault="00AD69B3">
      <w:pPr>
        <w:pStyle w:val="OpiPara"/>
        <w:rPr>
          <w:rFonts w:eastAsia="Noteworthy-Light"/>
          <w:lang w:val="en-US"/>
        </w:rPr>
      </w:pPr>
      <w:r w:rsidRPr="002A3213">
        <w:rPr>
          <w:rFonts w:eastAsia="SimSun"/>
          <w:iCs/>
          <w:lang w:val="en-US"/>
        </w:rPr>
        <w:fldChar w:fldCharType="begin"/>
      </w:r>
      <w:r w:rsidRPr="002A3213">
        <w:rPr>
          <w:rFonts w:eastAsia="SimSun"/>
          <w:iCs/>
          <w:lang w:val="en-US"/>
        </w:rPr>
        <w:instrText xml:space="preserve"> SEQ level0 \*arabic </w:instrText>
      </w:r>
      <w:r w:rsidRPr="002A3213">
        <w:rPr>
          <w:rFonts w:eastAsia="SimSun"/>
          <w:iCs/>
          <w:lang w:val="en-US"/>
        </w:rPr>
        <w:fldChar w:fldCharType="separate"/>
      </w:r>
      <w:r w:rsidRPr="002A3213" w:rsidR="002A3213">
        <w:rPr>
          <w:rFonts w:eastAsia="SimSun"/>
          <w:iCs/>
          <w:noProof/>
          <w:lang w:val="en-US"/>
        </w:rPr>
        <w:t>17</w:t>
      </w:r>
      <w:r w:rsidRPr="002A3213">
        <w:rPr>
          <w:rFonts w:eastAsia="SimSun"/>
          <w:iCs/>
          <w:lang w:val="en-US"/>
        </w:rPr>
        <w:fldChar w:fldCharType="end"/>
      </w:r>
      <w:r w:rsidRPr="002A3213">
        <w:rPr>
          <w:rFonts w:eastAsia="SimSun"/>
          <w:iCs/>
          <w:lang w:val="en-US"/>
        </w:rPr>
        <w:t>.  </w:t>
      </w:r>
      <w:r w:rsidRPr="002A3213">
        <w:rPr>
          <w:rFonts w:eastAsia="Noteworthy-Light"/>
          <w:lang w:val="en-US"/>
        </w:rPr>
        <w:t>In this case, fortunately, Mr Alekseyev</w:t>
      </w:r>
      <w:r w:rsidRPr="002A3213" w:rsidR="002A3213">
        <w:rPr>
          <w:rFonts w:eastAsia="Noteworthy-Light"/>
          <w:lang w:val="en-US"/>
        </w:rPr>
        <w:t>’</w:t>
      </w:r>
      <w:r w:rsidRPr="002A3213">
        <w:rPr>
          <w:rFonts w:eastAsia="Noteworthy-Light"/>
          <w:lang w:val="en-US"/>
        </w:rPr>
        <w:t>s claims were accompanied by the application on behalf of his NGO, which allowed some adjudication of the violations at stake. However, other applicants may not be so lucky. Imagine a case at the national level in which an applicant posts on her social networking page that all the judges of the appellate court are idiots, and as a result the appellate court declares an application inadmissible for abuse of rights, notwithstanding the clear merits of the applicant</w:t>
      </w:r>
      <w:r w:rsidRPr="002A3213" w:rsidR="002A3213">
        <w:rPr>
          <w:rFonts w:eastAsia="Noteworthy-Light"/>
          <w:lang w:val="en-US"/>
        </w:rPr>
        <w:t>’</w:t>
      </w:r>
      <w:r w:rsidRPr="002A3213">
        <w:rPr>
          <w:rFonts w:eastAsia="Noteworthy-Light"/>
          <w:lang w:val="en-US"/>
        </w:rPr>
        <w:t>s case. Would our Court not find a violation of Article 6 § 1 of the Convention?</w:t>
      </w:r>
    </w:p>
    <w:p w:rsidRPr="002A3213" w:rsidR="00AD69B3" w:rsidP="002A3213" w:rsidRDefault="00AD69B3">
      <w:pPr>
        <w:pStyle w:val="OpiPara"/>
        <w:rPr>
          <w:rFonts w:eastAsia="SimSun"/>
          <w:iCs/>
          <w:lang w:val="en-US"/>
        </w:rPr>
      </w:pPr>
      <w:r w:rsidRPr="002A3213">
        <w:rPr>
          <w:rFonts w:eastAsia="Times New Roman"/>
          <w:lang w:val="en-US" w:eastAsia="ko-KR"/>
        </w:rPr>
        <w:fldChar w:fldCharType="begin"/>
      </w:r>
      <w:r w:rsidRPr="002A3213">
        <w:rPr>
          <w:rFonts w:eastAsia="Times New Roman"/>
          <w:lang w:val="en-US" w:eastAsia="ko-KR"/>
        </w:rPr>
        <w:instrText xml:space="preserve"> SEQ level0 \*arabic </w:instrText>
      </w:r>
      <w:r w:rsidRPr="002A3213">
        <w:rPr>
          <w:rFonts w:eastAsia="Times New Roman"/>
          <w:lang w:val="en-US" w:eastAsia="ko-KR"/>
        </w:rPr>
        <w:fldChar w:fldCharType="separate"/>
      </w:r>
      <w:r w:rsidRPr="002A3213" w:rsidR="002A3213">
        <w:rPr>
          <w:rFonts w:eastAsia="Times New Roman"/>
          <w:noProof/>
          <w:lang w:val="en-US" w:eastAsia="ko-KR"/>
        </w:rPr>
        <w:t>18</w:t>
      </w:r>
      <w:r w:rsidRPr="002A3213">
        <w:rPr>
          <w:rFonts w:eastAsia="Times New Roman"/>
          <w:lang w:val="en-US" w:eastAsia="ko-KR"/>
        </w:rPr>
        <w:fldChar w:fldCharType="end"/>
      </w:r>
      <w:r w:rsidRPr="002A3213">
        <w:rPr>
          <w:rFonts w:eastAsia="Times New Roman"/>
          <w:lang w:val="en-US" w:eastAsia="ko-KR"/>
        </w:rPr>
        <w:t>.  Mr Alekseyev is a well-known activist for LGBTQ rights in Russia. He spares no effort and takes personal risks in order to advance the cause of equal rights. Many applications submitted by him to this Court have triggered meaningful advances in LGBTQ rights in that country. In this context, we consider it disproportionate to sanction his statements so severely on this first occasion. One alternative which the Court should have considered would be to send the applicant an official letter with a clear indication that if he does not retract his false and derogatory comments about individual judges, his applications will no longer be dealt with in the future.</w:t>
      </w:r>
    </w:p>
    <w:p w:rsidRPr="002A3213" w:rsidR="00AD69B3" w:rsidP="002A3213" w:rsidRDefault="00AD69B3">
      <w:pPr>
        <w:pStyle w:val="OpiPara"/>
        <w:rPr>
          <w:rFonts w:eastAsia="Noteworthy-Light"/>
          <w:lang w:val="en-US"/>
        </w:rPr>
      </w:pPr>
      <w:r w:rsidRPr="002A3213">
        <w:rPr>
          <w:rFonts w:eastAsia="Noteworthy-Light"/>
          <w:lang w:val="en-US"/>
        </w:rPr>
        <w:fldChar w:fldCharType="begin"/>
      </w:r>
      <w:r w:rsidRPr="002A3213">
        <w:rPr>
          <w:rFonts w:eastAsia="Noteworthy-Light"/>
          <w:lang w:val="en-US"/>
        </w:rPr>
        <w:instrText xml:space="preserve"> SEQ level0 \*arabic </w:instrText>
      </w:r>
      <w:r w:rsidRPr="002A3213">
        <w:rPr>
          <w:rFonts w:eastAsia="Noteworthy-Light"/>
          <w:lang w:val="en-US"/>
        </w:rPr>
        <w:fldChar w:fldCharType="separate"/>
      </w:r>
      <w:r w:rsidRPr="002A3213" w:rsidR="002A3213">
        <w:rPr>
          <w:rFonts w:eastAsia="Noteworthy-Light"/>
          <w:noProof/>
          <w:lang w:val="en-US"/>
        </w:rPr>
        <w:t>19</w:t>
      </w:r>
      <w:r w:rsidRPr="002A3213">
        <w:rPr>
          <w:rFonts w:eastAsia="Noteworthy-Light"/>
          <w:lang w:val="en-US"/>
        </w:rPr>
        <w:fldChar w:fldCharType="end"/>
      </w:r>
      <w:r w:rsidRPr="002A3213">
        <w:rPr>
          <w:rFonts w:eastAsia="Noteworthy-Light"/>
          <w:lang w:val="en-US"/>
        </w:rPr>
        <w:t xml:space="preserve">.  In short, depriving an individual of the ability to seek remedy from this Court must always be considered a problematic reaction </w:t>
      </w:r>
      <w:r w:rsidRPr="002A3213">
        <w:rPr>
          <w:rFonts w:eastAsia="Noteworthy-Light"/>
          <w:i/>
          <w:iCs/>
          <w:lang w:val="en-US"/>
        </w:rPr>
        <w:t xml:space="preserve">per se </w:t>
      </w:r>
      <w:r w:rsidRPr="002A3213">
        <w:rPr>
          <w:rFonts w:eastAsia="Noteworthy-Light"/>
          <w:iCs/>
          <w:lang w:val="en-US"/>
        </w:rPr>
        <w:t xml:space="preserve">and should be used only as an </w:t>
      </w:r>
      <w:r w:rsidRPr="002A3213">
        <w:rPr>
          <w:rFonts w:eastAsia="Noteworthy-Light"/>
          <w:i/>
          <w:iCs/>
          <w:lang w:val="en-US"/>
        </w:rPr>
        <w:t>ultima ratio</w:t>
      </w:r>
      <w:r w:rsidRPr="002A3213">
        <w:rPr>
          <w:rFonts w:eastAsia="Noteworthy-Light"/>
          <w:iCs/>
          <w:lang w:val="en-US"/>
        </w:rPr>
        <w:t xml:space="preserve"> after a very careful balancing of the interests at stake</w:t>
      </w:r>
      <w:r w:rsidRPr="002A3213">
        <w:rPr>
          <w:rFonts w:eastAsia="Noteworthy-Light"/>
          <w:lang w:val="en-US"/>
        </w:rPr>
        <w:t>. We are strongly against the Court depriving applicants of what is often the only recourse left to them in order to restore their fundamental rights.</w:t>
      </w:r>
    </w:p>
    <w:p w:rsidRPr="002A3213" w:rsidR="00AD69B3" w:rsidP="002A3213" w:rsidRDefault="00AD69B3">
      <w:pPr>
        <w:pStyle w:val="OpiPara"/>
        <w:rPr>
          <w:rFonts w:eastAsia="Noteworthy-Light"/>
          <w:lang w:val="en-US"/>
        </w:rPr>
      </w:pPr>
      <w:r w:rsidRPr="002A3213">
        <w:rPr>
          <w:rFonts w:eastAsia="Noteworthy-Light"/>
          <w:lang w:val="en-US"/>
        </w:rPr>
        <w:fldChar w:fldCharType="begin"/>
      </w:r>
      <w:r w:rsidRPr="002A3213">
        <w:rPr>
          <w:rFonts w:eastAsia="Noteworthy-Light"/>
          <w:lang w:val="en-US"/>
        </w:rPr>
        <w:instrText xml:space="preserve"> SEQ level0 \*arabic </w:instrText>
      </w:r>
      <w:r w:rsidRPr="002A3213">
        <w:rPr>
          <w:rFonts w:eastAsia="Noteworthy-Light"/>
          <w:lang w:val="en-US"/>
        </w:rPr>
        <w:fldChar w:fldCharType="separate"/>
      </w:r>
      <w:r w:rsidRPr="002A3213" w:rsidR="002A3213">
        <w:rPr>
          <w:rFonts w:eastAsia="Noteworthy-Light"/>
          <w:noProof/>
          <w:lang w:val="en-US"/>
        </w:rPr>
        <w:t>20</w:t>
      </w:r>
      <w:r w:rsidRPr="002A3213">
        <w:rPr>
          <w:rFonts w:eastAsia="Noteworthy-Light"/>
          <w:lang w:val="en-US"/>
        </w:rPr>
        <w:fldChar w:fldCharType="end"/>
      </w:r>
      <w:r w:rsidRPr="002A3213">
        <w:rPr>
          <w:rFonts w:eastAsia="Noteworthy-Light"/>
          <w:lang w:val="en-US"/>
        </w:rPr>
        <w:t>.  For</w:t>
      </w:r>
      <w:r w:rsidRPr="002A3213">
        <w:rPr>
          <w:rFonts w:eastAsia="Batang"/>
          <w:lang w:val="en-US" w:eastAsia="ko-KR"/>
        </w:rPr>
        <w:t xml:space="preserve"> the reasons set out above,</w:t>
      </w:r>
      <w:r w:rsidRPr="002A3213">
        <w:rPr>
          <w:rFonts w:eastAsia="Noteworthy-Light"/>
          <w:lang w:val="en-US"/>
        </w:rPr>
        <w:t xml:space="preserve"> we respectfully disagree with the Court</w:t>
      </w:r>
      <w:r w:rsidRPr="002A3213" w:rsidR="002A3213">
        <w:rPr>
          <w:rFonts w:eastAsia="Noteworthy-Light"/>
          <w:lang w:val="en-US"/>
        </w:rPr>
        <w:t>’</w:t>
      </w:r>
      <w:r w:rsidRPr="002A3213">
        <w:rPr>
          <w:rFonts w:eastAsia="Noteworthy-Light"/>
          <w:lang w:val="en-US"/>
        </w:rPr>
        <w:t>s decision to declare Mr Alekseyev</w:t>
      </w:r>
      <w:r w:rsidRPr="002A3213" w:rsidR="002A3213">
        <w:rPr>
          <w:rFonts w:eastAsia="Noteworthy-Light"/>
          <w:lang w:val="en-US"/>
        </w:rPr>
        <w:t>’</w:t>
      </w:r>
      <w:r w:rsidRPr="002A3213">
        <w:rPr>
          <w:rFonts w:eastAsia="Noteworthy-Light"/>
          <w:lang w:val="en-US"/>
        </w:rPr>
        <w:t>s application inadmissible as an abuse of the right of application under Article 35 § 3 (a) of the Convention.</w:t>
      </w:r>
    </w:p>
    <w:p w:rsidRPr="002A3213" w:rsidR="002A3213" w:rsidP="002A3213" w:rsidRDefault="002A3213">
      <w:pPr>
        <w:pStyle w:val="OpiPara"/>
        <w:rPr>
          <w:rFonts w:eastAsia="Noteworthy-Light"/>
          <w:lang w:val="en-US"/>
        </w:rPr>
      </w:pPr>
    </w:p>
    <w:p w:rsidRPr="002A3213" w:rsidR="00B804BF" w:rsidP="002A3213" w:rsidRDefault="00B804BF">
      <w:pPr>
        <w:jc w:val="center"/>
        <w:rPr>
          <w:b/>
          <w:lang w:val="en-US"/>
        </w:rPr>
        <w:sectPr w:rsidRPr="002A3213" w:rsidR="00B804BF" w:rsidSect="00B804BF">
          <w:headerReference w:type="even" r:id="rId13"/>
          <w:headerReference w:type="default" r:id="rId14"/>
          <w:footerReference w:type="even" r:id="rId15"/>
          <w:footerReference w:type="default" r:id="rId16"/>
          <w:footnotePr>
            <w:numRestart w:val="eachSect"/>
          </w:footnotePr>
          <w:pgSz w:w="11906" w:h="16838" w:code="9"/>
          <w:pgMar w:top="2274" w:right="2274" w:bottom="2274" w:left="2274" w:header="1701" w:footer="720" w:gutter="0"/>
          <w:cols w:space="720"/>
          <w:docGrid w:linePitch="326"/>
        </w:sectPr>
      </w:pPr>
    </w:p>
    <w:p w:rsidRPr="002A3213" w:rsidR="00D420F3" w:rsidP="002A3213" w:rsidRDefault="00513FFA">
      <w:pPr>
        <w:jc w:val="center"/>
        <w:rPr>
          <w:b/>
        </w:rPr>
      </w:pPr>
      <w:r w:rsidRPr="002A3213">
        <w:rPr>
          <w:b/>
        </w:rPr>
        <w:t>APPENDIX</w:t>
      </w:r>
    </w:p>
    <w:p w:rsidRPr="002A3213" w:rsidR="00A450A7" w:rsidP="002A3213" w:rsidRDefault="00A450A7">
      <w:pPr>
        <w:jc w:val="center"/>
        <w:rPr>
          <w:b/>
        </w:rPr>
      </w:pPr>
    </w:p>
    <w:tbl>
      <w:tblPr>
        <w:tblStyle w:val="ECHRListTable"/>
        <w:tblW w:w="0" w:type="auto"/>
        <w:tblInd w:w="108" w:type="dxa"/>
        <w:tblLook w:val="05E0" w:firstRow="1" w:lastRow="1" w:firstColumn="1" w:lastColumn="1" w:noHBand="0" w:noVBand="1"/>
      </w:tblPr>
      <w:tblGrid>
        <w:gridCol w:w="571"/>
        <w:gridCol w:w="1420"/>
        <w:gridCol w:w="1310"/>
        <w:gridCol w:w="5898"/>
        <w:gridCol w:w="3199"/>
      </w:tblGrid>
      <w:tr w:rsidRPr="002A3213" w:rsidR="00A450A7" w:rsidTr="0087098D">
        <w:trPr>
          <w:cnfStyle w:val="100000000000" w:firstRow="1" w:lastRow="0" w:firstColumn="0" w:lastColumn="0" w:oddVBand="0" w:evenVBand="0" w:oddHBand="0" w:evenHBand="0" w:firstRowFirstColumn="0" w:firstRowLastColumn="0" w:lastRowFirstColumn="0" w:lastRowLastColumn="0"/>
        </w:trPr>
        <w:tc>
          <w:tcPr>
            <w:tcW w:w="462" w:type="dxa"/>
          </w:tcPr>
          <w:p w:rsidRPr="002A3213" w:rsidR="00BC6A12" w:rsidP="002A3213" w:rsidRDefault="00BC6A12">
            <w:pPr>
              <w:jc w:val="left"/>
              <w:rPr>
                <w:b w:val="0"/>
              </w:rPr>
            </w:pPr>
            <w:bookmarkStart w:name="AppTableStart" w:id="28"/>
            <w:bookmarkEnd w:id="28"/>
            <w:r w:rsidRPr="002A3213">
              <w:rPr>
                <w:b w:val="0"/>
              </w:rPr>
              <w:t>No.</w:t>
            </w:r>
          </w:p>
        </w:tc>
        <w:tc>
          <w:tcPr>
            <w:tcW w:w="0" w:type="auto"/>
          </w:tcPr>
          <w:p w:rsidRPr="002A3213" w:rsidR="00BC6A12" w:rsidP="002A3213" w:rsidRDefault="00BC6A12">
            <w:pPr>
              <w:jc w:val="left"/>
              <w:rPr>
                <w:b w:val="0"/>
              </w:rPr>
            </w:pPr>
            <w:r w:rsidRPr="002A3213">
              <w:rPr>
                <w:b w:val="0"/>
              </w:rPr>
              <w:t>Application no.</w:t>
            </w:r>
          </w:p>
        </w:tc>
        <w:tc>
          <w:tcPr>
            <w:tcW w:w="0" w:type="auto"/>
          </w:tcPr>
          <w:p w:rsidRPr="002A3213" w:rsidR="00BC6A12" w:rsidP="002A3213" w:rsidRDefault="00BC6A12">
            <w:pPr>
              <w:jc w:val="left"/>
              <w:rPr>
                <w:b w:val="0"/>
              </w:rPr>
            </w:pPr>
            <w:r w:rsidRPr="002A3213">
              <w:rPr>
                <w:b w:val="0"/>
              </w:rPr>
              <w:t>Lodged on</w:t>
            </w:r>
          </w:p>
        </w:tc>
        <w:tc>
          <w:tcPr>
            <w:tcW w:w="0" w:type="auto"/>
          </w:tcPr>
          <w:p w:rsidRPr="002A3213" w:rsidR="00BC6A12" w:rsidP="002A3213" w:rsidRDefault="00BC6A12">
            <w:pPr>
              <w:jc w:val="left"/>
              <w:rPr>
                <w:b w:val="0"/>
              </w:rPr>
            </w:pPr>
            <w:r w:rsidRPr="002A3213">
              <w:rPr>
                <w:b w:val="0"/>
              </w:rPr>
              <w:t>Applicant</w:t>
            </w:r>
          </w:p>
          <w:p w:rsidRPr="002A3213" w:rsidR="00BC6A12" w:rsidP="002A3213" w:rsidRDefault="00BC6A12">
            <w:pPr>
              <w:jc w:val="left"/>
              <w:rPr>
                <w:b w:val="0"/>
              </w:rPr>
            </w:pPr>
            <w:r w:rsidRPr="002A3213">
              <w:rPr>
                <w:b w:val="0"/>
              </w:rPr>
              <w:t>Date of birth</w:t>
            </w:r>
          </w:p>
          <w:p w:rsidRPr="002A3213" w:rsidR="00BC6A12" w:rsidP="002A3213" w:rsidRDefault="00BC6A12">
            <w:pPr>
              <w:jc w:val="left"/>
              <w:rPr>
                <w:b w:val="0"/>
              </w:rPr>
            </w:pPr>
            <w:r w:rsidRPr="002A3213">
              <w:rPr>
                <w:b w:val="0"/>
              </w:rPr>
              <w:t>Place of residence</w:t>
            </w:r>
          </w:p>
        </w:tc>
        <w:tc>
          <w:tcPr>
            <w:tcW w:w="0" w:type="auto"/>
          </w:tcPr>
          <w:p w:rsidRPr="002A3213" w:rsidR="00BC6A12" w:rsidP="002A3213" w:rsidRDefault="00BC6A12">
            <w:pPr>
              <w:jc w:val="left"/>
              <w:rPr>
                <w:b w:val="0"/>
              </w:rPr>
            </w:pPr>
            <w:r w:rsidRPr="002A3213">
              <w:rPr>
                <w:b w:val="0"/>
              </w:rPr>
              <w:t>Represented by</w:t>
            </w:r>
          </w:p>
        </w:tc>
      </w:tr>
      <w:tr w:rsidRPr="002A3213" w:rsidR="00A450A7" w:rsidTr="0087098D">
        <w:tc>
          <w:tcPr>
            <w:tcW w:w="462" w:type="dxa"/>
          </w:tcPr>
          <w:p w:rsidRPr="002A3213" w:rsidR="00BC6A12" w:rsidP="002A3213" w:rsidRDefault="00BC6A12">
            <w:pPr>
              <w:jc w:val="left"/>
              <w:rPr>
                <w:b/>
              </w:rPr>
            </w:pPr>
            <w:r w:rsidRPr="002A3213">
              <w:rPr>
                <w:b/>
              </w:rPr>
              <w:t>1</w:t>
            </w:r>
          </w:p>
        </w:tc>
        <w:tc>
          <w:tcPr>
            <w:tcW w:w="0" w:type="auto"/>
          </w:tcPr>
          <w:p w:rsidRPr="002A3213" w:rsidR="00BC6A12" w:rsidP="002A3213" w:rsidRDefault="00BC6A12">
            <w:pPr>
              <w:jc w:val="left"/>
              <w:rPr>
                <w:b/>
              </w:rPr>
            </w:pPr>
            <w:r w:rsidRPr="002A3213">
              <w:rPr>
                <w:b/>
              </w:rPr>
              <w:t>12200/08</w:t>
            </w:r>
          </w:p>
        </w:tc>
        <w:tc>
          <w:tcPr>
            <w:tcW w:w="0" w:type="auto"/>
          </w:tcPr>
          <w:p w:rsidRPr="002A3213" w:rsidR="00BC6A12" w:rsidP="002A3213" w:rsidRDefault="00BC6A12">
            <w:pPr>
              <w:jc w:val="left"/>
              <w:rPr>
                <w:b/>
              </w:rPr>
            </w:pPr>
            <w:r w:rsidRPr="002A3213">
              <w:rPr>
                <w:b/>
              </w:rPr>
              <w:t>03/03/2008</w:t>
            </w:r>
          </w:p>
        </w:tc>
        <w:tc>
          <w:tcPr>
            <w:tcW w:w="0" w:type="auto"/>
          </w:tcPr>
          <w:p w:rsidRPr="002A3213" w:rsidR="00BC6A12" w:rsidP="002A3213" w:rsidRDefault="002E3247">
            <w:pPr>
              <w:jc w:val="left"/>
              <w:rPr>
                <w:b/>
              </w:rPr>
            </w:pPr>
            <w:r w:rsidRPr="002A3213">
              <w:rPr>
                <w:b/>
              </w:rPr>
              <w:t xml:space="preserve">Mr </w:t>
            </w:r>
            <w:r w:rsidRPr="002A3213" w:rsidR="00BC6A12">
              <w:rPr>
                <w:b/>
              </w:rPr>
              <w:t>Aleksandr ZHDANOV</w:t>
            </w:r>
          </w:p>
          <w:p w:rsidRPr="002A3213" w:rsidR="00A369C1" w:rsidP="002A3213" w:rsidRDefault="00E64A4D">
            <w:pPr>
              <w:jc w:val="left"/>
            </w:pPr>
            <w:r w:rsidRPr="002A3213">
              <w:t>30/09/1980</w:t>
            </w:r>
          </w:p>
          <w:p w:rsidRPr="002A3213" w:rsidR="005D59EB" w:rsidP="002A3213" w:rsidRDefault="003B3228">
            <w:pPr>
              <w:jc w:val="left"/>
            </w:pPr>
            <w:r w:rsidRPr="002A3213">
              <w:t xml:space="preserve">The </w:t>
            </w:r>
            <w:r w:rsidRPr="002A3213" w:rsidR="00BC6A12">
              <w:t>Tyumen</w:t>
            </w:r>
            <w:r w:rsidRPr="002A3213">
              <w:t xml:space="preserve"> region</w:t>
            </w:r>
          </w:p>
          <w:p w:rsidRPr="002A3213" w:rsidR="00BC6A12" w:rsidP="002A3213" w:rsidRDefault="00BC6A12">
            <w:pPr>
              <w:jc w:val="left"/>
            </w:pPr>
          </w:p>
          <w:p w:rsidRPr="002A3213" w:rsidR="00BC6A12" w:rsidP="002A3213" w:rsidRDefault="00982F63">
            <w:pPr>
              <w:keepNext/>
              <w:tabs>
                <w:tab w:val="right" w:leader="dot" w:pos="7371"/>
              </w:tabs>
              <w:spacing w:before="160" w:after="60" w:line="240" w:lineRule="exact"/>
              <w:ind w:left="340" w:right="567" w:hanging="340"/>
              <w:jc w:val="left"/>
              <w:rPr>
                <w:lang w:val="ru-RU"/>
              </w:rPr>
            </w:pPr>
            <w:r w:rsidRPr="002A3213">
              <w:rPr>
                <w:b/>
              </w:rPr>
              <w:t>REGIONAL</w:t>
            </w:r>
            <w:r w:rsidRPr="002A3213">
              <w:rPr>
                <w:b/>
                <w:lang w:val="ru-RU"/>
              </w:rPr>
              <w:t xml:space="preserve"> </w:t>
            </w:r>
            <w:r w:rsidRPr="002A3213">
              <w:rPr>
                <w:b/>
              </w:rPr>
              <w:t>PUBLIC</w:t>
            </w:r>
            <w:r w:rsidRPr="002A3213">
              <w:rPr>
                <w:b/>
                <w:lang w:val="ru-RU"/>
              </w:rPr>
              <w:t xml:space="preserve"> </w:t>
            </w:r>
            <w:r w:rsidRPr="002A3213">
              <w:rPr>
                <w:b/>
              </w:rPr>
              <w:t>ASSOCIATION</w:t>
            </w:r>
            <w:r w:rsidRPr="002A3213">
              <w:rPr>
                <w:b/>
                <w:lang w:val="ru-RU"/>
              </w:rPr>
              <w:t xml:space="preserve"> “</w:t>
            </w:r>
            <w:r w:rsidRPr="002A3213" w:rsidR="00BC6A12">
              <w:rPr>
                <w:b/>
              </w:rPr>
              <w:t>RAINBOW</w:t>
            </w:r>
            <w:r w:rsidRPr="002A3213" w:rsidR="00BC6A12">
              <w:rPr>
                <w:b/>
                <w:lang w:val="ru-RU"/>
              </w:rPr>
              <w:t xml:space="preserve"> </w:t>
            </w:r>
            <w:r w:rsidRPr="002A3213" w:rsidR="00BC6A12">
              <w:rPr>
                <w:b/>
              </w:rPr>
              <w:t>HOUSE</w:t>
            </w:r>
            <w:r w:rsidRPr="002A3213">
              <w:rPr>
                <w:b/>
                <w:lang w:val="ru-RU"/>
              </w:rPr>
              <w:t>”</w:t>
            </w:r>
            <w:r w:rsidRPr="002A3213" w:rsidR="002E3247">
              <w:rPr>
                <w:b/>
                <w:lang w:val="ru-RU"/>
              </w:rPr>
              <w:t xml:space="preserve"> (</w:t>
            </w:r>
            <w:r w:rsidRPr="002A3213" w:rsidR="003F2A96">
              <w:rPr>
                <w:b/>
                <w:i/>
                <w:lang w:val="ru-RU"/>
              </w:rPr>
              <w:t>Тюменская рег</w:t>
            </w:r>
            <w:r w:rsidRPr="002A3213">
              <w:rPr>
                <w:b/>
                <w:i/>
                <w:lang w:val="ru-RU"/>
              </w:rPr>
              <w:t>иональная общественная организация</w:t>
            </w:r>
            <w:r w:rsidRPr="002A3213">
              <w:rPr>
                <w:b/>
                <w:lang w:val="ru-RU"/>
              </w:rPr>
              <w:t xml:space="preserve"> “</w:t>
            </w:r>
            <w:r w:rsidRPr="002A3213">
              <w:rPr>
                <w:b/>
                <w:i/>
                <w:lang w:val="ru-RU"/>
              </w:rPr>
              <w:t>Радужный Дом</w:t>
            </w:r>
            <w:r w:rsidRPr="002A3213">
              <w:rPr>
                <w:b/>
                <w:lang w:val="ru-RU"/>
              </w:rPr>
              <w:t>”</w:t>
            </w:r>
            <w:r w:rsidRPr="002A3213" w:rsidR="002E3247">
              <w:rPr>
                <w:b/>
                <w:lang w:val="ru-RU"/>
              </w:rPr>
              <w:t>)</w:t>
            </w:r>
          </w:p>
          <w:p w:rsidRPr="002A3213" w:rsidR="00BC6A12" w:rsidP="002A3213" w:rsidRDefault="00BC6A12">
            <w:pPr>
              <w:jc w:val="left"/>
            </w:pPr>
            <w:r w:rsidRPr="002A3213">
              <w:t>Tyumen</w:t>
            </w:r>
          </w:p>
          <w:p w:rsidRPr="002A3213" w:rsidR="00A450A7" w:rsidP="002A3213" w:rsidRDefault="00A450A7">
            <w:pPr>
              <w:jc w:val="left"/>
            </w:pPr>
          </w:p>
        </w:tc>
        <w:tc>
          <w:tcPr>
            <w:tcW w:w="0" w:type="auto"/>
          </w:tcPr>
          <w:p w:rsidRPr="002A3213" w:rsidR="00BC6A12" w:rsidP="002A3213" w:rsidRDefault="003B3228">
            <w:pPr>
              <w:jc w:val="left"/>
              <w:rPr>
                <w:b/>
              </w:rPr>
            </w:pPr>
            <w:r w:rsidRPr="002A3213">
              <w:rPr>
                <w:b/>
              </w:rPr>
              <w:t xml:space="preserve">Mr P. </w:t>
            </w:r>
            <w:r w:rsidRPr="002A3213" w:rsidR="00BC6A12">
              <w:rPr>
                <w:b/>
              </w:rPr>
              <w:t>CHIKOV</w:t>
            </w:r>
          </w:p>
          <w:p w:rsidRPr="002A3213" w:rsidR="007B1E98" w:rsidP="002A3213" w:rsidRDefault="007B1E98">
            <w:pPr>
              <w:jc w:val="left"/>
              <w:rPr>
                <w:b/>
              </w:rPr>
            </w:pPr>
          </w:p>
        </w:tc>
      </w:tr>
      <w:tr w:rsidRPr="002A3213" w:rsidR="00A450A7" w:rsidTr="0087098D">
        <w:tc>
          <w:tcPr>
            <w:tcW w:w="462" w:type="dxa"/>
          </w:tcPr>
          <w:p w:rsidRPr="002A3213" w:rsidR="00BC6A12" w:rsidP="002A3213" w:rsidRDefault="00BC6A12">
            <w:pPr>
              <w:jc w:val="left"/>
              <w:rPr>
                <w:b/>
              </w:rPr>
            </w:pPr>
            <w:r w:rsidRPr="002A3213">
              <w:rPr>
                <w:b/>
              </w:rPr>
              <w:t>2</w:t>
            </w:r>
          </w:p>
        </w:tc>
        <w:tc>
          <w:tcPr>
            <w:tcW w:w="0" w:type="auto"/>
          </w:tcPr>
          <w:p w:rsidRPr="002A3213" w:rsidR="00BC6A12" w:rsidP="002A3213" w:rsidRDefault="00BC6A12">
            <w:pPr>
              <w:jc w:val="left"/>
              <w:rPr>
                <w:b/>
              </w:rPr>
            </w:pPr>
            <w:r w:rsidRPr="002A3213">
              <w:rPr>
                <w:b/>
              </w:rPr>
              <w:t>35949/11</w:t>
            </w:r>
          </w:p>
        </w:tc>
        <w:tc>
          <w:tcPr>
            <w:tcW w:w="0" w:type="auto"/>
          </w:tcPr>
          <w:p w:rsidRPr="002A3213" w:rsidR="00BC6A12" w:rsidP="002A3213" w:rsidRDefault="00BC6A12">
            <w:pPr>
              <w:jc w:val="left"/>
              <w:rPr>
                <w:b/>
              </w:rPr>
            </w:pPr>
            <w:r w:rsidRPr="002A3213">
              <w:rPr>
                <w:b/>
              </w:rPr>
              <w:t>20/05/2011</w:t>
            </w:r>
          </w:p>
        </w:tc>
        <w:tc>
          <w:tcPr>
            <w:tcW w:w="0" w:type="auto"/>
          </w:tcPr>
          <w:p w:rsidRPr="002A3213" w:rsidR="00BC6A12" w:rsidP="002A3213" w:rsidRDefault="002E3247">
            <w:pPr>
              <w:jc w:val="left"/>
            </w:pPr>
            <w:r w:rsidRPr="002A3213">
              <w:rPr>
                <w:b/>
              </w:rPr>
              <w:t xml:space="preserve">Mr </w:t>
            </w:r>
            <w:r w:rsidRPr="002A3213" w:rsidR="00BC6A12">
              <w:rPr>
                <w:b/>
              </w:rPr>
              <w:t>Nikolay Aleksandrovich ALEKSEYEV</w:t>
            </w:r>
          </w:p>
          <w:p w:rsidRPr="002A3213" w:rsidR="00BC6A12" w:rsidP="002A3213" w:rsidRDefault="00BC6A12">
            <w:pPr>
              <w:jc w:val="left"/>
            </w:pPr>
            <w:r w:rsidRPr="002A3213">
              <w:t>23/12/1977</w:t>
            </w:r>
          </w:p>
          <w:p w:rsidRPr="002A3213" w:rsidR="00BC6A12" w:rsidP="002A3213" w:rsidRDefault="00BC6A12">
            <w:pPr>
              <w:jc w:val="left"/>
            </w:pPr>
            <w:r w:rsidRPr="002A3213">
              <w:t>St Petersburg</w:t>
            </w:r>
          </w:p>
          <w:p w:rsidRPr="002A3213" w:rsidR="00BC6A12" w:rsidP="002A3213" w:rsidRDefault="00BC6A12">
            <w:pPr>
              <w:jc w:val="left"/>
            </w:pPr>
          </w:p>
          <w:p w:rsidRPr="002A3213" w:rsidR="00BC6A12" w:rsidP="002A3213" w:rsidRDefault="00A450A7">
            <w:pPr>
              <w:jc w:val="left"/>
            </w:pPr>
            <w:r w:rsidRPr="002A3213">
              <w:rPr>
                <w:b/>
              </w:rPr>
              <w:t>AUTONOMOUS NON-PROFIT ORGANISATION “</w:t>
            </w:r>
            <w:r w:rsidRPr="002A3213" w:rsidR="00BC6A12">
              <w:rPr>
                <w:b/>
              </w:rPr>
              <w:t>MOVEMENT FOR MARRIAGE EQUALITY</w:t>
            </w:r>
            <w:r w:rsidRPr="002A3213">
              <w:rPr>
                <w:b/>
              </w:rPr>
              <w:t>”</w:t>
            </w:r>
            <w:r w:rsidRPr="002A3213" w:rsidR="00982F63">
              <w:rPr>
                <w:b/>
              </w:rPr>
              <w:t xml:space="preserve"> (Автономная некоммерческая организация “Движение за брачное равноправие”)</w:t>
            </w:r>
          </w:p>
          <w:p w:rsidRPr="002A3213" w:rsidR="00BC6A12" w:rsidP="002A3213" w:rsidRDefault="002E3247">
            <w:pPr>
              <w:jc w:val="left"/>
            </w:pPr>
            <w:r w:rsidRPr="002A3213">
              <w:t>M</w:t>
            </w:r>
            <w:r w:rsidRPr="002A3213" w:rsidR="00BC6A12">
              <w:t>oscow</w:t>
            </w:r>
          </w:p>
          <w:p w:rsidRPr="002A3213" w:rsidR="00A450A7" w:rsidP="002A3213" w:rsidRDefault="00A450A7">
            <w:pPr>
              <w:jc w:val="left"/>
            </w:pPr>
          </w:p>
        </w:tc>
        <w:tc>
          <w:tcPr>
            <w:tcW w:w="0" w:type="auto"/>
          </w:tcPr>
          <w:p w:rsidRPr="002A3213" w:rsidR="00BC6A12" w:rsidP="002A3213" w:rsidRDefault="00CF399E">
            <w:pPr>
              <w:jc w:val="left"/>
              <w:rPr>
                <w:b/>
              </w:rPr>
            </w:pPr>
            <w:r w:rsidRPr="002A3213">
              <w:t>Initially</w:t>
            </w:r>
            <w:r w:rsidRPr="002A3213" w:rsidR="00513FFA">
              <w:rPr>
                <w:b/>
              </w:rPr>
              <w:t xml:space="preserve"> Mr</w:t>
            </w:r>
            <w:r w:rsidRPr="002A3213" w:rsidR="005A1EA4">
              <w:rPr>
                <w:b/>
              </w:rPr>
              <w:t> </w:t>
            </w:r>
            <w:r w:rsidRPr="002A3213" w:rsidR="00513FFA">
              <w:rPr>
                <w:b/>
              </w:rPr>
              <w:t>D. </w:t>
            </w:r>
            <w:r w:rsidRPr="002A3213" w:rsidR="005A1EA4">
              <w:rPr>
                <w:b/>
              </w:rPr>
              <w:t xml:space="preserve">BARTENEV </w:t>
            </w:r>
            <w:r w:rsidRPr="002A3213">
              <w:t>and then</w:t>
            </w:r>
            <w:r w:rsidRPr="002A3213">
              <w:rPr>
                <w:b/>
              </w:rPr>
              <w:t xml:space="preserve"> </w:t>
            </w:r>
            <w:r w:rsidRPr="002A3213" w:rsidR="00A369C1">
              <w:rPr>
                <w:b/>
              </w:rPr>
              <w:t>Mr E.</w:t>
            </w:r>
            <w:r w:rsidRPr="002A3213" w:rsidR="00BC6A12">
              <w:rPr>
                <w:b/>
              </w:rPr>
              <w:t xml:space="preserve"> DACI</w:t>
            </w:r>
            <w:r w:rsidRPr="002A3213" w:rsidR="00A369C1">
              <w:rPr>
                <w:b/>
              </w:rPr>
              <w:t xml:space="preserve"> and Mr</w:t>
            </w:r>
            <w:r w:rsidRPr="002A3213" w:rsidR="005A1EA4">
              <w:rPr>
                <w:b/>
              </w:rPr>
              <w:t> </w:t>
            </w:r>
            <w:r w:rsidRPr="002A3213" w:rsidR="00A369C1">
              <w:rPr>
                <w:b/>
              </w:rPr>
              <w:t>B. CRON</w:t>
            </w:r>
          </w:p>
          <w:p w:rsidRPr="002A3213" w:rsidR="007B1E98" w:rsidP="002A3213" w:rsidRDefault="007B1E98">
            <w:pPr>
              <w:jc w:val="left"/>
              <w:rPr>
                <w:b/>
              </w:rPr>
            </w:pPr>
          </w:p>
        </w:tc>
      </w:tr>
      <w:tr w:rsidRPr="002A3213" w:rsidR="00A450A7" w:rsidTr="0087098D">
        <w:tc>
          <w:tcPr>
            <w:tcW w:w="462" w:type="dxa"/>
          </w:tcPr>
          <w:p w:rsidRPr="002A3213" w:rsidR="00BC6A12" w:rsidP="002A3213" w:rsidRDefault="00BC6A12">
            <w:pPr>
              <w:jc w:val="left"/>
              <w:rPr>
                <w:b/>
              </w:rPr>
            </w:pPr>
            <w:r w:rsidRPr="002A3213">
              <w:rPr>
                <w:b/>
              </w:rPr>
              <w:t>3</w:t>
            </w:r>
          </w:p>
        </w:tc>
        <w:tc>
          <w:tcPr>
            <w:tcW w:w="0" w:type="auto"/>
          </w:tcPr>
          <w:p w:rsidRPr="002A3213" w:rsidR="00BC6A12" w:rsidP="002A3213" w:rsidRDefault="00BC6A12">
            <w:pPr>
              <w:jc w:val="left"/>
              <w:rPr>
                <w:b/>
              </w:rPr>
            </w:pPr>
            <w:r w:rsidRPr="002A3213">
              <w:rPr>
                <w:b/>
              </w:rPr>
              <w:t>58282/12</w:t>
            </w:r>
          </w:p>
        </w:tc>
        <w:tc>
          <w:tcPr>
            <w:tcW w:w="0" w:type="auto"/>
          </w:tcPr>
          <w:p w:rsidRPr="002A3213" w:rsidR="00BC6A12" w:rsidP="002A3213" w:rsidRDefault="00BC6A12">
            <w:pPr>
              <w:jc w:val="left"/>
              <w:rPr>
                <w:b/>
              </w:rPr>
            </w:pPr>
            <w:r w:rsidRPr="002A3213">
              <w:rPr>
                <w:b/>
              </w:rPr>
              <w:t>20/08/2012</w:t>
            </w:r>
          </w:p>
        </w:tc>
        <w:tc>
          <w:tcPr>
            <w:tcW w:w="0" w:type="auto"/>
          </w:tcPr>
          <w:p w:rsidRPr="002A3213" w:rsidR="00BC6A12" w:rsidP="002A3213" w:rsidRDefault="002E3247">
            <w:pPr>
              <w:jc w:val="left"/>
            </w:pPr>
            <w:r w:rsidRPr="002A3213">
              <w:rPr>
                <w:b/>
              </w:rPr>
              <w:t xml:space="preserve">Mr </w:t>
            </w:r>
            <w:r w:rsidRPr="002A3213" w:rsidR="00BC6A12">
              <w:rPr>
                <w:b/>
              </w:rPr>
              <w:t>Nikolay Aleksandrovich ALEKSEYEV</w:t>
            </w:r>
          </w:p>
          <w:p w:rsidRPr="002A3213" w:rsidR="00BC6A12" w:rsidP="002A3213" w:rsidRDefault="00BC6A12">
            <w:pPr>
              <w:jc w:val="left"/>
            </w:pPr>
            <w:r w:rsidRPr="002A3213">
              <w:t>23/12/1977</w:t>
            </w:r>
          </w:p>
          <w:p w:rsidRPr="002A3213" w:rsidR="00BC6A12" w:rsidP="002A3213" w:rsidRDefault="00BC6A12">
            <w:pPr>
              <w:jc w:val="left"/>
            </w:pPr>
            <w:r w:rsidRPr="002A3213">
              <w:t>Moscow</w:t>
            </w:r>
          </w:p>
          <w:p w:rsidRPr="002A3213" w:rsidR="00BC6A12" w:rsidP="002A3213" w:rsidRDefault="00BC6A12">
            <w:pPr>
              <w:jc w:val="left"/>
            </w:pPr>
          </w:p>
          <w:p w:rsidRPr="002A3213" w:rsidR="00BC6A12" w:rsidP="002A3213" w:rsidRDefault="002E3247">
            <w:pPr>
              <w:jc w:val="left"/>
            </w:pPr>
            <w:r w:rsidRPr="002A3213">
              <w:rPr>
                <w:b/>
              </w:rPr>
              <w:t xml:space="preserve">Mr </w:t>
            </w:r>
            <w:r w:rsidRPr="002A3213" w:rsidR="00BC6A12">
              <w:rPr>
                <w:b/>
              </w:rPr>
              <w:t>Kirill Sergeyevich NEPOMNYASHCHIY</w:t>
            </w:r>
          </w:p>
          <w:p w:rsidRPr="002A3213" w:rsidR="00BC6A12" w:rsidP="002A3213" w:rsidRDefault="00BC6A12">
            <w:pPr>
              <w:jc w:val="left"/>
            </w:pPr>
            <w:r w:rsidRPr="002A3213">
              <w:t>05/12/1981</w:t>
            </w:r>
          </w:p>
          <w:p w:rsidRPr="002A3213" w:rsidR="00BC6A12" w:rsidP="002A3213" w:rsidRDefault="007B1E98">
            <w:pPr>
              <w:jc w:val="left"/>
            </w:pPr>
            <w:r w:rsidRPr="002A3213">
              <w:t>The Krasnoyarsk region</w:t>
            </w:r>
          </w:p>
          <w:p w:rsidRPr="002A3213" w:rsidR="00BC6A12" w:rsidP="002A3213" w:rsidRDefault="00BC6A12">
            <w:pPr>
              <w:jc w:val="left"/>
            </w:pPr>
          </w:p>
          <w:p w:rsidRPr="002A3213" w:rsidR="00BC6A12" w:rsidP="002A3213" w:rsidRDefault="007B1E98">
            <w:pPr>
              <w:jc w:val="left"/>
            </w:pPr>
            <w:r w:rsidRPr="002A3213">
              <w:rPr>
                <w:b/>
              </w:rPr>
              <w:t xml:space="preserve">Mr </w:t>
            </w:r>
            <w:r w:rsidRPr="002A3213" w:rsidR="00BC6A12">
              <w:rPr>
                <w:b/>
              </w:rPr>
              <w:t>Aleksandr Sergeyevich NAUMCHIK</w:t>
            </w:r>
          </w:p>
          <w:p w:rsidRPr="002A3213" w:rsidR="00BC6A12" w:rsidP="002A3213" w:rsidRDefault="00BC6A12">
            <w:pPr>
              <w:jc w:val="left"/>
            </w:pPr>
            <w:r w:rsidRPr="002A3213">
              <w:t>16/03/1982</w:t>
            </w:r>
          </w:p>
          <w:p w:rsidRPr="002A3213" w:rsidR="00BC6A12" w:rsidP="002A3213" w:rsidRDefault="007B1E98">
            <w:pPr>
              <w:jc w:val="left"/>
            </w:pPr>
            <w:r w:rsidRPr="002A3213">
              <w:t>The Moscow region</w:t>
            </w:r>
          </w:p>
          <w:p w:rsidRPr="002A3213" w:rsidR="00AF0C57" w:rsidP="002A3213" w:rsidRDefault="00AF0C57">
            <w:pPr>
              <w:jc w:val="left"/>
            </w:pPr>
          </w:p>
          <w:p w:rsidRPr="002A3213" w:rsidR="00AF0C57" w:rsidP="002A3213" w:rsidRDefault="00A450A7">
            <w:pPr>
              <w:jc w:val="left"/>
              <w:rPr>
                <w:lang w:val="ru-RU"/>
              </w:rPr>
            </w:pPr>
            <w:r w:rsidRPr="002A3213">
              <w:rPr>
                <w:b/>
              </w:rPr>
              <w:t>REGIONAL</w:t>
            </w:r>
            <w:r w:rsidRPr="002A3213">
              <w:rPr>
                <w:b/>
                <w:lang w:val="ru-RU"/>
              </w:rPr>
              <w:t xml:space="preserve"> </w:t>
            </w:r>
            <w:r w:rsidRPr="002A3213">
              <w:rPr>
                <w:b/>
              </w:rPr>
              <w:t>PUBLIC</w:t>
            </w:r>
            <w:r w:rsidRPr="002A3213">
              <w:rPr>
                <w:b/>
                <w:lang w:val="ru-RU"/>
              </w:rPr>
              <w:t xml:space="preserve"> </w:t>
            </w:r>
            <w:r w:rsidRPr="002A3213" w:rsidR="00761BFD">
              <w:rPr>
                <w:b/>
              </w:rPr>
              <w:t>SPORTS</w:t>
            </w:r>
            <w:r w:rsidRPr="002A3213" w:rsidR="00761BFD">
              <w:rPr>
                <w:b/>
                <w:lang w:val="ru-RU"/>
              </w:rPr>
              <w:t xml:space="preserve"> </w:t>
            </w:r>
            <w:r w:rsidRPr="002A3213">
              <w:rPr>
                <w:b/>
              </w:rPr>
              <w:t>MOVEMENT</w:t>
            </w:r>
            <w:r w:rsidRPr="002A3213" w:rsidR="00C9482F">
              <w:rPr>
                <w:b/>
                <w:lang w:val="ru-RU"/>
              </w:rPr>
              <w:t xml:space="preserve"> </w:t>
            </w:r>
            <w:r w:rsidRPr="002A3213">
              <w:rPr>
                <w:b/>
                <w:lang w:val="ru-RU"/>
              </w:rPr>
              <w:t>“</w:t>
            </w:r>
            <w:r w:rsidRPr="002A3213" w:rsidR="00AF0C57">
              <w:rPr>
                <w:b/>
              </w:rPr>
              <w:t>SOCHI</w:t>
            </w:r>
            <w:r w:rsidRPr="002A3213" w:rsidR="00AF0C57">
              <w:rPr>
                <w:b/>
                <w:lang w:val="ru-RU"/>
              </w:rPr>
              <w:t xml:space="preserve"> </w:t>
            </w:r>
            <w:r w:rsidRPr="002A3213" w:rsidR="00AF0C57">
              <w:rPr>
                <w:b/>
              </w:rPr>
              <w:t>PRIDE</w:t>
            </w:r>
            <w:r w:rsidRPr="002A3213" w:rsidR="00AF0C57">
              <w:rPr>
                <w:b/>
                <w:lang w:val="ru-RU"/>
              </w:rPr>
              <w:t xml:space="preserve"> </w:t>
            </w:r>
            <w:r w:rsidRPr="002A3213" w:rsidR="00AF0C57">
              <w:rPr>
                <w:b/>
              </w:rPr>
              <w:t>HOUSE</w:t>
            </w:r>
            <w:r w:rsidRPr="002A3213">
              <w:rPr>
                <w:b/>
                <w:lang w:val="ru-RU"/>
              </w:rPr>
              <w:t>”</w:t>
            </w:r>
            <w:r w:rsidRPr="002A3213" w:rsidR="00AF0C57">
              <w:rPr>
                <w:b/>
                <w:lang w:val="ru-RU"/>
              </w:rPr>
              <w:t xml:space="preserve"> (</w:t>
            </w:r>
            <w:r w:rsidRPr="002A3213">
              <w:rPr>
                <w:b/>
                <w:i/>
                <w:lang w:val="ru-RU"/>
              </w:rPr>
              <w:t>Краснодарское краевое</w:t>
            </w:r>
            <w:r w:rsidRPr="002A3213" w:rsidR="005D59EB">
              <w:rPr>
                <w:b/>
                <w:i/>
                <w:lang w:val="ru-RU"/>
              </w:rPr>
              <w:t xml:space="preserve"> </w:t>
            </w:r>
            <w:r w:rsidRPr="002A3213">
              <w:rPr>
                <w:b/>
                <w:i/>
                <w:lang w:val="ru-RU"/>
              </w:rPr>
              <w:t>региональное спортивное общественное движение “Прайд-хаус в Сочи”</w:t>
            </w:r>
            <w:r w:rsidRPr="002A3213" w:rsidR="00AF0C57">
              <w:rPr>
                <w:b/>
                <w:lang w:val="ru-RU"/>
              </w:rPr>
              <w:t>)</w:t>
            </w:r>
          </w:p>
          <w:p w:rsidRPr="002A3213" w:rsidR="00AF0C57" w:rsidP="002A3213" w:rsidRDefault="00AF0C57">
            <w:pPr>
              <w:jc w:val="left"/>
            </w:pPr>
            <w:r w:rsidRPr="002A3213">
              <w:t>Krasnodar</w:t>
            </w:r>
          </w:p>
          <w:p w:rsidRPr="002A3213" w:rsidR="00AF0C57" w:rsidP="002A3213" w:rsidRDefault="00AF0C57">
            <w:pPr>
              <w:jc w:val="left"/>
            </w:pPr>
          </w:p>
        </w:tc>
        <w:tc>
          <w:tcPr>
            <w:tcW w:w="0" w:type="auto"/>
          </w:tcPr>
          <w:p w:rsidRPr="002A3213" w:rsidR="00AF0C57" w:rsidP="002A3213" w:rsidRDefault="00AF0C57">
            <w:pPr>
              <w:jc w:val="left"/>
              <w:rPr>
                <w:b/>
              </w:rPr>
            </w:pPr>
            <w:r w:rsidRPr="002A3213">
              <w:t>Initially</w:t>
            </w:r>
            <w:r w:rsidRPr="002A3213">
              <w:rPr>
                <w:b/>
              </w:rPr>
              <w:t xml:space="preserve"> Mr D. </w:t>
            </w:r>
            <w:r w:rsidRPr="002A3213" w:rsidR="005A1EA4">
              <w:rPr>
                <w:b/>
              </w:rPr>
              <w:t xml:space="preserve">BARTENEV </w:t>
            </w:r>
            <w:r w:rsidRPr="002A3213">
              <w:t>and then</w:t>
            </w:r>
            <w:r w:rsidRPr="002A3213">
              <w:rPr>
                <w:b/>
              </w:rPr>
              <w:t xml:space="preserve"> Mr E. DACI and Mr</w:t>
            </w:r>
            <w:r w:rsidRPr="002A3213" w:rsidR="005A1EA4">
              <w:rPr>
                <w:b/>
              </w:rPr>
              <w:t> </w:t>
            </w:r>
            <w:r w:rsidRPr="002A3213">
              <w:rPr>
                <w:b/>
              </w:rPr>
              <w:t>B. CRON</w:t>
            </w:r>
          </w:p>
          <w:p w:rsidRPr="002A3213" w:rsidR="007B1E98" w:rsidP="002A3213" w:rsidRDefault="007B1E98">
            <w:pPr>
              <w:jc w:val="left"/>
              <w:rPr>
                <w:b/>
              </w:rPr>
            </w:pPr>
          </w:p>
        </w:tc>
      </w:tr>
    </w:tbl>
    <w:p w:rsidRPr="002A3213" w:rsidR="00BC6A12" w:rsidP="002A3213" w:rsidRDefault="00BC6A12">
      <w:pPr>
        <w:jc w:val="center"/>
        <w:rPr>
          <w:b/>
        </w:rPr>
      </w:pPr>
    </w:p>
    <w:sectPr w:rsidRPr="002A3213" w:rsidR="00BC6A12" w:rsidSect="00502979">
      <w:headerReference w:type="even" r:id="rId17"/>
      <w:headerReference w:type="default" r:id="rId18"/>
      <w:footerReference w:type="even" r:id="rId19"/>
      <w:footerReference w:type="default" r:id="rId20"/>
      <w:footnotePr>
        <w:numRestart w:val="eachSect"/>
      </w:footnotePr>
      <w:pgSz w:w="16838" w:h="11906" w:orient="landscape" w:code="9"/>
      <w:pgMar w:top="2274" w:right="2274" w:bottom="2274" w:left="2274" w:header="1701"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54A3" w:rsidRPr="009C0C45" w:rsidRDefault="005854A3">
      <w:r w:rsidRPr="009C0C45">
        <w:separator/>
      </w:r>
    </w:p>
  </w:endnote>
  <w:endnote w:type="continuationSeparator" w:id="0">
    <w:p w:rsidR="005854A3" w:rsidRPr="009C0C45" w:rsidRDefault="005854A3">
      <w:r w:rsidRPr="009C0C4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Arial-BoldMT">
    <w:panose1 w:val="00000000000000000000"/>
    <w:charset w:val="00"/>
    <w:family w:val="swiss"/>
    <w:notTrueType/>
    <w:pitch w:val="default"/>
    <w:sig w:usb0="00000003" w:usb1="00000000" w:usb2="00000000" w:usb3="00000000" w:csb0="00000001" w:csb1="00000000"/>
  </w:font>
  <w:font w:name="Noteworthy-Light">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4A3" w:rsidRPr="00150BFA" w:rsidRDefault="005854A3" w:rsidP="00AD69B3">
    <w:pPr>
      <w:jc w:val="center"/>
    </w:pPr>
    <w:r>
      <w:rPr>
        <w:noProof/>
        <w:lang w:val="en-US" w:eastAsia="ja-JP"/>
      </w:rPr>
      <w:drawing>
        <wp:inline distT="0" distB="0" distL="0" distR="0" wp14:anchorId="5DF79426" wp14:editId="7DFB6093">
          <wp:extent cx="771525" cy="619125"/>
          <wp:effectExtent l="0" t="0" r="9525" b="9525"/>
          <wp:docPr id="55" name="Picture 55"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5854A3" w:rsidRDefault="005854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4A3" w:rsidRDefault="005854A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4A3" w:rsidRDefault="005854A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4A3" w:rsidRDefault="005854A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4A3" w:rsidRDefault="005854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54A3" w:rsidRPr="009C0C45" w:rsidRDefault="005854A3" w:rsidP="00D420F3">
      <w:r w:rsidRPr="009C0C45">
        <w:separator/>
      </w:r>
    </w:p>
  </w:footnote>
  <w:footnote w:type="continuationSeparator" w:id="0">
    <w:p w:rsidR="005854A3" w:rsidRPr="009C0C45" w:rsidRDefault="005854A3" w:rsidP="00D420F3">
      <w:r w:rsidRPr="009C0C45">
        <w:continuationSeparator/>
      </w:r>
    </w:p>
  </w:footnote>
  <w:footnote w:id="1">
    <w:p w:rsidR="005854A3" w:rsidRPr="00851E36" w:rsidRDefault="005854A3" w:rsidP="00AD69B3">
      <w:pPr>
        <w:pStyle w:val="FootnoteText"/>
        <w:rPr>
          <w:rFonts w:ascii="Times New Roman" w:hAnsi="Times New Roman" w:cs="Times New Roman"/>
          <w:lang w:val="pt-PT"/>
        </w:rPr>
      </w:pPr>
      <w:r w:rsidRPr="0076170C">
        <w:rPr>
          <w:rStyle w:val="FootnoteReference"/>
          <w:rFonts w:ascii="Times New Roman" w:hAnsi="Times New Roman" w:cs="Times New Roman"/>
          <w:vertAlign w:val="baseline"/>
        </w:rPr>
        <w:footnoteRef/>
      </w:r>
      <w:r>
        <w:rPr>
          <w:rFonts w:ascii="Times New Roman" w:hAnsi="Times New Roman" w:cs="Times New Roman"/>
          <w:lang w:val="pt-PT"/>
        </w:rPr>
        <w:t>.  </w:t>
      </w:r>
      <w:r w:rsidRPr="008C6220">
        <w:rPr>
          <w:rFonts w:ascii="Times New Roman" w:hAnsi="Times New Roman" w:cs="Times New Roman"/>
          <w:i/>
          <w:lang w:val="pt-PT"/>
        </w:rPr>
        <w:t>R v Sussex Justices; Ex parte McCarthy</w:t>
      </w:r>
      <w:r>
        <w:rPr>
          <w:rFonts w:ascii="Times New Roman" w:hAnsi="Times New Roman" w:cs="Times New Roman"/>
          <w:lang w:val="pt-PT"/>
        </w:rPr>
        <w:t xml:space="preserve"> [1924] 1 KB 256, 259.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4A3" w:rsidRPr="00D60D6A" w:rsidRDefault="005854A3" w:rsidP="00D60D6A">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4A3" w:rsidRPr="00A45145" w:rsidRDefault="005854A3" w:rsidP="00AD69B3">
    <w:pPr>
      <w:jc w:val="center"/>
    </w:pPr>
    <w:r>
      <w:rPr>
        <w:noProof/>
        <w:lang w:val="en-US" w:eastAsia="ja-JP"/>
      </w:rPr>
      <w:drawing>
        <wp:inline distT="0" distB="0" distL="0" distR="0" wp14:anchorId="00054682" wp14:editId="656E9283">
          <wp:extent cx="2962275" cy="1219200"/>
          <wp:effectExtent l="0" t="0" r="9525" b="0"/>
          <wp:docPr id="54" name="Picture 54"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5854A3" w:rsidRPr="009C0C45" w:rsidRDefault="005854A3" w:rsidP="0087098D">
    <w:pPr>
      <w:pStyle w:val="ECHRHeader"/>
      <w:tabs>
        <w:tab w:val="clear" w:pos="3686"/>
        <w:tab w:val="clear" w:pos="7371"/>
        <w:tab w:val="center" w:pos="6237"/>
        <w:tab w:val="right" w:pos="12333"/>
      </w:tabs>
    </w:pPr>
    <w:r>
      <w:tab/>
    </w:r>
  </w:p>
  <w:p w:rsidR="005854A3" w:rsidRDefault="005854A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4A3" w:rsidRPr="009C0C45" w:rsidRDefault="005854A3" w:rsidP="00D60D6A">
    <w:pPr>
      <w:pStyle w:val="ECHRHeader"/>
      <w:tabs>
        <w:tab w:val="clear" w:pos="7371"/>
        <w:tab w:val="right" w:pos="12333"/>
      </w:tabs>
    </w:pPr>
    <w:r>
      <w:rPr>
        <w:rStyle w:val="PageNumber"/>
        <w:szCs w:val="18"/>
      </w:rPr>
      <w:fldChar w:fldCharType="begin"/>
    </w:r>
    <w:r>
      <w:rPr>
        <w:rStyle w:val="PageNumber"/>
        <w:szCs w:val="18"/>
      </w:rPr>
      <w:instrText xml:space="preserve"> PAGE </w:instrText>
    </w:r>
    <w:r>
      <w:rPr>
        <w:rStyle w:val="PageNumber"/>
        <w:szCs w:val="18"/>
      </w:rPr>
      <w:fldChar w:fldCharType="separate"/>
    </w:r>
    <w:r w:rsidR="002A3213">
      <w:rPr>
        <w:rStyle w:val="PageNumber"/>
        <w:noProof/>
        <w:szCs w:val="18"/>
      </w:rPr>
      <w:t>34</w:t>
    </w:r>
    <w:r>
      <w:rPr>
        <w:rStyle w:val="PageNumber"/>
        <w:szCs w:val="18"/>
      </w:rPr>
      <w:fldChar w:fldCharType="end"/>
    </w:r>
    <w:r w:rsidRPr="009C0C45">
      <w:tab/>
    </w:r>
    <w:r>
      <w:t>ZHDANOV AND OTHERS v. RUSSIA</w:t>
    </w:r>
    <w:r w:rsidRPr="009C0C45">
      <w:t xml:space="preserve"> </w:t>
    </w:r>
    <w:r>
      <w:t>JUDGMENT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4A3" w:rsidRPr="009C0C45" w:rsidRDefault="005854A3" w:rsidP="00D420F3">
    <w:pPr>
      <w:pStyle w:val="ECHRHeader"/>
    </w:pPr>
    <w:r w:rsidRPr="009C0C45">
      <w:tab/>
    </w:r>
    <w:r>
      <w:t>ZHDANOV AND OTHERS v. RUSSIA</w:t>
    </w:r>
    <w:r w:rsidRPr="009C0C45">
      <w:t xml:space="preserve"> </w:t>
    </w:r>
    <w:r>
      <w:t>JUDGMENT</w:t>
    </w:r>
    <w:r w:rsidRPr="009C0C45">
      <w:tab/>
    </w:r>
    <w:r>
      <w:rPr>
        <w:rStyle w:val="PageNumber"/>
        <w:szCs w:val="18"/>
      </w:rPr>
      <w:fldChar w:fldCharType="begin"/>
    </w:r>
    <w:r>
      <w:rPr>
        <w:rStyle w:val="PageNumber"/>
        <w:szCs w:val="18"/>
      </w:rPr>
      <w:instrText xml:space="preserve"> PAGE </w:instrText>
    </w:r>
    <w:r>
      <w:rPr>
        <w:rStyle w:val="PageNumber"/>
        <w:szCs w:val="18"/>
      </w:rPr>
      <w:fldChar w:fldCharType="separate"/>
    </w:r>
    <w:r w:rsidR="002A3213">
      <w:rPr>
        <w:rStyle w:val="PageNumber"/>
        <w:noProof/>
        <w:szCs w:val="18"/>
      </w:rPr>
      <w:t>35</w:t>
    </w:r>
    <w:r>
      <w:rPr>
        <w:rStyle w:val="PageNumber"/>
        <w:szCs w:val="18"/>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4A3" w:rsidRPr="009C0C45" w:rsidRDefault="005854A3" w:rsidP="00D60D6A">
    <w:pPr>
      <w:pStyle w:val="ECHRHeader"/>
      <w:tabs>
        <w:tab w:val="clear" w:pos="7371"/>
        <w:tab w:val="right" w:pos="12333"/>
      </w:tabs>
    </w:pPr>
    <w:r>
      <w:rPr>
        <w:rStyle w:val="PageNumber"/>
        <w:szCs w:val="18"/>
      </w:rPr>
      <w:fldChar w:fldCharType="begin"/>
    </w:r>
    <w:r>
      <w:rPr>
        <w:rStyle w:val="PageNumber"/>
        <w:szCs w:val="18"/>
      </w:rPr>
      <w:instrText xml:space="preserve"> PAGE </w:instrText>
    </w:r>
    <w:r>
      <w:rPr>
        <w:rStyle w:val="PageNumber"/>
        <w:szCs w:val="18"/>
      </w:rPr>
      <w:fldChar w:fldCharType="separate"/>
    </w:r>
    <w:r w:rsidR="002A3213">
      <w:rPr>
        <w:rStyle w:val="PageNumber"/>
        <w:noProof/>
        <w:szCs w:val="18"/>
      </w:rPr>
      <w:t>50</w:t>
    </w:r>
    <w:r>
      <w:rPr>
        <w:rStyle w:val="PageNumber"/>
        <w:szCs w:val="18"/>
      </w:rPr>
      <w:fldChar w:fldCharType="end"/>
    </w:r>
    <w:r w:rsidRPr="009C0C45">
      <w:tab/>
    </w:r>
    <w:r>
      <w:t>ZHDANOV AND OTHERS v. RUSSIA</w:t>
    </w:r>
    <w:r w:rsidRPr="009C0C45">
      <w:t xml:space="preserve"> </w:t>
    </w:r>
    <w:r>
      <w:t xml:space="preserve">JUDGMENT </w:t>
    </w:r>
    <w:r w:rsidRPr="00B804BF">
      <w:t>– SEPARATE OPINION</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4A3" w:rsidRPr="009C0C45" w:rsidRDefault="005854A3" w:rsidP="00D420F3">
    <w:pPr>
      <w:pStyle w:val="ECHRHeader"/>
    </w:pPr>
    <w:r w:rsidRPr="009C0C45">
      <w:tab/>
    </w:r>
    <w:r>
      <w:t>ZHDANOV AND OTHERS v. RUSSIA</w:t>
    </w:r>
    <w:r w:rsidRPr="009C0C45">
      <w:t xml:space="preserve"> </w:t>
    </w:r>
    <w:r>
      <w:t>JUDGMENT – SEPARATE OPINION</w:t>
    </w:r>
    <w:r w:rsidRPr="009C0C45">
      <w:tab/>
    </w:r>
    <w:r>
      <w:rPr>
        <w:rStyle w:val="PageNumber"/>
        <w:szCs w:val="18"/>
      </w:rPr>
      <w:fldChar w:fldCharType="begin"/>
    </w:r>
    <w:r>
      <w:rPr>
        <w:rStyle w:val="PageNumber"/>
        <w:szCs w:val="18"/>
      </w:rPr>
      <w:instrText xml:space="preserve"> PAGE </w:instrText>
    </w:r>
    <w:r>
      <w:rPr>
        <w:rStyle w:val="PageNumber"/>
        <w:szCs w:val="18"/>
      </w:rPr>
      <w:fldChar w:fldCharType="separate"/>
    </w:r>
    <w:r w:rsidR="002A3213">
      <w:rPr>
        <w:rStyle w:val="PageNumber"/>
        <w:noProof/>
        <w:szCs w:val="18"/>
      </w:rPr>
      <w:t>51</w:t>
    </w:r>
    <w:r>
      <w:rPr>
        <w:rStyle w:val="PageNumber"/>
        <w:szCs w:val="18"/>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4A3" w:rsidRPr="009C0C45" w:rsidRDefault="005854A3" w:rsidP="00502979">
    <w:pPr>
      <w:pStyle w:val="ECHRHeader"/>
      <w:tabs>
        <w:tab w:val="clear" w:pos="3686"/>
        <w:tab w:val="clear" w:pos="7371"/>
        <w:tab w:val="center" w:pos="6237"/>
        <w:tab w:val="right" w:pos="12333"/>
      </w:tabs>
    </w:pPr>
    <w:r>
      <w:rPr>
        <w:rStyle w:val="PageNumber"/>
        <w:szCs w:val="18"/>
      </w:rPr>
      <w:fldChar w:fldCharType="begin"/>
    </w:r>
    <w:r>
      <w:rPr>
        <w:rStyle w:val="PageNumber"/>
        <w:szCs w:val="18"/>
      </w:rPr>
      <w:instrText xml:space="preserve"> PAGE </w:instrText>
    </w:r>
    <w:r>
      <w:rPr>
        <w:rStyle w:val="PageNumber"/>
        <w:szCs w:val="18"/>
      </w:rPr>
      <w:fldChar w:fldCharType="separate"/>
    </w:r>
    <w:r w:rsidR="002A3213">
      <w:rPr>
        <w:rStyle w:val="PageNumber"/>
        <w:noProof/>
        <w:szCs w:val="18"/>
      </w:rPr>
      <w:t>52</w:t>
    </w:r>
    <w:r>
      <w:rPr>
        <w:rStyle w:val="PageNumber"/>
        <w:szCs w:val="18"/>
      </w:rPr>
      <w:fldChar w:fldCharType="end"/>
    </w:r>
    <w:r w:rsidRPr="009C0C45">
      <w:tab/>
    </w:r>
    <w:r>
      <w:t>ZHDANOV AND OTHERS v. RUSSIA</w:t>
    </w:r>
    <w:r w:rsidRPr="009C0C45">
      <w:t xml:space="preserve"> </w:t>
    </w:r>
    <w:r>
      <w:t>JUDGMENT</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4A3" w:rsidRPr="009C0C45" w:rsidRDefault="005854A3" w:rsidP="00502979">
    <w:pPr>
      <w:pStyle w:val="ECHRHeader"/>
      <w:tabs>
        <w:tab w:val="clear" w:pos="3686"/>
        <w:tab w:val="clear" w:pos="7371"/>
        <w:tab w:val="center" w:pos="6237"/>
        <w:tab w:val="right" w:pos="12474"/>
      </w:tabs>
    </w:pPr>
    <w:r w:rsidRPr="009C0C45">
      <w:tab/>
    </w:r>
    <w:r>
      <w:t>ZHDANOV AND OTHERS v. RUSSIA</w:t>
    </w:r>
    <w:r w:rsidRPr="009C0C45">
      <w:t xml:space="preserve"> </w:t>
    </w:r>
    <w:r>
      <w:t>JUDGMENT</w:t>
    </w:r>
    <w:r w:rsidRPr="009C0C45">
      <w:tab/>
    </w:r>
    <w:r>
      <w:rPr>
        <w:rStyle w:val="PageNumber"/>
        <w:szCs w:val="18"/>
      </w:rPr>
      <w:fldChar w:fldCharType="begin"/>
    </w:r>
    <w:r>
      <w:rPr>
        <w:rStyle w:val="PageNumber"/>
        <w:szCs w:val="18"/>
      </w:rPr>
      <w:instrText xml:space="preserve"> PAGE </w:instrText>
    </w:r>
    <w:r>
      <w:rPr>
        <w:rStyle w:val="PageNumber"/>
        <w:szCs w:val="18"/>
      </w:rPr>
      <w:fldChar w:fldCharType="separate"/>
    </w:r>
    <w:r w:rsidR="002A3213">
      <w:rPr>
        <w:rStyle w:val="PageNumber"/>
        <w:noProof/>
        <w:szCs w:val="18"/>
      </w:rPr>
      <w:t>51</w:t>
    </w:r>
    <w:r>
      <w:rPr>
        <w:rStyle w:val="PageNumber"/>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0180FE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90ECFB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5B8BEFC"/>
    <w:lvl w:ilvl="0">
      <w:start w:val="1"/>
      <w:numFmt w:val="decimal"/>
      <w:pStyle w:val="ListNumber3"/>
      <w:lvlText w:val="%1."/>
      <w:lvlJc w:val="left"/>
      <w:pPr>
        <w:tabs>
          <w:tab w:val="num" w:pos="926"/>
        </w:tabs>
        <w:ind w:left="926" w:hanging="360"/>
      </w:pPr>
    </w:lvl>
  </w:abstractNum>
  <w:abstractNum w:abstractNumId="3">
    <w:nsid w:val="FFFFFF7F"/>
    <w:multiLevelType w:val="singleLevel"/>
    <w:tmpl w:val="6F1CF73A"/>
    <w:lvl w:ilvl="0">
      <w:start w:val="1"/>
      <w:numFmt w:val="decimal"/>
      <w:pStyle w:val="ListNumber2"/>
      <w:lvlText w:val="%1."/>
      <w:lvlJc w:val="left"/>
      <w:pPr>
        <w:tabs>
          <w:tab w:val="num" w:pos="643"/>
        </w:tabs>
        <w:ind w:left="643" w:hanging="360"/>
      </w:pPr>
    </w:lvl>
  </w:abstractNum>
  <w:abstractNum w:abstractNumId="4">
    <w:nsid w:val="FFFFFF80"/>
    <w:multiLevelType w:val="singleLevel"/>
    <w:tmpl w:val="2380266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0C2C34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482EC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666B2C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2760110"/>
    <w:lvl w:ilvl="0">
      <w:start w:val="1"/>
      <w:numFmt w:val="decimal"/>
      <w:pStyle w:val="ListNumber"/>
      <w:lvlText w:val="%1."/>
      <w:lvlJc w:val="left"/>
      <w:pPr>
        <w:tabs>
          <w:tab w:val="num" w:pos="360"/>
        </w:tabs>
        <w:ind w:left="360" w:hanging="360"/>
      </w:pPr>
    </w:lvl>
  </w:abstractNum>
  <w:abstractNum w:abstractNumId="9">
    <w:nsid w:val="0066004F"/>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4F2755B"/>
    <w:multiLevelType w:val="hybridMultilevel"/>
    <w:tmpl w:val="D9F4DFBE"/>
    <w:lvl w:ilvl="0" w:tplc="08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11">
    <w:nsid w:val="163F153D"/>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D1A7293"/>
    <w:multiLevelType w:val="hybridMultilevel"/>
    <w:tmpl w:val="F3A0D550"/>
    <w:lvl w:ilvl="0" w:tplc="08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13">
    <w:nsid w:val="5E8139AF"/>
    <w:multiLevelType w:val="hybridMultilevel"/>
    <w:tmpl w:val="5B3ED6D6"/>
    <w:lvl w:ilvl="0" w:tplc="63C04D40">
      <w:start w:val="1"/>
      <w:numFmt w:val="decimal"/>
      <w:lvlRestart w:val="0"/>
      <w:lvlText w:val="%1."/>
      <w:lvlJc w:val="left"/>
      <w:pPr>
        <w:tabs>
          <w:tab w:val="num" w:pos="0"/>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7FD1241"/>
    <w:multiLevelType w:val="hybridMultilevel"/>
    <w:tmpl w:val="F6D86CC2"/>
    <w:lvl w:ilvl="0" w:tplc="135E7E6C">
      <w:start w:val="1"/>
      <w:numFmt w:val="bullet"/>
      <w:pStyle w:val="ListBullet"/>
      <w:lvlText w:val=""/>
      <w:lvlJc w:val="left"/>
      <w:pPr>
        <w:tabs>
          <w:tab w:val="num" w:pos="851"/>
        </w:tabs>
        <w:ind w:left="568" w:firstLine="0"/>
      </w:pPr>
      <w:rPr>
        <w:rFonts w:ascii="Wingdings" w:hAnsi="Wingdings" w:hint="default"/>
        <w:color w:val="808080"/>
        <w:sz w:val="16"/>
      </w:rPr>
    </w:lvl>
    <w:lvl w:ilvl="1" w:tplc="810288C4" w:tentative="1">
      <w:start w:val="1"/>
      <w:numFmt w:val="bullet"/>
      <w:lvlText w:val="o"/>
      <w:lvlJc w:val="left"/>
      <w:pPr>
        <w:tabs>
          <w:tab w:val="num" w:pos="1724"/>
        </w:tabs>
        <w:ind w:left="1724" w:hanging="360"/>
      </w:pPr>
      <w:rPr>
        <w:rFonts w:ascii="Courier New" w:hAnsi="Courier New" w:cs="Courier New" w:hint="default"/>
      </w:rPr>
    </w:lvl>
    <w:lvl w:ilvl="2" w:tplc="4470F988" w:tentative="1">
      <w:start w:val="1"/>
      <w:numFmt w:val="bullet"/>
      <w:lvlText w:val=""/>
      <w:lvlJc w:val="left"/>
      <w:pPr>
        <w:tabs>
          <w:tab w:val="num" w:pos="2444"/>
        </w:tabs>
        <w:ind w:left="2444" w:hanging="360"/>
      </w:pPr>
      <w:rPr>
        <w:rFonts w:ascii="Wingdings" w:hAnsi="Wingdings" w:hint="default"/>
      </w:rPr>
    </w:lvl>
    <w:lvl w:ilvl="3" w:tplc="5FACB78A" w:tentative="1">
      <w:start w:val="1"/>
      <w:numFmt w:val="bullet"/>
      <w:lvlText w:val=""/>
      <w:lvlJc w:val="left"/>
      <w:pPr>
        <w:tabs>
          <w:tab w:val="num" w:pos="3164"/>
        </w:tabs>
        <w:ind w:left="3164" w:hanging="360"/>
      </w:pPr>
      <w:rPr>
        <w:rFonts w:ascii="Symbol" w:hAnsi="Symbol" w:hint="default"/>
      </w:rPr>
    </w:lvl>
    <w:lvl w:ilvl="4" w:tplc="B63E179C" w:tentative="1">
      <w:start w:val="1"/>
      <w:numFmt w:val="bullet"/>
      <w:lvlText w:val="o"/>
      <w:lvlJc w:val="left"/>
      <w:pPr>
        <w:tabs>
          <w:tab w:val="num" w:pos="3884"/>
        </w:tabs>
        <w:ind w:left="3884" w:hanging="360"/>
      </w:pPr>
      <w:rPr>
        <w:rFonts w:ascii="Courier New" w:hAnsi="Courier New" w:cs="Courier New" w:hint="default"/>
      </w:rPr>
    </w:lvl>
    <w:lvl w:ilvl="5" w:tplc="204A3DC2" w:tentative="1">
      <w:start w:val="1"/>
      <w:numFmt w:val="bullet"/>
      <w:lvlText w:val=""/>
      <w:lvlJc w:val="left"/>
      <w:pPr>
        <w:tabs>
          <w:tab w:val="num" w:pos="4604"/>
        </w:tabs>
        <w:ind w:left="4604" w:hanging="360"/>
      </w:pPr>
      <w:rPr>
        <w:rFonts w:ascii="Wingdings" w:hAnsi="Wingdings" w:hint="default"/>
      </w:rPr>
    </w:lvl>
    <w:lvl w:ilvl="6" w:tplc="C58C412E" w:tentative="1">
      <w:start w:val="1"/>
      <w:numFmt w:val="bullet"/>
      <w:lvlText w:val=""/>
      <w:lvlJc w:val="left"/>
      <w:pPr>
        <w:tabs>
          <w:tab w:val="num" w:pos="5324"/>
        </w:tabs>
        <w:ind w:left="5324" w:hanging="360"/>
      </w:pPr>
      <w:rPr>
        <w:rFonts w:ascii="Symbol" w:hAnsi="Symbol" w:hint="default"/>
      </w:rPr>
    </w:lvl>
    <w:lvl w:ilvl="7" w:tplc="D4D47A0A" w:tentative="1">
      <w:start w:val="1"/>
      <w:numFmt w:val="bullet"/>
      <w:lvlText w:val="o"/>
      <w:lvlJc w:val="left"/>
      <w:pPr>
        <w:tabs>
          <w:tab w:val="num" w:pos="6044"/>
        </w:tabs>
        <w:ind w:left="6044" w:hanging="360"/>
      </w:pPr>
      <w:rPr>
        <w:rFonts w:ascii="Courier New" w:hAnsi="Courier New" w:cs="Courier New" w:hint="default"/>
      </w:rPr>
    </w:lvl>
    <w:lvl w:ilvl="8" w:tplc="4AF04BF4" w:tentative="1">
      <w:start w:val="1"/>
      <w:numFmt w:val="bullet"/>
      <w:lvlText w:val=""/>
      <w:lvlJc w:val="left"/>
      <w:pPr>
        <w:tabs>
          <w:tab w:val="num" w:pos="6764"/>
        </w:tabs>
        <w:ind w:left="6764" w:hanging="360"/>
      </w:pPr>
      <w:rPr>
        <w:rFonts w:ascii="Wingdings" w:hAnsi="Wingdings" w:hint="default"/>
      </w:rPr>
    </w:lvl>
  </w:abstractNum>
  <w:abstractNum w:abstractNumId="15">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7737461D"/>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4"/>
  </w:num>
  <w:num w:numId="2">
    <w:abstractNumId w:val="11"/>
  </w:num>
  <w:num w:numId="3">
    <w:abstractNumId w:val="9"/>
  </w:num>
  <w:num w:numId="4">
    <w:abstractNumId w:val="16"/>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5"/>
  </w:num>
  <w:num w:numId="16">
    <w:abstractNumId w:val="15"/>
  </w:num>
  <w:num w:numId="17">
    <w:abstractNumId w:val="10"/>
  </w:num>
  <w:num w:numId="18">
    <w:abstractNumId w:val="12"/>
  </w:num>
  <w:num w:numId="19">
    <w:abstractNumId w:val="13"/>
  </w:num>
  <w:num w:numId="20">
    <w:abstractNumId w:val="15"/>
  </w:num>
  <w:num w:numId="21">
    <w:abstractNumId w:val="15"/>
  </w:num>
  <w:num w:numId="22">
    <w:abstractNumId w:val="15"/>
  </w:num>
  <w:num w:numId="23">
    <w:abstractNumId w:val="15"/>
  </w:num>
  <w:num w:numId="24">
    <w:abstractNumId w:val="15"/>
  </w:num>
  <w:num w:numId="25">
    <w:abstractNumId w:val="15"/>
  </w:num>
  <w:num w:numId="26">
    <w:abstractNumId w:val="15"/>
  </w:num>
  <w:num w:numId="27">
    <w:abstractNumId w:val="15"/>
  </w:num>
  <w:num w:numId="28">
    <w:abstractNumId w:val="15"/>
  </w:num>
  <w:num w:numId="29">
    <w:abstractNumId w:val="15"/>
  </w:num>
  <w:num w:numId="30">
    <w:abstractNumId w:val="15"/>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34817"/>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MM" w:val="0"/>
    <w:docVar w:name="NBApplication" w:val="2"/>
    <w:docVar w:name="NBEMMDOC" w:val="0"/>
  </w:docVars>
  <w:rsids>
    <w:rsidRoot w:val="00961FF4"/>
    <w:rsid w:val="000038B5"/>
    <w:rsid w:val="000048BD"/>
    <w:rsid w:val="00004EAE"/>
    <w:rsid w:val="0000622A"/>
    <w:rsid w:val="00007308"/>
    <w:rsid w:val="00007BFD"/>
    <w:rsid w:val="00013CD8"/>
    <w:rsid w:val="00015AF8"/>
    <w:rsid w:val="0001703F"/>
    <w:rsid w:val="00023216"/>
    <w:rsid w:val="000242E7"/>
    <w:rsid w:val="000266AC"/>
    <w:rsid w:val="00026BFA"/>
    <w:rsid w:val="0002755A"/>
    <w:rsid w:val="00030665"/>
    <w:rsid w:val="00031CF8"/>
    <w:rsid w:val="00033C79"/>
    <w:rsid w:val="00034075"/>
    <w:rsid w:val="000416D0"/>
    <w:rsid w:val="00041A38"/>
    <w:rsid w:val="00041B36"/>
    <w:rsid w:val="00042913"/>
    <w:rsid w:val="00044C3A"/>
    <w:rsid w:val="00054C77"/>
    <w:rsid w:val="000555C0"/>
    <w:rsid w:val="00056146"/>
    <w:rsid w:val="000712F6"/>
    <w:rsid w:val="0007270A"/>
    <w:rsid w:val="00073071"/>
    <w:rsid w:val="00074C3E"/>
    <w:rsid w:val="00075FAE"/>
    <w:rsid w:val="00077380"/>
    <w:rsid w:val="0008003D"/>
    <w:rsid w:val="00081316"/>
    <w:rsid w:val="00085430"/>
    <w:rsid w:val="000861B3"/>
    <w:rsid w:val="00090F4C"/>
    <w:rsid w:val="00091B45"/>
    <w:rsid w:val="00091FA3"/>
    <w:rsid w:val="00093FD6"/>
    <w:rsid w:val="00097E3D"/>
    <w:rsid w:val="000A089C"/>
    <w:rsid w:val="000A1D33"/>
    <w:rsid w:val="000A3BDA"/>
    <w:rsid w:val="000A6973"/>
    <w:rsid w:val="000A6C98"/>
    <w:rsid w:val="000B0A5B"/>
    <w:rsid w:val="000B1454"/>
    <w:rsid w:val="000B1B13"/>
    <w:rsid w:val="000B5057"/>
    <w:rsid w:val="000C0FFC"/>
    <w:rsid w:val="000C2788"/>
    <w:rsid w:val="000C4602"/>
    <w:rsid w:val="000C4AD9"/>
    <w:rsid w:val="000C4F6A"/>
    <w:rsid w:val="000C5C24"/>
    <w:rsid w:val="000C6700"/>
    <w:rsid w:val="000D2855"/>
    <w:rsid w:val="000D4148"/>
    <w:rsid w:val="000D6A2E"/>
    <w:rsid w:val="000D6F3D"/>
    <w:rsid w:val="000E1F8F"/>
    <w:rsid w:val="000E2A77"/>
    <w:rsid w:val="000E337D"/>
    <w:rsid w:val="000E732D"/>
    <w:rsid w:val="000E7758"/>
    <w:rsid w:val="000E78D6"/>
    <w:rsid w:val="000F3DE6"/>
    <w:rsid w:val="000F3E29"/>
    <w:rsid w:val="000F7B20"/>
    <w:rsid w:val="00100DBB"/>
    <w:rsid w:val="00107FB0"/>
    <w:rsid w:val="00112324"/>
    <w:rsid w:val="001125E1"/>
    <w:rsid w:val="00114655"/>
    <w:rsid w:val="00114BEF"/>
    <w:rsid w:val="001164B5"/>
    <w:rsid w:val="00117607"/>
    <w:rsid w:val="00122A63"/>
    <w:rsid w:val="00123751"/>
    <w:rsid w:val="00127F75"/>
    <w:rsid w:val="001303DB"/>
    <w:rsid w:val="00132C20"/>
    <w:rsid w:val="00133441"/>
    <w:rsid w:val="00134647"/>
    <w:rsid w:val="001352E5"/>
    <w:rsid w:val="001434C8"/>
    <w:rsid w:val="00143C89"/>
    <w:rsid w:val="001445EE"/>
    <w:rsid w:val="00144DB3"/>
    <w:rsid w:val="00145FD4"/>
    <w:rsid w:val="00147713"/>
    <w:rsid w:val="001513F6"/>
    <w:rsid w:val="00155264"/>
    <w:rsid w:val="00155C56"/>
    <w:rsid w:val="00157246"/>
    <w:rsid w:val="00161406"/>
    <w:rsid w:val="001633A4"/>
    <w:rsid w:val="001705F1"/>
    <w:rsid w:val="001741F8"/>
    <w:rsid w:val="0017536D"/>
    <w:rsid w:val="001760B3"/>
    <w:rsid w:val="001807D1"/>
    <w:rsid w:val="00181342"/>
    <w:rsid w:val="00181D03"/>
    <w:rsid w:val="00183838"/>
    <w:rsid w:val="00183EB9"/>
    <w:rsid w:val="00183FC7"/>
    <w:rsid w:val="00184CCE"/>
    <w:rsid w:val="00184E1E"/>
    <w:rsid w:val="00185938"/>
    <w:rsid w:val="00187676"/>
    <w:rsid w:val="0019079B"/>
    <w:rsid w:val="00191526"/>
    <w:rsid w:val="001951E4"/>
    <w:rsid w:val="001962D8"/>
    <w:rsid w:val="00196404"/>
    <w:rsid w:val="0019761B"/>
    <w:rsid w:val="00197A14"/>
    <w:rsid w:val="00197F33"/>
    <w:rsid w:val="001A2507"/>
    <w:rsid w:val="001A3080"/>
    <w:rsid w:val="001A46FB"/>
    <w:rsid w:val="001A49B4"/>
    <w:rsid w:val="001A7446"/>
    <w:rsid w:val="001A7908"/>
    <w:rsid w:val="001B1455"/>
    <w:rsid w:val="001B370D"/>
    <w:rsid w:val="001C227C"/>
    <w:rsid w:val="001C3739"/>
    <w:rsid w:val="001C455B"/>
    <w:rsid w:val="001C58E7"/>
    <w:rsid w:val="001D0A20"/>
    <w:rsid w:val="001D132A"/>
    <w:rsid w:val="001D4875"/>
    <w:rsid w:val="001D5F86"/>
    <w:rsid w:val="001D695D"/>
    <w:rsid w:val="001D6CF3"/>
    <w:rsid w:val="001D7D96"/>
    <w:rsid w:val="001E183C"/>
    <w:rsid w:val="001E2678"/>
    <w:rsid w:val="001E287A"/>
    <w:rsid w:val="001E2A78"/>
    <w:rsid w:val="001E6DFE"/>
    <w:rsid w:val="001F111A"/>
    <w:rsid w:val="001F1B7A"/>
    <w:rsid w:val="001F214A"/>
    <w:rsid w:val="001F543B"/>
    <w:rsid w:val="001F7B94"/>
    <w:rsid w:val="00201D78"/>
    <w:rsid w:val="00201DD3"/>
    <w:rsid w:val="00206115"/>
    <w:rsid w:val="00206300"/>
    <w:rsid w:val="0021002C"/>
    <w:rsid w:val="002106FF"/>
    <w:rsid w:val="0021088B"/>
    <w:rsid w:val="00211170"/>
    <w:rsid w:val="002118D3"/>
    <w:rsid w:val="00211E5C"/>
    <w:rsid w:val="00211EBA"/>
    <w:rsid w:val="0021335E"/>
    <w:rsid w:val="002135D5"/>
    <w:rsid w:val="00213E17"/>
    <w:rsid w:val="0021533B"/>
    <w:rsid w:val="00215901"/>
    <w:rsid w:val="00215A22"/>
    <w:rsid w:val="00216976"/>
    <w:rsid w:val="002177A9"/>
    <w:rsid w:val="002215D4"/>
    <w:rsid w:val="00222B7E"/>
    <w:rsid w:val="0022583E"/>
    <w:rsid w:val="00225BAD"/>
    <w:rsid w:val="00225F1F"/>
    <w:rsid w:val="00231A59"/>
    <w:rsid w:val="0023279C"/>
    <w:rsid w:val="00235113"/>
    <w:rsid w:val="002358FE"/>
    <w:rsid w:val="00236E9C"/>
    <w:rsid w:val="0024351F"/>
    <w:rsid w:val="00243B28"/>
    <w:rsid w:val="00245901"/>
    <w:rsid w:val="0024625C"/>
    <w:rsid w:val="00246FFC"/>
    <w:rsid w:val="0025010D"/>
    <w:rsid w:val="00252748"/>
    <w:rsid w:val="00252927"/>
    <w:rsid w:val="00254E49"/>
    <w:rsid w:val="0026088A"/>
    <w:rsid w:val="00261213"/>
    <w:rsid w:val="00263BC7"/>
    <w:rsid w:val="00263DAB"/>
    <w:rsid w:val="00263FBD"/>
    <w:rsid w:val="00266264"/>
    <w:rsid w:val="00267A9D"/>
    <w:rsid w:val="0027107A"/>
    <w:rsid w:val="0027174B"/>
    <w:rsid w:val="002721C9"/>
    <w:rsid w:val="00273B89"/>
    <w:rsid w:val="00276A01"/>
    <w:rsid w:val="002842EC"/>
    <w:rsid w:val="00290C17"/>
    <w:rsid w:val="002A118F"/>
    <w:rsid w:val="002A1457"/>
    <w:rsid w:val="002A24BE"/>
    <w:rsid w:val="002A289F"/>
    <w:rsid w:val="002A3213"/>
    <w:rsid w:val="002A479E"/>
    <w:rsid w:val="002B008A"/>
    <w:rsid w:val="002B03D2"/>
    <w:rsid w:val="002B0BBE"/>
    <w:rsid w:val="002B1963"/>
    <w:rsid w:val="002B253B"/>
    <w:rsid w:val="002B3276"/>
    <w:rsid w:val="002B40E6"/>
    <w:rsid w:val="002B4521"/>
    <w:rsid w:val="002B5780"/>
    <w:rsid w:val="002B7A98"/>
    <w:rsid w:val="002C3074"/>
    <w:rsid w:val="002C3FC6"/>
    <w:rsid w:val="002C7827"/>
    <w:rsid w:val="002D098D"/>
    <w:rsid w:val="002D0FC4"/>
    <w:rsid w:val="002D73CC"/>
    <w:rsid w:val="002E1A41"/>
    <w:rsid w:val="002E3247"/>
    <w:rsid w:val="002E4E08"/>
    <w:rsid w:val="002E5BF7"/>
    <w:rsid w:val="002E7C01"/>
    <w:rsid w:val="002F0B5D"/>
    <w:rsid w:val="002F0E1D"/>
    <w:rsid w:val="002F20FE"/>
    <w:rsid w:val="002F2D60"/>
    <w:rsid w:val="002F4366"/>
    <w:rsid w:val="002F4DDD"/>
    <w:rsid w:val="002F509D"/>
    <w:rsid w:val="002F5388"/>
    <w:rsid w:val="002F5D18"/>
    <w:rsid w:val="002F6118"/>
    <w:rsid w:val="002F6479"/>
    <w:rsid w:val="002F6C12"/>
    <w:rsid w:val="002F751C"/>
    <w:rsid w:val="003037B8"/>
    <w:rsid w:val="00303A10"/>
    <w:rsid w:val="003068AF"/>
    <w:rsid w:val="00307765"/>
    <w:rsid w:val="003134A3"/>
    <w:rsid w:val="00313A3B"/>
    <w:rsid w:val="00326718"/>
    <w:rsid w:val="00326CAE"/>
    <w:rsid w:val="00340EDF"/>
    <w:rsid w:val="003450B5"/>
    <w:rsid w:val="00345116"/>
    <w:rsid w:val="00347038"/>
    <w:rsid w:val="003474C9"/>
    <w:rsid w:val="0035114E"/>
    <w:rsid w:val="003536CB"/>
    <w:rsid w:val="0035464A"/>
    <w:rsid w:val="00355BAA"/>
    <w:rsid w:val="00356B3B"/>
    <w:rsid w:val="00357332"/>
    <w:rsid w:val="003603FE"/>
    <w:rsid w:val="00362E29"/>
    <w:rsid w:val="0036407A"/>
    <w:rsid w:val="00364A51"/>
    <w:rsid w:val="00364F9E"/>
    <w:rsid w:val="00365059"/>
    <w:rsid w:val="00366CCC"/>
    <w:rsid w:val="00367FB9"/>
    <w:rsid w:val="00371C06"/>
    <w:rsid w:val="00374D2D"/>
    <w:rsid w:val="00376756"/>
    <w:rsid w:val="00383326"/>
    <w:rsid w:val="00383B4B"/>
    <w:rsid w:val="00385189"/>
    <w:rsid w:val="00385241"/>
    <w:rsid w:val="00394942"/>
    <w:rsid w:val="00396E00"/>
    <w:rsid w:val="00397197"/>
    <w:rsid w:val="00397946"/>
    <w:rsid w:val="003A068D"/>
    <w:rsid w:val="003A691C"/>
    <w:rsid w:val="003B10E4"/>
    <w:rsid w:val="003B3228"/>
    <w:rsid w:val="003B4233"/>
    <w:rsid w:val="003B48F5"/>
    <w:rsid w:val="003C05FB"/>
    <w:rsid w:val="003C25A1"/>
    <w:rsid w:val="003C3497"/>
    <w:rsid w:val="003C3731"/>
    <w:rsid w:val="003C3DFE"/>
    <w:rsid w:val="003D10D9"/>
    <w:rsid w:val="003D19AC"/>
    <w:rsid w:val="003D1DAB"/>
    <w:rsid w:val="003D203E"/>
    <w:rsid w:val="003D514D"/>
    <w:rsid w:val="003D5472"/>
    <w:rsid w:val="003D6BB4"/>
    <w:rsid w:val="003E078A"/>
    <w:rsid w:val="003E2AA8"/>
    <w:rsid w:val="003E2FF4"/>
    <w:rsid w:val="003E4029"/>
    <w:rsid w:val="003E7C6D"/>
    <w:rsid w:val="003F041E"/>
    <w:rsid w:val="003F2787"/>
    <w:rsid w:val="003F2A96"/>
    <w:rsid w:val="003F560D"/>
    <w:rsid w:val="003F5A4D"/>
    <w:rsid w:val="0040023D"/>
    <w:rsid w:val="00402F69"/>
    <w:rsid w:val="00403E58"/>
    <w:rsid w:val="004048E7"/>
    <w:rsid w:val="0040691A"/>
    <w:rsid w:val="004073D8"/>
    <w:rsid w:val="00410F24"/>
    <w:rsid w:val="00412727"/>
    <w:rsid w:val="0041427B"/>
    <w:rsid w:val="00414A07"/>
    <w:rsid w:val="00417906"/>
    <w:rsid w:val="00417B85"/>
    <w:rsid w:val="004214A3"/>
    <w:rsid w:val="00422864"/>
    <w:rsid w:val="00423C11"/>
    <w:rsid w:val="00426A77"/>
    <w:rsid w:val="00427C55"/>
    <w:rsid w:val="00430CF4"/>
    <w:rsid w:val="004311B7"/>
    <w:rsid w:val="0043460A"/>
    <w:rsid w:val="0043654F"/>
    <w:rsid w:val="00440526"/>
    <w:rsid w:val="00440F58"/>
    <w:rsid w:val="00442FAE"/>
    <w:rsid w:val="00443895"/>
    <w:rsid w:val="00443C51"/>
    <w:rsid w:val="00444F89"/>
    <w:rsid w:val="00445872"/>
    <w:rsid w:val="00445D60"/>
    <w:rsid w:val="00450667"/>
    <w:rsid w:val="00451518"/>
    <w:rsid w:val="00454641"/>
    <w:rsid w:val="00455057"/>
    <w:rsid w:val="0045755B"/>
    <w:rsid w:val="004576F1"/>
    <w:rsid w:val="00457853"/>
    <w:rsid w:val="00457EB5"/>
    <w:rsid w:val="00460B46"/>
    <w:rsid w:val="004627E5"/>
    <w:rsid w:val="00462D7F"/>
    <w:rsid w:val="004638C9"/>
    <w:rsid w:val="0046396B"/>
    <w:rsid w:val="00464C7B"/>
    <w:rsid w:val="00464ED6"/>
    <w:rsid w:val="00464FC9"/>
    <w:rsid w:val="00470D03"/>
    <w:rsid w:val="00472BBD"/>
    <w:rsid w:val="00472D3E"/>
    <w:rsid w:val="00472E33"/>
    <w:rsid w:val="00473711"/>
    <w:rsid w:val="004760BB"/>
    <w:rsid w:val="00476713"/>
    <w:rsid w:val="00480CDA"/>
    <w:rsid w:val="00480F0E"/>
    <w:rsid w:val="00481956"/>
    <w:rsid w:val="00490CDF"/>
    <w:rsid w:val="00492C8B"/>
    <w:rsid w:val="004932EF"/>
    <w:rsid w:val="00494B55"/>
    <w:rsid w:val="00495B96"/>
    <w:rsid w:val="004970C1"/>
    <w:rsid w:val="004A10F7"/>
    <w:rsid w:val="004A22A3"/>
    <w:rsid w:val="004A22D4"/>
    <w:rsid w:val="004A278C"/>
    <w:rsid w:val="004A6DE6"/>
    <w:rsid w:val="004A7936"/>
    <w:rsid w:val="004B05B4"/>
    <w:rsid w:val="004B09CB"/>
    <w:rsid w:val="004B2E5B"/>
    <w:rsid w:val="004B31E6"/>
    <w:rsid w:val="004B38C5"/>
    <w:rsid w:val="004C1240"/>
    <w:rsid w:val="004C46E8"/>
    <w:rsid w:val="004D10AC"/>
    <w:rsid w:val="004D3D49"/>
    <w:rsid w:val="004D427E"/>
    <w:rsid w:val="004D6EAD"/>
    <w:rsid w:val="004E060E"/>
    <w:rsid w:val="004E1E0F"/>
    <w:rsid w:val="004E6D0E"/>
    <w:rsid w:val="004E7840"/>
    <w:rsid w:val="004F0B43"/>
    <w:rsid w:val="004F2F4F"/>
    <w:rsid w:val="004F308C"/>
    <w:rsid w:val="004F4FD8"/>
    <w:rsid w:val="004F6D0C"/>
    <w:rsid w:val="004F757E"/>
    <w:rsid w:val="004F7B48"/>
    <w:rsid w:val="00500819"/>
    <w:rsid w:val="00502979"/>
    <w:rsid w:val="00504A8F"/>
    <w:rsid w:val="005062C9"/>
    <w:rsid w:val="005121A1"/>
    <w:rsid w:val="00512C60"/>
    <w:rsid w:val="00513476"/>
    <w:rsid w:val="005134DE"/>
    <w:rsid w:val="00513822"/>
    <w:rsid w:val="00513CFC"/>
    <w:rsid w:val="00513FFA"/>
    <w:rsid w:val="00514268"/>
    <w:rsid w:val="00516014"/>
    <w:rsid w:val="005171E9"/>
    <w:rsid w:val="00520C5B"/>
    <w:rsid w:val="00522080"/>
    <w:rsid w:val="00524640"/>
    <w:rsid w:val="0052484F"/>
    <w:rsid w:val="0052568E"/>
    <w:rsid w:val="00526104"/>
    <w:rsid w:val="00526A97"/>
    <w:rsid w:val="00530E39"/>
    <w:rsid w:val="0053247D"/>
    <w:rsid w:val="0053281B"/>
    <w:rsid w:val="005335DC"/>
    <w:rsid w:val="005349AE"/>
    <w:rsid w:val="00534ACF"/>
    <w:rsid w:val="00536A17"/>
    <w:rsid w:val="00536C28"/>
    <w:rsid w:val="0053747F"/>
    <w:rsid w:val="00537911"/>
    <w:rsid w:val="005438EE"/>
    <w:rsid w:val="00543F38"/>
    <w:rsid w:val="00546E95"/>
    <w:rsid w:val="005473F4"/>
    <w:rsid w:val="00547949"/>
    <w:rsid w:val="005479FD"/>
    <w:rsid w:val="00547AD0"/>
    <w:rsid w:val="00550F7D"/>
    <w:rsid w:val="00552CDC"/>
    <w:rsid w:val="00552F5B"/>
    <w:rsid w:val="00553148"/>
    <w:rsid w:val="005545D9"/>
    <w:rsid w:val="00554A56"/>
    <w:rsid w:val="005570C6"/>
    <w:rsid w:val="005575EE"/>
    <w:rsid w:val="00557634"/>
    <w:rsid w:val="005608D8"/>
    <w:rsid w:val="005651E5"/>
    <w:rsid w:val="00567687"/>
    <w:rsid w:val="00567FCE"/>
    <w:rsid w:val="00570C06"/>
    <w:rsid w:val="005721DB"/>
    <w:rsid w:val="00575285"/>
    <w:rsid w:val="0057581C"/>
    <w:rsid w:val="005765D4"/>
    <w:rsid w:val="00580DA1"/>
    <w:rsid w:val="00584628"/>
    <w:rsid w:val="005854A3"/>
    <w:rsid w:val="005867F1"/>
    <w:rsid w:val="005870FF"/>
    <w:rsid w:val="005879F2"/>
    <w:rsid w:val="00590236"/>
    <w:rsid w:val="005913D1"/>
    <w:rsid w:val="00592439"/>
    <w:rsid w:val="00593035"/>
    <w:rsid w:val="005930C9"/>
    <w:rsid w:val="005938B8"/>
    <w:rsid w:val="0059502D"/>
    <w:rsid w:val="005950E7"/>
    <w:rsid w:val="00596B0C"/>
    <w:rsid w:val="005A044E"/>
    <w:rsid w:val="005A1EA4"/>
    <w:rsid w:val="005A37DF"/>
    <w:rsid w:val="005A6CE6"/>
    <w:rsid w:val="005A6DBD"/>
    <w:rsid w:val="005B1E07"/>
    <w:rsid w:val="005B2ED6"/>
    <w:rsid w:val="005B614F"/>
    <w:rsid w:val="005B7473"/>
    <w:rsid w:val="005B7A4B"/>
    <w:rsid w:val="005C3A30"/>
    <w:rsid w:val="005C3BEB"/>
    <w:rsid w:val="005D10A0"/>
    <w:rsid w:val="005D304E"/>
    <w:rsid w:val="005D59EB"/>
    <w:rsid w:val="005E01CB"/>
    <w:rsid w:val="005E4E15"/>
    <w:rsid w:val="005E5C7C"/>
    <w:rsid w:val="005F4D2B"/>
    <w:rsid w:val="005F5747"/>
    <w:rsid w:val="00603965"/>
    <w:rsid w:val="00603A80"/>
    <w:rsid w:val="00604409"/>
    <w:rsid w:val="00604E8D"/>
    <w:rsid w:val="00604F77"/>
    <w:rsid w:val="0060607C"/>
    <w:rsid w:val="006078CC"/>
    <w:rsid w:val="00614702"/>
    <w:rsid w:val="00616EA4"/>
    <w:rsid w:val="00621E60"/>
    <w:rsid w:val="00622D5E"/>
    <w:rsid w:val="00624286"/>
    <w:rsid w:val="00624AD7"/>
    <w:rsid w:val="00626259"/>
    <w:rsid w:val="00630F58"/>
    <w:rsid w:val="006323AA"/>
    <w:rsid w:val="006348E2"/>
    <w:rsid w:val="00635436"/>
    <w:rsid w:val="0063794A"/>
    <w:rsid w:val="006400E7"/>
    <w:rsid w:val="00643620"/>
    <w:rsid w:val="006445B7"/>
    <w:rsid w:val="00645D26"/>
    <w:rsid w:val="0064695C"/>
    <w:rsid w:val="006470DC"/>
    <w:rsid w:val="006474E5"/>
    <w:rsid w:val="00652006"/>
    <w:rsid w:val="00652EAC"/>
    <w:rsid w:val="00655445"/>
    <w:rsid w:val="006559E9"/>
    <w:rsid w:val="00657533"/>
    <w:rsid w:val="00657737"/>
    <w:rsid w:val="00660528"/>
    <w:rsid w:val="00660730"/>
    <w:rsid w:val="00660A3A"/>
    <w:rsid w:val="006614ED"/>
    <w:rsid w:val="00662220"/>
    <w:rsid w:val="006647EF"/>
    <w:rsid w:val="00665CF3"/>
    <w:rsid w:val="00665DC9"/>
    <w:rsid w:val="006701F8"/>
    <w:rsid w:val="00671CE9"/>
    <w:rsid w:val="0067390C"/>
    <w:rsid w:val="006739C6"/>
    <w:rsid w:val="00681C97"/>
    <w:rsid w:val="006838FB"/>
    <w:rsid w:val="00683E9E"/>
    <w:rsid w:val="006840B0"/>
    <w:rsid w:val="00684945"/>
    <w:rsid w:val="00684B97"/>
    <w:rsid w:val="00684F7D"/>
    <w:rsid w:val="0068522E"/>
    <w:rsid w:val="006855EF"/>
    <w:rsid w:val="0069115B"/>
    <w:rsid w:val="006917BD"/>
    <w:rsid w:val="00694540"/>
    <w:rsid w:val="00694DBF"/>
    <w:rsid w:val="0069502C"/>
    <w:rsid w:val="00695A61"/>
    <w:rsid w:val="006974B5"/>
    <w:rsid w:val="006A0292"/>
    <w:rsid w:val="006A4128"/>
    <w:rsid w:val="006A42E2"/>
    <w:rsid w:val="006A5078"/>
    <w:rsid w:val="006A5B09"/>
    <w:rsid w:val="006A7C2D"/>
    <w:rsid w:val="006B03C1"/>
    <w:rsid w:val="006B1C72"/>
    <w:rsid w:val="006B3D6F"/>
    <w:rsid w:val="006B4338"/>
    <w:rsid w:val="006B4FBD"/>
    <w:rsid w:val="006B6DB5"/>
    <w:rsid w:val="006C0A88"/>
    <w:rsid w:val="006C275F"/>
    <w:rsid w:val="006C30D4"/>
    <w:rsid w:val="006C315A"/>
    <w:rsid w:val="006C6242"/>
    <w:rsid w:val="006D0BD2"/>
    <w:rsid w:val="006D1F7D"/>
    <w:rsid w:val="006D2962"/>
    <w:rsid w:val="006D35FA"/>
    <w:rsid w:val="006D49F1"/>
    <w:rsid w:val="006D59A9"/>
    <w:rsid w:val="006D7113"/>
    <w:rsid w:val="006D7BCC"/>
    <w:rsid w:val="006E0CC6"/>
    <w:rsid w:val="006E265C"/>
    <w:rsid w:val="006E4B9E"/>
    <w:rsid w:val="006E6682"/>
    <w:rsid w:val="006F201B"/>
    <w:rsid w:val="006F349B"/>
    <w:rsid w:val="006F3558"/>
    <w:rsid w:val="006F3760"/>
    <w:rsid w:val="006F3C65"/>
    <w:rsid w:val="006F3D45"/>
    <w:rsid w:val="006F3E3B"/>
    <w:rsid w:val="006F47AE"/>
    <w:rsid w:val="006F5D39"/>
    <w:rsid w:val="006F61AF"/>
    <w:rsid w:val="00700734"/>
    <w:rsid w:val="00701E8E"/>
    <w:rsid w:val="00701EA3"/>
    <w:rsid w:val="0070209A"/>
    <w:rsid w:val="00704AC9"/>
    <w:rsid w:val="00704D3E"/>
    <w:rsid w:val="00707905"/>
    <w:rsid w:val="00710DB2"/>
    <w:rsid w:val="0071309C"/>
    <w:rsid w:val="0071492D"/>
    <w:rsid w:val="007152C9"/>
    <w:rsid w:val="00717159"/>
    <w:rsid w:val="00717391"/>
    <w:rsid w:val="00717CD5"/>
    <w:rsid w:val="00720860"/>
    <w:rsid w:val="007235F0"/>
    <w:rsid w:val="00723E34"/>
    <w:rsid w:val="007257BE"/>
    <w:rsid w:val="00725C8F"/>
    <w:rsid w:val="00730D6B"/>
    <w:rsid w:val="00731B44"/>
    <w:rsid w:val="00731D17"/>
    <w:rsid w:val="00734B4E"/>
    <w:rsid w:val="007367D1"/>
    <w:rsid w:val="00736FEE"/>
    <w:rsid w:val="00742202"/>
    <w:rsid w:val="00742C0E"/>
    <w:rsid w:val="0074306B"/>
    <w:rsid w:val="007447FB"/>
    <w:rsid w:val="00744924"/>
    <w:rsid w:val="00744BDA"/>
    <w:rsid w:val="007458E3"/>
    <w:rsid w:val="00746107"/>
    <w:rsid w:val="0075028B"/>
    <w:rsid w:val="00750BB0"/>
    <w:rsid w:val="00751FA6"/>
    <w:rsid w:val="0075316E"/>
    <w:rsid w:val="00753695"/>
    <w:rsid w:val="007552CA"/>
    <w:rsid w:val="00756AA9"/>
    <w:rsid w:val="00756FE9"/>
    <w:rsid w:val="0076170C"/>
    <w:rsid w:val="00761852"/>
    <w:rsid w:val="00761BFD"/>
    <w:rsid w:val="00761F5A"/>
    <w:rsid w:val="00763FFF"/>
    <w:rsid w:val="00764E90"/>
    <w:rsid w:val="00765257"/>
    <w:rsid w:val="007709F4"/>
    <w:rsid w:val="0077175D"/>
    <w:rsid w:val="00771DE3"/>
    <w:rsid w:val="007721B5"/>
    <w:rsid w:val="007756EE"/>
    <w:rsid w:val="007757BA"/>
    <w:rsid w:val="00775FA6"/>
    <w:rsid w:val="00780F50"/>
    <w:rsid w:val="0078100F"/>
    <w:rsid w:val="007826F6"/>
    <w:rsid w:val="00783614"/>
    <w:rsid w:val="00790263"/>
    <w:rsid w:val="007906F4"/>
    <w:rsid w:val="007938C5"/>
    <w:rsid w:val="007939DD"/>
    <w:rsid w:val="00797ABF"/>
    <w:rsid w:val="00797DAD"/>
    <w:rsid w:val="007A004E"/>
    <w:rsid w:val="007A0739"/>
    <w:rsid w:val="007A195F"/>
    <w:rsid w:val="007A1B8F"/>
    <w:rsid w:val="007A2F9D"/>
    <w:rsid w:val="007A6746"/>
    <w:rsid w:val="007A6F56"/>
    <w:rsid w:val="007A7BE4"/>
    <w:rsid w:val="007B1E98"/>
    <w:rsid w:val="007B247E"/>
    <w:rsid w:val="007B24D5"/>
    <w:rsid w:val="007B263D"/>
    <w:rsid w:val="007B4EFA"/>
    <w:rsid w:val="007B6F22"/>
    <w:rsid w:val="007B7027"/>
    <w:rsid w:val="007C093C"/>
    <w:rsid w:val="007C29E9"/>
    <w:rsid w:val="007C409F"/>
    <w:rsid w:val="007C7CAD"/>
    <w:rsid w:val="007D0CEA"/>
    <w:rsid w:val="007D1318"/>
    <w:rsid w:val="007D1DC9"/>
    <w:rsid w:val="007D3C59"/>
    <w:rsid w:val="007D4BC2"/>
    <w:rsid w:val="007D5C83"/>
    <w:rsid w:val="007D7646"/>
    <w:rsid w:val="007E0E51"/>
    <w:rsid w:val="007E0FC3"/>
    <w:rsid w:val="007E3D6A"/>
    <w:rsid w:val="007E3EBC"/>
    <w:rsid w:val="007E736F"/>
    <w:rsid w:val="007E79EB"/>
    <w:rsid w:val="007F0DCB"/>
    <w:rsid w:val="007F3505"/>
    <w:rsid w:val="007F561A"/>
    <w:rsid w:val="007F5923"/>
    <w:rsid w:val="007F72F0"/>
    <w:rsid w:val="008007AA"/>
    <w:rsid w:val="00802F73"/>
    <w:rsid w:val="00806F95"/>
    <w:rsid w:val="008071C9"/>
    <w:rsid w:val="008077CB"/>
    <w:rsid w:val="0081039E"/>
    <w:rsid w:val="008121AC"/>
    <w:rsid w:val="00812673"/>
    <w:rsid w:val="00813327"/>
    <w:rsid w:val="00813D1E"/>
    <w:rsid w:val="008155C7"/>
    <w:rsid w:val="008160B9"/>
    <w:rsid w:val="008175F6"/>
    <w:rsid w:val="00823BE4"/>
    <w:rsid w:val="008254FE"/>
    <w:rsid w:val="00826F16"/>
    <w:rsid w:val="0083151B"/>
    <w:rsid w:val="00834423"/>
    <w:rsid w:val="008365FA"/>
    <w:rsid w:val="00841364"/>
    <w:rsid w:val="00842059"/>
    <w:rsid w:val="00845D34"/>
    <w:rsid w:val="00846629"/>
    <w:rsid w:val="00846927"/>
    <w:rsid w:val="008507B7"/>
    <w:rsid w:val="00850AE9"/>
    <w:rsid w:val="008512C2"/>
    <w:rsid w:val="008519A1"/>
    <w:rsid w:val="00851ABB"/>
    <w:rsid w:val="00851FE2"/>
    <w:rsid w:val="008561E9"/>
    <w:rsid w:val="00860A88"/>
    <w:rsid w:val="00865154"/>
    <w:rsid w:val="0087009E"/>
    <w:rsid w:val="0087098D"/>
    <w:rsid w:val="00870B05"/>
    <w:rsid w:val="008731FA"/>
    <w:rsid w:val="008743AC"/>
    <w:rsid w:val="00875DAB"/>
    <w:rsid w:val="00882684"/>
    <w:rsid w:val="00883173"/>
    <w:rsid w:val="00883EA7"/>
    <w:rsid w:val="008844BC"/>
    <w:rsid w:val="00890961"/>
    <w:rsid w:val="00891008"/>
    <w:rsid w:val="00891204"/>
    <w:rsid w:val="00891727"/>
    <w:rsid w:val="00891848"/>
    <w:rsid w:val="00891FD7"/>
    <w:rsid w:val="0089297B"/>
    <w:rsid w:val="008939A1"/>
    <w:rsid w:val="008939B1"/>
    <w:rsid w:val="00893DF9"/>
    <w:rsid w:val="008942EB"/>
    <w:rsid w:val="00894EC6"/>
    <w:rsid w:val="0089526F"/>
    <w:rsid w:val="00896CD1"/>
    <w:rsid w:val="00896F58"/>
    <w:rsid w:val="00897B6D"/>
    <w:rsid w:val="008A13B2"/>
    <w:rsid w:val="008A37EA"/>
    <w:rsid w:val="008A45C1"/>
    <w:rsid w:val="008A49C2"/>
    <w:rsid w:val="008A5369"/>
    <w:rsid w:val="008A67D3"/>
    <w:rsid w:val="008B06DF"/>
    <w:rsid w:val="008B18BB"/>
    <w:rsid w:val="008B1962"/>
    <w:rsid w:val="008B2BC8"/>
    <w:rsid w:val="008B3328"/>
    <w:rsid w:val="008B5947"/>
    <w:rsid w:val="008B6381"/>
    <w:rsid w:val="008B7BF3"/>
    <w:rsid w:val="008B7CB8"/>
    <w:rsid w:val="008C3AC9"/>
    <w:rsid w:val="008C4407"/>
    <w:rsid w:val="008C4590"/>
    <w:rsid w:val="008C53FB"/>
    <w:rsid w:val="008D1EDB"/>
    <w:rsid w:val="008D2D27"/>
    <w:rsid w:val="008D4D48"/>
    <w:rsid w:val="008E391E"/>
    <w:rsid w:val="008F1964"/>
    <w:rsid w:val="008F331D"/>
    <w:rsid w:val="008F36C1"/>
    <w:rsid w:val="008F3FC8"/>
    <w:rsid w:val="008F4349"/>
    <w:rsid w:val="008F45F1"/>
    <w:rsid w:val="008F4933"/>
    <w:rsid w:val="008F6552"/>
    <w:rsid w:val="00900AE6"/>
    <w:rsid w:val="009012BC"/>
    <w:rsid w:val="00902280"/>
    <w:rsid w:val="00903B81"/>
    <w:rsid w:val="0090467D"/>
    <w:rsid w:val="00904835"/>
    <w:rsid w:val="0090678C"/>
    <w:rsid w:val="00911B65"/>
    <w:rsid w:val="0091252E"/>
    <w:rsid w:val="00913A95"/>
    <w:rsid w:val="009142F8"/>
    <w:rsid w:val="00915677"/>
    <w:rsid w:val="00916A4F"/>
    <w:rsid w:val="00916BCE"/>
    <w:rsid w:val="00917BF2"/>
    <w:rsid w:val="00922E7B"/>
    <w:rsid w:val="00924C47"/>
    <w:rsid w:val="009253D7"/>
    <w:rsid w:val="0092585F"/>
    <w:rsid w:val="00926769"/>
    <w:rsid w:val="009268CE"/>
    <w:rsid w:val="009277EC"/>
    <w:rsid w:val="0093075A"/>
    <w:rsid w:val="00931EC2"/>
    <w:rsid w:val="009321DC"/>
    <w:rsid w:val="00934555"/>
    <w:rsid w:val="0093484C"/>
    <w:rsid w:val="0093784F"/>
    <w:rsid w:val="00941C88"/>
    <w:rsid w:val="0094224B"/>
    <w:rsid w:val="00943DEE"/>
    <w:rsid w:val="00943F75"/>
    <w:rsid w:val="00946E45"/>
    <w:rsid w:val="009505BB"/>
    <w:rsid w:val="009511BC"/>
    <w:rsid w:val="00954F22"/>
    <w:rsid w:val="0095584C"/>
    <w:rsid w:val="00957E53"/>
    <w:rsid w:val="0096074B"/>
    <w:rsid w:val="00961FF4"/>
    <w:rsid w:val="00963819"/>
    <w:rsid w:val="00970DBD"/>
    <w:rsid w:val="00971319"/>
    <w:rsid w:val="0097178A"/>
    <w:rsid w:val="009721FE"/>
    <w:rsid w:val="00973089"/>
    <w:rsid w:val="0097325E"/>
    <w:rsid w:val="00976A8B"/>
    <w:rsid w:val="00981A32"/>
    <w:rsid w:val="00982F63"/>
    <w:rsid w:val="009849B1"/>
    <w:rsid w:val="009875F8"/>
    <w:rsid w:val="00991025"/>
    <w:rsid w:val="009947D4"/>
    <w:rsid w:val="0099574A"/>
    <w:rsid w:val="009A1801"/>
    <w:rsid w:val="009A37E2"/>
    <w:rsid w:val="009A3837"/>
    <w:rsid w:val="009A3A52"/>
    <w:rsid w:val="009A4BDA"/>
    <w:rsid w:val="009A5F47"/>
    <w:rsid w:val="009A7479"/>
    <w:rsid w:val="009A7CFE"/>
    <w:rsid w:val="009B020F"/>
    <w:rsid w:val="009B0E6B"/>
    <w:rsid w:val="009B174B"/>
    <w:rsid w:val="009B2C9E"/>
    <w:rsid w:val="009B3343"/>
    <w:rsid w:val="009B397F"/>
    <w:rsid w:val="009B3D6B"/>
    <w:rsid w:val="009B3E9E"/>
    <w:rsid w:val="009B4C74"/>
    <w:rsid w:val="009B5183"/>
    <w:rsid w:val="009B6241"/>
    <w:rsid w:val="009C0C45"/>
    <w:rsid w:val="009C52E2"/>
    <w:rsid w:val="009C681D"/>
    <w:rsid w:val="009D5AC8"/>
    <w:rsid w:val="009D617E"/>
    <w:rsid w:val="009E1E3E"/>
    <w:rsid w:val="009F3499"/>
    <w:rsid w:val="009F37CC"/>
    <w:rsid w:val="009F5088"/>
    <w:rsid w:val="009F5753"/>
    <w:rsid w:val="00A013AC"/>
    <w:rsid w:val="00A062F4"/>
    <w:rsid w:val="00A06667"/>
    <w:rsid w:val="00A07628"/>
    <w:rsid w:val="00A113A9"/>
    <w:rsid w:val="00A1406F"/>
    <w:rsid w:val="00A15172"/>
    <w:rsid w:val="00A15A79"/>
    <w:rsid w:val="00A15E47"/>
    <w:rsid w:val="00A21345"/>
    <w:rsid w:val="00A250D5"/>
    <w:rsid w:val="00A31E02"/>
    <w:rsid w:val="00A3234A"/>
    <w:rsid w:val="00A3442D"/>
    <w:rsid w:val="00A35DB8"/>
    <w:rsid w:val="00A3665F"/>
    <w:rsid w:val="00A369C1"/>
    <w:rsid w:val="00A43A8B"/>
    <w:rsid w:val="00A44687"/>
    <w:rsid w:val="00A450A7"/>
    <w:rsid w:val="00A45990"/>
    <w:rsid w:val="00A46007"/>
    <w:rsid w:val="00A470E1"/>
    <w:rsid w:val="00A5269E"/>
    <w:rsid w:val="00A5271C"/>
    <w:rsid w:val="00A52AE9"/>
    <w:rsid w:val="00A53A65"/>
    <w:rsid w:val="00A6036D"/>
    <w:rsid w:val="00A61F30"/>
    <w:rsid w:val="00A62A6F"/>
    <w:rsid w:val="00A62CEE"/>
    <w:rsid w:val="00A6491B"/>
    <w:rsid w:val="00A65AAF"/>
    <w:rsid w:val="00A671E9"/>
    <w:rsid w:val="00A71D8F"/>
    <w:rsid w:val="00A733C7"/>
    <w:rsid w:val="00A74175"/>
    <w:rsid w:val="00A74BB7"/>
    <w:rsid w:val="00A7533F"/>
    <w:rsid w:val="00A76152"/>
    <w:rsid w:val="00A7724B"/>
    <w:rsid w:val="00A777FD"/>
    <w:rsid w:val="00A77C4D"/>
    <w:rsid w:val="00A807FC"/>
    <w:rsid w:val="00A822C0"/>
    <w:rsid w:val="00A82FE2"/>
    <w:rsid w:val="00A84F41"/>
    <w:rsid w:val="00A868DC"/>
    <w:rsid w:val="00A927F8"/>
    <w:rsid w:val="00A92A45"/>
    <w:rsid w:val="00AA1780"/>
    <w:rsid w:val="00AA3671"/>
    <w:rsid w:val="00AA3E6B"/>
    <w:rsid w:val="00AA4F51"/>
    <w:rsid w:val="00AA7097"/>
    <w:rsid w:val="00AA7BF4"/>
    <w:rsid w:val="00AB2732"/>
    <w:rsid w:val="00AB2F79"/>
    <w:rsid w:val="00AB34A2"/>
    <w:rsid w:val="00AB655A"/>
    <w:rsid w:val="00AB79CF"/>
    <w:rsid w:val="00AC2D3D"/>
    <w:rsid w:val="00AC3C75"/>
    <w:rsid w:val="00AC54D7"/>
    <w:rsid w:val="00AC558E"/>
    <w:rsid w:val="00AC5C1B"/>
    <w:rsid w:val="00AD30DD"/>
    <w:rsid w:val="00AD3643"/>
    <w:rsid w:val="00AD4EB1"/>
    <w:rsid w:val="00AD69B3"/>
    <w:rsid w:val="00AD75D7"/>
    <w:rsid w:val="00AE0BC4"/>
    <w:rsid w:val="00AE2FFB"/>
    <w:rsid w:val="00AE410C"/>
    <w:rsid w:val="00AE4596"/>
    <w:rsid w:val="00AF0C57"/>
    <w:rsid w:val="00AF2128"/>
    <w:rsid w:val="00AF37C0"/>
    <w:rsid w:val="00AF3B06"/>
    <w:rsid w:val="00AF4666"/>
    <w:rsid w:val="00AF58A5"/>
    <w:rsid w:val="00AF75DB"/>
    <w:rsid w:val="00AF7BE3"/>
    <w:rsid w:val="00AF7D8B"/>
    <w:rsid w:val="00B010B2"/>
    <w:rsid w:val="00B059B3"/>
    <w:rsid w:val="00B06393"/>
    <w:rsid w:val="00B067AD"/>
    <w:rsid w:val="00B06896"/>
    <w:rsid w:val="00B0753A"/>
    <w:rsid w:val="00B12B96"/>
    <w:rsid w:val="00B13599"/>
    <w:rsid w:val="00B21CF0"/>
    <w:rsid w:val="00B224D3"/>
    <w:rsid w:val="00B2271C"/>
    <w:rsid w:val="00B32F59"/>
    <w:rsid w:val="00B33268"/>
    <w:rsid w:val="00B334BC"/>
    <w:rsid w:val="00B35557"/>
    <w:rsid w:val="00B37DAE"/>
    <w:rsid w:val="00B42E99"/>
    <w:rsid w:val="00B43E93"/>
    <w:rsid w:val="00B452A1"/>
    <w:rsid w:val="00B50043"/>
    <w:rsid w:val="00B532DC"/>
    <w:rsid w:val="00B548C5"/>
    <w:rsid w:val="00B548CD"/>
    <w:rsid w:val="00B56F96"/>
    <w:rsid w:val="00B5764C"/>
    <w:rsid w:val="00B630CA"/>
    <w:rsid w:val="00B64995"/>
    <w:rsid w:val="00B6503C"/>
    <w:rsid w:val="00B676C6"/>
    <w:rsid w:val="00B711AB"/>
    <w:rsid w:val="00B72BDE"/>
    <w:rsid w:val="00B72D84"/>
    <w:rsid w:val="00B72D97"/>
    <w:rsid w:val="00B731D5"/>
    <w:rsid w:val="00B73425"/>
    <w:rsid w:val="00B804BF"/>
    <w:rsid w:val="00B815EE"/>
    <w:rsid w:val="00B83788"/>
    <w:rsid w:val="00B847BF"/>
    <w:rsid w:val="00B86360"/>
    <w:rsid w:val="00B95C75"/>
    <w:rsid w:val="00B96131"/>
    <w:rsid w:val="00B96AF7"/>
    <w:rsid w:val="00BA1772"/>
    <w:rsid w:val="00BA41AC"/>
    <w:rsid w:val="00BB1813"/>
    <w:rsid w:val="00BB22B5"/>
    <w:rsid w:val="00BB4761"/>
    <w:rsid w:val="00BC0C68"/>
    <w:rsid w:val="00BC0E6F"/>
    <w:rsid w:val="00BC1339"/>
    <w:rsid w:val="00BC1B97"/>
    <w:rsid w:val="00BC2422"/>
    <w:rsid w:val="00BC428A"/>
    <w:rsid w:val="00BC4B7C"/>
    <w:rsid w:val="00BC5F11"/>
    <w:rsid w:val="00BC6A12"/>
    <w:rsid w:val="00BC7E5D"/>
    <w:rsid w:val="00BD228E"/>
    <w:rsid w:val="00BD2364"/>
    <w:rsid w:val="00BD4000"/>
    <w:rsid w:val="00BE0C67"/>
    <w:rsid w:val="00BE185F"/>
    <w:rsid w:val="00BE2CEA"/>
    <w:rsid w:val="00BE36C4"/>
    <w:rsid w:val="00BE50DA"/>
    <w:rsid w:val="00BE67E3"/>
    <w:rsid w:val="00BF0C78"/>
    <w:rsid w:val="00BF1559"/>
    <w:rsid w:val="00BF1D69"/>
    <w:rsid w:val="00BF2001"/>
    <w:rsid w:val="00BF224E"/>
    <w:rsid w:val="00BF31EA"/>
    <w:rsid w:val="00BF6A73"/>
    <w:rsid w:val="00BF7017"/>
    <w:rsid w:val="00BF7651"/>
    <w:rsid w:val="00C00B52"/>
    <w:rsid w:val="00C00F6E"/>
    <w:rsid w:val="00C02C43"/>
    <w:rsid w:val="00C030A4"/>
    <w:rsid w:val="00C04A85"/>
    <w:rsid w:val="00C07BA9"/>
    <w:rsid w:val="00C125E4"/>
    <w:rsid w:val="00C15F54"/>
    <w:rsid w:val="00C16685"/>
    <w:rsid w:val="00C168B4"/>
    <w:rsid w:val="00C16B04"/>
    <w:rsid w:val="00C16D5D"/>
    <w:rsid w:val="00C21888"/>
    <w:rsid w:val="00C3046E"/>
    <w:rsid w:val="00C31991"/>
    <w:rsid w:val="00C359CC"/>
    <w:rsid w:val="00C35D4B"/>
    <w:rsid w:val="00C40428"/>
    <w:rsid w:val="00C41136"/>
    <w:rsid w:val="00C41964"/>
    <w:rsid w:val="00C42770"/>
    <w:rsid w:val="00C43223"/>
    <w:rsid w:val="00C45811"/>
    <w:rsid w:val="00C475CD"/>
    <w:rsid w:val="00C47945"/>
    <w:rsid w:val="00C501AD"/>
    <w:rsid w:val="00C5045D"/>
    <w:rsid w:val="00C51C38"/>
    <w:rsid w:val="00C5229D"/>
    <w:rsid w:val="00C54EDA"/>
    <w:rsid w:val="00C57E90"/>
    <w:rsid w:val="00C57F7E"/>
    <w:rsid w:val="00C636C2"/>
    <w:rsid w:val="00C63800"/>
    <w:rsid w:val="00C65E44"/>
    <w:rsid w:val="00C67C7C"/>
    <w:rsid w:val="00C71DCD"/>
    <w:rsid w:val="00C7302F"/>
    <w:rsid w:val="00C73B04"/>
    <w:rsid w:val="00C7757B"/>
    <w:rsid w:val="00C77B32"/>
    <w:rsid w:val="00C83D23"/>
    <w:rsid w:val="00C84296"/>
    <w:rsid w:val="00C84436"/>
    <w:rsid w:val="00C84F5D"/>
    <w:rsid w:val="00C86BCC"/>
    <w:rsid w:val="00C87939"/>
    <w:rsid w:val="00C90349"/>
    <w:rsid w:val="00C91EB0"/>
    <w:rsid w:val="00C9482F"/>
    <w:rsid w:val="00C963E5"/>
    <w:rsid w:val="00CA1161"/>
    <w:rsid w:val="00CA34F0"/>
    <w:rsid w:val="00CA468F"/>
    <w:rsid w:val="00CA6AE6"/>
    <w:rsid w:val="00CA7A85"/>
    <w:rsid w:val="00CA7CAA"/>
    <w:rsid w:val="00CA7DEA"/>
    <w:rsid w:val="00CB20C3"/>
    <w:rsid w:val="00CC107C"/>
    <w:rsid w:val="00CC2F0F"/>
    <w:rsid w:val="00CC3DE3"/>
    <w:rsid w:val="00CC439E"/>
    <w:rsid w:val="00CC4A87"/>
    <w:rsid w:val="00CC507A"/>
    <w:rsid w:val="00CC53DE"/>
    <w:rsid w:val="00CD0BD1"/>
    <w:rsid w:val="00CD512E"/>
    <w:rsid w:val="00CD6F6C"/>
    <w:rsid w:val="00CD7684"/>
    <w:rsid w:val="00CE01A7"/>
    <w:rsid w:val="00CE1F7E"/>
    <w:rsid w:val="00CF028C"/>
    <w:rsid w:val="00CF2191"/>
    <w:rsid w:val="00CF33A0"/>
    <w:rsid w:val="00CF399E"/>
    <w:rsid w:val="00CF574D"/>
    <w:rsid w:val="00CF660B"/>
    <w:rsid w:val="00D00F65"/>
    <w:rsid w:val="00D00FFF"/>
    <w:rsid w:val="00D01317"/>
    <w:rsid w:val="00D03C30"/>
    <w:rsid w:val="00D0667D"/>
    <w:rsid w:val="00D10DFB"/>
    <w:rsid w:val="00D10F9F"/>
    <w:rsid w:val="00D1146E"/>
    <w:rsid w:val="00D12BC5"/>
    <w:rsid w:val="00D22207"/>
    <w:rsid w:val="00D228D4"/>
    <w:rsid w:val="00D22A34"/>
    <w:rsid w:val="00D248A1"/>
    <w:rsid w:val="00D25921"/>
    <w:rsid w:val="00D27AE3"/>
    <w:rsid w:val="00D30F30"/>
    <w:rsid w:val="00D3174C"/>
    <w:rsid w:val="00D338B2"/>
    <w:rsid w:val="00D3452B"/>
    <w:rsid w:val="00D34AC1"/>
    <w:rsid w:val="00D378A6"/>
    <w:rsid w:val="00D420F3"/>
    <w:rsid w:val="00D42DF6"/>
    <w:rsid w:val="00D43E96"/>
    <w:rsid w:val="00D44D64"/>
    <w:rsid w:val="00D44FE0"/>
    <w:rsid w:val="00D454CF"/>
    <w:rsid w:val="00D45DC4"/>
    <w:rsid w:val="00D5124C"/>
    <w:rsid w:val="00D51D4B"/>
    <w:rsid w:val="00D5398B"/>
    <w:rsid w:val="00D55EB0"/>
    <w:rsid w:val="00D60D6A"/>
    <w:rsid w:val="00D61867"/>
    <w:rsid w:val="00D62F9B"/>
    <w:rsid w:val="00D66ED5"/>
    <w:rsid w:val="00D70165"/>
    <w:rsid w:val="00D70CDB"/>
    <w:rsid w:val="00D7104C"/>
    <w:rsid w:val="00D7638A"/>
    <w:rsid w:val="00D771F5"/>
    <w:rsid w:val="00D7746A"/>
    <w:rsid w:val="00D77D43"/>
    <w:rsid w:val="00D85392"/>
    <w:rsid w:val="00D87BE6"/>
    <w:rsid w:val="00D87E0F"/>
    <w:rsid w:val="00D9077E"/>
    <w:rsid w:val="00D91D31"/>
    <w:rsid w:val="00D929A4"/>
    <w:rsid w:val="00D93F7D"/>
    <w:rsid w:val="00D95434"/>
    <w:rsid w:val="00D95D35"/>
    <w:rsid w:val="00DA0D2C"/>
    <w:rsid w:val="00DA2CDA"/>
    <w:rsid w:val="00DA4829"/>
    <w:rsid w:val="00DA52F9"/>
    <w:rsid w:val="00DA7488"/>
    <w:rsid w:val="00DB17AF"/>
    <w:rsid w:val="00DB47EE"/>
    <w:rsid w:val="00DC0465"/>
    <w:rsid w:val="00DC0750"/>
    <w:rsid w:val="00DC5B63"/>
    <w:rsid w:val="00DC795B"/>
    <w:rsid w:val="00DD1A11"/>
    <w:rsid w:val="00DD1E12"/>
    <w:rsid w:val="00DD3647"/>
    <w:rsid w:val="00DD3CAA"/>
    <w:rsid w:val="00DD450B"/>
    <w:rsid w:val="00DD4EB6"/>
    <w:rsid w:val="00DD588E"/>
    <w:rsid w:val="00DD6ABD"/>
    <w:rsid w:val="00DD7E45"/>
    <w:rsid w:val="00DE23A4"/>
    <w:rsid w:val="00DE3C77"/>
    <w:rsid w:val="00DE56CB"/>
    <w:rsid w:val="00DE58B3"/>
    <w:rsid w:val="00DE64A0"/>
    <w:rsid w:val="00DF08FB"/>
    <w:rsid w:val="00DF186B"/>
    <w:rsid w:val="00DF45EE"/>
    <w:rsid w:val="00E0045B"/>
    <w:rsid w:val="00E0241F"/>
    <w:rsid w:val="00E044E2"/>
    <w:rsid w:val="00E06456"/>
    <w:rsid w:val="00E06965"/>
    <w:rsid w:val="00E111F9"/>
    <w:rsid w:val="00E1234C"/>
    <w:rsid w:val="00E15470"/>
    <w:rsid w:val="00E1570D"/>
    <w:rsid w:val="00E20E78"/>
    <w:rsid w:val="00E215EC"/>
    <w:rsid w:val="00E22412"/>
    <w:rsid w:val="00E27607"/>
    <w:rsid w:val="00E27ED6"/>
    <w:rsid w:val="00E302EE"/>
    <w:rsid w:val="00E31AC2"/>
    <w:rsid w:val="00E32E53"/>
    <w:rsid w:val="00E35B90"/>
    <w:rsid w:val="00E40B1C"/>
    <w:rsid w:val="00E40E08"/>
    <w:rsid w:val="00E427B3"/>
    <w:rsid w:val="00E43A38"/>
    <w:rsid w:val="00E44F0D"/>
    <w:rsid w:val="00E45262"/>
    <w:rsid w:val="00E45D6C"/>
    <w:rsid w:val="00E50877"/>
    <w:rsid w:val="00E50B3D"/>
    <w:rsid w:val="00E51E01"/>
    <w:rsid w:val="00E53BE4"/>
    <w:rsid w:val="00E53BEE"/>
    <w:rsid w:val="00E567E4"/>
    <w:rsid w:val="00E56A98"/>
    <w:rsid w:val="00E6219D"/>
    <w:rsid w:val="00E62551"/>
    <w:rsid w:val="00E63124"/>
    <w:rsid w:val="00E64A4D"/>
    <w:rsid w:val="00E671E9"/>
    <w:rsid w:val="00E7232F"/>
    <w:rsid w:val="00E73C45"/>
    <w:rsid w:val="00E74C10"/>
    <w:rsid w:val="00E760CF"/>
    <w:rsid w:val="00E76ED5"/>
    <w:rsid w:val="00E77675"/>
    <w:rsid w:val="00E848D9"/>
    <w:rsid w:val="00E87134"/>
    <w:rsid w:val="00E87E54"/>
    <w:rsid w:val="00E932CB"/>
    <w:rsid w:val="00E935A8"/>
    <w:rsid w:val="00E93A72"/>
    <w:rsid w:val="00E95B6F"/>
    <w:rsid w:val="00E96848"/>
    <w:rsid w:val="00EA3C1E"/>
    <w:rsid w:val="00EA4AF3"/>
    <w:rsid w:val="00EA4FBE"/>
    <w:rsid w:val="00EB0E63"/>
    <w:rsid w:val="00EB1937"/>
    <w:rsid w:val="00EB2920"/>
    <w:rsid w:val="00EB3E61"/>
    <w:rsid w:val="00EB4DFF"/>
    <w:rsid w:val="00EB6807"/>
    <w:rsid w:val="00EB7E21"/>
    <w:rsid w:val="00EC0548"/>
    <w:rsid w:val="00EC0937"/>
    <w:rsid w:val="00EC108D"/>
    <w:rsid w:val="00EC182B"/>
    <w:rsid w:val="00EC3837"/>
    <w:rsid w:val="00EC5993"/>
    <w:rsid w:val="00ED0C81"/>
    <w:rsid w:val="00ED3F64"/>
    <w:rsid w:val="00ED563B"/>
    <w:rsid w:val="00ED609E"/>
    <w:rsid w:val="00ED6954"/>
    <w:rsid w:val="00EE1315"/>
    <w:rsid w:val="00EE2AC6"/>
    <w:rsid w:val="00EE4049"/>
    <w:rsid w:val="00EE44A8"/>
    <w:rsid w:val="00EE4BA0"/>
    <w:rsid w:val="00EE5BC9"/>
    <w:rsid w:val="00EE6A6B"/>
    <w:rsid w:val="00EF04B9"/>
    <w:rsid w:val="00EF05F4"/>
    <w:rsid w:val="00EF2AEC"/>
    <w:rsid w:val="00EF3120"/>
    <w:rsid w:val="00EF4332"/>
    <w:rsid w:val="00EF647A"/>
    <w:rsid w:val="00EF6BB8"/>
    <w:rsid w:val="00EF7412"/>
    <w:rsid w:val="00EF762A"/>
    <w:rsid w:val="00F02854"/>
    <w:rsid w:val="00F04F56"/>
    <w:rsid w:val="00F05A24"/>
    <w:rsid w:val="00F1018B"/>
    <w:rsid w:val="00F11D8F"/>
    <w:rsid w:val="00F122A5"/>
    <w:rsid w:val="00F12409"/>
    <w:rsid w:val="00F12C0F"/>
    <w:rsid w:val="00F12FF4"/>
    <w:rsid w:val="00F1339B"/>
    <w:rsid w:val="00F16C93"/>
    <w:rsid w:val="00F172DC"/>
    <w:rsid w:val="00F1796E"/>
    <w:rsid w:val="00F201DF"/>
    <w:rsid w:val="00F23330"/>
    <w:rsid w:val="00F23F06"/>
    <w:rsid w:val="00F33C5C"/>
    <w:rsid w:val="00F364BE"/>
    <w:rsid w:val="00F37F5D"/>
    <w:rsid w:val="00F4254E"/>
    <w:rsid w:val="00F4298F"/>
    <w:rsid w:val="00F43A49"/>
    <w:rsid w:val="00F45849"/>
    <w:rsid w:val="00F459FB"/>
    <w:rsid w:val="00F46BDF"/>
    <w:rsid w:val="00F4712C"/>
    <w:rsid w:val="00F511C6"/>
    <w:rsid w:val="00F51605"/>
    <w:rsid w:val="00F516C7"/>
    <w:rsid w:val="00F55AB2"/>
    <w:rsid w:val="00F56028"/>
    <w:rsid w:val="00F5636B"/>
    <w:rsid w:val="00F6089D"/>
    <w:rsid w:val="00F62D54"/>
    <w:rsid w:val="00F63718"/>
    <w:rsid w:val="00F644CE"/>
    <w:rsid w:val="00F6567F"/>
    <w:rsid w:val="00F66F42"/>
    <w:rsid w:val="00F676AE"/>
    <w:rsid w:val="00F71830"/>
    <w:rsid w:val="00F71A04"/>
    <w:rsid w:val="00F73513"/>
    <w:rsid w:val="00F808E4"/>
    <w:rsid w:val="00F821DF"/>
    <w:rsid w:val="00F82718"/>
    <w:rsid w:val="00F86961"/>
    <w:rsid w:val="00F872EB"/>
    <w:rsid w:val="00F946E0"/>
    <w:rsid w:val="00F95443"/>
    <w:rsid w:val="00F957F1"/>
    <w:rsid w:val="00FA0AB6"/>
    <w:rsid w:val="00FA28CA"/>
    <w:rsid w:val="00FA43FD"/>
    <w:rsid w:val="00FA4F8F"/>
    <w:rsid w:val="00FA5874"/>
    <w:rsid w:val="00FA7700"/>
    <w:rsid w:val="00FA772D"/>
    <w:rsid w:val="00FB07EB"/>
    <w:rsid w:val="00FB211C"/>
    <w:rsid w:val="00FB6186"/>
    <w:rsid w:val="00FB77DD"/>
    <w:rsid w:val="00FB7A36"/>
    <w:rsid w:val="00FC6328"/>
    <w:rsid w:val="00FC7DD6"/>
    <w:rsid w:val="00FD014C"/>
    <w:rsid w:val="00FD0EBD"/>
    <w:rsid w:val="00FD3DE8"/>
    <w:rsid w:val="00FD606B"/>
    <w:rsid w:val="00FD63DD"/>
    <w:rsid w:val="00FE252B"/>
    <w:rsid w:val="00FE36FC"/>
    <w:rsid w:val="00FE3805"/>
    <w:rsid w:val="00FE49F0"/>
    <w:rsid w:val="00FE73D3"/>
    <w:rsid w:val="00FF0EB7"/>
    <w:rsid w:val="00FF32B7"/>
    <w:rsid w:val="00FF5C30"/>
    <w:rsid w:val="00FF6021"/>
    <w:rsid w:val="00FF6619"/>
    <w:rsid w:val="00FF6D4F"/>
    <w:rsid w:val="00FF7BE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660528"/>
    <w:pPr>
      <w:jc w:val="both"/>
    </w:pPr>
    <w:rPr>
      <w:rFonts w:eastAsiaTheme="minorEastAsia"/>
      <w:sz w:val="24"/>
      <w:lang w:val="en-GB"/>
    </w:rPr>
  </w:style>
  <w:style w:type="paragraph" w:styleId="Heading1">
    <w:name w:val="heading 1"/>
    <w:basedOn w:val="Normal"/>
    <w:next w:val="Normal"/>
    <w:link w:val="Heading1Char"/>
    <w:uiPriority w:val="99"/>
    <w:semiHidden/>
    <w:rsid w:val="00660528"/>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660528"/>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660528"/>
    <w:p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660528"/>
    <w:p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660528"/>
    <w:pPr>
      <w:spacing w:before="200"/>
      <w:outlineLvl w:val="4"/>
    </w:pPr>
    <w:rPr>
      <w:rFonts w:asciiTheme="majorHAnsi" w:eastAsiaTheme="majorEastAsia" w:hAnsiTheme="majorHAnsi" w:cstheme="majorBidi"/>
      <w:b/>
      <w:bCs/>
      <w:color w:val="808080"/>
      <w:sz w:val="22"/>
      <w:lang w:val="en-US"/>
    </w:rPr>
  </w:style>
  <w:style w:type="paragraph" w:styleId="Heading6">
    <w:name w:val="heading 6"/>
    <w:basedOn w:val="Normal"/>
    <w:next w:val="Normal"/>
    <w:link w:val="Heading6Char"/>
    <w:uiPriority w:val="99"/>
    <w:semiHidden/>
    <w:rsid w:val="00660528"/>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9"/>
    <w:semiHidden/>
    <w:qFormat/>
    <w:rsid w:val="00660528"/>
    <w:pPr>
      <w:outlineLvl w:val="6"/>
    </w:pPr>
    <w:rPr>
      <w:rFonts w:asciiTheme="majorHAnsi" w:eastAsiaTheme="majorEastAsia" w:hAnsiTheme="majorHAnsi" w:cstheme="majorBidi"/>
      <w:i/>
      <w:iCs/>
      <w:sz w:val="22"/>
      <w:lang w:val="en-US" w:bidi="en-US"/>
    </w:rPr>
  </w:style>
  <w:style w:type="paragraph" w:styleId="Heading8">
    <w:name w:val="heading 8"/>
    <w:basedOn w:val="Normal"/>
    <w:next w:val="Normal"/>
    <w:link w:val="Heading8Char"/>
    <w:uiPriority w:val="99"/>
    <w:semiHidden/>
    <w:qFormat/>
    <w:rsid w:val="00660528"/>
    <w:pPr>
      <w:outlineLvl w:val="7"/>
    </w:pPr>
    <w:rPr>
      <w:rFonts w:asciiTheme="majorHAnsi" w:eastAsiaTheme="majorEastAsia" w:hAnsiTheme="majorHAnsi" w:cstheme="majorBidi"/>
      <w:sz w:val="20"/>
      <w:szCs w:val="20"/>
      <w:lang w:val="en-US" w:bidi="en-US"/>
    </w:rPr>
  </w:style>
  <w:style w:type="paragraph" w:styleId="Heading9">
    <w:name w:val="heading 9"/>
    <w:basedOn w:val="Normal"/>
    <w:next w:val="Normal"/>
    <w:link w:val="Heading9Char"/>
    <w:uiPriority w:val="99"/>
    <w:semiHidden/>
    <w:qFormat/>
    <w:rsid w:val="00660528"/>
    <w:pPr>
      <w:outlineLvl w:val="8"/>
    </w:pPr>
    <w:rPr>
      <w:rFonts w:asciiTheme="majorHAnsi" w:eastAsiaTheme="majorEastAsia" w:hAnsiTheme="majorHAnsi" w:cstheme="majorBidi"/>
      <w:i/>
      <w:iCs/>
      <w:spacing w:val="5"/>
      <w:sz w:val="20"/>
      <w:szCs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60528"/>
    <w:rPr>
      <w:rFonts w:ascii="Tahoma" w:hAnsi="Tahoma" w:cs="Tahoma"/>
      <w:sz w:val="16"/>
      <w:szCs w:val="16"/>
    </w:rPr>
  </w:style>
  <w:style w:type="character" w:customStyle="1" w:styleId="BalloonTextChar">
    <w:name w:val="Balloon Text Char"/>
    <w:basedOn w:val="DefaultParagraphFont"/>
    <w:link w:val="BalloonText"/>
    <w:uiPriority w:val="99"/>
    <w:semiHidden/>
    <w:rsid w:val="00660528"/>
    <w:rPr>
      <w:rFonts w:ascii="Tahoma" w:eastAsiaTheme="minorEastAsia" w:hAnsi="Tahoma" w:cs="Tahoma"/>
      <w:sz w:val="16"/>
      <w:szCs w:val="16"/>
      <w:lang w:val="en-GB"/>
    </w:rPr>
  </w:style>
  <w:style w:type="character" w:styleId="BookTitle">
    <w:name w:val="Book Title"/>
    <w:uiPriority w:val="99"/>
    <w:semiHidden/>
    <w:qFormat/>
    <w:rsid w:val="00660528"/>
    <w:rPr>
      <w:i/>
      <w:iCs/>
      <w:smallCaps/>
      <w:spacing w:val="5"/>
    </w:rPr>
  </w:style>
  <w:style w:type="paragraph" w:customStyle="1" w:styleId="ECHRHeader">
    <w:name w:val="ECHR_Header"/>
    <w:aliases w:val="Ju_Header"/>
    <w:basedOn w:val="Header"/>
    <w:uiPriority w:val="4"/>
    <w:qFormat/>
    <w:rsid w:val="00660528"/>
    <w:pPr>
      <w:tabs>
        <w:tab w:val="clear" w:pos="4536"/>
        <w:tab w:val="clear" w:pos="9072"/>
        <w:tab w:val="center" w:pos="3686"/>
        <w:tab w:val="right" w:pos="7371"/>
      </w:tabs>
      <w:jc w:val="left"/>
    </w:pPr>
    <w:rPr>
      <w:sz w:val="18"/>
    </w:rPr>
  </w:style>
  <w:style w:type="paragraph" w:customStyle="1" w:styleId="ECHRFooter">
    <w:name w:val="ECHR_Footer"/>
    <w:aliases w:val="Footer_ECHR"/>
    <w:basedOn w:val="Footer"/>
    <w:uiPriority w:val="57"/>
    <w:semiHidden/>
    <w:rsid w:val="00660528"/>
    <w:pPr>
      <w:jc w:val="left"/>
    </w:pPr>
    <w:rPr>
      <w:sz w:val="8"/>
    </w:rPr>
  </w:style>
  <w:style w:type="character" w:styleId="Strong">
    <w:name w:val="Strong"/>
    <w:uiPriority w:val="99"/>
    <w:semiHidden/>
    <w:qFormat/>
    <w:rsid w:val="00660528"/>
    <w:rPr>
      <w:b/>
      <w:bCs/>
    </w:rPr>
  </w:style>
  <w:style w:type="paragraph" w:styleId="NoSpacing">
    <w:name w:val="No Spacing"/>
    <w:basedOn w:val="Normal"/>
    <w:link w:val="NoSpacingChar"/>
    <w:semiHidden/>
    <w:qFormat/>
    <w:rsid w:val="00660528"/>
    <w:rPr>
      <w:sz w:val="22"/>
      <w:lang w:val="en-US"/>
    </w:rPr>
  </w:style>
  <w:style w:type="character" w:customStyle="1" w:styleId="NoSpacingChar">
    <w:name w:val="No Spacing Char"/>
    <w:basedOn w:val="DefaultParagraphFont"/>
    <w:link w:val="NoSpacing"/>
    <w:semiHidden/>
    <w:rsid w:val="00660528"/>
    <w:rPr>
      <w:rFonts w:eastAsiaTheme="minorEastAsia"/>
    </w:rPr>
  </w:style>
  <w:style w:type="paragraph" w:customStyle="1" w:styleId="ECHRFooterLine">
    <w:name w:val="ECHR_Footer_Line"/>
    <w:aliases w:val="Footer_Line"/>
    <w:basedOn w:val="Normal"/>
    <w:next w:val="ECHRFooter"/>
    <w:uiPriority w:val="57"/>
    <w:semiHidden/>
    <w:rsid w:val="00660528"/>
    <w:pPr>
      <w:pBdr>
        <w:top w:val="single" w:sz="6" w:space="1" w:color="5F5F5F"/>
      </w:pBdr>
      <w:tabs>
        <w:tab w:val="center" w:pos="4536"/>
        <w:tab w:val="right" w:pos="9696"/>
      </w:tabs>
      <w:ind w:left="-680" w:right="-680"/>
      <w:jc w:val="left"/>
    </w:pPr>
    <w:rPr>
      <w:color w:val="5F5F5F"/>
    </w:rPr>
  </w:style>
  <w:style w:type="paragraph" w:customStyle="1" w:styleId="DecHTitle">
    <w:name w:val="Dec_H_Title"/>
    <w:basedOn w:val="ECHRTitleCentre1"/>
    <w:uiPriority w:val="7"/>
    <w:semiHidden/>
    <w:qFormat/>
    <w:rsid w:val="00660528"/>
  </w:style>
  <w:style w:type="paragraph" w:customStyle="1" w:styleId="DecList">
    <w:name w:val="Dec_List"/>
    <w:basedOn w:val="Normal"/>
    <w:uiPriority w:val="9"/>
    <w:semiHidden/>
    <w:qFormat/>
    <w:rsid w:val="00660528"/>
    <w:pPr>
      <w:spacing w:before="240"/>
      <w:ind w:left="284"/>
    </w:pPr>
  </w:style>
  <w:style w:type="paragraph" w:customStyle="1" w:styleId="DummyStyle">
    <w:name w:val="Dummy_Style"/>
    <w:basedOn w:val="Normal"/>
    <w:semiHidden/>
    <w:qFormat/>
    <w:rsid w:val="00660528"/>
    <w:rPr>
      <w:color w:val="00B050"/>
    </w:rPr>
  </w:style>
  <w:style w:type="paragraph" w:customStyle="1" w:styleId="ECHRTitleCentre3">
    <w:name w:val="ECHR_Title_Centre_3"/>
    <w:aliases w:val="Ju_H_Article"/>
    <w:basedOn w:val="Normal"/>
    <w:next w:val="ECHRParaQuote"/>
    <w:uiPriority w:val="27"/>
    <w:qFormat/>
    <w:rsid w:val="00660528"/>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
    <w:next w:val="OpiPara"/>
    <w:uiPriority w:val="39"/>
    <w:qFormat/>
    <w:rsid w:val="00660528"/>
    <w:pPr>
      <w:keepNext/>
      <w:keepLines/>
      <w:spacing w:after="240"/>
      <w:jc w:val="center"/>
      <w:outlineLvl w:val="0"/>
    </w:pPr>
    <w:rPr>
      <w:rFonts w:asciiTheme="majorHAnsi" w:hAnsiTheme="majorHAnsi"/>
      <w:sz w:val="28"/>
    </w:rPr>
  </w:style>
  <w:style w:type="paragraph" w:customStyle="1" w:styleId="JuAppQuestion">
    <w:name w:val="Ju_App_Question"/>
    <w:basedOn w:val="Normal"/>
    <w:uiPriority w:val="5"/>
    <w:semiHidden/>
    <w:qFormat/>
    <w:rsid w:val="00660528"/>
    <w:pPr>
      <w:numPr>
        <w:numId w:val="31"/>
      </w:numPr>
      <w:jc w:val="left"/>
    </w:pPr>
    <w:rPr>
      <w:b/>
    </w:rPr>
  </w:style>
  <w:style w:type="paragraph" w:customStyle="1" w:styleId="JuCourt">
    <w:name w:val="Ju_Court"/>
    <w:basedOn w:val="Normal"/>
    <w:next w:val="Normal"/>
    <w:uiPriority w:val="16"/>
    <w:qFormat/>
    <w:rsid w:val="00660528"/>
    <w:pPr>
      <w:tabs>
        <w:tab w:val="left" w:pos="907"/>
        <w:tab w:val="left" w:pos="1701"/>
        <w:tab w:val="right" w:pos="7371"/>
      </w:tabs>
      <w:spacing w:before="240"/>
      <w:ind w:left="397" w:hanging="397"/>
      <w:jc w:val="left"/>
    </w:pPr>
    <w:rPr>
      <w:lang w:bidi="en-US"/>
    </w:rPr>
  </w:style>
  <w:style w:type="paragraph" w:customStyle="1" w:styleId="JuInitialled">
    <w:name w:val="Ju_Initialled"/>
    <w:basedOn w:val="Normal"/>
    <w:uiPriority w:val="31"/>
    <w:qFormat/>
    <w:rsid w:val="00660528"/>
    <w:pPr>
      <w:tabs>
        <w:tab w:val="center" w:pos="6407"/>
      </w:tabs>
      <w:spacing w:before="720"/>
      <w:jc w:val="right"/>
    </w:pPr>
  </w:style>
  <w:style w:type="paragraph" w:customStyle="1" w:styleId="ECHRTitleCentre2">
    <w:name w:val="ECHR_Title_Centre_2"/>
    <w:aliases w:val="Dec_H_Case"/>
    <w:basedOn w:val="Normal"/>
    <w:next w:val="ECHRPara"/>
    <w:uiPriority w:val="8"/>
    <w:qFormat/>
    <w:rsid w:val="00660528"/>
    <w:pPr>
      <w:spacing w:after="240"/>
      <w:jc w:val="center"/>
      <w:outlineLvl w:val="0"/>
    </w:pPr>
    <w:rPr>
      <w:rFonts w:asciiTheme="majorHAnsi" w:hAnsiTheme="majorHAnsi"/>
    </w:rPr>
  </w:style>
  <w:style w:type="character" w:customStyle="1" w:styleId="JUNAMES">
    <w:name w:val="JU_NAMES"/>
    <w:uiPriority w:val="17"/>
    <w:qFormat/>
    <w:rsid w:val="00660528"/>
    <w:rPr>
      <w:caps w:val="0"/>
      <w:smallCaps/>
    </w:rPr>
  </w:style>
  <w:style w:type="paragraph" w:styleId="Title">
    <w:name w:val="Title"/>
    <w:basedOn w:val="Normal"/>
    <w:next w:val="Normal"/>
    <w:link w:val="TitleChar"/>
    <w:uiPriority w:val="99"/>
    <w:semiHidden/>
    <w:qFormat/>
    <w:rsid w:val="00660528"/>
    <w:pPr>
      <w:pBdr>
        <w:bottom w:val="single" w:sz="4" w:space="1" w:color="auto"/>
      </w:pBdr>
      <w:contextualSpacing/>
    </w:pPr>
    <w:rPr>
      <w:rFonts w:asciiTheme="majorHAnsi" w:eastAsiaTheme="majorEastAsia" w:hAnsiTheme="majorHAnsi" w:cstheme="majorBidi"/>
      <w:spacing w:val="5"/>
      <w:sz w:val="52"/>
      <w:szCs w:val="52"/>
      <w:lang w:val="en-US" w:bidi="en-US"/>
    </w:rPr>
  </w:style>
  <w:style w:type="character" w:customStyle="1" w:styleId="TitleChar">
    <w:name w:val="Title Char"/>
    <w:basedOn w:val="DefaultParagraphFont"/>
    <w:link w:val="Title"/>
    <w:uiPriority w:val="99"/>
    <w:semiHidden/>
    <w:rsid w:val="00660528"/>
    <w:rPr>
      <w:rFonts w:asciiTheme="majorHAnsi" w:eastAsiaTheme="majorEastAsia" w:hAnsiTheme="majorHAnsi" w:cstheme="majorBidi"/>
      <w:spacing w:val="5"/>
      <w:sz w:val="52"/>
      <w:szCs w:val="52"/>
      <w:lang w:bidi="en-US"/>
    </w:rPr>
  </w:style>
  <w:style w:type="paragraph" w:customStyle="1" w:styleId="ECHRHeading3">
    <w:name w:val="ECHR_Heading_3"/>
    <w:aliases w:val="Ju_H_1."/>
    <w:basedOn w:val="Heading3"/>
    <w:next w:val="ECHRPara"/>
    <w:uiPriority w:val="21"/>
    <w:qFormat/>
    <w:rsid w:val="00660528"/>
    <w:pPr>
      <w:keepNext/>
      <w:keepLines/>
      <w:tabs>
        <w:tab w:val="left" w:pos="731"/>
      </w:tabs>
      <w:spacing w:before="240" w:after="120" w:line="240" w:lineRule="auto"/>
      <w:ind w:left="732" w:hanging="301"/>
    </w:pPr>
    <w:rPr>
      <w:b w:val="0"/>
      <w:i/>
      <w:color w:val="auto"/>
    </w:rPr>
  </w:style>
  <w:style w:type="paragraph" w:customStyle="1" w:styleId="ECHRHeading4">
    <w:name w:val="ECHR_Heading_4"/>
    <w:aliases w:val="Ju_H_a"/>
    <w:basedOn w:val="Heading4"/>
    <w:next w:val="ECHRPara"/>
    <w:uiPriority w:val="22"/>
    <w:qFormat/>
    <w:rsid w:val="00660528"/>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Heading5"/>
    <w:next w:val="ECHRPara"/>
    <w:uiPriority w:val="23"/>
    <w:qFormat/>
    <w:rsid w:val="00660528"/>
    <w:pPr>
      <w:keepNext/>
      <w:keepLines/>
      <w:tabs>
        <w:tab w:val="left" w:pos="1191"/>
      </w:tabs>
      <w:spacing w:before="240" w:after="120"/>
      <w:ind w:left="1190" w:hanging="357"/>
    </w:pPr>
    <w:rPr>
      <w:b w:val="0"/>
      <w:i/>
      <w:color w:val="auto"/>
      <w:sz w:val="20"/>
      <w:lang w:val="en-GB"/>
    </w:rPr>
  </w:style>
  <w:style w:type="paragraph" w:customStyle="1" w:styleId="ECHRHeading6">
    <w:name w:val="ECHR_Heading_6"/>
    <w:aliases w:val="Ju_H_alpha"/>
    <w:basedOn w:val="Heading6"/>
    <w:next w:val="ECHRPara"/>
    <w:uiPriority w:val="24"/>
    <w:qFormat/>
    <w:rsid w:val="00660528"/>
    <w:pPr>
      <w:keepNext/>
      <w:keepLines/>
      <w:tabs>
        <w:tab w:val="left" w:pos="1372"/>
      </w:tabs>
      <w:spacing w:before="240" w:after="120" w:line="240" w:lineRule="auto"/>
      <w:ind w:left="1373" w:hanging="335"/>
    </w:pPr>
    <w:rPr>
      <w:b w:val="0"/>
      <w:i w:val="0"/>
      <w:color w:val="auto"/>
      <w:sz w:val="20"/>
    </w:rPr>
  </w:style>
  <w:style w:type="paragraph" w:customStyle="1" w:styleId="ECHRHeading7">
    <w:name w:val="ECHR_Heading_7"/>
    <w:aliases w:val="Ju_H_–"/>
    <w:basedOn w:val="Heading7"/>
    <w:next w:val="ECHRPara"/>
    <w:uiPriority w:val="25"/>
    <w:qFormat/>
    <w:rsid w:val="00660528"/>
    <w:pPr>
      <w:keepNext/>
      <w:keepLines/>
      <w:spacing w:before="240" w:after="120"/>
      <w:ind w:left="1236"/>
    </w:pPr>
    <w:rPr>
      <w:sz w:val="20"/>
      <w:lang w:val="en-GB"/>
    </w:rPr>
  </w:style>
  <w:style w:type="paragraph" w:customStyle="1" w:styleId="JuParaSub">
    <w:name w:val="Ju_Para_Sub"/>
    <w:basedOn w:val="ECHRPara"/>
    <w:uiPriority w:val="13"/>
    <w:qFormat/>
    <w:rsid w:val="00660528"/>
    <w:pPr>
      <w:ind w:left="284"/>
    </w:pPr>
  </w:style>
  <w:style w:type="paragraph" w:customStyle="1" w:styleId="JuQuotSub">
    <w:name w:val="Ju_Quot_Sub"/>
    <w:basedOn w:val="ECHRParaQuote"/>
    <w:uiPriority w:val="15"/>
    <w:qFormat/>
    <w:rsid w:val="00660528"/>
    <w:pPr>
      <w:ind w:left="567"/>
    </w:pPr>
  </w:style>
  <w:style w:type="paragraph" w:customStyle="1" w:styleId="JuTitle">
    <w:name w:val="Ju_Title"/>
    <w:basedOn w:val="Normal"/>
    <w:next w:val="ECHRPara"/>
    <w:uiPriority w:val="3"/>
    <w:semiHidden/>
    <w:qFormat/>
    <w:rsid w:val="00660528"/>
    <w:pPr>
      <w:spacing w:before="720" w:after="240"/>
      <w:jc w:val="center"/>
      <w:outlineLvl w:val="0"/>
    </w:pPr>
    <w:rPr>
      <w:rFonts w:asciiTheme="majorHAnsi" w:hAnsiTheme="majorHAnsi"/>
      <w:b/>
      <w:caps/>
    </w:rPr>
  </w:style>
  <w:style w:type="paragraph" w:styleId="Header">
    <w:name w:val="header"/>
    <w:basedOn w:val="Normal"/>
    <w:link w:val="HeaderChar"/>
    <w:uiPriority w:val="57"/>
    <w:semiHidden/>
    <w:rsid w:val="00660528"/>
    <w:pPr>
      <w:tabs>
        <w:tab w:val="center" w:pos="4536"/>
        <w:tab w:val="right" w:pos="9072"/>
      </w:tabs>
    </w:pPr>
    <w:rPr>
      <w:rFonts w:eastAsiaTheme="minorHAnsi"/>
    </w:rPr>
  </w:style>
  <w:style w:type="character" w:customStyle="1" w:styleId="HeaderChar">
    <w:name w:val="Header Char"/>
    <w:basedOn w:val="DefaultParagraphFont"/>
    <w:link w:val="Header"/>
    <w:uiPriority w:val="57"/>
    <w:semiHidden/>
    <w:rsid w:val="00660528"/>
    <w:rPr>
      <w:sz w:val="24"/>
      <w:lang w:val="en-GB"/>
    </w:rPr>
  </w:style>
  <w:style w:type="character" w:customStyle="1" w:styleId="Heading1Char">
    <w:name w:val="Heading 1 Char"/>
    <w:basedOn w:val="DefaultParagraphFont"/>
    <w:link w:val="Heading1"/>
    <w:uiPriority w:val="99"/>
    <w:semiHidden/>
    <w:rsid w:val="00660528"/>
    <w:rPr>
      <w:rFonts w:asciiTheme="majorHAnsi" w:eastAsiaTheme="majorEastAsia" w:hAnsiTheme="majorHAnsi" w:cstheme="majorBidi"/>
      <w:b/>
      <w:bCs/>
      <w:color w:val="333333"/>
      <w:sz w:val="28"/>
      <w:szCs w:val="28"/>
      <w:lang w:val="en-GB"/>
    </w:rPr>
  </w:style>
  <w:style w:type="paragraph" w:customStyle="1" w:styleId="ECHRHeading1">
    <w:name w:val="ECHR_Heading_1"/>
    <w:aliases w:val="Ju_H_I_Roman"/>
    <w:basedOn w:val="Heading1"/>
    <w:next w:val="ECHRPara"/>
    <w:uiPriority w:val="19"/>
    <w:qFormat/>
    <w:rsid w:val="00660528"/>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Heading2"/>
    <w:next w:val="ECHRPara"/>
    <w:uiPriority w:val="20"/>
    <w:qFormat/>
    <w:rsid w:val="00660528"/>
    <w:pPr>
      <w:keepNext/>
      <w:keepLines/>
      <w:tabs>
        <w:tab w:val="left" w:pos="584"/>
      </w:tabs>
      <w:spacing w:before="360" w:after="240"/>
      <w:ind w:left="584" w:hanging="352"/>
    </w:pPr>
    <w:rPr>
      <w:color w:val="auto"/>
      <w:sz w:val="24"/>
    </w:rPr>
  </w:style>
  <w:style w:type="character" w:customStyle="1" w:styleId="Heading2Char">
    <w:name w:val="Heading 2 Char"/>
    <w:basedOn w:val="DefaultParagraphFont"/>
    <w:link w:val="Heading2"/>
    <w:uiPriority w:val="99"/>
    <w:semiHidden/>
    <w:rsid w:val="00660528"/>
    <w:rPr>
      <w:rFonts w:asciiTheme="majorHAnsi" w:eastAsiaTheme="majorEastAsia" w:hAnsiTheme="majorHAnsi" w:cstheme="majorBidi"/>
      <w:b/>
      <w:bCs/>
      <w:color w:val="4D4D4D"/>
      <w:sz w:val="26"/>
      <w:szCs w:val="26"/>
      <w:lang w:val="en-GB"/>
    </w:rPr>
  </w:style>
  <w:style w:type="paragraph" w:customStyle="1" w:styleId="OpiH1">
    <w:name w:val="Opi_H_1"/>
    <w:basedOn w:val="ECHRHeading2"/>
    <w:uiPriority w:val="42"/>
    <w:qFormat/>
    <w:rsid w:val="00660528"/>
    <w:pPr>
      <w:ind w:left="635" w:hanging="357"/>
      <w:outlineLvl w:val="2"/>
    </w:pPr>
  </w:style>
  <w:style w:type="paragraph" w:customStyle="1" w:styleId="JuCase">
    <w:name w:val="Ju_Case"/>
    <w:basedOn w:val="Normal"/>
    <w:next w:val="ECHRPara"/>
    <w:uiPriority w:val="10"/>
    <w:rsid w:val="00660528"/>
    <w:pPr>
      <w:ind w:firstLine="284"/>
    </w:pPr>
    <w:rPr>
      <w:b/>
    </w:rPr>
  </w:style>
  <w:style w:type="character" w:customStyle="1" w:styleId="Heading3Char">
    <w:name w:val="Heading 3 Char"/>
    <w:basedOn w:val="DefaultParagraphFont"/>
    <w:link w:val="Heading3"/>
    <w:uiPriority w:val="99"/>
    <w:semiHidden/>
    <w:rsid w:val="00660528"/>
    <w:rPr>
      <w:rFonts w:asciiTheme="majorHAnsi" w:eastAsiaTheme="majorEastAsia" w:hAnsiTheme="majorHAnsi" w:cstheme="majorBidi"/>
      <w:b/>
      <w:bCs/>
      <w:color w:val="5F5F5F"/>
      <w:sz w:val="24"/>
      <w:lang w:val="en-GB"/>
    </w:rPr>
  </w:style>
  <w:style w:type="character" w:customStyle="1" w:styleId="Heading4Char">
    <w:name w:val="Heading 4 Char"/>
    <w:basedOn w:val="DefaultParagraphFont"/>
    <w:link w:val="Heading4"/>
    <w:uiPriority w:val="99"/>
    <w:semiHidden/>
    <w:rsid w:val="00660528"/>
    <w:rPr>
      <w:rFonts w:asciiTheme="majorHAnsi" w:eastAsiaTheme="majorEastAsia" w:hAnsiTheme="majorHAnsi" w:cstheme="majorBidi"/>
      <w:b/>
      <w:bCs/>
      <w:i/>
      <w:iCs/>
      <w:color w:val="777777"/>
      <w:sz w:val="24"/>
      <w:lang w:val="en-GB"/>
    </w:rPr>
  </w:style>
  <w:style w:type="character" w:customStyle="1" w:styleId="Heading5Char">
    <w:name w:val="Heading 5 Char"/>
    <w:basedOn w:val="DefaultParagraphFont"/>
    <w:link w:val="Heading5"/>
    <w:uiPriority w:val="99"/>
    <w:semiHidden/>
    <w:rsid w:val="00660528"/>
    <w:rPr>
      <w:rFonts w:asciiTheme="majorHAnsi" w:eastAsiaTheme="majorEastAsia" w:hAnsiTheme="majorHAnsi" w:cstheme="majorBidi"/>
      <w:b/>
      <w:bCs/>
      <w:color w:val="808080"/>
    </w:rPr>
  </w:style>
  <w:style w:type="character" w:styleId="SubtleEmphasis">
    <w:name w:val="Subtle Emphasis"/>
    <w:uiPriority w:val="99"/>
    <w:semiHidden/>
    <w:qFormat/>
    <w:rsid w:val="00660528"/>
    <w:rPr>
      <w:i/>
      <w:iCs/>
    </w:rPr>
  </w:style>
  <w:style w:type="table" w:customStyle="1" w:styleId="ECHRTable">
    <w:name w:val="ECHR_Table"/>
    <w:basedOn w:val="TableNormal"/>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ECHRTitle1">
    <w:name w:val="ECHR_Title_1"/>
    <w:aliases w:val="Ju_H_Head"/>
    <w:basedOn w:val="Normal"/>
    <w:next w:val="ECHRPara"/>
    <w:uiPriority w:val="18"/>
    <w:qFormat/>
    <w:rsid w:val="00660528"/>
    <w:pPr>
      <w:keepNext/>
      <w:keepLines/>
      <w:spacing w:before="720" w:after="240"/>
      <w:outlineLvl w:val="0"/>
    </w:pPr>
    <w:rPr>
      <w:rFonts w:asciiTheme="majorHAnsi" w:hAnsiTheme="majorHAnsi"/>
      <w:sz w:val="28"/>
    </w:rPr>
  </w:style>
  <w:style w:type="character" w:styleId="Emphasis">
    <w:name w:val="Emphasis"/>
    <w:uiPriority w:val="99"/>
    <w:semiHidden/>
    <w:qFormat/>
    <w:rsid w:val="00660528"/>
    <w:rPr>
      <w:b/>
      <w:bCs/>
      <w:i/>
      <w:iCs/>
      <w:spacing w:val="10"/>
      <w:bdr w:val="none" w:sz="0" w:space="0" w:color="auto"/>
      <w:shd w:val="clear" w:color="auto" w:fill="auto"/>
    </w:rPr>
  </w:style>
  <w:style w:type="paragraph" w:styleId="Footer">
    <w:name w:val="footer"/>
    <w:basedOn w:val="Normal"/>
    <w:link w:val="FooterChar"/>
    <w:uiPriority w:val="57"/>
    <w:semiHidden/>
    <w:rsid w:val="00660528"/>
    <w:pPr>
      <w:tabs>
        <w:tab w:val="center" w:pos="4536"/>
        <w:tab w:val="right" w:pos="9696"/>
      </w:tabs>
      <w:ind w:left="-680" w:right="-680"/>
    </w:pPr>
    <w:rPr>
      <w:rFonts w:eastAsiaTheme="minorHAnsi"/>
    </w:rPr>
  </w:style>
  <w:style w:type="character" w:customStyle="1" w:styleId="FooterChar">
    <w:name w:val="Footer Char"/>
    <w:basedOn w:val="DefaultParagraphFont"/>
    <w:link w:val="Footer"/>
    <w:uiPriority w:val="57"/>
    <w:semiHidden/>
    <w:rsid w:val="00660528"/>
    <w:rPr>
      <w:sz w:val="24"/>
      <w:lang w:val="en-GB"/>
    </w:rPr>
  </w:style>
  <w:style w:type="character" w:styleId="FootnoteReference">
    <w:name w:val="footnote reference"/>
    <w:basedOn w:val="DefaultParagraphFont"/>
    <w:uiPriority w:val="99"/>
    <w:semiHidden/>
    <w:rsid w:val="00660528"/>
    <w:rPr>
      <w:vertAlign w:val="superscript"/>
    </w:rPr>
  </w:style>
  <w:style w:type="paragraph" w:styleId="FootnoteText">
    <w:name w:val="footnote text"/>
    <w:basedOn w:val="Normal"/>
    <w:link w:val="FootnoteTextChar"/>
    <w:uiPriority w:val="99"/>
    <w:semiHidden/>
    <w:rsid w:val="00660528"/>
    <w:rPr>
      <w:sz w:val="20"/>
      <w:szCs w:val="20"/>
    </w:rPr>
  </w:style>
  <w:style w:type="character" w:customStyle="1" w:styleId="FootnoteTextChar">
    <w:name w:val="Footnote Text Char"/>
    <w:basedOn w:val="DefaultParagraphFont"/>
    <w:link w:val="FootnoteText"/>
    <w:uiPriority w:val="99"/>
    <w:semiHidden/>
    <w:rsid w:val="00660528"/>
    <w:rPr>
      <w:rFonts w:eastAsiaTheme="minorEastAsia"/>
      <w:sz w:val="20"/>
      <w:szCs w:val="20"/>
      <w:lang w:val="en-GB"/>
    </w:rPr>
  </w:style>
  <w:style w:type="character" w:customStyle="1" w:styleId="Heading6Char">
    <w:name w:val="Heading 6 Char"/>
    <w:basedOn w:val="DefaultParagraphFont"/>
    <w:link w:val="Heading6"/>
    <w:uiPriority w:val="99"/>
    <w:semiHidden/>
    <w:rsid w:val="00660528"/>
    <w:rPr>
      <w:rFonts w:asciiTheme="majorHAnsi" w:eastAsiaTheme="majorEastAsia" w:hAnsiTheme="majorHAnsi" w:cstheme="majorBidi"/>
      <w:b/>
      <w:bCs/>
      <w:i/>
      <w:iCs/>
      <w:color w:val="7F7F7F" w:themeColor="text1" w:themeTint="80"/>
      <w:sz w:val="24"/>
      <w:lang w:val="en-GB" w:bidi="en-US"/>
    </w:rPr>
  </w:style>
  <w:style w:type="character" w:customStyle="1" w:styleId="Heading7Char">
    <w:name w:val="Heading 7 Char"/>
    <w:basedOn w:val="DefaultParagraphFont"/>
    <w:link w:val="Heading7"/>
    <w:uiPriority w:val="99"/>
    <w:semiHidden/>
    <w:rsid w:val="00660528"/>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9"/>
    <w:semiHidden/>
    <w:rsid w:val="00660528"/>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9"/>
    <w:semiHidden/>
    <w:rsid w:val="00660528"/>
    <w:rPr>
      <w:rFonts w:asciiTheme="majorHAnsi" w:eastAsiaTheme="majorEastAsia" w:hAnsiTheme="majorHAnsi" w:cstheme="majorBidi"/>
      <w:i/>
      <w:iCs/>
      <w:spacing w:val="5"/>
      <w:sz w:val="20"/>
      <w:szCs w:val="20"/>
      <w:lang w:bidi="en-US"/>
    </w:rPr>
  </w:style>
  <w:style w:type="character" w:styleId="Hyperlink">
    <w:name w:val="Hyperlink"/>
    <w:basedOn w:val="DefaultParagraphFont"/>
    <w:uiPriority w:val="99"/>
    <w:semiHidden/>
    <w:rsid w:val="00660528"/>
    <w:rPr>
      <w:color w:val="0072BC" w:themeColor="hyperlink"/>
      <w:u w:val="single"/>
    </w:rPr>
  </w:style>
  <w:style w:type="character" w:styleId="IntenseEmphasis">
    <w:name w:val="Intense Emphasis"/>
    <w:uiPriority w:val="99"/>
    <w:semiHidden/>
    <w:qFormat/>
    <w:rsid w:val="00660528"/>
    <w:rPr>
      <w:b/>
      <w:bCs/>
    </w:rPr>
  </w:style>
  <w:style w:type="paragraph" w:styleId="IntenseQuote">
    <w:name w:val="Intense Quote"/>
    <w:basedOn w:val="Normal"/>
    <w:next w:val="Normal"/>
    <w:link w:val="IntenseQuoteChar"/>
    <w:uiPriority w:val="99"/>
    <w:semiHidden/>
    <w:qFormat/>
    <w:rsid w:val="00660528"/>
    <w:pPr>
      <w:pBdr>
        <w:bottom w:val="single" w:sz="4" w:space="1" w:color="auto"/>
      </w:pBdr>
      <w:spacing w:before="200" w:after="280"/>
      <w:ind w:left="1008" w:right="1152"/>
    </w:pPr>
    <w:rPr>
      <w:b/>
      <w:bCs/>
      <w:i/>
      <w:iCs/>
      <w:sz w:val="22"/>
      <w:lang w:val="en-US" w:bidi="en-US"/>
    </w:rPr>
  </w:style>
  <w:style w:type="character" w:customStyle="1" w:styleId="IntenseQuoteChar">
    <w:name w:val="Intense Quote Char"/>
    <w:basedOn w:val="DefaultParagraphFont"/>
    <w:link w:val="IntenseQuote"/>
    <w:uiPriority w:val="99"/>
    <w:semiHidden/>
    <w:rsid w:val="00660528"/>
    <w:rPr>
      <w:rFonts w:eastAsiaTheme="minorEastAsia"/>
      <w:b/>
      <w:bCs/>
      <w:i/>
      <w:iCs/>
      <w:lang w:bidi="en-US"/>
    </w:rPr>
  </w:style>
  <w:style w:type="character" w:styleId="IntenseReference">
    <w:name w:val="Intense Reference"/>
    <w:uiPriority w:val="99"/>
    <w:semiHidden/>
    <w:qFormat/>
    <w:rsid w:val="00660528"/>
    <w:rPr>
      <w:smallCaps/>
      <w:spacing w:val="5"/>
      <w:u w:val="single"/>
    </w:rPr>
  </w:style>
  <w:style w:type="paragraph" w:styleId="ListParagraph">
    <w:name w:val="List Paragraph"/>
    <w:basedOn w:val="Normal"/>
    <w:uiPriority w:val="99"/>
    <w:semiHidden/>
    <w:qFormat/>
    <w:rsid w:val="00660528"/>
    <w:pPr>
      <w:ind w:left="720"/>
      <w:contextualSpacing/>
    </w:pPr>
  </w:style>
  <w:style w:type="table" w:customStyle="1" w:styleId="LtrTableAddress">
    <w:name w:val="Ltr_Table_Address"/>
    <w:basedOn w:val="TableNormal"/>
    <w:uiPriority w:val="99"/>
    <w:rsid w:val="001E6F32"/>
    <w:tblPr>
      <w:tblInd w:w="5103" w:type="dxa"/>
    </w:tblPr>
  </w:style>
  <w:style w:type="paragraph" w:styleId="Quote">
    <w:name w:val="Quote"/>
    <w:basedOn w:val="Normal"/>
    <w:next w:val="Normal"/>
    <w:link w:val="QuoteChar"/>
    <w:uiPriority w:val="99"/>
    <w:semiHidden/>
    <w:qFormat/>
    <w:rsid w:val="00660528"/>
    <w:pPr>
      <w:spacing w:before="200"/>
      <w:ind w:left="360" w:right="360"/>
    </w:pPr>
    <w:rPr>
      <w:i/>
      <w:iCs/>
      <w:sz w:val="22"/>
      <w:lang w:val="en-US" w:bidi="en-US"/>
    </w:rPr>
  </w:style>
  <w:style w:type="character" w:customStyle="1" w:styleId="QuoteChar">
    <w:name w:val="Quote Char"/>
    <w:basedOn w:val="DefaultParagraphFont"/>
    <w:link w:val="Quote"/>
    <w:uiPriority w:val="99"/>
    <w:semiHidden/>
    <w:rsid w:val="00660528"/>
    <w:rPr>
      <w:rFonts w:eastAsiaTheme="minorEastAsia"/>
      <w:i/>
      <w:iCs/>
      <w:lang w:bidi="en-US"/>
    </w:rPr>
  </w:style>
  <w:style w:type="character" w:styleId="SubtleReference">
    <w:name w:val="Subtle Reference"/>
    <w:uiPriority w:val="99"/>
    <w:semiHidden/>
    <w:qFormat/>
    <w:rsid w:val="00660528"/>
    <w:rPr>
      <w:smallCaps/>
    </w:rPr>
  </w:style>
  <w:style w:type="table" w:styleId="TableGrid">
    <w:name w:val="Table Grid"/>
    <w:basedOn w:val="TableNormal"/>
    <w:uiPriority w:val="59"/>
    <w:semiHidden/>
    <w:rsid w:val="00660528"/>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660528"/>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9"/>
    <w:semiHidden/>
    <w:rsid w:val="00660528"/>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9"/>
    <w:semiHidden/>
    <w:rsid w:val="00660528"/>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9"/>
    <w:semiHidden/>
    <w:rsid w:val="00660528"/>
    <w:pPr>
      <w:tabs>
        <w:tab w:val="right" w:leader="dot" w:pos="7371"/>
      </w:tabs>
      <w:spacing w:after="60" w:line="240" w:lineRule="exact"/>
      <w:ind w:left="1361" w:right="567" w:hanging="340"/>
    </w:pPr>
    <w:rPr>
      <w:sz w:val="20"/>
    </w:rPr>
  </w:style>
  <w:style w:type="paragraph" w:styleId="TOC5">
    <w:name w:val="toc 5"/>
    <w:basedOn w:val="Normal"/>
    <w:next w:val="Normal"/>
    <w:autoRedefine/>
    <w:uiPriority w:val="99"/>
    <w:semiHidden/>
    <w:rsid w:val="00660528"/>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9"/>
    <w:semiHidden/>
    <w:qFormat/>
    <w:rsid w:val="00660528"/>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TableNormal"/>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leNormal"/>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9"/>
    <w:semiHidden/>
    <w:rsid w:val="00660528"/>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customStyle="1" w:styleId="ECHRParaQuote">
    <w:name w:val="ECHR_Para_Quote"/>
    <w:aliases w:val="Ju_Quot"/>
    <w:basedOn w:val="Normal"/>
    <w:uiPriority w:val="14"/>
    <w:qFormat/>
    <w:rsid w:val="00660528"/>
    <w:pPr>
      <w:spacing w:before="120" w:after="120"/>
      <w:ind w:left="425" w:firstLine="142"/>
    </w:pPr>
    <w:rPr>
      <w:sz w:val="20"/>
    </w:rPr>
  </w:style>
  <w:style w:type="paragraph" w:customStyle="1" w:styleId="ECHRPara">
    <w:name w:val="ECHR_Para"/>
    <w:aliases w:val="Ju_Para"/>
    <w:basedOn w:val="Normal"/>
    <w:link w:val="ECHRParaChar"/>
    <w:uiPriority w:val="12"/>
    <w:qFormat/>
    <w:rsid w:val="00660528"/>
    <w:pPr>
      <w:ind w:firstLine="284"/>
    </w:pPr>
  </w:style>
  <w:style w:type="table" w:customStyle="1" w:styleId="ECHRTableSimpleBox">
    <w:name w:val="ECHR_Table_Simple_Box"/>
    <w:basedOn w:val="TableNormal"/>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ForInternalUse">
    <w:name w:val="ECHR_Table_For_Internal_Use"/>
    <w:basedOn w:val="TableNormal"/>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660528"/>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table" w:customStyle="1" w:styleId="ECHRHeaderTable">
    <w:name w:val="ECHR_Header_Table"/>
    <w:basedOn w:val="TableNormal"/>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TableNormal"/>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customStyle="1" w:styleId="ECHRDecisionBody">
    <w:name w:val="ECHR_Decision_Body"/>
    <w:aliases w:val="Ju_Judges"/>
    <w:basedOn w:val="Normal"/>
    <w:uiPriority w:val="11"/>
    <w:qFormat/>
    <w:rsid w:val="00660528"/>
    <w:pPr>
      <w:tabs>
        <w:tab w:val="left" w:pos="567"/>
        <w:tab w:val="left" w:pos="1134"/>
      </w:tabs>
      <w:jc w:val="left"/>
    </w:pPr>
  </w:style>
  <w:style w:type="table" w:customStyle="1" w:styleId="ECHRHeaderTableReduced">
    <w:name w:val="ECHR_Header_Table_Reduced"/>
    <w:basedOn w:val="TableNormal"/>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List">
    <w:name w:val="Ju_List"/>
    <w:basedOn w:val="Normal"/>
    <w:uiPriority w:val="28"/>
    <w:qFormat/>
    <w:rsid w:val="00660528"/>
    <w:pPr>
      <w:ind w:left="340" w:hanging="340"/>
    </w:pPr>
  </w:style>
  <w:style w:type="paragraph" w:customStyle="1" w:styleId="JuSigned">
    <w:name w:val="Ju_Signed"/>
    <w:basedOn w:val="Normal"/>
    <w:next w:val="JuParaLast"/>
    <w:uiPriority w:val="32"/>
    <w:qFormat/>
    <w:rsid w:val="00660528"/>
    <w:pPr>
      <w:tabs>
        <w:tab w:val="center" w:pos="851"/>
        <w:tab w:val="center" w:pos="6407"/>
      </w:tabs>
      <w:spacing w:before="720"/>
      <w:jc w:val="left"/>
    </w:pPr>
  </w:style>
  <w:style w:type="paragraph" w:customStyle="1" w:styleId="JuParaLast">
    <w:name w:val="Ju_Para_Last"/>
    <w:basedOn w:val="Normal"/>
    <w:next w:val="ECHRPara"/>
    <w:uiPriority w:val="30"/>
    <w:qFormat/>
    <w:rsid w:val="00660528"/>
    <w:pPr>
      <w:keepNext/>
      <w:keepLines/>
      <w:spacing w:before="240"/>
      <w:ind w:firstLine="284"/>
    </w:pPr>
  </w:style>
  <w:style w:type="paragraph" w:customStyle="1" w:styleId="OpiHa">
    <w:name w:val="Opi_H_a"/>
    <w:basedOn w:val="ECHRHeading3"/>
    <w:uiPriority w:val="43"/>
    <w:qFormat/>
    <w:rsid w:val="00660528"/>
    <w:pPr>
      <w:ind w:left="833" w:hanging="357"/>
      <w:outlineLvl w:val="3"/>
    </w:pPr>
    <w:rPr>
      <w:b/>
      <w:i w:val="0"/>
      <w:sz w:val="20"/>
    </w:rPr>
  </w:style>
  <w:style w:type="character" w:styleId="PageNumber">
    <w:name w:val="page number"/>
    <w:uiPriority w:val="99"/>
    <w:semiHidden/>
    <w:rsid w:val="00014566"/>
    <w:rPr>
      <w:sz w:val="18"/>
    </w:rPr>
  </w:style>
  <w:style w:type="paragraph" w:customStyle="1" w:styleId="JuLista">
    <w:name w:val="Ju_List_a"/>
    <w:basedOn w:val="JuList"/>
    <w:uiPriority w:val="28"/>
    <w:qFormat/>
    <w:rsid w:val="00660528"/>
    <w:pPr>
      <w:ind w:left="346" w:firstLine="0"/>
    </w:pPr>
  </w:style>
  <w:style w:type="paragraph" w:customStyle="1" w:styleId="JuListi">
    <w:name w:val="Ju_List_i"/>
    <w:basedOn w:val="Normal"/>
    <w:next w:val="JuLista"/>
    <w:uiPriority w:val="28"/>
    <w:qFormat/>
    <w:rsid w:val="00660528"/>
    <w:pPr>
      <w:ind w:left="794"/>
    </w:pPr>
  </w:style>
  <w:style w:type="character" w:styleId="CommentReference">
    <w:name w:val="annotation reference"/>
    <w:uiPriority w:val="99"/>
    <w:semiHidden/>
    <w:rsid w:val="00014566"/>
    <w:rPr>
      <w:sz w:val="16"/>
    </w:rPr>
  </w:style>
  <w:style w:type="paragraph" w:styleId="CommentText">
    <w:name w:val="annotation text"/>
    <w:basedOn w:val="Normal"/>
    <w:link w:val="CommentTextChar"/>
    <w:semiHidden/>
    <w:rsid w:val="00014566"/>
    <w:rPr>
      <w:sz w:val="20"/>
    </w:rPr>
  </w:style>
  <w:style w:type="character" w:customStyle="1" w:styleId="CommentTextChar">
    <w:name w:val="Comment Text Char"/>
    <w:basedOn w:val="DefaultParagraphFont"/>
    <w:link w:val="CommentText"/>
    <w:semiHidden/>
    <w:rsid w:val="00014566"/>
    <w:rPr>
      <w:rFonts w:eastAsiaTheme="minorEastAsia"/>
      <w:sz w:val="20"/>
    </w:rPr>
  </w:style>
  <w:style w:type="paragraph" w:styleId="CommentSubject">
    <w:name w:val="annotation subject"/>
    <w:basedOn w:val="CommentText"/>
    <w:next w:val="CommentText"/>
    <w:link w:val="CommentSubjectChar"/>
    <w:uiPriority w:val="99"/>
    <w:semiHidden/>
    <w:rsid w:val="00014566"/>
    <w:rPr>
      <w:b/>
      <w:bCs/>
    </w:rPr>
  </w:style>
  <w:style w:type="character" w:customStyle="1" w:styleId="CommentSubjectChar">
    <w:name w:val="Comment Subject Char"/>
    <w:basedOn w:val="CommentTextChar"/>
    <w:link w:val="CommentSubject"/>
    <w:uiPriority w:val="99"/>
    <w:semiHidden/>
    <w:rsid w:val="00014566"/>
    <w:rPr>
      <w:rFonts w:eastAsiaTheme="minorEastAsia"/>
      <w:b/>
      <w:bCs/>
      <w:sz w:val="20"/>
    </w:rPr>
  </w:style>
  <w:style w:type="character" w:styleId="EndnoteReference">
    <w:name w:val="endnote reference"/>
    <w:basedOn w:val="DefaultParagraphFont"/>
    <w:uiPriority w:val="99"/>
    <w:semiHidden/>
    <w:rsid w:val="00660528"/>
    <w:rPr>
      <w:vertAlign w:val="superscript"/>
    </w:rPr>
  </w:style>
  <w:style w:type="paragraph" w:styleId="EndnoteText">
    <w:name w:val="endnote text"/>
    <w:basedOn w:val="Normal"/>
    <w:link w:val="EndnoteTextChar"/>
    <w:uiPriority w:val="99"/>
    <w:semiHidden/>
    <w:rsid w:val="00660528"/>
    <w:rPr>
      <w:sz w:val="20"/>
      <w:szCs w:val="20"/>
    </w:rPr>
  </w:style>
  <w:style w:type="character" w:customStyle="1" w:styleId="EndnoteTextChar">
    <w:name w:val="Endnote Text Char"/>
    <w:basedOn w:val="DefaultParagraphFont"/>
    <w:link w:val="EndnoteText"/>
    <w:uiPriority w:val="99"/>
    <w:semiHidden/>
    <w:rsid w:val="00660528"/>
    <w:rPr>
      <w:rFonts w:eastAsiaTheme="minorEastAsia"/>
      <w:sz w:val="20"/>
      <w:szCs w:val="20"/>
      <w:lang w:val="en-GB"/>
    </w:rPr>
  </w:style>
  <w:style w:type="character" w:styleId="FollowedHyperlink">
    <w:name w:val="FollowedHyperlink"/>
    <w:uiPriority w:val="99"/>
    <w:semiHidden/>
    <w:rsid w:val="00014566"/>
    <w:rPr>
      <w:color w:val="800080"/>
      <w:u w:val="single"/>
    </w:rPr>
  </w:style>
  <w:style w:type="paragraph" w:styleId="DocumentMap">
    <w:name w:val="Document Map"/>
    <w:basedOn w:val="Normal"/>
    <w:link w:val="DocumentMapChar"/>
    <w:uiPriority w:val="99"/>
    <w:semiHidden/>
    <w:rsid w:val="00014566"/>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014566"/>
    <w:rPr>
      <w:rFonts w:ascii="Tahoma" w:eastAsiaTheme="minorEastAsia" w:hAnsi="Tahoma" w:cs="Tahoma"/>
      <w:sz w:val="20"/>
      <w:shd w:val="clear" w:color="auto" w:fill="000080"/>
    </w:rPr>
  </w:style>
  <w:style w:type="paragraph" w:customStyle="1" w:styleId="OpiHA0">
    <w:name w:val="Opi_H_A"/>
    <w:basedOn w:val="ECHRHeading1"/>
    <w:next w:val="OpiPara"/>
    <w:uiPriority w:val="41"/>
    <w:qFormat/>
    <w:rsid w:val="00660528"/>
    <w:pPr>
      <w:tabs>
        <w:tab w:val="clear" w:pos="357"/>
      </w:tabs>
      <w:outlineLvl w:val="1"/>
    </w:pPr>
    <w:rPr>
      <w:b/>
    </w:rPr>
  </w:style>
  <w:style w:type="paragraph" w:styleId="ListBullet">
    <w:name w:val="List Bullet"/>
    <w:basedOn w:val="Normal"/>
    <w:uiPriority w:val="99"/>
    <w:semiHidden/>
    <w:rsid w:val="00014566"/>
    <w:pPr>
      <w:numPr>
        <w:numId w:val="1"/>
      </w:numPr>
    </w:pPr>
  </w:style>
  <w:style w:type="character" w:customStyle="1" w:styleId="JuITMark">
    <w:name w:val="Ju_ITMark"/>
    <w:basedOn w:val="DefaultParagraphFont"/>
    <w:uiPriority w:val="38"/>
    <w:qFormat/>
    <w:rsid w:val="00660528"/>
    <w:rPr>
      <w:vanish w:val="0"/>
      <w:color w:val="auto"/>
      <w:sz w:val="14"/>
      <w:bdr w:val="none" w:sz="0" w:space="0" w:color="auto"/>
      <w:shd w:val="clear" w:color="auto" w:fill="BEE5FF" w:themeFill="background1" w:themeFillTint="33"/>
    </w:rPr>
  </w:style>
  <w:style w:type="paragraph" w:styleId="Subtitle">
    <w:name w:val="Subtitle"/>
    <w:basedOn w:val="Normal"/>
    <w:next w:val="Normal"/>
    <w:link w:val="SubtitleChar"/>
    <w:uiPriority w:val="99"/>
    <w:semiHidden/>
    <w:qFormat/>
    <w:rsid w:val="00660528"/>
    <w:pPr>
      <w:spacing w:after="600"/>
    </w:pPr>
    <w:rPr>
      <w:rFonts w:asciiTheme="majorHAnsi" w:eastAsiaTheme="majorEastAsia" w:hAnsiTheme="majorHAnsi" w:cstheme="majorBidi"/>
      <w:i/>
      <w:iCs/>
      <w:spacing w:val="13"/>
      <w:szCs w:val="24"/>
      <w:lang w:val="en-US" w:bidi="en-US"/>
    </w:rPr>
  </w:style>
  <w:style w:type="character" w:customStyle="1" w:styleId="SubtitleChar">
    <w:name w:val="Subtitle Char"/>
    <w:basedOn w:val="DefaultParagraphFont"/>
    <w:link w:val="Subtitle"/>
    <w:uiPriority w:val="99"/>
    <w:semiHidden/>
    <w:rsid w:val="00660528"/>
    <w:rPr>
      <w:rFonts w:asciiTheme="majorHAnsi" w:eastAsiaTheme="majorEastAsia" w:hAnsiTheme="majorHAnsi" w:cstheme="majorBidi"/>
      <w:i/>
      <w:iCs/>
      <w:spacing w:val="13"/>
      <w:sz w:val="24"/>
      <w:szCs w:val="24"/>
      <w:lang w:bidi="en-US"/>
    </w:rPr>
  </w:style>
  <w:style w:type="numbering" w:styleId="111111">
    <w:name w:val="Outline List 2"/>
    <w:basedOn w:val="NoList"/>
    <w:uiPriority w:val="99"/>
    <w:semiHidden/>
    <w:rsid w:val="00014566"/>
    <w:pPr>
      <w:numPr>
        <w:numId w:val="2"/>
      </w:numPr>
    </w:pPr>
  </w:style>
  <w:style w:type="numbering" w:styleId="1ai">
    <w:name w:val="Outline List 1"/>
    <w:basedOn w:val="NoList"/>
    <w:uiPriority w:val="99"/>
    <w:semiHidden/>
    <w:rsid w:val="00014566"/>
    <w:pPr>
      <w:numPr>
        <w:numId w:val="3"/>
      </w:numPr>
    </w:pPr>
  </w:style>
  <w:style w:type="numbering" w:styleId="ArticleSection">
    <w:name w:val="Outline List 3"/>
    <w:basedOn w:val="NoList"/>
    <w:uiPriority w:val="99"/>
    <w:semiHidden/>
    <w:rsid w:val="00014566"/>
    <w:pPr>
      <w:numPr>
        <w:numId w:val="4"/>
      </w:numPr>
    </w:pPr>
  </w:style>
  <w:style w:type="paragraph" w:styleId="Bibliography">
    <w:name w:val="Bibliography"/>
    <w:basedOn w:val="Normal"/>
    <w:next w:val="Normal"/>
    <w:uiPriority w:val="99"/>
    <w:semiHidden/>
    <w:unhideWhenUsed/>
    <w:rsid w:val="00014566"/>
  </w:style>
  <w:style w:type="paragraph" w:styleId="BlockText">
    <w:name w:val="Block Text"/>
    <w:basedOn w:val="Normal"/>
    <w:uiPriority w:val="99"/>
    <w:semiHidden/>
    <w:rsid w:val="00014566"/>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BodyText">
    <w:name w:val="Body Text"/>
    <w:basedOn w:val="Normal"/>
    <w:link w:val="BodyTextChar"/>
    <w:uiPriority w:val="99"/>
    <w:semiHidden/>
    <w:rsid w:val="00014566"/>
    <w:pPr>
      <w:spacing w:after="120"/>
    </w:pPr>
  </w:style>
  <w:style w:type="character" w:customStyle="1" w:styleId="BodyTextChar">
    <w:name w:val="Body Text Char"/>
    <w:basedOn w:val="DefaultParagraphFont"/>
    <w:link w:val="BodyText"/>
    <w:uiPriority w:val="99"/>
    <w:semiHidden/>
    <w:rsid w:val="00014566"/>
    <w:rPr>
      <w:rFonts w:eastAsiaTheme="minorEastAsia"/>
      <w:sz w:val="24"/>
    </w:rPr>
  </w:style>
  <w:style w:type="paragraph" w:styleId="BodyText2">
    <w:name w:val="Body Text 2"/>
    <w:basedOn w:val="Normal"/>
    <w:link w:val="BodyText2Char"/>
    <w:uiPriority w:val="99"/>
    <w:semiHidden/>
    <w:rsid w:val="00014566"/>
    <w:pPr>
      <w:spacing w:after="120" w:line="480" w:lineRule="auto"/>
    </w:pPr>
  </w:style>
  <w:style w:type="character" w:customStyle="1" w:styleId="BodyText2Char">
    <w:name w:val="Body Text 2 Char"/>
    <w:basedOn w:val="DefaultParagraphFont"/>
    <w:link w:val="BodyText2"/>
    <w:uiPriority w:val="99"/>
    <w:semiHidden/>
    <w:rsid w:val="00014566"/>
    <w:rPr>
      <w:rFonts w:eastAsiaTheme="minorEastAsia"/>
      <w:sz w:val="24"/>
    </w:rPr>
  </w:style>
  <w:style w:type="paragraph" w:styleId="BodyText3">
    <w:name w:val="Body Text 3"/>
    <w:basedOn w:val="Normal"/>
    <w:link w:val="BodyText3Char"/>
    <w:uiPriority w:val="99"/>
    <w:semiHidden/>
    <w:rsid w:val="00014566"/>
    <w:pPr>
      <w:spacing w:after="120"/>
    </w:pPr>
    <w:rPr>
      <w:sz w:val="16"/>
      <w:szCs w:val="16"/>
    </w:rPr>
  </w:style>
  <w:style w:type="character" w:customStyle="1" w:styleId="BodyText3Char">
    <w:name w:val="Body Text 3 Char"/>
    <w:basedOn w:val="DefaultParagraphFont"/>
    <w:link w:val="BodyText3"/>
    <w:uiPriority w:val="99"/>
    <w:semiHidden/>
    <w:rsid w:val="00014566"/>
    <w:rPr>
      <w:rFonts w:eastAsiaTheme="minorEastAsia"/>
      <w:sz w:val="16"/>
      <w:szCs w:val="16"/>
    </w:rPr>
  </w:style>
  <w:style w:type="paragraph" w:styleId="BodyTextFirstIndent">
    <w:name w:val="Body Text First Indent"/>
    <w:basedOn w:val="BodyText"/>
    <w:link w:val="BodyTextFirstIndentChar"/>
    <w:uiPriority w:val="99"/>
    <w:semiHidden/>
    <w:rsid w:val="00014566"/>
    <w:pPr>
      <w:spacing w:after="0"/>
      <w:ind w:firstLine="360"/>
    </w:pPr>
  </w:style>
  <w:style w:type="character" w:customStyle="1" w:styleId="BodyTextFirstIndentChar">
    <w:name w:val="Body Text First Indent Char"/>
    <w:basedOn w:val="BodyTextChar"/>
    <w:link w:val="BodyTextFirstIndent"/>
    <w:uiPriority w:val="99"/>
    <w:semiHidden/>
    <w:rsid w:val="00014566"/>
    <w:rPr>
      <w:rFonts w:eastAsiaTheme="minorEastAsia"/>
      <w:sz w:val="24"/>
    </w:rPr>
  </w:style>
  <w:style w:type="paragraph" w:styleId="BodyTextIndent">
    <w:name w:val="Body Text Indent"/>
    <w:basedOn w:val="Normal"/>
    <w:link w:val="BodyTextIndentChar"/>
    <w:uiPriority w:val="99"/>
    <w:semiHidden/>
    <w:rsid w:val="00014566"/>
    <w:pPr>
      <w:spacing w:after="120"/>
      <w:ind w:left="283"/>
    </w:pPr>
  </w:style>
  <w:style w:type="character" w:customStyle="1" w:styleId="BodyTextIndentChar">
    <w:name w:val="Body Text Indent Char"/>
    <w:basedOn w:val="DefaultParagraphFont"/>
    <w:link w:val="BodyTextIndent"/>
    <w:uiPriority w:val="99"/>
    <w:semiHidden/>
    <w:rsid w:val="00014566"/>
    <w:rPr>
      <w:rFonts w:eastAsiaTheme="minorEastAsia"/>
      <w:sz w:val="24"/>
    </w:rPr>
  </w:style>
  <w:style w:type="paragraph" w:styleId="BodyTextFirstIndent2">
    <w:name w:val="Body Text First Indent 2"/>
    <w:basedOn w:val="BodyTextIndent"/>
    <w:link w:val="BodyTextFirstIndent2Char"/>
    <w:uiPriority w:val="99"/>
    <w:semiHidden/>
    <w:rsid w:val="00014566"/>
    <w:pPr>
      <w:spacing w:after="0"/>
      <w:ind w:left="360" w:firstLine="360"/>
    </w:pPr>
  </w:style>
  <w:style w:type="character" w:customStyle="1" w:styleId="BodyTextFirstIndent2Char">
    <w:name w:val="Body Text First Indent 2 Char"/>
    <w:basedOn w:val="BodyTextIndentChar"/>
    <w:link w:val="BodyTextFirstIndent2"/>
    <w:uiPriority w:val="99"/>
    <w:semiHidden/>
    <w:rsid w:val="00014566"/>
    <w:rPr>
      <w:rFonts w:eastAsiaTheme="minorEastAsia"/>
      <w:sz w:val="24"/>
    </w:rPr>
  </w:style>
  <w:style w:type="paragraph" w:styleId="BodyTextIndent2">
    <w:name w:val="Body Text Indent 2"/>
    <w:basedOn w:val="Normal"/>
    <w:link w:val="BodyTextIndent2Char"/>
    <w:uiPriority w:val="99"/>
    <w:semiHidden/>
    <w:rsid w:val="00014566"/>
    <w:pPr>
      <w:spacing w:after="120" w:line="480" w:lineRule="auto"/>
      <w:ind w:left="283"/>
    </w:pPr>
  </w:style>
  <w:style w:type="character" w:customStyle="1" w:styleId="BodyTextIndent2Char">
    <w:name w:val="Body Text Indent 2 Char"/>
    <w:basedOn w:val="DefaultParagraphFont"/>
    <w:link w:val="BodyTextIndent2"/>
    <w:uiPriority w:val="99"/>
    <w:semiHidden/>
    <w:rsid w:val="00014566"/>
    <w:rPr>
      <w:rFonts w:eastAsiaTheme="minorEastAsia"/>
      <w:sz w:val="24"/>
    </w:rPr>
  </w:style>
  <w:style w:type="paragraph" w:styleId="BodyTextIndent3">
    <w:name w:val="Body Text Indent 3"/>
    <w:basedOn w:val="Normal"/>
    <w:link w:val="BodyTextIndent3Char"/>
    <w:uiPriority w:val="99"/>
    <w:semiHidden/>
    <w:rsid w:val="0001456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14566"/>
    <w:rPr>
      <w:rFonts w:eastAsiaTheme="minorEastAsia"/>
      <w:sz w:val="16"/>
      <w:szCs w:val="16"/>
    </w:rPr>
  </w:style>
  <w:style w:type="paragraph" w:styleId="Caption">
    <w:name w:val="caption"/>
    <w:basedOn w:val="Normal"/>
    <w:next w:val="Normal"/>
    <w:uiPriority w:val="99"/>
    <w:semiHidden/>
    <w:qFormat/>
    <w:rsid w:val="00014566"/>
    <w:pPr>
      <w:spacing w:after="200"/>
    </w:pPr>
    <w:rPr>
      <w:b/>
      <w:bCs/>
      <w:color w:val="0072BC" w:themeColor="accent1"/>
      <w:sz w:val="18"/>
      <w:szCs w:val="18"/>
    </w:rPr>
  </w:style>
  <w:style w:type="paragraph" w:styleId="Closing">
    <w:name w:val="Closing"/>
    <w:basedOn w:val="Normal"/>
    <w:link w:val="ClosingChar"/>
    <w:uiPriority w:val="99"/>
    <w:semiHidden/>
    <w:rsid w:val="00014566"/>
    <w:pPr>
      <w:ind w:left="4252"/>
    </w:pPr>
  </w:style>
  <w:style w:type="character" w:customStyle="1" w:styleId="ClosingChar">
    <w:name w:val="Closing Char"/>
    <w:basedOn w:val="DefaultParagraphFont"/>
    <w:link w:val="Closing"/>
    <w:uiPriority w:val="99"/>
    <w:semiHidden/>
    <w:rsid w:val="00014566"/>
    <w:rPr>
      <w:rFonts w:eastAsiaTheme="minorEastAsia"/>
      <w:sz w:val="24"/>
    </w:rPr>
  </w:style>
  <w:style w:type="table" w:styleId="ColorfulGrid">
    <w:name w:val="Colorful Grid"/>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99"/>
    <w:semiHidden/>
    <w:rsid w:val="00014566"/>
    <w:rPr>
      <w:color w:val="000000" w:themeColor="text1"/>
      <w:lang w:val="fr-FR" w:eastAsia="fr-FR"/>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rsid w:val="00014566"/>
    <w:rPr>
      <w:color w:val="000000" w:themeColor="text1"/>
      <w:lang w:val="fr-FR" w:eastAsia="fr-FR"/>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99"/>
    <w:semiHidden/>
    <w:rsid w:val="00014566"/>
    <w:rPr>
      <w:color w:val="000000" w:themeColor="text1"/>
      <w:lang w:val="fr-FR" w:eastAsia="fr-FR"/>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99"/>
    <w:semiHidden/>
    <w:rsid w:val="00014566"/>
    <w:rPr>
      <w:color w:val="000000" w:themeColor="text1"/>
      <w:lang w:val="fr-FR" w:eastAsia="fr-FR"/>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99"/>
    <w:semiHidden/>
    <w:rsid w:val="00014566"/>
    <w:rPr>
      <w:color w:val="000000" w:themeColor="text1"/>
      <w:lang w:val="fr-FR" w:eastAsia="fr-FR"/>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99"/>
    <w:semiHidden/>
    <w:rsid w:val="00014566"/>
    <w:rPr>
      <w:color w:val="000000" w:themeColor="text1"/>
      <w:lang w:val="fr-FR" w:eastAsia="fr-FR"/>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99"/>
    <w:semiHidden/>
    <w:rsid w:val="00014566"/>
    <w:rPr>
      <w:color w:val="000000" w:themeColor="text1"/>
      <w:lang w:val="fr-FR" w:eastAsia="fr-FR"/>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99"/>
    <w:semiHidden/>
    <w:rsid w:val="00014566"/>
    <w:rPr>
      <w:color w:val="000000" w:themeColor="text1"/>
      <w:lang w:val="fr-FR" w:eastAsia="fr-FR"/>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rsid w:val="00014566"/>
    <w:rPr>
      <w:color w:val="000000" w:themeColor="text1"/>
      <w:lang w:val="fr-FR" w:eastAsia="fr-FR"/>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rsid w:val="00014566"/>
    <w:rPr>
      <w:color w:val="000000" w:themeColor="text1"/>
      <w:lang w:val="fr-FR" w:eastAsia="fr-FR"/>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rsid w:val="00014566"/>
    <w:rPr>
      <w:color w:val="000000" w:themeColor="text1"/>
      <w:lang w:val="fr-FR" w:eastAsia="fr-FR"/>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99"/>
    <w:semiHidden/>
    <w:rsid w:val="00014566"/>
    <w:rPr>
      <w:color w:val="000000" w:themeColor="text1"/>
      <w:lang w:val="fr-FR" w:eastAsia="fr-FR"/>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rsid w:val="00014566"/>
    <w:rPr>
      <w:color w:val="000000" w:themeColor="text1"/>
      <w:lang w:val="fr-FR" w:eastAsia="fr-FR"/>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rsid w:val="00014566"/>
    <w:rPr>
      <w:color w:val="000000" w:themeColor="text1"/>
      <w:lang w:val="fr-FR" w:eastAsia="fr-FR"/>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99"/>
    <w:semiHidden/>
    <w:rsid w:val="00014566"/>
    <w:rPr>
      <w:color w:val="0072BC" w:themeColor="background1"/>
      <w:lang w:val="fr-FR" w:eastAsia="fr-FR"/>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rsid w:val="00014566"/>
    <w:rPr>
      <w:color w:val="0072BC" w:themeColor="background1"/>
      <w:lang w:val="fr-FR" w:eastAsia="fr-FR"/>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99"/>
    <w:semiHidden/>
    <w:rsid w:val="00014566"/>
    <w:rPr>
      <w:color w:val="0072BC" w:themeColor="background1"/>
      <w:lang w:val="fr-FR" w:eastAsia="fr-FR"/>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99"/>
    <w:semiHidden/>
    <w:rsid w:val="00014566"/>
    <w:rPr>
      <w:color w:val="0072BC" w:themeColor="background1"/>
      <w:lang w:val="fr-FR" w:eastAsia="fr-FR"/>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99"/>
    <w:semiHidden/>
    <w:rsid w:val="00014566"/>
    <w:rPr>
      <w:color w:val="0072BC" w:themeColor="background1"/>
      <w:lang w:val="fr-FR" w:eastAsia="fr-FR"/>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99"/>
    <w:semiHidden/>
    <w:rsid w:val="00014566"/>
    <w:rPr>
      <w:color w:val="0072BC" w:themeColor="background1"/>
      <w:lang w:val="fr-FR" w:eastAsia="fr-FR"/>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99"/>
    <w:semiHidden/>
    <w:rsid w:val="00014566"/>
    <w:rPr>
      <w:color w:val="0072BC" w:themeColor="background1"/>
      <w:lang w:val="fr-FR" w:eastAsia="fr-FR"/>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rsid w:val="00014566"/>
  </w:style>
  <w:style w:type="character" w:customStyle="1" w:styleId="DateChar">
    <w:name w:val="Date Char"/>
    <w:basedOn w:val="DefaultParagraphFont"/>
    <w:link w:val="Date"/>
    <w:uiPriority w:val="99"/>
    <w:semiHidden/>
    <w:rsid w:val="00014566"/>
    <w:rPr>
      <w:rFonts w:eastAsiaTheme="minorEastAsia"/>
      <w:sz w:val="24"/>
    </w:rPr>
  </w:style>
  <w:style w:type="paragraph" w:styleId="E-mailSignature">
    <w:name w:val="E-mail Signature"/>
    <w:basedOn w:val="Normal"/>
    <w:link w:val="E-mailSignatureChar"/>
    <w:uiPriority w:val="99"/>
    <w:semiHidden/>
    <w:rsid w:val="00014566"/>
  </w:style>
  <w:style w:type="character" w:customStyle="1" w:styleId="E-mailSignatureChar">
    <w:name w:val="E-mail Signature Char"/>
    <w:basedOn w:val="DefaultParagraphFont"/>
    <w:link w:val="E-mailSignature"/>
    <w:uiPriority w:val="99"/>
    <w:semiHidden/>
    <w:rsid w:val="00014566"/>
    <w:rPr>
      <w:rFonts w:eastAsiaTheme="minorEastAsia"/>
      <w:sz w:val="24"/>
    </w:rPr>
  </w:style>
  <w:style w:type="paragraph" w:styleId="EnvelopeAddress">
    <w:name w:val="envelope address"/>
    <w:basedOn w:val="Normal"/>
    <w:uiPriority w:val="99"/>
    <w:semiHidden/>
    <w:rsid w:val="00014566"/>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EnvelopeReturn">
    <w:name w:val="envelope return"/>
    <w:basedOn w:val="Normal"/>
    <w:uiPriority w:val="99"/>
    <w:semiHidden/>
    <w:rsid w:val="00014566"/>
    <w:rPr>
      <w:rFonts w:asciiTheme="majorHAnsi" w:eastAsiaTheme="majorEastAsia" w:hAnsiTheme="majorHAnsi" w:cstheme="majorBidi"/>
      <w:sz w:val="20"/>
      <w:szCs w:val="20"/>
    </w:rPr>
  </w:style>
  <w:style w:type="character" w:styleId="HTMLAcronym">
    <w:name w:val="HTML Acronym"/>
    <w:basedOn w:val="DefaultParagraphFont"/>
    <w:uiPriority w:val="99"/>
    <w:semiHidden/>
    <w:rsid w:val="00014566"/>
  </w:style>
  <w:style w:type="paragraph" w:styleId="HTMLAddress">
    <w:name w:val="HTML Address"/>
    <w:basedOn w:val="Normal"/>
    <w:link w:val="HTMLAddressChar"/>
    <w:uiPriority w:val="99"/>
    <w:semiHidden/>
    <w:rsid w:val="00014566"/>
    <w:rPr>
      <w:i/>
      <w:iCs/>
    </w:rPr>
  </w:style>
  <w:style w:type="character" w:customStyle="1" w:styleId="HTMLAddressChar">
    <w:name w:val="HTML Address Char"/>
    <w:basedOn w:val="DefaultParagraphFont"/>
    <w:link w:val="HTMLAddress"/>
    <w:uiPriority w:val="99"/>
    <w:semiHidden/>
    <w:rsid w:val="00014566"/>
    <w:rPr>
      <w:rFonts w:eastAsiaTheme="minorEastAsia"/>
      <w:i/>
      <w:iCs/>
      <w:sz w:val="24"/>
    </w:rPr>
  </w:style>
  <w:style w:type="character" w:styleId="HTMLCite">
    <w:name w:val="HTML Cite"/>
    <w:basedOn w:val="DefaultParagraphFont"/>
    <w:uiPriority w:val="99"/>
    <w:semiHidden/>
    <w:rsid w:val="00014566"/>
    <w:rPr>
      <w:i/>
      <w:iCs/>
    </w:rPr>
  </w:style>
  <w:style w:type="character" w:styleId="HTMLCode">
    <w:name w:val="HTML Code"/>
    <w:basedOn w:val="DefaultParagraphFont"/>
    <w:uiPriority w:val="99"/>
    <w:semiHidden/>
    <w:rsid w:val="00014566"/>
    <w:rPr>
      <w:rFonts w:ascii="Consolas" w:hAnsi="Consolas" w:cs="Consolas"/>
      <w:sz w:val="20"/>
      <w:szCs w:val="20"/>
    </w:rPr>
  </w:style>
  <w:style w:type="character" w:styleId="HTMLDefinition">
    <w:name w:val="HTML Definition"/>
    <w:basedOn w:val="DefaultParagraphFont"/>
    <w:uiPriority w:val="99"/>
    <w:semiHidden/>
    <w:rsid w:val="00014566"/>
    <w:rPr>
      <w:i/>
      <w:iCs/>
    </w:rPr>
  </w:style>
  <w:style w:type="character" w:styleId="HTMLKeyboard">
    <w:name w:val="HTML Keyboard"/>
    <w:basedOn w:val="DefaultParagraphFont"/>
    <w:uiPriority w:val="99"/>
    <w:semiHidden/>
    <w:rsid w:val="00014566"/>
    <w:rPr>
      <w:rFonts w:ascii="Consolas" w:hAnsi="Consolas" w:cs="Consolas"/>
      <w:sz w:val="20"/>
      <w:szCs w:val="20"/>
    </w:rPr>
  </w:style>
  <w:style w:type="paragraph" w:styleId="HTMLPreformatted">
    <w:name w:val="HTML Preformatted"/>
    <w:basedOn w:val="Normal"/>
    <w:link w:val="HTMLPreformattedChar"/>
    <w:uiPriority w:val="99"/>
    <w:semiHidden/>
    <w:rsid w:val="00014566"/>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014566"/>
    <w:rPr>
      <w:rFonts w:ascii="Consolas" w:eastAsiaTheme="minorEastAsia" w:hAnsi="Consolas" w:cs="Consolas"/>
      <w:sz w:val="20"/>
      <w:szCs w:val="20"/>
    </w:rPr>
  </w:style>
  <w:style w:type="character" w:styleId="HTMLSample">
    <w:name w:val="HTML Sample"/>
    <w:basedOn w:val="DefaultParagraphFont"/>
    <w:uiPriority w:val="99"/>
    <w:semiHidden/>
    <w:rsid w:val="00014566"/>
    <w:rPr>
      <w:rFonts w:ascii="Consolas" w:hAnsi="Consolas" w:cs="Consolas"/>
      <w:sz w:val="24"/>
      <w:szCs w:val="24"/>
    </w:rPr>
  </w:style>
  <w:style w:type="character" w:styleId="HTMLTypewriter">
    <w:name w:val="HTML Typewriter"/>
    <w:basedOn w:val="DefaultParagraphFont"/>
    <w:uiPriority w:val="99"/>
    <w:semiHidden/>
    <w:rsid w:val="00014566"/>
    <w:rPr>
      <w:rFonts w:ascii="Consolas" w:hAnsi="Consolas" w:cs="Consolas"/>
      <w:sz w:val="20"/>
      <w:szCs w:val="20"/>
    </w:rPr>
  </w:style>
  <w:style w:type="character" w:styleId="HTMLVariable">
    <w:name w:val="HTML Variable"/>
    <w:basedOn w:val="DefaultParagraphFont"/>
    <w:uiPriority w:val="99"/>
    <w:semiHidden/>
    <w:rsid w:val="00014566"/>
    <w:rPr>
      <w:i/>
      <w:iCs/>
    </w:rPr>
  </w:style>
  <w:style w:type="paragraph" w:styleId="Index1">
    <w:name w:val="index 1"/>
    <w:basedOn w:val="Normal"/>
    <w:next w:val="Normal"/>
    <w:autoRedefine/>
    <w:uiPriority w:val="99"/>
    <w:semiHidden/>
    <w:rsid w:val="00014566"/>
    <w:pPr>
      <w:ind w:left="240" w:hanging="240"/>
    </w:pPr>
  </w:style>
  <w:style w:type="paragraph" w:styleId="Index2">
    <w:name w:val="index 2"/>
    <w:basedOn w:val="Normal"/>
    <w:next w:val="Normal"/>
    <w:autoRedefine/>
    <w:uiPriority w:val="99"/>
    <w:semiHidden/>
    <w:rsid w:val="00014566"/>
    <w:pPr>
      <w:ind w:left="480" w:hanging="240"/>
    </w:pPr>
  </w:style>
  <w:style w:type="paragraph" w:styleId="Index3">
    <w:name w:val="index 3"/>
    <w:basedOn w:val="Normal"/>
    <w:next w:val="Normal"/>
    <w:autoRedefine/>
    <w:uiPriority w:val="99"/>
    <w:semiHidden/>
    <w:rsid w:val="00014566"/>
    <w:pPr>
      <w:ind w:left="720" w:hanging="240"/>
    </w:pPr>
  </w:style>
  <w:style w:type="paragraph" w:styleId="Index4">
    <w:name w:val="index 4"/>
    <w:basedOn w:val="Normal"/>
    <w:next w:val="Normal"/>
    <w:autoRedefine/>
    <w:uiPriority w:val="99"/>
    <w:semiHidden/>
    <w:rsid w:val="00014566"/>
    <w:pPr>
      <w:ind w:left="960" w:hanging="240"/>
    </w:pPr>
  </w:style>
  <w:style w:type="paragraph" w:styleId="Index5">
    <w:name w:val="index 5"/>
    <w:basedOn w:val="Normal"/>
    <w:next w:val="Normal"/>
    <w:autoRedefine/>
    <w:uiPriority w:val="99"/>
    <w:semiHidden/>
    <w:rsid w:val="00014566"/>
    <w:pPr>
      <w:ind w:left="1200" w:hanging="240"/>
    </w:pPr>
  </w:style>
  <w:style w:type="paragraph" w:styleId="Index6">
    <w:name w:val="index 6"/>
    <w:basedOn w:val="Normal"/>
    <w:next w:val="Normal"/>
    <w:autoRedefine/>
    <w:uiPriority w:val="99"/>
    <w:semiHidden/>
    <w:rsid w:val="00014566"/>
    <w:pPr>
      <w:ind w:left="1440" w:hanging="240"/>
    </w:pPr>
  </w:style>
  <w:style w:type="paragraph" w:styleId="Index7">
    <w:name w:val="index 7"/>
    <w:basedOn w:val="Normal"/>
    <w:next w:val="Normal"/>
    <w:autoRedefine/>
    <w:uiPriority w:val="99"/>
    <w:semiHidden/>
    <w:rsid w:val="00014566"/>
    <w:pPr>
      <w:ind w:left="1680" w:hanging="240"/>
    </w:pPr>
  </w:style>
  <w:style w:type="paragraph" w:styleId="Index8">
    <w:name w:val="index 8"/>
    <w:basedOn w:val="Normal"/>
    <w:next w:val="Normal"/>
    <w:autoRedefine/>
    <w:uiPriority w:val="99"/>
    <w:semiHidden/>
    <w:rsid w:val="00014566"/>
    <w:pPr>
      <w:ind w:left="1920" w:hanging="240"/>
    </w:pPr>
  </w:style>
  <w:style w:type="paragraph" w:styleId="Index9">
    <w:name w:val="index 9"/>
    <w:basedOn w:val="Normal"/>
    <w:next w:val="Normal"/>
    <w:autoRedefine/>
    <w:uiPriority w:val="99"/>
    <w:semiHidden/>
    <w:rsid w:val="00014566"/>
    <w:pPr>
      <w:ind w:left="2160" w:hanging="240"/>
    </w:pPr>
  </w:style>
  <w:style w:type="paragraph" w:styleId="IndexHeading">
    <w:name w:val="index heading"/>
    <w:basedOn w:val="Normal"/>
    <w:next w:val="Index1"/>
    <w:uiPriority w:val="99"/>
    <w:semiHidden/>
    <w:rsid w:val="00014566"/>
    <w:rPr>
      <w:rFonts w:asciiTheme="majorHAnsi" w:eastAsiaTheme="majorEastAsia" w:hAnsiTheme="majorHAnsi" w:cstheme="majorBidi"/>
      <w:b/>
      <w:bCs/>
    </w:rPr>
  </w:style>
  <w:style w:type="table" w:styleId="LightGrid">
    <w:name w:val="Light Grid"/>
    <w:basedOn w:val="TableNormal"/>
    <w:uiPriority w:val="99"/>
    <w:semiHidden/>
    <w:rsid w:val="00014566"/>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rsid w:val="00014566"/>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99"/>
    <w:semiHidden/>
    <w:rsid w:val="00014566"/>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99"/>
    <w:semiHidden/>
    <w:rsid w:val="00014566"/>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99"/>
    <w:semiHidden/>
    <w:rsid w:val="00014566"/>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99"/>
    <w:semiHidden/>
    <w:rsid w:val="00014566"/>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99"/>
    <w:semiHidden/>
    <w:rsid w:val="00014566"/>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99"/>
    <w:semiHidden/>
    <w:rsid w:val="00014566"/>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rsid w:val="00014566"/>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99"/>
    <w:semiHidden/>
    <w:rsid w:val="00014566"/>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99"/>
    <w:semiHidden/>
    <w:rsid w:val="00014566"/>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99"/>
    <w:semiHidden/>
    <w:rsid w:val="00014566"/>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99"/>
    <w:semiHidden/>
    <w:rsid w:val="00014566"/>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99"/>
    <w:semiHidden/>
    <w:rsid w:val="00014566"/>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99"/>
    <w:semiHidden/>
    <w:rsid w:val="00014566"/>
    <w:rPr>
      <w:color w:val="000000" w:themeColor="text1" w:themeShade="BF"/>
      <w:lang w:val="fr-FR" w:eastAsia="fr-F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rsid w:val="00014566"/>
    <w:rPr>
      <w:color w:val="00548C" w:themeColor="accent1" w:themeShade="BF"/>
      <w:lang w:val="fr-FR" w:eastAsia="fr-FR"/>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99"/>
    <w:semiHidden/>
    <w:rsid w:val="00014566"/>
    <w:rPr>
      <w:color w:val="8F0000" w:themeColor="accent2" w:themeShade="BF"/>
      <w:lang w:val="fr-FR" w:eastAsia="fr-FR"/>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99"/>
    <w:semiHidden/>
    <w:rsid w:val="00014566"/>
    <w:rPr>
      <w:color w:val="474747" w:themeColor="accent3" w:themeShade="BF"/>
      <w:lang w:val="fr-FR" w:eastAsia="fr-FR"/>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99"/>
    <w:semiHidden/>
    <w:rsid w:val="00014566"/>
    <w:rPr>
      <w:color w:val="707070" w:themeColor="accent4" w:themeShade="BF"/>
      <w:lang w:val="fr-FR" w:eastAsia="fr-FR"/>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99"/>
    <w:semiHidden/>
    <w:rsid w:val="00014566"/>
    <w:rPr>
      <w:color w:val="474747" w:themeColor="accent5" w:themeShade="BF"/>
      <w:lang w:val="fr-FR" w:eastAsia="fr-FR"/>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99"/>
    <w:semiHidden/>
    <w:rsid w:val="00014566"/>
    <w:rPr>
      <w:color w:val="393939" w:themeColor="accent6" w:themeShade="BF"/>
      <w:lang w:val="fr-FR" w:eastAsia="fr-FR"/>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rsid w:val="00014566"/>
  </w:style>
  <w:style w:type="paragraph" w:styleId="List">
    <w:name w:val="List"/>
    <w:basedOn w:val="Normal"/>
    <w:uiPriority w:val="99"/>
    <w:semiHidden/>
    <w:rsid w:val="00014566"/>
    <w:pPr>
      <w:ind w:left="283" w:hanging="283"/>
      <w:contextualSpacing/>
    </w:pPr>
  </w:style>
  <w:style w:type="paragraph" w:styleId="List2">
    <w:name w:val="List 2"/>
    <w:basedOn w:val="Normal"/>
    <w:uiPriority w:val="99"/>
    <w:semiHidden/>
    <w:rsid w:val="00014566"/>
    <w:pPr>
      <w:ind w:left="566" w:hanging="283"/>
      <w:contextualSpacing/>
    </w:pPr>
  </w:style>
  <w:style w:type="paragraph" w:styleId="List3">
    <w:name w:val="List 3"/>
    <w:basedOn w:val="Normal"/>
    <w:uiPriority w:val="99"/>
    <w:semiHidden/>
    <w:rsid w:val="00014566"/>
    <w:pPr>
      <w:ind w:left="849" w:hanging="283"/>
      <w:contextualSpacing/>
    </w:pPr>
  </w:style>
  <w:style w:type="paragraph" w:styleId="List4">
    <w:name w:val="List 4"/>
    <w:basedOn w:val="Normal"/>
    <w:uiPriority w:val="99"/>
    <w:semiHidden/>
    <w:rsid w:val="00014566"/>
    <w:pPr>
      <w:ind w:left="1132" w:hanging="283"/>
      <w:contextualSpacing/>
    </w:pPr>
  </w:style>
  <w:style w:type="paragraph" w:styleId="List5">
    <w:name w:val="List 5"/>
    <w:basedOn w:val="Normal"/>
    <w:uiPriority w:val="99"/>
    <w:semiHidden/>
    <w:rsid w:val="00014566"/>
    <w:pPr>
      <w:ind w:left="1415" w:hanging="283"/>
      <w:contextualSpacing/>
    </w:pPr>
  </w:style>
  <w:style w:type="paragraph" w:styleId="ListBullet2">
    <w:name w:val="List Bullet 2"/>
    <w:basedOn w:val="Normal"/>
    <w:uiPriority w:val="99"/>
    <w:semiHidden/>
    <w:rsid w:val="00014566"/>
    <w:pPr>
      <w:numPr>
        <w:numId w:val="5"/>
      </w:numPr>
      <w:contextualSpacing/>
    </w:pPr>
  </w:style>
  <w:style w:type="paragraph" w:styleId="ListBullet3">
    <w:name w:val="List Bullet 3"/>
    <w:basedOn w:val="Normal"/>
    <w:uiPriority w:val="99"/>
    <w:semiHidden/>
    <w:rsid w:val="00014566"/>
    <w:pPr>
      <w:numPr>
        <w:numId w:val="6"/>
      </w:numPr>
      <w:contextualSpacing/>
    </w:pPr>
  </w:style>
  <w:style w:type="paragraph" w:styleId="ListBullet4">
    <w:name w:val="List Bullet 4"/>
    <w:basedOn w:val="Normal"/>
    <w:uiPriority w:val="99"/>
    <w:semiHidden/>
    <w:rsid w:val="00014566"/>
    <w:pPr>
      <w:numPr>
        <w:numId w:val="7"/>
      </w:numPr>
      <w:contextualSpacing/>
    </w:pPr>
  </w:style>
  <w:style w:type="paragraph" w:styleId="ListBullet5">
    <w:name w:val="List Bullet 5"/>
    <w:basedOn w:val="Normal"/>
    <w:uiPriority w:val="99"/>
    <w:semiHidden/>
    <w:rsid w:val="00014566"/>
    <w:pPr>
      <w:numPr>
        <w:numId w:val="8"/>
      </w:numPr>
      <w:contextualSpacing/>
    </w:pPr>
  </w:style>
  <w:style w:type="paragraph" w:styleId="ListContinue">
    <w:name w:val="List Continue"/>
    <w:basedOn w:val="Normal"/>
    <w:uiPriority w:val="99"/>
    <w:semiHidden/>
    <w:rsid w:val="00014566"/>
    <w:pPr>
      <w:spacing w:after="120"/>
      <w:ind w:left="283"/>
      <w:contextualSpacing/>
    </w:pPr>
  </w:style>
  <w:style w:type="paragraph" w:styleId="ListContinue2">
    <w:name w:val="List Continue 2"/>
    <w:basedOn w:val="Normal"/>
    <w:uiPriority w:val="99"/>
    <w:semiHidden/>
    <w:rsid w:val="00014566"/>
    <w:pPr>
      <w:spacing w:after="120"/>
      <w:ind w:left="566"/>
      <w:contextualSpacing/>
    </w:pPr>
  </w:style>
  <w:style w:type="paragraph" w:styleId="ListContinue3">
    <w:name w:val="List Continue 3"/>
    <w:basedOn w:val="Normal"/>
    <w:uiPriority w:val="99"/>
    <w:semiHidden/>
    <w:rsid w:val="00014566"/>
    <w:pPr>
      <w:spacing w:after="120"/>
      <w:ind w:left="849"/>
      <w:contextualSpacing/>
    </w:pPr>
  </w:style>
  <w:style w:type="paragraph" w:styleId="ListContinue4">
    <w:name w:val="List Continue 4"/>
    <w:basedOn w:val="Normal"/>
    <w:uiPriority w:val="99"/>
    <w:semiHidden/>
    <w:rsid w:val="00014566"/>
    <w:pPr>
      <w:spacing w:after="120"/>
      <w:ind w:left="1132"/>
      <w:contextualSpacing/>
    </w:pPr>
  </w:style>
  <w:style w:type="paragraph" w:styleId="ListContinue5">
    <w:name w:val="List Continue 5"/>
    <w:basedOn w:val="Normal"/>
    <w:uiPriority w:val="99"/>
    <w:semiHidden/>
    <w:rsid w:val="00014566"/>
    <w:pPr>
      <w:spacing w:after="120"/>
      <w:ind w:left="1415"/>
      <w:contextualSpacing/>
    </w:pPr>
  </w:style>
  <w:style w:type="paragraph" w:styleId="ListNumber">
    <w:name w:val="List Number"/>
    <w:basedOn w:val="Normal"/>
    <w:uiPriority w:val="99"/>
    <w:semiHidden/>
    <w:rsid w:val="00014566"/>
    <w:pPr>
      <w:numPr>
        <w:numId w:val="9"/>
      </w:numPr>
      <w:contextualSpacing/>
    </w:pPr>
  </w:style>
  <w:style w:type="paragraph" w:styleId="ListNumber2">
    <w:name w:val="List Number 2"/>
    <w:basedOn w:val="Normal"/>
    <w:uiPriority w:val="99"/>
    <w:semiHidden/>
    <w:rsid w:val="00014566"/>
    <w:pPr>
      <w:numPr>
        <w:numId w:val="10"/>
      </w:numPr>
      <w:contextualSpacing/>
    </w:pPr>
  </w:style>
  <w:style w:type="paragraph" w:styleId="ListNumber3">
    <w:name w:val="List Number 3"/>
    <w:basedOn w:val="Normal"/>
    <w:uiPriority w:val="99"/>
    <w:semiHidden/>
    <w:rsid w:val="00014566"/>
    <w:pPr>
      <w:numPr>
        <w:numId w:val="11"/>
      </w:numPr>
      <w:contextualSpacing/>
    </w:pPr>
  </w:style>
  <w:style w:type="paragraph" w:styleId="ListNumber4">
    <w:name w:val="List Number 4"/>
    <w:basedOn w:val="Normal"/>
    <w:uiPriority w:val="99"/>
    <w:semiHidden/>
    <w:rsid w:val="00014566"/>
    <w:pPr>
      <w:numPr>
        <w:numId w:val="12"/>
      </w:numPr>
      <w:contextualSpacing/>
    </w:pPr>
  </w:style>
  <w:style w:type="paragraph" w:styleId="ListNumber5">
    <w:name w:val="List Number 5"/>
    <w:basedOn w:val="Normal"/>
    <w:uiPriority w:val="99"/>
    <w:semiHidden/>
    <w:rsid w:val="00014566"/>
    <w:pPr>
      <w:numPr>
        <w:numId w:val="13"/>
      </w:numPr>
      <w:contextualSpacing/>
    </w:pPr>
  </w:style>
  <w:style w:type="paragraph" w:styleId="MacroText">
    <w:name w:val="macro"/>
    <w:link w:val="MacroTextChar"/>
    <w:uiPriority w:val="99"/>
    <w:semiHidden/>
    <w:rsid w:val="00014566"/>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cs="Consolas"/>
      <w:sz w:val="20"/>
      <w:szCs w:val="20"/>
      <w:lang w:val="en-GB" w:eastAsia="fr-FR"/>
    </w:rPr>
  </w:style>
  <w:style w:type="character" w:customStyle="1" w:styleId="MacroTextChar">
    <w:name w:val="Macro Text Char"/>
    <w:basedOn w:val="DefaultParagraphFont"/>
    <w:link w:val="MacroText"/>
    <w:uiPriority w:val="99"/>
    <w:semiHidden/>
    <w:rsid w:val="00014566"/>
    <w:rPr>
      <w:rFonts w:ascii="Consolas" w:hAnsi="Consolas" w:cs="Consolas"/>
      <w:sz w:val="20"/>
      <w:szCs w:val="20"/>
      <w:lang w:val="en-GB" w:eastAsia="fr-FR"/>
    </w:rPr>
  </w:style>
  <w:style w:type="table" w:styleId="MediumGrid1">
    <w:name w:val="Medium Grid 1"/>
    <w:basedOn w:val="TableNormal"/>
    <w:uiPriority w:val="99"/>
    <w:semiHidden/>
    <w:rsid w:val="00014566"/>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rsid w:val="00014566"/>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99"/>
    <w:semiHidden/>
    <w:rsid w:val="00014566"/>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99"/>
    <w:semiHidden/>
    <w:rsid w:val="00014566"/>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99"/>
    <w:semiHidden/>
    <w:rsid w:val="00014566"/>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99"/>
    <w:semiHidden/>
    <w:rsid w:val="00014566"/>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99"/>
    <w:semiHidden/>
    <w:rsid w:val="00014566"/>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99"/>
    <w:semiHidden/>
    <w:rsid w:val="00014566"/>
    <w:rPr>
      <w:color w:val="000000" w:themeColor="text1"/>
      <w:lang w:val="fr-FR" w:eastAsia="fr-FR"/>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rsid w:val="00014566"/>
    <w:rPr>
      <w:color w:val="000000" w:themeColor="text1"/>
      <w:lang w:val="fr-FR" w:eastAsia="fr-FR"/>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99"/>
    <w:semiHidden/>
    <w:rsid w:val="00014566"/>
    <w:rPr>
      <w:color w:val="000000" w:themeColor="text1"/>
      <w:lang w:val="fr-FR" w:eastAsia="fr-FR"/>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99"/>
    <w:semiHidden/>
    <w:rsid w:val="00014566"/>
    <w:rPr>
      <w:color w:val="000000" w:themeColor="text1"/>
      <w:lang w:val="fr-FR" w:eastAsia="fr-FR"/>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99"/>
    <w:semiHidden/>
    <w:rsid w:val="00014566"/>
    <w:rPr>
      <w:color w:val="000000" w:themeColor="text1"/>
      <w:lang w:val="fr-FR" w:eastAsia="fr-FR"/>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99"/>
    <w:semiHidden/>
    <w:rsid w:val="00014566"/>
    <w:rPr>
      <w:color w:val="000000" w:themeColor="text1"/>
      <w:lang w:val="fr-FR" w:eastAsia="fr-FR"/>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99"/>
    <w:semiHidden/>
    <w:rsid w:val="00014566"/>
    <w:rPr>
      <w:color w:val="000000" w:themeColor="text1"/>
      <w:lang w:val="fr-FR" w:eastAsia="fr-FR"/>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99"/>
    <w:semiHidden/>
    <w:rsid w:val="00014566"/>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rsid w:val="00014566"/>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rsid w:val="00014566"/>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rsid w:val="00014566"/>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rsid w:val="00014566"/>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rsid w:val="00014566"/>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rsid w:val="00014566"/>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01456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014566"/>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014566"/>
    <w:rPr>
      <w:rFonts w:ascii="Times New Roman" w:hAnsi="Times New Roman" w:cs="Times New Roman"/>
      <w:szCs w:val="24"/>
    </w:rPr>
  </w:style>
  <w:style w:type="paragraph" w:styleId="NormalIndent">
    <w:name w:val="Normal Indent"/>
    <w:basedOn w:val="Normal"/>
    <w:uiPriority w:val="99"/>
    <w:semiHidden/>
    <w:rsid w:val="00014566"/>
    <w:pPr>
      <w:ind w:left="720"/>
    </w:pPr>
  </w:style>
  <w:style w:type="paragraph" w:customStyle="1" w:styleId="OpiHi">
    <w:name w:val="Opi_H_i"/>
    <w:basedOn w:val="ECHRHeading4"/>
    <w:uiPriority w:val="44"/>
    <w:qFormat/>
    <w:rsid w:val="00660528"/>
    <w:pPr>
      <w:ind w:left="1037" w:hanging="357"/>
      <w:outlineLvl w:val="4"/>
    </w:pPr>
    <w:rPr>
      <w:b w:val="0"/>
      <w:i/>
    </w:rPr>
  </w:style>
  <w:style w:type="paragraph" w:customStyle="1" w:styleId="OpiPara">
    <w:name w:val="Opi_Para"/>
    <w:basedOn w:val="ECHRPara"/>
    <w:uiPriority w:val="46"/>
    <w:qFormat/>
    <w:rsid w:val="00660528"/>
  </w:style>
  <w:style w:type="character" w:styleId="PlaceholderText">
    <w:name w:val="Placeholder Text"/>
    <w:basedOn w:val="DefaultParagraphFont"/>
    <w:uiPriority w:val="99"/>
    <w:semiHidden/>
    <w:rsid w:val="00660528"/>
    <w:rPr>
      <w:color w:val="auto"/>
      <w:bdr w:val="none" w:sz="0" w:space="0" w:color="auto"/>
      <w:shd w:val="clear" w:color="auto" w:fill="DFDFDF" w:themeFill="background2" w:themeFillShade="E6"/>
    </w:rPr>
  </w:style>
  <w:style w:type="paragraph" w:styleId="PlainText">
    <w:name w:val="Plain Text"/>
    <w:basedOn w:val="Normal"/>
    <w:link w:val="PlainTextChar"/>
    <w:uiPriority w:val="99"/>
    <w:semiHidden/>
    <w:rsid w:val="00014566"/>
    <w:rPr>
      <w:rFonts w:ascii="Consolas" w:hAnsi="Consolas" w:cs="Consolas"/>
      <w:sz w:val="21"/>
      <w:szCs w:val="21"/>
    </w:rPr>
  </w:style>
  <w:style w:type="character" w:customStyle="1" w:styleId="PlainTextChar">
    <w:name w:val="Plain Text Char"/>
    <w:basedOn w:val="DefaultParagraphFont"/>
    <w:link w:val="PlainText"/>
    <w:uiPriority w:val="99"/>
    <w:semiHidden/>
    <w:rsid w:val="00014566"/>
    <w:rPr>
      <w:rFonts w:ascii="Consolas" w:eastAsiaTheme="minorEastAsia" w:hAnsi="Consolas" w:cs="Consolas"/>
      <w:sz w:val="21"/>
      <w:szCs w:val="21"/>
    </w:rPr>
  </w:style>
  <w:style w:type="paragraph" w:styleId="Salutation">
    <w:name w:val="Salutation"/>
    <w:basedOn w:val="Normal"/>
    <w:next w:val="Normal"/>
    <w:link w:val="SalutationChar"/>
    <w:uiPriority w:val="99"/>
    <w:semiHidden/>
    <w:rsid w:val="00014566"/>
  </w:style>
  <w:style w:type="character" w:customStyle="1" w:styleId="SalutationChar">
    <w:name w:val="Salutation Char"/>
    <w:basedOn w:val="DefaultParagraphFont"/>
    <w:link w:val="Salutation"/>
    <w:uiPriority w:val="99"/>
    <w:semiHidden/>
    <w:rsid w:val="00014566"/>
    <w:rPr>
      <w:rFonts w:eastAsiaTheme="minorEastAsia"/>
      <w:sz w:val="24"/>
    </w:rPr>
  </w:style>
  <w:style w:type="paragraph" w:styleId="Signature">
    <w:name w:val="Signature"/>
    <w:basedOn w:val="Normal"/>
    <w:link w:val="SignatureChar"/>
    <w:uiPriority w:val="99"/>
    <w:semiHidden/>
    <w:rsid w:val="00014566"/>
    <w:pPr>
      <w:ind w:left="4252"/>
    </w:pPr>
  </w:style>
  <w:style w:type="character" w:customStyle="1" w:styleId="SignatureChar">
    <w:name w:val="Signature Char"/>
    <w:basedOn w:val="DefaultParagraphFont"/>
    <w:link w:val="Signature"/>
    <w:uiPriority w:val="99"/>
    <w:semiHidden/>
    <w:rsid w:val="00014566"/>
    <w:rPr>
      <w:rFonts w:eastAsiaTheme="minorEastAsia"/>
      <w:sz w:val="24"/>
    </w:rPr>
  </w:style>
  <w:style w:type="table" w:styleId="Table3Deffects1">
    <w:name w:val="Table 3D effects 1"/>
    <w:basedOn w:val="TableNormal"/>
    <w:uiPriority w:val="99"/>
    <w:semiHidden/>
    <w:rsid w:val="00014566"/>
    <w:pPr>
      <w:suppressAutoHyphens/>
    </w:pPr>
    <w:rPr>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014566"/>
    <w:pPr>
      <w:suppressAutoHyphens/>
    </w:pPr>
    <w:rPr>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014566"/>
    <w:pPr>
      <w:suppressAutoHyphens/>
    </w:pPr>
    <w:rPr>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014566"/>
    <w:pPr>
      <w:suppressAutoHyphens/>
    </w:pPr>
    <w:rPr>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014566"/>
    <w:pPr>
      <w:suppressAutoHyphens/>
    </w:pPr>
    <w:rPr>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014566"/>
    <w:pPr>
      <w:suppressAutoHyphens/>
    </w:pPr>
    <w:rPr>
      <w:color w:val="00008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014566"/>
    <w:pPr>
      <w:suppressAutoHyphens/>
    </w:pPr>
    <w:rPr>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014566"/>
    <w:pPr>
      <w:suppressAutoHyphens/>
    </w:pPr>
    <w:rPr>
      <w:color w:val="FFFFFF"/>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014566"/>
    <w:pPr>
      <w:suppressAutoHyphens/>
    </w:pPr>
    <w:rPr>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014566"/>
    <w:pPr>
      <w:suppressAutoHyphens/>
    </w:pPr>
    <w:rPr>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014566"/>
    <w:pPr>
      <w:suppressAutoHyphens/>
    </w:pPr>
    <w:rPr>
      <w:b/>
      <w:bCs/>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014566"/>
    <w:pPr>
      <w:suppressAutoHyphens/>
    </w:pPr>
    <w:rPr>
      <w:b/>
      <w:bCs/>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014566"/>
    <w:pPr>
      <w:suppressAutoHyphens/>
    </w:pPr>
    <w:rPr>
      <w:b/>
      <w:bCs/>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014566"/>
    <w:pPr>
      <w:suppressAutoHyphens/>
    </w:pPr>
    <w:rPr>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014566"/>
    <w:pPr>
      <w:suppressAutoHyphens/>
    </w:pPr>
    <w:rPr>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014566"/>
    <w:pPr>
      <w:suppressAutoHyphens/>
    </w:pPr>
    <w:rPr>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014566"/>
    <w:pPr>
      <w:suppressAutoHyphens/>
    </w:pPr>
    <w:rPr>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014566"/>
    <w:pPr>
      <w:suppressAutoHyphens/>
    </w:pPr>
    <w:rPr>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014566"/>
    <w:pPr>
      <w:suppressAutoHyphens/>
    </w:pPr>
    <w:rPr>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014566"/>
    <w:pPr>
      <w:suppressAutoHyphens/>
    </w:pPr>
    <w:rPr>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014566"/>
    <w:pPr>
      <w:suppressAutoHyphens/>
    </w:pPr>
    <w:rPr>
      <w:b/>
      <w:bCs/>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014566"/>
    <w:pPr>
      <w:suppressAutoHyphens/>
    </w:pPr>
    <w:rPr>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014566"/>
    <w:pPr>
      <w:suppressAutoHyphens/>
    </w:pPr>
    <w:rPr>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014566"/>
    <w:pPr>
      <w:suppressAutoHyphens/>
    </w:pPr>
    <w:rPr>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014566"/>
    <w:pPr>
      <w:suppressAutoHyphens/>
    </w:pPr>
    <w:rPr>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014566"/>
    <w:pPr>
      <w:suppressAutoHyphens/>
    </w:pPr>
    <w:rPr>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014566"/>
    <w:pPr>
      <w:suppressAutoHyphens/>
    </w:pPr>
    <w:rPr>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014566"/>
    <w:pPr>
      <w:suppressAutoHyphens/>
    </w:pPr>
    <w:rPr>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014566"/>
    <w:pPr>
      <w:ind w:left="240" w:hanging="240"/>
    </w:pPr>
  </w:style>
  <w:style w:type="paragraph" w:styleId="TableofFigures">
    <w:name w:val="table of figures"/>
    <w:basedOn w:val="Normal"/>
    <w:next w:val="Normal"/>
    <w:uiPriority w:val="99"/>
    <w:semiHidden/>
    <w:rsid w:val="00014566"/>
  </w:style>
  <w:style w:type="table" w:styleId="TableProfessional">
    <w:name w:val="Table Professional"/>
    <w:basedOn w:val="TableNormal"/>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014566"/>
    <w:pPr>
      <w:suppressAutoHyphens/>
    </w:pPr>
    <w:rPr>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014566"/>
    <w:pPr>
      <w:suppressAutoHyphens/>
    </w:pPr>
    <w:rPr>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014566"/>
    <w:pPr>
      <w:suppressAutoHyphens/>
    </w:pPr>
    <w:rPr>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014566"/>
    <w:pPr>
      <w:suppressAutoHyphens/>
    </w:pPr>
    <w:rPr>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014566"/>
    <w:pPr>
      <w:suppressAutoHyphens/>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014566"/>
    <w:pPr>
      <w:suppressAutoHyphens/>
    </w:pPr>
    <w:rPr>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014566"/>
    <w:pPr>
      <w:suppressAutoHyphens/>
    </w:pPr>
    <w:rPr>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014566"/>
    <w:pPr>
      <w:suppressAutoHyphens/>
    </w:pPr>
    <w:rPr>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660528"/>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9"/>
    <w:semiHidden/>
    <w:rsid w:val="00660528"/>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9"/>
    <w:semiHidden/>
    <w:rsid w:val="00014566"/>
    <w:pPr>
      <w:spacing w:after="100"/>
      <w:ind w:left="1680"/>
    </w:pPr>
  </w:style>
  <w:style w:type="paragraph" w:styleId="TOC9">
    <w:name w:val="toc 9"/>
    <w:basedOn w:val="Normal"/>
    <w:next w:val="Normal"/>
    <w:autoRedefine/>
    <w:uiPriority w:val="99"/>
    <w:semiHidden/>
    <w:rsid w:val="00014566"/>
    <w:pPr>
      <w:spacing w:after="100"/>
      <w:ind w:left="1920"/>
    </w:pPr>
  </w:style>
  <w:style w:type="paragraph" w:customStyle="1" w:styleId="OpiParaSub">
    <w:name w:val="Opi_Para_Sub"/>
    <w:basedOn w:val="JuParaSub"/>
    <w:uiPriority w:val="47"/>
    <w:qFormat/>
    <w:rsid w:val="00660528"/>
  </w:style>
  <w:style w:type="paragraph" w:customStyle="1" w:styleId="OpiQuot">
    <w:name w:val="Opi_Quot"/>
    <w:basedOn w:val="ECHRParaQuote"/>
    <w:uiPriority w:val="48"/>
    <w:qFormat/>
    <w:rsid w:val="00660528"/>
  </w:style>
  <w:style w:type="paragraph" w:customStyle="1" w:styleId="OpiQuotSub">
    <w:name w:val="Opi_Quot_Sub"/>
    <w:basedOn w:val="JuQuotSub"/>
    <w:uiPriority w:val="49"/>
    <w:qFormat/>
    <w:rsid w:val="00660528"/>
  </w:style>
  <w:style w:type="paragraph" w:customStyle="1" w:styleId="OpiTranslation">
    <w:name w:val="Opi_Translation"/>
    <w:basedOn w:val="Normal"/>
    <w:next w:val="OpiPara"/>
    <w:uiPriority w:val="40"/>
    <w:qFormat/>
    <w:rsid w:val="00660528"/>
    <w:pPr>
      <w:jc w:val="center"/>
      <w:outlineLvl w:val="0"/>
    </w:pPr>
    <w:rPr>
      <w:i/>
    </w:rPr>
  </w:style>
  <w:style w:type="paragraph" w:styleId="NoteHeading">
    <w:name w:val="Note Heading"/>
    <w:basedOn w:val="Normal"/>
    <w:next w:val="Normal"/>
    <w:link w:val="NoteHeadingChar"/>
    <w:uiPriority w:val="99"/>
    <w:semiHidden/>
    <w:rsid w:val="005D59EB"/>
  </w:style>
  <w:style w:type="character" w:customStyle="1" w:styleId="NoteHeadingChar">
    <w:name w:val="Note Heading Char"/>
    <w:basedOn w:val="DefaultParagraphFont"/>
    <w:link w:val="NoteHeading"/>
    <w:uiPriority w:val="99"/>
    <w:semiHidden/>
    <w:rsid w:val="005D59EB"/>
    <w:rPr>
      <w:rFonts w:eastAsiaTheme="minorEastAsia"/>
      <w:sz w:val="24"/>
      <w:lang w:val="en-GB"/>
    </w:rPr>
  </w:style>
  <w:style w:type="paragraph" w:customStyle="1" w:styleId="JuHeaderLandscape">
    <w:name w:val="Ju_Header_Landscape"/>
    <w:basedOn w:val="ECHRHeader"/>
    <w:uiPriority w:val="4"/>
    <w:qFormat/>
    <w:rsid w:val="00660528"/>
    <w:pPr>
      <w:tabs>
        <w:tab w:val="clear" w:pos="3686"/>
        <w:tab w:val="clear" w:pos="7371"/>
        <w:tab w:val="center" w:pos="6146"/>
        <w:tab w:val="right" w:pos="12293"/>
      </w:tabs>
    </w:pPr>
  </w:style>
  <w:style w:type="character" w:customStyle="1" w:styleId="ECHRParaChar">
    <w:name w:val="ECHR_Para Char"/>
    <w:aliases w:val="Ju_Para Char"/>
    <w:link w:val="ECHRPara"/>
    <w:uiPriority w:val="12"/>
    <w:rsid w:val="00700734"/>
    <w:rPr>
      <w:rFonts w:eastAsiaTheme="minorEastAsia"/>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48921">
      <w:bodyDiv w:val="1"/>
      <w:marLeft w:val="0"/>
      <w:marRight w:val="0"/>
      <w:marTop w:val="0"/>
      <w:marBottom w:val="0"/>
      <w:divBdr>
        <w:top w:val="none" w:sz="0" w:space="0" w:color="auto"/>
        <w:left w:val="none" w:sz="0" w:space="0" w:color="auto"/>
        <w:bottom w:val="none" w:sz="0" w:space="0" w:color="auto"/>
        <w:right w:val="none" w:sz="0" w:space="0" w:color="auto"/>
      </w:divBdr>
      <w:divsChild>
        <w:div w:id="657073488">
          <w:marLeft w:val="0"/>
          <w:marRight w:val="0"/>
          <w:marTop w:val="0"/>
          <w:marBottom w:val="0"/>
          <w:divBdr>
            <w:top w:val="none" w:sz="0" w:space="0" w:color="auto"/>
            <w:left w:val="none" w:sz="0" w:space="0" w:color="auto"/>
            <w:bottom w:val="none" w:sz="0" w:space="0" w:color="auto"/>
            <w:right w:val="none" w:sz="0" w:space="0" w:color="auto"/>
          </w:divBdr>
          <w:divsChild>
            <w:div w:id="2135177448">
              <w:marLeft w:val="0"/>
              <w:marRight w:val="0"/>
              <w:marTop w:val="0"/>
              <w:marBottom w:val="0"/>
              <w:divBdr>
                <w:top w:val="none" w:sz="0" w:space="0" w:color="auto"/>
                <w:left w:val="none" w:sz="0" w:space="0" w:color="auto"/>
                <w:bottom w:val="none" w:sz="0" w:space="0" w:color="auto"/>
                <w:right w:val="none" w:sz="0" w:space="0" w:color="auto"/>
              </w:divBdr>
              <w:divsChild>
                <w:div w:id="1406806145">
                  <w:marLeft w:val="0"/>
                  <w:marRight w:val="0"/>
                  <w:marTop w:val="0"/>
                  <w:marBottom w:val="0"/>
                  <w:divBdr>
                    <w:top w:val="none" w:sz="0" w:space="0" w:color="auto"/>
                    <w:left w:val="none" w:sz="0" w:space="0" w:color="auto"/>
                    <w:bottom w:val="none" w:sz="0" w:space="0" w:color="auto"/>
                    <w:right w:val="none" w:sz="0" w:space="0" w:color="auto"/>
                  </w:divBdr>
                  <w:divsChild>
                    <w:div w:id="1673726602">
                      <w:marLeft w:val="0"/>
                      <w:marRight w:val="0"/>
                      <w:marTop w:val="0"/>
                      <w:marBottom w:val="0"/>
                      <w:divBdr>
                        <w:top w:val="none" w:sz="0" w:space="0" w:color="auto"/>
                        <w:left w:val="none" w:sz="0" w:space="0" w:color="auto"/>
                        <w:bottom w:val="none" w:sz="0" w:space="0" w:color="auto"/>
                        <w:right w:val="none" w:sz="0" w:space="0" w:color="auto"/>
                      </w:divBdr>
                      <w:divsChild>
                        <w:div w:id="192613508">
                          <w:marLeft w:val="0"/>
                          <w:marRight w:val="0"/>
                          <w:marTop w:val="0"/>
                          <w:marBottom w:val="0"/>
                          <w:divBdr>
                            <w:top w:val="none" w:sz="0" w:space="0" w:color="auto"/>
                            <w:left w:val="none" w:sz="0" w:space="0" w:color="auto"/>
                            <w:bottom w:val="none" w:sz="0" w:space="0" w:color="auto"/>
                            <w:right w:val="none" w:sz="0" w:space="0" w:color="auto"/>
                          </w:divBdr>
                        </w:div>
                        <w:div w:id="73138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676234">
      <w:bodyDiv w:val="1"/>
      <w:marLeft w:val="0"/>
      <w:marRight w:val="0"/>
      <w:marTop w:val="0"/>
      <w:marBottom w:val="0"/>
      <w:divBdr>
        <w:top w:val="none" w:sz="0" w:space="0" w:color="auto"/>
        <w:left w:val="none" w:sz="0" w:space="0" w:color="auto"/>
        <w:bottom w:val="none" w:sz="0" w:space="0" w:color="auto"/>
        <w:right w:val="none" w:sz="0" w:space="0" w:color="auto"/>
      </w:divBdr>
    </w:div>
    <w:div w:id="141167982">
      <w:bodyDiv w:val="1"/>
      <w:marLeft w:val="0"/>
      <w:marRight w:val="0"/>
      <w:marTop w:val="0"/>
      <w:marBottom w:val="0"/>
      <w:divBdr>
        <w:top w:val="none" w:sz="0" w:space="0" w:color="auto"/>
        <w:left w:val="none" w:sz="0" w:space="0" w:color="auto"/>
        <w:bottom w:val="none" w:sz="0" w:space="0" w:color="auto"/>
        <w:right w:val="none" w:sz="0" w:space="0" w:color="auto"/>
      </w:divBdr>
      <w:divsChild>
        <w:div w:id="761147859">
          <w:marLeft w:val="0"/>
          <w:marRight w:val="0"/>
          <w:marTop w:val="0"/>
          <w:marBottom w:val="0"/>
          <w:divBdr>
            <w:top w:val="none" w:sz="0" w:space="0" w:color="auto"/>
            <w:left w:val="none" w:sz="0" w:space="0" w:color="auto"/>
            <w:bottom w:val="none" w:sz="0" w:space="0" w:color="auto"/>
            <w:right w:val="none" w:sz="0" w:space="0" w:color="auto"/>
          </w:divBdr>
          <w:divsChild>
            <w:div w:id="934939993">
              <w:marLeft w:val="0"/>
              <w:marRight w:val="0"/>
              <w:marTop w:val="0"/>
              <w:marBottom w:val="0"/>
              <w:divBdr>
                <w:top w:val="none" w:sz="0" w:space="0" w:color="auto"/>
                <w:left w:val="none" w:sz="0" w:space="0" w:color="auto"/>
                <w:bottom w:val="none" w:sz="0" w:space="0" w:color="auto"/>
                <w:right w:val="none" w:sz="0" w:space="0" w:color="auto"/>
              </w:divBdr>
              <w:divsChild>
                <w:div w:id="1670057810">
                  <w:marLeft w:val="0"/>
                  <w:marRight w:val="0"/>
                  <w:marTop w:val="0"/>
                  <w:marBottom w:val="0"/>
                  <w:divBdr>
                    <w:top w:val="none" w:sz="0" w:space="0" w:color="auto"/>
                    <w:left w:val="none" w:sz="0" w:space="0" w:color="auto"/>
                    <w:bottom w:val="none" w:sz="0" w:space="0" w:color="auto"/>
                    <w:right w:val="none" w:sz="0" w:space="0" w:color="auto"/>
                  </w:divBdr>
                  <w:divsChild>
                    <w:div w:id="516192604">
                      <w:marLeft w:val="0"/>
                      <w:marRight w:val="0"/>
                      <w:marTop w:val="0"/>
                      <w:marBottom w:val="0"/>
                      <w:divBdr>
                        <w:top w:val="none" w:sz="0" w:space="0" w:color="auto"/>
                        <w:left w:val="none" w:sz="0" w:space="0" w:color="auto"/>
                        <w:bottom w:val="none" w:sz="0" w:space="0" w:color="auto"/>
                        <w:right w:val="none" w:sz="0" w:space="0" w:color="auto"/>
                      </w:divBdr>
                      <w:divsChild>
                        <w:div w:id="2060670519">
                          <w:marLeft w:val="0"/>
                          <w:marRight w:val="0"/>
                          <w:marTop w:val="0"/>
                          <w:marBottom w:val="0"/>
                          <w:divBdr>
                            <w:top w:val="none" w:sz="0" w:space="0" w:color="auto"/>
                            <w:left w:val="none" w:sz="0" w:space="0" w:color="auto"/>
                            <w:bottom w:val="none" w:sz="0" w:space="0" w:color="auto"/>
                            <w:right w:val="none" w:sz="0" w:space="0" w:color="auto"/>
                          </w:divBdr>
                          <w:divsChild>
                            <w:div w:id="8384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59387">
      <w:bodyDiv w:val="1"/>
      <w:marLeft w:val="0"/>
      <w:marRight w:val="0"/>
      <w:marTop w:val="0"/>
      <w:marBottom w:val="0"/>
      <w:divBdr>
        <w:top w:val="none" w:sz="0" w:space="0" w:color="auto"/>
        <w:left w:val="none" w:sz="0" w:space="0" w:color="auto"/>
        <w:bottom w:val="none" w:sz="0" w:space="0" w:color="auto"/>
        <w:right w:val="none" w:sz="0" w:space="0" w:color="auto"/>
      </w:divBdr>
      <w:divsChild>
        <w:div w:id="899173532">
          <w:marLeft w:val="0"/>
          <w:marRight w:val="0"/>
          <w:marTop w:val="0"/>
          <w:marBottom w:val="0"/>
          <w:divBdr>
            <w:top w:val="none" w:sz="0" w:space="0" w:color="auto"/>
            <w:left w:val="none" w:sz="0" w:space="0" w:color="auto"/>
            <w:bottom w:val="none" w:sz="0" w:space="0" w:color="auto"/>
            <w:right w:val="none" w:sz="0" w:space="0" w:color="auto"/>
          </w:divBdr>
          <w:divsChild>
            <w:div w:id="877622121">
              <w:marLeft w:val="0"/>
              <w:marRight w:val="0"/>
              <w:marTop w:val="0"/>
              <w:marBottom w:val="0"/>
              <w:divBdr>
                <w:top w:val="none" w:sz="0" w:space="0" w:color="auto"/>
                <w:left w:val="none" w:sz="0" w:space="0" w:color="auto"/>
                <w:bottom w:val="none" w:sz="0" w:space="0" w:color="auto"/>
                <w:right w:val="none" w:sz="0" w:space="0" w:color="auto"/>
              </w:divBdr>
              <w:divsChild>
                <w:div w:id="371227818">
                  <w:marLeft w:val="0"/>
                  <w:marRight w:val="0"/>
                  <w:marTop w:val="0"/>
                  <w:marBottom w:val="0"/>
                  <w:divBdr>
                    <w:top w:val="none" w:sz="0" w:space="0" w:color="auto"/>
                    <w:left w:val="none" w:sz="0" w:space="0" w:color="auto"/>
                    <w:bottom w:val="none" w:sz="0" w:space="0" w:color="auto"/>
                    <w:right w:val="none" w:sz="0" w:space="0" w:color="auto"/>
                  </w:divBdr>
                  <w:divsChild>
                    <w:div w:id="1752699439">
                      <w:marLeft w:val="0"/>
                      <w:marRight w:val="0"/>
                      <w:marTop w:val="0"/>
                      <w:marBottom w:val="0"/>
                      <w:divBdr>
                        <w:top w:val="none" w:sz="0" w:space="0" w:color="auto"/>
                        <w:left w:val="none" w:sz="0" w:space="0" w:color="auto"/>
                        <w:bottom w:val="none" w:sz="0" w:space="0" w:color="auto"/>
                        <w:right w:val="none" w:sz="0" w:space="0" w:color="auto"/>
                      </w:divBdr>
                      <w:divsChild>
                        <w:div w:id="570039040">
                          <w:marLeft w:val="0"/>
                          <w:marRight w:val="0"/>
                          <w:marTop w:val="0"/>
                          <w:marBottom w:val="0"/>
                          <w:divBdr>
                            <w:top w:val="none" w:sz="0" w:space="0" w:color="auto"/>
                            <w:left w:val="none" w:sz="0" w:space="0" w:color="auto"/>
                            <w:bottom w:val="none" w:sz="0" w:space="0" w:color="auto"/>
                            <w:right w:val="none" w:sz="0" w:space="0" w:color="auto"/>
                          </w:divBdr>
                          <w:divsChild>
                            <w:div w:id="185652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005804">
      <w:bodyDiv w:val="1"/>
      <w:marLeft w:val="0"/>
      <w:marRight w:val="0"/>
      <w:marTop w:val="0"/>
      <w:marBottom w:val="0"/>
      <w:divBdr>
        <w:top w:val="none" w:sz="0" w:space="0" w:color="auto"/>
        <w:left w:val="none" w:sz="0" w:space="0" w:color="auto"/>
        <w:bottom w:val="none" w:sz="0" w:space="0" w:color="auto"/>
        <w:right w:val="none" w:sz="0" w:space="0" w:color="auto"/>
      </w:divBdr>
      <w:divsChild>
        <w:div w:id="1936130692">
          <w:marLeft w:val="0"/>
          <w:marRight w:val="0"/>
          <w:marTop w:val="0"/>
          <w:marBottom w:val="0"/>
          <w:divBdr>
            <w:top w:val="none" w:sz="0" w:space="0" w:color="auto"/>
            <w:left w:val="none" w:sz="0" w:space="0" w:color="auto"/>
            <w:bottom w:val="none" w:sz="0" w:space="0" w:color="auto"/>
            <w:right w:val="none" w:sz="0" w:space="0" w:color="auto"/>
          </w:divBdr>
          <w:divsChild>
            <w:div w:id="538710507">
              <w:marLeft w:val="0"/>
              <w:marRight w:val="0"/>
              <w:marTop w:val="0"/>
              <w:marBottom w:val="0"/>
              <w:divBdr>
                <w:top w:val="none" w:sz="0" w:space="0" w:color="auto"/>
                <w:left w:val="none" w:sz="0" w:space="0" w:color="auto"/>
                <w:bottom w:val="none" w:sz="0" w:space="0" w:color="auto"/>
                <w:right w:val="none" w:sz="0" w:space="0" w:color="auto"/>
              </w:divBdr>
              <w:divsChild>
                <w:div w:id="1767115511">
                  <w:marLeft w:val="0"/>
                  <w:marRight w:val="0"/>
                  <w:marTop w:val="0"/>
                  <w:marBottom w:val="0"/>
                  <w:divBdr>
                    <w:top w:val="none" w:sz="0" w:space="0" w:color="auto"/>
                    <w:left w:val="none" w:sz="0" w:space="0" w:color="auto"/>
                    <w:bottom w:val="none" w:sz="0" w:space="0" w:color="auto"/>
                    <w:right w:val="none" w:sz="0" w:space="0" w:color="auto"/>
                  </w:divBdr>
                  <w:divsChild>
                    <w:div w:id="1868248918">
                      <w:marLeft w:val="0"/>
                      <w:marRight w:val="0"/>
                      <w:marTop w:val="0"/>
                      <w:marBottom w:val="0"/>
                      <w:divBdr>
                        <w:top w:val="none" w:sz="0" w:space="0" w:color="auto"/>
                        <w:left w:val="none" w:sz="0" w:space="0" w:color="auto"/>
                        <w:bottom w:val="none" w:sz="0" w:space="0" w:color="auto"/>
                        <w:right w:val="none" w:sz="0" w:space="0" w:color="auto"/>
                      </w:divBdr>
                      <w:divsChild>
                        <w:div w:id="410201932">
                          <w:marLeft w:val="0"/>
                          <w:marRight w:val="0"/>
                          <w:marTop w:val="0"/>
                          <w:marBottom w:val="0"/>
                          <w:divBdr>
                            <w:top w:val="none" w:sz="0" w:space="0" w:color="auto"/>
                            <w:left w:val="none" w:sz="0" w:space="0" w:color="auto"/>
                            <w:bottom w:val="none" w:sz="0" w:space="0" w:color="auto"/>
                            <w:right w:val="none" w:sz="0" w:space="0" w:color="auto"/>
                          </w:divBdr>
                        </w:div>
                        <w:div w:id="6180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8022110">
      <w:bodyDiv w:val="1"/>
      <w:marLeft w:val="0"/>
      <w:marRight w:val="0"/>
      <w:marTop w:val="0"/>
      <w:marBottom w:val="0"/>
      <w:divBdr>
        <w:top w:val="none" w:sz="0" w:space="0" w:color="auto"/>
        <w:left w:val="none" w:sz="0" w:space="0" w:color="auto"/>
        <w:bottom w:val="none" w:sz="0" w:space="0" w:color="auto"/>
        <w:right w:val="none" w:sz="0" w:space="0" w:color="auto"/>
      </w:divBdr>
      <w:divsChild>
        <w:div w:id="1027103697">
          <w:marLeft w:val="0"/>
          <w:marRight w:val="0"/>
          <w:marTop w:val="0"/>
          <w:marBottom w:val="0"/>
          <w:divBdr>
            <w:top w:val="none" w:sz="0" w:space="0" w:color="auto"/>
            <w:left w:val="none" w:sz="0" w:space="0" w:color="auto"/>
            <w:bottom w:val="none" w:sz="0" w:space="0" w:color="auto"/>
            <w:right w:val="none" w:sz="0" w:space="0" w:color="auto"/>
          </w:divBdr>
          <w:divsChild>
            <w:div w:id="1786341518">
              <w:marLeft w:val="0"/>
              <w:marRight w:val="0"/>
              <w:marTop w:val="0"/>
              <w:marBottom w:val="0"/>
              <w:divBdr>
                <w:top w:val="none" w:sz="0" w:space="0" w:color="auto"/>
                <w:left w:val="none" w:sz="0" w:space="0" w:color="auto"/>
                <w:bottom w:val="none" w:sz="0" w:space="0" w:color="auto"/>
                <w:right w:val="none" w:sz="0" w:space="0" w:color="auto"/>
              </w:divBdr>
              <w:divsChild>
                <w:div w:id="1339770017">
                  <w:marLeft w:val="0"/>
                  <w:marRight w:val="0"/>
                  <w:marTop w:val="0"/>
                  <w:marBottom w:val="0"/>
                  <w:divBdr>
                    <w:top w:val="none" w:sz="0" w:space="0" w:color="auto"/>
                    <w:left w:val="none" w:sz="0" w:space="0" w:color="auto"/>
                    <w:bottom w:val="none" w:sz="0" w:space="0" w:color="auto"/>
                    <w:right w:val="none" w:sz="0" w:space="0" w:color="auto"/>
                  </w:divBdr>
                  <w:divsChild>
                    <w:div w:id="1012797310">
                      <w:marLeft w:val="0"/>
                      <w:marRight w:val="0"/>
                      <w:marTop w:val="0"/>
                      <w:marBottom w:val="0"/>
                      <w:divBdr>
                        <w:top w:val="none" w:sz="0" w:space="0" w:color="auto"/>
                        <w:left w:val="none" w:sz="0" w:space="0" w:color="auto"/>
                        <w:bottom w:val="none" w:sz="0" w:space="0" w:color="auto"/>
                        <w:right w:val="none" w:sz="0" w:space="0" w:color="auto"/>
                      </w:divBdr>
                      <w:divsChild>
                        <w:div w:id="1655530825">
                          <w:marLeft w:val="0"/>
                          <w:marRight w:val="0"/>
                          <w:marTop w:val="0"/>
                          <w:marBottom w:val="0"/>
                          <w:divBdr>
                            <w:top w:val="none" w:sz="0" w:space="0" w:color="auto"/>
                            <w:left w:val="none" w:sz="0" w:space="0" w:color="auto"/>
                            <w:bottom w:val="none" w:sz="0" w:space="0" w:color="auto"/>
                            <w:right w:val="none" w:sz="0" w:space="0" w:color="auto"/>
                          </w:divBdr>
                          <w:divsChild>
                            <w:div w:id="6549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7656580">
      <w:bodyDiv w:val="1"/>
      <w:marLeft w:val="0"/>
      <w:marRight w:val="0"/>
      <w:marTop w:val="0"/>
      <w:marBottom w:val="0"/>
      <w:divBdr>
        <w:top w:val="none" w:sz="0" w:space="0" w:color="auto"/>
        <w:left w:val="none" w:sz="0" w:space="0" w:color="auto"/>
        <w:bottom w:val="none" w:sz="0" w:space="0" w:color="auto"/>
        <w:right w:val="none" w:sz="0" w:space="0" w:color="auto"/>
      </w:divBdr>
      <w:divsChild>
        <w:div w:id="1116868406">
          <w:marLeft w:val="0"/>
          <w:marRight w:val="0"/>
          <w:marTop w:val="0"/>
          <w:marBottom w:val="0"/>
          <w:divBdr>
            <w:top w:val="none" w:sz="0" w:space="0" w:color="auto"/>
            <w:left w:val="none" w:sz="0" w:space="0" w:color="auto"/>
            <w:bottom w:val="none" w:sz="0" w:space="0" w:color="auto"/>
            <w:right w:val="none" w:sz="0" w:space="0" w:color="auto"/>
          </w:divBdr>
          <w:divsChild>
            <w:div w:id="968515789">
              <w:marLeft w:val="0"/>
              <w:marRight w:val="0"/>
              <w:marTop w:val="0"/>
              <w:marBottom w:val="0"/>
              <w:divBdr>
                <w:top w:val="none" w:sz="0" w:space="0" w:color="auto"/>
                <w:left w:val="none" w:sz="0" w:space="0" w:color="auto"/>
                <w:bottom w:val="none" w:sz="0" w:space="0" w:color="auto"/>
                <w:right w:val="none" w:sz="0" w:space="0" w:color="auto"/>
              </w:divBdr>
              <w:divsChild>
                <w:div w:id="988896704">
                  <w:marLeft w:val="0"/>
                  <w:marRight w:val="0"/>
                  <w:marTop w:val="0"/>
                  <w:marBottom w:val="0"/>
                  <w:divBdr>
                    <w:top w:val="none" w:sz="0" w:space="0" w:color="auto"/>
                    <w:left w:val="none" w:sz="0" w:space="0" w:color="auto"/>
                    <w:bottom w:val="none" w:sz="0" w:space="0" w:color="auto"/>
                    <w:right w:val="none" w:sz="0" w:space="0" w:color="auto"/>
                  </w:divBdr>
                  <w:divsChild>
                    <w:div w:id="1219822123">
                      <w:marLeft w:val="0"/>
                      <w:marRight w:val="0"/>
                      <w:marTop w:val="0"/>
                      <w:marBottom w:val="0"/>
                      <w:divBdr>
                        <w:top w:val="none" w:sz="0" w:space="0" w:color="auto"/>
                        <w:left w:val="none" w:sz="0" w:space="0" w:color="auto"/>
                        <w:bottom w:val="none" w:sz="0" w:space="0" w:color="auto"/>
                        <w:right w:val="none" w:sz="0" w:space="0" w:color="auto"/>
                      </w:divBdr>
                      <w:divsChild>
                        <w:div w:id="676343062">
                          <w:marLeft w:val="0"/>
                          <w:marRight w:val="0"/>
                          <w:marTop w:val="0"/>
                          <w:marBottom w:val="0"/>
                          <w:divBdr>
                            <w:top w:val="none" w:sz="0" w:space="0" w:color="auto"/>
                            <w:left w:val="none" w:sz="0" w:space="0" w:color="auto"/>
                            <w:bottom w:val="none" w:sz="0" w:space="0" w:color="auto"/>
                            <w:right w:val="none" w:sz="0" w:space="0" w:color="auto"/>
                          </w:divBdr>
                          <w:divsChild>
                            <w:div w:id="137496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2759375">
      <w:bodyDiv w:val="1"/>
      <w:marLeft w:val="0"/>
      <w:marRight w:val="0"/>
      <w:marTop w:val="0"/>
      <w:marBottom w:val="0"/>
      <w:divBdr>
        <w:top w:val="none" w:sz="0" w:space="0" w:color="auto"/>
        <w:left w:val="none" w:sz="0" w:space="0" w:color="auto"/>
        <w:bottom w:val="none" w:sz="0" w:space="0" w:color="auto"/>
        <w:right w:val="none" w:sz="0" w:space="0" w:color="auto"/>
      </w:divBdr>
    </w:div>
    <w:div w:id="389621971">
      <w:bodyDiv w:val="1"/>
      <w:marLeft w:val="0"/>
      <w:marRight w:val="0"/>
      <w:marTop w:val="0"/>
      <w:marBottom w:val="0"/>
      <w:divBdr>
        <w:top w:val="none" w:sz="0" w:space="0" w:color="auto"/>
        <w:left w:val="none" w:sz="0" w:space="0" w:color="auto"/>
        <w:bottom w:val="none" w:sz="0" w:space="0" w:color="auto"/>
        <w:right w:val="none" w:sz="0" w:space="0" w:color="auto"/>
      </w:divBdr>
      <w:divsChild>
        <w:div w:id="677655960">
          <w:marLeft w:val="0"/>
          <w:marRight w:val="0"/>
          <w:marTop w:val="0"/>
          <w:marBottom w:val="0"/>
          <w:divBdr>
            <w:top w:val="none" w:sz="0" w:space="0" w:color="auto"/>
            <w:left w:val="none" w:sz="0" w:space="0" w:color="auto"/>
            <w:bottom w:val="none" w:sz="0" w:space="0" w:color="auto"/>
            <w:right w:val="none" w:sz="0" w:space="0" w:color="auto"/>
          </w:divBdr>
          <w:divsChild>
            <w:div w:id="419641406">
              <w:marLeft w:val="0"/>
              <w:marRight w:val="0"/>
              <w:marTop w:val="0"/>
              <w:marBottom w:val="0"/>
              <w:divBdr>
                <w:top w:val="none" w:sz="0" w:space="0" w:color="auto"/>
                <w:left w:val="none" w:sz="0" w:space="0" w:color="auto"/>
                <w:bottom w:val="none" w:sz="0" w:space="0" w:color="auto"/>
                <w:right w:val="none" w:sz="0" w:space="0" w:color="auto"/>
              </w:divBdr>
              <w:divsChild>
                <w:div w:id="420151850">
                  <w:marLeft w:val="0"/>
                  <w:marRight w:val="0"/>
                  <w:marTop w:val="0"/>
                  <w:marBottom w:val="0"/>
                  <w:divBdr>
                    <w:top w:val="none" w:sz="0" w:space="0" w:color="auto"/>
                    <w:left w:val="none" w:sz="0" w:space="0" w:color="auto"/>
                    <w:bottom w:val="none" w:sz="0" w:space="0" w:color="auto"/>
                    <w:right w:val="none" w:sz="0" w:space="0" w:color="auto"/>
                  </w:divBdr>
                  <w:divsChild>
                    <w:div w:id="1584992401">
                      <w:marLeft w:val="0"/>
                      <w:marRight w:val="0"/>
                      <w:marTop w:val="0"/>
                      <w:marBottom w:val="0"/>
                      <w:divBdr>
                        <w:top w:val="none" w:sz="0" w:space="0" w:color="auto"/>
                        <w:left w:val="none" w:sz="0" w:space="0" w:color="auto"/>
                        <w:bottom w:val="none" w:sz="0" w:space="0" w:color="auto"/>
                        <w:right w:val="none" w:sz="0" w:space="0" w:color="auto"/>
                      </w:divBdr>
                      <w:divsChild>
                        <w:div w:id="142819385">
                          <w:marLeft w:val="0"/>
                          <w:marRight w:val="0"/>
                          <w:marTop w:val="0"/>
                          <w:marBottom w:val="0"/>
                          <w:divBdr>
                            <w:top w:val="none" w:sz="0" w:space="0" w:color="auto"/>
                            <w:left w:val="none" w:sz="0" w:space="0" w:color="auto"/>
                            <w:bottom w:val="none" w:sz="0" w:space="0" w:color="auto"/>
                            <w:right w:val="none" w:sz="0" w:space="0" w:color="auto"/>
                          </w:divBdr>
                          <w:divsChild>
                            <w:div w:id="28319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3725571">
      <w:bodyDiv w:val="1"/>
      <w:marLeft w:val="0"/>
      <w:marRight w:val="0"/>
      <w:marTop w:val="0"/>
      <w:marBottom w:val="0"/>
      <w:divBdr>
        <w:top w:val="none" w:sz="0" w:space="0" w:color="auto"/>
        <w:left w:val="none" w:sz="0" w:space="0" w:color="auto"/>
        <w:bottom w:val="none" w:sz="0" w:space="0" w:color="auto"/>
        <w:right w:val="none" w:sz="0" w:space="0" w:color="auto"/>
      </w:divBdr>
    </w:div>
    <w:div w:id="408620064">
      <w:bodyDiv w:val="1"/>
      <w:marLeft w:val="0"/>
      <w:marRight w:val="0"/>
      <w:marTop w:val="0"/>
      <w:marBottom w:val="0"/>
      <w:divBdr>
        <w:top w:val="none" w:sz="0" w:space="0" w:color="auto"/>
        <w:left w:val="none" w:sz="0" w:space="0" w:color="auto"/>
        <w:bottom w:val="none" w:sz="0" w:space="0" w:color="auto"/>
        <w:right w:val="none" w:sz="0" w:space="0" w:color="auto"/>
      </w:divBdr>
      <w:divsChild>
        <w:div w:id="498079045">
          <w:marLeft w:val="0"/>
          <w:marRight w:val="0"/>
          <w:marTop w:val="0"/>
          <w:marBottom w:val="0"/>
          <w:divBdr>
            <w:top w:val="none" w:sz="0" w:space="0" w:color="auto"/>
            <w:left w:val="none" w:sz="0" w:space="0" w:color="auto"/>
            <w:bottom w:val="none" w:sz="0" w:space="0" w:color="auto"/>
            <w:right w:val="none" w:sz="0" w:space="0" w:color="auto"/>
          </w:divBdr>
          <w:divsChild>
            <w:div w:id="497699899">
              <w:marLeft w:val="0"/>
              <w:marRight w:val="0"/>
              <w:marTop w:val="0"/>
              <w:marBottom w:val="0"/>
              <w:divBdr>
                <w:top w:val="none" w:sz="0" w:space="0" w:color="auto"/>
                <w:left w:val="none" w:sz="0" w:space="0" w:color="auto"/>
                <w:bottom w:val="none" w:sz="0" w:space="0" w:color="auto"/>
                <w:right w:val="none" w:sz="0" w:space="0" w:color="auto"/>
              </w:divBdr>
              <w:divsChild>
                <w:div w:id="1433429717">
                  <w:marLeft w:val="0"/>
                  <w:marRight w:val="0"/>
                  <w:marTop w:val="0"/>
                  <w:marBottom w:val="0"/>
                  <w:divBdr>
                    <w:top w:val="none" w:sz="0" w:space="0" w:color="auto"/>
                    <w:left w:val="none" w:sz="0" w:space="0" w:color="auto"/>
                    <w:bottom w:val="none" w:sz="0" w:space="0" w:color="auto"/>
                    <w:right w:val="none" w:sz="0" w:space="0" w:color="auto"/>
                  </w:divBdr>
                  <w:divsChild>
                    <w:div w:id="1560634267">
                      <w:marLeft w:val="0"/>
                      <w:marRight w:val="0"/>
                      <w:marTop w:val="0"/>
                      <w:marBottom w:val="0"/>
                      <w:divBdr>
                        <w:top w:val="none" w:sz="0" w:space="0" w:color="auto"/>
                        <w:left w:val="none" w:sz="0" w:space="0" w:color="auto"/>
                        <w:bottom w:val="none" w:sz="0" w:space="0" w:color="auto"/>
                        <w:right w:val="none" w:sz="0" w:space="0" w:color="auto"/>
                      </w:divBdr>
                      <w:divsChild>
                        <w:div w:id="886599854">
                          <w:marLeft w:val="0"/>
                          <w:marRight w:val="0"/>
                          <w:marTop w:val="0"/>
                          <w:marBottom w:val="0"/>
                          <w:divBdr>
                            <w:top w:val="none" w:sz="0" w:space="0" w:color="auto"/>
                            <w:left w:val="none" w:sz="0" w:space="0" w:color="auto"/>
                            <w:bottom w:val="none" w:sz="0" w:space="0" w:color="auto"/>
                            <w:right w:val="none" w:sz="0" w:space="0" w:color="auto"/>
                          </w:divBdr>
                          <w:divsChild>
                            <w:div w:id="84374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8206851">
      <w:bodyDiv w:val="1"/>
      <w:marLeft w:val="0"/>
      <w:marRight w:val="0"/>
      <w:marTop w:val="0"/>
      <w:marBottom w:val="0"/>
      <w:divBdr>
        <w:top w:val="none" w:sz="0" w:space="0" w:color="auto"/>
        <w:left w:val="none" w:sz="0" w:space="0" w:color="auto"/>
        <w:bottom w:val="none" w:sz="0" w:space="0" w:color="auto"/>
        <w:right w:val="none" w:sz="0" w:space="0" w:color="auto"/>
      </w:divBdr>
      <w:divsChild>
        <w:div w:id="875044373">
          <w:marLeft w:val="0"/>
          <w:marRight w:val="0"/>
          <w:marTop w:val="0"/>
          <w:marBottom w:val="0"/>
          <w:divBdr>
            <w:top w:val="none" w:sz="0" w:space="0" w:color="auto"/>
            <w:left w:val="none" w:sz="0" w:space="0" w:color="auto"/>
            <w:bottom w:val="none" w:sz="0" w:space="0" w:color="auto"/>
            <w:right w:val="none" w:sz="0" w:space="0" w:color="auto"/>
          </w:divBdr>
          <w:divsChild>
            <w:div w:id="432820708">
              <w:marLeft w:val="0"/>
              <w:marRight w:val="0"/>
              <w:marTop w:val="0"/>
              <w:marBottom w:val="0"/>
              <w:divBdr>
                <w:top w:val="none" w:sz="0" w:space="0" w:color="auto"/>
                <w:left w:val="none" w:sz="0" w:space="0" w:color="auto"/>
                <w:bottom w:val="none" w:sz="0" w:space="0" w:color="auto"/>
                <w:right w:val="none" w:sz="0" w:space="0" w:color="auto"/>
              </w:divBdr>
              <w:divsChild>
                <w:div w:id="1292976970">
                  <w:marLeft w:val="0"/>
                  <w:marRight w:val="0"/>
                  <w:marTop w:val="0"/>
                  <w:marBottom w:val="0"/>
                  <w:divBdr>
                    <w:top w:val="none" w:sz="0" w:space="0" w:color="auto"/>
                    <w:left w:val="none" w:sz="0" w:space="0" w:color="auto"/>
                    <w:bottom w:val="none" w:sz="0" w:space="0" w:color="auto"/>
                    <w:right w:val="none" w:sz="0" w:space="0" w:color="auto"/>
                  </w:divBdr>
                  <w:divsChild>
                    <w:div w:id="444662549">
                      <w:marLeft w:val="0"/>
                      <w:marRight w:val="0"/>
                      <w:marTop w:val="0"/>
                      <w:marBottom w:val="0"/>
                      <w:divBdr>
                        <w:top w:val="none" w:sz="0" w:space="0" w:color="auto"/>
                        <w:left w:val="none" w:sz="0" w:space="0" w:color="auto"/>
                        <w:bottom w:val="none" w:sz="0" w:space="0" w:color="auto"/>
                        <w:right w:val="none" w:sz="0" w:space="0" w:color="auto"/>
                      </w:divBdr>
                      <w:divsChild>
                        <w:div w:id="660425060">
                          <w:marLeft w:val="0"/>
                          <w:marRight w:val="0"/>
                          <w:marTop w:val="0"/>
                          <w:marBottom w:val="0"/>
                          <w:divBdr>
                            <w:top w:val="none" w:sz="0" w:space="0" w:color="auto"/>
                            <w:left w:val="none" w:sz="0" w:space="0" w:color="auto"/>
                            <w:bottom w:val="none" w:sz="0" w:space="0" w:color="auto"/>
                            <w:right w:val="none" w:sz="0" w:space="0" w:color="auto"/>
                          </w:divBdr>
                          <w:divsChild>
                            <w:div w:id="69785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248815">
      <w:bodyDiv w:val="1"/>
      <w:marLeft w:val="0"/>
      <w:marRight w:val="0"/>
      <w:marTop w:val="0"/>
      <w:marBottom w:val="0"/>
      <w:divBdr>
        <w:top w:val="none" w:sz="0" w:space="0" w:color="auto"/>
        <w:left w:val="none" w:sz="0" w:space="0" w:color="auto"/>
        <w:bottom w:val="none" w:sz="0" w:space="0" w:color="auto"/>
        <w:right w:val="none" w:sz="0" w:space="0" w:color="auto"/>
      </w:divBdr>
    </w:div>
    <w:div w:id="863444698">
      <w:bodyDiv w:val="1"/>
      <w:marLeft w:val="0"/>
      <w:marRight w:val="0"/>
      <w:marTop w:val="0"/>
      <w:marBottom w:val="0"/>
      <w:divBdr>
        <w:top w:val="none" w:sz="0" w:space="0" w:color="auto"/>
        <w:left w:val="none" w:sz="0" w:space="0" w:color="auto"/>
        <w:bottom w:val="none" w:sz="0" w:space="0" w:color="auto"/>
        <w:right w:val="none" w:sz="0" w:space="0" w:color="auto"/>
      </w:divBdr>
    </w:div>
    <w:div w:id="889145951">
      <w:bodyDiv w:val="1"/>
      <w:marLeft w:val="0"/>
      <w:marRight w:val="0"/>
      <w:marTop w:val="0"/>
      <w:marBottom w:val="0"/>
      <w:divBdr>
        <w:top w:val="none" w:sz="0" w:space="0" w:color="auto"/>
        <w:left w:val="none" w:sz="0" w:space="0" w:color="auto"/>
        <w:bottom w:val="none" w:sz="0" w:space="0" w:color="auto"/>
        <w:right w:val="none" w:sz="0" w:space="0" w:color="auto"/>
      </w:divBdr>
    </w:div>
    <w:div w:id="1146623807">
      <w:bodyDiv w:val="1"/>
      <w:marLeft w:val="0"/>
      <w:marRight w:val="0"/>
      <w:marTop w:val="0"/>
      <w:marBottom w:val="0"/>
      <w:divBdr>
        <w:top w:val="none" w:sz="0" w:space="0" w:color="auto"/>
        <w:left w:val="none" w:sz="0" w:space="0" w:color="auto"/>
        <w:bottom w:val="none" w:sz="0" w:space="0" w:color="auto"/>
        <w:right w:val="none" w:sz="0" w:space="0" w:color="auto"/>
      </w:divBdr>
      <w:divsChild>
        <w:div w:id="1305701819">
          <w:marLeft w:val="0"/>
          <w:marRight w:val="0"/>
          <w:marTop w:val="0"/>
          <w:marBottom w:val="0"/>
          <w:divBdr>
            <w:top w:val="none" w:sz="0" w:space="0" w:color="auto"/>
            <w:left w:val="none" w:sz="0" w:space="0" w:color="auto"/>
            <w:bottom w:val="none" w:sz="0" w:space="0" w:color="auto"/>
            <w:right w:val="none" w:sz="0" w:space="0" w:color="auto"/>
          </w:divBdr>
          <w:divsChild>
            <w:div w:id="1221281118">
              <w:marLeft w:val="0"/>
              <w:marRight w:val="0"/>
              <w:marTop w:val="0"/>
              <w:marBottom w:val="0"/>
              <w:divBdr>
                <w:top w:val="none" w:sz="0" w:space="0" w:color="auto"/>
                <w:left w:val="none" w:sz="0" w:space="0" w:color="auto"/>
                <w:bottom w:val="none" w:sz="0" w:space="0" w:color="auto"/>
                <w:right w:val="none" w:sz="0" w:space="0" w:color="auto"/>
              </w:divBdr>
              <w:divsChild>
                <w:div w:id="251201929">
                  <w:marLeft w:val="0"/>
                  <w:marRight w:val="0"/>
                  <w:marTop w:val="0"/>
                  <w:marBottom w:val="0"/>
                  <w:divBdr>
                    <w:top w:val="none" w:sz="0" w:space="0" w:color="auto"/>
                    <w:left w:val="none" w:sz="0" w:space="0" w:color="auto"/>
                    <w:bottom w:val="none" w:sz="0" w:space="0" w:color="auto"/>
                    <w:right w:val="none" w:sz="0" w:space="0" w:color="auto"/>
                  </w:divBdr>
                  <w:divsChild>
                    <w:div w:id="354237938">
                      <w:marLeft w:val="0"/>
                      <w:marRight w:val="0"/>
                      <w:marTop w:val="0"/>
                      <w:marBottom w:val="0"/>
                      <w:divBdr>
                        <w:top w:val="none" w:sz="0" w:space="0" w:color="auto"/>
                        <w:left w:val="none" w:sz="0" w:space="0" w:color="auto"/>
                        <w:bottom w:val="none" w:sz="0" w:space="0" w:color="auto"/>
                        <w:right w:val="none" w:sz="0" w:space="0" w:color="auto"/>
                      </w:divBdr>
                      <w:divsChild>
                        <w:div w:id="2136439667">
                          <w:marLeft w:val="0"/>
                          <w:marRight w:val="0"/>
                          <w:marTop w:val="0"/>
                          <w:marBottom w:val="0"/>
                          <w:divBdr>
                            <w:top w:val="none" w:sz="0" w:space="0" w:color="auto"/>
                            <w:left w:val="none" w:sz="0" w:space="0" w:color="auto"/>
                            <w:bottom w:val="none" w:sz="0" w:space="0" w:color="auto"/>
                            <w:right w:val="none" w:sz="0" w:space="0" w:color="auto"/>
                          </w:divBdr>
                          <w:divsChild>
                            <w:div w:id="34826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572681">
      <w:bodyDiv w:val="1"/>
      <w:marLeft w:val="0"/>
      <w:marRight w:val="0"/>
      <w:marTop w:val="0"/>
      <w:marBottom w:val="0"/>
      <w:divBdr>
        <w:top w:val="none" w:sz="0" w:space="0" w:color="auto"/>
        <w:left w:val="none" w:sz="0" w:space="0" w:color="auto"/>
        <w:bottom w:val="none" w:sz="0" w:space="0" w:color="auto"/>
        <w:right w:val="none" w:sz="0" w:space="0" w:color="auto"/>
      </w:divBdr>
    </w:div>
    <w:div w:id="1434277448">
      <w:bodyDiv w:val="1"/>
      <w:marLeft w:val="0"/>
      <w:marRight w:val="0"/>
      <w:marTop w:val="0"/>
      <w:marBottom w:val="0"/>
      <w:divBdr>
        <w:top w:val="none" w:sz="0" w:space="0" w:color="auto"/>
        <w:left w:val="none" w:sz="0" w:space="0" w:color="auto"/>
        <w:bottom w:val="none" w:sz="0" w:space="0" w:color="auto"/>
        <w:right w:val="none" w:sz="0" w:space="0" w:color="auto"/>
      </w:divBdr>
      <w:divsChild>
        <w:div w:id="1785726608">
          <w:marLeft w:val="0"/>
          <w:marRight w:val="0"/>
          <w:marTop w:val="0"/>
          <w:marBottom w:val="0"/>
          <w:divBdr>
            <w:top w:val="none" w:sz="0" w:space="0" w:color="auto"/>
            <w:left w:val="none" w:sz="0" w:space="0" w:color="auto"/>
            <w:bottom w:val="none" w:sz="0" w:space="0" w:color="auto"/>
            <w:right w:val="none" w:sz="0" w:space="0" w:color="auto"/>
          </w:divBdr>
          <w:divsChild>
            <w:div w:id="1375352582">
              <w:marLeft w:val="0"/>
              <w:marRight w:val="0"/>
              <w:marTop w:val="0"/>
              <w:marBottom w:val="0"/>
              <w:divBdr>
                <w:top w:val="none" w:sz="0" w:space="0" w:color="auto"/>
                <w:left w:val="none" w:sz="0" w:space="0" w:color="auto"/>
                <w:bottom w:val="none" w:sz="0" w:space="0" w:color="auto"/>
                <w:right w:val="none" w:sz="0" w:space="0" w:color="auto"/>
              </w:divBdr>
              <w:divsChild>
                <w:div w:id="377247629">
                  <w:marLeft w:val="0"/>
                  <w:marRight w:val="0"/>
                  <w:marTop w:val="0"/>
                  <w:marBottom w:val="0"/>
                  <w:divBdr>
                    <w:top w:val="none" w:sz="0" w:space="0" w:color="auto"/>
                    <w:left w:val="none" w:sz="0" w:space="0" w:color="auto"/>
                    <w:bottom w:val="none" w:sz="0" w:space="0" w:color="auto"/>
                    <w:right w:val="none" w:sz="0" w:space="0" w:color="auto"/>
                  </w:divBdr>
                  <w:divsChild>
                    <w:div w:id="1593322773">
                      <w:marLeft w:val="0"/>
                      <w:marRight w:val="0"/>
                      <w:marTop w:val="0"/>
                      <w:marBottom w:val="0"/>
                      <w:divBdr>
                        <w:top w:val="none" w:sz="0" w:space="0" w:color="auto"/>
                        <w:left w:val="none" w:sz="0" w:space="0" w:color="auto"/>
                        <w:bottom w:val="none" w:sz="0" w:space="0" w:color="auto"/>
                        <w:right w:val="none" w:sz="0" w:space="0" w:color="auto"/>
                      </w:divBdr>
                      <w:divsChild>
                        <w:div w:id="1795245240">
                          <w:marLeft w:val="0"/>
                          <w:marRight w:val="0"/>
                          <w:marTop w:val="0"/>
                          <w:marBottom w:val="0"/>
                          <w:divBdr>
                            <w:top w:val="none" w:sz="0" w:space="0" w:color="auto"/>
                            <w:left w:val="none" w:sz="0" w:space="0" w:color="auto"/>
                            <w:bottom w:val="none" w:sz="0" w:space="0" w:color="auto"/>
                            <w:right w:val="none" w:sz="0" w:space="0" w:color="auto"/>
                          </w:divBdr>
                          <w:divsChild>
                            <w:div w:id="199217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970746">
      <w:bodyDiv w:val="1"/>
      <w:marLeft w:val="0"/>
      <w:marRight w:val="0"/>
      <w:marTop w:val="0"/>
      <w:marBottom w:val="0"/>
      <w:divBdr>
        <w:top w:val="none" w:sz="0" w:space="0" w:color="auto"/>
        <w:left w:val="none" w:sz="0" w:space="0" w:color="auto"/>
        <w:bottom w:val="none" w:sz="0" w:space="0" w:color="auto"/>
        <w:right w:val="none" w:sz="0" w:space="0" w:color="auto"/>
      </w:divBdr>
      <w:divsChild>
        <w:div w:id="1895383754">
          <w:marLeft w:val="0"/>
          <w:marRight w:val="0"/>
          <w:marTop w:val="0"/>
          <w:marBottom w:val="0"/>
          <w:divBdr>
            <w:top w:val="none" w:sz="0" w:space="0" w:color="auto"/>
            <w:left w:val="none" w:sz="0" w:space="0" w:color="auto"/>
            <w:bottom w:val="none" w:sz="0" w:space="0" w:color="auto"/>
            <w:right w:val="none" w:sz="0" w:space="0" w:color="auto"/>
          </w:divBdr>
          <w:divsChild>
            <w:div w:id="1665087965">
              <w:marLeft w:val="0"/>
              <w:marRight w:val="0"/>
              <w:marTop w:val="0"/>
              <w:marBottom w:val="0"/>
              <w:divBdr>
                <w:top w:val="none" w:sz="0" w:space="0" w:color="auto"/>
                <w:left w:val="none" w:sz="0" w:space="0" w:color="auto"/>
                <w:bottom w:val="none" w:sz="0" w:space="0" w:color="auto"/>
                <w:right w:val="none" w:sz="0" w:space="0" w:color="auto"/>
              </w:divBdr>
              <w:divsChild>
                <w:div w:id="1597977860">
                  <w:marLeft w:val="0"/>
                  <w:marRight w:val="0"/>
                  <w:marTop w:val="0"/>
                  <w:marBottom w:val="0"/>
                  <w:divBdr>
                    <w:top w:val="none" w:sz="0" w:space="0" w:color="auto"/>
                    <w:left w:val="none" w:sz="0" w:space="0" w:color="auto"/>
                    <w:bottom w:val="none" w:sz="0" w:space="0" w:color="auto"/>
                    <w:right w:val="none" w:sz="0" w:space="0" w:color="auto"/>
                  </w:divBdr>
                  <w:divsChild>
                    <w:div w:id="1187644962">
                      <w:marLeft w:val="0"/>
                      <w:marRight w:val="0"/>
                      <w:marTop w:val="0"/>
                      <w:marBottom w:val="0"/>
                      <w:divBdr>
                        <w:top w:val="none" w:sz="0" w:space="0" w:color="auto"/>
                        <w:left w:val="none" w:sz="0" w:space="0" w:color="auto"/>
                        <w:bottom w:val="none" w:sz="0" w:space="0" w:color="auto"/>
                        <w:right w:val="none" w:sz="0" w:space="0" w:color="auto"/>
                      </w:divBdr>
                      <w:divsChild>
                        <w:div w:id="780955914">
                          <w:marLeft w:val="0"/>
                          <w:marRight w:val="0"/>
                          <w:marTop w:val="0"/>
                          <w:marBottom w:val="0"/>
                          <w:divBdr>
                            <w:top w:val="none" w:sz="0" w:space="0" w:color="auto"/>
                            <w:left w:val="none" w:sz="0" w:space="0" w:color="auto"/>
                            <w:bottom w:val="none" w:sz="0" w:space="0" w:color="auto"/>
                            <w:right w:val="none" w:sz="0" w:space="0" w:color="auto"/>
                          </w:divBdr>
                        </w:div>
                        <w:div w:id="67654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2733782">
      <w:bodyDiv w:val="1"/>
      <w:marLeft w:val="0"/>
      <w:marRight w:val="0"/>
      <w:marTop w:val="0"/>
      <w:marBottom w:val="0"/>
      <w:divBdr>
        <w:top w:val="none" w:sz="0" w:space="0" w:color="auto"/>
        <w:left w:val="none" w:sz="0" w:space="0" w:color="auto"/>
        <w:bottom w:val="none" w:sz="0" w:space="0" w:color="auto"/>
        <w:right w:val="none" w:sz="0" w:space="0" w:color="auto"/>
      </w:divBdr>
      <w:divsChild>
        <w:div w:id="268511347">
          <w:marLeft w:val="0"/>
          <w:marRight w:val="0"/>
          <w:marTop w:val="0"/>
          <w:marBottom w:val="0"/>
          <w:divBdr>
            <w:top w:val="none" w:sz="0" w:space="0" w:color="auto"/>
            <w:left w:val="none" w:sz="0" w:space="0" w:color="auto"/>
            <w:bottom w:val="none" w:sz="0" w:space="0" w:color="auto"/>
            <w:right w:val="none" w:sz="0" w:space="0" w:color="auto"/>
          </w:divBdr>
          <w:divsChild>
            <w:div w:id="1311516588">
              <w:marLeft w:val="0"/>
              <w:marRight w:val="0"/>
              <w:marTop w:val="0"/>
              <w:marBottom w:val="0"/>
              <w:divBdr>
                <w:top w:val="none" w:sz="0" w:space="0" w:color="auto"/>
                <w:left w:val="none" w:sz="0" w:space="0" w:color="auto"/>
                <w:bottom w:val="none" w:sz="0" w:space="0" w:color="auto"/>
                <w:right w:val="none" w:sz="0" w:space="0" w:color="auto"/>
              </w:divBdr>
              <w:divsChild>
                <w:div w:id="1981107494">
                  <w:marLeft w:val="0"/>
                  <w:marRight w:val="0"/>
                  <w:marTop w:val="0"/>
                  <w:marBottom w:val="0"/>
                  <w:divBdr>
                    <w:top w:val="none" w:sz="0" w:space="0" w:color="auto"/>
                    <w:left w:val="none" w:sz="0" w:space="0" w:color="auto"/>
                    <w:bottom w:val="none" w:sz="0" w:space="0" w:color="auto"/>
                    <w:right w:val="none" w:sz="0" w:space="0" w:color="auto"/>
                  </w:divBdr>
                  <w:divsChild>
                    <w:div w:id="1295336135">
                      <w:marLeft w:val="0"/>
                      <w:marRight w:val="0"/>
                      <w:marTop w:val="0"/>
                      <w:marBottom w:val="0"/>
                      <w:divBdr>
                        <w:top w:val="none" w:sz="0" w:space="0" w:color="auto"/>
                        <w:left w:val="none" w:sz="0" w:space="0" w:color="auto"/>
                        <w:bottom w:val="none" w:sz="0" w:space="0" w:color="auto"/>
                        <w:right w:val="none" w:sz="0" w:space="0" w:color="auto"/>
                      </w:divBdr>
                      <w:divsChild>
                        <w:div w:id="25521839">
                          <w:marLeft w:val="0"/>
                          <w:marRight w:val="0"/>
                          <w:marTop w:val="0"/>
                          <w:marBottom w:val="0"/>
                          <w:divBdr>
                            <w:top w:val="none" w:sz="0" w:space="0" w:color="auto"/>
                            <w:left w:val="none" w:sz="0" w:space="0" w:color="auto"/>
                            <w:bottom w:val="none" w:sz="0" w:space="0" w:color="auto"/>
                            <w:right w:val="none" w:sz="0" w:space="0" w:color="auto"/>
                          </w:divBdr>
                          <w:divsChild>
                            <w:div w:id="88336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3648904">
      <w:bodyDiv w:val="1"/>
      <w:marLeft w:val="0"/>
      <w:marRight w:val="0"/>
      <w:marTop w:val="0"/>
      <w:marBottom w:val="0"/>
      <w:divBdr>
        <w:top w:val="none" w:sz="0" w:space="0" w:color="auto"/>
        <w:left w:val="none" w:sz="0" w:space="0" w:color="auto"/>
        <w:bottom w:val="none" w:sz="0" w:space="0" w:color="auto"/>
        <w:right w:val="none" w:sz="0" w:space="0" w:color="auto"/>
      </w:divBdr>
    </w:div>
    <w:div w:id="1807620522">
      <w:bodyDiv w:val="1"/>
      <w:marLeft w:val="0"/>
      <w:marRight w:val="0"/>
      <w:marTop w:val="0"/>
      <w:marBottom w:val="0"/>
      <w:divBdr>
        <w:top w:val="none" w:sz="0" w:space="0" w:color="auto"/>
        <w:left w:val="none" w:sz="0" w:space="0" w:color="auto"/>
        <w:bottom w:val="none" w:sz="0" w:space="0" w:color="auto"/>
        <w:right w:val="none" w:sz="0" w:space="0" w:color="auto"/>
      </w:divBdr>
      <w:divsChild>
        <w:div w:id="122041907">
          <w:marLeft w:val="0"/>
          <w:marRight w:val="0"/>
          <w:marTop w:val="0"/>
          <w:marBottom w:val="0"/>
          <w:divBdr>
            <w:top w:val="none" w:sz="0" w:space="0" w:color="auto"/>
            <w:left w:val="none" w:sz="0" w:space="0" w:color="auto"/>
            <w:bottom w:val="none" w:sz="0" w:space="0" w:color="auto"/>
            <w:right w:val="none" w:sz="0" w:space="0" w:color="auto"/>
          </w:divBdr>
          <w:divsChild>
            <w:div w:id="765617469">
              <w:marLeft w:val="0"/>
              <w:marRight w:val="0"/>
              <w:marTop w:val="0"/>
              <w:marBottom w:val="0"/>
              <w:divBdr>
                <w:top w:val="none" w:sz="0" w:space="0" w:color="auto"/>
                <w:left w:val="none" w:sz="0" w:space="0" w:color="auto"/>
                <w:bottom w:val="none" w:sz="0" w:space="0" w:color="auto"/>
                <w:right w:val="none" w:sz="0" w:space="0" w:color="auto"/>
              </w:divBdr>
              <w:divsChild>
                <w:div w:id="372852428">
                  <w:marLeft w:val="0"/>
                  <w:marRight w:val="0"/>
                  <w:marTop w:val="0"/>
                  <w:marBottom w:val="0"/>
                  <w:divBdr>
                    <w:top w:val="none" w:sz="0" w:space="0" w:color="auto"/>
                    <w:left w:val="none" w:sz="0" w:space="0" w:color="auto"/>
                    <w:bottom w:val="none" w:sz="0" w:space="0" w:color="auto"/>
                    <w:right w:val="none" w:sz="0" w:space="0" w:color="auto"/>
                  </w:divBdr>
                  <w:divsChild>
                    <w:div w:id="1114405730">
                      <w:marLeft w:val="0"/>
                      <w:marRight w:val="0"/>
                      <w:marTop w:val="0"/>
                      <w:marBottom w:val="0"/>
                      <w:divBdr>
                        <w:top w:val="none" w:sz="0" w:space="0" w:color="auto"/>
                        <w:left w:val="none" w:sz="0" w:space="0" w:color="auto"/>
                        <w:bottom w:val="none" w:sz="0" w:space="0" w:color="auto"/>
                        <w:right w:val="none" w:sz="0" w:space="0" w:color="auto"/>
                      </w:divBdr>
                      <w:divsChild>
                        <w:div w:id="2050060371">
                          <w:marLeft w:val="0"/>
                          <w:marRight w:val="0"/>
                          <w:marTop w:val="0"/>
                          <w:marBottom w:val="0"/>
                          <w:divBdr>
                            <w:top w:val="none" w:sz="0" w:space="0" w:color="auto"/>
                            <w:left w:val="none" w:sz="0" w:space="0" w:color="auto"/>
                            <w:bottom w:val="none" w:sz="0" w:space="0" w:color="auto"/>
                            <w:right w:val="none" w:sz="0" w:space="0" w:color="auto"/>
                          </w:divBdr>
                          <w:divsChild>
                            <w:div w:id="519469808">
                              <w:marLeft w:val="0"/>
                              <w:marRight w:val="0"/>
                              <w:marTop w:val="0"/>
                              <w:marBottom w:val="0"/>
                              <w:divBdr>
                                <w:top w:val="none" w:sz="0" w:space="0" w:color="auto"/>
                                <w:left w:val="none" w:sz="0" w:space="0" w:color="auto"/>
                                <w:bottom w:val="none" w:sz="0" w:space="0" w:color="auto"/>
                                <w:right w:val="none" w:sz="0" w:space="0" w:color="auto"/>
                              </w:divBdr>
                              <w:divsChild>
                                <w:div w:id="1594171498">
                                  <w:marLeft w:val="0"/>
                                  <w:marRight w:val="0"/>
                                  <w:marTop w:val="0"/>
                                  <w:marBottom w:val="0"/>
                                  <w:divBdr>
                                    <w:top w:val="none" w:sz="0" w:space="0" w:color="auto"/>
                                    <w:left w:val="none" w:sz="0" w:space="0" w:color="auto"/>
                                    <w:bottom w:val="none" w:sz="0" w:space="0" w:color="auto"/>
                                    <w:right w:val="none" w:sz="0" w:space="0" w:color="auto"/>
                                  </w:divBdr>
                                  <w:divsChild>
                                    <w:div w:id="1474759503">
                                      <w:marLeft w:val="0"/>
                                      <w:marRight w:val="0"/>
                                      <w:marTop w:val="0"/>
                                      <w:marBottom w:val="0"/>
                                      <w:divBdr>
                                        <w:top w:val="none" w:sz="0" w:space="0" w:color="auto"/>
                                        <w:left w:val="none" w:sz="0" w:space="0" w:color="auto"/>
                                        <w:bottom w:val="none" w:sz="0" w:space="0" w:color="auto"/>
                                        <w:right w:val="none" w:sz="0" w:space="0" w:color="auto"/>
                                      </w:divBdr>
                                      <w:divsChild>
                                        <w:div w:id="88965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9981063">
      <w:bodyDiv w:val="1"/>
      <w:marLeft w:val="0"/>
      <w:marRight w:val="0"/>
      <w:marTop w:val="0"/>
      <w:marBottom w:val="0"/>
      <w:divBdr>
        <w:top w:val="none" w:sz="0" w:space="0" w:color="auto"/>
        <w:left w:val="none" w:sz="0" w:space="0" w:color="auto"/>
        <w:bottom w:val="none" w:sz="0" w:space="0" w:color="auto"/>
        <w:right w:val="none" w:sz="0" w:space="0" w:color="auto"/>
      </w:divBdr>
      <w:divsChild>
        <w:div w:id="1015762492">
          <w:marLeft w:val="0"/>
          <w:marRight w:val="0"/>
          <w:marTop w:val="0"/>
          <w:marBottom w:val="0"/>
          <w:divBdr>
            <w:top w:val="none" w:sz="0" w:space="0" w:color="auto"/>
            <w:left w:val="none" w:sz="0" w:space="0" w:color="auto"/>
            <w:bottom w:val="none" w:sz="0" w:space="0" w:color="auto"/>
            <w:right w:val="none" w:sz="0" w:space="0" w:color="auto"/>
          </w:divBdr>
          <w:divsChild>
            <w:div w:id="822545253">
              <w:marLeft w:val="0"/>
              <w:marRight w:val="0"/>
              <w:marTop w:val="0"/>
              <w:marBottom w:val="0"/>
              <w:divBdr>
                <w:top w:val="none" w:sz="0" w:space="0" w:color="auto"/>
                <w:left w:val="none" w:sz="0" w:space="0" w:color="auto"/>
                <w:bottom w:val="none" w:sz="0" w:space="0" w:color="auto"/>
                <w:right w:val="none" w:sz="0" w:space="0" w:color="auto"/>
              </w:divBdr>
              <w:divsChild>
                <w:div w:id="1995600508">
                  <w:marLeft w:val="0"/>
                  <w:marRight w:val="0"/>
                  <w:marTop w:val="0"/>
                  <w:marBottom w:val="0"/>
                  <w:divBdr>
                    <w:top w:val="none" w:sz="0" w:space="0" w:color="auto"/>
                    <w:left w:val="none" w:sz="0" w:space="0" w:color="auto"/>
                    <w:bottom w:val="none" w:sz="0" w:space="0" w:color="auto"/>
                    <w:right w:val="none" w:sz="0" w:space="0" w:color="auto"/>
                  </w:divBdr>
                  <w:divsChild>
                    <w:div w:id="869489970">
                      <w:marLeft w:val="0"/>
                      <w:marRight w:val="0"/>
                      <w:marTop w:val="0"/>
                      <w:marBottom w:val="0"/>
                      <w:divBdr>
                        <w:top w:val="none" w:sz="0" w:space="0" w:color="auto"/>
                        <w:left w:val="none" w:sz="0" w:space="0" w:color="auto"/>
                        <w:bottom w:val="none" w:sz="0" w:space="0" w:color="auto"/>
                        <w:right w:val="none" w:sz="0" w:space="0" w:color="auto"/>
                      </w:divBdr>
                      <w:divsChild>
                        <w:div w:id="548689367">
                          <w:marLeft w:val="0"/>
                          <w:marRight w:val="0"/>
                          <w:marTop w:val="0"/>
                          <w:marBottom w:val="0"/>
                          <w:divBdr>
                            <w:top w:val="none" w:sz="0" w:space="0" w:color="auto"/>
                            <w:left w:val="none" w:sz="0" w:space="0" w:color="auto"/>
                            <w:bottom w:val="none" w:sz="0" w:space="0" w:color="auto"/>
                            <w:right w:val="none" w:sz="0" w:space="0" w:color="auto"/>
                          </w:divBdr>
                          <w:divsChild>
                            <w:div w:id="201341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2379007">
      <w:bodyDiv w:val="1"/>
      <w:marLeft w:val="0"/>
      <w:marRight w:val="0"/>
      <w:marTop w:val="0"/>
      <w:marBottom w:val="0"/>
      <w:divBdr>
        <w:top w:val="none" w:sz="0" w:space="0" w:color="auto"/>
        <w:left w:val="none" w:sz="0" w:space="0" w:color="auto"/>
        <w:bottom w:val="none" w:sz="0" w:space="0" w:color="auto"/>
        <w:right w:val="none" w:sz="0" w:space="0" w:color="auto"/>
      </w:divBdr>
    </w:div>
    <w:div w:id="1845392927">
      <w:bodyDiv w:val="1"/>
      <w:marLeft w:val="0"/>
      <w:marRight w:val="0"/>
      <w:marTop w:val="0"/>
      <w:marBottom w:val="0"/>
      <w:divBdr>
        <w:top w:val="none" w:sz="0" w:space="0" w:color="auto"/>
        <w:left w:val="none" w:sz="0" w:space="0" w:color="auto"/>
        <w:bottom w:val="none" w:sz="0" w:space="0" w:color="auto"/>
        <w:right w:val="none" w:sz="0" w:space="0" w:color="auto"/>
      </w:divBdr>
      <w:divsChild>
        <w:div w:id="2066221473">
          <w:marLeft w:val="0"/>
          <w:marRight w:val="0"/>
          <w:marTop w:val="0"/>
          <w:marBottom w:val="0"/>
          <w:divBdr>
            <w:top w:val="none" w:sz="0" w:space="0" w:color="auto"/>
            <w:left w:val="none" w:sz="0" w:space="0" w:color="auto"/>
            <w:bottom w:val="none" w:sz="0" w:space="0" w:color="auto"/>
            <w:right w:val="none" w:sz="0" w:space="0" w:color="auto"/>
          </w:divBdr>
          <w:divsChild>
            <w:div w:id="1968899983">
              <w:marLeft w:val="0"/>
              <w:marRight w:val="0"/>
              <w:marTop w:val="0"/>
              <w:marBottom w:val="0"/>
              <w:divBdr>
                <w:top w:val="none" w:sz="0" w:space="0" w:color="auto"/>
                <w:left w:val="none" w:sz="0" w:space="0" w:color="auto"/>
                <w:bottom w:val="none" w:sz="0" w:space="0" w:color="auto"/>
                <w:right w:val="none" w:sz="0" w:space="0" w:color="auto"/>
              </w:divBdr>
              <w:divsChild>
                <w:div w:id="1713387460">
                  <w:marLeft w:val="0"/>
                  <w:marRight w:val="0"/>
                  <w:marTop w:val="0"/>
                  <w:marBottom w:val="0"/>
                  <w:divBdr>
                    <w:top w:val="none" w:sz="0" w:space="0" w:color="auto"/>
                    <w:left w:val="none" w:sz="0" w:space="0" w:color="auto"/>
                    <w:bottom w:val="none" w:sz="0" w:space="0" w:color="auto"/>
                    <w:right w:val="none" w:sz="0" w:space="0" w:color="auto"/>
                  </w:divBdr>
                  <w:divsChild>
                    <w:div w:id="327055758">
                      <w:marLeft w:val="0"/>
                      <w:marRight w:val="0"/>
                      <w:marTop w:val="0"/>
                      <w:marBottom w:val="0"/>
                      <w:divBdr>
                        <w:top w:val="none" w:sz="0" w:space="0" w:color="auto"/>
                        <w:left w:val="none" w:sz="0" w:space="0" w:color="auto"/>
                        <w:bottom w:val="none" w:sz="0" w:space="0" w:color="auto"/>
                        <w:right w:val="none" w:sz="0" w:space="0" w:color="auto"/>
                      </w:divBdr>
                      <w:divsChild>
                        <w:div w:id="513880153">
                          <w:marLeft w:val="0"/>
                          <w:marRight w:val="0"/>
                          <w:marTop w:val="0"/>
                          <w:marBottom w:val="0"/>
                          <w:divBdr>
                            <w:top w:val="none" w:sz="0" w:space="0" w:color="auto"/>
                            <w:left w:val="none" w:sz="0" w:space="0" w:color="auto"/>
                            <w:bottom w:val="none" w:sz="0" w:space="0" w:color="auto"/>
                            <w:right w:val="none" w:sz="0" w:space="0" w:color="auto"/>
                          </w:divBdr>
                        </w:div>
                        <w:div w:id="166346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1723024">
      <w:bodyDiv w:val="1"/>
      <w:marLeft w:val="0"/>
      <w:marRight w:val="0"/>
      <w:marTop w:val="0"/>
      <w:marBottom w:val="0"/>
      <w:divBdr>
        <w:top w:val="none" w:sz="0" w:space="0" w:color="auto"/>
        <w:left w:val="none" w:sz="0" w:space="0" w:color="auto"/>
        <w:bottom w:val="none" w:sz="0" w:space="0" w:color="auto"/>
        <w:right w:val="none" w:sz="0" w:space="0" w:color="auto"/>
      </w:divBdr>
      <w:divsChild>
        <w:div w:id="1903328131">
          <w:marLeft w:val="0"/>
          <w:marRight w:val="0"/>
          <w:marTop w:val="0"/>
          <w:marBottom w:val="0"/>
          <w:divBdr>
            <w:top w:val="none" w:sz="0" w:space="0" w:color="auto"/>
            <w:left w:val="none" w:sz="0" w:space="0" w:color="auto"/>
            <w:bottom w:val="none" w:sz="0" w:space="0" w:color="auto"/>
            <w:right w:val="none" w:sz="0" w:space="0" w:color="auto"/>
          </w:divBdr>
          <w:divsChild>
            <w:div w:id="541139570">
              <w:marLeft w:val="0"/>
              <w:marRight w:val="0"/>
              <w:marTop w:val="0"/>
              <w:marBottom w:val="0"/>
              <w:divBdr>
                <w:top w:val="none" w:sz="0" w:space="0" w:color="auto"/>
                <w:left w:val="none" w:sz="0" w:space="0" w:color="auto"/>
                <w:bottom w:val="none" w:sz="0" w:space="0" w:color="auto"/>
                <w:right w:val="none" w:sz="0" w:space="0" w:color="auto"/>
              </w:divBdr>
              <w:divsChild>
                <w:div w:id="1940522215">
                  <w:marLeft w:val="0"/>
                  <w:marRight w:val="0"/>
                  <w:marTop w:val="0"/>
                  <w:marBottom w:val="0"/>
                  <w:divBdr>
                    <w:top w:val="none" w:sz="0" w:space="0" w:color="auto"/>
                    <w:left w:val="none" w:sz="0" w:space="0" w:color="auto"/>
                    <w:bottom w:val="none" w:sz="0" w:space="0" w:color="auto"/>
                    <w:right w:val="none" w:sz="0" w:space="0" w:color="auto"/>
                  </w:divBdr>
                  <w:divsChild>
                    <w:div w:id="906573517">
                      <w:marLeft w:val="0"/>
                      <w:marRight w:val="0"/>
                      <w:marTop w:val="0"/>
                      <w:marBottom w:val="0"/>
                      <w:divBdr>
                        <w:top w:val="none" w:sz="0" w:space="0" w:color="auto"/>
                        <w:left w:val="none" w:sz="0" w:space="0" w:color="auto"/>
                        <w:bottom w:val="none" w:sz="0" w:space="0" w:color="auto"/>
                        <w:right w:val="none" w:sz="0" w:space="0" w:color="auto"/>
                      </w:divBdr>
                      <w:divsChild>
                        <w:div w:id="429938712">
                          <w:marLeft w:val="0"/>
                          <w:marRight w:val="0"/>
                          <w:marTop w:val="0"/>
                          <w:marBottom w:val="0"/>
                          <w:divBdr>
                            <w:top w:val="none" w:sz="0" w:space="0" w:color="auto"/>
                            <w:left w:val="none" w:sz="0" w:space="0" w:color="auto"/>
                            <w:bottom w:val="none" w:sz="0" w:space="0" w:color="auto"/>
                            <w:right w:val="none" w:sz="0" w:space="0" w:color="auto"/>
                          </w:divBdr>
                          <w:divsChild>
                            <w:div w:id="133282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562049">
      <w:bodyDiv w:val="1"/>
      <w:marLeft w:val="0"/>
      <w:marRight w:val="0"/>
      <w:marTop w:val="0"/>
      <w:marBottom w:val="0"/>
      <w:divBdr>
        <w:top w:val="none" w:sz="0" w:space="0" w:color="auto"/>
        <w:left w:val="none" w:sz="0" w:space="0" w:color="auto"/>
        <w:bottom w:val="none" w:sz="0" w:space="0" w:color="auto"/>
        <w:right w:val="none" w:sz="0" w:space="0" w:color="auto"/>
      </w:divBdr>
    </w:div>
    <w:div w:id="1952010830">
      <w:bodyDiv w:val="1"/>
      <w:marLeft w:val="0"/>
      <w:marRight w:val="0"/>
      <w:marTop w:val="0"/>
      <w:marBottom w:val="0"/>
      <w:divBdr>
        <w:top w:val="none" w:sz="0" w:space="0" w:color="auto"/>
        <w:left w:val="none" w:sz="0" w:space="0" w:color="auto"/>
        <w:bottom w:val="none" w:sz="0" w:space="0" w:color="auto"/>
        <w:right w:val="none" w:sz="0" w:space="0" w:color="auto"/>
      </w:divBdr>
    </w:div>
    <w:div w:id="1968391438">
      <w:bodyDiv w:val="1"/>
      <w:marLeft w:val="0"/>
      <w:marRight w:val="0"/>
      <w:marTop w:val="0"/>
      <w:marBottom w:val="0"/>
      <w:divBdr>
        <w:top w:val="none" w:sz="0" w:space="0" w:color="auto"/>
        <w:left w:val="none" w:sz="0" w:space="0" w:color="auto"/>
        <w:bottom w:val="none" w:sz="0" w:space="0" w:color="auto"/>
        <w:right w:val="none" w:sz="0" w:space="0" w:color="auto"/>
      </w:divBdr>
      <w:divsChild>
        <w:div w:id="223682181">
          <w:marLeft w:val="0"/>
          <w:marRight w:val="0"/>
          <w:marTop w:val="0"/>
          <w:marBottom w:val="0"/>
          <w:divBdr>
            <w:top w:val="none" w:sz="0" w:space="0" w:color="auto"/>
            <w:left w:val="none" w:sz="0" w:space="0" w:color="auto"/>
            <w:bottom w:val="none" w:sz="0" w:space="0" w:color="auto"/>
            <w:right w:val="none" w:sz="0" w:space="0" w:color="auto"/>
          </w:divBdr>
          <w:divsChild>
            <w:div w:id="612437870">
              <w:marLeft w:val="0"/>
              <w:marRight w:val="0"/>
              <w:marTop w:val="0"/>
              <w:marBottom w:val="0"/>
              <w:divBdr>
                <w:top w:val="none" w:sz="0" w:space="0" w:color="auto"/>
                <w:left w:val="none" w:sz="0" w:space="0" w:color="auto"/>
                <w:bottom w:val="none" w:sz="0" w:space="0" w:color="auto"/>
                <w:right w:val="none" w:sz="0" w:space="0" w:color="auto"/>
              </w:divBdr>
              <w:divsChild>
                <w:div w:id="971518073">
                  <w:marLeft w:val="0"/>
                  <w:marRight w:val="0"/>
                  <w:marTop w:val="0"/>
                  <w:marBottom w:val="0"/>
                  <w:divBdr>
                    <w:top w:val="none" w:sz="0" w:space="0" w:color="auto"/>
                    <w:left w:val="none" w:sz="0" w:space="0" w:color="auto"/>
                    <w:bottom w:val="none" w:sz="0" w:space="0" w:color="auto"/>
                    <w:right w:val="none" w:sz="0" w:space="0" w:color="auto"/>
                  </w:divBdr>
                  <w:divsChild>
                    <w:div w:id="512761543">
                      <w:marLeft w:val="0"/>
                      <w:marRight w:val="0"/>
                      <w:marTop w:val="0"/>
                      <w:marBottom w:val="0"/>
                      <w:divBdr>
                        <w:top w:val="none" w:sz="0" w:space="0" w:color="auto"/>
                        <w:left w:val="none" w:sz="0" w:space="0" w:color="auto"/>
                        <w:bottom w:val="none" w:sz="0" w:space="0" w:color="auto"/>
                        <w:right w:val="none" w:sz="0" w:space="0" w:color="auto"/>
                      </w:divBdr>
                      <w:divsChild>
                        <w:div w:id="1135565431">
                          <w:marLeft w:val="0"/>
                          <w:marRight w:val="0"/>
                          <w:marTop w:val="0"/>
                          <w:marBottom w:val="0"/>
                          <w:divBdr>
                            <w:top w:val="none" w:sz="0" w:space="0" w:color="auto"/>
                            <w:left w:val="none" w:sz="0" w:space="0" w:color="auto"/>
                            <w:bottom w:val="none" w:sz="0" w:space="0" w:color="auto"/>
                            <w:right w:val="none" w:sz="0" w:space="0" w:color="auto"/>
                          </w:divBdr>
                          <w:divsChild>
                            <w:div w:id="199217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5599334">
      <w:bodyDiv w:val="1"/>
      <w:marLeft w:val="0"/>
      <w:marRight w:val="0"/>
      <w:marTop w:val="0"/>
      <w:marBottom w:val="0"/>
      <w:divBdr>
        <w:top w:val="none" w:sz="0" w:space="0" w:color="auto"/>
        <w:left w:val="none" w:sz="0" w:space="0" w:color="auto"/>
        <w:bottom w:val="none" w:sz="0" w:space="0" w:color="auto"/>
        <w:right w:val="none" w:sz="0" w:space="0" w:color="auto"/>
      </w:divBdr>
      <w:divsChild>
        <w:div w:id="1574314076">
          <w:marLeft w:val="0"/>
          <w:marRight w:val="0"/>
          <w:marTop w:val="0"/>
          <w:marBottom w:val="0"/>
          <w:divBdr>
            <w:top w:val="none" w:sz="0" w:space="0" w:color="auto"/>
            <w:left w:val="none" w:sz="0" w:space="0" w:color="auto"/>
            <w:bottom w:val="none" w:sz="0" w:space="0" w:color="auto"/>
            <w:right w:val="none" w:sz="0" w:space="0" w:color="auto"/>
          </w:divBdr>
          <w:divsChild>
            <w:div w:id="270359461">
              <w:marLeft w:val="0"/>
              <w:marRight w:val="0"/>
              <w:marTop w:val="0"/>
              <w:marBottom w:val="0"/>
              <w:divBdr>
                <w:top w:val="none" w:sz="0" w:space="0" w:color="auto"/>
                <w:left w:val="none" w:sz="0" w:space="0" w:color="auto"/>
                <w:bottom w:val="none" w:sz="0" w:space="0" w:color="auto"/>
                <w:right w:val="none" w:sz="0" w:space="0" w:color="auto"/>
              </w:divBdr>
              <w:divsChild>
                <w:div w:id="269044094">
                  <w:marLeft w:val="0"/>
                  <w:marRight w:val="0"/>
                  <w:marTop w:val="0"/>
                  <w:marBottom w:val="0"/>
                  <w:divBdr>
                    <w:top w:val="none" w:sz="0" w:space="0" w:color="auto"/>
                    <w:left w:val="none" w:sz="0" w:space="0" w:color="auto"/>
                    <w:bottom w:val="none" w:sz="0" w:space="0" w:color="auto"/>
                    <w:right w:val="none" w:sz="0" w:space="0" w:color="auto"/>
                  </w:divBdr>
                  <w:divsChild>
                    <w:div w:id="210582739">
                      <w:marLeft w:val="0"/>
                      <w:marRight w:val="0"/>
                      <w:marTop w:val="0"/>
                      <w:marBottom w:val="0"/>
                      <w:divBdr>
                        <w:top w:val="none" w:sz="0" w:space="0" w:color="auto"/>
                        <w:left w:val="none" w:sz="0" w:space="0" w:color="auto"/>
                        <w:bottom w:val="none" w:sz="0" w:space="0" w:color="auto"/>
                        <w:right w:val="none" w:sz="0" w:space="0" w:color="auto"/>
                      </w:divBdr>
                      <w:divsChild>
                        <w:div w:id="434403216">
                          <w:marLeft w:val="0"/>
                          <w:marRight w:val="0"/>
                          <w:marTop w:val="0"/>
                          <w:marBottom w:val="0"/>
                          <w:divBdr>
                            <w:top w:val="none" w:sz="0" w:space="0" w:color="auto"/>
                            <w:left w:val="none" w:sz="0" w:space="0" w:color="auto"/>
                            <w:bottom w:val="none" w:sz="0" w:space="0" w:color="auto"/>
                            <w:right w:val="none" w:sz="0" w:space="0" w:color="auto"/>
                          </w:divBdr>
                        </w:div>
                        <w:div w:id="19110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2825483">
      <w:bodyDiv w:val="1"/>
      <w:marLeft w:val="0"/>
      <w:marRight w:val="0"/>
      <w:marTop w:val="0"/>
      <w:marBottom w:val="0"/>
      <w:divBdr>
        <w:top w:val="none" w:sz="0" w:space="0" w:color="auto"/>
        <w:left w:val="none" w:sz="0" w:space="0" w:color="auto"/>
        <w:bottom w:val="none" w:sz="0" w:space="0" w:color="auto"/>
        <w:right w:val="none" w:sz="0" w:space="0" w:color="auto"/>
      </w:divBdr>
      <w:divsChild>
        <w:div w:id="1044250891">
          <w:marLeft w:val="0"/>
          <w:marRight w:val="0"/>
          <w:marTop w:val="0"/>
          <w:marBottom w:val="0"/>
          <w:divBdr>
            <w:top w:val="none" w:sz="0" w:space="0" w:color="auto"/>
            <w:left w:val="none" w:sz="0" w:space="0" w:color="auto"/>
            <w:bottom w:val="none" w:sz="0" w:space="0" w:color="auto"/>
            <w:right w:val="none" w:sz="0" w:space="0" w:color="auto"/>
          </w:divBdr>
          <w:divsChild>
            <w:div w:id="1502426534">
              <w:marLeft w:val="0"/>
              <w:marRight w:val="0"/>
              <w:marTop w:val="0"/>
              <w:marBottom w:val="0"/>
              <w:divBdr>
                <w:top w:val="none" w:sz="0" w:space="0" w:color="auto"/>
                <w:left w:val="none" w:sz="0" w:space="0" w:color="auto"/>
                <w:bottom w:val="none" w:sz="0" w:space="0" w:color="auto"/>
                <w:right w:val="none" w:sz="0" w:space="0" w:color="auto"/>
              </w:divBdr>
              <w:divsChild>
                <w:div w:id="1753771074">
                  <w:marLeft w:val="0"/>
                  <w:marRight w:val="0"/>
                  <w:marTop w:val="0"/>
                  <w:marBottom w:val="0"/>
                  <w:divBdr>
                    <w:top w:val="none" w:sz="0" w:space="0" w:color="auto"/>
                    <w:left w:val="none" w:sz="0" w:space="0" w:color="auto"/>
                    <w:bottom w:val="none" w:sz="0" w:space="0" w:color="auto"/>
                    <w:right w:val="none" w:sz="0" w:space="0" w:color="auto"/>
                  </w:divBdr>
                  <w:divsChild>
                    <w:div w:id="824664757">
                      <w:marLeft w:val="0"/>
                      <w:marRight w:val="0"/>
                      <w:marTop w:val="0"/>
                      <w:marBottom w:val="0"/>
                      <w:divBdr>
                        <w:top w:val="none" w:sz="0" w:space="0" w:color="auto"/>
                        <w:left w:val="none" w:sz="0" w:space="0" w:color="auto"/>
                        <w:bottom w:val="none" w:sz="0" w:space="0" w:color="auto"/>
                        <w:right w:val="none" w:sz="0" w:space="0" w:color="auto"/>
                      </w:divBdr>
                      <w:divsChild>
                        <w:div w:id="1798063520">
                          <w:marLeft w:val="0"/>
                          <w:marRight w:val="0"/>
                          <w:marTop w:val="0"/>
                          <w:marBottom w:val="0"/>
                          <w:divBdr>
                            <w:top w:val="none" w:sz="0" w:space="0" w:color="auto"/>
                            <w:left w:val="none" w:sz="0" w:space="0" w:color="auto"/>
                            <w:bottom w:val="none" w:sz="0" w:space="0" w:color="auto"/>
                            <w:right w:val="none" w:sz="0" w:space="0" w:color="auto"/>
                          </w:divBdr>
                          <w:divsChild>
                            <w:div w:id="16779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872289">
      <w:bodyDiv w:val="1"/>
      <w:marLeft w:val="0"/>
      <w:marRight w:val="0"/>
      <w:marTop w:val="0"/>
      <w:marBottom w:val="0"/>
      <w:divBdr>
        <w:top w:val="none" w:sz="0" w:space="0" w:color="auto"/>
        <w:left w:val="none" w:sz="0" w:space="0" w:color="auto"/>
        <w:bottom w:val="none" w:sz="0" w:space="0" w:color="auto"/>
        <w:right w:val="none" w:sz="0" w:space="0" w:color="auto"/>
      </w:divBdr>
      <w:divsChild>
        <w:div w:id="631055236">
          <w:marLeft w:val="0"/>
          <w:marRight w:val="0"/>
          <w:marTop w:val="0"/>
          <w:marBottom w:val="0"/>
          <w:divBdr>
            <w:top w:val="none" w:sz="0" w:space="0" w:color="auto"/>
            <w:left w:val="none" w:sz="0" w:space="0" w:color="auto"/>
            <w:bottom w:val="none" w:sz="0" w:space="0" w:color="auto"/>
            <w:right w:val="none" w:sz="0" w:space="0" w:color="auto"/>
          </w:divBdr>
          <w:divsChild>
            <w:div w:id="1070495046">
              <w:marLeft w:val="0"/>
              <w:marRight w:val="0"/>
              <w:marTop w:val="0"/>
              <w:marBottom w:val="0"/>
              <w:divBdr>
                <w:top w:val="none" w:sz="0" w:space="0" w:color="auto"/>
                <w:left w:val="none" w:sz="0" w:space="0" w:color="auto"/>
                <w:bottom w:val="none" w:sz="0" w:space="0" w:color="auto"/>
                <w:right w:val="none" w:sz="0" w:space="0" w:color="auto"/>
              </w:divBdr>
              <w:divsChild>
                <w:div w:id="87849621">
                  <w:marLeft w:val="0"/>
                  <w:marRight w:val="0"/>
                  <w:marTop w:val="0"/>
                  <w:marBottom w:val="0"/>
                  <w:divBdr>
                    <w:top w:val="none" w:sz="0" w:space="0" w:color="auto"/>
                    <w:left w:val="none" w:sz="0" w:space="0" w:color="auto"/>
                    <w:bottom w:val="none" w:sz="0" w:space="0" w:color="auto"/>
                    <w:right w:val="none" w:sz="0" w:space="0" w:color="auto"/>
                  </w:divBdr>
                  <w:divsChild>
                    <w:div w:id="141779111">
                      <w:marLeft w:val="0"/>
                      <w:marRight w:val="0"/>
                      <w:marTop w:val="0"/>
                      <w:marBottom w:val="0"/>
                      <w:divBdr>
                        <w:top w:val="none" w:sz="0" w:space="0" w:color="auto"/>
                        <w:left w:val="none" w:sz="0" w:space="0" w:color="auto"/>
                        <w:bottom w:val="none" w:sz="0" w:space="0" w:color="auto"/>
                        <w:right w:val="none" w:sz="0" w:space="0" w:color="auto"/>
                      </w:divBdr>
                      <w:divsChild>
                        <w:div w:id="344015159">
                          <w:marLeft w:val="0"/>
                          <w:marRight w:val="0"/>
                          <w:marTop w:val="0"/>
                          <w:marBottom w:val="0"/>
                          <w:divBdr>
                            <w:top w:val="none" w:sz="0" w:space="0" w:color="auto"/>
                            <w:left w:val="none" w:sz="0" w:space="0" w:color="auto"/>
                            <w:bottom w:val="none" w:sz="0" w:space="0" w:color="auto"/>
                            <w:right w:val="none" w:sz="0" w:space="0" w:color="auto"/>
                          </w:divBdr>
                        </w:div>
                        <w:div w:id="193331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7.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customXml" Target="../customXml/item2.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7081CD-9A78-4A0F-800A-AC405A72D935}"/>
</file>

<file path=customXml/itemProps2.xml><?xml version="1.0" encoding="utf-8"?>
<ds:datastoreItem xmlns:ds="http://schemas.openxmlformats.org/officeDocument/2006/customXml" ds:itemID="{45446940-A9E1-402F-AD7F-32623A976429}"/>
</file>

<file path=customXml/itemProps3.xml><?xml version="1.0" encoding="utf-8"?>
<ds:datastoreItem xmlns:ds="http://schemas.openxmlformats.org/officeDocument/2006/customXml" ds:itemID="{DF433ED5-EA1F-4090-8328-75F29E3D2E88}"/>
</file>

<file path=customXml/itemProps4.xml><?xml version="1.0" encoding="utf-8"?>
<ds:datastoreItem xmlns:ds="http://schemas.openxmlformats.org/officeDocument/2006/customXml" ds:itemID="{80465CB2-39E8-40FF-956E-EA8B3BB88FF8}"/>
</file>

<file path=docProps/app.xml><?xml version="1.0" encoding="utf-8"?>
<Properties xmlns="http://schemas.openxmlformats.org/officeDocument/2006/extended-properties" xmlns:vt="http://schemas.openxmlformats.org/officeDocument/2006/docPropsVTypes">
  <Template>Normal.dotm</Template>
  <TotalTime>0</TotalTime>
  <Pages>1</Pages>
  <Words>21500</Words>
  <Characters>122555</Characters>
  <Application>Microsoft Office Word</Application>
  <DocSecurity>0</DocSecurity>
  <Lines>1021</Lines>
  <Paragraphs>287</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143768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DJ</dc:subject>
  <dc:creator/>
  <cp:lastModifiedBy/>
  <cp:revision>1</cp:revision>
  <dcterms:created xsi:type="dcterms:W3CDTF">2019-07-16T09:14:00Z</dcterms:created>
  <dcterms:modified xsi:type="dcterms:W3CDTF">2019-07-16T09:14:00Z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12200/08</vt:lpwstr>
  </property>
  <property fmtid="{D5CDD505-2E9C-101B-9397-08002B2CF9AE}" pid="4" name="CASEID">
    <vt:lpwstr>496372</vt:lpwstr>
  </property>
  <property fmtid="{D5CDD505-2E9C-101B-9397-08002B2CF9AE}" pid="5" name="ContentTypeId">
    <vt:lpwstr>0x010100558EB02BDB9E204AB350EDD385B68E10</vt:lpwstr>
  </property>
</Properties>
</file>